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82887" w14:textId="5252505F" w:rsidR="00236C53" w:rsidRDefault="00C4773C">
      <w:pPr>
        <w:spacing w:after="0" w:line="480" w:lineRule="auto"/>
        <w:rPr>
          <w:rFonts w:ascii="Times New Roman" w:hAnsi="Times New Roman"/>
          <w:b/>
          <w:sz w:val="24"/>
          <w:szCs w:val="24"/>
        </w:rPr>
      </w:pPr>
      <w:r>
        <w:rPr>
          <w:rFonts w:ascii="Times New Roman" w:hAnsi="Times New Roman"/>
          <w:b/>
          <w:sz w:val="24"/>
          <w:szCs w:val="24"/>
        </w:rPr>
        <w:t>Resistance of m</w:t>
      </w:r>
      <w:r w:rsidR="00236C53" w:rsidRPr="00236C53">
        <w:rPr>
          <w:rFonts w:ascii="Times New Roman" w:hAnsi="Times New Roman"/>
          <w:b/>
          <w:sz w:val="24"/>
          <w:szCs w:val="24"/>
        </w:rPr>
        <w:t>ound-building termites to anthropogenic land-use change</w:t>
      </w:r>
    </w:p>
    <w:p w14:paraId="6967B405" w14:textId="77777777" w:rsidR="00CB02BF" w:rsidRDefault="00CB02BF">
      <w:pPr>
        <w:spacing w:after="0" w:line="480" w:lineRule="auto"/>
        <w:rPr>
          <w:rFonts w:ascii="Times New Roman" w:hAnsi="Times New Roman"/>
          <w:b/>
          <w:sz w:val="24"/>
          <w:szCs w:val="24"/>
        </w:rPr>
      </w:pPr>
    </w:p>
    <w:p w14:paraId="64FBB2A2" w14:textId="130B9F3C" w:rsidR="00C2331D" w:rsidRDefault="00344831">
      <w:pPr>
        <w:spacing w:after="0" w:line="480" w:lineRule="auto"/>
        <w:rPr>
          <w:rFonts w:ascii="Times New Roman" w:hAnsi="Times New Roman"/>
          <w:sz w:val="24"/>
          <w:szCs w:val="24"/>
        </w:rPr>
      </w:pPr>
      <w:r>
        <w:rPr>
          <w:rFonts w:ascii="Times New Roman" w:hAnsi="Times New Roman"/>
          <w:sz w:val="24"/>
          <w:szCs w:val="24"/>
        </w:rPr>
        <w:t>Andrew B. Davies</w:t>
      </w:r>
      <w:r>
        <w:rPr>
          <w:rFonts w:ascii="Times New Roman" w:hAnsi="Times New Roman"/>
          <w:sz w:val="24"/>
          <w:szCs w:val="24"/>
          <w:vertAlign w:val="superscript"/>
        </w:rPr>
        <w:t>1</w:t>
      </w:r>
      <w:r w:rsidR="001E2BA5">
        <w:rPr>
          <w:rFonts w:ascii="Times New Roman" w:hAnsi="Times New Roman"/>
          <w:sz w:val="24"/>
          <w:szCs w:val="24"/>
          <w:vertAlign w:val="superscript"/>
        </w:rPr>
        <w:t>,2</w:t>
      </w:r>
      <w:r>
        <w:rPr>
          <w:rFonts w:ascii="Times New Roman" w:hAnsi="Times New Roman"/>
          <w:sz w:val="24"/>
          <w:szCs w:val="24"/>
        </w:rPr>
        <w:t>, Philip G. Brodrick</w:t>
      </w:r>
      <w:r w:rsidR="00EC301D">
        <w:rPr>
          <w:rFonts w:ascii="Times New Roman" w:hAnsi="Times New Roman"/>
          <w:sz w:val="24"/>
          <w:szCs w:val="24"/>
          <w:vertAlign w:val="superscript"/>
        </w:rPr>
        <w:t>2</w:t>
      </w:r>
      <w:r>
        <w:rPr>
          <w:rFonts w:ascii="Times New Roman" w:hAnsi="Times New Roman"/>
          <w:sz w:val="24"/>
          <w:szCs w:val="24"/>
        </w:rPr>
        <w:t>, Catherine L. Parr</w:t>
      </w:r>
      <w:r w:rsidRPr="003B3644">
        <w:rPr>
          <w:rFonts w:ascii="Times New Roman" w:hAnsi="Times New Roman"/>
          <w:sz w:val="24"/>
          <w:szCs w:val="24"/>
          <w:vertAlign w:val="superscript"/>
        </w:rPr>
        <w:t>3</w:t>
      </w:r>
      <w:r>
        <w:rPr>
          <w:rFonts w:ascii="Times New Roman" w:hAnsi="Times New Roman"/>
          <w:sz w:val="24"/>
          <w:szCs w:val="24"/>
          <w:vertAlign w:val="superscript"/>
        </w:rPr>
        <w:t>,4</w:t>
      </w:r>
      <w:r w:rsidR="001E2BA5">
        <w:rPr>
          <w:rFonts w:ascii="Times New Roman" w:hAnsi="Times New Roman"/>
          <w:sz w:val="24"/>
          <w:szCs w:val="24"/>
          <w:vertAlign w:val="superscript"/>
        </w:rPr>
        <w:t>,5</w:t>
      </w:r>
      <w:r>
        <w:rPr>
          <w:rFonts w:ascii="Times New Roman" w:hAnsi="Times New Roman"/>
          <w:sz w:val="24"/>
          <w:szCs w:val="24"/>
        </w:rPr>
        <w:t xml:space="preserve"> and Gregory P. Asner</w:t>
      </w:r>
      <w:r w:rsidR="00EC301D">
        <w:rPr>
          <w:rFonts w:ascii="Times New Roman" w:hAnsi="Times New Roman"/>
          <w:sz w:val="24"/>
          <w:szCs w:val="24"/>
          <w:vertAlign w:val="superscript"/>
        </w:rPr>
        <w:t>2</w:t>
      </w:r>
    </w:p>
    <w:p w14:paraId="761C5D4B" w14:textId="6307A347" w:rsidR="00421AD7" w:rsidRDefault="00EC301D">
      <w:pPr>
        <w:spacing w:after="0" w:line="480" w:lineRule="auto"/>
        <w:rPr>
          <w:rFonts w:ascii="Times New Roman" w:hAnsi="Times New Roman"/>
          <w:bCs/>
          <w:iCs/>
          <w:sz w:val="24"/>
          <w:szCs w:val="24"/>
        </w:rPr>
      </w:pPr>
      <w:r>
        <w:rPr>
          <w:rFonts w:ascii="Times New Roman" w:hAnsi="Times New Roman"/>
          <w:sz w:val="24"/>
          <w:szCs w:val="24"/>
          <w:vertAlign w:val="superscript"/>
          <w:lang w:val="en-GB"/>
        </w:rPr>
        <w:t>1</w:t>
      </w:r>
      <w:r>
        <w:rPr>
          <w:rFonts w:ascii="Times New Roman" w:hAnsi="Times New Roman"/>
          <w:sz w:val="24"/>
          <w:szCs w:val="24"/>
          <w:lang w:val="en-GB"/>
        </w:rPr>
        <w:t xml:space="preserve">Department of </w:t>
      </w:r>
      <w:r w:rsidRPr="001E2BA5">
        <w:rPr>
          <w:rFonts w:ascii="Times New Roman" w:hAnsi="Times New Roman"/>
          <w:sz w:val="24"/>
          <w:szCs w:val="24"/>
          <w:lang w:val="en-GB"/>
        </w:rPr>
        <w:t>Organismic</w:t>
      </w:r>
      <w:r>
        <w:rPr>
          <w:rFonts w:ascii="Times New Roman" w:hAnsi="Times New Roman"/>
          <w:sz w:val="24"/>
          <w:szCs w:val="24"/>
          <w:lang w:val="en-GB"/>
        </w:rPr>
        <w:t xml:space="preserve"> and Evolutionary Biology, Harvard University, Cambridge, Massachusetts, USA,</w:t>
      </w:r>
      <w:r>
        <w:rPr>
          <w:rFonts w:ascii="Times New Roman" w:hAnsi="Times New Roman"/>
          <w:sz w:val="24"/>
          <w:szCs w:val="24"/>
          <w:vertAlign w:val="superscript"/>
          <w:lang w:val="en-GB"/>
        </w:rPr>
        <w:t xml:space="preserve"> 2</w:t>
      </w:r>
      <w:r w:rsidR="00344831">
        <w:rPr>
          <w:rFonts w:ascii="Times New Roman" w:hAnsi="Times New Roman"/>
          <w:sz w:val="24"/>
          <w:szCs w:val="24"/>
          <w:lang w:val="en-GB"/>
        </w:rPr>
        <w:t>Center for Global Discovery and Conservation Science, Arizona State University, Tempe, Arizona, USA,</w:t>
      </w:r>
      <w:r w:rsidR="001E2BA5">
        <w:rPr>
          <w:rFonts w:ascii="Times New Roman" w:hAnsi="Times New Roman"/>
          <w:sz w:val="24"/>
          <w:szCs w:val="24"/>
          <w:lang w:val="en-GB"/>
        </w:rPr>
        <w:t xml:space="preserve"> </w:t>
      </w:r>
      <w:bookmarkStart w:id="0" w:name="aff-5"/>
      <w:bookmarkStart w:id="1" w:name="aff-6"/>
      <w:bookmarkEnd w:id="0"/>
      <w:bookmarkEnd w:id="1"/>
      <w:r w:rsidR="001E2BA5">
        <w:rPr>
          <w:rFonts w:ascii="Times New Roman" w:hAnsi="Times New Roman"/>
          <w:bCs/>
          <w:sz w:val="24"/>
          <w:szCs w:val="24"/>
          <w:vertAlign w:val="superscript"/>
        </w:rPr>
        <w:t>3</w:t>
      </w:r>
      <w:r w:rsidR="00344831">
        <w:rPr>
          <w:rFonts w:ascii="Times New Roman" w:hAnsi="Times New Roman"/>
          <w:bCs/>
          <w:iCs/>
          <w:sz w:val="24"/>
          <w:szCs w:val="24"/>
        </w:rPr>
        <w:t xml:space="preserve">School of Environmental Sciences, University of Liverpool, Liverpool, UK, </w:t>
      </w:r>
      <w:r w:rsidR="001E2BA5">
        <w:rPr>
          <w:rFonts w:ascii="Times New Roman" w:hAnsi="Times New Roman"/>
          <w:bCs/>
          <w:iCs/>
          <w:sz w:val="24"/>
          <w:szCs w:val="24"/>
          <w:vertAlign w:val="superscript"/>
        </w:rPr>
        <w:t>4</w:t>
      </w:r>
      <w:r w:rsidR="00344831">
        <w:rPr>
          <w:rFonts w:ascii="Times New Roman" w:hAnsi="Times New Roman"/>
          <w:bCs/>
          <w:iCs/>
          <w:sz w:val="24"/>
          <w:szCs w:val="24"/>
        </w:rPr>
        <w:t xml:space="preserve">School of Animal, Plant and Environmental Sciences, University of the Witwatersrand, Johannesburg, South Africa, </w:t>
      </w:r>
      <w:r w:rsidR="001E2BA5">
        <w:rPr>
          <w:rFonts w:ascii="Times New Roman" w:hAnsi="Times New Roman"/>
          <w:bCs/>
          <w:iCs/>
          <w:sz w:val="24"/>
          <w:szCs w:val="24"/>
          <w:vertAlign w:val="superscript"/>
        </w:rPr>
        <w:t>5</w:t>
      </w:r>
      <w:r w:rsidR="00344831">
        <w:rPr>
          <w:rFonts w:ascii="Times New Roman" w:hAnsi="Times New Roman"/>
          <w:bCs/>
          <w:iCs/>
          <w:sz w:val="24"/>
          <w:szCs w:val="24"/>
        </w:rPr>
        <w:t>Department of Zoology and Entomology, University of Pretoria, Pretoria, South Africa</w:t>
      </w:r>
      <w:r w:rsidR="00CB02BF">
        <w:rPr>
          <w:rFonts w:ascii="Times New Roman" w:hAnsi="Times New Roman"/>
          <w:bCs/>
          <w:iCs/>
          <w:sz w:val="24"/>
          <w:szCs w:val="24"/>
        </w:rPr>
        <w:t>.</w:t>
      </w:r>
    </w:p>
    <w:p w14:paraId="0D88D609" w14:textId="77777777" w:rsidR="00CB02BF" w:rsidRDefault="00CB02BF">
      <w:pPr>
        <w:spacing w:after="0" w:line="480" w:lineRule="auto"/>
        <w:rPr>
          <w:rFonts w:ascii="Times New Roman" w:hAnsi="Times New Roman"/>
          <w:sz w:val="24"/>
          <w:szCs w:val="24"/>
          <w:lang w:val="en-GB"/>
        </w:rPr>
      </w:pPr>
    </w:p>
    <w:p w14:paraId="72D8D6F0" w14:textId="5A033445" w:rsidR="00204E9F" w:rsidRDefault="00344831">
      <w:pPr>
        <w:spacing w:after="0" w:line="480" w:lineRule="auto"/>
        <w:rPr>
          <w:rFonts w:ascii="Times New Roman" w:hAnsi="Times New Roman"/>
          <w:sz w:val="24"/>
          <w:szCs w:val="24"/>
          <w:lang w:val="en-GB"/>
        </w:rPr>
      </w:pPr>
      <w:r>
        <w:rPr>
          <w:rFonts w:ascii="Times New Roman" w:hAnsi="Times New Roman"/>
          <w:b/>
          <w:sz w:val="24"/>
          <w:szCs w:val="24"/>
          <w:vertAlign w:val="superscript"/>
          <w:lang w:val="en-GB"/>
        </w:rPr>
        <w:t>*</w:t>
      </w:r>
      <w:r>
        <w:rPr>
          <w:rFonts w:ascii="Times New Roman" w:hAnsi="Times New Roman"/>
          <w:b/>
          <w:sz w:val="24"/>
          <w:szCs w:val="24"/>
          <w:lang w:val="en-GB"/>
        </w:rPr>
        <w:t>Corresponding author:</w:t>
      </w:r>
      <w:r>
        <w:rPr>
          <w:rFonts w:ascii="Times New Roman" w:hAnsi="Times New Roman"/>
          <w:sz w:val="24"/>
          <w:szCs w:val="24"/>
          <w:lang w:val="en-GB"/>
        </w:rPr>
        <w:t xml:space="preserve"> Andrew Davies – </w:t>
      </w:r>
      <w:r w:rsidR="001E2BA5">
        <w:rPr>
          <w:rFonts w:ascii="Times New Roman" w:hAnsi="Times New Roman"/>
          <w:sz w:val="24"/>
          <w:szCs w:val="24"/>
          <w:lang w:val="en-GB"/>
        </w:rPr>
        <w:t>Department of Organismic and Evolutionary Biology, Harvard University, 22 Divinity Avenue, Cambridge, MA, 02138,</w:t>
      </w:r>
      <w:r>
        <w:rPr>
          <w:rFonts w:ascii="Times New Roman" w:hAnsi="Times New Roman"/>
          <w:sz w:val="24"/>
          <w:szCs w:val="24"/>
          <w:lang w:val="en-GB"/>
        </w:rPr>
        <w:t xml:space="preserve"> USA. E-mail:</w:t>
      </w:r>
      <w:r w:rsidR="001E2BA5">
        <w:rPr>
          <w:rFonts w:ascii="Times New Roman" w:hAnsi="Times New Roman"/>
          <w:sz w:val="24"/>
          <w:szCs w:val="24"/>
          <w:lang w:val="en-GB"/>
        </w:rPr>
        <w:t xml:space="preserve"> </w:t>
      </w:r>
      <w:hyperlink r:id="rId8" w:history="1">
        <w:r w:rsidR="001E2BA5" w:rsidRPr="00403135">
          <w:rPr>
            <w:rStyle w:val="Hyperlink"/>
            <w:rFonts w:ascii="Times New Roman" w:hAnsi="Times New Roman"/>
            <w:sz w:val="24"/>
            <w:szCs w:val="24"/>
            <w:lang w:val="en-GB"/>
          </w:rPr>
          <w:t>andrew_davies@fas.harvard.edu</w:t>
        </w:r>
      </w:hyperlink>
      <w:r w:rsidR="001E2BA5">
        <w:rPr>
          <w:rFonts w:ascii="Times New Roman" w:hAnsi="Times New Roman"/>
          <w:sz w:val="24"/>
          <w:szCs w:val="24"/>
          <w:lang w:val="en-GB"/>
        </w:rPr>
        <w:t xml:space="preserve"> </w:t>
      </w:r>
    </w:p>
    <w:p w14:paraId="47F91402" w14:textId="4849D489" w:rsidR="00070187" w:rsidRDefault="00070187">
      <w:pPr>
        <w:spacing w:after="0" w:line="480" w:lineRule="auto"/>
        <w:rPr>
          <w:rFonts w:ascii="Times New Roman" w:hAnsi="Times New Roman"/>
          <w:sz w:val="24"/>
          <w:szCs w:val="24"/>
          <w:lang w:val="en-GB"/>
        </w:rPr>
      </w:pPr>
    </w:p>
    <w:p w14:paraId="6E9723F2" w14:textId="77777777" w:rsidR="00070187" w:rsidRDefault="00070187" w:rsidP="00070187">
      <w:pPr>
        <w:spacing w:after="0" w:line="480" w:lineRule="auto"/>
        <w:rPr>
          <w:rFonts w:ascii="Times New Roman" w:hAnsi="Times New Roman"/>
          <w:sz w:val="24"/>
          <w:szCs w:val="24"/>
          <w:lang w:val="en-GB"/>
        </w:rPr>
      </w:pPr>
      <w:r>
        <w:rPr>
          <w:rFonts w:ascii="Times New Roman" w:hAnsi="Times New Roman"/>
          <w:b/>
          <w:sz w:val="24"/>
          <w:szCs w:val="24"/>
          <w:lang w:val="en-GB"/>
        </w:rPr>
        <w:t xml:space="preserve">Running title: </w:t>
      </w:r>
      <w:r>
        <w:rPr>
          <w:rFonts w:ascii="Times New Roman" w:hAnsi="Times New Roman"/>
          <w:sz w:val="24"/>
          <w:szCs w:val="24"/>
          <w:lang w:val="en-GB"/>
        </w:rPr>
        <w:t>Termites resist human land-use change</w:t>
      </w:r>
    </w:p>
    <w:p w14:paraId="374AFEF0" w14:textId="77777777" w:rsidR="00070187" w:rsidRDefault="00070187" w:rsidP="00070187">
      <w:pPr>
        <w:spacing w:after="0" w:line="480" w:lineRule="auto"/>
        <w:rPr>
          <w:rFonts w:ascii="Times New Roman" w:hAnsi="Times New Roman"/>
          <w:sz w:val="24"/>
          <w:szCs w:val="24"/>
        </w:rPr>
      </w:pPr>
    </w:p>
    <w:p w14:paraId="536B757E" w14:textId="77777777" w:rsidR="00070187" w:rsidRDefault="00070187">
      <w:pPr>
        <w:spacing w:after="0" w:line="480" w:lineRule="auto"/>
        <w:rPr>
          <w:rFonts w:ascii="Times New Roman" w:hAnsi="Times New Roman"/>
          <w:sz w:val="24"/>
          <w:szCs w:val="24"/>
          <w:lang w:val="en-GB"/>
        </w:rPr>
      </w:pPr>
    </w:p>
    <w:p w14:paraId="47DAFFE3" w14:textId="6440EF99" w:rsidR="00070187" w:rsidRDefault="00070187">
      <w:pPr>
        <w:spacing w:after="0" w:line="480" w:lineRule="auto"/>
        <w:rPr>
          <w:rFonts w:ascii="Times New Roman" w:hAnsi="Times New Roman"/>
          <w:sz w:val="24"/>
          <w:szCs w:val="24"/>
          <w:lang w:val="en-GB"/>
        </w:rPr>
      </w:pPr>
    </w:p>
    <w:p w14:paraId="2A34B7B8" w14:textId="2960AA46" w:rsidR="00070187" w:rsidRDefault="00070187">
      <w:pPr>
        <w:spacing w:after="0" w:line="480" w:lineRule="auto"/>
        <w:rPr>
          <w:rFonts w:ascii="Times New Roman" w:hAnsi="Times New Roman"/>
          <w:sz w:val="24"/>
          <w:szCs w:val="24"/>
          <w:lang w:val="en-GB"/>
        </w:rPr>
      </w:pPr>
    </w:p>
    <w:p w14:paraId="7C70F7C6" w14:textId="52BE7F32" w:rsidR="00070187" w:rsidRDefault="00070187">
      <w:pPr>
        <w:spacing w:after="0" w:line="480" w:lineRule="auto"/>
        <w:rPr>
          <w:rFonts w:ascii="Times New Roman" w:hAnsi="Times New Roman"/>
          <w:sz w:val="24"/>
          <w:szCs w:val="24"/>
          <w:lang w:val="en-GB"/>
        </w:rPr>
      </w:pPr>
    </w:p>
    <w:p w14:paraId="7122790D" w14:textId="58AC1F6F" w:rsidR="00070187" w:rsidRDefault="00070187">
      <w:pPr>
        <w:spacing w:after="0" w:line="480" w:lineRule="auto"/>
        <w:rPr>
          <w:rFonts w:ascii="Times New Roman" w:hAnsi="Times New Roman"/>
          <w:sz w:val="24"/>
          <w:szCs w:val="24"/>
          <w:lang w:val="en-GB"/>
        </w:rPr>
      </w:pPr>
    </w:p>
    <w:p w14:paraId="62522ECC" w14:textId="77777777" w:rsidR="00070187" w:rsidRDefault="00070187">
      <w:pPr>
        <w:spacing w:after="0" w:line="480" w:lineRule="auto"/>
        <w:rPr>
          <w:rFonts w:ascii="Times New Roman" w:hAnsi="Times New Roman"/>
          <w:sz w:val="24"/>
          <w:szCs w:val="24"/>
          <w:lang w:val="en-GB"/>
        </w:rPr>
      </w:pPr>
    </w:p>
    <w:p w14:paraId="60C053BB" w14:textId="6EE5B2E6" w:rsidR="00C42E28" w:rsidRDefault="00C42E28">
      <w:pPr>
        <w:spacing w:after="0" w:line="480" w:lineRule="auto"/>
        <w:rPr>
          <w:rFonts w:ascii="Times New Roman" w:hAnsi="Times New Roman"/>
          <w:sz w:val="24"/>
          <w:szCs w:val="24"/>
          <w:lang w:val="en-GB"/>
        </w:rPr>
      </w:pPr>
      <w:r>
        <w:rPr>
          <w:rFonts w:ascii="Times New Roman" w:hAnsi="Times New Roman"/>
          <w:sz w:val="24"/>
          <w:szCs w:val="24"/>
          <w:lang w:val="en-GB"/>
        </w:rPr>
        <w:br w:type="page"/>
      </w:r>
    </w:p>
    <w:p w14:paraId="4F016D36" w14:textId="5E399C3C" w:rsidR="00421AD7" w:rsidRDefault="00344831">
      <w:pPr>
        <w:spacing w:after="0" w:line="480" w:lineRule="auto"/>
        <w:rPr>
          <w:rFonts w:ascii="Times New Roman" w:hAnsi="Times New Roman"/>
          <w:b/>
          <w:sz w:val="24"/>
          <w:szCs w:val="24"/>
          <w:lang w:val="en-GB"/>
        </w:rPr>
      </w:pPr>
      <w:r>
        <w:rPr>
          <w:rFonts w:ascii="Times New Roman" w:hAnsi="Times New Roman"/>
          <w:b/>
          <w:sz w:val="24"/>
          <w:szCs w:val="24"/>
          <w:lang w:val="en-GB"/>
        </w:rPr>
        <w:lastRenderedPageBreak/>
        <w:t>Abstract</w:t>
      </w:r>
    </w:p>
    <w:p w14:paraId="02940E7B" w14:textId="07BE8080" w:rsidR="00C23456" w:rsidRDefault="00344831">
      <w:pPr>
        <w:spacing w:after="0" w:line="480" w:lineRule="auto"/>
        <w:rPr>
          <w:rFonts w:ascii="Times New Roman" w:hAnsi="Times New Roman"/>
          <w:sz w:val="24"/>
          <w:szCs w:val="24"/>
        </w:rPr>
      </w:pPr>
      <w:r>
        <w:rPr>
          <w:rFonts w:ascii="Times New Roman" w:hAnsi="Times New Roman"/>
          <w:sz w:val="24"/>
          <w:szCs w:val="24"/>
        </w:rPr>
        <w:t xml:space="preserve">Humans pose a major threat to many species through land-use change in virtually every habitat. However, the extent of this threat is largely unknown for invertebrates due to challenges with investigating their distributions at large scales. </w:t>
      </w:r>
      <w:r w:rsidR="00831BF0">
        <w:rPr>
          <w:rFonts w:ascii="Times New Roman" w:hAnsi="Times New Roman"/>
          <w:sz w:val="24"/>
          <w:szCs w:val="24"/>
        </w:rPr>
        <w:t>This knowledge gap is particularly troublesome for soil macrofauna because of the critical roles many of these organisms perform as ecosystem engineers.</w:t>
      </w:r>
      <w:r w:rsidR="008362E7">
        <w:rPr>
          <w:rFonts w:ascii="Times New Roman" w:hAnsi="Times New Roman"/>
          <w:sz w:val="24"/>
          <w:szCs w:val="24"/>
        </w:rPr>
        <w:t xml:space="preserve"> </w:t>
      </w:r>
      <w:r w:rsidR="00831BF0">
        <w:rPr>
          <w:rFonts w:ascii="Times New Roman" w:hAnsi="Times New Roman"/>
          <w:sz w:val="24"/>
          <w:szCs w:val="24"/>
        </w:rPr>
        <w:t xml:space="preserve">We used a combination of high-resolution airborne Light Detection and Ranging and deep learning models to map the distribution of the ecologically important termite genus </w:t>
      </w:r>
      <w:r w:rsidR="00831BF0">
        <w:rPr>
          <w:rFonts w:ascii="Times New Roman" w:hAnsi="Times New Roman"/>
          <w:i/>
          <w:sz w:val="24"/>
          <w:szCs w:val="24"/>
        </w:rPr>
        <w:t>Macrotermes</w:t>
      </w:r>
      <w:r w:rsidR="00831BF0">
        <w:rPr>
          <w:rFonts w:ascii="Times New Roman" w:hAnsi="Times New Roman"/>
          <w:sz w:val="24"/>
          <w:szCs w:val="24"/>
        </w:rPr>
        <w:t xml:space="preserve"> across a South African savanna land-use gradient, quantifying the effects of land-use change on patterns of mound densities, heights and spatial patterning. </w:t>
      </w:r>
      <w:r>
        <w:rPr>
          <w:rFonts w:ascii="Times New Roman" w:hAnsi="Times New Roman"/>
          <w:sz w:val="24"/>
          <w:szCs w:val="24"/>
        </w:rPr>
        <w:t xml:space="preserve">Despite significant anthropogenic alteration to landscapes, termite mounds persisted and shared a number of similarities to mounds in untransformed areas. Mean mound height was not substantially reduced in transformed landscapes, and over-dispersion of mounds at localized scales was </w:t>
      </w:r>
      <w:r w:rsidR="00F2020F">
        <w:rPr>
          <w:rFonts w:ascii="Times New Roman" w:hAnsi="Times New Roman"/>
          <w:sz w:val="24"/>
          <w:szCs w:val="24"/>
        </w:rPr>
        <w:t>conserved</w:t>
      </w:r>
      <w:r>
        <w:rPr>
          <w:rFonts w:ascii="Times New Roman" w:hAnsi="Times New Roman"/>
          <w:sz w:val="24"/>
          <w:szCs w:val="24"/>
        </w:rPr>
        <w:t xml:space="preserve">. </w:t>
      </w:r>
      <w:r w:rsidR="00831BF0">
        <w:rPr>
          <w:rFonts w:ascii="Times New Roman" w:hAnsi="Times New Roman"/>
          <w:sz w:val="24"/>
          <w:szCs w:val="24"/>
        </w:rPr>
        <w:t>However, mound densities were partially reduced</w:t>
      </w:r>
      <w:r w:rsidR="007D4BDF">
        <w:rPr>
          <w:rFonts w:ascii="Times New Roman" w:hAnsi="Times New Roman"/>
          <w:sz w:val="24"/>
          <w:szCs w:val="24"/>
        </w:rPr>
        <w:t>,</w:t>
      </w:r>
      <w:r w:rsidR="00831BF0">
        <w:rPr>
          <w:rFonts w:ascii="Times New Roman" w:hAnsi="Times New Roman"/>
          <w:sz w:val="24"/>
          <w:szCs w:val="24"/>
        </w:rPr>
        <w:t xml:space="preserve"> and height distributions in transformed areas differed to those in protected areas.</w:t>
      </w:r>
      <w:r w:rsidR="008362E7">
        <w:rPr>
          <w:rFonts w:ascii="Times New Roman" w:hAnsi="Times New Roman"/>
          <w:sz w:val="24"/>
          <w:szCs w:val="24"/>
        </w:rPr>
        <w:t xml:space="preserve"> </w:t>
      </w:r>
      <w:r w:rsidR="00831BF0">
        <w:rPr>
          <w:rFonts w:ascii="Times New Roman" w:hAnsi="Times New Roman"/>
          <w:sz w:val="24"/>
          <w:szCs w:val="24"/>
        </w:rPr>
        <w:t>Our findings suggest that mound-building termites persist even in areas of relatively high human disturbance, but also highlight important differences in termite distributions that could lead to reductions in ecosystem services provided by termites in human</w:t>
      </w:r>
      <w:r w:rsidR="007D4BDF">
        <w:rPr>
          <w:rFonts w:ascii="Times New Roman" w:hAnsi="Times New Roman"/>
          <w:sz w:val="24"/>
          <w:szCs w:val="24"/>
        </w:rPr>
        <w:t>-</w:t>
      </w:r>
      <w:r w:rsidR="00831BF0">
        <w:rPr>
          <w:rFonts w:ascii="Times New Roman" w:hAnsi="Times New Roman"/>
          <w:sz w:val="24"/>
          <w:szCs w:val="24"/>
        </w:rPr>
        <w:t xml:space="preserve">modified landscapes. </w:t>
      </w:r>
      <w:r w:rsidR="007D4BDF">
        <w:rPr>
          <w:rFonts w:ascii="Times New Roman" w:hAnsi="Times New Roman"/>
          <w:sz w:val="24"/>
          <w:szCs w:val="24"/>
        </w:rPr>
        <w:t>The</w:t>
      </w:r>
      <w:r w:rsidR="00C23456">
        <w:rPr>
          <w:rFonts w:ascii="Times New Roman" w:hAnsi="Times New Roman"/>
          <w:sz w:val="24"/>
          <w:szCs w:val="24"/>
        </w:rPr>
        <w:t xml:space="preserve"> persistence of at least half of mounds in human-modified landscapes </w:t>
      </w:r>
      <w:r w:rsidR="006C070B">
        <w:rPr>
          <w:rFonts w:ascii="Times New Roman" w:hAnsi="Times New Roman"/>
          <w:sz w:val="24"/>
          <w:szCs w:val="24"/>
        </w:rPr>
        <w:t>could</w:t>
      </w:r>
      <w:r w:rsidR="0098596F">
        <w:rPr>
          <w:rFonts w:ascii="Times New Roman" w:hAnsi="Times New Roman"/>
          <w:sz w:val="24"/>
          <w:szCs w:val="24"/>
        </w:rPr>
        <w:t xml:space="preserve"> serve </w:t>
      </w:r>
      <w:r w:rsidR="00C23456">
        <w:rPr>
          <w:rFonts w:ascii="Times New Roman" w:hAnsi="Times New Roman"/>
          <w:sz w:val="24"/>
          <w:szCs w:val="24"/>
        </w:rPr>
        <w:t xml:space="preserve">as </w:t>
      </w:r>
      <w:r w:rsidR="00C23456" w:rsidRPr="00457E10">
        <w:rPr>
          <w:rFonts w:ascii="Times New Roman" w:hAnsi="Times New Roman"/>
          <w:sz w:val="24"/>
          <w:szCs w:val="24"/>
        </w:rPr>
        <w:t>starting</w:t>
      </w:r>
      <w:r w:rsidR="00C23456">
        <w:rPr>
          <w:rFonts w:ascii="Times New Roman" w:hAnsi="Times New Roman"/>
          <w:sz w:val="24"/>
          <w:szCs w:val="24"/>
        </w:rPr>
        <w:t xml:space="preserve"> </w:t>
      </w:r>
      <w:r w:rsidR="00C23456" w:rsidRPr="00457E10">
        <w:rPr>
          <w:rFonts w:ascii="Times New Roman" w:hAnsi="Times New Roman"/>
          <w:sz w:val="24"/>
          <w:szCs w:val="24"/>
        </w:rPr>
        <w:t>point</w:t>
      </w:r>
      <w:r w:rsidR="0098596F">
        <w:rPr>
          <w:rFonts w:ascii="Times New Roman" w:hAnsi="Times New Roman"/>
          <w:sz w:val="24"/>
          <w:szCs w:val="24"/>
        </w:rPr>
        <w:t>s</w:t>
      </w:r>
      <w:r w:rsidR="00C23456" w:rsidRPr="00457E10">
        <w:rPr>
          <w:rFonts w:ascii="Times New Roman" w:hAnsi="Times New Roman"/>
          <w:sz w:val="24"/>
          <w:szCs w:val="24"/>
        </w:rPr>
        <w:t xml:space="preserve"> for savanna</w:t>
      </w:r>
      <w:r w:rsidR="00C23456">
        <w:rPr>
          <w:rFonts w:ascii="Times New Roman" w:hAnsi="Times New Roman"/>
          <w:sz w:val="24"/>
          <w:szCs w:val="24"/>
        </w:rPr>
        <w:t xml:space="preserve"> </w:t>
      </w:r>
      <w:r w:rsidR="00C23456" w:rsidRPr="00457E10">
        <w:rPr>
          <w:rFonts w:ascii="Times New Roman" w:hAnsi="Times New Roman"/>
          <w:sz w:val="24"/>
          <w:szCs w:val="24"/>
        </w:rPr>
        <w:t>restoration</w:t>
      </w:r>
      <w:r w:rsidR="00C23456">
        <w:rPr>
          <w:rFonts w:ascii="Times New Roman" w:hAnsi="Times New Roman"/>
          <w:sz w:val="24"/>
          <w:szCs w:val="24"/>
        </w:rPr>
        <w:t>.</w:t>
      </w:r>
    </w:p>
    <w:p w14:paraId="54C25289" w14:textId="77777777" w:rsidR="00DB741D" w:rsidRDefault="00DB741D">
      <w:pPr>
        <w:spacing w:after="0" w:line="480" w:lineRule="auto"/>
        <w:rPr>
          <w:rFonts w:ascii="Times New Roman" w:hAnsi="Times New Roman"/>
          <w:sz w:val="24"/>
          <w:szCs w:val="24"/>
        </w:rPr>
      </w:pPr>
    </w:p>
    <w:p w14:paraId="63DCE109" w14:textId="79A1747D" w:rsidR="00CB02BF" w:rsidRDefault="00CB02BF">
      <w:pPr>
        <w:spacing w:after="0" w:line="480" w:lineRule="auto"/>
        <w:rPr>
          <w:rFonts w:ascii="Times New Roman" w:hAnsi="Times New Roman"/>
          <w:sz w:val="24"/>
          <w:szCs w:val="24"/>
        </w:rPr>
      </w:pPr>
      <w:proofErr w:type="gramStart"/>
      <w:r>
        <w:rPr>
          <w:rFonts w:ascii="Times New Roman" w:hAnsi="Times New Roman"/>
          <w:b/>
          <w:sz w:val="24"/>
          <w:szCs w:val="24"/>
        </w:rPr>
        <w:t>Key-words</w:t>
      </w:r>
      <w:proofErr w:type="gramEnd"/>
      <w:r>
        <w:rPr>
          <w:rFonts w:ascii="Times New Roman" w:hAnsi="Times New Roman"/>
          <w:b/>
          <w:sz w:val="24"/>
          <w:szCs w:val="24"/>
        </w:rPr>
        <w:t xml:space="preserve">: </w:t>
      </w:r>
      <w:r>
        <w:rPr>
          <w:rFonts w:ascii="Times New Roman" w:hAnsi="Times New Roman"/>
          <w:sz w:val="24"/>
          <w:szCs w:val="24"/>
        </w:rPr>
        <w:t>convolutional neural networks, deep learning,</w:t>
      </w:r>
      <w:r>
        <w:rPr>
          <w:rFonts w:ascii="Times New Roman" w:hAnsi="Times New Roman"/>
          <w:i/>
          <w:sz w:val="24"/>
          <w:szCs w:val="24"/>
        </w:rPr>
        <w:t xml:space="preserve"> </w:t>
      </w:r>
      <w:r>
        <w:rPr>
          <w:rFonts w:ascii="Times New Roman" w:hAnsi="Times New Roman"/>
          <w:sz w:val="24"/>
          <w:szCs w:val="24"/>
        </w:rPr>
        <w:t>LiDAR,</w:t>
      </w:r>
      <w:r>
        <w:rPr>
          <w:rFonts w:ascii="Times New Roman" w:hAnsi="Times New Roman"/>
          <w:i/>
          <w:sz w:val="24"/>
          <w:szCs w:val="24"/>
        </w:rPr>
        <w:t xml:space="preserve"> Macrotermes</w:t>
      </w:r>
      <w:r>
        <w:rPr>
          <w:rFonts w:ascii="Times New Roman" w:hAnsi="Times New Roman"/>
          <w:sz w:val="24"/>
          <w:szCs w:val="24"/>
        </w:rPr>
        <w:t>, savanna, South Africa, termite mounds</w:t>
      </w:r>
    </w:p>
    <w:p w14:paraId="5F7C1726" w14:textId="77777777" w:rsidR="00421AD7" w:rsidRDefault="00421AD7">
      <w:pPr>
        <w:spacing w:after="0" w:line="480" w:lineRule="auto"/>
        <w:rPr>
          <w:rFonts w:ascii="Times New Roman" w:hAnsi="Times New Roman"/>
          <w:sz w:val="24"/>
          <w:szCs w:val="24"/>
        </w:rPr>
      </w:pPr>
    </w:p>
    <w:p w14:paraId="697AD1AD" w14:textId="77777777" w:rsidR="007D4BDF" w:rsidRDefault="007D4BDF">
      <w:pPr>
        <w:spacing w:after="0" w:line="480" w:lineRule="auto"/>
        <w:rPr>
          <w:rFonts w:ascii="Times New Roman" w:hAnsi="Times New Roman"/>
          <w:sz w:val="24"/>
          <w:szCs w:val="24"/>
        </w:rPr>
      </w:pPr>
    </w:p>
    <w:p w14:paraId="3690ED9D" w14:textId="77777777" w:rsidR="00421AD7" w:rsidRDefault="00344831">
      <w:pPr>
        <w:spacing w:after="0" w:line="480" w:lineRule="auto"/>
        <w:rPr>
          <w:rFonts w:ascii="Times New Roman" w:hAnsi="Times New Roman"/>
          <w:b/>
          <w:sz w:val="24"/>
          <w:szCs w:val="24"/>
        </w:rPr>
      </w:pPr>
      <w:r>
        <w:rPr>
          <w:rFonts w:ascii="Times New Roman" w:hAnsi="Times New Roman"/>
          <w:b/>
          <w:sz w:val="24"/>
          <w:szCs w:val="24"/>
        </w:rPr>
        <w:lastRenderedPageBreak/>
        <w:t>Introduction</w:t>
      </w:r>
    </w:p>
    <w:p w14:paraId="70F86D95" w14:textId="0C250085"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Unabated human land-use change continues </w:t>
      </w:r>
      <w:r w:rsidR="007D4BDF">
        <w:rPr>
          <w:rFonts w:ascii="Times New Roman" w:hAnsi="Times New Roman"/>
          <w:sz w:val="24"/>
          <w:szCs w:val="24"/>
        </w:rPr>
        <w:t>worldwide</w:t>
      </w:r>
      <w:r>
        <w:rPr>
          <w:rFonts w:ascii="Times New Roman" w:hAnsi="Times New Roman"/>
          <w:sz w:val="24"/>
          <w:szCs w:val="24"/>
        </w:rPr>
        <w:t xml:space="preserve">, leading to severe biodiversity loss and reductions in ecosystem function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{"citationItems":[{"id":"ITEM-1","itemData":{"DOI":"10.1126/science.1111772","abstract":"Land use has generally been considered a local environmental issue, but it is becoming a force of global importance. Worldwide changes to forests, farmlands, waterways, and air are being driven by the need to provide food, fiber, water, and shelter to more than six billion people. Global croplands, pastures, plantations, and urban areas have expanded in recent decades, accompanied by large increases in energy, water, and fertilizer consumption, along with considerable losses of biodiversity. Such changes in land use have enabled humans to appropriate an increasing share of the planet&amp;#039;s resources, but they also potentially undermine the capacity of ecosystems to sustain food production, maintain freshwater and forest resources, regulate climate and air quality, and ameliorate infectious diseases. We face the challenge of managing trade-offs between immediate human needs and maintaining the capacity of the biosphere to provide goods and services in the long term.","author":[{"dropping-particle":"","family":"Foley","given":"Jonathan A","non-dropping-particle":"","parse-names":false,"suffix":""},{"dropping-particle":"","family":"DeFries","given":"Ruth","non-dropping-particle":"","parse-names":false,"suffix":""},{"dropping-particle":"","family":"Asner","given":"Gregory P","non-dropping-particle":"","parse-names":false,"suffix":""},{"dropping-particle":"","family":"Barford","given":"Carol","non-dropping-particle":"","parse-names":false,"suffix":""},{"dropping-particle":"","family":"Bonan","given":"Gordon","non-dropping-particle":"","parse-names":false,"suffix":""},{"dropping-particle":"","family":"Carpenter","given":"Stephen R","non-dropping-particle":"","parse-names":false,"suffix":""},{"dropping-particle":"","family":"Chapin","given":"F Stuart","non-dropping-particle":"","parse-names":false,"suffix":""},{"dropping-particle":"","family":"Coe","given":"Michael T","non-dropping-particle":"","parse-names":false,"suffix":""},{"dropping-particle":"","family":"Daily","given":"Gretchen C","non-dropping-particle":"","parse-names":false,"suffix":""},{"dropping-particle":"","family":"Gibbs","given":"Holly K","non-dropping-particle":"","parse-names":false,"suffix":""},{"dropping-particle":"","family":"Helkowski","given":"Joseph H","non-dropping-particle":"","parse-names":false,"suffix":""},{"dropping-particle":"","family":"Holloway","given":"Tracey","non-dropping-particle":"","parse-names":false,"suffix":""},{"dropping-particle":"","family":"Howard","given":"Erica A","non-dropping-particle":"","parse-names":false,"suffix":""},{"dropping-particle":"","family":"Kucharik","given":"Christopher J","non-dropping-particle":"","parse-names":false,"suffix":""},{"dropping-particle":"","family":"Monfreda","given":"Chad","non-dropping-particle":"","parse-names":false,"suffix":""},{"dropping-particle":"","family":"Patz","given":"Jonathan A","non-dropping-particle":"","parse-names":false,"suffix":""},{"dropping-particle":"","family":"Prentice","given":"I Colin","non-dropping-particle":"","parse-names":false,"suffix":""},{"dropping-particle":"","family":"Ramankutty","given":"Navin","non-dropping-particle":"","parse-names":false,"suffix":""},{"dropping-particle":"","family":"Snyder","given":"Peter K","non-dropping-particle":"","parse-names":false,"suffix":""}],"container-title":"Science","id":"ITEM-1","issue":"5734","issued":{"date-parts":[["2005","7","22"]]},"page":"570 LP  - 574","title":"Global Consequences of Land Use","type":"article-journal","volume":"309"},"uris":["http://www.mendeley.com/documents/?uuid=a89df7d4-5a99-4b3d-aebe-b1bc2f85e411"]},{"id":"ITEM-2","itemData":{"author":[{"dropping-particle":"","family":"Newbold","given":"Tim","non-dropping-particle":"","parse-names":false,"suffix":""},{"dropping-particle":"","family":"Hudson","given":"Lawrence N","non-dropping-particle":"","parse-names":false,"suffix":""},{"dropping-particle":"","family":"Hill","given":"Samantha L L","non-dropping-particle":"","parse-names":false,"suffix":""},{"dropping-particle":"","family":"Contu","given":"Sara","non-dropping-particle":"","parse-names":false,"suffix":""},{"dropping-particle":"","family":"Lysenko","given":"Igor","non-dropping-particle":"","parse-names":false,"suffix":""},{"dropping-particle":"","family":"Senior","given":"Rebecca A","non-dropping-particle":"","parse-names":false,"suffix":""},{"dropping-particle":"","family":"Börger","given":"Luca","non-dropping-particle":"","parse-names":false,"suffix":""},{"dropping-particle":"","family":"Bennett","given":"Dominic J","non-dropping-particle":"","parse-names":false,"suffix":""},{"dropping-particle":"","family":"Choimes","given":"Argyrios","non-dropping-particle":"","parse-names":false,"suffix":""},{"dropping-particle":"","family":"Collen","given":"Ben","non-dropping-particle":"","parse-names":false,"suffix":""},{"dropping-particle":"","family":"Day","given":"Julie","non-dropping-particle":"","parse-names":false,"suffix":""},{"dropping-particle":"","family":"Palma","given":"Adriana","non-dropping-particle":"De","parse-names":false,"suffix":""},{"dropping-particle":"","family":"Díaz","given":"Sandra","non-dropping-particle":"","parse-names":false,"suffix":""},{"dropping-particle":"","family":"Echeverria-Londoño","given":"Susy","non-dropping-particle":"","parse-names":false,"suffix":""},{"dropping-particle":"","family":"Edgar","given":"Melanie J","non-dropping-particle":"","parse-names":false,"suffix":""},{"dropping-particle":"","family":"Feldman","given":"Anat","non-dropping-particle":"","parse-names":false,"suffix":""},{"dropping-particle":"","family":"Garon","given":"Morgan","non-dropping-particle":"","parse-names":false,"suffix":""},{"dropping-particle":"","family":"Harrison","given":"Michelle L K","non-dropping-particle":"","parse-names":false,"suffix":""},{"dropping-particle":"","family":"Alhusseini","given":"Tamera","non-dropping-particle":"","parse-names":false,"suffix":""},{"dropping-particle":"","family":"Ingram","given":"Daniel J","non-dropping-particle":"","parse-names":false,"suffix":""},{"dropping-particle":"","family":"Itescu","given":"Yuval","non-dropping-particle":"","parse-names":false,"suffix":""},{"dropping-particle":"","family":"Kattge","given":"Jens","non-dropping-particle":"","parse-names":false,"suffix":""},{"dropping-particle":"","family":"Kemp","given":"Victoria","non-dropping-particle":"","parse-names":false,"suffix":""},{"dropping-particle":"","family":"Kirkpatrick","given":"Lucinda","non-dropping-particle":"","parse-names":false,"suffix":""},{"dropping-particle":"","family":"Kleyer","given":"Michael","non-dropping-particle":"","parse-names":false,"suffix":""},{"dropping-particle":"","family":"Correia","given":"David Laginha Pinto","non-dropping-particle":"","parse-names":false,"suffix":""},{"dropping-particle":"","family":"Martin","given":"Callum D","non-dropping-particle":"","parse-names":false,"suffix":""},{"dropping-particle":"","family":"Meiri","given":"Shai","non-dropping-particle":"","parse-names":false,"suffix":""},{"dropping-particle":"","family":"Novosolov","given":"Maria","non-dropping-particle":"","parse-names":false,"suffix":""},{"dropping-particle":"","family":"Pan","given":"Yuan","non-dropping-particle":"","parse-names":false,"suffix":""},{"dropping-particle":"","family":"Phillips","given":"Helen R P","non-dropping-particle":"","parse-names":false,"suffix":""},{"dropping-particle":"","family":"Purves","given":"Drew W","non-dropping-particle":"","parse-names":false,"suffix":""},{"dropping-particle":"","family":"Robinson","given":"Alexandra","non-dropping-particle":"","parse-names":false,"suffix":""},{"dropping-particle":"","family":"Simpson","given":"Jake","non-dropping-particle":"","parse-names":false,"suffix":""},{"dropping-particle":"","family":"Tuck","given":"Sean L","non-dropping-particle":"","parse-names":false,"suffix":""},{"dropping-particle":"","family":"Weiher","given":"Evan","non-dropping-particle":"","parse-names":false,"suffix":""},{"dropping-particle":"","family":"White","given":"Hannah J","non-dropping-particle":"","parse-names":false,"suffix":""},{"dropping-particle":"","family":"Ewers","given":"Robert M","non-dropping-particle":"","parse-names":false,"suffix":""},{"dropping-particle":"","family":"Mace","given":"Georgina M","non-dropping-particle":"","parse-names":false,"suffix":""},{"dropping-particle":"","family":"Scharlemann","given":"Jörn P W","non-dropping-particle":"","parse-names":false,"suffix":""},{"dropping-particle":"","family":"Purvis","given":"Andy","non-dropping-particle":"","parse-names":false,"suffix":""}],"container-title":"Nature","id":"ITEM-2","issued":{"date-parts":[["2015","4","1"]]},"page":"45","publisher":"Nature Publishing Group, a division of Macmillan Publishers Limited. All Rights Reserved.","title":"Global effects of land use on local terrestrial biodiversity","type":"article-journal","volume":"520"},"uris":["http://www.mendeley.com/documents/?uuid=699e17c0-ee63-427b-9f49-ce8404bdd425"]},{"id":"ITEM-3","itemData":{"DOI":"10.1111/j.1461-0248.2008.01255.x","ISSN":"1461-023X","abstract":"Abstract Land use intensification can greatly reduce species richness and ecosystem functioning. However, species richness determines ecosystem functioning through the diversity and values of traits of species present. Here, we analyze changes in species richness and functional diversity (FD) at varying agricultural land use intensity levels. We test hypotheses of FD responses to land use intensification in plant, bird, and mammal communities using trait data compiled for 1600+?species. To isolate changes in FD from changes in species richness we compare the FD of communities to the null expectations of FD values. In over one-quarter of the bird and mammal communities impacted by agriculture, declines in FD were steeper than predicted by species number. In plant communities, changes in FD were indistinguishable from changes in species richness. Land use intensification can reduce the functional diversity of animal communities beyond changes in species richness alone, potentially imperiling provisioning of ecosystem services.","author":[{"dropping-particle":"","family":"Flynn","given":"Dan F B","non-dropping-particle":"","parse-names":false,"suffix":""},{"dropping-particle":"","family":"Gogol-Prokurat","given":"Melanie","non-dropping-particle":"","parse-names":false,"suffix":""},{"dropping-particle":"","family":"Nogeire","given":"Theresa","non-dropping-particle":"","parse-names":false,"suffix":""},{"dropping-particle":"","family":"Molinari","given":"Nicole","non-dropping-particle":"","parse-names":false,"suffix":""},{"dropping-particle":"","family":"Richers","given":"Bárbara Trautman","non-dropping-particle":"","parse-names":false,"suffix":""},{"dropping-particle":"","family":"Lin","given":"Brenda B","non-dropping-particle":"","parse-names":false,"suffix":""},{"dropping-particle":"","family":"Simpson","given":"Nicholas","non-dropping-particle":"","parse-names":false,"suffix":""},{"dropping-particle":"","family":"Mayfield","given":"Margaret M","non-dropping-particle":"","parse-names":false,"suffix":""},{"dropping-particle":"","family":"DeClerck","given":"Fabrice","non-dropping-particle":"","parse-names":false,"suffix":""}],"container-title":"Ecology Letters","id":"ITEM-3","issue":"1","issued":{"date-parts":[["2009","1","1"]]},"note":"doi: 10.1111/j.1461-0248.2008.01255.x","page":"22-33","publisher":"John Wiley &amp; Sons, Ltd (10.1111)","title":"Loss of functional diversity under land use intensification across multiple taxa","type":"article-journal","volume":"12"},"uris":["http://www.mendeley.com/documents/?uuid=c1808490-3e77-4fc0-a40d-1699c945d088"]}],"mendeley":{"formattedCitation":"(Foley &lt;i&gt;et al&lt;/i&gt; 2005, Newbold &lt;i&gt;et al&lt;/i&gt; 2015, Flynn &lt;i&gt;et al&lt;/i&gt; 2009)","plainTextFormattedCitation":"(Foley et al 2005, Newbold et al 2015, Flynn et al 2009)","previouslyFormattedCitation":"(Foley &lt;i&gt;et al&lt;/i&gt; 2005, Newbold &lt;i&gt;et al&lt;/i&gt; 2015, Flynn &lt;i&gt;et al&lt;/i&gt; 2009)"},"properties":{"noteIndex":0},"schema":"https://github.com/citation-style-language/schema/raw/master/csl-citation.json"}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(Foley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2005, Newbold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2015, Flynn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2009)</w:t>
      </w:r>
      <w:r>
        <w:rPr>
          <w:rFonts w:ascii="Times New Roman" w:hAnsi="Times New Roman"/>
          <w:sz w:val="24"/>
          <w:szCs w:val="24"/>
        </w:rPr>
        <w:fldChar w:fldCharType="end"/>
      </w:r>
      <w:r>
        <w:rPr>
          <w:rFonts w:ascii="Times New Roman" w:hAnsi="Times New Roman"/>
          <w:sz w:val="24"/>
          <w:szCs w:val="24"/>
        </w:rPr>
        <w:t xml:space="preserve">. These losses increase ecosystem vulnerability and </w:t>
      </w:r>
      <w:r w:rsidR="007D4BDF">
        <w:rPr>
          <w:rFonts w:ascii="Times New Roman" w:hAnsi="Times New Roman"/>
          <w:sz w:val="24"/>
          <w:szCs w:val="24"/>
        </w:rPr>
        <w:t>jeopardize ecosystem</w:t>
      </w:r>
      <w:r>
        <w:rPr>
          <w:rFonts w:ascii="Times New Roman" w:hAnsi="Times New Roman"/>
          <w:sz w:val="24"/>
          <w:szCs w:val="24"/>
        </w:rPr>
        <w:t xml:space="preserve"> services and human livelihoods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{"citationItems":[{"id":"ITEM-1","itemData":{"author":[{"dropping-particle":"","family":"Chapin III","given":"F Stuart","non-dropping-particle":"","parse-names":false,"suffix":""},{"dropping-particle":"","family":"Zavaleta","given":"Erika S","non-dropping-particle":"","parse-names":false,"suffix":""},{"dropping-particle":"","family":"Eviner","given":"Valerie T","non-dropping-particle":"","parse-names":false,"suffix":""},{"dropping-particle":"","family":"Naylor","given":"Rosamond L","non-dropping-particle":"","parse-names":false,"suffix":""},{"dropping-particle":"","family":"Vitousek","given":"Peter M","non-dropping-particle":"","parse-names":false,"suffix":""},{"dropping-particle":"","family":"Reynolds","given":"Heather L","non-dropping-particle":"","parse-names":false,"suffix":""},{"dropping-particle":"","family":"Hooper","given":"David U","non-dropping-particle":"","parse-names":false,"suffix":""},{"dropping-particle":"","family":"Lavorel","given":"Sandra","non-dropping-particle":"","parse-names":false,"suffix":""},{"dropping-particle":"","family":"Sala","given":"Osvaldo E","non-dropping-particle":"","parse-names":false,"suffix":""},{"dropping-particle":"","family":"Hobbie","given":"Sarah E","non-dropping-particle":"","parse-names":false,"suffix":""},{"dropping-particle":"","family":"Mack","given":"Michelle C","non-dropping-particle":"","parse-names":false,"suffix":""},{"dropping-particle":"","family":"Díaz","given":"Sandra","non-dropping-particle":"","parse-names":false,"suffix":""}],"container-title":"Nature","id":"ITEM-1","issued":{"date-parts":[["2000","5","11"]]},"page":"234","publisher":"Macmillan Magazines Ltd.","title":"Consequences of changing biodiversity","type":"article-journal","volume":"405"},"uris":["http://www.mendeley.com/documents/?uuid=f77a7e53-160d-4dfa-8096-32f415cb85c8"]},{"id":"ITEM-2","itemData":{"DOI":"10.1016/j.tree.2010.01.007","ISBN":"0169-5347","ISSN":"01695347","PMID":"20188434","abstract":"Pollinators are a key component of global biodiversity, providing vital ecosystem services to crops and wild plants. There is clear evidence of recent declines in both wild and domesticated pollinators, and parallel declines in the plants that rely upon them. Here we describe the nature and extent of reported declines, and review the potential drivers of pollinator loss, including habitat loss and fragmentation, agrochemicals, pathogens, alien species, climate change and the interactions between them. Pollinator declines can result in loss of pollination services which have important negative ecological and economic impacts that could significantly affect the maintenance of wild plant diversity, wider ecosystem stability, crop production, food security and human welfare. © 2010 Elsevier Ltd.","author":[{"dropping-particle":"","family":"Potts","given":"Simon G.","non-dropping-particle":"","parse-names":false,"suffix":""},{"dropping-particle":"","family":"Biesmeijer","given":"Jacobus C.","non-dropping-particle":"","parse-names":false,"suffix":""},{"dropping-particle":"","family":"Kremen","given":"Claire","non-dropping-particle":"","parse-names":false,"suffix":""},{"dropping-particle":"","family":"Neumann","given":"Peter","non-dropping-particle":"","parse-names":false,"suffix":""},{"dropping-particle":"","family":"Schweiger","given":"Oliver","non-dropping-particle":"","parse-names":false,"suffix":""},{"dropping-particle":"","family":"Kunin","given":"William E.","non-dropping-particle":"","parse-names":false,"suffix":""}],"container-title":"Trends in Ecology and Evolution","id":"ITEM-2","issue":"6","issued":{"date-parts":[["2010","6","1"]]},"page":"345-353","publisher":"Elsevier Current Trends","title":"Global pollinator declines: Trends, impacts and drivers","type":"article","volume":"25"},"uris":["http://www.mendeley.com/documents/?uuid=ecee853d-6784-3d63-b57b-1205bcebabd5"]},{"id":"ITEM-3","itemData":{"DOI":"10.1038/nature11148","ISSN":"0028-0836","abstract":"Two decades ago the first Earth Summit raised the question of how biological diversity loss alters ecosystem functioning and affects humanity; this Review looks at the progress made towards answering this question.","author":[{"dropping-particle":"","family":"Cardinale","given":"Bradley J.","non-dropping-particle":"","parse-names":false,"suffix":""},{"dropping-particle":"","family":"Duffy","given":"J. Emmett","non-dropping-particle":"","parse-names":false,"suffix":""},{"dropping-particle":"","family":"Gonzalez","given":"Andrew","non-dropping-particle":"","parse-names":false,"suffix":""},{"dropping-particle":"","family":"Hooper","given":"David U.","non-dropping-particle":"","parse-names":false,"suffix":""},{"dropping-particle":"","family":"Perrings","given":"Charles","non-dropping-particle":"","parse-names":false,"suffix":""},{"dropping-particle":"","family":"Venail","given":"Patrick","non-dropping-particle":"","parse-names":false,"suffix":""},{"dropping-particle":"","family":"Narwani","given":"Anita","non-dropping-particle":"","parse-names":false,"suffix":""},{"dropping-particle":"","family":"Mace","given":"Georgina M.","non-dropping-particle":"","parse-names":false,"suffix":""},{"dropping-particle":"","family":"Tilman","given":"David","non-dropping-particle":"","parse-names":false,"suffix":""},{"dropping-particle":"","family":"Wardle","given":"David A.","non-dropping-particle":"","parse-names":false,"suffix":""},{"dropping-particle":"","family":"Kinzig","given":"Ann P.","non-dropping-particle":"","parse-names":false,"suffix":""},{"dropping-particle":"","family":"Daily","given":"Gretchen C.","non-dropping-particle":"","parse-names":false,"suffix":""},{"dropping-particle":"","family":"Loreau","given":"Michel","non-dropping-particle":"","parse-names":false,"suffix":""},{"dropping-particle":"","family":"Grace","given":"James B.","non-dropping-particle":"","parse-names":false,"suffix":""},{"dropping-particle":"","family":"Larigauderie","given":"Anne","non-dropping-particle":"","parse-names":false,"suffix":""},{"dropping-particle":"","family":"Srivastava","given":"Diane S.","non-dropping-particle":"","parse-names":false,"suffix":""},{"dropping-particle":"","family":"Naeem","given":"Shahid","non-dropping-particle":"","parse-names":false,"suffix":""}],"container-title":"Nature","id":"ITEM-3","issue":"7401","issued":{"date-parts":[["2012","6","7"]]},"page":"59-67","publisher":"Nature Publishing Group","title":"Biodiversity loss and its impact on humanity","type":"article-journal","volume":"486"},"uris":["http://www.mendeley.com/documents/?uuid=53f90aea-035b-3300-aa54-e3a257ba54fd"]}],"mendeley":{"formattedCitation":"(Chapin III &lt;i&gt;et al&lt;/i&gt; 2000, Potts &lt;i&gt;et al&lt;/i&gt; 2010, Cardinale &lt;i&gt;et al&lt;/i&gt; 2012)","plainTextFormattedCitation":"(Chapin III et al 2000, Potts et al 2010, Cardinale et al 2012)","previouslyFormattedCitation":"(Chapin III &lt;i&gt;et al&lt;/i&gt; 2000, Potts &lt;i&gt;et al&lt;/i&gt; 2010, Cardinale &lt;i&gt;et al&lt;/i&gt; 2012)"},"properties":{"noteIndex":0},"schema":"https://github.com/citation-style-language/schema/raw/master/csl-citation.json"}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(Chapin III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2000, Potts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 Cardinale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2012)</w:t>
      </w:r>
      <w:r>
        <w:rPr>
          <w:rFonts w:ascii="Times New Roman" w:hAnsi="Times New Roman"/>
          <w:sz w:val="24"/>
          <w:szCs w:val="24"/>
        </w:rPr>
        <w:fldChar w:fldCharType="end"/>
      </w:r>
      <w:r>
        <w:rPr>
          <w:rFonts w:ascii="Times New Roman" w:hAnsi="Times New Roman"/>
          <w:sz w:val="24"/>
          <w:szCs w:val="24"/>
        </w:rPr>
        <w:t xml:space="preserve">. However, measuring changes in ecosystem function is challenging </w:t>
      </w:r>
      <w:r w:rsidR="007D4BDF">
        <w:rPr>
          <w:rFonts w:ascii="Times New Roman" w:hAnsi="Times New Roman"/>
          <w:sz w:val="24"/>
          <w:szCs w:val="24"/>
        </w:rPr>
        <w:t xml:space="preserve">at </w:t>
      </w:r>
      <w:r>
        <w:rPr>
          <w:rFonts w:ascii="Times New Roman" w:hAnsi="Times New Roman"/>
          <w:sz w:val="24"/>
          <w:szCs w:val="24"/>
        </w:rPr>
        <w:t xml:space="preserve">large scales because biodiversity-ecosystem function relationships are complex and often result from intra- and/or inter-species interactions that vary across landscapes. Moreover, alterations to ecosystem function </w:t>
      </w:r>
      <w:r w:rsidR="007D4BDF">
        <w:rPr>
          <w:rFonts w:ascii="Times New Roman" w:hAnsi="Times New Roman"/>
          <w:sz w:val="24"/>
          <w:szCs w:val="24"/>
        </w:rPr>
        <w:t>resulting from</w:t>
      </w:r>
      <w:r>
        <w:rPr>
          <w:rFonts w:ascii="Times New Roman" w:hAnsi="Times New Roman"/>
          <w:sz w:val="24"/>
          <w:szCs w:val="24"/>
        </w:rPr>
        <w:t xml:space="preserve"> species loss can take years to manifest, exceeding the lifespan of most </w:t>
      </w:r>
      <w:r w:rsidR="007D4BDF">
        <w:rPr>
          <w:rFonts w:ascii="Times New Roman" w:hAnsi="Times New Roman"/>
          <w:sz w:val="24"/>
          <w:szCs w:val="24"/>
        </w:rPr>
        <w:t xml:space="preserve">studies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{"citationItems":[{"id":"ITEM-1","itemData":{"DOI":"10.1146/annurev-ento-031616-035413","ISSN":"0066-4170","abstract":"Large-scale regular vegetation patterns are common in nature, but their causes are disputed. Whereas recent theory focuses on scale-dependent feedbacks as a potentially universal mechanism, earlier studies suggest that many regular spatial patterns result from territorial interference competition between colonies of social-insect ecosystem engineers, leading to hexagonally overdispersed nest sites and associated vegetation. Evidence for this latter mechanism is scattered throughout decades of disparate literature and lacks a unified conceptual framework, fueling skepticism about its generality in debates over the origins of patterned landscapes. We review these mechanisms and debates, finding evidence that spotted and gapped vegetation patterns generated by ants, termites, and other subterranean animals are globally widespread, locally important for ecosystem functioning, and consistent with models of intraspecific territoriality. Because these and other mechanisms of regular-pattern formation are not mut...","author":[{"dropping-particle":"","family":"Pringle","given":"Robert M.","non-dropping-particle":"","parse-names":false,"suffix":""},{"dropping-particle":"","family":"Tarnita","given":"Corina E.","non-dropping-particle":"","parse-names":false,"suffix":""}],"container-title":"Annual Review of Entomology","id":"ITEM-1","issue":"1","issued":{"date-parts":[["2017","1","31"]]},"page":"359-377","publisher":"Annual Reviews","title":"Spatial Self-Organization of Ecosystems: Integrating Multiple Mechanisms of Regular-Pattern Formation","type":"article-journal","volume":"62"},"uris":["http://www.mendeley.com/documents/?uuid=7a43966e-8adf-4e7d-96cf-a87bf9dfc51f"]},{"id":"ITEM-2","itemData":{"DOI":"10.1111/nph.14829","ISSN":"0028646X","author":[{"dropping-particle":"","family":"Staver","given":"A. Carla","non-dropping-particle":"","parse-names":false,"suffix":""}],"container-title":"New Phytologist","id":"ITEM-2","issue":"1","issued":{"date-parts":[["2018","7","1"]]},"page":"52-57","publisher":"Wiley/Blackwell (10.1111)","title":"Prediction and scale in savanna ecosystems","type":"article-journal","volume":"219"},"uris":["http://www.mendeley.com/documents/?uuid=7439b056-1fa5-3cd9-a9cb-0d6295de6085"]}],"mendeley":{"formattedCitation":"(Pringle and Tarnita 2017, Staver 2018)","plainTextFormattedCitation":"(Pringle and Tarnita 2017, Staver 2018)","previouslyFormattedCitation":"(Pringle and Tarnita 2017, Staver 2018)"},"properties":{"noteIndex":0},"schema":"https://github.com/citation-style-language/schema/raw/master/csl-citation.json"}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(Pringle and Tarnita 2017, Staver 2018)</w:t>
      </w:r>
      <w:r>
        <w:rPr>
          <w:rFonts w:ascii="Times New Roman" w:hAnsi="Times New Roman"/>
          <w:sz w:val="24"/>
          <w:szCs w:val="24"/>
        </w:rPr>
        <w:fldChar w:fldCharType="end"/>
      </w:r>
      <w:r>
        <w:rPr>
          <w:rFonts w:ascii="Times New Roman" w:hAnsi="Times New Roman"/>
          <w:sz w:val="24"/>
          <w:szCs w:val="24"/>
        </w:rPr>
        <w:t xml:space="preserve">. However, some organisms have disproportionate influence on ecosystem function, and a loss or significant disruption of these species could serve as a proxy for effects of land-use change on ecosystem function. </w:t>
      </w:r>
    </w:p>
    <w:p w14:paraId="0590ED43" w14:textId="1612F5A6"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Globally widespread soil macrofauna such as termites, ants and earthworms play fundamental roles as ecosystem engineers. Termites are particularly important in savanna environments where their mound-building activities reorganize the physical and chemical distribution of soils throughout the landscape, creating nutrient and moisture hotspots with enhanced vegetation growth </w:t>
      </w:r>
      <w:r>
        <w:rPr>
          <w:rFonts w:ascii="Times New Roman" w:hAnsi="Times New Roman"/>
          <w:sz w:val="24"/>
          <w:szCs w:val="24"/>
        </w:rPr>
        <w:fldChar w:fldCharType="begin" w:fldLock="1"/>
      </w:r>
      <w:r w:rsidR="0071041F">
        <w:rPr>
          <w:rFonts w:ascii="Times New Roman" w:hAnsi="Times New Roman"/>
          <w:sz w:val="24"/>
          <w:szCs w:val="24"/>
        </w:rPr>
        <w:instrText>ADDIN CSL_CITATION {"citationItems":[{"id":"ITEM-1","itemData":{"DOI":"10.1111/j.1654-1103.2010.01197.x","ISBN":"1654-1103","author":[{"dropping-particle":"","family":"Sileshi","given":"Gudeta W","non-dropping-particle":"","parse-names":false,"suffix":""},{"dropping-particle":"","family":"Arshad","given":"M A","non-dropping-particle":"","parse-names":false,"suffix":""},{"dropping-particle":"","family":"Konaté","given":"Souleymane","non-dropping-particle":"","parse-names":false,"suffix":""},{"dropping-particle":"","family":"Nkunika","given":"Philip O Y","non-dropping-particle":"","parse-names":false,"suffix":""}],"container-title":"Journal of Vegetation Science","id":"ITEM-1","issue":"5","issued":{"date-parts":[["2010"]]},"page":"923-937","publisher":"Blackwell Publishing Ltd","title":"Termite-induced heterogeneity in African savanna vegetation: mechanisms and patterns","type":"article-journal","volume":"21"},"uris":["http://www.mendeley.com/documents/?uuid=0dde42e2-074e-4988-9a24-0a1982479464"]},{"id":"ITEM-2","itemData":{"DOI":"http://dx.doi.org/10.1016/j.soilbio.2013.09.022","ISBN":"0038-0717","abstract":"Abstract The influence of soil organisms on the availability of nutrients to other biota within ecosystems can be context-dependent. Fungus-culturing termites, for example, are known to concentrate nutrients by building large mounds in nutrient-poor savannas, but several factors determine the nutritional value of the mounds – whether by geophagy or consumption of forage – for large herbivores. Such factors include the limitations of the local edaphic environment and the degree of nutritional enrichment of plants growing on these mounds. We investigated, in nutrient-poor miombo vegetation in Zimbabwe, how the surrounding soils and maturity of the mounds affected concentrations of macro- and micronutrients in mounds and the woody plant foliage growing on them. All macro- and micronutrients save ammonium, extractable P, Zn and Se were enriched in large mounds relative to matrix soils, but none was significantly enriched in incipient mounds, suggesting that the full nutritional value of mounds is only expressed in large mounds. Concentrations of macronutrients, other than extractable P, in large mounds varied independently of concentrations in the matrix of surrounding topsoils. However, six (Mo, Cu, Fe, Zn, Se and Mn) of the nine micronutrient elements tested showed correlation with surrounding topsoils. Although foliar concentrations of N and P in mound species of woody plants did not differ significantly from those of matrix species, they reached maxima in mound species (5.7% for N and 0.4% for P, exceeding maxima of 4.3% and 0.24% in matrix species). Similarly, foliar concentrations of 75% of the micronutrients tested did not differ between mound and matrix species; but mound species contained maxima for 75% of these elements. Since herbivory is affected by soil nutrients, herbivores might meet their nutrient requirements in this nutrient-poor system by including mound plant species in their diets.","author":[{"dropping-particle":"","family":"Seymour","given":"C L","non-dropping-particle":"","parse-names":false,"suffix":""},{"dropping-particle":"V","family":"Milewski","given":"A","non-dropping-particle":"","parse-names":false,"suffix":""},{"dropping-particle":"","family":"Mills","given":"A J","non-dropping-particle":"","parse-names":false,"suffix":""},{"dropping-particle":"","family":"Joseph","given":"G S","non-dropping-particle":"","parse-names":false,"suffix":""},{"dropping-particle":"","family":"Cumming","given":"G S","non-dropping-particle":"","parse-names":false,"suffix":""},{"dropping-particle":"","family":"Cumming","given":"D H M","non-dropping-particle":"","parse-names":false,"suffix":""},{"dropping-particle":"","family":"Mahlangu","given":"Z","non-dropping-particle":"","parse-names":false,"suffix":""}],"container-title":"Soil Biology and Biochemistry","id":"ITEM-2","issue":"0","issued":{"date-parts":[["2014"]]},"page":"95-105","title":"Do the large termite mounds of Macrotermes concentrate micronutrients in addition to macronutrients in nutrient-poor African savannas?","type":"article-journal","volume":"68"},"uris":["http://www.mendeley.com/documents/?uuid=94a790fa-b540-458f-aaf9-9dbfcc17b394"]},{"id":"ITEM-3","itemData":{"DOI":"10.1111/jvs.12200","ISSN":"16541103","abstract":"Questions: Termite mounds of the genus Macrotermes are prominent features in African savannas, forming nutrient hotspots that support greater plant diversity, which is of higher nutritional value than the surrounding savanna matrix. However, little is known about grass communities on and around mounds or how the functional importance of mounds varies across sites. As mean annual rainfall increases, savannas in southern Africa become increasingly dystrophic through increased denitrification (including pyrodenitrification) and the leaching of soil nutrients. The functional importance of mounds is concomitantly expected to increase as the difference in foliar nutrient levels between mounds and the savanna matrix increases. We tested this prediction on grass communities across a rainfall gradient to: (i) determine the degree to which grass assemblages differ between termite mounds and the savanna matrix; (ii) determine the spatial extent to which mounds influence grass communities; and (iii) investigate whether these patterns differ across savanna types. Location: Kruger National Park, South Africa. Methods: Grass communities were surveyed at three savanna sites differing in mean annual rainfall (550-750mm center dot yr(-1)). Grass diversity and tissue nitrogen concentrations were measured on and off termite mounds and along transects away from mounds in order to calculate the spatial influence of termite mounds on savanna grass communities. Using termite mound densities estimated from airborne LiDAR, we up-scaled field-based results to determine the percentage of the landscape influenced by Macrotermes termite activity. Results: Although species richness of grasses was lower on mounds than in the savanna matrix, the assemblage composition varied significantly, with higher nutrient concentrations in grasses located on mounds. This pattern became more distinct with increasing rainfall. The spatial extent of these nutrient-rich grasses also differed across the rainfall gradient, with a larger sphere of influence around mounds in wetter areas. Mounds distinctly altered grass communities over ca. 2% of the entire landscape. Conclusions: Our results show that Macrotermes mounds are important components of savanna heterogeneity, and reveal that the functional importance of mounds increases with increasing rainfall.","author":[{"dropping-particle":"","family":"Davies","given":"Andrew B.","non-dropping-particle":"","parse-names":false,"suffix":""},{"dropping-particle":"","family":"Robertson","given":"Mark P.","non-dropping-particle":"","parse-names":false,"suffix":""},{"dropping-particle":"","family":"Levick","given":"Shaun R.","non-dropping-particle":"","parse-names":false,"suffix":""},{"dropping-particle":"","family":"Asner","given":"Gregory P.","non-dropping-particle":"","parse-names":false,"suffix":""},{"dropping-particle":"","family":"Rensburg","given":"Berndt J.","non-dropping-particle":"van","parse-names":false,"suffix":""},{"dropping-particle":"","family":"Parr","given":"Catherine L.","non-dropping-particle":"","parse-names":false,"suffix":""}],"container-title":"Journal of Vegetation Science","editor":[{"dropping-particle":"","family":"Gilliam","given":"Frank","non-dropping-particle":"","parse-names":false,"suffix":""}],"id":"ITEM-3","issue":"6","issued":{"date-parts":[["2014","11","1"]]},"page":"1405-1416","publisher":"John Wiley &amp; Sons, Ltd (10.1111)","title":"Variable effects of termite mounds on African savanna grass communities across a rainfall gradient","type":"article-journal","volume":"25"},"uris":["http://www.mendeley.com/documents/?uuid=1a72f7c6-63cc-33bb-8271-10b35c5d9cb9"]}],"mendeley":{"formattedCitation":"(Sileshi &lt;i&gt;et al&lt;/i&gt; 2010, Seymour &lt;i&gt;et al&lt;/i&gt; 2014, Davies &lt;i&gt;et al&lt;/i&gt; 2014b)","plainTextFormattedCitation":"(Sileshi et al 2010, Seymour et al 2014, Davies et al 2014b)","previouslyFormattedCitation":"(Sileshi &lt;i&gt;et al&lt;/i&gt; 2010, Seymour &lt;i&gt;et al&lt;/i&gt; 2014, Davies &lt;i&gt;et al&lt;/i&gt; 2014c)"},"properties":{"noteIndex":0},"schema":"https://github.com/citation-style-language/schema/raw/master/csl-citation.json"}</w:instrText>
      </w:r>
      <w:r>
        <w:rPr>
          <w:rFonts w:ascii="Times New Roman" w:hAnsi="Times New Roman"/>
          <w:sz w:val="24"/>
          <w:szCs w:val="24"/>
        </w:rPr>
        <w:fldChar w:fldCharType="separate"/>
      </w:r>
      <w:r w:rsidR="0071041F" w:rsidRPr="0071041F">
        <w:rPr>
          <w:rFonts w:ascii="Times New Roman" w:hAnsi="Times New Roman"/>
          <w:noProof/>
          <w:sz w:val="24"/>
          <w:szCs w:val="24"/>
        </w:rPr>
        <w:t xml:space="preserve">(Sileshi </w:t>
      </w:r>
      <w:r w:rsidR="0071041F" w:rsidRPr="0071041F">
        <w:rPr>
          <w:rFonts w:ascii="Times New Roman" w:hAnsi="Times New Roman"/>
          <w:i/>
          <w:noProof/>
          <w:sz w:val="24"/>
          <w:szCs w:val="24"/>
        </w:rPr>
        <w:t>et al</w:t>
      </w:r>
      <w:r w:rsidR="0071041F" w:rsidRPr="0071041F">
        <w:rPr>
          <w:rFonts w:ascii="Times New Roman" w:hAnsi="Times New Roman"/>
          <w:noProof/>
          <w:sz w:val="24"/>
          <w:szCs w:val="24"/>
        </w:rPr>
        <w:t xml:space="preserve"> 2010, Seymour </w:t>
      </w:r>
      <w:r w:rsidR="0071041F" w:rsidRPr="0071041F">
        <w:rPr>
          <w:rFonts w:ascii="Times New Roman" w:hAnsi="Times New Roman"/>
          <w:i/>
          <w:noProof/>
          <w:sz w:val="24"/>
          <w:szCs w:val="24"/>
        </w:rPr>
        <w:t>et al</w:t>
      </w:r>
      <w:r w:rsidR="0071041F" w:rsidRPr="0071041F">
        <w:rPr>
          <w:rFonts w:ascii="Times New Roman" w:hAnsi="Times New Roman"/>
          <w:noProof/>
          <w:sz w:val="24"/>
          <w:szCs w:val="24"/>
        </w:rPr>
        <w:t xml:space="preserve"> 2014, Davies </w:t>
      </w:r>
      <w:r w:rsidR="0071041F" w:rsidRPr="0071041F">
        <w:rPr>
          <w:rFonts w:ascii="Times New Roman" w:hAnsi="Times New Roman"/>
          <w:i/>
          <w:noProof/>
          <w:sz w:val="24"/>
          <w:szCs w:val="24"/>
        </w:rPr>
        <w:t>et al</w:t>
      </w:r>
      <w:r w:rsidR="0071041F" w:rsidRPr="0071041F">
        <w:rPr>
          <w:rFonts w:ascii="Times New Roman" w:hAnsi="Times New Roman"/>
          <w:noProof/>
          <w:sz w:val="24"/>
          <w:szCs w:val="24"/>
        </w:rPr>
        <w:t xml:space="preserve"> 2014b)</w:t>
      </w:r>
      <w:r>
        <w:rPr>
          <w:rFonts w:ascii="Times New Roman" w:hAnsi="Times New Roman"/>
          <w:sz w:val="24"/>
          <w:szCs w:val="24"/>
        </w:rPr>
        <w:fldChar w:fldCharType="end"/>
      </w:r>
      <w:r>
        <w:rPr>
          <w:rFonts w:ascii="Times New Roman" w:hAnsi="Times New Roman"/>
          <w:sz w:val="24"/>
          <w:szCs w:val="24"/>
        </w:rPr>
        <w:t>. In turn, these nutrient hotspots have cascading effects on invertebrate and mammalian herbivores</w:t>
      </w:r>
      <w:r w:rsidR="007D4BDF">
        <w:rPr>
          <w:rFonts w:ascii="Times New Roman" w:hAnsi="Times New Roman"/>
          <w:sz w:val="24"/>
          <w:szCs w:val="24"/>
        </w:rPr>
        <w:t>,</w:t>
      </w:r>
      <w:r>
        <w:rPr>
          <w:rFonts w:ascii="Times New Roman" w:hAnsi="Times New Roman"/>
          <w:sz w:val="24"/>
          <w:szCs w:val="24"/>
        </w:rPr>
        <w:t xml:space="preserve"> and can influence vegetation and herbivory patterns over as much as 30% of savanna landscapes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{"citationItems":[{"id":"ITEM-1","itemData":{"DOI":"DOI: 10.1016/j.biocon.2010.06.012","ISBN":"0006-3207","author":[{"dropping-particle":"","family":"Levick","given":"S R","non-dropping-particle":"","parse-names":false,"suffix":""},{"dropping-particle":"","family":"Asner","given":"G P","non-dropping-particle":"","parse-names":false,"suffix":""},{"dropping-particle":"","family":"Kennedy-Bowdoin","given":"T","non-dropping-particle":"","parse-names":false,"suffix":""},{"dropping-particle":"","family":"Knapp","given":"D E","non-dropping-particle":"","parse-names":false,"suffix":""}],"container-title":"Biological Conservation","id":"ITEM-1","issue":"11","issued":{"date-parts":[["2010"]]},"page":"2462-2467","title":"The spatial extent of termite influences on herbivore browsing in an African savanna","type":"article-journal","volume":"143"},"uris":["http://www.mendeley.com/documents/?uuid=1990bf0f-61a3-4fa2-92d2-e95aa4d54261"]},{"id":"ITEM-2","itemData":{"DOI":"10.1111/jbi.12633","ISBN":"1365-2699","author":[{"dropping-particle":"","family":"Davies","given":"Andrew B","non-dropping-particle":"","parse-names":false,"suffix":""},{"dropping-particle":"","family":"Baldeck","given":"Claire A","non-dropping-particle":"","parse-names":false,"suffix":""},{"dropping-particle":"","family":"Asner","given":"Gregory P","non-dropping-particle":"","parse-names":false,"suffix":""}],"container-title":"Journal of Biogeography","id":"ITEM-2","issue":"2","issued":{"date-parts":[["2016"]]},"page":"301-313","title":"Termite mounds alter the spatial distribution of African savanna tree species","type":"article-journal","volume":"43"},"uris":["http://www.mendeley.com/documents/?uuid=bb50b3f3-a7fb-4ca2-af1e-0b2ae2c4b197"]},{"id":"ITEM-3","itemData":{"DOI":"10.1111/oik.02742","ISSN":"16000706","abstract":"Herbivores do not forage uniformly across landscapes, but select for patches of higher nutrition and lower predation risk. Macrotermes mounds contain higher concentrations of soil nutrients and support grasses of higher nutritional value than the surrounding savanna matrix, attracting mammalian grazers that preferentially forage on termite mound vegetation. However, little is known about the spatial extent of such termite influence on grazing patterns and how it might differ in time and space. We measured grazing intensity in three African savanna types differing in rainfall and foliar nutrients and predicted that the functional importance of mounds for grazing herbivores would increase as the difference in foliar nutrient levels between mound and savanna matrix grasses increases and the mounds become more attractive. We expected this to occur in nutrient-poor areas and during the dry season when savanna matrix grass nutrient levels are lower. Tuft use and grass N and P content were measured along transects away from termite mounds, enabling calculation of the spatial extent of termite influence on mammalian grazing. Using termite mound densities estimated from airborne light detection and ranging (LiDAR), we further upscaled field-based results to determine the percentage of the landscape influenced by termite activity. Grasses in close proximity to termite mounds were preferentially grazed at all sites and in both seasons, but the strength of mound influence varied between savanna types and seasons. In the wet season, mounds had a relatively larger effect on grazers at the landscape scale in the nutrient- poor, wetter savanna, whereas in the dry season the pattern was reversed with more of the landscape influenced at the nutrient-rich, driest site. Our results reveal that termite mounds enhance the value of savanna landscapes for herbivores, but that their functional importance varies across savanna types and seasons.","author":[{"dropping-particle":"","family":"Davies","given":"Andrew B.","non-dropping-particle":"","parse-names":false,"suffix":""},{"dropping-particle":"","family":"Levick","given":"Shaun R.","non-dropping-particle":"","parse-names":false,"suffix":""},{"dropping-particle":"","family":"Robertson","given":"Mark P.","non-dropping-particle":"","parse-names":false,"suffix":""},{"dropping-particle":"","family":"Rensburg","given":"Berndt J.","non-dropping-particle":"van","parse-names":false,"suffix":""},{"dropping-particle":"","family":"Asner","given":"Gregory P.","non-dropping-particle":"","parse-names":false,"suffix":""},{"dropping-particle":"","family":"Parr","given":"Catherine L.","non-dropping-particle":"","parse-names":false,"suffix":""}],"container-title":"Oikos","id":"ITEM-3","issue":"5","issued":{"date-parts":[["2016"]]},"page":"726-734","title":"Termite mounds differ in their importance for herbivores across savanna types, seasons and spatial scales","type":"article-journal","volume":"125"},"uris":["http://www.mendeley.com/documents/?uuid=e471c780-130c-361c-8541-97ded8d0181f"]}],"mendeley":{"formattedCitation":"(Levick &lt;i&gt;et al&lt;/i&gt; 2010b, Davies &lt;i&gt;et al&lt;/i&gt; 2016a, 2016b)","plainTextFormattedCitation":"(Levick et al 2010b, Davies et al 2016a, 2016b)","previouslyFormattedCitation":"(Levick &lt;i&gt;et al&lt;/i&gt; 2010b, Davies &lt;i&gt;et al&lt;/i&gt; 2016a, 2016b)"},"properties":{"noteIndex":0},"schema":"https://github.com/citation-style-language/schema/raw/master/csl-citation.json"}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(Levick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2010b, 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2016a, 2016b)</w:t>
      </w:r>
      <w:r>
        <w:rPr>
          <w:rFonts w:ascii="Times New Roman" w:hAnsi="Times New Roman"/>
          <w:sz w:val="24"/>
          <w:szCs w:val="24"/>
        </w:rPr>
        <w:fldChar w:fldCharType="end"/>
      </w:r>
      <w:r>
        <w:rPr>
          <w:rFonts w:ascii="Times New Roman" w:hAnsi="Times New Roman"/>
          <w:sz w:val="24"/>
          <w:szCs w:val="24"/>
        </w:rPr>
        <w:t xml:space="preserve">. Moreover, at local scales, termite mounds are </w:t>
      </w:r>
      <w:r w:rsidR="007D4BDF">
        <w:rPr>
          <w:rFonts w:ascii="Times New Roman" w:hAnsi="Times New Roman"/>
          <w:sz w:val="24"/>
          <w:szCs w:val="24"/>
        </w:rPr>
        <w:t xml:space="preserve">often </w:t>
      </w:r>
      <w:r>
        <w:rPr>
          <w:rFonts w:ascii="Times New Roman" w:hAnsi="Times New Roman"/>
          <w:sz w:val="24"/>
          <w:szCs w:val="24"/>
        </w:rPr>
        <w:t xml:space="preserve">spatially over-dispersed due to intra-specific competition between neighboring colonies, enhancing termite influence on ecosystem characteristics and function due to the even distribution of mound benefits across space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{"citationItems":[{"id":"ITEM-1","itemData":{"abstract":"&lt;p&gt;Termites indirectly enhance plant and animal productivity near their mounds, and the uniform spatial patterning of these mounds enhances the overall productivity of the entire landscape.&lt;/p&gt;","author":[{"dropping-particle":"","family":"Pringle","given":"Robert M","non-dropping-particle":"","parse-names":false,"suffix":""},{"dropping-particle":"","family":"Doak","given":"Daniel F","non-dropping-particle":"","parse-names":false,"suffix":""},{"dropping-particle":"","family":"Brody","given":"Alison K","non-dropping-particle":"","parse-names":false,"suffix":""},{"dropping-particle":"","family":"Jocqué","given":"Rudy","non-dropping-particle":"","parse-names":false,"suffix":""},{"dropping-particle":"","family":"Palmer","given":"Todd M","non-dropping-particle":"","parse-names":false,"suffix":""}],"container-title":"PLoS Biol","id":"ITEM-1","issue":"5","issued":{"date-parts":[["2010"]]},"page":"e1000377","publisher":"Public Library of Science","title":"Spatial pattern enhances ecosystem functioning in an African savanna","type":"article-journal","volume":"8"},"uris":["http://www.mendeley.com/documents/?uuid=bc1e58d7-f2e6-4e25-96e3-46836587704c"]}],"mendeley":{"formattedCitation":"(Pringle &lt;i&gt;et al&lt;/i&gt; 2010)","plainTextFormattedCitation":"(Pringle et al 2010)","previouslyFormattedCitation":"(Pringle &lt;i&gt;et al&lt;/i&gt; 2010)"},"properties":{"noteIndex":0},"schema":"https://github.com/citation-style-language/schema/raw/master/csl-citation.json"}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(Pringle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w:t>
      </w:r>
      <w:r>
        <w:rPr>
          <w:rFonts w:ascii="Times New Roman" w:hAnsi="Times New Roman"/>
          <w:sz w:val="24"/>
          <w:szCs w:val="24"/>
        </w:rPr>
        <w:fldChar w:fldCharType="end"/>
      </w:r>
      <w:r>
        <w:rPr>
          <w:rFonts w:ascii="Times New Roman" w:hAnsi="Times New Roman"/>
          <w:sz w:val="24"/>
          <w:szCs w:val="24"/>
        </w:rPr>
        <w:t xml:space="preserve">. Termites and their mounds, as </w:t>
      </w:r>
      <w:r>
        <w:rPr>
          <w:rFonts w:ascii="Times New Roman" w:hAnsi="Times New Roman"/>
          <w:sz w:val="24"/>
          <w:szCs w:val="24"/>
        </w:rPr>
        <w:lastRenderedPageBreak/>
        <w:t xml:space="preserve">well as the spatial arrangement of colonies, can also increase agricultural yields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{"citationItems":[{"id":"ITEM-1","itemData":{"DOI":"http://www.nature.com/ncomms/journal/v2/n3/suppinfo/ncomms1257_S1.html","author":[{"dropping-particle":"","family":"Evans","given":"Theodore A","non-dropping-particle":"","parse-names":false,"suffix":""},{"dropping-particle":"","family":"Dawes","given":"Tracy Z","non-dropping-particle":"","parse-names":false,"suffix":""},{"dropping-particle":"","family":"Ward","given":"Philip R","non-dropping-particle":"","parse-names":false,"suffix":""},{"dropping-particle":"","family":"Lo","given":"Nathan","non-dropping-particle":"","parse-names":false,"suffix":""}],"container-title":"Nat Commun","id":"ITEM-1","issued":{"date-parts":[["2011"]]},"note":"10.1038/ncomms1257","page":"262","publisher":"Nature Publishing Group, a division of Macmillan Publishers Limited. All Rights Reserved.","title":"Ants and termites increase crop yield in a dry climate","type":"article-journal","volume":"2"},"uris":["http://www.mendeley.com/documents/?uuid=e33f8ce1-a5c3-47a5-b1a2-9a62d162732c"]}],"mendeley":{"formattedCitation":"(Evans &lt;i&gt;et al&lt;/i&gt; 2011)","plainTextFormattedCitation":"(Evans et al 2011)","previouslyFormattedCitation":"(Evans &lt;i&gt;et al&lt;/i&gt; 2011)"},"properties":{"noteIndex":0},"schema":"https://github.com/citation-style-language/schema/raw/master/csl-citation.json"}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(Evans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2011)</w:t>
      </w:r>
      <w:r>
        <w:rPr>
          <w:rFonts w:ascii="Times New Roman" w:hAnsi="Times New Roman"/>
          <w:sz w:val="24"/>
          <w:szCs w:val="24"/>
        </w:rPr>
        <w:fldChar w:fldCharType="end"/>
      </w:r>
      <w:r>
        <w:rPr>
          <w:rFonts w:ascii="Times New Roman" w:hAnsi="Times New Roman"/>
          <w:sz w:val="24"/>
          <w:szCs w:val="24"/>
        </w:rPr>
        <w:t xml:space="preserve"> and may promote ecosystem robustness to climatic change and stress events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{"citationItems":[{"id":"ITEM-1","itemData":{"DOI":"10.1126/science.1261487","abstract":"Spotty vegetation patterns in tropical savannas and grasslands can be a warning sign of imminent desertification. However, Bonachela et al. find that termites can also produce spotty patterns. Their theoretical study, confirmed by field data from Kenya, shows that patterns produced by termite mounds are not harbingers of desertification. Indeed, the presence of termites buffers these ecosystems against climate change.Science, this issue p. 651 Self-organized spatial vegetation patterning is widespread and has been described using models of scale-dependent feedback between plants and water on homogeneous substrates. As rainfall decreases, these models yield a characteristic sequence of patterns with increasingly sparse vegetation, followed by sudden collapse to desert. Thus, the final, spot-like pattern may provide early warning for such catastrophic shifts. In many arid ecosystems, however, termite nests impart substrate heterogeneity by altering soil properties, thereby enhancing plant growth. We show that termite-induced heterogeneity interacts with scale-dependent feedbacks to produce vegetation patterns at different spatial grains. Although the coarse-grained patterning resembles that created by scale-dependent feedback alone, it does not indicate imminent desertification. Rather, mound-field landscapes are more robust to aridity, suggesting that termites may help stabilize ecosystems under global change.","author":[{"dropping-particle":"","family":"Bonachela","given":"Juan A","non-dropping-particle":"","parse-names":false,"suffix":""},{"dropping-particle":"","family":"Pringle","given":"Robert M","non-dropping-particle":"","parse-names":false,"suffix":""},{"dropping-particle":"","family":"Sheffer","given":"Efrat","non-dropping-particle":"","parse-names":false,"suffix":""},{"dropping-particle":"","family":"Coverdale","given":"Tyler C","non-dropping-particle":"","parse-names":false,"suffix":""},{"dropping-particle":"","family":"Guyton","given":"Jennifer A","non-dropping-particle":"","parse-names":false,"suffix":""},{"dropping-particle":"","family":"Caylor","given":"Kelly K","non-dropping-particle":"","parse-names":false,"suffix":""},{"dropping-particle":"","family":"Levin","given":"Simon A","non-dropping-particle":"","parse-names":false,"suffix":""},{"dropping-particle":"","family":"Tarnita","given":"Corina E","non-dropping-particle":"","parse-names":false,"suffix":""}],"container-title":"Science","id":"ITEM-1","issue":"6222","issued":{"date-parts":[["2015","2","6"]]},"page":"651 LP  - 655","title":"Termite mounds can increase the robustness of dryland ecosystems to climatic change","type":"article-journal","volume":"347"},"uris":["http://www.mendeley.com/documents/?uuid=7a207908-ee6d-432b-a77a-79cf3f81ec3a"]},{"id":"ITEM-2","itemData":{"DOI":"10.1126/SCIENCE.AAU9565","ISSN":"0036-8075","PMID":"30630931","abstract":"In many tropical regions, where drought is predicted to become more frequent in the coming years, termites are key components of ecosystem function. Ashton et al. experimentally manipulated termite communities to quantify their role during the 2015–2016 “super El Niño” drought in a Malaysian tropical rainforest. Termite relative abundance more than doubled in control plots during drought, maintaining three major ecosystem processes: decomposition, nutrient heterogeneity, and moisture retention. Seedling mortality increased where termites were suppressed.\n\nScience , this issue p. [174][1]\n\nTermites perform key ecological functions in tropical ecosystems, are strongly affected by variation in rainfall, and respond negatively to habitat disturbance. However, it is not known how the projected increase in frequency and severity of droughts in tropical rainforests will alter termite communities and the maintenance of ecosystem processes. Using a large-scale termite suppression experiment, we found that termite activity and abundance increased during drought in a Bornean forest. This increase resulted in accelerated litter decomposition, elevated soil moisture, greater soil nutrient heterogeneity, and higher seedling survival rates during the extreme El Niño drought of 2015–2016. Our work shows how an invertebrate group enhances ecosystem resistance to drought, providing evidence that the dual stressors of climate change and anthropogenic shifts in biotic communities will have various negative consequences for the maintenance of rainforest ecosystems.\n\n [1]: /lookup/doi/10.1126/science.aau9565","author":[{"dropping-particle":"","family":"Ashton","given":"L. A.","non-dropping-particle":"","parse-names":false,"suffix":""},{"dropping-particle":"","family":"Griffiths","given":"H. M.","non-dropping-particle":"","parse-names":false,"suffix":""},{"dropping-particle":"","family":"Parr","given":"C. L.","non-dropping-particle":"","parse-names":false,"suffix":""},{"dropping-particle":"","family":"Evans","given":"T. A.","non-dropping-particle":"","parse-names":false,"suffix":""},{"dropping-particle":"","family":"Didham","given":"R. K.","non-dropping-particle":"","parse-names":false,"suffix":""},{"dropping-particle":"","family":"Hasan","given":"F.","non-dropping-particle":"","parse-names":false,"suffix":""},{"dropping-particle":"","family":"Teh","given":"Y. A.","non-dropping-particle":"","parse-names":false,"suffix":""},{"dropping-particle":"","family":"Tin","given":"H. S.","non-dropping-particle":"","parse-names":false,"suffix":""},{"dropping-particle":"","family":"Vairappan","given":"C. S.","non-dropping-particle":"","parse-names":false,"suffix":""},{"dropping-particle":"","family":"Eggleton","given":"P.","non-dropping-particle":"","parse-names":false,"suffix":""}],"container-title":"Science","id":"ITEM-2","issue":"6423","issued":{"date-parts":[["2019","1","11"]]},"page":"174-177","publisher":"American Association for the Advancement of Science","title":"Termites mitigate the effects of drought in tropical rainforest","type":"article-journal","volume":"363"},"uris":["http://www.mendeley.com/documents/?uuid=b61185e3-837a-3c93-a650-9095844f8483"]}],"mendeley":{"formattedCitation":"(Bonachela &lt;i&gt;et al&lt;/i&gt; 2015, Ashton &lt;i&gt;et al&lt;/i&gt; 2019)","plainTextFormattedCitation":"(Bonachela et al 2015, Ashton et al 2019)","previouslyFormattedCitation":"(Bonachela &lt;i&gt;et al&lt;/i&gt; 2015, Ashton &lt;i&gt;et al&lt;/i&gt; 2019)"},"properties":{"noteIndex":0},"schema":"https://github.com/citation-style-language/schema/raw/master/csl-citation.json"}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(Bonachela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2015, Ashton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2019)</w:t>
      </w:r>
      <w:r>
        <w:rPr>
          <w:rFonts w:ascii="Times New Roman" w:hAnsi="Times New Roman"/>
          <w:sz w:val="24"/>
          <w:szCs w:val="24"/>
        </w:rPr>
        <w:fldChar w:fldCharType="end"/>
      </w:r>
      <w:r>
        <w:rPr>
          <w:rFonts w:ascii="Times New Roman" w:hAnsi="Times New Roman"/>
          <w:sz w:val="24"/>
          <w:szCs w:val="24"/>
        </w:rPr>
        <w:t>. The persistence of keystone termite colonies and their over-dispersed spatial patterning is therefore essential for maintaining healthy, functioning savanna ecosystems.</w:t>
      </w:r>
    </w:p>
    <w:p w14:paraId="23EAC7D5" w14:textId="7F85665C"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Most studies of biodiversity loss resulting from land-use change have focused on plants and vertebrates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{"citationItems":[{"id":"ITEM-1","itemData":{"author":[{"dropping-particle":"","family":"Pimm","given":"S L","non-dropping-particle":"","parse-names":false,"suffix":""},{"dropping-particle":"","family":"Raven","given":"P","non-dropping-particle":"","parse-names":false,"suffix":""}],"container-title":"Nature","id":"ITEM-1","issued":{"date-parts":[["2000"]]},"page":"843-845","title":"Biodiversity: Extinction by numbers","type":"article-journal","volume":"403"},"uris":["http://www.mendeley.com/documents/?uuid=9865487f-ce2c-4932-b2ed-987ec426e61f"]},{"id":"ITEM-2","itemData":{"DOI":"10.1126/science.1069349","abstract":"The disappearance of populations is a prelude to species extinction. No geographically explicit estimates have been made of current population losses of major indicator taxa. Here we compare historic and present distributions of 173 declining mammal species from six continents. These species have collectively lost over 50% of their historic range area, mostly where human activities are intensive. This implies a serious loss of ecosystem services and goods. It also signals a substantial threat to species diversity.","author":[{"dropping-particle":"","family":"Ceballos","given":"Gerardo","non-dropping-particle":"","parse-names":false,"suffix":""},{"dropping-particle":"","family":"Ehrlich","given":"Paul R","non-dropping-particle":"","parse-names":false,"suffix":""}],"container-title":"Science","id":"ITEM-2","issue":"5569","issued":{"date-parts":[["2002","5","3"]]},"page":"904 LP  - 907","title":"Mammal Population Losses and the Extinction Crisis","type":"article-journal","volume":"296"},"uris":["http://www.mendeley.com/documents/?uuid=8db8468d-79b0-4272-965f-eb63d44579e0"]},{"id":"ITEM-3","itemData":{"DOI":"10.1111/j.1461-0248.2008.01255.x","ISSN":"1461-023X","abstract":"Abstract Land use intensification can greatly reduce species richness and ecosystem functioning. However, species richness determines ecosystem functioning through the diversity and values of traits of species present. Here, we analyze changes in species richness and functional diversity (FD) at varying agricultural land use intensity levels. We test hypotheses of FD responses to land use intensification in plant, bird, and mammal communities using trait data compiled for 1600+?species. To isolate changes in FD from changes in species richness we compare the FD of communities to the null expectations of FD values. In over one-quarter of the bird and mammal communities impacted by agriculture, declines in FD were steeper than predicted by species number. In plant communities, changes in FD were indistinguishable from changes in species richness. Land use intensification can reduce the functional diversity of animal communities beyond changes in species richness alone, potentially imperiling provisioning of ecosystem services.","author":[{"dropping-particle":"","family":"Flynn","given":"Dan F B","non-dropping-particle":"","parse-names":false,"suffix":""},{"dropping-particle":"","family":"Gogol-Prokurat","given":"Melanie","non-dropping-particle":"","parse-names":false,"suffix":""},{"dropping-particle":"","family":"Nogeire","given":"Theresa","non-dropping-particle":"","parse-names":false,"suffix":""},{"dropping-particle":"","family":"Molinari","given":"Nicole","non-dropping-particle":"","parse-names":false,"suffix":""},{"dropping-particle":"","family":"Richers","given":"Bárbara Trautman","non-dropping-particle":"","parse-names":false,"suffix":""},{"dropping-particle":"","family":"Lin","given":"Brenda B","non-dropping-particle":"","parse-names":false,"suffix":""},{"dropping-particle":"","family":"Simpson","given":"Nicholas","non-dropping-particle":"","parse-names":false,"suffix":""},{"dropping-particle":"","family":"Mayfield","given":"Margaret M","non-dropping-particle":"","parse-names":false,"suffix":""},{"dropping-particle":"","family":"DeClerck","given":"Fabrice","non-dropping-particle":"","parse-names":false,"suffix":""}],"container-title":"Ecology Letters","id":"ITEM-3","issue":"1","issued":{"date-parts":[["2009","1","1"]]},"note":"doi: 10.1111/j.1461-0248.2008.01255.x","page":"22-33","publisher":"John Wiley &amp; Sons, Ltd (10.1111)","title":"Loss of functional diversity under land use intensification across multiple taxa","type":"article-journal","volume":"12"},"uris":["http://www.mendeley.com/documents/?uuid=c1808490-3e77-4fc0-a40d-1699c945d088"]}],"mendeley":{"formattedCitation":"(Pimm and Raven 2000, Ceballos and Ehrlich 2002, Flynn &lt;i&gt;et al&lt;/i&gt; 2009)","manualFormatting":"(e.g. Pimm and Raven 2000, Ceballos and Ehrlich 2002, Flynn et al. 2009)","plainTextFormattedCitation":"(Pimm and Raven 2000, Ceballos and Ehrlich 2002, Flynn et al 2009)","previouslyFormattedCitation":"(Pimm and Raven 2000, Ceballos and Ehrlich 2002, Flynn &lt;i&gt;et al&lt;/i&gt; 2009)"},"properties":{"noteIndex":0},"schema":"https://github.com/citation-style-language/schema/raw/master/csl-citation.json"}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(e.g. Pimm and Raven 2000, Ceballos and Ehrlich 2002, Flynn et al. 2009)</w:t>
      </w:r>
      <w:r>
        <w:rPr>
          <w:rFonts w:ascii="Times New Roman" w:hAnsi="Times New Roman"/>
          <w:sz w:val="24"/>
          <w:szCs w:val="24"/>
        </w:rPr>
        <w:fldChar w:fldCharType="end"/>
      </w:r>
      <w:r>
        <w:rPr>
          <w:rFonts w:ascii="Times New Roman" w:hAnsi="Times New Roman"/>
          <w:sz w:val="24"/>
          <w:szCs w:val="24"/>
        </w:rPr>
        <w:t xml:space="preserve">. Comparatively few studies have investigated changes in invertebrate diversity, despite </w:t>
      </w:r>
      <w:r w:rsidR="002C3AA9">
        <w:rPr>
          <w:rFonts w:ascii="Times New Roman" w:hAnsi="Times New Roman"/>
          <w:sz w:val="24"/>
          <w:szCs w:val="24"/>
        </w:rPr>
        <w:t xml:space="preserve">its </w:t>
      </w:r>
      <w:r>
        <w:rPr>
          <w:rFonts w:ascii="Times New Roman" w:hAnsi="Times New Roman"/>
          <w:sz w:val="24"/>
          <w:szCs w:val="24"/>
        </w:rPr>
        <w:t xml:space="preserve">wide-ranging impacts on ecosystems, and invertebrate-focused research has largely investigated local-scale effects in European and North American ecosystems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{"citationItems":[{"id":"ITEM-1","itemData":{"DOI":"10.1016/J.BIOCON.2019.01.020","ISSN":"0006-3207","abstract":"Biodiversity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affected, whereas four major aquatic taxa (Odonata, Plecoptera, Trichoptera and Ephemeroptera) have already lost a considerable proportion of species. Affected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affects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effective remediation technologies should be applied to clean polluted waters in both agricultural and urban environments.","author":[{"dropping-particle":"","family":"Sánchez-Bayo","given":"Francisco","non-dropping-particle":"","parse-names":false,"suffix":""},{"dropping-particle":"","family":"Wyckhuys","given":"Kris A.G.","non-dropping-particle":"","parse-names":false,"suffix":""}],"container-title":"Biological Conservation","id":"ITEM-1","issued":{"date-parts":[["2019","4","1"]]},"page":"8-27","publisher":"Elsevier","title":"Worldwide decline of the entomofauna: A review of its drivers","type":"article-journal","volume":"232"},"uris":["http://www.mendeley.com/documents/?uuid=10aade26-e76d-368d-9f83-2f1e00b5413e"]}],"mendeley":{"formattedCitation":"(Sánchez-Bayo and Wyckhuys 2019)","plainTextFormattedCitation":"(Sánchez-Bayo and Wyckhuys 2019)","previouslyFormattedCitation":"(Sánchez-Bayo and Wyckhuys 2019)"},"properties":{"noteIndex":0},"schema":"https://github.com/citation-style-language/schema/raw/master/csl-citation.json"}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(Sánchez-Bayo and Wyckhuys 2019)</w:t>
      </w:r>
      <w:r>
        <w:rPr>
          <w:rFonts w:ascii="Times New Roman" w:hAnsi="Times New Roman"/>
          <w:sz w:val="24"/>
          <w:szCs w:val="24"/>
        </w:rPr>
        <w:fldChar w:fldCharType="end"/>
      </w:r>
      <w:r w:rsidR="00CB70E5">
        <w:rPr>
          <w:rFonts w:ascii="Times New Roman" w:hAnsi="Times New Roman"/>
          <w:sz w:val="24"/>
          <w:szCs w:val="24"/>
        </w:rPr>
        <w:t xml:space="preserve">. An urgent need exists for large-scale studies of invertebrate responses to human land-use change </w:t>
      </w:r>
      <w:r w:rsidR="00CB70E5">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{"citationItems":[{"id":"ITEM-1","itemData":{"DOI":"10.1111/gcb.14608","ISSN":"13541013","author":[{"dropping-particle":"","family":"Thomas","given":"Chris D.","non-dropping-particle":"","parse-names":false,"suffix":""},{"dropping-particle":"","family":"Jones","given":"T. Hefin","non-dropping-particle":"","parse-names":false,"suffix":""},{"dropping-particle":"","family":"Hartley","given":"Sue E.","non-dropping-particle":"","parse-names":false,"suffix":""}],"container-title":"Global Change Biology","id":"ITEM-1","issued":{"date-parts":[["2019","3","18"]]},"publisher":"John Wiley &amp; Sons, Ltd (10.1111)","title":"“Insectageddon”: a call for more robust data and rigorous analyses","type":"article-journal"},"uris":["http://www.mendeley.com/documents/?uuid=3376b2bf-9e8f-3567-8297-b15ed9e286ad"]}],"mendeley":{"formattedCitation":"(Thomas &lt;i&gt;et al&lt;/i&gt; 2019)","plainTextFormattedCitation":"(Thomas et al 2019)","previouslyFormattedCitation":"(Thomas &lt;i&gt;et al&lt;/i&gt; 2019)"},"properties":{"noteIndex":0},"schema":"https://github.com/citation-style-language/schema/raw/master/csl-citation.json"}</w:instrText>
      </w:r>
      <w:r w:rsidR="00CB70E5">
        <w:rPr>
          <w:rFonts w:ascii="Times New Roman" w:hAnsi="Times New Roman"/>
          <w:sz w:val="24"/>
          <w:szCs w:val="24"/>
        </w:rPr>
        <w:fldChar w:fldCharType="separate"/>
      </w:r>
      <w:r w:rsidR="00FF1077" w:rsidRPr="00FF1077">
        <w:rPr>
          <w:rFonts w:ascii="Times New Roman" w:hAnsi="Times New Roman"/>
          <w:noProof/>
          <w:sz w:val="24"/>
          <w:szCs w:val="24"/>
        </w:rPr>
        <w:t xml:space="preserve">(Thomas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2019)</w:t>
      </w:r>
      <w:r w:rsidR="00CB70E5">
        <w:rPr>
          <w:rFonts w:ascii="Times New Roman" w:hAnsi="Times New Roman"/>
          <w:sz w:val="24"/>
          <w:szCs w:val="24"/>
        </w:rPr>
        <w:fldChar w:fldCharType="end"/>
      </w:r>
      <w:r w:rsidR="00CB70E5">
        <w:rPr>
          <w:rFonts w:ascii="Times New Roman" w:hAnsi="Times New Roman"/>
          <w:sz w:val="24"/>
          <w:szCs w:val="24"/>
        </w:rPr>
        <w:t xml:space="preserve">, especially studies that investigate insect population and community changes </w:t>
      </w:r>
      <w:r w:rsidR="002C3AA9">
        <w:rPr>
          <w:rFonts w:ascii="Times New Roman" w:hAnsi="Times New Roman"/>
          <w:sz w:val="24"/>
          <w:szCs w:val="24"/>
        </w:rPr>
        <w:t>across</w:t>
      </w:r>
      <w:r w:rsidR="00CB70E5">
        <w:rPr>
          <w:rFonts w:ascii="Times New Roman" w:hAnsi="Times New Roman"/>
          <w:sz w:val="24"/>
          <w:szCs w:val="24"/>
        </w:rPr>
        <w:t xml:space="preserve"> environmental gradients.</w:t>
      </w:r>
      <w:r>
        <w:rPr>
          <w:rFonts w:ascii="Times New Roman" w:hAnsi="Times New Roman"/>
          <w:sz w:val="24"/>
          <w:szCs w:val="24"/>
        </w:rPr>
        <w:t xml:space="preserve"> The current lack of large-scale investigations into the impacts of land-use change on invertebrates is at least partially due to difficulties in observing patterns of invertebrate richness and/or abundance over large extents, caused both by the sheer abundance of invertebrates and their small size. Mound-building termites, however, provide a rare case for </w:t>
      </w:r>
      <w:r w:rsidR="002C3AA9">
        <w:rPr>
          <w:rFonts w:ascii="Times New Roman" w:hAnsi="Times New Roman"/>
          <w:sz w:val="24"/>
          <w:szCs w:val="24"/>
        </w:rPr>
        <w:t xml:space="preserve">assessing </w:t>
      </w:r>
      <w:r>
        <w:rPr>
          <w:rFonts w:ascii="Times New Roman" w:hAnsi="Times New Roman"/>
          <w:sz w:val="24"/>
          <w:szCs w:val="24"/>
        </w:rPr>
        <w:t xml:space="preserve">invertebrate responses to land-use change over large geographic areas due to the capability of remote-sensing technology to effectively map termite mounds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{"citationItems":[{"id":"ITEM-1","itemData":{"author":[{"dropping-particle":"","family":"Levick","given":"S R","non-dropping-particle":"","parse-names":false,"suffix":""},{"dropping-particle":"","family":"Asner","given":"G P","non-dropping-particle":"","parse-names":false,"suffix":""},{"dropping-particle":"","family":"Chadwick","given":"O A","non-dropping-particle":"","parse-names":false,"suffix":""},{"dropping-particle":"","family":"Khomo","given":"L M","non-dropping-particle":"","parse-names":false,"suffix":""},{"dropping-particle":"","family":"Rogers","given":"K H","non-dropping-particle":"","parse-names":false,"suffix":""},{"dropping-particle":"","family":"Hartshorn","given":"A S","non-dropping-particle":"","parse-names":false,"suffix":""},{"dropping-particle":"","family":"Kennedy-Bowdoin","given":"T","non-dropping-particle":"","parse-names":false,"suffix":""},{"dropping-particle":"","family":"Knapp","given":"D E","non-dropping-particle":"","parse-names":false,"suffix":""}],"container-title":"Nature Communications","id":"ITEM-1","issued":{"date-parts":[["2010"]]},"page":"65","title":"Regional insight into savanna hydrogeomorphology from termite mounds","type":"article-journal","volume":"1"},"uris":["http://www.mendeley.com/documents/?uuid=78935ce0-7118-4f9d-8c47-9777e0158ea7"]},{"id":"ITEM-2","itemData":{"DOI":"10.1111/ecog.00532","ISBN":"0906-7590","ISSN":"16000587","PMID":"21743178","abstract":"Termite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L.","non-dropping-particle":"","parse-names":false,"suffix":""}],"container-title":"Ecography","id":"ITEM-2","issue":"9","issued":{"date-parts":[["2014"]]},"page":"852-862","title":"Spatial variability and abiotic determinants of termite mounds throughout a savanna catchment","type":"article-journal","volume":"37"},"uris":["http://www.mendeley.com/documents/?uuid=47e02a18-0f3b-31e5-aaf3-c16f9003f667"]}],"mendeley":{"formattedCitation":"(Levick &lt;i&gt;et al&lt;/i&gt; 2010a, Davies &lt;i&gt;et al&lt;/i&gt; 2014a)","plainTextFormattedCitation":"(Levick et al 2010a, Davies et al 2014a)","previouslyFormattedCitation":"(Levick &lt;i&gt;et al&lt;/i&gt; 2010a, Davies &lt;i&gt;et al&lt;/i&gt; 2014a)"},"properties":{"noteIndex":0},"schema":"https://github.com/citation-style-language/schema/raw/master/csl-citation.json"}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(Levick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2010a, 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Pr>
          <w:rFonts w:ascii="Times New Roman" w:hAnsi="Times New Roman"/>
          <w:sz w:val="24"/>
          <w:szCs w:val="24"/>
        </w:rPr>
        <w:fldChar w:fldCharType="end"/>
      </w:r>
      <w:r>
        <w:rPr>
          <w:rFonts w:ascii="Times New Roman" w:hAnsi="Times New Roman"/>
          <w:sz w:val="24"/>
          <w:szCs w:val="24"/>
        </w:rPr>
        <w:t>. However, the impact of human land-use change on termites has not yet been examined at scales large enough to capture shifts in important mound characteristics such as height</w:t>
      </w:r>
      <w:r w:rsidR="00F83639">
        <w:rPr>
          <w:rFonts w:ascii="Times New Roman" w:hAnsi="Times New Roman"/>
          <w:sz w:val="24"/>
          <w:szCs w:val="24"/>
        </w:rPr>
        <w:t>, which is</w:t>
      </w:r>
      <w:r>
        <w:rPr>
          <w:rFonts w:ascii="Times New Roman" w:hAnsi="Times New Roman"/>
          <w:sz w:val="24"/>
          <w:szCs w:val="24"/>
        </w:rPr>
        <w:t xml:space="preserve"> indicative of colony size</w:t>
      </w:r>
      <w:r w:rsidR="00F83639">
        <w:rPr>
          <w:rFonts w:ascii="Times New Roman" w:hAnsi="Times New Roman"/>
          <w:sz w:val="24"/>
          <w:szCs w:val="24"/>
        </w:rPr>
        <w:t xml:space="preserve"> </w:t>
      </w:r>
      <w:r w:rsidR="00F83639">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{"citationItems":[{"id":"ITEM-1","itemData":{"author":[{"dropping-particle":"","family":"Meyer","given":"V W","non-dropping-particle":"","parse-names":false,"suffix":""},{"dropping-particle":"","family":"Crewe","given":"R M","non-dropping-particle":"","parse-names":false,"suffix":""},{"dropping-particle":"","family":"Braack","given":"L E O","non-dropping-particle":"","parse-names":false,"suffix":""},{"dropping-particle":"","family":"Groeneveld","given":"H T","non-dropping-particle":"","parse-names":false,"suffix":""},{"dropping-particle":"","family":"Linde","given":"M J","non-dropping-particle":"van der","parse-names":false,"suffix":""}],"container-title":"Insectes Sociaex","id":"ITEM-1","issued":{"date-parts":[["2000"]]},"page":"390-397","title":"Intracolonial demography of the mound-building termite Macrotermes natalensis (Haviland) (Isoptera, Termitidae) in the northern Kruger National Park, South Africa","type":"article-journal","volume":"47"},"uris":["http://www.mendeley.com/documents/?uuid=6d71f444-d064-4312-bf87-9d43c6a2c12c"]}],"mendeley":{"formattedCitation":"(Meyer &lt;i&gt;et al&lt;/i&gt; 2000)","plainTextFormattedCitation":"(Meyer et al 2000)","previouslyFormattedCitation":"(Meyer &lt;i&gt;et al&lt;/i&gt; 2000)"},"properties":{"noteIndex":0},"schema":"https://github.com/citation-style-language/schema/raw/master/csl-citation.json"}</w:instrText>
      </w:r>
      <w:r w:rsidR="00F83639">
        <w:rPr>
          <w:rFonts w:ascii="Times New Roman" w:hAnsi="Times New Roman"/>
          <w:sz w:val="24"/>
          <w:szCs w:val="24"/>
        </w:rPr>
        <w:fldChar w:fldCharType="separate"/>
      </w:r>
      <w:r w:rsidR="00FF1077" w:rsidRPr="00FF1077">
        <w:rPr>
          <w:rFonts w:ascii="Times New Roman" w:hAnsi="Times New Roman"/>
          <w:noProof/>
          <w:sz w:val="24"/>
          <w:szCs w:val="24"/>
        </w:rPr>
        <w:t xml:space="preserve">(Meyer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2000)</w:t>
      </w:r>
      <w:r w:rsidR="00F83639">
        <w:rPr>
          <w:rFonts w:ascii="Times New Roman" w:hAnsi="Times New Roman"/>
          <w:sz w:val="24"/>
          <w:szCs w:val="24"/>
        </w:rPr>
        <w:fldChar w:fldCharType="end"/>
      </w:r>
      <w:r>
        <w:rPr>
          <w:rFonts w:ascii="Times New Roman" w:hAnsi="Times New Roman"/>
          <w:sz w:val="24"/>
          <w:szCs w:val="24"/>
        </w:rPr>
        <w:t>, density, or spatial patterning.</w:t>
      </w:r>
    </w:p>
    <w:p w14:paraId="0100FB78" w14:textId="06181F59" w:rsidR="00421AD7" w:rsidRDefault="00344831">
      <w:pPr>
        <w:spacing w:after="0" w:line="480" w:lineRule="auto"/>
        <w:ind w:firstLine="720"/>
        <w:rPr>
          <w:rFonts w:ascii="Times New Roman" w:hAnsi="Times New Roman"/>
          <w:sz w:val="24"/>
          <w:szCs w:val="24"/>
        </w:rPr>
      </w:pPr>
      <w:r>
        <w:rPr>
          <w:rFonts w:ascii="Times New Roman" w:hAnsi="Times New Roman"/>
          <w:sz w:val="24"/>
          <w:szCs w:val="24"/>
        </w:rPr>
        <w:lastRenderedPageBreak/>
        <w:t>Effects of land-use change on termite mound distributions are also difficult to predict. Although termites have been shown to be adversely affected by human disturbance</w:t>
      </w:r>
      <w:r w:rsidR="00FF1077">
        <w:rPr>
          <w:rFonts w:ascii="Times New Roman" w:hAnsi="Times New Roman"/>
          <w:sz w:val="24"/>
          <w:szCs w:val="24"/>
        </w:rPr>
        <w:t xml:space="preserve"> </w:t>
      </w:r>
      <w:r>
        <w:rPr>
          <w:rFonts w:ascii="Times New Roman" w:hAnsi="Times New Roman"/>
          <w:sz w:val="24"/>
          <w:szCs w:val="24"/>
        </w:rPr>
        <w:fldChar w:fldCharType="begin" w:fldLock="1"/>
      </w:r>
      <w:r w:rsidR="0071041F">
        <w:rPr>
          <w:rFonts w:ascii="Times New Roman" w:hAnsi="Times New Roman"/>
          <w:sz w:val="24"/>
          <w:szCs w:val="24"/>
        </w:rPr>
        <w:instrText>ADDIN CSL_CITATION {"citationItems":[{"id":"ITEM-1","itemData":{"author":[{"dropping-particle":"","family":"Eggleton","given":"P","non-dropping-particle":"","parse-names":false,"suffix":""},{"dropping-particle":"","family":"Bignell","given":"D E","non-dropping-particle":"","parse-names":false,"suffix":""},{"dropping-particle":"","family":"Sands","given":"W A","non-dropping-particle":"","parse-names":false,"suffix":""},{"dropping-particle":"","family":"Mawdsley","given":"N A","non-dropping-particle":"","parse-names":false,"suffix":""},{"dropping-particle":"","family":"Lawton","given":"J H","non-dropping-particle":"","parse-names":false,"suffix":""},{"dropping-particle":"","family":"Wood","given":"T G","non-dropping-particle":"","parse-names":false,"suffix":""},{"dropping-particle":"","family":"Bignell","given":"N C","non-dropping-particle":"","parse-names":false,"suffix":""}],"container-title":"Philosophical Transactions of the Royal Society of London B","id":"ITEM-1","issued":{"date-parts":[["1996"]]},"page":"51-68","title":"The diversity, abundance and biomass of termites under differeing levels of disturbance in the Mbalmayo Forest Reserve, southern Cameroon","type":"article-journal","volume":"351"},"uris":["http://www.mendeley.com/documents/?uuid=43bb0dae-971b-48c0-bf19-33109407bce6"]},{"id":"ITEM-2","itemData":{"DOI":"10.1046/j.1365-2664.2003.00794.x","ISBN":"00218901","ISSN":"00218901","abstract":"1. A line intersection method was used to estimate abundance (technically linear abundance: m1 m−2), biovolume (m3 ha−1) and size class distribution (defined by diameter) of lying dead wood in tropical forest. Additional semi-quantitative protocols assessed decay state (4 classes), termite attack (5 classes) and live termite occupancy (3 classes). 2. Three forest types (kerangas, alluvial and sandstone) were sampled in the Kabili-Sepilok Forest Reserve of Eastern Sabah, using plots of 30 × 30 m. Approximately 50 man-hours were required per site, at a replication of three plots per site and three well-separated sites per forest type. 3. Mean biovolume of lying dead wood exceeded 8 × 103 m3 ha−1 in kerangas (= heath) forest, with lower values in other types. Large items (&gt; 19 cm diameter) were less than 10% of total abundance, but represented the largest biovolume, exceeding (alluvial) or equalling (kerangas) the total biovolumes of smaller categories combined. Most items (not less than 75%) were present as small wood (&lt; 10 cm diameter). Items in the highest decay class had the highest biovolume. 4. Termite attack was greater in the kerangas, where nearly 90% of items showed evidence of consumption, compared with 58% in the alluvial and 40% in the sandstone forests. Over 40% of items in the kerangas contained live termites compared with 25% in the alluvial and 15% in the sandstone. Items in the highest attack class (= almost total internal destruction) represented about one-half of the total biovolume available in the alluvial and kerangas forest types, and about one-third in the sandstone.","author":[{"dropping-particle":"","family":"Jones","given":"David T.","non-dropping-particle":"","parse-names":false,"suffix":""},{"dropping-particle":"","family":"Susilo","given":"F. X.","non-dropping-particle":"","parse-names":false,"suffix":""},{"dropping-particle":"","family":"Bignell","given":"D. E.","non-dropping-particle":"","parse-names":false,"suffix":""},{"dropping-particle":"","family":"Hardiwinoto","given":"S.","non-dropping-particle":"","parse-names":false,"suffix":""},{"dropping-particle":"","family":"Gillison","given":"A. N.","non-dropping-particle":"","parse-names":false,"suffix":""},{"dropping-particle":"","family":"Eggleton","given":"P.","non-dropping-particle":"","parse-names":false,"suffix":""}],"container-title":"Journal of Applied Ecology","id":"ITEM-2","issue":"2","issued":{"date-parts":[["2003","4","1"]]},"page":"380-391","publisher":"John Wiley &amp; Sons, Ltd (10.1111)","title":"Termite assemblage collapse along a land-use intensification gradient in lowland central Sumatra, Indonesia","type":"article-journal","volume":"40"},"uris":["http://www.mendeley.com/documents/?uuid=6f253c61-8233-3ca4-aeb4-bc4f16b8b675"]},{"id":"ITEM-3","itemData":{"DOI":"10.1007/s10841-017-0019-7","ISSN":"15729753","abstract":"Disturbance, particularly agricultural expansion is one of the major threats to the biodiversity and ecological functions of tropical and sub-tropical ecosystems. In this regard, we examined changes in the species richness, abundance, and diversity of termites across different disturbance treatments in a sub-tropical semi-arid savanna in south eastern Zimbabwe. Nine transects (100 × 2 m) representing three habitat disturbance treatments (primary woodland; grazing area; agricultural field) were sampled for termites using a rapid biodiversity assessment protocol. Termites were more abundant and species-rich in primary woodland and grazing area than in the agricultural field. Twelve termite species from three sub-families were present, with Microtermes sp. constituting 35% of the identified termite species. Termite feeding group structure differed significantly among land-use types, and of all termites present, wood-feeding termites were the most abundant while soil-feeders were rare in the agricultural field. In conclusion the observed pattern in termite species richness and relative abundance indicates that termites are very resilient to natural disturbance and might actually benefit from some natural disturbances like they did in the grazing area of this study, but they are not resilient to extreme anthropogenic disturbance. Although there was no notable difference in termite species richness and relative abundance between agricultural field and primary woodland, the pattern observed across the three sites may be potential support for the IDH suggesting that intermediate levels of physical disturbance intensity influence the structure and functioning of termite assemblages in semi-arid savanna.","author":[{"dropping-particle":"","family":"Muvengwi","given":"Justice","non-dropping-particle":"","parse-names":false,"suffix":""},{"dropping-particle":"","family":"Mbiba","given":"Monicah","non-dropping-particle":"","parse-names":false,"suffix":""},{"dropping-particle":"","family":"Ndagurwa","given":"Hilton G.T.","non-dropping-particle":"","parse-names":false,"suffix":""},{"dropping-particle":"","family":"Nyamadzawo","given":"George","non-dropping-particle":"","parse-names":false,"suffix":""},{"dropping-particle":"","family":"Nhokovedzo","given":"Polite","non-dropping-particle":"","parse-names":false,"suffix":""}],"container-title":"Journal of Insect Conservation","id":"ITEM-3","issue":"5-6","issued":{"date-parts":[["2017","12","31"]]},"page":"801-812","publisher":"Springer International Publishing","title":"Termite diversity along a land use intensification gradient in a semi-arid savanna","type":"article-journal","volume":"21"},"uris":["http://www.mendeley.com/documents/?uuid=3f299d60-4bd6-3761-bba6-52d56d48ce91"]},{"id":"ITEM-4","itemData":{"DOI":"10.1007/s10841-013-9588-2","ISSN":"1366638X","abstract":"Termites are major decomposers in tropical regions and play an important role in soil processes. This study investigated the termite assemblage structure across a sequence of differing land-use systems. With a standardized method, data were collected on termites from the following habitats: semi-deciduous forest, teak plantation, cocoa plantation, Jatropha plantation, food crop field and 4-years old fallow. Termite species richness declined from the semi-deciduous forest to 4-years old fallow through teak plantation, food crop field, cocoa plantation and Jatropha plantation. The relative abundance of fungus-growers was the highest in all land-use types while that of soil-feeders steeply declined in all man-modified sites. The wood-feeding species showed clear responses to disturbance, with low abundances in monospecific- and modified sites without high trees. Comparisons with other studies suggest that changes in the termite assemblage structure result from forest conversion to agricultural systems. To help mitigate the loss of termites when forests are disturbed or cleared, we recommend to: (1) promote the association of cropping and silvicultural systems that reduces changes in microclimate and maintains the original termite assemblage with the associated ecosystem services; (2) leave dead wood on the ground after forest disturbance to accelerate the recovery of the termite assemblage; and (3) increase forest and silvicultural patch size and reduce length of forest edges to sustain the survival of forest-dependent species. © 2013 Springer Science+Business Media Dordrecht.","author":[{"dropping-particle":"","family":"Dosso","given":"Kanvaly","non-dropping-particle":"","parse-names":false,"suffix":""},{"dropping-particle":"","family":"Deligne","given":"Jean","non-dropping-particle":"","parse-names":false,"suffix":""},{"dropping-particle":"","family":"Yéo","given":"Kolo","non-dropping-particle":"","parse-names":false,"suffix":""},{"dropping-particle":"","family":"Konaté","given":"Souleymane","non-dropping-particle":"","parse-names":false,"suffix":""},{"dropping-particle":"","family":"Linsenmair","given":"K. E.","non-dropping-particle":"","parse-names":false,"suffix":""}],"container-title":"Journal of Insect Conservation","id":"ITEM-4","issue":"5","issued":{"date-parts":[["2013","10","4"]]},"page":"1047-1057","publisher":"Springer","title":"Changes in the termite assemblage across a sequence of land-use systems in the rural area around Lamto Reserve in central Côte d'Ivoire","type":"article-journal","volume":"17"},"uris":["http://www.mendeley.com/documents/?uuid=f2d43cba-70c0-3566-acab-79026a111208"]}],"mendeley":{"formattedCitation":"(Eggleton &lt;i&gt;et al&lt;/i&gt; 1996, Jones &lt;i&gt;et al&lt;/i&gt; 2003, Muvengwi &lt;i&gt;et al&lt;/i&gt; 2017a, Dosso &lt;i&gt;et al&lt;/i&gt; 2013)","manualFormatting":"(e.g. Eggleton et al 1996, Jones et al 2003, Muvengwi et al 2017a, Dosso et al 2013)","plainTextFormattedCitation":"(Eggleton et al 1996, Jones et al 2003, Muvengwi et al 2017a, Dosso et al 2013)","previouslyFormattedCitation":"(Eggleton &lt;i&gt;et al&lt;/i&gt; 1996, Jones &lt;i&gt;et al&lt;/i&gt; 2003, Muvengwi &lt;i&gt;et al&lt;/i&gt; 2017a, Dosso &lt;i&gt;et al&lt;/i&gt; 2013)"},"properties":{"noteIndex":0},"schema":"https://github.com/citation-style-language/schema/raw/master/csl-citation.json"}</w:instrText>
      </w:r>
      <w:r>
        <w:rPr>
          <w:rFonts w:ascii="Times New Roman" w:hAnsi="Times New Roman"/>
          <w:sz w:val="24"/>
          <w:szCs w:val="24"/>
        </w:rPr>
        <w:fldChar w:fldCharType="separate"/>
      </w:r>
      <w:r w:rsidR="007C3783" w:rsidRPr="007C3783">
        <w:rPr>
          <w:rFonts w:ascii="Times New Roman" w:hAnsi="Times New Roman"/>
          <w:noProof/>
          <w:sz w:val="24"/>
          <w:szCs w:val="24"/>
        </w:rPr>
        <w:t>(</w:t>
      </w:r>
      <w:r w:rsidR="007C3783">
        <w:rPr>
          <w:rFonts w:ascii="Times New Roman" w:hAnsi="Times New Roman"/>
          <w:noProof/>
          <w:sz w:val="24"/>
          <w:szCs w:val="24"/>
        </w:rPr>
        <w:t xml:space="preserve">e.g. </w:t>
      </w:r>
      <w:r w:rsidR="007C3783" w:rsidRPr="007C3783">
        <w:rPr>
          <w:rFonts w:ascii="Times New Roman" w:hAnsi="Times New Roman"/>
          <w:noProof/>
          <w:sz w:val="24"/>
          <w:szCs w:val="24"/>
        </w:rPr>
        <w:t xml:space="preserve">Eggleton </w:t>
      </w:r>
      <w:r w:rsidR="007C3783" w:rsidRPr="007C3783">
        <w:rPr>
          <w:rFonts w:ascii="Times New Roman" w:hAnsi="Times New Roman"/>
          <w:i/>
          <w:noProof/>
          <w:sz w:val="24"/>
          <w:szCs w:val="24"/>
        </w:rPr>
        <w:t>et al</w:t>
      </w:r>
      <w:r w:rsidR="007C3783" w:rsidRPr="007C3783">
        <w:rPr>
          <w:rFonts w:ascii="Times New Roman" w:hAnsi="Times New Roman"/>
          <w:noProof/>
          <w:sz w:val="24"/>
          <w:szCs w:val="24"/>
        </w:rPr>
        <w:t xml:space="preserve"> 1996, Jones </w:t>
      </w:r>
      <w:r w:rsidR="007C3783" w:rsidRPr="007C3783">
        <w:rPr>
          <w:rFonts w:ascii="Times New Roman" w:hAnsi="Times New Roman"/>
          <w:i/>
          <w:noProof/>
          <w:sz w:val="24"/>
          <w:szCs w:val="24"/>
        </w:rPr>
        <w:t>et al</w:t>
      </w:r>
      <w:r w:rsidR="007C3783" w:rsidRPr="007C3783">
        <w:rPr>
          <w:rFonts w:ascii="Times New Roman" w:hAnsi="Times New Roman"/>
          <w:noProof/>
          <w:sz w:val="24"/>
          <w:szCs w:val="24"/>
        </w:rPr>
        <w:t xml:space="preserve"> 2003, Muvengwi </w:t>
      </w:r>
      <w:r w:rsidR="007C3783" w:rsidRPr="007C3783">
        <w:rPr>
          <w:rFonts w:ascii="Times New Roman" w:hAnsi="Times New Roman"/>
          <w:i/>
          <w:noProof/>
          <w:sz w:val="24"/>
          <w:szCs w:val="24"/>
        </w:rPr>
        <w:t>et al</w:t>
      </w:r>
      <w:r w:rsidR="007C3783" w:rsidRPr="007C3783">
        <w:rPr>
          <w:rFonts w:ascii="Times New Roman" w:hAnsi="Times New Roman"/>
          <w:noProof/>
          <w:sz w:val="24"/>
          <w:szCs w:val="24"/>
        </w:rPr>
        <w:t xml:space="preserve"> 2017a, Dosso </w:t>
      </w:r>
      <w:r w:rsidR="007C3783" w:rsidRPr="007C3783">
        <w:rPr>
          <w:rFonts w:ascii="Times New Roman" w:hAnsi="Times New Roman"/>
          <w:i/>
          <w:noProof/>
          <w:sz w:val="24"/>
          <w:szCs w:val="24"/>
        </w:rPr>
        <w:t>et al</w:t>
      </w:r>
      <w:r w:rsidR="007C3783" w:rsidRPr="007C3783">
        <w:rPr>
          <w:rFonts w:ascii="Times New Roman" w:hAnsi="Times New Roman"/>
          <w:noProof/>
          <w:sz w:val="24"/>
          <w:szCs w:val="24"/>
        </w:rPr>
        <w:t xml:space="preserve"> 2013)</w:t>
      </w:r>
      <w:r>
        <w:rPr>
          <w:rFonts w:ascii="Times New Roman" w:hAnsi="Times New Roman"/>
          <w:sz w:val="24"/>
          <w:szCs w:val="24"/>
        </w:rPr>
        <w:fldChar w:fldCharType="end"/>
      </w:r>
      <w:r>
        <w:rPr>
          <w:rFonts w:ascii="Times New Roman" w:hAnsi="Times New Roman"/>
          <w:sz w:val="24"/>
          <w:szCs w:val="24"/>
        </w:rPr>
        <w:t xml:space="preserve">, they are largely resistant to natural disturbance such as fire and herbivore activity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{"citationItems":[{"id":"ITEM-1","itemData":{"DOI":"10.1111/j.1365-2664.2012.02107.x","ISBN":"1365-2664","author":[{"dropping-particle":"","family":"Davies","given":"Andrew B","non-dropping-particle":"","parse-names":false,"suffix":""},{"dropping-particle":"","family":"Eggleton","given":"Paul","non-dropping-particle":"","parse-names":false,"suffix":""},{"dropping-particle":"","family":"Rensburg","given":"Berndt J","non-dropping-particle":"van","parse-names":false,"suffix":""},{"dropping-particle":"","family":"Parr","given":"Catherine L","non-dropping-particle":"","parse-names":false,"suffix":""}],"container-title":"Journal of Applied Ecology","id":"ITEM-1","issue":"2","issued":{"date-parts":[["2012"]]},"page":"422-430","publisher":"Blackwell Publishing Ltd","title":"The pyrodiversity–biodiversity hypothesis: a test with savanna termite assemblages","type":"article-journal","volume":"49"},"uris":["http://www.mendeley.com/documents/?uuid=9d554aad-2e6f-406f-a45c-62730109b7fb"]},{"id":"ITEM-2","itemData":{"DOI":"10.1016/j.biocon.2016.08.028","ISSN":"00063207","abstract":"© 2016 Elsevier Ltd Termites and mammalian herbivores might derive mutual benefit from each other through positive feedback loops, but empirical evidence is lacking. One suggested positive feedback loop is between termites and elephant, both ecosystem engineers. Termites, as decomposer organisms, contribute to nutrient cycling and soil enrichment, creating hotspots with increased forage quality. Elephant are known to select these high quality vegetation patches, depositing woody debris when foraging, but it is unknown whether elephant presence might affect termites, and if a feedback loop between these two taxa exists. We tested this hypothesis by measuring termite diversity and activity over three months in the summer wet season, inside and outside a long-term (eight years) elephant exclosure experiment in Sand Forest at Phinda Private Game Reserve, South Africa. Termites were sampled using cellulose baits and woody debris was quantified using line transects. Termite activity was not affected by eight years of elephant absence, despite a greater volume of woody debris where elephant were present. Termite assemblages were similarly unaffected by elephant absence. Apart from Schedorhinotermes, all other termite genera were sampled in both treatments. Therefore, the postulated positive feedback loop between termites and elephant is not supported in Sand Forest. However, this does not contradict findings that areas with high termite activity positively influence herbivore foraging, only that elephant foraging does not affect termite activity. This suggests that elephant disturbance (and elephant management policies) has little to no effect on termites and the fundamental roles they play in ecosystems over at least the short-term.","author":[{"dropping-particle":"","family":"Lagendijk","given":"D.D.G.","non-dropping-particle":"","parse-names":false,"suffix":""},{"dropping-particle":"","family":"Davies","given":"A.B.","non-dropping-particle":"","parse-names":false,"suffix":""},{"dropping-particle":"","family":"Eggleton","given":"P.","non-dropping-particle":"","parse-names":false,"suffix":""},{"dropping-particle":"","family":"Slotow","given":"R.","non-dropping-particle":"","parse-names":false,"suffix":""}],"container-title":"Biological Conservation","id":"ITEM-2","issued":{"date-parts":[["2016"]]},"title":"No evidence for an elephant-termite feedback loop in Sand Forest, South Africa","type":"article-journal","volume":"203"},"uris":["http://www.mendeley.com/documents/?uuid=2ebf8c90-d3f8-3fd2-a1c2-a73f06459da0"]}],"mendeley":{"formattedCitation":"(Davies &lt;i&gt;et al&lt;/i&gt; 2012, Lagendijk &lt;i&gt;et al&lt;/i&gt; 2016)","plainTextFormattedCitation":"(Davies et al 2012, Lagendijk et al 2016)","previouslyFormattedCitation":"(Davies &lt;i&gt;et al&lt;/i&gt; 2012, Lagendijk &lt;i&gt;et al&lt;/i&gt; 2016)"},"properties":{"noteIndex":0},"schema":"https://github.com/citation-style-language/schema/raw/master/csl-citation.json"}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2012, Lagendijk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2016)</w:t>
      </w:r>
      <w:r>
        <w:rPr>
          <w:rFonts w:ascii="Times New Roman" w:hAnsi="Times New Roman"/>
          <w:sz w:val="24"/>
          <w:szCs w:val="24"/>
        </w:rPr>
        <w:fldChar w:fldCharType="end"/>
      </w:r>
      <w:r>
        <w:rPr>
          <w:rFonts w:ascii="Times New Roman" w:hAnsi="Times New Roman"/>
          <w:sz w:val="24"/>
          <w:szCs w:val="24"/>
        </w:rPr>
        <w:t xml:space="preserve">, and could similarly be unperturbed by human activities that do not result in whole-scale landscape changes or mound destruction, which is often the case in agricultural systems. Furthermore, human attitudes towards termites, especially in subsistence settings, can be conflicting and potentially lead to differing outcomes for termite persistence. Many </w:t>
      </w:r>
      <w:r w:rsidR="00CF16B0">
        <w:rPr>
          <w:rFonts w:ascii="Times New Roman" w:hAnsi="Times New Roman"/>
          <w:sz w:val="24"/>
          <w:szCs w:val="24"/>
        </w:rPr>
        <w:t>people</w:t>
      </w:r>
      <w:r>
        <w:rPr>
          <w:rFonts w:ascii="Times New Roman" w:hAnsi="Times New Roman"/>
          <w:sz w:val="24"/>
          <w:szCs w:val="24"/>
        </w:rPr>
        <w:t xml:space="preserve"> acknowledge that termites can confer some benefits to agriculture and use termite mound soil in subsistence agricultural practices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{"citationItems":[{"id":"ITEM-1","itemData":{"abstract":"Despite their well-known role as pests, termites also provide essential ecosystem services. In this paper, we undertook a comprehensive review of studies on human&amp;#8211;termite interactions and farmers&amp;#8217; indigenous knowledge across Sub-Saharan Africa in an effort to build coherent principles for termite management. The review revealed that local communities have comprehensive indigenous knowledge of termite ecology and taxonomy, and apply various indigenous control practices. Many communities also have elaborate knowledge of the nutritional and medicinal value of termites and mushrooms associated with termite nests. Children and women also widely consume termite mound soil for nutritional or other benefits encouraged by indigenous belief systems. In addition, subsistence farmers use termites as indicators of soil fertility, and use termite mound soil in low-risk farming strategies for crop production. In the past, chemical control of termites has been initiated without empirical data on the termite species, their damage threshold, and the social, ecological, or economic risks and trade-offs of the control. This review has provided new insights into the intimate nature of human&amp;#8211;termite interactions in Africa and the risks of chemical control of termites to human welfare and the environment. We recommend that management of termites in future should be built on farmers&amp;#8217; indigenous knowledge and adequate understanding of the ecology of the local termite species.","author":[{"dropping-particle":"","family":"Sileshi","given":"Gudeta W","non-dropping-particle":"","parse-names":false,"suffix":""},{"dropping-particle":"","family":"Nyeko","given":"Philip","non-dropping-particle":"","parse-names":false,"suffix":""},{"dropping-particle":"","family":"Nkunika","given":"Phillip O Y","non-dropping-particle":"","parse-names":false,"suffix":""},{"dropping-particle":"","family":"Sekematte","given":"Benjamin M","non-dropping-particle":"","parse-names":false,"suffix":""},{"dropping-particle":"","family":"Akinnifesi","given":"Festus K","non-dropping-particle":"","parse-names":false,"suffix":""},{"dropping-particle":"","family":"Ajayi","given":"Oluyede C","non-dropping-particle":"","parse-names":false,"suffix":""}],"container-title":"Ecology and Society","id":"ITEM-1","issue":"1","issued":{"date-parts":[["2009"]]},"publisher":"The Resilience Alliance","title":"Integrating Ethno-Ecological and Scientific Knowledge of Termites for Sustainable Termite Management and Human Welfare in Africa","type":"article-journal","volume":"14"},"uris":["http://www.mendeley.com/documents/?uuid=41019f57-270f-4b5a-ac8e-4adf97a03ed3"]},{"id":"ITEM-2","itemData":{"DOI":"10.1007/s13593-017-0483-1","ISBN":"1359301704","ISSN":"17730155","abstract":"Sustainable agriculture and agro-ecology justify the need to study and understand the role played by ecological processes, and soil biodiversity in particular, in agro-ecosystem functioning. A large number of studies have focused on earthworms in temperate and humid tropical ecosystems and have demonstrated their importance for improving soil biological, physical, and chemical properties in agro-ecosystems. Their “success” is so essential that earthworms are widely considered key species and relevant indicators of soil health in temperate ecosystems. In arid and sub-arid ecosystems, the role of “soil engineer” is usually attributed to termites, and especially fungus-growing termites in Africa and Asia. However, despite this recognition, significant effort is spent eradicating them in plantations because of their pest status. In this review, we discuss the status of termites (“pests” vs. “soil engineers”) and question whether termites play similar roles to earthworms in arid- and sub-arid agroecosystems, with a focus on their influence on nutrient cycling and water dynamics. We argue that the dream of controlling natural interactions and ridding plantations of termites remains a costly legacy of the green revolution. We review the agricultural practices that have been used to reduce termite damage in plantations by restoring refuges to predators or by reorienting termite foraging activity towards organic amendments. Then, we show that the stimulation of termite activity can be used to improve key ecological functions in agro-ecosystems, such as increasing water availability to plants or producing fertility hot-spots. Finally, we suggest that more research on how termites can be used for improving ecosystem services, as is actually done with earthworms in temperate and humid tropical countries, could lead to a paradigm shift in our understanding of the impact of termites in tropical agro-ecosytems.","author":[{"dropping-particle":"","family":"Jouquet","given":"Pascal","non-dropping-particle":"","parse-names":false,"suffix":""},{"dropping-particle":"","family":"Chaudhary","given":"Ekta","non-dropping-particle":"","parse-names":false,"suffix":""},{"dropping-particle":"","family":"Kumar","given":"Amritha Raja Vinoda","non-dropping-particle":"","parse-names":false,"suffix":""}],"container-title":"Agronomy for Sustainable Development","id":"ITEM-2","issue":"1","issued":{"date-parts":[["2018","2","20"]]},"page":"3","publisher":"Springer Paris","title":"Sustainable use of termite activity in agro-ecosystems with reference to earthworms. A review","type":"article","volume":"38"},"uris":["http://www.mendeley.com/documents/?uuid=c0acba81-77d6-3b4d-8176-0beb57a16b48"]}],"mendeley":{"formattedCitation":"(Sileshi &lt;i&gt;et al&lt;/i&gt; 2009, Jouquet &lt;i&gt;et al&lt;/i&gt; 2018)","plainTextFormattedCitation":"(Sileshi et al 2009, Jouquet et al 2018)","previouslyFormattedCitation":"(Sileshi &lt;i&gt;et al&lt;/i&gt; 2009, Jouquet &lt;i&gt;et al&lt;/i&gt; 2018)"},"properties":{"noteIndex":0},"schema":"https://github.com/citation-style-language/schema/raw/master/csl-citation.json"}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(Sileshi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2009, Jouquet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2018)</w:t>
      </w:r>
      <w:r>
        <w:rPr>
          <w:rFonts w:ascii="Times New Roman" w:hAnsi="Times New Roman"/>
          <w:sz w:val="24"/>
          <w:szCs w:val="24"/>
        </w:rPr>
        <w:fldChar w:fldCharType="end"/>
      </w:r>
      <w:r>
        <w:rPr>
          <w:rFonts w:ascii="Times New Roman" w:hAnsi="Times New Roman"/>
          <w:sz w:val="24"/>
          <w:szCs w:val="24"/>
        </w:rPr>
        <w:t xml:space="preserve">. Humans, particularly in Africa, also consume termites as part of their diet or for medicinal purposes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{"citationItems":[{"id":"ITEM-1","itemData":{"abstract":"Despite their well-known role as pests, termites also provide essential ecosystem services. In this paper, we undertook a comprehensive review of studies on human&amp;#8211;termite interactions and farmers&amp;#8217; indigenous knowledge across Sub-Saharan Africa in an effort to build coherent principles for termite management. The review revealed that local communities have comprehensive indigenous knowledge of termite ecology and taxonomy, and apply various indigenous control practices. Many communities also have elaborate knowledge of the nutritional and medicinal value of termites and mushrooms associated with termite nests. Children and women also widely consume termite mound soil for nutritional or other benefits encouraged by indigenous belief systems. In addition, subsistence farmers use termites as indicators of soil fertility, and use termite mound soil in low-risk farming strategies for crop production. In the past, chemical control of termites has been initiated without empirical data on the termite species, their damage threshold, and the social, ecological, or economic risks and trade-offs of the control. This review has provided new insights into the intimate nature of human&amp;#8211;termite interactions in Africa and the risks of chemical control of termites to human welfare and the environment. We recommend that management of termites in future should be built on farmers&amp;#8217; indigenous knowledge and adequate understanding of the ecology of the local termite species.","author":[{"dropping-particle":"","family":"Sileshi","given":"Gudeta W","non-dropping-particle":"","parse-names":false,"suffix":""},{"dropping-particle":"","family":"Nyeko","given":"Philip","non-dropping-particle":"","parse-names":false,"suffix":""},{"dropping-particle":"","family":"Nkunika","given":"Phillip O Y","non-dropping-particle":"","parse-names":false,"suffix":""},{"dropping-particle":"","family":"Sekematte","given":"Benjamin M","non-dropping-particle":"","parse-names":false,"suffix":""},{"dropping-particle":"","family":"Akinnifesi","given":"Festus K","non-dropping-particle":"","parse-names":false,"suffix":""},{"dropping-particle":"","family":"Ajayi","given":"Oluyede C","non-dropping-particle":"","parse-names":false,"suffix":""}],"container-title":"Ecology and Society","id":"ITEM-1","issue":"1","issued":{"date-parts":[["2009"]]},"publisher":"The Resilience Alliance","title":"Integrating Ethno-Ecological and Scientific Knowledge of Termites for Sustainable Termite Management and Human Welfare in Africa","type":"article-journal","volume":"14"},"uris":["http://www.mendeley.com/documents/?uuid=41019f57-270f-4b5a-ac8e-4adf97a03ed3"]}],"mendeley":{"formattedCitation":"(Sileshi &lt;i&gt;et al&lt;/i&gt; 2009)","plainTextFormattedCitation":"(Sileshi et al 2009)","previouslyFormattedCitation":"(Sileshi &lt;i&gt;et al&lt;/i&gt; 2009)"},"properties":{"noteIndex":0},"schema":"https://github.com/citation-style-language/schema/raw/master/csl-citation.json"}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(Sileshi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2009)</w:t>
      </w:r>
      <w:r>
        <w:rPr>
          <w:rFonts w:ascii="Times New Roman" w:hAnsi="Times New Roman"/>
          <w:sz w:val="24"/>
          <w:szCs w:val="24"/>
        </w:rPr>
        <w:fldChar w:fldCharType="end"/>
      </w:r>
      <w:r>
        <w:rPr>
          <w:rFonts w:ascii="Times New Roman" w:hAnsi="Times New Roman"/>
          <w:sz w:val="24"/>
          <w:szCs w:val="24"/>
        </w:rPr>
        <w:t xml:space="preserve">, and could therefore be inclined to conserve termites. Conversely, however, termites are </w:t>
      </w:r>
      <w:r w:rsidR="00CF16B0">
        <w:rPr>
          <w:rFonts w:ascii="Times New Roman" w:hAnsi="Times New Roman"/>
          <w:sz w:val="24"/>
          <w:szCs w:val="24"/>
        </w:rPr>
        <w:t>often viewed</w:t>
      </w:r>
      <w:r>
        <w:rPr>
          <w:rFonts w:ascii="Times New Roman" w:hAnsi="Times New Roman"/>
          <w:sz w:val="24"/>
          <w:szCs w:val="24"/>
        </w:rPr>
        <w:t xml:space="preserve"> as pests that damage buildings and agricultural crops, which can </w:t>
      </w:r>
      <w:r w:rsidR="00CF16B0">
        <w:rPr>
          <w:rFonts w:ascii="Times New Roman" w:hAnsi="Times New Roman"/>
          <w:sz w:val="24"/>
          <w:szCs w:val="24"/>
        </w:rPr>
        <w:t>drive</w:t>
      </w:r>
      <w:r>
        <w:rPr>
          <w:rFonts w:ascii="Times New Roman" w:hAnsi="Times New Roman"/>
          <w:sz w:val="24"/>
          <w:szCs w:val="24"/>
        </w:rPr>
        <w:t xml:space="preserve"> efforts to exterminate them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{"citationItems":[{"id":"ITEM-1","itemData":{"DOI":"10.1007/978-90-481-3977-4_18","ISBN":"978-90-481-3977-4","abstract":"While pest species of termites are thought to belong predominantly to four families comprising the lower termites, the species causing the most damage to tropical agriculture belong to three of the four subfamilies of higher termites, lacking protist symbionts. A wide range of crops are affected, including trees in plantations and orchards, coconuts, palms, sugar cane, rice, maize, wheat, sorghum, groundnuts, coffee, tea, cocoa, yam, cassava and cotton. Market gardens and pastures can also be damaged. Organochlorine and organophosphate insecticides, once very effective agents of chemical control, are now prohibited or restricted, owing to their several toxicities, but alternatives of comparable efficacy in cropping systems are yet to be found. Integrated control strategies, combining improved cultural practices, attempts to increase plant vigour, and the introduction of biological agents to reduce termite populations may hold some hope for the future. Among the biological agents, entomopathogenic fungi and nematodes seem the most suitable for research and development.","author":[{"dropping-particle":"","family":"Rouland-Lefèvre","given":"Corinne","non-dropping-particle":"","parse-names":false,"suffix":""}],"editor":[{"dropping-particle":"","family":"Bignell","given":"David Edward","non-dropping-particle":"","parse-names":false,"suffix":""},{"dropping-particle":"","family":"Roisin","given":"Yves","non-dropping-particle":"","parse-names":false,"suffix":""},{"dropping-particle":"","family":"Lo","given":"Nathan","non-dropping-particle":"","parse-names":false,"suffix":""}],"id":"ITEM-1","issued":{"date-parts":[["2011"]]},"page":"499-517","publisher":"Springer Netherlands","publisher-place":"Dordrecht","title":"Termites as Pests of Agriculture BT  - Biology of Termites: a Modern Synthesis","type":"chapter"},"uris":["http://www.mendeley.com/documents/?uuid=1370039d-b367-4b4b-86da-faf30f481f79"]},{"id":"ITEM-2","itemData":{"DOI":"10.1007/978-94-017-3223-9_20","ISBN":"978-94-017-3223-9","abstract":"Of the more than 2,300 termite species in the world, 183 species are known to damage buildings and 83 species cause significant damage. Subterranean termites, including mound building and arboreal species, account for 147 (80%) of the economically important species. The genus Coptotermes contains the largest number of pest species (28), whereas the genus Cryptotermes, especially Cr. brevis, is the most widely introduced. The world-wide economic impact figure of termites is uncertain, but the control cost for termite pests in the United States was estimated at $1.5 billion annually in 1994. Because of differences in their life histories, control measures differ between subterranean and drywood species. Insecticide barriers are used for exclusion of soil-borne subterranean termites, whereas slow-acting baits are used for population control of subterranean termite colonies in and near structures. Whole-structure treatments (fumigation and heat), compartmental treatments (heat or cold), and local treatments (wood surface treatments or insecticide injection) are the primary tools for drywood termite control.","author":[{"dropping-particle":"","family":"Su","given":"Nan-Yao","non-dropping-particle":"","parse-names":false,"suffix":""},{"dropping-particle":"","family":"Scheffrahn","given":"Rudolf H","non-dropping-particle":"","parse-names":false,"suffix":""}],"editor":[{"dropping-particle":"","family":"Abe","given":"Takuya","non-dropping-particle":"","parse-names":false,"suffix":""},{"dropping-particle":"","family":"Bignell","given":"David Edward","non-dropping-particle":"","parse-names":false,"suffix":""},{"dropping-particle":"","family":"Higashi","given":"Masahiko","non-dropping-particle":"","parse-names":false,"suffix":""}],"id":"ITEM-2","issued":{"date-parts":[["2000"]]},"page":"437-453","publisher":"Springer Netherlands","publisher-place":"Dordrecht","title":"Termites as Pests of Buildings BT  - Termites: Evolution, Sociality, Symbioses, Ecology","type":"chapter"},"uris":["http://www.mendeley.com/documents/?uuid=704e6fa2-dd62-4018-87e2-5ff7b27b9199"]},{"id":"ITEM-3","itemData":{"DOI":"10.1007/s13593-017-0483-1","ISBN":"1359301704","ISSN":"17730155","abstract":"Sustainable agriculture and agro-ecology justify the need to study and understand the role played by ecological processes, and soil biodiversity in particular, in agro-ecosystem functioning. A large number of studies have focused on earthworms in temperate and humid tropical ecosystems and have demonstrated their importance for improving soil biological, physical, and chemical properties in agro-ecosystems. Their “success” is so essential that earthworms are widely considered key species and relevant indicators of soil health in temperate ecosystems. In arid and sub-arid ecosystems, the role of “soil engineer” is usually attributed to termites, and especially fungus-growing termites in Africa and Asia. However, despite this recognition, significant effort is spent eradicating them in plantations because of their pest status. In this review, we discuss the status of termites (“pests” vs. “soil engineers”) and question whether termites play similar roles to earthworms in arid- and sub-arid agroecosystems, with a focus on their influence on nutrient cycling and water dynamics. We argue that the dream of controlling natural interactions and ridding plantations of termites remains a costly legacy of the green revolution. We review the agricultural practices that have been used to reduce termite damage in plantations by restoring refuges to predators or by reorienting termite foraging activity towards organic amendments. Then, we show that the stimulation of termite activity can be used to improve key ecological functions in agro-ecosystems, such as increasing water availability to plants or producing fertility hot-spots. Finally, we suggest that more research on how termites can be used for improving ecosystem services, as is actually done with earthworms in temperate and humid tropical countries, could lead to a paradigm shift in our understanding of the impact of termites in tropical agro-ecosytems.","author":[{"dropping-particle":"","family":"Jouquet","given":"Pascal","non-dropping-particle":"","parse-names":false,"suffix":""},{"dropping-particle":"","family":"Chaudhary","given":"Ekta","non-dropping-particle":"","parse-names":false,"suffix":""},{"dropping-particle":"","family":"Kumar","given":"Amritha Raja Vinoda","non-dropping-particle":"","parse-names":false,"suffix":""}],"container-title":"Agronomy for Sustainable Development","id":"ITEM-3","issue":"1","issued":{"date-parts":[["2018","2","20"]]},"page":"3","publisher":"Springer Paris","title":"Sustainable use of termite activity in agro-ecosystems with reference to earthworms. A review","type":"article","volume":"38"},"uris":["http://www.mendeley.com/documents/?uuid=c0acba81-77d6-3b4d-8176-0beb57a16b48"]}],"mendeley":{"formattedCitation":"(Rouland-Lefèvre 2011, Su and Scheffrahn 2000, Jouquet &lt;i&gt;et al&lt;/i&gt; 2018)","plainTextFormattedCitation":"(Rouland-Lefèvre 2011, Su and Scheffrahn 2000, Jouquet et al 2018)","previouslyFormattedCitation":"(Rouland-Lefèvre 2011, Su and Scheffrahn 2000, Jouquet &lt;i&gt;et al&lt;/i&gt; 2018)"},"properties":{"noteIndex":0},"schema":"https://github.com/citation-style-language/schema/raw/master/csl-citation.json"}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(Rouland-Lefèvre 2011, Su and Scheffrahn 2000, Jouquet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2018)</w:t>
      </w:r>
      <w:r>
        <w:rPr>
          <w:rFonts w:ascii="Times New Roman" w:hAnsi="Times New Roman"/>
          <w:sz w:val="24"/>
          <w:szCs w:val="24"/>
        </w:rPr>
        <w:fldChar w:fldCharType="end"/>
      </w:r>
      <w:r>
        <w:rPr>
          <w:rFonts w:ascii="Times New Roman" w:hAnsi="Times New Roman"/>
          <w:sz w:val="24"/>
          <w:szCs w:val="24"/>
        </w:rPr>
        <w:t>.</w:t>
      </w:r>
      <w:r w:rsidR="00641338">
        <w:rPr>
          <w:rFonts w:ascii="Times New Roman" w:hAnsi="Times New Roman"/>
          <w:sz w:val="24"/>
          <w:szCs w:val="24"/>
        </w:rPr>
        <w:t xml:space="preserve"> </w:t>
      </w:r>
      <w:r w:rsidR="00641338" w:rsidRPr="004A6932">
        <w:rPr>
          <w:rFonts w:ascii="Times New Roman" w:hAnsi="Times New Roman" w:cs="Times New Roman"/>
          <w:sz w:val="24"/>
          <w:szCs w:val="24"/>
        </w:rPr>
        <w:t>Agricultural use of termite mound</w:t>
      </w:r>
      <w:r w:rsidR="00641338">
        <w:rPr>
          <w:rFonts w:ascii="Times New Roman" w:hAnsi="Times New Roman" w:cs="Times New Roman"/>
          <w:sz w:val="24"/>
          <w:szCs w:val="24"/>
        </w:rPr>
        <w:t xml:space="preserve"> soil</w:t>
      </w:r>
      <w:r w:rsidR="00641338" w:rsidRPr="004A6932">
        <w:rPr>
          <w:rFonts w:ascii="Times New Roman" w:hAnsi="Times New Roman" w:cs="Times New Roman"/>
          <w:sz w:val="24"/>
          <w:szCs w:val="24"/>
        </w:rPr>
        <w:t xml:space="preserve"> can also be destructive when cultivators disassemble mounds to distribute the enriched soil in crop fields</w:t>
      </w:r>
      <w:r w:rsidR="00641338">
        <w:rPr>
          <w:rFonts w:ascii="Times New Roman" w:hAnsi="Times New Roman" w:cs="Times New Roman"/>
          <w:sz w:val="24"/>
          <w:szCs w:val="24"/>
        </w:rPr>
        <w:t>.</w:t>
      </w:r>
    </w:p>
    <w:p w14:paraId="1DBBC9D7" w14:textId="1923E97D"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Here, we investigate effects of human activity on termite mounds by combining high-resolution airborne</w:t>
      </w:r>
      <w:r w:rsidR="002525E3">
        <w:rPr>
          <w:rFonts w:ascii="Times New Roman" w:hAnsi="Times New Roman"/>
          <w:sz w:val="24"/>
          <w:szCs w:val="24"/>
        </w:rPr>
        <w:t xml:space="preserve"> Light Detection and Ranging (</w:t>
      </w:r>
      <w:r>
        <w:rPr>
          <w:rFonts w:ascii="Times New Roman" w:hAnsi="Times New Roman"/>
          <w:sz w:val="24"/>
          <w:szCs w:val="24"/>
        </w:rPr>
        <w:t>LiDAR</w:t>
      </w:r>
      <w:r w:rsidR="002525E3">
        <w:rPr>
          <w:rFonts w:ascii="Times New Roman" w:hAnsi="Times New Roman"/>
          <w:sz w:val="24"/>
          <w:szCs w:val="24"/>
        </w:rPr>
        <w:t>)</w:t>
      </w:r>
      <w:r>
        <w:rPr>
          <w:rFonts w:ascii="Times New Roman" w:hAnsi="Times New Roman"/>
          <w:sz w:val="24"/>
          <w:szCs w:val="24"/>
        </w:rPr>
        <w:t xml:space="preserve"> data with deep learning models to map distributions and heights of mounds from the widespread termite genus </w:t>
      </w:r>
      <w:r>
        <w:rPr>
          <w:rFonts w:ascii="Times New Roman" w:hAnsi="Times New Roman"/>
          <w:i/>
          <w:sz w:val="24"/>
          <w:szCs w:val="24"/>
        </w:rPr>
        <w:t>Macrotermes</w:t>
      </w:r>
      <w:r>
        <w:rPr>
          <w:rFonts w:ascii="Times New Roman" w:hAnsi="Times New Roman"/>
          <w:sz w:val="24"/>
          <w:szCs w:val="24"/>
        </w:rPr>
        <w:t xml:space="preserve"> across a land-use gradient in South African savanna. We ask whether human land-use change has altered patterns in </w:t>
      </w:r>
      <w:r>
        <w:rPr>
          <w:rFonts w:ascii="Times New Roman" w:hAnsi="Times New Roman"/>
          <w:i/>
          <w:sz w:val="24"/>
          <w:szCs w:val="24"/>
        </w:rPr>
        <w:t>Macrotermes</w:t>
      </w:r>
      <w:r>
        <w:rPr>
          <w:rFonts w:ascii="Times New Roman" w:hAnsi="Times New Roman"/>
          <w:sz w:val="24"/>
          <w:szCs w:val="24"/>
        </w:rPr>
        <w:t xml:space="preserve"> mound densities, heights and spatial patterning. The surveyed landscapes consisted of four land-use types</w:t>
      </w:r>
      <w:r w:rsidR="00D27CF3">
        <w:rPr>
          <w:rFonts w:ascii="Times New Roman" w:hAnsi="Times New Roman"/>
          <w:sz w:val="24"/>
          <w:szCs w:val="24"/>
        </w:rPr>
        <w:t>, ordered here according to land-use intensity</w:t>
      </w: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an untransformed government-managed conservation area, Kruger National Park, that has remained </w:t>
      </w:r>
      <w:r>
        <w:rPr>
          <w:rFonts w:ascii="Times New Roman" w:hAnsi="Times New Roman"/>
          <w:sz w:val="24"/>
          <w:szCs w:val="24"/>
        </w:rPr>
        <w:lastRenderedPageBreak/>
        <w:t xml:space="preserve">protected over much of the past century, ii) a privately-owned conservation area that was converted from low density cattle farming to a protected conservation area in the 1960s, and communal areas comprised of land used either for iii) cattle grazing and/or firewood extraction or iv) small-scale subsistence agriculture by local communities. Termite mound locations were identified </w:t>
      </w:r>
      <w:r w:rsidR="00CF16B0">
        <w:rPr>
          <w:rFonts w:ascii="Times New Roman" w:hAnsi="Times New Roman"/>
          <w:sz w:val="24"/>
          <w:szCs w:val="24"/>
        </w:rPr>
        <w:t xml:space="preserve">in the LiDAR data </w:t>
      </w:r>
      <w:r>
        <w:rPr>
          <w:rFonts w:ascii="Times New Roman" w:hAnsi="Times New Roman"/>
          <w:sz w:val="24"/>
          <w:szCs w:val="24"/>
        </w:rPr>
        <w:t xml:space="preserve">using a convolutional neural network (CNN), allowing for the rapid and consistent classification across </w:t>
      </w:r>
      <w:r w:rsidR="004B5B2B">
        <w:rPr>
          <w:rFonts w:ascii="Times New Roman" w:hAnsi="Times New Roman"/>
          <w:sz w:val="24"/>
          <w:szCs w:val="24"/>
        </w:rPr>
        <w:t>land-use type</w:t>
      </w:r>
      <w:r>
        <w:rPr>
          <w:rFonts w:ascii="Times New Roman" w:hAnsi="Times New Roman"/>
          <w:sz w:val="24"/>
          <w:szCs w:val="24"/>
        </w:rPr>
        <w:t xml:space="preserve">s of 47,242 termite mounds over 76,474 ha. We analyzed differences in mound density, height, and spatial patterning across the land-use types by bootstrapping </w:t>
      </w:r>
      <w:r w:rsidR="00641338">
        <w:rPr>
          <w:rFonts w:ascii="Times New Roman" w:hAnsi="Times New Roman"/>
          <w:sz w:val="24"/>
          <w:szCs w:val="24"/>
        </w:rPr>
        <w:t xml:space="preserve">equal </w:t>
      </w:r>
      <w:r>
        <w:rPr>
          <w:rFonts w:ascii="Times New Roman" w:hAnsi="Times New Roman"/>
          <w:sz w:val="24"/>
          <w:szCs w:val="24"/>
        </w:rPr>
        <w:t xml:space="preserve">subsamples across </w:t>
      </w:r>
      <w:r w:rsidR="004B5B2B">
        <w:rPr>
          <w:rFonts w:ascii="Times New Roman" w:hAnsi="Times New Roman"/>
          <w:sz w:val="24"/>
          <w:szCs w:val="24"/>
        </w:rPr>
        <w:t>land-use type</w:t>
      </w:r>
      <w:r>
        <w:rPr>
          <w:rFonts w:ascii="Times New Roman" w:hAnsi="Times New Roman"/>
          <w:sz w:val="24"/>
          <w:szCs w:val="24"/>
        </w:rPr>
        <w:t xml:space="preserve">s, and by generating and analyzing Ripley’s K curves of termite mounds within each </w:t>
      </w:r>
      <w:r w:rsidR="004B5B2B">
        <w:rPr>
          <w:rFonts w:ascii="Times New Roman" w:hAnsi="Times New Roman"/>
          <w:sz w:val="24"/>
          <w:szCs w:val="24"/>
        </w:rPr>
        <w:t>land-use type</w:t>
      </w:r>
      <w:r>
        <w:rPr>
          <w:rFonts w:ascii="Times New Roman" w:hAnsi="Times New Roman"/>
          <w:sz w:val="24"/>
          <w:szCs w:val="24"/>
        </w:rPr>
        <w:t>.</w:t>
      </w:r>
    </w:p>
    <w:p w14:paraId="483B0D21" w14:textId="77777777"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 </w:t>
      </w:r>
    </w:p>
    <w:p w14:paraId="1C739008" w14:textId="77777777" w:rsidR="00421AD7" w:rsidRDefault="00344831">
      <w:pPr>
        <w:spacing w:after="0" w:line="480" w:lineRule="auto"/>
        <w:rPr>
          <w:rFonts w:ascii="Times New Roman" w:hAnsi="Times New Roman"/>
          <w:sz w:val="24"/>
          <w:szCs w:val="24"/>
        </w:rPr>
      </w:pPr>
      <w:r>
        <w:rPr>
          <w:rFonts w:ascii="Times New Roman" w:hAnsi="Times New Roman"/>
          <w:b/>
          <w:sz w:val="24"/>
          <w:szCs w:val="24"/>
        </w:rPr>
        <w:t>Methods</w:t>
      </w:r>
    </w:p>
    <w:p w14:paraId="18694765" w14:textId="77777777" w:rsidR="00421AD7" w:rsidRDefault="00344831">
      <w:pPr>
        <w:spacing w:after="0" w:line="480" w:lineRule="auto"/>
        <w:rPr>
          <w:rFonts w:ascii="Times New Roman" w:hAnsi="Times New Roman"/>
          <w:i/>
          <w:sz w:val="24"/>
          <w:szCs w:val="24"/>
        </w:rPr>
      </w:pPr>
      <w:r>
        <w:rPr>
          <w:rFonts w:ascii="Times New Roman" w:hAnsi="Times New Roman"/>
          <w:i/>
          <w:sz w:val="24"/>
          <w:szCs w:val="24"/>
        </w:rPr>
        <w:t>Study region</w:t>
      </w:r>
    </w:p>
    <w:p w14:paraId="314CBFF9" w14:textId="4699E86E" w:rsidR="008F309B" w:rsidRDefault="00CF16B0" w:rsidP="008F309B">
      <w:pPr>
        <w:spacing w:after="0" w:line="480" w:lineRule="auto"/>
        <w:rPr>
          <w:rFonts w:ascii="Times New Roman" w:hAnsi="Times New Roman"/>
          <w:sz w:val="24"/>
          <w:szCs w:val="24"/>
        </w:rPr>
      </w:pPr>
      <w:r>
        <w:rPr>
          <w:rFonts w:ascii="Times New Roman" w:hAnsi="Times New Roman"/>
          <w:sz w:val="24"/>
          <w:szCs w:val="24"/>
        </w:rPr>
        <w:t>Our</w:t>
      </w:r>
      <w:r w:rsidR="00344831">
        <w:rPr>
          <w:rFonts w:ascii="Times New Roman" w:hAnsi="Times New Roman"/>
          <w:sz w:val="24"/>
          <w:szCs w:val="24"/>
        </w:rPr>
        <w:t xml:space="preserve"> study </w:t>
      </w:r>
      <w:r>
        <w:rPr>
          <w:rFonts w:ascii="Times New Roman" w:hAnsi="Times New Roman"/>
          <w:sz w:val="24"/>
          <w:szCs w:val="24"/>
        </w:rPr>
        <w:t xml:space="preserve">took place in </w:t>
      </w:r>
      <w:r w:rsidR="00344831">
        <w:rPr>
          <w:rFonts w:ascii="Times New Roman" w:hAnsi="Times New Roman"/>
          <w:sz w:val="24"/>
          <w:szCs w:val="24"/>
        </w:rPr>
        <w:t>the Lowveld region of northeastern South Africa, a low-lying landscape dominated by savanna vegetation (Fig. 1). Mean annual precipitation is ~630 mm yr</w:t>
      </w:r>
      <w:r w:rsidR="00344831">
        <w:rPr>
          <w:rFonts w:ascii="Times New Roman" w:hAnsi="Times New Roman"/>
          <w:sz w:val="24"/>
          <w:szCs w:val="24"/>
          <w:vertAlign w:val="superscript"/>
        </w:rPr>
        <w:t>−1</w:t>
      </w:r>
      <w:r w:rsidR="00344831">
        <w:rPr>
          <w:rFonts w:ascii="Times New Roman" w:hAnsi="Times New Roman"/>
          <w:sz w:val="24"/>
          <w:szCs w:val="24"/>
        </w:rPr>
        <w:t xml:space="preserve"> and mean annual temperature is ~22° C. The dominant geology is granite, with gabbro intrusions also present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{"citationItems":[{"id":"ITEM-1","itemData":{"author":[{"dropping-particle":"","family":"Venter","given":"F J","non-dropping-particle":"","parse-names":false,"suffix":""},{"dropping-particle":"","family":"Scholes","given":"Robert J","non-dropping-particle":"","parse-names":false,"suffix":""},{"dropping-particle":"","family":"Eckhardt","given":"H C","non-dropping-particle":"","parse-names":false,"suffix":""}],"container-title":"The Kruger Experience: Ecology and Management of Savanna Heterogeneity","editor":[{"dropping-particle":"","family":"Toit","given":"J T","non-dropping-particle":"Du","parse-names":false,"suffix":""},{"dropping-particle":"","family":"Biggs","given":"H C","non-dropping-particle":"","parse-names":false,"suffix":""},{"dropping-particle":"","family":"Rogers","given":"K H","non-dropping-particle":"","parse-names":false,"suffix":""}],"id":"ITEM-1","issued":{"date-parts":[["2003"]]},"publisher":"Island Press","publisher-place":"Washington DC, USA","title":"The abiotic template and its associated vegetation pattern","type":"chapter"},"uris":["http://www.mendeley.com/documents/?uuid=cc8bbe66-12dc-4376-955a-cbc237307c66"]}],"mendeley":{"formattedCitation":"(Venter &lt;i&gt;et al&lt;/i&gt; 2003)","plainTextFormattedCitation":"(Venter et al 2003)","previouslyFormattedCitation":"(Venter &lt;i&gt;et al&lt;/i&gt; 2003)"},"properties":{"noteIndex":0},"schema":"https://github.com/citation-style-language/schema/raw/master/csl-citation.json"}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(Venter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2003)</w:t>
      </w:r>
      <w:r w:rsidR="00344831">
        <w:rPr>
          <w:rFonts w:ascii="Times New Roman" w:hAnsi="Times New Roman"/>
          <w:sz w:val="24"/>
          <w:szCs w:val="24"/>
        </w:rPr>
        <w:fldChar w:fldCharType="end"/>
      </w:r>
      <w:r w:rsidR="00344831">
        <w:rPr>
          <w:rFonts w:ascii="Times New Roman" w:hAnsi="Times New Roman"/>
          <w:sz w:val="24"/>
          <w:szCs w:val="24"/>
        </w:rPr>
        <w:t xml:space="preserve">. These gabbro intrusions were excluded from the study due to the low number of </w:t>
      </w:r>
      <w:r w:rsidR="00344831">
        <w:rPr>
          <w:rFonts w:ascii="Times New Roman" w:hAnsi="Times New Roman"/>
          <w:i/>
          <w:sz w:val="24"/>
          <w:szCs w:val="24"/>
        </w:rPr>
        <w:t>Macrotermes</w:t>
      </w:r>
      <w:r w:rsidR="00344831">
        <w:rPr>
          <w:rFonts w:ascii="Times New Roman" w:hAnsi="Times New Roman"/>
          <w:sz w:val="24"/>
          <w:szCs w:val="24"/>
        </w:rPr>
        <w:t xml:space="preserve"> mounds present on this geology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2014a)","plainTextFormattedCitation":"(Davies et al 2014a)","previouslyFormattedCitation":"(Davies &lt;i&gt;et al&lt;/i&gt; 2014a)"},"properties":{"noteIndex":0},"schema":"https://github.com/citation-style-language/schema/raw/master/csl-citation.json"}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sidR="00344831">
        <w:rPr>
          <w:rFonts w:ascii="Times New Roman" w:hAnsi="Times New Roman"/>
          <w:sz w:val="24"/>
          <w:szCs w:val="24"/>
        </w:rPr>
        <w:fldChar w:fldCharType="end"/>
      </w:r>
      <w:r w:rsidR="00344831">
        <w:rPr>
          <w:rFonts w:ascii="Times New Roman" w:hAnsi="Times New Roman"/>
          <w:sz w:val="24"/>
          <w:szCs w:val="24"/>
        </w:rPr>
        <w:t>. Three dominant land tenure systems are present in the region: (</w:t>
      </w:r>
      <w:proofErr w:type="spellStart"/>
      <w:r w:rsidR="00344831">
        <w:rPr>
          <w:rFonts w:ascii="Times New Roman" w:hAnsi="Times New Roman"/>
          <w:sz w:val="24"/>
          <w:szCs w:val="24"/>
        </w:rPr>
        <w:t>i</w:t>
      </w:r>
      <w:proofErr w:type="spellEnd"/>
      <w:r w:rsidR="00344831">
        <w:rPr>
          <w:rFonts w:ascii="Times New Roman" w:hAnsi="Times New Roman"/>
          <w:sz w:val="24"/>
          <w:szCs w:val="24"/>
        </w:rPr>
        <w:t xml:space="preserve">) Kruger National Park (KNP), a large government-owned conservation area, (ii) </w:t>
      </w:r>
      <w:proofErr w:type="spellStart"/>
      <w:r w:rsidR="00344831">
        <w:rPr>
          <w:rFonts w:ascii="Times New Roman" w:hAnsi="Times New Roman"/>
          <w:sz w:val="24"/>
          <w:szCs w:val="24"/>
        </w:rPr>
        <w:t>Sabi</w:t>
      </w:r>
      <w:proofErr w:type="spellEnd"/>
      <w:r w:rsidR="00344831">
        <w:rPr>
          <w:rFonts w:ascii="Times New Roman" w:hAnsi="Times New Roman"/>
          <w:sz w:val="24"/>
          <w:szCs w:val="24"/>
        </w:rPr>
        <w:t xml:space="preserve">-Sand Game Reserve, a privately-owned conservation area and (iii) state-owned communal areas. The area that is now KNP was officially conserved between 1898 and 1926 and today comprises almost 2 million ha. </w:t>
      </w:r>
      <w:proofErr w:type="spellStart"/>
      <w:r w:rsidR="00344831">
        <w:rPr>
          <w:rFonts w:ascii="Times New Roman" w:hAnsi="Times New Roman"/>
          <w:sz w:val="24"/>
          <w:szCs w:val="24"/>
        </w:rPr>
        <w:t>Sabi</w:t>
      </w:r>
      <w:proofErr w:type="spellEnd"/>
      <w:r w:rsidR="00344831">
        <w:rPr>
          <w:rFonts w:ascii="Times New Roman" w:hAnsi="Times New Roman"/>
          <w:sz w:val="24"/>
          <w:szCs w:val="24"/>
        </w:rPr>
        <w:t xml:space="preserve">-Sand Game Reserve is a 63,000 ha privately protected area sharing an unfenced boundary (fences were removed in 1991) with KNP on its southern and eastern limits. The reserve was established in </w:t>
      </w:r>
      <w:r w:rsidR="00344831">
        <w:rPr>
          <w:rFonts w:ascii="Times New Roman" w:hAnsi="Times New Roman"/>
          <w:sz w:val="24"/>
          <w:szCs w:val="24"/>
        </w:rPr>
        <w:lastRenderedPageBreak/>
        <w:t>1965 and consists of an association of freehold owners with a strong tourism-based approach to conservation. Prior to being a conservation area, the land was primarily used for low density commercial cattle farming. State-owned communal areas alongside these conservation areas are all within the Bushbuckridge municipality and are part of the former self-governing territories or ‘homelands’ established under the apartheid regime. Due to forced removals and relocations to the region during apartheid, population density</w:t>
      </w:r>
      <w:r w:rsidR="009E6771">
        <w:rPr>
          <w:rFonts w:ascii="Times New Roman" w:hAnsi="Times New Roman"/>
          <w:sz w:val="24"/>
          <w:szCs w:val="24"/>
        </w:rPr>
        <w:t xml:space="preserve"> (ranging between </w:t>
      </w:r>
      <w:r w:rsidR="00344831">
        <w:rPr>
          <w:rFonts w:ascii="Times New Roman" w:hAnsi="Times New Roman"/>
          <w:sz w:val="24"/>
          <w:szCs w:val="24"/>
        </w:rPr>
        <w:t>150 and 300 people km</w:t>
      </w:r>
      <w:r w:rsidR="009E6771">
        <w:rPr>
          <w:rFonts w:ascii="Times New Roman" w:hAnsi="Times New Roman"/>
          <w:sz w:val="24"/>
          <w:szCs w:val="24"/>
          <w:vertAlign w:val="superscript"/>
        </w:rPr>
        <w:t>-</w:t>
      </w:r>
      <w:r w:rsidR="00344831">
        <w:rPr>
          <w:rFonts w:ascii="Times New Roman" w:hAnsi="Times New Roman"/>
          <w:sz w:val="24"/>
          <w:szCs w:val="24"/>
          <w:vertAlign w:val="superscript"/>
        </w:rPr>
        <w:t>2</w:t>
      </w:r>
      <w:r w:rsidR="009E6771">
        <w:rPr>
          <w:rFonts w:ascii="Times New Roman" w:hAnsi="Times New Roman"/>
          <w:sz w:val="24"/>
          <w:szCs w:val="24"/>
        </w:rPr>
        <w:t xml:space="preserve">) is high, as are levels of </w:t>
      </w:r>
      <w:r w:rsidR="00344831">
        <w:rPr>
          <w:rFonts w:ascii="Times New Roman" w:hAnsi="Times New Roman"/>
          <w:sz w:val="24"/>
          <w:szCs w:val="24"/>
        </w:rPr>
        <w:t>unemployment</w:t>
      </w:r>
      <w:r w:rsidR="009E6771">
        <w:rPr>
          <w:rFonts w:ascii="Times New Roman" w:hAnsi="Times New Roman"/>
          <w:sz w:val="24"/>
          <w:szCs w:val="24"/>
        </w:rPr>
        <w:t xml:space="preserve">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{"citationItems":[{"id":"ITEM-1","itemData":{"author":[{"dropping-particle":"","family":"Pollard","given":"Sharon","non-dropping-particle":"","parse-names":false,"suffix":""},{"dropping-particle":"","family":"Shackleton","given":"Charlie M","non-dropping-particle":"","parse-names":false,"suffix":""},{"dropping-particle":"","family":"Carruthers","given":"Jane","non-dropping-particle":"","parse-names":false,"suffix":""}],"container-title":"The Kruger Experience: Ecology and Management of Savanna Heterogeneity","editor":[{"dropping-particle":"","family":"Toit","given":"Johan T.","non-dropping-particle":"Du","parse-names":false,"suffix":""},{"dropping-particle":"","family":"Rogers","given":"Kevin H.","non-dropping-particle":"","parse-names":false,"suffix":""},{"dropping-particle":"","family":"Biggs","given":"Harry C.","non-dropping-particle":"","parse-names":false,"suffix":""}],"id":"ITEM-1","issued":{"date-parts":[["2003"]]},"page":"422-446","publisher":"Island Press","publisher-place":"Washington, DC","title":"Beyond the fence: people and the lowveld landscape","type":"chapter"},"uris":["http://www.mendeley.com/documents/?uuid=70c34a2a-bcd0-41d1-8d01-ee3b903e8265"]}],"mendeley":{"formattedCitation":"(Pollard &lt;i&gt;et al&lt;/i&gt; 2003)","plainTextFormattedCitation":"(Pollard et al 2003)","previouslyFormattedCitation":"(Pollard &lt;i&gt;et al&lt;/i&gt; 2003)"},"properties":{"noteIndex":0},"schema":"https://github.com/citation-style-language/schema/raw/master/csl-citation.json"}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(Pollard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2003)</w:t>
      </w:r>
      <w:r w:rsidR="00344831">
        <w:rPr>
          <w:rFonts w:ascii="Times New Roman" w:hAnsi="Times New Roman"/>
          <w:sz w:val="24"/>
          <w:szCs w:val="24"/>
        </w:rPr>
        <w:fldChar w:fldCharType="end"/>
      </w:r>
      <w:r w:rsidR="00344831">
        <w:rPr>
          <w:rFonts w:ascii="Times New Roman" w:hAnsi="Times New Roman"/>
          <w:sz w:val="24"/>
          <w:szCs w:val="24"/>
        </w:rPr>
        <w:t xml:space="preserve">. Residents rely mostly on a combination of subsistence farming, livestock husbandry, and the consumption and trade of natural resources at informal markets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{"citationItems":[{"id":"ITEM-1","itemData":{"DOI":"10.1080/03768350120097441","ISSN":"0376-835X","abstract":"The majority of South Africa's rural population resides in the former homelands. Although cash from urban and government sources is the mainstay of the rural economy in many areas, the multiple and diverse livelihood base of rural households is not widely recognised. This diversity includes the land-based strategies of arable farming, livestock husbandry and consumption and trade in natural resources. This article examines recent and emerging literature from a livelihood perspective in terms of the role and value of each of these three land-based livelihood sectors. We conclude that the contribution of land-based activities to rural livelihoods is important in both financial and social terms, and is probably greater than previously appreciated within the whole gamut of livelihood strategies adopted by rural households, including transfers from formal employment and state pensions. We examine the policy implications of this for land and agrarian reform in South Africa.","author":[{"dropping-particle":"","family":"Shackleton","given":"Charlie M","non-dropping-particle":"","parse-names":false,"suffix":""},{"dropping-particle":"","family":"Shackleton","given":"Sheona E","non-dropping-particle":"","parse-names":false,"suffix":""},{"dropping-particle":"","family":"Cousins","given":"Ben","non-dropping-particle":"","parse-names":false,"suffix":""}],"container-title":"Development Southern Africa","id":"ITEM-1","issue":"5","issued":{"date-parts":[["2001","12"]]},"page":"581-604","publisher":" Taylor &amp; Francis Group ","title":"The role of land-based strategies in rural livelihoods: The contribution of arable production, animal husbandry and natural resource harvesting in communal areas in South Africa","type":"article-journal","volume":"18"},"uris":["http://www.mendeley.com/documents/?uuid=7f72c9df-b5f5-3749-9b68-556f48df70fd"]}],"mendeley":{"formattedCitation":"(Shackleton &lt;i&gt;et al&lt;/i&gt; 2001)","plainTextFormattedCitation":"(Shackleton et al 2001)","previouslyFormattedCitation":"(Shackleton &lt;i&gt;et al&lt;/i&gt; 2001)"},"properties":{"noteIndex":0},"schema":"https://github.com/citation-style-language/schema/raw/master/csl-citation.json"}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(Shackleton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2001)</w:t>
      </w:r>
      <w:r w:rsidR="00344831">
        <w:rPr>
          <w:rFonts w:ascii="Times New Roman" w:hAnsi="Times New Roman"/>
          <w:sz w:val="24"/>
          <w:szCs w:val="24"/>
        </w:rPr>
        <w:fldChar w:fldCharType="end"/>
      </w:r>
      <w:r w:rsidR="00344831">
        <w:rPr>
          <w:rFonts w:ascii="Times New Roman" w:hAnsi="Times New Roman"/>
          <w:sz w:val="24"/>
          <w:szCs w:val="24"/>
        </w:rPr>
        <w:t xml:space="preserve">. Electricity is increasingly available, but firewood remains a dominant fuel for cooking, resulting in high levels of firewood extraction from communal rangelands and a subsequent reduction of woody biomass and tree cover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{"citationItems":[{"id":"ITEM-1","itemData":{"DOI":"10.1088/1748-9326/8/1/014007","ISSN":"1748-9326","author":[{"dropping-particle":"","family":"Wessels","given":"K J","non-dropping-particle":"","parse-names":false,"suffix":""},{"dropping-particle":"","family":"Colgan","given":"M S","non-dropping-particle":"","parse-names":false,"suffix":""},{"dropping-particle":"","family":"Erasmus","given":"B F N","non-dropping-particle":"","parse-names":false,"suffix":""},{"dropping-particle":"","family":"Asner","given":"G P","non-dropping-particle":"","parse-names":false,"suffix":""},{"dropping-particle":"","family":"Twine","given":"W C","non-dropping-particle":"","parse-names":false,"suffix":""},{"dropping-particle":"","family":"Mathieu","given":"R","non-dropping-particle":"","parse-names":false,"suffix":""},{"dropping-particle":"","family":"Aardt","given":"J A N","non-dropping-particle":"van","parse-names":false,"suffix":""},{"dropping-particle":"","family":"Fisher","given":"J T","non-dropping-particle":"","parse-names":false,"suffix":""},{"dropping-particle":"","family":"Smit","given":"I P J","non-dropping-particle":"","parse-names":false,"suffix":""}],"container-title":"Environmental Research Letters","id":"ITEM-1","issue":"1","issued":{"date-parts":[["2013","3","1"]]},"page":"014007","publisher":"IOP Publishing","title":"Unsustainable fuelwood extraction from South African savannas","type":"article-journal","volume":"8"},"uris":["http://www.mendeley.com/documents/?uuid=04b2d216-c5a7-337d-b735-b33c46ad0ad4"]}],"mendeley":{"formattedCitation":"(Wessels &lt;i&gt;et al&lt;/i&gt; 2013)","plainTextFormattedCitation":"(Wessels et al 2013)","previouslyFormattedCitation":"(Wessels &lt;i&gt;et al&lt;/i&gt; 2013)"},"properties":{"noteIndex":0},"schema":"https://github.com/citation-style-language/schema/raw/master/csl-citation.json"}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(Wessels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2013)</w:t>
      </w:r>
      <w:r w:rsidR="00344831">
        <w:rPr>
          <w:rFonts w:ascii="Times New Roman" w:hAnsi="Times New Roman"/>
          <w:sz w:val="24"/>
          <w:szCs w:val="24"/>
        </w:rPr>
        <w:fldChar w:fldCharType="end"/>
      </w:r>
      <w:r w:rsidR="00344831">
        <w:rPr>
          <w:rFonts w:ascii="Times New Roman" w:hAnsi="Times New Roman"/>
          <w:sz w:val="24"/>
          <w:szCs w:val="24"/>
        </w:rPr>
        <w:t>. Rain-fed crops are grown around homesteads or in arable fields in close proximity to settlements.</w:t>
      </w:r>
    </w:p>
    <w:p w14:paraId="73247EFF" w14:textId="77777777" w:rsidR="00421AD7" w:rsidRDefault="00421AD7">
      <w:pPr>
        <w:spacing w:after="0" w:line="480" w:lineRule="auto"/>
        <w:rPr>
          <w:rFonts w:ascii="Times New Roman" w:hAnsi="Times New Roman"/>
          <w:sz w:val="24"/>
          <w:szCs w:val="24"/>
        </w:rPr>
      </w:pPr>
    </w:p>
    <w:p w14:paraId="5A28F98A" w14:textId="77777777" w:rsidR="00421AD7" w:rsidRDefault="00344831">
      <w:pPr>
        <w:spacing w:after="0" w:line="480" w:lineRule="auto"/>
        <w:rPr>
          <w:rFonts w:ascii="Times New Roman" w:hAnsi="Times New Roman"/>
          <w:i/>
          <w:sz w:val="24"/>
          <w:szCs w:val="24"/>
        </w:rPr>
      </w:pPr>
      <w:r>
        <w:rPr>
          <w:rFonts w:ascii="Times New Roman" w:hAnsi="Times New Roman"/>
          <w:i/>
          <w:sz w:val="24"/>
          <w:szCs w:val="24"/>
        </w:rPr>
        <w:t>LiDAR surveys</w:t>
      </w:r>
    </w:p>
    <w:p w14:paraId="70FA1B8A" w14:textId="6470C596"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Discrete-return airborne Light Detection and Ranging (LiDAR) data were collected over the study landscapes in late March/early April </w:t>
      </w:r>
      <w:r w:rsidR="00B678BB">
        <w:rPr>
          <w:rFonts w:ascii="Times New Roman" w:hAnsi="Times New Roman"/>
          <w:sz w:val="24"/>
          <w:szCs w:val="24"/>
        </w:rPr>
        <w:t xml:space="preserve">2012 </w:t>
      </w:r>
      <w:r>
        <w:rPr>
          <w:rFonts w:ascii="Times New Roman" w:hAnsi="Times New Roman"/>
          <w:sz w:val="24"/>
          <w:szCs w:val="24"/>
        </w:rPr>
        <w:t xml:space="preserve">using the </w:t>
      </w:r>
      <w:r w:rsidR="0031374B">
        <w:rPr>
          <w:rFonts w:ascii="Times New Roman" w:hAnsi="Times New Roman"/>
          <w:sz w:val="24"/>
          <w:szCs w:val="24"/>
        </w:rPr>
        <w:t>Global</w:t>
      </w:r>
      <w:r>
        <w:rPr>
          <w:rFonts w:ascii="Times New Roman" w:hAnsi="Times New Roman"/>
          <w:sz w:val="24"/>
          <w:szCs w:val="24"/>
        </w:rPr>
        <w:t xml:space="preserve"> Airborne Observatory (</w:t>
      </w:r>
      <w:r w:rsidR="0031374B">
        <w:rPr>
          <w:rFonts w:ascii="Times New Roman" w:hAnsi="Times New Roman"/>
          <w:sz w:val="24"/>
          <w:szCs w:val="24"/>
        </w:rPr>
        <w:t>G</w:t>
      </w:r>
      <w:r>
        <w:rPr>
          <w:rFonts w:ascii="Times New Roman" w:hAnsi="Times New Roman"/>
          <w:sz w:val="24"/>
          <w:szCs w:val="24"/>
        </w:rPr>
        <w:t>AO) Alpha system</w:t>
      </w:r>
      <w:r w:rsidR="0031374B">
        <w:rPr>
          <w:rFonts w:ascii="Times New Roman" w:hAnsi="Times New Roman"/>
          <w:sz w:val="24"/>
          <w:szCs w:val="24"/>
        </w:rPr>
        <w:t>, formerly known as the Carnegie Airborne Observatory</w:t>
      </w:r>
      <w:r>
        <w:rPr>
          <w:rFonts w:ascii="Times New Roman" w:hAnsi="Times New Roman"/>
          <w:sz w:val="24"/>
          <w:szCs w:val="24"/>
        </w:rPr>
        <w:t xml:space="preserv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{"citationItems":[{"id":"ITEM-1","itemData":{"DOI":"10.1117/1.2794018","abstract":"Airborne remote sensing could play a more integrative role in regional ecosystem studies if the information derived from airborne observations could be readily converted to physical and chemical quantities representative of ecosystem processes and properties. We have undertaken an effort to specify, deploy, and apply a new system - the Carnegie Airborne Observatory (CAO) - to remotely measure a suite of ecosystem structural and biochemical properties in a way that can rapidly advance regional ecological research for conservation, management and resource policy development. The CAO \"Alpha System\" provides in-flight fusion of high-fidelity visible/near-infrared imaging spectrometer data with scanning, waveform light detection and ranging (wLiDAR) data, along with an integrated navigation and data processing approach, that results in geo-orthorectified products for vegetation structure, biochemistry, and physiology as well as the underlying topography. Here we present the scientific rationale for developing the system, and provide sample data fusion results demonstrating the potential breakthroughs that hybrid hyperspectral-wLiDAR systems might bring to the scientific community.","author":[{"dropping-particle":"","family":"Asner","given":"Gregory P","non-dropping-particle":"","parse-names":false,"suffix":""},{"dropping-particle":"","family":"Knapp","given":"David E","non-dropping-particle":"","parse-names":false,"suffix":""},{"dropping-particle":"","family":"Kennedy-Bowdoin","given":"Ty","non-dropping-particle":"","parse-names":false,"suffix":""},{"dropping-particle":"","family":"Jones","given":"Matthew O","non-dropping-particle":"","parse-names":false,"suffix":""},{"dropping-particle":"","family":"Martin","given":"Roberta E","non-dropping-particle":"","parse-names":false,"suffix":""},{"dropping-particle":"","family":"Boardman","given":"Joseph","non-dropping-particle":"","parse-names":false,"suffix":""},{"dropping-particle":"","family":"Field","given":"Christopher B","non-dropping-particle":"","parse-names":false,"suffix":""}],"container-title":"Journal of Applied Remote Sensing","id":"ITEM-1","issue":"1","issued":{"date-parts":[["2007"]]},"note":"10.1117/1.2794018","page":"13536","title":"Carnegie Airborne Observatory: in-flight fusion of hyperspectral imaging and waveform light detection and ranging for three-dimensional studies of ecosystems","type":"article-journal","volume":"1"},"uris":["http://www.mendeley.com/documents/?uuid=5afa9f7f-d8fe-4f02-b341-5e8b63c60ff5"]}],"mendeley":{"formattedCitation":"(Asner &lt;i&gt;et al&lt;/i&gt; 2007)","plainTextFormattedCitation":"(Asner et al 2007)","previouslyFormattedCitation":"(Asner &lt;i&gt;et al&lt;/i&gt; 2007)"},"properties":{"noteIndex":0},"schema":"https://github.com/citation-style-language/schema/raw/master/csl-citation.json"}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(Asner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2007)</w:t>
      </w:r>
      <w:r>
        <w:rPr>
          <w:rFonts w:ascii="Times New Roman" w:hAnsi="Times New Roman"/>
          <w:sz w:val="24"/>
          <w:szCs w:val="24"/>
        </w:rPr>
        <w:fldChar w:fldCharType="end"/>
      </w:r>
      <w:r>
        <w:rPr>
          <w:rFonts w:ascii="Times New Roman" w:hAnsi="Times New Roman"/>
          <w:sz w:val="24"/>
          <w:szCs w:val="24"/>
        </w:rPr>
        <w:t>. The LiDAR surveys were carried out at the end of the wet season when vegetation was at leaf-on stage. The aircraft was flown at approximately 2</w:t>
      </w:r>
      <w:r w:rsidR="00626406">
        <w:rPr>
          <w:rFonts w:ascii="Times New Roman" w:hAnsi="Times New Roman"/>
          <w:sz w:val="24"/>
          <w:szCs w:val="24"/>
        </w:rPr>
        <w:t>,</w:t>
      </w:r>
      <w:r>
        <w:rPr>
          <w:rFonts w:ascii="Times New Roman" w:hAnsi="Times New Roman"/>
          <w:sz w:val="24"/>
          <w:szCs w:val="24"/>
        </w:rPr>
        <w:t>000 m above ground level, achieving an average laser shot point spacing of 2 shots m</w:t>
      </w:r>
      <w:r>
        <w:rPr>
          <w:rFonts w:ascii="Times New Roman" w:hAnsi="Times New Roman"/>
          <w:sz w:val="24"/>
          <w:szCs w:val="24"/>
          <w:vertAlign w:val="superscript"/>
        </w:rPr>
        <w:t>−2</w:t>
      </w:r>
      <w:r>
        <w:rPr>
          <w:rFonts w:ascii="Times New Roman" w:hAnsi="Times New Roman"/>
          <w:sz w:val="24"/>
          <w:szCs w:val="24"/>
        </w:rPr>
        <w:t xml:space="preserve">. Further details concerning the LiDAR specifications can be found in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{"citationItems":[{"id":"ITEM-1","itemData":{"ISBN":"0027-8424","author":[{"dropping-particle":"","family":"Asner","given":"Gregory P","non-dropping-particle":"","parse-names":false,"suffix":""},{"dropping-particle":"","family":"Levick","given":"Shaun R","non-dropping-particle":"","parse-names":false,"suffix":""},{"dropping-particle":"","family":"Kennedy-Bowdoin","given":"Ty","non-dropping-particle":"","parse-names":false,"suffix":""},{"dropping-particle":"","family":"Knapp","given":"David E","non-dropping-particle":"","parse-names":false,"suffix":""},{"dropping-particle":"","family":"Emerson","given":"Ruth","non-dropping-particle":"","parse-names":false,"suffix":""},{"dropping-particle":"","family":"Jacobson","given":"James","non-dropping-particle":"","parse-names":false,"suffix":""},{"dropping-particle":"","family":"Colgan","given":"Matthew S","non-dropping-particle":"","parse-names":false,"suffix":""},{"dropping-particle":"","family":"Martin","given":"Roberta E","non-dropping-particle":"","parse-names":false,"suffix":""}],"container-title":"Proceedings of the National Academy of Sciences USA","id":"ITEM-1","issue":"12","issued":{"date-parts":[["2009"]]},"page":"4947-4952","title":"Large-scale impacts of herbivores on the structural diversity of African savannas","type":"article-journal","volume":"106"},"uris":["http://www.mendeley.com/documents/?uuid=96b4b798-cbca-4ba9-a664-6dad4e7a09e1"]}],"mendeley":{"formattedCitation":"(Asner &lt;i&gt;et al&lt;/i&gt; 2009)","manualFormatting":"Asner et al. (2009)","plainTextFormattedCitation":"(Asner et al 2009)","previouslyFormattedCitation":"(Asner &lt;i&gt;et al&lt;/i&gt; 2009)"},"properties":{"noteIndex":0},"schema":"https://github.com/citation-style-language/schema/raw/master/csl-citation.json"}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Asner et al. (2009)</w:t>
      </w:r>
      <w:r>
        <w:rPr>
          <w:rFonts w:ascii="Times New Roman" w:hAnsi="Times New Roman"/>
          <w:sz w:val="24"/>
          <w:szCs w:val="24"/>
        </w:rPr>
        <w:fldChar w:fldCharType="end"/>
      </w:r>
      <w:r>
        <w:rPr>
          <w:rFonts w:ascii="Times New Roman" w:hAnsi="Times New Roman"/>
          <w:sz w:val="24"/>
          <w:szCs w:val="24"/>
        </w:rPr>
        <w:t xml:space="preserve">. LiDAR data enable high-resolution and accurate measurements of three-dimensional vegetation structure and the underlying terrain over </w:t>
      </w:r>
      <w:r>
        <w:rPr>
          <w:rFonts w:ascii="Times New Roman" w:hAnsi="Times New Roman"/>
          <w:sz w:val="24"/>
          <w:szCs w:val="24"/>
        </w:rPr>
        <w:lastRenderedPageBreak/>
        <w:t xml:space="preserve">large spatial extents by combining laser ranges from the LiDAR with location data from an embedded Global Positioning System-Inertial Measurement Unit (GPS-IMU)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{"citationItems":[{"id":"ITEM-1","itemData":{"DOI":"10.1117/1.2794018","abstract":"Airborne remote sensing could play a more integrative role in regional ecosystem studies if the information derived from airborne observations could be readily converted to physical and chemical quantities representative of ecosystem processes and properties. We have undertaken an effort to specify, deploy, and apply a new system - the Carnegie Airborne Observatory (CAO) - to remotely measure a suite of ecosystem structural and biochemical properties in a way that can rapidly advance regional ecological research for conservation, management and resource policy development. The CAO \"Alpha System\" provides in-flight fusion of high-fidelity visible/near-infrared imaging spectrometer data with scanning, waveform light detection and ranging (wLiDAR) data, along with an integrated navigation and data processing approach, that results in geo-orthorectified products for vegetation structure, biochemistry, and physiology as well as the underlying topography. Here we present the scientific rationale for developing the system, and provide sample data fusion results demonstrating the potential breakthroughs that hybrid hyperspectral-wLiDAR systems might bring to the scientific community.","author":[{"dropping-particle":"","family":"Asner","given":"Gregory P","non-dropping-particle":"","parse-names":false,"suffix":""},{"dropping-particle":"","family":"Knapp","given":"David E","non-dropping-particle":"","parse-names":false,"suffix":""},{"dropping-particle":"","family":"Kennedy-Bowdoin","given":"Ty","non-dropping-particle":"","parse-names":false,"suffix":""},{"dropping-particle":"","family":"Jones","given":"Matthew O","non-dropping-particle":"","parse-names":false,"suffix":""},{"dropping-particle":"","family":"Martin","given":"Roberta E","non-dropping-particle":"","parse-names":false,"suffix":""},{"dropping-particle":"","family":"Boardman","given":"Joseph","non-dropping-particle":"","parse-names":false,"suffix":""},{"dropping-particle":"","family":"Field","given":"Christopher B","non-dropping-particle":"","parse-names":false,"suffix":""}],"container-title":"Journal of Applied Remote Sensing","id":"ITEM-1","issue":"1","issued":{"date-parts":[["2007"]]},"note":"10.1117/1.2794018","page":"13536","title":"Carnegie Airborne Observatory: in-flight fusion of hyperspectral imaging and waveform light detection and ranging for three-dimensional studies of ecosystems","type":"article-journal","volume":"1"},"uris":["http://www.mendeley.com/documents/?uuid=5afa9f7f-d8fe-4f02-b341-5e8b63c60ff5"]}],"mendeley":{"formattedCitation":"(Asner &lt;i&gt;et al&lt;/i&gt; 2007)","plainTextFormattedCitation":"(Asner et al 2007)","previouslyFormattedCitation":"(Asner &lt;i&gt;et al&lt;/i&gt; 2007)"},"properties":{"noteIndex":0},"schema":"https://github.com/citation-style-language/schema/raw/master/csl-citation.json"}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(Asner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2007)</w:t>
      </w:r>
      <w:r>
        <w:rPr>
          <w:rFonts w:ascii="Times New Roman" w:hAnsi="Times New Roman"/>
          <w:sz w:val="24"/>
          <w:szCs w:val="24"/>
        </w:rPr>
        <w:fldChar w:fldCharType="end"/>
      </w:r>
      <w:r>
        <w:rPr>
          <w:rFonts w:ascii="Times New Roman" w:hAnsi="Times New Roman"/>
          <w:sz w:val="24"/>
          <w:szCs w:val="24"/>
        </w:rPr>
        <w:t xml:space="preserve">. This </w:t>
      </w:r>
      <w:r w:rsidR="0067768E">
        <w:rPr>
          <w:rFonts w:ascii="Times New Roman" w:hAnsi="Times New Roman"/>
          <w:sz w:val="24"/>
          <w:szCs w:val="24"/>
        </w:rPr>
        <w:t xml:space="preserve">combination </w:t>
      </w:r>
      <w:r>
        <w:rPr>
          <w:rFonts w:ascii="Times New Roman" w:hAnsi="Times New Roman"/>
          <w:sz w:val="24"/>
          <w:szCs w:val="24"/>
        </w:rPr>
        <w:t xml:space="preserve">results in a three dimensional ‘point cloud’ of known locations from each laser-surface interaction. LiDAR data points were processed to identify which laser pulses penetrated the vegetation canopy and reached the ground surface using the </w:t>
      </w:r>
      <w:proofErr w:type="spellStart"/>
      <w:r>
        <w:rPr>
          <w:rFonts w:ascii="Times New Roman" w:hAnsi="Times New Roman"/>
          <w:i/>
          <w:sz w:val="24"/>
          <w:szCs w:val="24"/>
        </w:rPr>
        <w:t>lasground</w:t>
      </w:r>
      <w:proofErr w:type="spellEnd"/>
      <w:r>
        <w:rPr>
          <w:rFonts w:ascii="Times New Roman" w:hAnsi="Times New Roman"/>
          <w:sz w:val="24"/>
          <w:szCs w:val="24"/>
        </w:rPr>
        <w:t xml:space="preserve"> tool packaged in </w:t>
      </w:r>
      <w:proofErr w:type="spellStart"/>
      <w:r>
        <w:rPr>
          <w:rFonts w:ascii="Times New Roman" w:hAnsi="Times New Roman"/>
          <w:sz w:val="24"/>
          <w:szCs w:val="24"/>
        </w:rPr>
        <w:t>LAStools</w:t>
      </w:r>
      <w:proofErr w:type="spellEnd"/>
      <w:r>
        <w:rPr>
          <w:rFonts w:ascii="Times New Roman" w:hAnsi="Times New Roman"/>
          <w:sz w:val="24"/>
          <w:szCs w:val="24"/>
        </w:rPr>
        <w:t xml:space="preserve"> software (</w:t>
      </w:r>
      <w:proofErr w:type="spellStart"/>
      <w:r>
        <w:rPr>
          <w:rFonts w:ascii="Times New Roman" w:hAnsi="Times New Roman"/>
          <w:sz w:val="24"/>
          <w:szCs w:val="24"/>
        </w:rPr>
        <w:t>Rapidlasso</w:t>
      </w:r>
      <w:proofErr w:type="spellEnd"/>
      <w:r>
        <w:rPr>
          <w:rFonts w:ascii="Times New Roman" w:hAnsi="Times New Roman"/>
          <w:sz w:val="24"/>
          <w:szCs w:val="24"/>
        </w:rPr>
        <w:t xml:space="preserve">, </w:t>
      </w:r>
      <w:proofErr w:type="spellStart"/>
      <w:r>
        <w:rPr>
          <w:rFonts w:ascii="Times New Roman" w:hAnsi="Times New Roman"/>
          <w:sz w:val="24"/>
          <w:szCs w:val="24"/>
        </w:rPr>
        <w:t>Gilching</w:t>
      </w:r>
      <w:proofErr w:type="spellEnd"/>
      <w:r>
        <w:rPr>
          <w:rFonts w:ascii="Times New Roman" w:hAnsi="Times New Roman"/>
          <w:sz w:val="24"/>
          <w:szCs w:val="24"/>
        </w:rPr>
        <w:t>, Germany). These points were used to interpolate a digital terrain model (DTM) of the ground surface at a 1 m resolution.</w:t>
      </w:r>
    </w:p>
    <w:p w14:paraId="45FF795D" w14:textId="77777777" w:rsidR="00421AD7" w:rsidRDefault="00421AD7">
      <w:pPr>
        <w:spacing w:after="0" w:line="480" w:lineRule="auto"/>
        <w:rPr>
          <w:rFonts w:ascii="Times New Roman" w:hAnsi="Times New Roman"/>
          <w:sz w:val="24"/>
          <w:szCs w:val="24"/>
        </w:rPr>
      </w:pPr>
    </w:p>
    <w:p w14:paraId="74DFC4EA" w14:textId="77777777" w:rsidR="00421AD7" w:rsidRDefault="00344831">
      <w:pPr>
        <w:spacing w:after="0" w:line="480" w:lineRule="auto"/>
        <w:rPr>
          <w:rFonts w:ascii="Times New Roman" w:hAnsi="Times New Roman"/>
          <w:i/>
          <w:sz w:val="24"/>
          <w:szCs w:val="24"/>
        </w:rPr>
      </w:pPr>
      <w:r>
        <w:rPr>
          <w:rFonts w:ascii="Times New Roman" w:hAnsi="Times New Roman"/>
          <w:i/>
          <w:sz w:val="24"/>
          <w:szCs w:val="24"/>
        </w:rPr>
        <w:t>Termite mound identification</w:t>
      </w:r>
    </w:p>
    <w:p w14:paraId="479246EF" w14:textId="184472C4"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The LiDAR-derived DTM’s were used to produce a </w:t>
      </w:r>
      <w:proofErr w:type="spellStart"/>
      <w:r>
        <w:rPr>
          <w:rFonts w:ascii="Times New Roman" w:hAnsi="Times New Roman"/>
          <w:sz w:val="24"/>
          <w:szCs w:val="24"/>
        </w:rPr>
        <w:t>hillshade</w:t>
      </w:r>
      <w:proofErr w:type="spellEnd"/>
      <w:r>
        <w:rPr>
          <w:rFonts w:ascii="Times New Roman" w:hAnsi="Times New Roman"/>
          <w:sz w:val="24"/>
          <w:szCs w:val="24"/>
        </w:rPr>
        <w:t xml:space="preserve"> map, from which 16,025 termite mounds were manually identified over 23,013 ha. Manual identification of termite mounds from </w:t>
      </w:r>
      <w:proofErr w:type="spellStart"/>
      <w:r>
        <w:rPr>
          <w:rFonts w:ascii="Times New Roman" w:hAnsi="Times New Roman"/>
          <w:sz w:val="24"/>
          <w:szCs w:val="24"/>
        </w:rPr>
        <w:t>hillshade</w:t>
      </w:r>
      <w:proofErr w:type="spellEnd"/>
      <w:r>
        <w:rPr>
          <w:rFonts w:ascii="Times New Roman" w:hAnsi="Times New Roman"/>
          <w:sz w:val="24"/>
          <w:szCs w:val="24"/>
        </w:rPr>
        <w:t xml:space="preserve"> maps has been shown to be accurate for mounds over 0.5 m in height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2014a)","plainTextFormattedCitation":"(Davies et al 2014a)","previouslyFormattedCitation":"(Davies &lt;i&gt;et al&lt;/i&gt; 2014a)"},"properties":{"noteIndex":0},"schema":"https://github.com/citation-style-language/schema/raw/master/csl-citation.json"}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Pr>
          <w:rFonts w:ascii="Times New Roman" w:hAnsi="Times New Roman"/>
          <w:sz w:val="24"/>
          <w:szCs w:val="24"/>
        </w:rPr>
        <w:fldChar w:fldCharType="end"/>
      </w:r>
      <w:r>
        <w:rPr>
          <w:rFonts w:ascii="Times New Roman" w:hAnsi="Times New Roman"/>
          <w:sz w:val="24"/>
          <w:szCs w:val="24"/>
        </w:rPr>
        <w:t xml:space="preserve">. Two separate convolutional neural networks (CNNs) were then trained with different landscape subset sizes (256 x 256 and 512 x 512 m), and ensembled to generate a final probability. We used a CNN architecture designed for semantic segmentation, structurally similar to U-Net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{"citationItems":[{"id":"ITEM-1","itemData":{"DOI":"10.1007/978-3-319-24574-4_28","ISBN":"9783319245737","ISSN":"16113349","PMID":"23285570","abstract":"There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 .","author":[{"dropping-particle":"","family":"Ronneberger","given":"Olaf","non-dropping-particle":"","parse-names":false,"suffix":""},{"dropping-particle":"","family":"Fischer","given":"Philipp","non-dropping-particle":"","parse-names":false,"suffix":""},{"dropping-particle":"","family":"Brox","given":"Thomas","non-dropping-particle":"","parse-names":false,"suffix":""}],"container-title":"Lecture Notes in Computer Science (including subseries Lecture Notes in Artificial Intelligence and Lecture Notes in Bioinformatics)","id":"ITEM-1","issued":{"date-parts":[["2015"]]},"page":"234-241","publisher":"Springer, Cham","title":"U-net: Convolutional networks for biomedical image segmentation","type":"paper-conference","volume":"9351"},"uris":["http://www.mendeley.com/documents/?uuid=d102cc98-68b0-3e07-90fc-7ddeeab50d48"]}],"mendeley":{"formattedCitation":"(Ronneberger &lt;i&gt;et al&lt;/i&gt; 2015)","plainTextFormattedCitation":"(Ronneberger et al 2015)","previouslyFormattedCitation":"(Ronneberger &lt;i&gt;et al&lt;/i&gt; 2015)"},"properties":{"noteIndex":0},"schema":"https://github.com/citation-style-language/schema/raw/master/csl-citation.json"}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(Ronneberger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2015)</w:t>
      </w:r>
      <w:r>
        <w:rPr>
          <w:rFonts w:ascii="Times New Roman" w:hAnsi="Times New Roman"/>
          <w:sz w:val="24"/>
          <w:szCs w:val="24"/>
        </w:rPr>
        <w:fldChar w:fldCharType="end"/>
      </w:r>
      <w:r>
        <w:rPr>
          <w:rFonts w:ascii="Times New Roman" w:hAnsi="Times New Roman"/>
          <w:sz w:val="24"/>
          <w:szCs w:val="24"/>
        </w:rPr>
        <w:t xml:space="preserve"> but adapted for different input sizes</w:t>
      </w:r>
      <w:r w:rsidR="00444F31">
        <w:rPr>
          <w:rFonts w:ascii="Times New Roman" w:hAnsi="Times New Roman"/>
          <w:sz w:val="24"/>
          <w:szCs w:val="24"/>
        </w:rPr>
        <w:t xml:space="preserve"> </w:t>
      </w:r>
      <w:r w:rsidR="00444F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{"citationItems":[{"id":"ITEM-1","itemData":{"DOI":"10.1016/j.tree.2019.03.006","ISSN":"01695347","PMID":"31078331","abstract":"Using remotely sensed imagery to identify biophysical components across landscapes is an important avenue of investigation for ecologists studying ecosystem dynamics. With high-resolution remotely sensed imagery, algorithmic utilization of image context is crucial for accurate identification of biophysical components at large scales. In recent years, convolutional neural networks (CNNs) have become ubiquitous in image processing, and are rapidly becoming more common in ecology. Because the quantity of high-resolution remotely sensed imagery continues to rise, CNNs are increasingly essential tools for large-scale ecosystem analysis. We discuss here the conceptual advantages of CNNs, demonstrate how they can be used by ecologists through distinct examples of their application, and provide a walkthrough of how to use them for ecological applications.","author":[{"dropping-particle":"","family":"Brodrick","given":"Philip G","non-dropping-particle":"","parse-names":false,"suffix":""},{"dropping-particle":"","family":"Davies","given":"Andrew B","non-dropping-particle":"","parse-names":false,"suffix":""},{"dropping-particle":"","family":"Asner","given":"Gregory P","non-dropping-particle":"","parse-names":false,"suffix":""}],"container-title":"Trends in Ecology &amp; Evolution","id":"ITEM-1","issue":"0","issued":{"date-parts":[["2019","5","8"]]},"page":"734-745","publisher":"Elsevier","title":"Uncovering Ecological Patterns with Convolutional Neural Networks","type":"article-journal","volume":"34"},"uris":["http://www.mendeley.com/documents/?uuid=1c594c24-d631-3615-99c2-b44fcf9df2a9"]}],"mendeley":{"formattedCitation":"(Brodrick &lt;i&gt;et al&lt;/i&gt; 2019)","plainTextFormattedCitation":"(Brodrick et al 2019)","previouslyFormattedCitation":"(Brodrick &lt;i&gt;et al&lt;/i&gt; 2019)"},"properties":{"noteIndex":0},"schema":"https://github.com/citation-style-language/schema/raw/master/csl-citation.json"}</w:instrText>
      </w:r>
      <w:r w:rsidR="00444F31">
        <w:rPr>
          <w:rFonts w:ascii="Times New Roman" w:hAnsi="Times New Roman"/>
          <w:sz w:val="24"/>
          <w:szCs w:val="24"/>
        </w:rPr>
        <w:fldChar w:fldCharType="separate"/>
      </w:r>
      <w:r w:rsidR="00FF1077" w:rsidRPr="00FF1077">
        <w:rPr>
          <w:rFonts w:ascii="Times New Roman" w:hAnsi="Times New Roman"/>
          <w:noProof/>
          <w:sz w:val="24"/>
          <w:szCs w:val="24"/>
        </w:rPr>
        <w:t xml:space="preserve">(Brodrick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2019)</w:t>
      </w:r>
      <w:r w:rsidR="00444F31">
        <w:rPr>
          <w:rFonts w:ascii="Times New Roman" w:hAnsi="Times New Roman"/>
          <w:sz w:val="24"/>
          <w:szCs w:val="24"/>
        </w:rPr>
        <w:fldChar w:fldCharType="end"/>
      </w:r>
      <w:r>
        <w:rPr>
          <w:rFonts w:ascii="Times New Roman" w:hAnsi="Times New Roman"/>
          <w:sz w:val="24"/>
          <w:szCs w:val="24"/>
        </w:rPr>
        <w:t>. Each contiguous patch of classified pixels was then deemed an independent mound, and the mound center was selected as the point with the maximum elevation within a 10 m radius of the cluster. Mound height was determined by taking the difference of the mound maximum elevation and the average elevation of points in a surrounding 10 m radius ring that excluded the mound itself, following</w:t>
      </w:r>
      <w:r w:rsidR="0071041F">
        <w:rPr>
          <w:rFonts w:ascii="Times New Roman" w:hAnsi="Times New Roman"/>
          <w:sz w:val="24"/>
          <w:szCs w:val="24"/>
        </w:rPr>
        <w:t xml:space="preserve"> Davies </w:t>
      </w:r>
      <w:r w:rsidR="0071041F" w:rsidRPr="0071041F">
        <w:rPr>
          <w:rFonts w:ascii="Times New Roman" w:hAnsi="Times New Roman"/>
          <w:i/>
          <w:iCs/>
          <w:sz w:val="24"/>
          <w:szCs w:val="24"/>
        </w:rPr>
        <w:t>et al.</w:t>
      </w:r>
      <w:r w:rsidR="0071041F">
        <w:rPr>
          <w:rFonts w:ascii="Times New Roman" w:hAnsi="Times New Roman"/>
          <w:sz w:val="24"/>
          <w:szCs w:val="24"/>
        </w:rPr>
        <w:t xml:space="preserve"> </w:t>
      </w:r>
      <w:r w:rsidR="0071041F">
        <w:rPr>
          <w:rFonts w:ascii="Times New Roman" w:hAnsi="Times New Roman"/>
          <w:sz w:val="24"/>
          <w:szCs w:val="24"/>
        </w:rPr>
        <w:fldChar w:fldCharType="begin" w:fldLock="1"/>
      </w:r>
      <w:r w:rsidR="0071041F">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2014a)","manualFormatting":"(2014a)","plainTextFormattedCitation":"(Davies et al 2014a)","previouslyFormattedCitation":"(Davies &lt;i&gt;et al&lt;/i&gt; 2014b)"},"properties":{"noteIndex":0},"schema":"https://github.com/citation-style-language/schema/raw/master/csl-citation.json"}</w:instrText>
      </w:r>
      <w:r w:rsidR="0071041F">
        <w:rPr>
          <w:rFonts w:ascii="Times New Roman" w:hAnsi="Times New Roman"/>
          <w:sz w:val="24"/>
          <w:szCs w:val="24"/>
        </w:rPr>
        <w:fldChar w:fldCharType="separate"/>
      </w:r>
      <w:r w:rsidR="0071041F" w:rsidRPr="0071041F">
        <w:rPr>
          <w:rFonts w:ascii="Times New Roman" w:hAnsi="Times New Roman"/>
          <w:noProof/>
          <w:sz w:val="24"/>
          <w:szCs w:val="24"/>
        </w:rPr>
        <w:t>(2014a)</w:t>
      </w:r>
      <w:r w:rsidR="0071041F">
        <w:rPr>
          <w:rFonts w:ascii="Times New Roman" w:hAnsi="Times New Roman"/>
          <w:sz w:val="24"/>
          <w:szCs w:val="24"/>
        </w:rPr>
        <w:fldChar w:fldCharType="end"/>
      </w:r>
      <w:r>
        <w:rPr>
          <w:rFonts w:ascii="Times New Roman" w:hAnsi="Times New Roman"/>
          <w:sz w:val="24"/>
          <w:szCs w:val="24"/>
        </w:rPr>
        <w:t xml:space="preserve">. Compared with manually identified mounds, we found precision and recall rates of 0.84 and 0.91, respectively (Fig. 2, Appendix S1). In addition to high accuracy, the use of the CNNs facilitated a consistent treatment of mounds over large </w:t>
      </w:r>
      <w:r>
        <w:rPr>
          <w:rFonts w:ascii="Times New Roman" w:hAnsi="Times New Roman"/>
          <w:sz w:val="24"/>
          <w:szCs w:val="24"/>
        </w:rPr>
        <w:lastRenderedPageBreak/>
        <w:t>areas compared with manual identification. In total, 47,242 termite mounds were identified over 76,474 ha of study area.</w:t>
      </w:r>
    </w:p>
    <w:p w14:paraId="5D80FEB4" w14:textId="77777777" w:rsidR="00070187" w:rsidRDefault="00070187">
      <w:pPr>
        <w:spacing w:after="0" w:line="480" w:lineRule="auto"/>
        <w:rPr>
          <w:rFonts w:ascii="Times New Roman" w:hAnsi="Times New Roman"/>
          <w:sz w:val="24"/>
          <w:szCs w:val="24"/>
        </w:rPr>
      </w:pPr>
    </w:p>
    <w:p w14:paraId="1E690580" w14:textId="4B6221D8" w:rsidR="00421AD7" w:rsidRDefault="00344831">
      <w:pPr>
        <w:spacing w:after="0" w:line="480" w:lineRule="auto"/>
        <w:rPr>
          <w:rFonts w:ascii="Times New Roman" w:hAnsi="Times New Roman"/>
          <w:i/>
          <w:sz w:val="24"/>
          <w:szCs w:val="24"/>
        </w:rPr>
      </w:pPr>
      <w:r>
        <w:rPr>
          <w:rFonts w:ascii="Times New Roman" w:hAnsi="Times New Roman"/>
          <w:i/>
          <w:sz w:val="24"/>
          <w:szCs w:val="24"/>
        </w:rPr>
        <w:t xml:space="preserve">Characterization of </w:t>
      </w:r>
      <w:r w:rsidR="004B5B2B">
        <w:rPr>
          <w:rFonts w:ascii="Times New Roman" w:hAnsi="Times New Roman"/>
          <w:i/>
          <w:sz w:val="24"/>
          <w:szCs w:val="24"/>
        </w:rPr>
        <w:t xml:space="preserve">land-use </w:t>
      </w:r>
      <w:r>
        <w:rPr>
          <w:rFonts w:ascii="Times New Roman" w:hAnsi="Times New Roman"/>
          <w:i/>
          <w:sz w:val="24"/>
          <w:szCs w:val="24"/>
        </w:rPr>
        <w:t>polygons</w:t>
      </w:r>
    </w:p>
    <w:p w14:paraId="3E04CE1A" w14:textId="660905B8"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Savanna </w:t>
      </w:r>
      <w:r>
        <w:rPr>
          <w:rFonts w:ascii="Times New Roman" w:hAnsi="Times New Roman"/>
          <w:i/>
          <w:sz w:val="24"/>
          <w:szCs w:val="24"/>
        </w:rPr>
        <w:t>Macrotermes</w:t>
      </w:r>
      <w:r>
        <w:rPr>
          <w:rFonts w:ascii="Times New Roman" w:hAnsi="Times New Roman"/>
          <w:sz w:val="24"/>
          <w:szCs w:val="24"/>
        </w:rPr>
        <w:t xml:space="preserve"> </w:t>
      </w:r>
      <w:r w:rsidR="00705AE5">
        <w:rPr>
          <w:rFonts w:ascii="Times New Roman" w:hAnsi="Times New Roman"/>
          <w:sz w:val="24"/>
          <w:szCs w:val="24"/>
        </w:rPr>
        <w:t xml:space="preserve">in this ecosystem (southern African granitic savanna) </w:t>
      </w:r>
      <w:r>
        <w:rPr>
          <w:rFonts w:ascii="Times New Roman" w:hAnsi="Times New Roman"/>
          <w:sz w:val="24"/>
          <w:szCs w:val="24"/>
        </w:rPr>
        <w:t xml:space="preserve">are known to restrict mound construction to hillcrests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catchment","type":"article-journal","volume":"37"},"uris":["http://www.mendeley.com/documents/?uuid=47e02a18-0f3b-31e5-aaf3-c16f9003f667"]},{"id":"ITEM-2","itemData":{"author":[{"dropping-particle":"","family":"Levick","given":"S R","non-dropping-particle":"","parse-names":false,"suffix":""},{"dropping-particle":"","family":"Asner","given":"G P","non-dropping-particle":"","parse-names":false,"suffix":""},{"dropping-particle":"","family":"Chadwick","given":"O A","non-dropping-particle":"","parse-names":false,"suffix":""},{"dropping-particle":"","family":"Khomo","given":"L M","non-dropping-particle":"","parse-names":false,"suffix":""},{"dropping-particle":"","family":"Rogers","given":"K H","non-dropping-particle":"","parse-names":false,"suffix":""},{"dropping-particle":"","family":"Hartshorn","given":"A S","non-dropping-particle":"","parse-names":false,"suffix":""},{"dropping-particle":"","family":"Kennedy-Bowdoin","given":"T","non-dropping-particle":"","parse-names":false,"suffix":""},{"dropping-particle":"","family":"Knapp","given":"D E","non-dropping-particle":"","parse-names":false,"suffix":""}],"container-title":"Nature Communications","id":"ITEM-2","issued":{"date-parts":[["2010"]]},"page":"65","title":"Regional insight into savanna hydrogeomorphology from termite mounds","type":"article-journal","volume":"1"},"uris":["http://www.mendeley.com/documents/?uuid=78935ce0-7118-4f9d-8c47-9777e0158ea7"]}],"mendeley":{"formattedCitation":"(Davies &lt;i&gt;et al&lt;/i&gt; 2014a, Levick &lt;i&gt;et al&lt;/i&gt; 2010a)","plainTextFormattedCitation":"(Davies et al 2014a, Levick et al 2010a)","previouslyFormattedCitation":"(Davies &lt;i&gt;et al&lt;/i&gt; 2014a, Levick &lt;i&gt;et al&lt;/i&gt; 2010a)"},"properties":{"noteIndex":0},"schema":"https://github.com/citation-style-language/schema/raw/master/csl-citation.json"}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 Levick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2010a)</w:t>
      </w:r>
      <w:r>
        <w:rPr>
          <w:rFonts w:ascii="Times New Roman" w:hAnsi="Times New Roman"/>
          <w:sz w:val="24"/>
          <w:szCs w:val="24"/>
        </w:rPr>
        <w:fldChar w:fldCharType="end"/>
      </w:r>
      <w:r>
        <w:rPr>
          <w:rFonts w:ascii="Times New Roman" w:hAnsi="Times New Roman"/>
          <w:sz w:val="24"/>
          <w:szCs w:val="24"/>
        </w:rPr>
        <w:t xml:space="preserve">, and woody cover can influence mound densities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2014a)","plainTextFormattedCitation":"(Davies et al 2014a)","previouslyFormattedCitation":"(Davies &lt;i&gt;et al&lt;/i&gt; 2014a)"},"properties":{"noteIndex":0},"schema":"https://github.com/citation-style-language/schema/raw/master/csl-citation.json"}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Pr>
          <w:rFonts w:ascii="Times New Roman" w:hAnsi="Times New Roman"/>
          <w:sz w:val="24"/>
          <w:szCs w:val="24"/>
        </w:rPr>
        <w:fldChar w:fldCharType="end"/>
      </w:r>
      <w:r>
        <w:rPr>
          <w:rFonts w:ascii="Times New Roman" w:hAnsi="Times New Roman"/>
          <w:sz w:val="24"/>
          <w:szCs w:val="24"/>
        </w:rPr>
        <w:t xml:space="preserve">. We therefore quantified differences in topography and vegetation cover within each study polygon (see below) and land-use </w:t>
      </w:r>
      <w:r w:rsidR="004B5B2B">
        <w:rPr>
          <w:rFonts w:ascii="Times New Roman" w:hAnsi="Times New Roman"/>
          <w:sz w:val="24"/>
          <w:szCs w:val="24"/>
        </w:rPr>
        <w:t>type</w:t>
      </w:r>
      <w:r>
        <w:rPr>
          <w:rFonts w:ascii="Times New Roman" w:hAnsi="Times New Roman"/>
          <w:sz w:val="24"/>
          <w:szCs w:val="24"/>
        </w:rPr>
        <w:t xml:space="preserve">. The LiDAR DTM was used to calculate the relative elevation above the nearest stream channel across each polygon by dividing the elevation above a given channel by the elevation of the nearest crest above the same channel, producing a relative elevation model (REM). Values in the REM represent proportional distances above streams with streambeds modelled as 0 and hillcrests as 1. The proportion of each polygon that consisted of stream valleys (REM between 0 and 0.05) and hillcrests (REM &gt;0.9) was then calculated. To calculate tree canopy height, a digital surface model (DSM) was first constructed from the LiDAR data based on interpolations of all first-return points (i.e. the top of the canopy and, where only ground returns exist, bare ground). The vertical difference between the DTM and DSM was then measured to generate a model of canopy height above ground (digital canopy model, DCM) at a 1 m resolution. The proportion of vegetation cover within each polygon was then measured as the proportion of 1 m cells that contained vegetation taller than 1 m. This height threshold ensured that only woody vegetation was included in the measurements, with herbaceous cover and bare ground excluded. We further distinguished between the proportion of tree and shrub cover in each polygon by </w:t>
      </w:r>
      <w:r>
        <w:rPr>
          <w:rFonts w:ascii="Times New Roman" w:hAnsi="Times New Roman"/>
          <w:sz w:val="24"/>
          <w:szCs w:val="24"/>
        </w:rPr>
        <w:lastRenderedPageBreak/>
        <w:t>measuring the proportion of 1 m cells that contained vegetation taller than 3 m (tree cover) and the proportion with vegetation between 1 and 3 m in height (shrub cover).</w:t>
      </w:r>
    </w:p>
    <w:p w14:paraId="596383AD" w14:textId="77777777" w:rsidR="00421AD7" w:rsidRDefault="00344831">
      <w:pPr>
        <w:spacing w:after="0" w:line="480" w:lineRule="auto"/>
        <w:rPr>
          <w:rFonts w:ascii="Times New Roman" w:hAnsi="Times New Roman"/>
          <w:sz w:val="24"/>
          <w:szCs w:val="24"/>
        </w:rPr>
      </w:pPr>
      <w:r>
        <w:rPr>
          <w:rFonts w:ascii="Times New Roman" w:hAnsi="Times New Roman"/>
          <w:sz w:val="24"/>
          <w:szCs w:val="24"/>
        </w:rPr>
        <w:t xml:space="preserve"> </w:t>
      </w:r>
    </w:p>
    <w:p w14:paraId="59BF6195" w14:textId="77777777" w:rsidR="00421AD7" w:rsidRDefault="00344831">
      <w:pPr>
        <w:spacing w:after="0" w:line="480" w:lineRule="auto"/>
        <w:rPr>
          <w:rFonts w:ascii="Times New Roman" w:hAnsi="Times New Roman"/>
          <w:i/>
          <w:sz w:val="24"/>
          <w:szCs w:val="24"/>
        </w:rPr>
      </w:pPr>
      <w:r>
        <w:rPr>
          <w:rFonts w:ascii="Times New Roman" w:hAnsi="Times New Roman"/>
          <w:i/>
          <w:sz w:val="24"/>
          <w:szCs w:val="24"/>
        </w:rPr>
        <w:t>Analysis</w:t>
      </w:r>
    </w:p>
    <w:p w14:paraId="3B128567" w14:textId="3A6626F7" w:rsidR="00616940" w:rsidRDefault="00344831" w:rsidP="00F17711">
      <w:pPr>
        <w:spacing w:after="0" w:line="480" w:lineRule="auto"/>
        <w:rPr>
          <w:rFonts w:ascii="Times New Roman" w:hAnsi="Times New Roman"/>
          <w:sz w:val="24"/>
          <w:szCs w:val="24"/>
        </w:rPr>
      </w:pPr>
      <w:r>
        <w:rPr>
          <w:rFonts w:ascii="Times New Roman" w:hAnsi="Times New Roman"/>
          <w:sz w:val="24"/>
          <w:szCs w:val="24"/>
        </w:rPr>
        <w:t xml:space="preserve">To divide the study region into the four land-use types (subsistence agriculture, communal grazing, KNP, and private reserve), we used official boundaries for KNP and </w:t>
      </w:r>
      <w:proofErr w:type="spellStart"/>
      <w:r>
        <w:rPr>
          <w:rFonts w:ascii="Times New Roman" w:hAnsi="Times New Roman"/>
          <w:sz w:val="24"/>
          <w:szCs w:val="24"/>
        </w:rPr>
        <w:t>Sabi</w:t>
      </w:r>
      <w:proofErr w:type="spellEnd"/>
      <w:r>
        <w:rPr>
          <w:rFonts w:ascii="Times New Roman" w:hAnsi="Times New Roman"/>
          <w:sz w:val="24"/>
          <w:szCs w:val="24"/>
        </w:rPr>
        <w:t xml:space="preserve">-Sand Private Reserve, and delineated Subsistence Agriculture and Communal Grazing using Google Earth images (sourced from </w:t>
      </w:r>
      <w:proofErr w:type="spellStart"/>
      <w:r>
        <w:rPr>
          <w:rFonts w:ascii="Times New Roman" w:hAnsi="Times New Roman"/>
          <w:sz w:val="24"/>
          <w:szCs w:val="24"/>
        </w:rPr>
        <w:t>DigitalGlobe</w:t>
      </w:r>
      <w:proofErr w:type="spellEnd"/>
      <w:r>
        <w:rPr>
          <w:rFonts w:ascii="Times New Roman" w:hAnsi="Times New Roman"/>
          <w:sz w:val="24"/>
          <w:szCs w:val="24"/>
        </w:rPr>
        <w:t xml:space="preserve"> imagery) corresponding to the </w:t>
      </w:r>
      <w:r w:rsidR="00B678BB">
        <w:rPr>
          <w:rFonts w:ascii="Times New Roman" w:hAnsi="Times New Roman"/>
          <w:sz w:val="24"/>
          <w:szCs w:val="24"/>
        </w:rPr>
        <w:t xml:space="preserve">2012 </w:t>
      </w:r>
      <w:r>
        <w:rPr>
          <w:rFonts w:ascii="Times New Roman" w:hAnsi="Times New Roman"/>
          <w:sz w:val="24"/>
          <w:szCs w:val="24"/>
        </w:rPr>
        <w:t>LiDAR survey time period. Subsistence agriculture is clearly distinguishable from other land-uses by the presence of cleared fields, whereas communal grazing areas are undeveloped, open areas in</w:t>
      </w:r>
      <w:r w:rsidR="00FD47CF">
        <w:rPr>
          <w:rFonts w:ascii="Times New Roman" w:hAnsi="Times New Roman"/>
          <w:sz w:val="24"/>
          <w:szCs w:val="24"/>
        </w:rPr>
        <w:t xml:space="preserve"> </w:t>
      </w:r>
      <w:r>
        <w:rPr>
          <w:rFonts w:ascii="Times New Roman" w:hAnsi="Times New Roman"/>
          <w:sz w:val="24"/>
          <w:szCs w:val="24"/>
        </w:rPr>
        <w:t xml:space="preserve">between settlements and agricultural fields. Delineated communal grazing areas were also compared to maps in published studies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{"citationItems":[{"id":"ITEM-1","itemData":{"DOI":"10.1088/1748-9326/8/1/014007","ISSN":"1748-9326","author":[{"dropping-particle":"","family":"Wessels","given":"K J","non-dropping-particle":"","parse-names":false,"suffix":""},{"dropping-particle":"","family":"Colgan","given":"M S","non-dropping-particle":"","parse-names":false,"suffix":""},{"dropping-particle":"","family":"Erasmus","given":"B F N","non-dropping-particle":"","parse-names":false,"suffix":""},{"dropping-particle":"","family":"Asner","given":"G P","non-dropping-particle":"","parse-names":false,"suffix":""},{"dropping-particle":"","family":"Twine","given":"W C","non-dropping-particle":"","parse-names":false,"suffix":""},{"dropping-particle":"","family":"Mathieu","given":"R","non-dropping-particle":"","parse-names":false,"suffix":""},{"dropping-particle":"","family":"Aardt","given":"J A N","non-dropping-particle":"van","parse-names":false,"suffix":""},{"dropping-particle":"","family":"Fisher","given":"J T","non-dropping-particle":"","parse-names":false,"suffix":""},{"dropping-particle":"","family":"Smit","given":"I P J","non-dropping-particle":"","parse-names":false,"suffix":""}],"container-title":"Environmental Research Letters","id":"ITEM-1","issue":"1","issued":{"date-parts":[["2013","3","1"]]},"page":"014007","publisher":"IOP Publishing","title":"Unsustainable fuelwood extraction from South African savannas","type":"article-journal","volume":"8"},"uris":["http://www.mendeley.com/documents/?uuid=04b2d216-c5a7-337d-b735-b33c46ad0ad4"]},{"id":"ITEM-2","itemData":{"abstract":"Woody biomass dynamics are an expression of ecosystem function, yet biomass estimates do not provide information on the spatial distribution of woody vegetation within the vertical vegetation subcanopy. We demonstrate the ability of airborne light detection and ranging (LiDAR) to measure aboveground biomass and subcanopy structure, as an explanatory tool to unravel vegetation dynamics in structurally heterogeneous landscapes. We sampled three communal rangelands in Bushbuckridge, South Africa, utilised by rural communities for fuelwood harvesting. Woody biomass estimates ranged between 9 Mg ha-1 on gabbro geology sites to 27 Mg ha-1 on granitic geology sites. Despite predictions of woodland depletion due to unsustainable fuelwood extraction in previous studies, biomass in all the communal rangelands increased between 2008 and 2012. Annual biomass productivity estimates (10–14% p.a.) were higher than previous estimates of 4% and likely a significant contributor to the previous underestimations of modelled biomass supply. We show that biomass increases are attributable to growth of vegetation &lt;5 m in height, and that, in the high wood extraction rangeland, 79% of the changes in the vertical vegetation subcanopy are gains in the 1-3m height class. The higher the wood extraction pressure on the rangelands, the greater the biomass increases in the low height classes within the subcanopy, likely a strong resprouting response to intensive harvesting. Yet, fuelwood shortages are still occurring, as evidenced by the losses in the tall tree height class in the high extraction rangeland. Loss of large trees and gain in subcanopy shrubs could result in a structurally simple landscape with reduced functional capacity. This research demonstrates that intensive harvesting can, paradoxically, increase biomass and this has implications for the sustainability of ecosystem service provision. The structural implications of biomass increases in communal rangelands could be misinterpreted as woodland recovery in the absence of three-dimensional, subcanopy information.","author":[{"dropping-particle":"","family":"Mograbi","given":"Penelope J","non-dropping-particle":"","parse-names":false,"suffix":""},{"dropping-particle":"","family":"Erasmus","given":"Barend F N","non-dropping-particle":"","parse-names":false,"suffix":""},{"dropping-particle":"","family":"Witkowski","given":"E T F","non-dropping-particle":"","parse-names":false,"suffix":""},{"dropping-particle":"","family":"Asner","given":"Gregory P","non-dropping-particle":"","parse-names":false,"suffix":""},{"dropping-particle":"","family":"Wessels","given":"Konrad J","non-dropping-particle":"","parse-names":false,"suffix":""},{"dropping-particle":"","family":"Mathieu","given":"Renaud","non-dropping-particle":"","parse-names":false,"suffix":""},{"dropping-particle":"","family":"Knapp","given":"David E","non-dropping-particle":"","parse-names":false,"suffix":""},{"dropping-particle":"","family":"Martin","given":"Roberta E","non-dropping-particle":"","parse-names":false,"suffix":""},{"dropping-particle":"","family":"Main","given":"Russell","non-dropping-particle":"","parse-names":false,"suffix":""}],"container-title":"PLOS ONE","id":"ITEM-2","issue":"5","issued":{"date-parts":[["2015","5","13"]]},"page":"e0127093","publisher":"Public Library of Science","title":"Biomass Increases Go under Cover: Woody Vegetation Dynamics in South African Rangelands","type":"article-journal","volume":"10"},"uris":["http://www.mendeley.com/documents/?uuid=77fe72ed-1e22-4ad5-92fd-9da17dc29696"]}],"mendeley":{"formattedCitation":"(Wessels &lt;i&gt;et al&lt;/i&gt; 2013, Mograbi &lt;i&gt;et al&lt;/i&gt; 2015)","plainTextFormattedCitation":"(Wessels et al 2013, Mograbi et al 2015)","previouslyFormattedCitation":"(Wessels &lt;i&gt;et al&lt;/i&gt; 2013, Mograbi &lt;i&gt;et al&lt;/i&gt; 2015)"},"properties":{"noteIndex":0},"schema":"https://github.com/citation-style-language/schema/raw/master/csl-citation.json"}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(Wessels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2013, Mograbi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2015)</w:t>
      </w:r>
      <w:r>
        <w:rPr>
          <w:rFonts w:ascii="Times New Roman" w:hAnsi="Times New Roman"/>
          <w:sz w:val="24"/>
          <w:szCs w:val="24"/>
        </w:rPr>
        <w:fldChar w:fldCharType="end"/>
      </w:r>
      <w:r>
        <w:rPr>
          <w:rFonts w:ascii="Times New Roman" w:hAnsi="Times New Roman"/>
          <w:sz w:val="24"/>
          <w:szCs w:val="24"/>
        </w:rPr>
        <w:t xml:space="preserve"> to ensure that they covered similar extents. We excluded areas with uncharacteristic terrain (e.g. the Bushbuck Ridge in L8) or unclear land-use, as well as Andover Nature Reserve in L5 (see Fig. 1). Differences in LiDAR data availability between </w:t>
      </w:r>
      <w:r w:rsidR="00617294">
        <w:rPr>
          <w:rFonts w:ascii="Times New Roman" w:hAnsi="Times New Roman"/>
          <w:sz w:val="24"/>
          <w:szCs w:val="24"/>
        </w:rPr>
        <w:t xml:space="preserve">land-use types </w:t>
      </w:r>
      <w:r>
        <w:rPr>
          <w:rFonts w:ascii="Times New Roman" w:hAnsi="Times New Roman"/>
          <w:sz w:val="24"/>
          <w:szCs w:val="24"/>
        </w:rPr>
        <w:t xml:space="preserve">(Table 1) resulted in varying numbers of termite mounds surveyed per </w:t>
      </w:r>
      <w:r w:rsidR="004B5B2B">
        <w:rPr>
          <w:rFonts w:ascii="Times New Roman" w:hAnsi="Times New Roman"/>
          <w:sz w:val="24"/>
          <w:szCs w:val="24"/>
        </w:rPr>
        <w:t>land-use</w:t>
      </w:r>
      <w:r>
        <w:rPr>
          <w:rFonts w:ascii="Times New Roman" w:hAnsi="Times New Roman"/>
          <w:sz w:val="24"/>
          <w:szCs w:val="24"/>
        </w:rPr>
        <w:t>. To assess mound densities, we bootstrap sampled 2</w:t>
      </w:r>
      <w:r w:rsidR="00FD47CF">
        <w:rPr>
          <w:rFonts w:ascii="Times New Roman" w:hAnsi="Times New Roman"/>
          <w:sz w:val="24"/>
          <w:szCs w:val="24"/>
        </w:rPr>
        <w:t>,</w:t>
      </w:r>
      <w:r>
        <w:rPr>
          <w:rFonts w:ascii="Times New Roman" w:hAnsi="Times New Roman"/>
          <w:sz w:val="24"/>
          <w:szCs w:val="24"/>
        </w:rPr>
        <w:t xml:space="preserve">000, 100 ha subsets (sensitivities presented in Appendix S2) within each </w:t>
      </w:r>
      <w:r w:rsidR="004B5B2B">
        <w:rPr>
          <w:rFonts w:ascii="Times New Roman" w:hAnsi="Times New Roman"/>
          <w:sz w:val="24"/>
          <w:szCs w:val="24"/>
        </w:rPr>
        <w:t>land-use type</w:t>
      </w:r>
      <w:r>
        <w:rPr>
          <w:rFonts w:ascii="Times New Roman" w:hAnsi="Times New Roman"/>
          <w:sz w:val="24"/>
          <w:szCs w:val="24"/>
        </w:rPr>
        <w:t xml:space="preserve"> and examined the histogram of mound densities from each set of samples. To compare distributions of mound heights between </w:t>
      </w:r>
      <w:r w:rsidR="004B5B2B">
        <w:rPr>
          <w:rFonts w:ascii="Times New Roman" w:hAnsi="Times New Roman"/>
          <w:sz w:val="24"/>
          <w:szCs w:val="24"/>
        </w:rPr>
        <w:t>land-use type</w:t>
      </w:r>
      <w:r>
        <w:rPr>
          <w:rFonts w:ascii="Times New Roman" w:hAnsi="Times New Roman"/>
          <w:sz w:val="24"/>
          <w:szCs w:val="24"/>
        </w:rPr>
        <w:t xml:space="preserve">s, we normalized the generated mound height histograms by the maximum binned number of mounds within the </w:t>
      </w:r>
      <w:r w:rsidR="004B5B2B">
        <w:rPr>
          <w:rFonts w:ascii="Times New Roman" w:hAnsi="Times New Roman"/>
          <w:sz w:val="24"/>
          <w:szCs w:val="24"/>
        </w:rPr>
        <w:t>land-use type</w:t>
      </w:r>
      <w:r>
        <w:rPr>
          <w:rFonts w:ascii="Times New Roman" w:hAnsi="Times New Roman"/>
          <w:sz w:val="24"/>
          <w:szCs w:val="24"/>
        </w:rPr>
        <w:t xml:space="preserve">. To quantify differences in spatial patterning, we generated Ripley’s K curves for each </w:t>
      </w:r>
      <w:r w:rsidR="004B5B2B">
        <w:rPr>
          <w:rFonts w:ascii="Times New Roman" w:hAnsi="Times New Roman"/>
          <w:sz w:val="24"/>
          <w:szCs w:val="24"/>
        </w:rPr>
        <w:t>land-use type</w:t>
      </w:r>
      <w:r>
        <w:rPr>
          <w:rFonts w:ascii="Times New Roman" w:hAnsi="Times New Roman"/>
          <w:sz w:val="24"/>
          <w:szCs w:val="24"/>
        </w:rPr>
        <w:t xml:space="preserve"> using the R package </w:t>
      </w:r>
      <w:proofErr w:type="spellStart"/>
      <w:r>
        <w:rPr>
          <w:rFonts w:ascii="Times New Roman" w:hAnsi="Times New Roman"/>
          <w:i/>
          <w:sz w:val="24"/>
          <w:szCs w:val="24"/>
        </w:rPr>
        <w:t>spatstat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{"citationItems":[{"id":"ITEM-1","itemData":{"DOI":"http://dx.doi.org/10.18637/jss.v012.i06","ISSN":"1548-7660","abstract":"About spatstat spatstat is a package for analysing spatial point patterns. It supports a complete statistical analysis of spatial point pattern data: data input and inspection, calculations, plotting, exploratory data analysis, hypothesis tests, model-fitting, simulation, Monte Carlo methods and model diagnostics. Numerous other packages for spatial analysis depend on spatstat and extend its capabilities. spatstat is the result of over 20 years' development and is one of the most extensive contributed packages available for R, with a 1300-page manual. Recent development has accelerated and the package is now 3 times larger than in 2010.","author":[{"dropping-particle":"","family":"Baddeley","given":"Adrian","non-dropping-particle":"","parse-names":false,"suffix":""},{"dropping-particle":"","family":"Turner","given":"Rolf","non-dropping-particle":"","parse-names":false,"suffix":""}],"container-title":"Journal of Statistical Software","id":"ITEM-1","issue":"6","issued":{"date-parts":[["2005"]]},"page":"1-42","title":"spatstat: An R Package for Analyzing Spatial Point Patterns. R-package version: 1.42-2","type":"article-journal","volume":"12"},"uris":["http://www.mendeley.com/documents/?uuid=9ff54ddb-34e5-37a4-b5e9-f57c538c2285"]}],"mendeley":{"formattedCitation":"(Baddeley and Turner 2005)","plainTextFormattedCitation":"(Baddeley and Turner 2005)","previouslyFormattedCitation":"(Baddeley and Turner 2005)"},"properties":{"noteIndex":0},"schema":"https://github.com/citation-style-language/schema/raw/master/csl-citation.json"}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(Baddeley and Turner 2005)</w:t>
      </w:r>
      <w:r>
        <w:rPr>
          <w:rFonts w:ascii="Times New Roman" w:hAnsi="Times New Roman"/>
          <w:sz w:val="24"/>
          <w:szCs w:val="24"/>
        </w:rPr>
        <w:fldChar w:fldCharType="end"/>
      </w:r>
      <w:r>
        <w:rPr>
          <w:rFonts w:ascii="Times New Roman" w:hAnsi="Times New Roman"/>
          <w:sz w:val="24"/>
          <w:szCs w:val="24"/>
        </w:rPr>
        <w:t xml:space="preserve">. </w:t>
      </w:r>
      <w:r w:rsidR="004C3440">
        <w:rPr>
          <w:rFonts w:ascii="Times New Roman" w:hAnsi="Times New Roman"/>
          <w:sz w:val="24"/>
          <w:szCs w:val="24"/>
        </w:rPr>
        <w:t xml:space="preserve">The </w:t>
      </w:r>
      <w:r w:rsidR="00F17711" w:rsidRPr="00616940">
        <w:rPr>
          <w:rFonts w:ascii="Times New Roman" w:hAnsi="Times New Roman"/>
          <w:sz w:val="24"/>
          <w:szCs w:val="24"/>
        </w:rPr>
        <w:t xml:space="preserve">Ripley’ s </w:t>
      </w:r>
      <w:r w:rsidR="00F17711" w:rsidRPr="00616940">
        <w:rPr>
          <w:rFonts w:ascii="Times New Roman" w:hAnsi="Times New Roman"/>
          <w:i/>
          <w:iCs/>
          <w:sz w:val="24"/>
          <w:szCs w:val="24"/>
        </w:rPr>
        <w:t xml:space="preserve">K </w:t>
      </w:r>
      <w:r w:rsidR="00F17711" w:rsidRPr="00616940">
        <w:rPr>
          <w:rFonts w:ascii="Times New Roman" w:hAnsi="Times New Roman"/>
          <w:sz w:val="24"/>
          <w:szCs w:val="24"/>
        </w:rPr>
        <w:t>function</w:t>
      </w:r>
      <w:r w:rsidR="00F17711">
        <w:rPr>
          <w:rFonts w:ascii="Times New Roman" w:hAnsi="Times New Roman"/>
          <w:sz w:val="24"/>
          <w:szCs w:val="24"/>
        </w:rPr>
        <w:t xml:space="preserve"> is</w:t>
      </w:r>
      <w:r w:rsidR="00F17711" w:rsidRPr="00616940">
        <w:rPr>
          <w:rFonts w:ascii="Times New Roman" w:hAnsi="Times New Roman"/>
          <w:sz w:val="24"/>
          <w:szCs w:val="24"/>
        </w:rPr>
        <w:t xml:space="preserve"> a second-order statistic that </w:t>
      </w:r>
      <w:r w:rsidR="00F17711">
        <w:rPr>
          <w:rFonts w:ascii="Times New Roman" w:hAnsi="Times New Roman"/>
          <w:sz w:val="24"/>
          <w:szCs w:val="24"/>
        </w:rPr>
        <w:t xml:space="preserve">uses inter-point distances to measure deviation from </w:t>
      </w:r>
      <w:r w:rsidR="00F17711" w:rsidRPr="00616940">
        <w:rPr>
          <w:rFonts w:ascii="Times New Roman" w:hAnsi="Times New Roman"/>
          <w:sz w:val="24"/>
          <w:szCs w:val="24"/>
        </w:rPr>
        <w:t>spatial</w:t>
      </w:r>
      <w:r w:rsidR="00F17711">
        <w:rPr>
          <w:rFonts w:ascii="Times New Roman" w:hAnsi="Times New Roman"/>
          <w:sz w:val="24"/>
          <w:szCs w:val="24"/>
        </w:rPr>
        <w:t xml:space="preserve"> </w:t>
      </w:r>
      <w:r w:rsidR="00F17711" w:rsidRPr="00616940">
        <w:rPr>
          <w:rFonts w:ascii="Times New Roman" w:hAnsi="Times New Roman"/>
          <w:sz w:val="24"/>
          <w:szCs w:val="24"/>
        </w:rPr>
        <w:t>homogeneity</w:t>
      </w:r>
      <w:r w:rsidR="00F17711">
        <w:rPr>
          <w:rFonts w:ascii="Times New Roman" w:hAnsi="Times New Roman"/>
          <w:sz w:val="24"/>
          <w:szCs w:val="24"/>
        </w:rPr>
        <w:t>.</w:t>
      </w:r>
      <w:r w:rsidR="00F17711" w:rsidRPr="00616940">
        <w:rPr>
          <w:rFonts w:ascii="Times New Roman" w:hAnsi="Times New Roman"/>
          <w:sz w:val="24"/>
          <w:szCs w:val="24"/>
        </w:rPr>
        <w:t xml:space="preserve"> The expected distribution of features </w:t>
      </w:r>
      <w:r w:rsidR="00F17711" w:rsidRPr="00616940">
        <w:rPr>
          <w:rFonts w:ascii="Times New Roman" w:hAnsi="Times New Roman"/>
          <w:sz w:val="24"/>
          <w:szCs w:val="24"/>
        </w:rPr>
        <w:lastRenderedPageBreak/>
        <w:t>under complete spatial randomness is plotted</w:t>
      </w:r>
      <w:r w:rsidR="00F17711">
        <w:rPr>
          <w:rFonts w:ascii="Times New Roman" w:hAnsi="Times New Roman"/>
          <w:sz w:val="24"/>
          <w:szCs w:val="24"/>
        </w:rPr>
        <w:t xml:space="preserve"> </w:t>
      </w:r>
      <w:r w:rsidR="00F17711" w:rsidRPr="00616940">
        <w:rPr>
          <w:rFonts w:ascii="Times New Roman" w:hAnsi="Times New Roman"/>
          <w:sz w:val="24"/>
          <w:szCs w:val="24"/>
        </w:rPr>
        <w:t>against spatial distance</w:t>
      </w:r>
      <w:r w:rsidR="00F17711">
        <w:rPr>
          <w:rFonts w:ascii="Times New Roman" w:hAnsi="Times New Roman"/>
          <w:sz w:val="24"/>
          <w:szCs w:val="24"/>
        </w:rPr>
        <w:t xml:space="preserve"> and</w:t>
      </w:r>
      <w:r w:rsidR="00F17711" w:rsidRPr="00616940">
        <w:rPr>
          <w:rFonts w:ascii="Times New Roman" w:hAnsi="Times New Roman"/>
          <w:sz w:val="24"/>
          <w:szCs w:val="24"/>
        </w:rPr>
        <w:t xml:space="preserve"> </w:t>
      </w:r>
      <w:r w:rsidR="00F17711">
        <w:rPr>
          <w:rFonts w:ascii="Times New Roman" w:hAnsi="Times New Roman"/>
          <w:sz w:val="24"/>
          <w:szCs w:val="24"/>
        </w:rPr>
        <w:t>t</w:t>
      </w:r>
      <w:r w:rsidR="00F17711" w:rsidRPr="00616940">
        <w:rPr>
          <w:rFonts w:ascii="Times New Roman" w:hAnsi="Times New Roman"/>
          <w:sz w:val="24"/>
          <w:szCs w:val="24"/>
        </w:rPr>
        <w:t>he observed distribution.</w:t>
      </w:r>
      <w:r w:rsidR="00F17711">
        <w:rPr>
          <w:rFonts w:ascii="Times New Roman" w:hAnsi="Times New Roman"/>
          <w:sz w:val="24"/>
          <w:szCs w:val="24"/>
        </w:rPr>
        <w:t xml:space="preserve"> </w:t>
      </w:r>
      <w:r w:rsidR="00F17711" w:rsidRPr="00616940">
        <w:rPr>
          <w:rFonts w:ascii="Times New Roman" w:hAnsi="Times New Roman"/>
          <w:sz w:val="24"/>
          <w:szCs w:val="24"/>
        </w:rPr>
        <w:t>When observed values fall below the expected</w:t>
      </w:r>
      <w:r w:rsidR="00F17711">
        <w:rPr>
          <w:rFonts w:ascii="Times New Roman" w:hAnsi="Times New Roman"/>
          <w:sz w:val="24"/>
          <w:szCs w:val="24"/>
        </w:rPr>
        <w:t xml:space="preserve"> </w:t>
      </w:r>
      <w:r w:rsidR="00F17711" w:rsidRPr="00616940">
        <w:rPr>
          <w:rFonts w:ascii="Times New Roman" w:hAnsi="Times New Roman"/>
          <w:sz w:val="24"/>
          <w:szCs w:val="24"/>
        </w:rPr>
        <w:t xml:space="preserve">distribution for spatial randomness, over-dispersion </w:t>
      </w:r>
      <w:r w:rsidR="00F17711" w:rsidRPr="00F17711">
        <w:rPr>
          <w:rFonts w:ascii="Times New Roman" w:hAnsi="Times New Roman"/>
          <w:sz w:val="24"/>
          <w:szCs w:val="24"/>
        </w:rPr>
        <w:t xml:space="preserve">occurs, while values </w:t>
      </w:r>
      <w:r w:rsidR="00F17711">
        <w:rPr>
          <w:rFonts w:ascii="Times New Roman" w:hAnsi="Times New Roman"/>
          <w:sz w:val="24"/>
          <w:szCs w:val="24"/>
        </w:rPr>
        <w:t>a</w:t>
      </w:r>
      <w:r w:rsidR="00F17711" w:rsidRPr="00F17711">
        <w:rPr>
          <w:rFonts w:ascii="Times New Roman" w:hAnsi="Times New Roman"/>
          <w:sz w:val="24"/>
          <w:szCs w:val="24"/>
        </w:rPr>
        <w:t>bove the expected distribution</w:t>
      </w:r>
      <w:r w:rsidR="00F17711">
        <w:rPr>
          <w:rFonts w:ascii="Times New Roman" w:hAnsi="Times New Roman"/>
          <w:sz w:val="24"/>
          <w:szCs w:val="24"/>
        </w:rPr>
        <w:t xml:space="preserve"> </w:t>
      </w:r>
      <w:r w:rsidR="00F17711" w:rsidRPr="00F17711">
        <w:rPr>
          <w:rFonts w:ascii="Times New Roman" w:hAnsi="Times New Roman"/>
          <w:sz w:val="24"/>
          <w:szCs w:val="24"/>
        </w:rPr>
        <w:t xml:space="preserve">indicate clustering. </w:t>
      </w:r>
      <w:r>
        <w:rPr>
          <w:rFonts w:ascii="Times New Roman" w:hAnsi="Times New Roman"/>
          <w:sz w:val="24"/>
          <w:szCs w:val="24"/>
        </w:rPr>
        <w:t xml:space="preserve">Because not all </w:t>
      </w:r>
      <w:r w:rsidR="004B5B2B">
        <w:rPr>
          <w:rFonts w:ascii="Times New Roman" w:hAnsi="Times New Roman"/>
          <w:sz w:val="24"/>
          <w:szCs w:val="24"/>
        </w:rPr>
        <w:t>land-use type</w:t>
      </w:r>
      <w:r w:rsidR="00CF16B0">
        <w:rPr>
          <w:rFonts w:ascii="Times New Roman" w:hAnsi="Times New Roman"/>
          <w:sz w:val="24"/>
          <w:szCs w:val="24"/>
        </w:rPr>
        <w:t>s</w:t>
      </w:r>
      <w:r>
        <w:rPr>
          <w:rFonts w:ascii="Times New Roman" w:hAnsi="Times New Roman"/>
          <w:sz w:val="24"/>
          <w:szCs w:val="24"/>
        </w:rPr>
        <w:t xml:space="preserve"> were contiguous (Fig. 1), we generated a unique Ripley’s K curve for each polygon that exceeded 300 ha in size (smaller polygons were found to be dominated by boundary-condition effects and were therefore unreliable – see Appendix S3). </w:t>
      </w:r>
      <w:r w:rsidR="006F3944">
        <w:rPr>
          <w:rFonts w:ascii="Times New Roman" w:hAnsi="Times New Roman"/>
          <w:sz w:val="24"/>
          <w:szCs w:val="24"/>
        </w:rPr>
        <w:t>T</w:t>
      </w:r>
      <w:r>
        <w:rPr>
          <w:rFonts w:ascii="Times New Roman" w:hAnsi="Times New Roman"/>
          <w:sz w:val="24"/>
          <w:szCs w:val="24"/>
        </w:rPr>
        <w:t>o understand the relationship between termite mound heights and densities, we used the same 2</w:t>
      </w:r>
      <w:r w:rsidR="00FD47CF">
        <w:rPr>
          <w:rFonts w:ascii="Times New Roman" w:hAnsi="Times New Roman"/>
          <w:sz w:val="24"/>
          <w:szCs w:val="24"/>
        </w:rPr>
        <w:t>,</w:t>
      </w:r>
      <w:r>
        <w:rPr>
          <w:rFonts w:ascii="Times New Roman" w:hAnsi="Times New Roman"/>
          <w:sz w:val="24"/>
          <w:szCs w:val="24"/>
        </w:rPr>
        <w:t xml:space="preserve">000 bootstrapped samples and compared the mean mound height to mound density within each </w:t>
      </w:r>
      <w:proofErr w:type="gramStart"/>
      <w:r>
        <w:rPr>
          <w:rFonts w:ascii="Times New Roman" w:hAnsi="Times New Roman"/>
          <w:sz w:val="24"/>
          <w:szCs w:val="24"/>
        </w:rPr>
        <w:t>100 ha</w:t>
      </w:r>
      <w:proofErr w:type="gramEnd"/>
      <w:r>
        <w:rPr>
          <w:rFonts w:ascii="Times New Roman" w:hAnsi="Times New Roman"/>
          <w:sz w:val="24"/>
          <w:szCs w:val="24"/>
        </w:rPr>
        <w:t xml:space="preserve"> sample area.</w:t>
      </w:r>
      <w:r w:rsidR="006F3944">
        <w:rPr>
          <w:rFonts w:ascii="Times New Roman" w:hAnsi="Times New Roman"/>
          <w:sz w:val="24"/>
          <w:szCs w:val="24"/>
        </w:rPr>
        <w:t xml:space="preserve"> Finally, we examined relationships between mound density and height with woody cover </w:t>
      </w:r>
      <w:r w:rsidR="00DE01D2">
        <w:rPr>
          <w:rFonts w:ascii="Times New Roman" w:hAnsi="Times New Roman"/>
          <w:sz w:val="24"/>
          <w:szCs w:val="24"/>
        </w:rPr>
        <w:t>for each</w:t>
      </w:r>
      <w:r w:rsidR="006F3944">
        <w:rPr>
          <w:rFonts w:ascii="Times New Roman" w:hAnsi="Times New Roman"/>
          <w:sz w:val="24"/>
          <w:szCs w:val="24"/>
        </w:rPr>
        <w:t xml:space="preserve"> bootstrapped sample, stratifying woody cover by the proportion within each </w:t>
      </w:r>
      <w:proofErr w:type="gramStart"/>
      <w:r w:rsidR="006F3944">
        <w:rPr>
          <w:rFonts w:ascii="Times New Roman" w:hAnsi="Times New Roman"/>
          <w:sz w:val="24"/>
          <w:szCs w:val="24"/>
        </w:rPr>
        <w:t>100 ha</w:t>
      </w:r>
      <w:proofErr w:type="gramEnd"/>
      <w:r w:rsidR="006F3944">
        <w:rPr>
          <w:rFonts w:ascii="Times New Roman" w:hAnsi="Times New Roman"/>
          <w:sz w:val="24"/>
          <w:szCs w:val="24"/>
        </w:rPr>
        <w:t xml:space="preserve"> sample area </w:t>
      </w:r>
      <w:r w:rsidR="00DE01D2">
        <w:rPr>
          <w:rFonts w:ascii="Times New Roman" w:hAnsi="Times New Roman"/>
          <w:sz w:val="24"/>
          <w:szCs w:val="24"/>
        </w:rPr>
        <w:t xml:space="preserve">that was </w:t>
      </w:r>
      <w:r w:rsidR="006F3944">
        <w:rPr>
          <w:rFonts w:ascii="Times New Roman" w:hAnsi="Times New Roman"/>
          <w:sz w:val="24"/>
          <w:szCs w:val="24"/>
        </w:rPr>
        <w:t>under 1m in height, between 1 and 3 m</w:t>
      </w:r>
      <w:r w:rsidR="00DE01D2">
        <w:rPr>
          <w:rFonts w:ascii="Times New Roman" w:hAnsi="Times New Roman"/>
          <w:sz w:val="24"/>
          <w:szCs w:val="24"/>
        </w:rPr>
        <w:t xml:space="preserve"> tall</w:t>
      </w:r>
      <w:r w:rsidR="006F3944">
        <w:rPr>
          <w:rFonts w:ascii="Times New Roman" w:hAnsi="Times New Roman"/>
          <w:sz w:val="24"/>
          <w:szCs w:val="24"/>
        </w:rPr>
        <w:t>, and over 3 m tall</w:t>
      </w:r>
      <w:r w:rsidR="00DE01D2">
        <w:rPr>
          <w:rFonts w:ascii="Times New Roman" w:hAnsi="Times New Roman"/>
          <w:sz w:val="24"/>
          <w:szCs w:val="24"/>
        </w:rPr>
        <w:t>.</w:t>
      </w:r>
    </w:p>
    <w:p w14:paraId="28199E33" w14:textId="77777777" w:rsidR="00070187" w:rsidRDefault="00070187">
      <w:pPr>
        <w:spacing w:after="0" w:line="480" w:lineRule="auto"/>
        <w:rPr>
          <w:rFonts w:ascii="Times New Roman" w:hAnsi="Times New Roman"/>
          <w:sz w:val="24"/>
          <w:szCs w:val="24"/>
        </w:rPr>
      </w:pPr>
    </w:p>
    <w:p w14:paraId="3BABDA95" w14:textId="77777777" w:rsidR="00421AD7" w:rsidRDefault="00344831">
      <w:pPr>
        <w:spacing w:after="0" w:line="480" w:lineRule="auto"/>
        <w:rPr>
          <w:rFonts w:ascii="Times New Roman" w:hAnsi="Times New Roman"/>
          <w:b/>
          <w:sz w:val="24"/>
          <w:szCs w:val="24"/>
        </w:rPr>
      </w:pPr>
      <w:r>
        <w:rPr>
          <w:rFonts w:ascii="Times New Roman" w:hAnsi="Times New Roman"/>
          <w:b/>
          <w:sz w:val="24"/>
          <w:szCs w:val="24"/>
        </w:rPr>
        <w:t>Results</w:t>
      </w:r>
    </w:p>
    <w:p w14:paraId="49A203F3" w14:textId="7271AC6E" w:rsidR="008F309B" w:rsidRPr="008F309B" w:rsidRDefault="00344831">
      <w:pPr>
        <w:tabs>
          <w:tab w:val="left" w:pos="473"/>
        </w:tabs>
        <w:spacing w:after="0" w:line="480" w:lineRule="auto"/>
        <w:rPr>
          <w:rFonts w:ascii="Times New Roman" w:hAnsi="Times New Roman"/>
          <w:sz w:val="24"/>
          <w:szCs w:val="24"/>
        </w:rPr>
      </w:pPr>
      <w:r>
        <w:rPr>
          <w:rFonts w:ascii="Times New Roman" w:hAnsi="Times New Roman"/>
          <w:sz w:val="24"/>
          <w:szCs w:val="24"/>
        </w:rPr>
        <w:t xml:space="preserve">Landscape topography (proportion of each polygon that was either a valley or hillcrest) did not differ </w:t>
      </w:r>
      <w:r w:rsidR="008B777E">
        <w:rPr>
          <w:rFonts w:ascii="Times New Roman" w:hAnsi="Times New Roman"/>
          <w:sz w:val="24"/>
          <w:szCs w:val="24"/>
        </w:rPr>
        <w:t xml:space="preserve">substantially </w:t>
      </w:r>
      <w:r>
        <w:rPr>
          <w:rFonts w:ascii="Times New Roman" w:hAnsi="Times New Roman"/>
          <w:sz w:val="24"/>
          <w:szCs w:val="24"/>
        </w:rPr>
        <w:t xml:space="preserve">between </w:t>
      </w:r>
      <w:r w:rsidR="004B5B2B">
        <w:rPr>
          <w:rFonts w:ascii="Times New Roman" w:hAnsi="Times New Roman"/>
          <w:sz w:val="24"/>
          <w:szCs w:val="24"/>
        </w:rPr>
        <w:t xml:space="preserve">study </w:t>
      </w:r>
      <w:r>
        <w:rPr>
          <w:rFonts w:ascii="Times New Roman" w:hAnsi="Times New Roman"/>
          <w:sz w:val="24"/>
          <w:szCs w:val="24"/>
        </w:rPr>
        <w:t xml:space="preserve">polygons or land-use types (Table 1). Agricultural areas had significantly lower vegetation cover, </w:t>
      </w:r>
      <w:r w:rsidR="00CF16B0">
        <w:rPr>
          <w:rFonts w:ascii="Times New Roman" w:hAnsi="Times New Roman"/>
          <w:sz w:val="24"/>
          <w:szCs w:val="24"/>
        </w:rPr>
        <w:t>including</w:t>
      </w:r>
      <w:r>
        <w:rPr>
          <w:rFonts w:ascii="Times New Roman" w:hAnsi="Times New Roman"/>
          <w:sz w:val="24"/>
          <w:szCs w:val="24"/>
        </w:rPr>
        <w:t xml:space="preserve"> lower tree and shrub cover</w:t>
      </w:r>
      <w:r w:rsidR="00CF16B0">
        <w:rPr>
          <w:rFonts w:ascii="Times New Roman" w:hAnsi="Times New Roman"/>
          <w:sz w:val="24"/>
          <w:szCs w:val="24"/>
        </w:rPr>
        <w:t>,</w:t>
      </w:r>
      <w:r>
        <w:rPr>
          <w:rFonts w:ascii="Times New Roman" w:hAnsi="Times New Roman"/>
          <w:sz w:val="24"/>
          <w:szCs w:val="24"/>
        </w:rPr>
        <w:t xml:space="preserve"> compared with the other land-use types, which did not differ significantly from </w:t>
      </w:r>
      <w:r w:rsidR="00CF16B0">
        <w:rPr>
          <w:rFonts w:ascii="Times New Roman" w:hAnsi="Times New Roman"/>
          <w:sz w:val="24"/>
          <w:szCs w:val="24"/>
        </w:rPr>
        <w:t>one another</w:t>
      </w:r>
      <w:r>
        <w:rPr>
          <w:rFonts w:ascii="Times New Roman" w:hAnsi="Times New Roman"/>
          <w:sz w:val="24"/>
          <w:szCs w:val="24"/>
        </w:rPr>
        <w:t xml:space="preserve"> (Table 1).</w:t>
      </w:r>
    </w:p>
    <w:p w14:paraId="27147906" w14:textId="07709472" w:rsidR="008F309B" w:rsidRDefault="00344831" w:rsidP="00070187">
      <w:pPr>
        <w:spacing w:after="0" w:line="480" w:lineRule="auto"/>
        <w:ind w:firstLine="720"/>
        <w:rPr>
          <w:rFonts w:ascii="Times New Roman" w:hAnsi="Times New Roman"/>
          <w:sz w:val="24"/>
          <w:szCs w:val="24"/>
        </w:rPr>
      </w:pPr>
      <w:r>
        <w:rPr>
          <w:rFonts w:ascii="Times New Roman" w:hAnsi="Times New Roman"/>
          <w:sz w:val="24"/>
          <w:szCs w:val="24"/>
        </w:rPr>
        <w:t xml:space="preserve">Mound densities were lowest in the communal grazing areas (mean </w:t>
      </w:r>
      <w:r w:rsidR="00CF16B0">
        <w:rPr>
          <w:rFonts w:ascii="Times New Roman" w:hAnsi="Times New Roman"/>
          <w:sz w:val="24"/>
          <w:szCs w:val="24"/>
        </w:rPr>
        <w:t xml:space="preserve">= </w:t>
      </w:r>
      <w:r>
        <w:rPr>
          <w:rFonts w:ascii="Times New Roman" w:hAnsi="Times New Roman"/>
          <w:sz w:val="24"/>
          <w:szCs w:val="24"/>
        </w:rPr>
        <w:t>0.33 mounds ha</w:t>
      </w:r>
      <w:r>
        <w:rPr>
          <w:rFonts w:ascii="Times New Roman" w:hAnsi="Times New Roman"/>
          <w:sz w:val="24"/>
          <w:szCs w:val="24"/>
          <w:vertAlign w:val="superscript"/>
        </w:rPr>
        <w:t>-1</w:t>
      </w:r>
      <w:r>
        <w:rPr>
          <w:rFonts w:ascii="Times New Roman" w:hAnsi="Times New Roman"/>
          <w:sz w:val="24"/>
          <w:szCs w:val="24"/>
        </w:rPr>
        <w:t>), followed by agricultural fields (0.45 mounds ha</w:t>
      </w:r>
      <w:r>
        <w:rPr>
          <w:rFonts w:ascii="Times New Roman" w:hAnsi="Times New Roman"/>
          <w:sz w:val="24"/>
          <w:szCs w:val="24"/>
          <w:vertAlign w:val="superscript"/>
        </w:rPr>
        <w:t>-1</w:t>
      </w:r>
      <w:r>
        <w:rPr>
          <w:rFonts w:ascii="Times New Roman" w:hAnsi="Times New Roman"/>
          <w:sz w:val="24"/>
          <w:szCs w:val="24"/>
        </w:rPr>
        <w:t>), Kruger National Park (0.62 mounds ha</w:t>
      </w:r>
      <w:r>
        <w:rPr>
          <w:rFonts w:ascii="Times New Roman" w:hAnsi="Times New Roman"/>
          <w:sz w:val="24"/>
          <w:szCs w:val="24"/>
          <w:vertAlign w:val="superscript"/>
        </w:rPr>
        <w:t>-1</w:t>
      </w:r>
      <w:r>
        <w:rPr>
          <w:rFonts w:ascii="Times New Roman" w:hAnsi="Times New Roman"/>
          <w:sz w:val="24"/>
          <w:szCs w:val="24"/>
        </w:rPr>
        <w:t>), and the private reserve (0.82 mounds ha</w:t>
      </w:r>
      <w:r>
        <w:rPr>
          <w:rFonts w:ascii="Times New Roman" w:hAnsi="Times New Roman"/>
          <w:sz w:val="24"/>
          <w:szCs w:val="24"/>
          <w:vertAlign w:val="superscript"/>
        </w:rPr>
        <w:t>-1</w:t>
      </w:r>
      <w:r>
        <w:rPr>
          <w:rFonts w:ascii="Times New Roman" w:hAnsi="Times New Roman"/>
          <w:sz w:val="24"/>
          <w:szCs w:val="24"/>
        </w:rPr>
        <w:t xml:space="preserve">) (Table 1, Fig. 3a). Mound densities varied significantly among all </w:t>
      </w:r>
      <w:r w:rsidR="004B5B2B">
        <w:rPr>
          <w:rFonts w:ascii="Times New Roman" w:hAnsi="Times New Roman"/>
          <w:sz w:val="24"/>
          <w:szCs w:val="24"/>
        </w:rPr>
        <w:t>land-use type</w:t>
      </w:r>
      <w:r>
        <w:rPr>
          <w:rFonts w:ascii="Times New Roman" w:hAnsi="Times New Roman"/>
          <w:sz w:val="24"/>
          <w:szCs w:val="24"/>
        </w:rPr>
        <w:t xml:space="preserve">s (Kolmogorov–Smirnov (K-S) test p &lt; 0.001 for all comparisons). </w:t>
      </w:r>
      <w:r w:rsidR="00E209B4">
        <w:rPr>
          <w:rFonts w:ascii="Times New Roman" w:hAnsi="Times New Roman"/>
          <w:sz w:val="24"/>
          <w:szCs w:val="24"/>
        </w:rPr>
        <w:t xml:space="preserve">Mean </w:t>
      </w:r>
      <w:r>
        <w:rPr>
          <w:rFonts w:ascii="Times New Roman" w:hAnsi="Times New Roman"/>
          <w:sz w:val="24"/>
          <w:szCs w:val="24"/>
        </w:rPr>
        <w:t xml:space="preserve">mound height </w:t>
      </w:r>
      <w:r w:rsidR="00E209B4">
        <w:rPr>
          <w:rFonts w:ascii="Times New Roman" w:hAnsi="Times New Roman"/>
          <w:sz w:val="24"/>
          <w:szCs w:val="24"/>
        </w:rPr>
        <w:t xml:space="preserve">was similar </w:t>
      </w:r>
      <w:r>
        <w:rPr>
          <w:rFonts w:ascii="Times New Roman" w:hAnsi="Times New Roman"/>
          <w:sz w:val="24"/>
          <w:szCs w:val="24"/>
        </w:rPr>
        <w:t xml:space="preserve">across land-use types (Table 1, Fig. 3b), </w:t>
      </w:r>
      <w:r w:rsidR="00E209B4">
        <w:rPr>
          <w:rFonts w:ascii="Times New Roman" w:hAnsi="Times New Roman"/>
          <w:sz w:val="24"/>
          <w:szCs w:val="24"/>
        </w:rPr>
        <w:t xml:space="preserve">but </w:t>
      </w:r>
      <w:r w:rsidR="007A133C">
        <w:rPr>
          <w:rFonts w:ascii="Times New Roman" w:hAnsi="Times New Roman"/>
          <w:sz w:val="24"/>
          <w:szCs w:val="24"/>
        </w:rPr>
        <w:t>the distribution of mound heights was significantly homogenized in the human-dominated landscapes. T</w:t>
      </w:r>
      <w:r>
        <w:rPr>
          <w:rFonts w:ascii="Times New Roman" w:hAnsi="Times New Roman"/>
          <w:sz w:val="24"/>
          <w:szCs w:val="24"/>
        </w:rPr>
        <w:t xml:space="preserve">here was a </w:t>
      </w:r>
      <w:r>
        <w:rPr>
          <w:rFonts w:ascii="Times New Roman" w:hAnsi="Times New Roman"/>
          <w:sz w:val="24"/>
          <w:szCs w:val="24"/>
        </w:rPr>
        <w:lastRenderedPageBreak/>
        <w:t xml:space="preserve">substantially higher proportion of taller mounds in the protected areas, with the tallest mounds found within the private conservation areas (K-S test p &lt; 0.001 for all comparisons, Fig. 3b). Whereas Ripley’s K analyses revealed that mounds were over-dispersed at local scales in all land-use types, landscape clustering of mounds was evident in all landscapes other than the agricultural fields where mounds were randomly distributed at broader scales. The human-modified landscapes </w:t>
      </w:r>
      <w:r w:rsidR="00D12958">
        <w:rPr>
          <w:rFonts w:ascii="Times New Roman" w:hAnsi="Times New Roman"/>
          <w:sz w:val="24"/>
          <w:szCs w:val="24"/>
        </w:rPr>
        <w:t>(</w:t>
      </w:r>
      <w:r>
        <w:rPr>
          <w:rFonts w:ascii="Times New Roman" w:hAnsi="Times New Roman"/>
          <w:sz w:val="24"/>
          <w:szCs w:val="24"/>
        </w:rPr>
        <w:t>agricultural fields and communal grazing areas</w:t>
      </w:r>
      <w:r w:rsidR="00D12958">
        <w:rPr>
          <w:rFonts w:ascii="Times New Roman" w:hAnsi="Times New Roman"/>
          <w:sz w:val="24"/>
          <w:szCs w:val="24"/>
        </w:rPr>
        <w:t>)</w:t>
      </w:r>
      <w:r>
        <w:rPr>
          <w:rFonts w:ascii="Times New Roman" w:hAnsi="Times New Roman"/>
          <w:sz w:val="24"/>
          <w:szCs w:val="24"/>
        </w:rPr>
        <w:t xml:space="preserve"> also displayed the largest variation in spatial patterning between study polygons, demonstrated by the variability in the degree of clustering and over-dispersion exhibited as well as in the distance over which either pattern persisted.  This variability contrasted sharply with the almost identical patterning in each of the six protected landscape polygons. Over-dispersion of mounds also persisted over larger distances in the agricultural landscapes (</w:t>
      </w:r>
      <w:r w:rsidRPr="009E6771">
        <w:rPr>
          <w:rFonts w:ascii="Times New Roman" w:hAnsi="Times New Roman"/>
          <w:sz w:val="24"/>
          <w:szCs w:val="24"/>
        </w:rPr>
        <w:t>up to ~</w:t>
      </w:r>
      <w:r>
        <w:rPr>
          <w:rFonts w:ascii="Times New Roman" w:hAnsi="Times New Roman"/>
          <w:sz w:val="24"/>
          <w:szCs w:val="24"/>
        </w:rPr>
        <w:t>150 m) relative to all other</w:t>
      </w:r>
      <w:r w:rsidR="009E6771">
        <w:rPr>
          <w:rFonts w:ascii="Times New Roman" w:hAnsi="Times New Roman"/>
          <w:sz w:val="24"/>
          <w:szCs w:val="24"/>
        </w:rPr>
        <w:t xml:space="preserve"> land-use types</w:t>
      </w:r>
      <w:r>
        <w:rPr>
          <w:rFonts w:ascii="Times New Roman" w:hAnsi="Times New Roman"/>
          <w:sz w:val="24"/>
          <w:szCs w:val="24"/>
        </w:rPr>
        <w:t xml:space="preserve"> (~60-70 m) (Fig. 3c), i.e. mounds remained evenly spaced in these landscapes, but were further apart</w:t>
      </w:r>
      <w:r w:rsidR="004D580D">
        <w:rPr>
          <w:rFonts w:ascii="Times New Roman" w:hAnsi="Times New Roman"/>
          <w:sz w:val="24"/>
          <w:szCs w:val="24"/>
        </w:rPr>
        <w:t>.</w:t>
      </w:r>
    </w:p>
    <w:p w14:paraId="533B07DD" w14:textId="0C34E37C" w:rsidR="001F6FC5" w:rsidRDefault="00CF16B0" w:rsidP="00CF16B0">
      <w:pPr>
        <w:spacing w:after="0" w:line="480" w:lineRule="auto"/>
        <w:ind w:firstLine="720"/>
        <w:rPr>
          <w:rFonts w:ascii="Times New Roman" w:hAnsi="Times New Roman"/>
          <w:sz w:val="24"/>
          <w:szCs w:val="24"/>
        </w:rPr>
      </w:pPr>
      <w:r>
        <w:rPr>
          <w:rFonts w:ascii="Times New Roman" w:hAnsi="Times New Roman"/>
          <w:sz w:val="24"/>
          <w:szCs w:val="24"/>
        </w:rPr>
        <w:t>A</w:t>
      </w:r>
      <w:r w:rsidR="001F6FC5">
        <w:rPr>
          <w:rFonts w:ascii="Times New Roman" w:hAnsi="Times New Roman"/>
          <w:sz w:val="24"/>
          <w:szCs w:val="24"/>
        </w:rPr>
        <w:t xml:space="preserve">gricultural fields also displayed the weakest relationship between mound height and density across the land-use types. While there was a significant (p &lt; 0.001) positive relationship between termite mound height and density in all land-use types, with mound height increasing linearly with density, this relationship was much stronger (evidenced by the steeper slope) within the two protected land-use types and was weakest in the agricultural fields (Fig. 4). </w:t>
      </w:r>
      <w:r w:rsidR="004632B4">
        <w:rPr>
          <w:rFonts w:ascii="Times New Roman" w:hAnsi="Times New Roman"/>
          <w:sz w:val="24"/>
          <w:szCs w:val="24"/>
        </w:rPr>
        <w:t>Neither m</w:t>
      </w:r>
      <w:r w:rsidR="001F6FC5">
        <w:rPr>
          <w:rFonts w:ascii="Times New Roman" w:hAnsi="Times New Roman"/>
          <w:sz w:val="24"/>
          <w:szCs w:val="24"/>
        </w:rPr>
        <w:t xml:space="preserve">ound density </w:t>
      </w:r>
      <w:r w:rsidR="004632B4">
        <w:rPr>
          <w:rFonts w:ascii="Times New Roman" w:hAnsi="Times New Roman"/>
          <w:sz w:val="24"/>
          <w:szCs w:val="24"/>
        </w:rPr>
        <w:t>n</w:t>
      </w:r>
      <w:r w:rsidR="001F6FC5">
        <w:rPr>
          <w:rFonts w:ascii="Times New Roman" w:hAnsi="Times New Roman"/>
          <w:sz w:val="24"/>
          <w:szCs w:val="24"/>
        </w:rPr>
        <w:t xml:space="preserve">or height was strongly correlated with woody cover in any land-use type, nor for any woody height classification </w:t>
      </w:r>
      <w:r w:rsidR="00A737F8">
        <w:rPr>
          <w:rFonts w:ascii="Times New Roman" w:hAnsi="Times New Roman"/>
          <w:sz w:val="24"/>
          <w:szCs w:val="24"/>
        </w:rPr>
        <w:t>(</w:t>
      </w:r>
      <w:r w:rsidR="00A042FD">
        <w:rPr>
          <w:rFonts w:ascii="Times New Roman" w:hAnsi="Times New Roman"/>
          <w:sz w:val="24"/>
          <w:szCs w:val="24"/>
        </w:rPr>
        <w:t>Fig.</w:t>
      </w:r>
      <w:r w:rsidR="00A737F8">
        <w:rPr>
          <w:rFonts w:ascii="Times New Roman" w:hAnsi="Times New Roman"/>
          <w:sz w:val="24"/>
          <w:szCs w:val="24"/>
        </w:rPr>
        <w:t xml:space="preserve"> S4).</w:t>
      </w:r>
    </w:p>
    <w:p w14:paraId="67E12C97" w14:textId="77777777" w:rsidR="004D580D" w:rsidRDefault="004D580D" w:rsidP="004D580D">
      <w:pPr>
        <w:spacing w:after="0" w:line="480" w:lineRule="auto"/>
        <w:rPr>
          <w:rFonts w:ascii="Times New Roman" w:hAnsi="Times New Roman"/>
          <w:sz w:val="24"/>
          <w:szCs w:val="24"/>
        </w:rPr>
      </w:pPr>
    </w:p>
    <w:p w14:paraId="0BBB4CD9" w14:textId="77777777" w:rsidR="00421AD7" w:rsidRDefault="00344831">
      <w:pPr>
        <w:spacing w:after="0" w:line="480" w:lineRule="auto"/>
        <w:rPr>
          <w:rFonts w:ascii="Times New Roman" w:hAnsi="Times New Roman"/>
          <w:b/>
          <w:sz w:val="24"/>
          <w:szCs w:val="24"/>
        </w:rPr>
      </w:pPr>
      <w:r>
        <w:rPr>
          <w:rFonts w:ascii="Times New Roman" w:hAnsi="Times New Roman"/>
          <w:b/>
          <w:sz w:val="24"/>
          <w:szCs w:val="24"/>
        </w:rPr>
        <w:t>Discussion</w:t>
      </w:r>
    </w:p>
    <w:p w14:paraId="4009AC37" w14:textId="1FB3EF0F" w:rsidR="00C23456" w:rsidRPr="00B4157D" w:rsidRDefault="00E61076" w:rsidP="00C23456">
      <w:pPr>
        <w:spacing w:after="0" w:line="480" w:lineRule="auto"/>
        <w:rPr>
          <w:rFonts w:ascii="Times New Roman" w:hAnsi="Times New Roman"/>
          <w:color w:val="000000" w:themeColor="text1"/>
          <w:sz w:val="24"/>
          <w:szCs w:val="24"/>
        </w:rPr>
      </w:pPr>
      <w:r>
        <w:rPr>
          <w:rFonts w:ascii="Times New Roman" w:hAnsi="Times New Roman"/>
          <w:sz w:val="24"/>
          <w:szCs w:val="24"/>
        </w:rPr>
        <w:t>Airborne</w:t>
      </w:r>
      <w:r w:rsidR="00344831">
        <w:rPr>
          <w:rFonts w:ascii="Times New Roman" w:hAnsi="Times New Roman"/>
          <w:sz w:val="24"/>
          <w:szCs w:val="24"/>
        </w:rPr>
        <w:t xml:space="preserve"> mapping </w:t>
      </w:r>
      <w:r>
        <w:rPr>
          <w:rFonts w:ascii="Times New Roman" w:hAnsi="Times New Roman"/>
          <w:sz w:val="24"/>
          <w:szCs w:val="24"/>
        </w:rPr>
        <w:t xml:space="preserve">and spatial modeling </w:t>
      </w:r>
      <w:r w:rsidR="00344831">
        <w:rPr>
          <w:rFonts w:ascii="Times New Roman" w:hAnsi="Times New Roman"/>
          <w:sz w:val="24"/>
          <w:szCs w:val="24"/>
        </w:rPr>
        <w:t xml:space="preserve">revealed that despite significant anthropogenic alteration to landscapes over multiple decades, termite colonies persisted </w:t>
      </w:r>
      <w:r w:rsidR="00286C91">
        <w:rPr>
          <w:rFonts w:ascii="Times New Roman" w:hAnsi="Times New Roman"/>
          <w:sz w:val="24"/>
          <w:szCs w:val="24"/>
        </w:rPr>
        <w:t xml:space="preserve">in transformed landscapes </w:t>
      </w:r>
      <w:r w:rsidR="00344831">
        <w:rPr>
          <w:rFonts w:ascii="Times New Roman" w:hAnsi="Times New Roman"/>
          <w:sz w:val="24"/>
          <w:szCs w:val="24"/>
        </w:rPr>
        <w:t xml:space="preserve">and </w:t>
      </w:r>
      <w:r w:rsidR="00344831">
        <w:rPr>
          <w:rFonts w:ascii="Times New Roman" w:hAnsi="Times New Roman"/>
          <w:sz w:val="24"/>
          <w:szCs w:val="24"/>
        </w:rPr>
        <w:lastRenderedPageBreak/>
        <w:t xml:space="preserve">exhibited a number of the same spatial patterning characteristics </w:t>
      </w:r>
      <w:r w:rsidR="00286C91">
        <w:rPr>
          <w:rFonts w:ascii="Times New Roman" w:hAnsi="Times New Roman"/>
          <w:sz w:val="24"/>
          <w:szCs w:val="24"/>
        </w:rPr>
        <w:t xml:space="preserve">as </w:t>
      </w:r>
      <w:r w:rsidR="00E351DC">
        <w:rPr>
          <w:rFonts w:ascii="Times New Roman" w:hAnsi="Times New Roman"/>
          <w:sz w:val="24"/>
          <w:szCs w:val="24"/>
        </w:rPr>
        <w:t>those</w:t>
      </w:r>
      <w:r w:rsidR="00286C91">
        <w:rPr>
          <w:rFonts w:ascii="Times New Roman" w:hAnsi="Times New Roman"/>
          <w:sz w:val="24"/>
          <w:szCs w:val="24"/>
        </w:rPr>
        <w:t xml:space="preserve"> in</w:t>
      </w:r>
      <w:r w:rsidR="0039303D">
        <w:rPr>
          <w:rFonts w:ascii="Times New Roman" w:hAnsi="Times New Roman"/>
          <w:sz w:val="24"/>
          <w:szCs w:val="24"/>
        </w:rPr>
        <w:t xml:space="preserve"> protected areas</w:t>
      </w:r>
      <w:r w:rsidR="00286C91">
        <w:rPr>
          <w:rFonts w:ascii="Times New Roman" w:hAnsi="Times New Roman"/>
          <w:sz w:val="24"/>
          <w:szCs w:val="24"/>
        </w:rPr>
        <w:t>.</w:t>
      </w:r>
      <w:r w:rsidR="00344831">
        <w:rPr>
          <w:rFonts w:ascii="Times New Roman" w:hAnsi="Times New Roman"/>
          <w:sz w:val="24"/>
          <w:szCs w:val="24"/>
        </w:rPr>
        <w:t xml:space="preserve"> Mean termite mound height was not substantially reduced in transformed landscapes (Fig. 3b), and over-dispersion of mounds was present at localized scales in all land-use types (Fig. 3c). Moreover, although reduced, mound densities in the transformed areas were still 55% (grazing areas) and 77% (subsistence agriculture) of the densities recorded in Kruger National Park. This </w:t>
      </w:r>
      <w:r w:rsidR="005F2307">
        <w:rPr>
          <w:rFonts w:ascii="Times New Roman" w:hAnsi="Times New Roman"/>
          <w:sz w:val="24"/>
          <w:szCs w:val="24"/>
        </w:rPr>
        <w:t xml:space="preserve">degree of </w:t>
      </w:r>
      <w:r w:rsidR="00344831">
        <w:rPr>
          <w:rFonts w:ascii="Times New Roman" w:hAnsi="Times New Roman"/>
          <w:sz w:val="24"/>
          <w:szCs w:val="24"/>
        </w:rPr>
        <w:t>termite</w:t>
      </w:r>
      <w:r w:rsidR="005F2307">
        <w:rPr>
          <w:rFonts w:ascii="Times New Roman" w:hAnsi="Times New Roman"/>
          <w:sz w:val="24"/>
          <w:szCs w:val="24"/>
        </w:rPr>
        <w:t xml:space="preserve"> resistance</w:t>
      </w:r>
      <w:r w:rsidR="00344831">
        <w:rPr>
          <w:rFonts w:ascii="Times New Roman" w:hAnsi="Times New Roman"/>
          <w:sz w:val="24"/>
          <w:szCs w:val="24"/>
        </w:rPr>
        <w:t xml:space="preserve"> to land-use transformation</w:t>
      </w:r>
      <w:r w:rsidR="00C23456">
        <w:rPr>
          <w:rFonts w:ascii="Times New Roman" w:hAnsi="Times New Roman"/>
          <w:sz w:val="24"/>
          <w:szCs w:val="24"/>
        </w:rPr>
        <w:t xml:space="preserve"> </w:t>
      </w:r>
      <w:r w:rsidR="00344831">
        <w:rPr>
          <w:rFonts w:ascii="Times New Roman" w:hAnsi="Times New Roman"/>
          <w:sz w:val="24"/>
          <w:szCs w:val="24"/>
        </w:rPr>
        <w:t xml:space="preserve">is remarkable considering the scale of habitat modification that included clearing for agriculture, large-scale and unsustainable firewood extraction and active attempts by people to destroy and clear mounds (F. Nyathi pers. comm.). </w:t>
      </w:r>
      <w:r w:rsidR="00C23456" w:rsidRPr="00B4157D">
        <w:rPr>
          <w:rFonts w:ascii="Times New Roman" w:hAnsi="Times New Roman"/>
          <w:color w:val="000000" w:themeColor="text1"/>
          <w:sz w:val="24"/>
          <w:szCs w:val="24"/>
        </w:rPr>
        <w:t xml:space="preserve">That mound densities in the human modified landscapes </w:t>
      </w:r>
      <w:r w:rsidR="00255566" w:rsidRPr="00B4157D">
        <w:rPr>
          <w:rFonts w:ascii="Times New Roman" w:hAnsi="Times New Roman"/>
          <w:color w:val="000000" w:themeColor="text1"/>
          <w:sz w:val="24"/>
          <w:szCs w:val="24"/>
        </w:rPr>
        <w:t>remained</w:t>
      </w:r>
      <w:r w:rsidR="00C23456" w:rsidRPr="00B4157D">
        <w:rPr>
          <w:rFonts w:ascii="Times New Roman" w:hAnsi="Times New Roman"/>
          <w:color w:val="000000" w:themeColor="text1"/>
          <w:sz w:val="24"/>
          <w:szCs w:val="24"/>
        </w:rPr>
        <w:t xml:space="preserve"> at</w:t>
      </w:r>
      <w:r w:rsidR="00255566" w:rsidRPr="00B4157D">
        <w:rPr>
          <w:rFonts w:ascii="Times New Roman" w:hAnsi="Times New Roman"/>
          <w:color w:val="000000" w:themeColor="text1"/>
          <w:sz w:val="24"/>
          <w:szCs w:val="24"/>
        </w:rPr>
        <w:t xml:space="preserve"> or above </w:t>
      </w:r>
      <w:r w:rsidR="00C23456" w:rsidRPr="00B4157D">
        <w:rPr>
          <w:rFonts w:ascii="Times New Roman" w:hAnsi="Times New Roman"/>
          <w:color w:val="000000" w:themeColor="text1"/>
          <w:sz w:val="24"/>
          <w:szCs w:val="24"/>
        </w:rPr>
        <w:t>half the densit</w:t>
      </w:r>
      <w:r w:rsidR="00255566" w:rsidRPr="00B4157D">
        <w:rPr>
          <w:rFonts w:ascii="Times New Roman" w:hAnsi="Times New Roman"/>
          <w:color w:val="000000" w:themeColor="text1"/>
          <w:sz w:val="24"/>
          <w:szCs w:val="24"/>
        </w:rPr>
        <w:t>ies of</w:t>
      </w:r>
      <w:r w:rsidR="00C23456" w:rsidRPr="00B4157D">
        <w:rPr>
          <w:rFonts w:ascii="Times New Roman" w:hAnsi="Times New Roman"/>
          <w:color w:val="000000" w:themeColor="text1"/>
          <w:sz w:val="24"/>
          <w:szCs w:val="24"/>
        </w:rPr>
        <w:t xml:space="preserve"> the protected areas suggests </w:t>
      </w:r>
      <w:r w:rsidR="00255566" w:rsidRPr="00B4157D">
        <w:rPr>
          <w:rFonts w:ascii="Times New Roman" w:hAnsi="Times New Roman"/>
          <w:color w:val="000000" w:themeColor="text1"/>
          <w:sz w:val="24"/>
          <w:szCs w:val="24"/>
        </w:rPr>
        <w:t xml:space="preserve">a continuation of </w:t>
      </w:r>
      <w:r w:rsidR="00597BD6">
        <w:rPr>
          <w:rFonts w:ascii="Times New Roman" w:hAnsi="Times New Roman"/>
          <w:color w:val="000000" w:themeColor="text1"/>
          <w:sz w:val="24"/>
          <w:szCs w:val="24"/>
        </w:rPr>
        <w:t xml:space="preserve">some </w:t>
      </w:r>
      <w:r w:rsidR="00255566" w:rsidRPr="00B4157D">
        <w:rPr>
          <w:rFonts w:ascii="Times New Roman" w:hAnsi="Times New Roman"/>
          <w:color w:val="000000" w:themeColor="text1"/>
          <w:sz w:val="24"/>
          <w:szCs w:val="24"/>
        </w:rPr>
        <w:t xml:space="preserve">termite-mediated </w:t>
      </w:r>
      <w:r w:rsidR="00C23456" w:rsidRPr="00B4157D">
        <w:rPr>
          <w:rFonts w:ascii="Times New Roman" w:hAnsi="Times New Roman"/>
          <w:color w:val="000000" w:themeColor="text1"/>
          <w:sz w:val="24"/>
          <w:szCs w:val="24"/>
        </w:rPr>
        <w:t>ecosystem functioning in these systems</w:t>
      </w:r>
      <w:r w:rsidR="00255566" w:rsidRPr="00B4157D">
        <w:rPr>
          <w:rFonts w:ascii="Times New Roman" w:hAnsi="Times New Roman"/>
          <w:color w:val="000000" w:themeColor="text1"/>
          <w:sz w:val="24"/>
          <w:szCs w:val="24"/>
        </w:rPr>
        <w:t xml:space="preserve">, and </w:t>
      </w:r>
      <w:r w:rsidR="00864AE7" w:rsidRPr="00B4157D">
        <w:rPr>
          <w:rFonts w:ascii="Times New Roman" w:hAnsi="Times New Roman"/>
          <w:color w:val="000000" w:themeColor="text1"/>
          <w:sz w:val="24"/>
          <w:szCs w:val="24"/>
        </w:rPr>
        <w:t xml:space="preserve">the </w:t>
      </w:r>
      <w:r w:rsidR="00C23456" w:rsidRPr="00B4157D">
        <w:rPr>
          <w:rFonts w:ascii="Times New Roman" w:hAnsi="Times New Roman"/>
          <w:color w:val="000000" w:themeColor="text1"/>
          <w:sz w:val="24"/>
          <w:szCs w:val="24"/>
        </w:rPr>
        <w:t>potential</w:t>
      </w:r>
      <w:r w:rsidR="00255566" w:rsidRPr="00B4157D">
        <w:rPr>
          <w:rFonts w:ascii="Times New Roman" w:hAnsi="Times New Roman"/>
          <w:color w:val="000000" w:themeColor="text1"/>
          <w:sz w:val="24"/>
          <w:szCs w:val="24"/>
        </w:rPr>
        <w:t xml:space="preserve"> </w:t>
      </w:r>
      <w:r w:rsidR="00C23456" w:rsidRPr="00B4157D">
        <w:rPr>
          <w:rFonts w:ascii="Times New Roman" w:hAnsi="Times New Roman"/>
          <w:color w:val="000000" w:themeColor="text1"/>
          <w:sz w:val="24"/>
          <w:szCs w:val="24"/>
        </w:rPr>
        <w:t xml:space="preserve">use </w:t>
      </w:r>
      <w:r w:rsidR="00864AE7" w:rsidRPr="00B4157D">
        <w:rPr>
          <w:rFonts w:ascii="Times New Roman" w:hAnsi="Times New Roman"/>
          <w:color w:val="000000" w:themeColor="text1"/>
          <w:sz w:val="24"/>
          <w:szCs w:val="24"/>
        </w:rPr>
        <w:t xml:space="preserve">of </w:t>
      </w:r>
      <w:r w:rsidR="00C23456" w:rsidRPr="00B4157D">
        <w:rPr>
          <w:rFonts w:ascii="Times New Roman" w:hAnsi="Times New Roman"/>
          <w:color w:val="000000" w:themeColor="text1"/>
          <w:sz w:val="24"/>
          <w:szCs w:val="24"/>
        </w:rPr>
        <w:t>termite mounds as starting points for savanna restoration given their ability to stabilize ecosystems (</w:t>
      </w:r>
      <w:proofErr w:type="spellStart"/>
      <w:r w:rsidR="00C23456" w:rsidRPr="00B4157D">
        <w:rPr>
          <w:rFonts w:ascii="Times New Roman" w:hAnsi="Times New Roman"/>
          <w:color w:val="000000" w:themeColor="text1"/>
          <w:sz w:val="24"/>
          <w:szCs w:val="24"/>
        </w:rPr>
        <w:t>Bonachela</w:t>
      </w:r>
      <w:proofErr w:type="spellEnd"/>
      <w:r w:rsidR="00C23456" w:rsidRPr="00B4157D">
        <w:rPr>
          <w:rFonts w:ascii="Times New Roman" w:hAnsi="Times New Roman"/>
          <w:color w:val="000000" w:themeColor="text1"/>
          <w:sz w:val="24"/>
          <w:szCs w:val="24"/>
        </w:rPr>
        <w:t xml:space="preserve"> et al. 2015).</w:t>
      </w:r>
    </w:p>
    <w:p w14:paraId="2B7FDD9A" w14:textId="0C00DD3A" w:rsidR="00421AD7" w:rsidRDefault="00344831" w:rsidP="008B43D1">
      <w:pPr>
        <w:spacing w:after="0" w:line="480" w:lineRule="auto"/>
        <w:ind w:firstLine="720"/>
        <w:rPr>
          <w:rFonts w:ascii="Times New Roman" w:hAnsi="Times New Roman"/>
          <w:sz w:val="24"/>
          <w:szCs w:val="24"/>
        </w:rPr>
      </w:pPr>
      <w:r>
        <w:rPr>
          <w:rFonts w:ascii="Times New Roman" w:hAnsi="Times New Roman"/>
          <w:sz w:val="24"/>
          <w:szCs w:val="24"/>
        </w:rPr>
        <w:t>Our findings were also unexpected given that field-based studies have found termites to be</w:t>
      </w:r>
      <w:r w:rsidR="00C23456">
        <w:rPr>
          <w:rFonts w:ascii="Times New Roman" w:hAnsi="Times New Roman"/>
          <w:sz w:val="24"/>
          <w:szCs w:val="24"/>
        </w:rPr>
        <w:t xml:space="preserve"> </w:t>
      </w:r>
      <w:r w:rsidR="00C23456" w:rsidRPr="00B4157D">
        <w:rPr>
          <w:rFonts w:ascii="Times New Roman" w:hAnsi="Times New Roman"/>
          <w:color w:val="000000" w:themeColor="text1"/>
          <w:sz w:val="24"/>
          <w:szCs w:val="24"/>
        </w:rPr>
        <w:t xml:space="preserve">highly </w:t>
      </w:r>
      <w:r>
        <w:rPr>
          <w:rFonts w:ascii="Times New Roman" w:hAnsi="Times New Roman"/>
          <w:sz w:val="24"/>
          <w:szCs w:val="24"/>
        </w:rPr>
        <w:t xml:space="preserve">sensitive to human disturbance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{"citationItems":[{"id":"ITEM-1","itemData":{"author":[{"dropping-particle":"","family":"Eggleton","given":"P","non-dropping-particle":"","parse-names":false,"suffix":""},{"dropping-particle":"","family":"Bignell","given":"D E","non-dropping-particle":"","parse-names":false,"suffix":""},{"dropping-particle":"","family":"Sands","given":"W A","non-dropping-particle":"","parse-names":false,"suffix":""},{"dropping-particle":"","family":"Mawdsley","given":"N A","non-dropping-particle":"","parse-names":false,"suffix":""},{"dropping-particle":"","family":"Lawton","given":"J H","non-dropping-particle":"","parse-names":false,"suffix":""},{"dropping-particle":"","family":"Wood","given":"T G","non-dropping-particle":"","parse-names":false,"suffix":""},{"dropping-particle":"","family":"Bignell","given":"N C","non-dropping-particle":"","parse-names":false,"suffix":""}],"container-title":"Philosophical Transactions of the Royal Society of London B","id":"ITEM-1","issued":{"date-parts":[["1996"]]},"page":"51-68","title":"The diversity, abundance and biomass of termites under differeing levels of disturbance in the Mbalmayo Forest Reserve, southern Cameroon","type":"article-journal","volume":"351"},"uris":["http://www.mendeley.com/documents/?uuid=43bb0dae-971b-48c0-bf19-33109407bce6"]},{"id":"ITEM-2","itemData":{"DOI":"10.1046/j.1365-2664.2003.00794.x","ISBN":"00218901","ISSN":"00218901","abstract":"1. A line intersection method was used to estimate abundance (technically linear abundance: m1 m−2), biovolume (m3 ha−1) and size class distribution (defined by diameter) of lying dead wood in tropical forest. Additional semi-quantitative protocols assessed decay state (4 classes), termite attack (5 classes) and live termite occupancy (3 classes). 2. Three forest types (kerangas, alluvial and sandstone) were sampled in the Kabili-Sepilok Forest Reserve of Eastern Sabah, using plots of 30 × 30 m. Approximately 50 man-hours were required per site, at a replication of three plots per site and three well-separated sites per forest type. 3. Mean biovolume of lying dead wood exceeded 8 × 103 m3 ha−1 in kerangas (= heath) forest, with lower values in other types. Large items (&gt; 19 cm diameter) were less than 10% of total abundance, but represented the largest biovolume, exceeding (alluvial) or equalling (kerangas) the total biovolumes of smaller categories combined. Most items (not less than 75%) were present as small wood (&lt; 10 cm diameter). Items in the highest decay class had the highest biovolume. 4. Termite attack was greater in the kerangas, where nearly 90% of items showed evidence of consumption, compared with 58% in the alluvial and 40% in the sandstone forests. Over 40% of items in the kerangas contained live termites compared with 25% in the alluvial and 15% in the sandstone. Items in the highest attack class (= almost total internal destruction) represented about one-half of the total biovolume available in the alluvial and kerangas forest types, and about one-third in the sandstone.","author":[{"dropping-particle":"","family":"Jones","given":"David T.","non-dropping-particle":"","parse-names":false,"suffix":""},{"dropping-particle":"","family":"Susilo","given":"F. X.","non-dropping-particle":"","parse-names":false,"suffix":""},{"dropping-particle":"","family":"Bignell","given":"D. E.","non-dropping-particle":"","parse-names":false,"suffix":""},{"dropping-particle":"","family":"Hardiwinoto","given":"S.","non-dropping-particle":"","parse-names":false,"suffix":""},{"dropping-particle":"","family":"Gillison","given":"A. N.","non-dropping-particle":"","parse-names":false,"suffix":""},{"dropping-particle":"","family":"Eggleton","given":"P.","non-dropping-particle":"","parse-names":false,"suffix":""}],"container-title":"Journal of Applied Ecology","id":"ITEM-2","issue":"2","issued":{"date-parts":[["2003","4","1"]]},"page":"380-391","publisher":"John Wiley &amp; Sons, Ltd (10.1111)","title":"Termite assemblage collapse along a land-use intensification gradient in lowland central Sumatra, Indonesia","type":"article-journal","volume":"40"},"uris":["http://www.mendeley.com/documents/?uuid=6f253c61-8233-3ca4-aeb4-bc4f16b8b675"]},{"id":"ITEM-3","itemData":{"DOI":"10.1007/s10841-017-0019-7","ISSN":"15729753","abstract":"Disturbance, particularly agricultural expansion is one of the major threats to the biodiversity and ecological functions of tropical and sub-tropical ecosystems. In this regard, we examined changes in the species richness, abundance, and diversity of termites across different disturbance treatments in a sub-tropical semi-arid savanna in south eastern Zimbabwe. Nine transects (100 × 2 m) representing three habitat disturbance treatments (primary woodland; grazing area; agricultural field) were sampled for termites using a rapid biodiversity assessment protocol. Termites were more abundant and species-rich in primary woodland and grazing area than in the agricultural field. Twelve termite species from three sub-families were present, with Microtermes sp. constituting 35% of the identified termite species. Termite feeding group structure differed significantly among land-use types, and of all termites present, wood-feeding termites were the most abundant while soil-feeders were rare in the agricultural field. In conclusion the observed pattern in termite species richness and relative abundance indicates that termites are very resilient to natural disturbance and might actually benefit from some natural disturbances like they did in the grazing area of this study, but they are not resilient to extreme anthropogenic disturbance. Although there was no notable difference in termite species richness and relative abundance between agricultural field and primary woodland, the pattern observed across the three sites may be potential support for the IDH suggesting that intermediate levels of physical disturbance intensity influence the structure and functioning of termite assemblages in semi-arid savanna.","author":[{"dropping-particle":"","family":"Muvengwi","given":"Justice","non-dropping-particle":"","parse-names":false,"suffix":""},{"dropping-particle":"","family":"Mbiba","given":"Monicah","non-dropping-particle":"","parse-names":false,"suffix":""},{"dropping-particle":"","family":"Ndagurwa","given":"Hilton G.T.","non-dropping-particle":"","parse-names":false,"suffix":""},{"dropping-particle":"","family":"Nyamadzawo","given":"George","non-dropping-particle":"","parse-names":false,"suffix":""},{"dropping-particle":"","family":"Nhokovedzo","given":"Polite","non-dropping-particle":"","parse-names":false,"suffix":""}],"container-title":"Journal of Insect Conservation","id":"ITEM-3","issue":"5-6","issued":{"date-parts":[["2017","12","31"]]},"page":"801-812","publisher":"Springer International Publishing","title":"Termite diversity along a land use intensification gradient in a semi-arid savanna","type":"article-journal","volume":"21"},"uris":["http://www.mendeley.com/documents/?uuid=3f299d60-4bd6-3761-bba6-52d56d48ce91"]}],"mendeley":{"formattedCitation":"(Eggleton &lt;i&gt;et al&lt;/i&gt; 1996, Jones &lt;i&gt;et al&lt;/i&gt; 2003, Muvengwi &lt;i&gt;et al&lt;/i&gt; 2017a)","manualFormatting":"(e.g. Eggleton et al. 1996, Jones et al. 2003, Muvengwi et al. 2017)","plainTextFormattedCitation":"(Eggleton et al 1996, Jones et al 2003, Muvengwi et al 2017a)","previouslyFormattedCitation":"(Eggleton &lt;i&gt;et al&lt;/i&gt; 1996, Jones &lt;i&gt;et al&lt;/i&gt; 2003, Muvengwi &lt;i&gt;et al&lt;/i&gt; 2017a)"},"properties":{"noteIndex":0},"schema":"https://github.com/citation-style-language/schema/raw/master/csl-citation.json"}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(e.g. Eggleton et al. 1996, Jones et al. 2003, Muvengwi et al. 2017)</w:t>
      </w:r>
      <w:r>
        <w:rPr>
          <w:rFonts w:ascii="Times New Roman" w:hAnsi="Times New Roman"/>
          <w:sz w:val="24"/>
          <w:szCs w:val="24"/>
        </w:rPr>
        <w:fldChar w:fldCharType="end"/>
      </w:r>
      <w:r>
        <w:rPr>
          <w:rFonts w:ascii="Times New Roman" w:hAnsi="Times New Roman"/>
          <w:sz w:val="24"/>
          <w:szCs w:val="24"/>
        </w:rPr>
        <w:t xml:space="preserve">, and </w:t>
      </w:r>
      <w:r w:rsidR="00E351DC">
        <w:rPr>
          <w:rFonts w:ascii="Times New Roman" w:hAnsi="Times New Roman"/>
          <w:sz w:val="24"/>
          <w:szCs w:val="24"/>
        </w:rPr>
        <w:t>suggest</w:t>
      </w:r>
      <w:r>
        <w:rPr>
          <w:rFonts w:ascii="Times New Roman" w:hAnsi="Times New Roman"/>
          <w:sz w:val="24"/>
          <w:szCs w:val="24"/>
        </w:rPr>
        <w:t xml:space="preserve"> that the mound-building termite, </w:t>
      </w:r>
      <w:r>
        <w:rPr>
          <w:rFonts w:ascii="Times New Roman" w:hAnsi="Times New Roman"/>
          <w:i/>
          <w:sz w:val="24"/>
          <w:szCs w:val="24"/>
        </w:rPr>
        <w:t>Macrotermes</w:t>
      </w:r>
      <w:r>
        <w:rPr>
          <w:rFonts w:ascii="Times New Roman" w:hAnsi="Times New Roman"/>
          <w:sz w:val="24"/>
          <w:szCs w:val="24"/>
        </w:rPr>
        <w:t xml:space="preserve">, is less susceptible to disturbance than other genera. </w:t>
      </w:r>
      <w:r>
        <w:rPr>
          <w:rFonts w:ascii="Times New Roman" w:hAnsi="Times New Roman"/>
          <w:i/>
          <w:sz w:val="24"/>
          <w:szCs w:val="24"/>
        </w:rPr>
        <w:t>Macrotermes</w:t>
      </w:r>
      <w:r>
        <w:rPr>
          <w:rFonts w:ascii="Times New Roman" w:hAnsi="Times New Roman"/>
          <w:sz w:val="24"/>
          <w:szCs w:val="24"/>
        </w:rPr>
        <w:t xml:space="preserve"> are generalist feeders, consuming a wide range of dead organic matter, and are therefore likely able to switch their diet according to available feeding substrate. Other generalist feeders within the subfamily</w:t>
      </w:r>
      <w:r w:rsidR="00D01891">
        <w:rPr>
          <w:rFonts w:ascii="Times New Roman" w:hAnsi="Times New Roman"/>
          <w:sz w:val="24"/>
          <w:szCs w:val="24"/>
        </w:rPr>
        <w:t xml:space="preserve"> </w:t>
      </w:r>
      <w:proofErr w:type="spellStart"/>
      <w:r>
        <w:rPr>
          <w:rFonts w:ascii="Times New Roman" w:hAnsi="Times New Roman"/>
          <w:sz w:val="24"/>
          <w:szCs w:val="24"/>
        </w:rPr>
        <w:t>Macrotemitinae</w:t>
      </w:r>
      <w:proofErr w:type="spellEnd"/>
      <w:r>
        <w:rPr>
          <w:rFonts w:ascii="Times New Roman" w:hAnsi="Times New Roman"/>
          <w:sz w:val="24"/>
          <w:szCs w:val="24"/>
        </w:rPr>
        <w:t xml:space="preserve"> have been shown to be less sensitive to habitat perturbation compared with other groups, particularly soil-feeding termites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{"citationItems":[{"id":"ITEM-1","itemData":{"DOI":"10.1111/j.1365-2664.2012.02107.x","ISBN":"1365-2664","author":[{"dropping-particle":"","family":"Davies","given":"Andrew B","non-dropping-particle":"","parse-names":false,"suffix":""},{"dropping-particle":"","family":"Eggleton","given":"Paul","non-dropping-particle":"","parse-names":false,"suffix":""},{"dropping-particle":"","family":"Rensburg","given":"Berndt J","non-dropping-particle":"van","parse-names":false,"suffix":""},{"dropping-particle":"","family":"Parr","given":"Catherine L","non-dropping-particle":"","parse-names":false,"suffix":""}],"container-title":"Journal of Applied Ecology","id":"ITEM-1","issue":"2","issued":{"date-parts":[["2012"]]},"page":"422-430","publisher":"Blackwell Publishing Ltd","title":"The pyrodiversity–biodiversity hypothesis: a test with savanna termite assemblages","type":"article-journal","volume":"49"},"uris":["http://www.mendeley.com/documents/?uuid=9d554aad-2e6f-406f-a45c-62730109b7fb"]},{"id":"ITEM-2","itemData":{"DOI":"10.1007/s10841-017-0019-7","ISSN":"15729753","abstract":"Disturbance, particularly agricultural expansion is one of the major threats to the biodiversity and ecological functions of tropical and sub-tropical ecosystems. In this regard, we examined changes in the species richness, abundance, and diversity of termites across different disturbance treatments in a sub-tropical semi-arid savanna in south eastern Zimbabwe. Nine transects (100 × 2 m) representing three habitat disturbance treatments (primary woodland; grazing area; agricultural field) were sampled for termites using a rapid biodiversity assessment protocol. Termites were more abundant and species-rich in primary woodland and grazing area than in the agricultural field. Twelve termite species from three sub-families were present, with Microtermes sp. constituting 35% of the identified termite species. Termite feeding group structure differed significantly among land-use types, and of all termites present, wood-feeding termites were the most abundant while soil-feeders were rare in the agricultural field. In conclusion the observed pattern in termite species richness and relative abundance indicates that termites are very resilient to natural disturbance and might actually benefit from some natural disturbances like they did in the grazing area of this study, but they are not resilient to extreme anthropogenic disturbance. Although there was no notable difference in termite species richness and relative abundance between agricultural field and primary woodland, the pattern observed across the three sites may be potential support for the IDH suggesting that intermediate levels of physical disturbance intensity influence the structure and functioning of termite assemblages in semi-arid savanna.","author":[{"dropping-particle":"","family":"Muvengwi","given":"Justice","non-dropping-particle":"","parse-names":false,"suffix":""},{"dropping-particle":"","family":"Mbiba","given":"Monicah","non-dropping-particle":"","parse-names":false,"suffix":""},{"dropping-particle":"","family":"Ndagurwa","given":"Hilton G.T.","non-dropping-particle":"","parse-names":false,"suffix":""},{"dropping-particle":"","family":"Nyamadzawo","given":"George","non-dropping-particle":"","parse-names":false,"suffix":""},{"dropping-particle":"","family":"Nhokovedzo","given":"Polite","non-dropping-particle":"","parse-names":false,"suffix":""}],"container-title":"Journal of Insect Conservation","id":"ITEM-2","issue":"5-6","issued":{"date-parts":[["2017","12","31"]]},"page":"801-812","publisher":"Springer International Publishing","title":"Termite diversity along a land use intensification gradient in a semi-arid savanna","type":"article-journal","volume":"21"},"uris":["http://www.mendeley.com/documents/?uuid=3f299d60-4bd6-3761-bba6-52d56d48ce91"]}],"mendeley":{"formattedCitation":"(Davies &lt;i&gt;et al&lt;/i&gt; 2012, Muvengwi &lt;i&gt;et al&lt;/i&gt; 2017a)","plainTextFormattedCitation":"(Davies et al 2012, Muvengwi et al 2017a)","previouslyFormattedCitation":"(Davies &lt;i&gt;et al&lt;/i&gt; 2012, Muvengwi &lt;i&gt;et al&lt;/i&gt; 2017a)"},"properties":{"noteIndex":0},"schema":"https://github.com/citation-style-language/schema/raw/master/csl-citation.json"}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2012, Muvengwi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2017a)</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i/>
          <w:sz w:val="24"/>
          <w:szCs w:val="24"/>
        </w:rPr>
        <w:t>Macrotermes</w:t>
      </w:r>
      <w:r>
        <w:rPr>
          <w:rFonts w:ascii="Times New Roman" w:hAnsi="Times New Roman"/>
          <w:sz w:val="24"/>
          <w:szCs w:val="24"/>
        </w:rPr>
        <w:t xml:space="preserve"> is also the largest, and likely dominant</w:t>
      </w:r>
      <w:r w:rsidR="00641D2D">
        <w:rPr>
          <w:rFonts w:ascii="Times New Roman" w:hAnsi="Times New Roman"/>
          <w:sz w:val="24"/>
          <w:szCs w:val="24"/>
        </w:rPr>
        <w:t xml:space="preserve"> </w:t>
      </w:r>
      <w:r w:rsidR="00641D2D">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{"citationItems":[{"id":"ITEM-1","itemData":{"DOI":"10.3390/insects10070210","ISSN":"20754450","abstract":"Competition is a fundamental process in ecology and helps to determine dominance hierarchies. Competition and dominance hierarchies have been little investigated in wood-eating termites, despite the necessary traits of similar resources, and showing spatial and temporal overlap. Competition and dominance between five species of wood-eating termites found in Huangzhou, China, was investigated in three laboratory experiments of aggression and detection, plus a year-long field survey of termite foraging activity. Dominance depended on body size, with largest species winning overwhelmingly in paired contests with equal numbers of individuals, although the advantage was reduced in paired competitions with equal biomass. The termites could detect different species from used filter papers, as larger species searched through paper used by smaller species, and smaller species avoided papers used by larger species. The largest species maintained activity all year, but in low abundance, whereas the second largest species increased activity in summer, and the smallest species increased their activity in winter. The termite species displayed a dominance hierarchy based on fighting ability, with a temporal change in foraging to avoid larger, more dominant species. The low abundance of the largest species, here Macrotermes barneyi, may be a function of human disturbance, which allows subordinate species to increase. Thus, competitive release may explain the increase in abundance of pest species, such as Coptotermes formosanus, in highly modified areas, such as urban systems.","author":[{"dropping-particle":"","family":"Evans","given":"Theodore A.","non-dropping-particle":"","parse-names":false,"suffix":""},{"dropping-particle":"","family":"Kasseney","given":"Boris Dodji","non-dropping-particle":"","parse-names":false,"suffix":""}],"container-title":"Insects","id":"ITEM-1","issue":"7","issued":{"date-parts":[["2019","7","18"]]},"page":"210","title":"The dominance hierarchy of wood-eating termites from China","type":"article-journal","volume":"10"},"uris":["http://www.mendeley.com/documents/?uuid=79e5c642-b3db-355d-b756-fb79904b04a5"]}],"mendeley":{"formattedCitation":"(Evans and Kasseney 2019)","plainTextFormattedCitation":"(Evans and Kasseney 2019)","previouslyFormattedCitation":"(Evans and Kasseney 2019)"},"properties":{"noteIndex":0},"schema":"https://github.com/citation-style-language/schema/raw/master/csl-citation.json"}</w:instrText>
      </w:r>
      <w:r w:rsidR="00641D2D">
        <w:rPr>
          <w:rFonts w:ascii="Times New Roman" w:hAnsi="Times New Roman"/>
          <w:sz w:val="24"/>
          <w:szCs w:val="24"/>
        </w:rPr>
        <w:fldChar w:fldCharType="separate"/>
      </w:r>
      <w:r w:rsidR="00FF1077" w:rsidRPr="00FF1077">
        <w:rPr>
          <w:rFonts w:ascii="Times New Roman" w:hAnsi="Times New Roman"/>
          <w:noProof/>
          <w:sz w:val="24"/>
          <w:szCs w:val="24"/>
        </w:rPr>
        <w:t>(Evans and Kasseney 2019)</w:t>
      </w:r>
      <w:r w:rsidR="00641D2D">
        <w:rPr>
          <w:rFonts w:ascii="Times New Roman" w:hAnsi="Times New Roman"/>
          <w:sz w:val="24"/>
          <w:szCs w:val="24"/>
        </w:rPr>
        <w:fldChar w:fldCharType="end"/>
      </w:r>
      <w:r>
        <w:rPr>
          <w:rFonts w:ascii="Times New Roman" w:hAnsi="Times New Roman"/>
          <w:sz w:val="24"/>
          <w:szCs w:val="24"/>
        </w:rPr>
        <w:t>, termite in these systems</w:t>
      </w:r>
      <w:r w:rsidR="000079E3">
        <w:rPr>
          <w:rFonts w:ascii="Times New Roman" w:hAnsi="Times New Roman"/>
          <w:sz w:val="24"/>
          <w:szCs w:val="24"/>
        </w:rPr>
        <w:t>,</w:t>
      </w:r>
      <w:r>
        <w:rPr>
          <w:rFonts w:ascii="Times New Roman" w:hAnsi="Times New Roman"/>
          <w:sz w:val="24"/>
          <w:szCs w:val="24"/>
        </w:rPr>
        <w:t xml:space="preserve"> and </w:t>
      </w:r>
      <w:r w:rsidR="009E6771">
        <w:rPr>
          <w:rFonts w:ascii="Times New Roman" w:hAnsi="Times New Roman"/>
          <w:sz w:val="24"/>
          <w:szCs w:val="24"/>
        </w:rPr>
        <w:t>could</w:t>
      </w:r>
      <w:r>
        <w:rPr>
          <w:rFonts w:ascii="Times New Roman" w:hAnsi="Times New Roman"/>
          <w:sz w:val="24"/>
          <w:szCs w:val="24"/>
        </w:rPr>
        <w:t xml:space="preserve"> exclude other termites from food resources, thereby monopolizing reduced resources in transformed landscapes. Whether dominance by </w:t>
      </w:r>
      <w:r>
        <w:rPr>
          <w:rFonts w:ascii="Times New Roman" w:hAnsi="Times New Roman"/>
          <w:i/>
          <w:sz w:val="24"/>
          <w:szCs w:val="24"/>
        </w:rPr>
        <w:t>Macrotermes</w:t>
      </w:r>
      <w:r>
        <w:rPr>
          <w:rFonts w:ascii="Times New Roman" w:hAnsi="Times New Roman"/>
          <w:sz w:val="24"/>
          <w:szCs w:val="24"/>
        </w:rPr>
        <w:t xml:space="preserve"> leads to declines in other termite genera in </w:t>
      </w:r>
      <w:r>
        <w:rPr>
          <w:rFonts w:ascii="Times New Roman" w:hAnsi="Times New Roman"/>
          <w:sz w:val="24"/>
          <w:szCs w:val="24"/>
        </w:rPr>
        <w:lastRenderedPageBreak/>
        <w:t xml:space="preserve">transformed landscapes, with a concomitant reduction in ecosystem services provided by termites, was beyond the </w:t>
      </w:r>
      <w:r w:rsidR="000079E3">
        <w:rPr>
          <w:rFonts w:ascii="Times New Roman" w:hAnsi="Times New Roman"/>
          <w:sz w:val="24"/>
          <w:szCs w:val="24"/>
        </w:rPr>
        <w:t>scope of our study</w:t>
      </w:r>
      <w:r>
        <w:rPr>
          <w:rFonts w:ascii="Times New Roman" w:hAnsi="Times New Roman"/>
          <w:sz w:val="24"/>
          <w:szCs w:val="24"/>
        </w:rPr>
        <w:t xml:space="preserve"> and requires further investigation.</w:t>
      </w:r>
    </w:p>
    <w:p w14:paraId="63651C55" w14:textId="5649A8BD" w:rsidR="00421AD7" w:rsidRDefault="00344831">
      <w:pPr>
        <w:spacing w:after="0" w:line="480" w:lineRule="auto"/>
        <w:ind w:firstLine="720"/>
        <w:rPr>
          <w:rFonts w:ascii="Times New Roman" w:hAnsi="Times New Roman"/>
          <w:sz w:val="24"/>
          <w:szCs w:val="24"/>
        </w:rPr>
      </w:pPr>
      <w:r>
        <w:rPr>
          <w:rFonts w:ascii="Times New Roman" w:hAnsi="Times New Roman"/>
          <w:sz w:val="24"/>
          <w:szCs w:val="24"/>
        </w:rPr>
        <w:t xml:space="preserve">Notwithstanding their resistance to land-use change, we found important differences in termite mound characteristics between human-modified and protected areas. Mound densities were lower in transformed landscapes (Fig 3a), </w:t>
      </w:r>
      <w:r w:rsidR="00D01891">
        <w:rPr>
          <w:rFonts w:ascii="Times New Roman" w:hAnsi="Times New Roman"/>
          <w:sz w:val="24"/>
          <w:szCs w:val="24"/>
        </w:rPr>
        <w:t>consistent</w:t>
      </w:r>
      <w:r>
        <w:rPr>
          <w:rFonts w:ascii="Times New Roman" w:hAnsi="Times New Roman"/>
          <w:sz w:val="24"/>
          <w:szCs w:val="24"/>
        </w:rPr>
        <w:t xml:space="preserve"> with findings of lower abundance for other taxonomic groups in response to human land-use change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{"citationItems":[{"id":"ITEM-1","itemData":{"DOI":"10.1016/J.BIOCON.2019.01.020","ISSN":"0006-3207","abstract":"Biodiversity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affected, whereas four major aquatic taxa (Odonata, Plecoptera, Trichoptera and Ephemeroptera) have already lost a considerable proportion of species. Affected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affects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effective remediation technologies should be applied to clean polluted waters in both agricultural and urban environments.","author":[{"dropping-particle":"","family":"Sánchez-Bayo","given":"Francisco","non-dropping-particle":"","parse-names":false,"suffix":""},{"dropping-particle":"","family":"Wyckhuys","given":"Kris A.G.","non-dropping-particle":"","parse-names":false,"suffix":""}],"container-title":"Biological Conservation","id":"ITEM-1","issued":{"date-parts":[["2019","4","1"]]},"page":"8-27","publisher":"Elsevier","title":"Worldwide decline of the entomofauna: A review of its drivers","type":"article-journal","volume":"232"},"uris":["http://www.mendeley.com/documents/?uuid=10aade26-e76d-368d-9f83-2f1e00b5413e"]},{"id":"ITEM-2","itemData":{"DOI":"10.1111/j.1461-0248.2008.01255.x","ISSN":"1461-023X","abstract":"Abstract Land use intensification can greatly reduce species richness and ecosystem functioning. However, species richness determines ecosystem functioning through the diversity and values of traits of species present. Here, we analyze changes in species richness and functional diversity (FD) at varying agricultural land use intensity levels. We test hypotheses of FD responses to land use intensification in plant, bird, and mammal communities using trait data compiled for 1600+?species. To isolate changes in FD from changes in species richness we compare the FD of communities to the null expectations of FD values. In over one-quarter of the bird and mammal communities impacted by agriculture, declines in FD were steeper than predicted by species number. In plant communities, changes in FD were indistinguishable from changes in species richness. Land use intensification can reduce the functional diversity of animal communities beyond changes in species richness alone, potentially imperiling provisioning of ecosystem services.","author":[{"dropping-particle":"","family":"Flynn","given":"Dan F B","non-dropping-particle":"","parse-names":false,"suffix":""},{"dropping-particle":"","family":"Gogol-Prokurat","given":"Melanie","non-dropping-particle":"","parse-names":false,"suffix":""},{"dropping-particle":"","family":"Nogeire","given":"Theresa","non-dropping-particle":"","parse-names":false,"suffix":""},{"dropping-particle":"","family":"Molinari","given":"Nicole","non-dropping-particle":"","parse-names":false,"suffix":""},{"dropping-particle":"","family":"Richers","given":"Bárbara Trautman","non-dropping-particle":"","parse-names":false,"suffix":""},{"dropping-particle":"","family":"Lin","given":"Brenda B","non-dropping-particle":"","parse-names":false,"suffix":""},{"dropping-particle":"","family":"Simpson","given":"Nicholas","non-dropping-particle":"","parse-names":false,"suffix":""},{"dropping-particle":"","family":"Mayfield","given":"Margaret M","non-dropping-particle":"","parse-names":false,"suffix":""},{"dropping-particle":"","family":"DeClerck","given":"Fabrice","non-dropping-particle":"","parse-names":false,"suffix":""}],"container-title":"Ecology Letters","id":"ITEM-2","issue":"1","issued":{"date-parts":[["2009","1","1"]]},"note":"doi: 10.1111/j.1461-0248.2008.01255.x","page":"22-33","publisher":"John Wiley &amp; Sons, Ltd (10.1111)","title":"Loss of functional diversity under land use intensification across multiple taxa","type":"article-journal","volume":"12"},"uris":["http://www.mendeley.com/documents/?uuid=c1808490-3e77-4fc0-a40d-1699c945d088"]}],"mendeley":{"formattedCitation":"(Sánchez-Bayo and Wyckhuys 2019, Flynn &lt;i&gt;et al&lt;/i&gt; 2009)","plainTextFormattedCitation":"(Sánchez-Bayo and Wyckhuys 2019, Flynn et al 2009)","previouslyFormattedCitation":"(Sánchez-Bayo and Wyckhuys 2019, Flynn &lt;i&gt;et al&lt;/i&gt; 2009)"},"properties":{"noteIndex":0},"schema":"https://github.com/citation-style-language/schema/raw/master/csl-citation.json"}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(Sánchez-Bayo and Wyckhuys 2019, Flynn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2009)</w:t>
      </w:r>
      <w:r>
        <w:rPr>
          <w:rFonts w:ascii="Times New Roman" w:hAnsi="Times New Roman"/>
          <w:sz w:val="24"/>
          <w:szCs w:val="24"/>
        </w:rPr>
        <w:fldChar w:fldCharType="end"/>
      </w:r>
      <w:r>
        <w:rPr>
          <w:rFonts w:ascii="Times New Roman" w:hAnsi="Times New Roman"/>
          <w:sz w:val="24"/>
          <w:szCs w:val="24"/>
        </w:rPr>
        <w:t xml:space="preserve">. However, in contrast to what might be expected, mound densities were lower in communal grazing areas relative to agricultural fields. Termite abundance </w:t>
      </w:r>
      <w:r w:rsidR="00E351DC">
        <w:rPr>
          <w:rFonts w:ascii="Times New Roman" w:hAnsi="Times New Roman"/>
          <w:sz w:val="24"/>
          <w:szCs w:val="24"/>
        </w:rPr>
        <w:t>has</w:t>
      </w:r>
      <w:r>
        <w:rPr>
          <w:rFonts w:ascii="Times New Roman" w:hAnsi="Times New Roman"/>
          <w:sz w:val="24"/>
          <w:szCs w:val="24"/>
        </w:rPr>
        <w:t xml:space="preserve"> been shown to decline with agricultural clearing elsewhere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{"citationItems":[{"id":"ITEM-1","itemData":{"DOI":"10.1046/j.1365-2664.2003.00794.x","ISBN":"00218901","ISSN":"00218901","abstract":"1. A line intersection method was used to estimate abundance (technically linear abundance: m1 m−2), biovolume (m3 ha−1) and size class distribution (defined by diameter) of lying dead wood in tropical forest. Additional semi-quantitative protocols assessed decay state (4 classes), termite attack (5 classes) and live termite occupancy (3 classes). 2. Three forest types (kerangas, alluvial and sandstone) were sampled in the Kabili-Sepilok Forest Reserve of Eastern Sabah, using plots of 30 × 30 m. Approximately 50 man-hours were required per site, at a replication of three plots per site and three well-separated sites per forest type. 3. Mean biovolume of lying dead wood exceeded 8 × 103 m3 ha−1 in kerangas (= heath) forest, with lower values in other types. Large items (&gt; 19 cm diameter) were less than 10% of total abundance, but represented the largest biovolume, exceeding (alluvial) or equalling (kerangas) the total biovolumes of smaller categories combined. Most items (not less than 75%) were present as small wood (&lt; 10 cm diameter). Items in the highest decay class had the highest biovolume. 4. Termite attack was greater in the kerangas, where nearly 90% of items showed evidence of consumption, compared with 58% in the alluvial and 40% in the sandstone forests. Over 40% of items in the kerangas contained live termites compared with 25% in the alluvial and 15% in the sandstone. Items in the highest attack class (= almost total internal destruction) represented about one-half of the total biovolume available in the alluvial and kerangas forest types, and about one-third in the sandstone.","author":[{"dropping-particle":"","family":"Jones","given":"David T.","non-dropping-particle":"","parse-names":false,"suffix":""},{"dropping-particle":"","family":"Susilo","given":"F. X.","non-dropping-particle":"","parse-names":false,"suffix":""},{"dropping-particle":"","family":"Bignell","given":"D. E.","non-dropping-particle":"","parse-names":false,"suffix":""},{"dropping-particle":"","family":"Hardiwinoto","given":"S.","non-dropping-particle":"","parse-names":false,"suffix":""},{"dropping-particle":"","family":"Gillison","given":"A. N.","non-dropping-particle":"","parse-names":false,"suffix":""},{"dropping-particle":"","family":"Eggleton","given":"P.","non-dropping-particle":"","parse-names":false,"suffix":""}],"container-title":"Journal of Applied Ecology","id":"ITEM-1","issue":"2","issued":{"date-parts":[["2003","4","1"]]},"page":"380-391","publisher":"John Wiley &amp; Sons, Ltd (10.1111)","title":"Termite assemblage collapse along a land-use intensification gradient in lowland central Sumatra, Indonesia","type":"article-journal","volume":"40"},"uris":["http://www.mendeley.com/documents/?uuid=6f253c61-8233-3ca4-aeb4-bc4f16b8b675"]},{"id":"ITEM-2","itemData":{"DOI":"10.1007/s10841-017-0019-7","ISSN":"15729753","abstract":"Disturbance, particularly agricultural expansion is one of the major threats to the biodiversity and ecological functions of tropical and sub-tropical ecosystems. In this regard, we examined changes in the species richness, abundance, and diversity of termites across different disturbance treatments in a sub-tropical semi-arid savanna in south eastern Zimbabwe. Nine transects (100 × 2 m) representing three habitat disturbance treatments (primary woodland; grazing area; agricultural field) were sampled for termites using a rapid biodiversity assessment protocol. Termites were more abundant and species-rich in primary woodland and grazing area than in the agricultural field. Twelve termite species from three sub-families were present, with Microtermes sp. constituting 35% of the identified termite species. Termite feeding group structure differed significantly among land-use types, and of all termites present, wood-feeding termites were the most abundant while soil-feeders were rare in the agricultural field. In conclusion the observed pattern in termite species richness and relative abundance indicates that termites are very resilient to natural disturbance and might actually benefit from some natural disturbances like they did in the grazing area of this study, but they are not resilient to extreme anthropogenic disturbance. Although there was no notable difference in termite species richness and relative abundance between agricultural field and primary woodland, the pattern observed across the three sites may be potential support for the IDH suggesting that intermediate levels of physical disturbance intensity influence the structure and functioning of termite assemblages in semi-arid savanna.","author":[{"dropping-particle":"","family":"Muvengwi","given":"Justice","non-dropping-particle":"","parse-names":false,"suffix":""},{"dropping-particle":"","family":"Mbiba","given":"Monicah","non-dropping-particle":"","parse-names":false,"suffix":""},{"dropping-particle":"","family":"Ndagurwa","given":"Hilton G.T.","non-dropping-particle":"","parse-names":false,"suffix":""},{"dropping-particle":"","family":"Nyamadzawo","given":"George","non-dropping-particle":"","parse-names":false,"suffix":""},{"dropping-particle":"","family":"Nhokovedzo","given":"Polite","non-dropping-particle":"","parse-names":false,"suffix":""}],"container-title":"Journal of Insect Conservation","id":"ITEM-2","issue":"5-6","issued":{"date-parts":[["2017","12","31"]]},"page":"801-812","publisher":"Springer International Publishing","title":"Termite diversity along a land use intensification gradient in a semi-arid savanna","type":"article-journal","volume":"21"},"uris":["http://www.mendeley.com/documents/?uuid=3f299d60-4bd6-3761-bba6-52d56d48ce91"]}],"mendeley":{"formattedCitation":"(Jones &lt;i&gt;et al&lt;/i&gt; 2003, Muvengwi &lt;i&gt;et al&lt;/i&gt; 2017a)","plainTextFormattedCitation":"(Jones et al 2003, Muvengwi et al 2017a)","previouslyFormattedCitation":"(Jones &lt;i&gt;et al&lt;/i&gt; 2003, Muvengwi &lt;i&gt;et al&lt;/i&gt; 2017a)"},"properties":{"noteIndex":0},"schema":"https://github.com/citation-style-language/schema/raw/master/csl-citation.json"}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(Jones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2003, Muvengwi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2017a)</w:t>
      </w:r>
      <w:r>
        <w:rPr>
          <w:rFonts w:ascii="Times New Roman" w:hAnsi="Times New Roman"/>
          <w:sz w:val="24"/>
          <w:szCs w:val="24"/>
        </w:rPr>
        <w:fldChar w:fldCharType="end"/>
      </w:r>
      <w:r>
        <w:rPr>
          <w:rFonts w:ascii="Times New Roman" w:hAnsi="Times New Roman"/>
          <w:sz w:val="24"/>
          <w:szCs w:val="24"/>
        </w:rPr>
        <w:t>, whereas</w:t>
      </w:r>
      <w:r w:rsidR="00D01891">
        <w:rPr>
          <w:rFonts w:ascii="Times New Roman" w:hAnsi="Times New Roman"/>
          <w:sz w:val="24"/>
          <w:szCs w:val="24"/>
        </w:rPr>
        <w:t xml:space="preserve"> uncleared</w:t>
      </w:r>
      <w:r>
        <w:rPr>
          <w:rFonts w:ascii="Times New Roman" w:hAnsi="Times New Roman"/>
          <w:sz w:val="24"/>
          <w:szCs w:val="24"/>
        </w:rPr>
        <w:t xml:space="preserve"> grazing areas could be expected to be more similar to natural </w:t>
      </w:r>
      <w:r w:rsidR="00D01891">
        <w:rPr>
          <w:rFonts w:ascii="Times New Roman" w:hAnsi="Times New Roman"/>
          <w:sz w:val="24"/>
          <w:szCs w:val="24"/>
        </w:rPr>
        <w:t xml:space="preserve">termite habitat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{"citationItems":[{"id":"ITEM-1","itemData":{"DOI":"10.2989/10220119.2017.1314981","ISSN":"17279380","abstract":"Epigeal termites alter ecosystem-level processes through foraging and mound building. These effects are proportional to density. Whilst much is known about the factors influencing mound density in natural settings, how termites respond to livestock grazing has been overlooked. We compared the characteristics and density of Trinervitermes trinervoides (Isoptera: Termitidae) mounds in the Karoo (South Africa) within an exclosure and continuously-grazed plot from a &gt;75-year grazing experiment. Specifically, we asked whether long-term livestock grazing impacted (1) termite mound density, volume, basal area and size, (2) mound occupancy and age, (3) vegetation characteristics and (4) soil properties. Long-term grazing increased mound density two-fold. This was coupled with a decrease in mean mound size, an increase in the size of the largest mounds and range of mound sizes, and an increase in the proportion and numbers of young, active mounds. However, these changes did not alter landscape-scale mound basal area or volume. Vegetation was unaffected by long-term grazing but it did cause soil phosphorus, magnesium and calcium depletion. We suggest that livestock grazing provides additional forage resources for termites through litter breakup and dung production, leading to greater mound recruitment and thus densities, whilst allowing mounds to achieve greater maximum size.","author":[{"dropping-particle":"","family":"Hagan","given":"James G","non-dropping-particle":"","parse-names":false,"suffix":""},{"dropping-particle":"","family":"Toit","given":"Justin CO","non-dropping-particle":"du","parse-names":false,"suffix":""},{"dropping-particle":"","family":"Cramer","given":"Michael D","non-dropping-particle":"","parse-names":false,"suffix":""}],"container-title":"African Journal of Range and Forage Science","id":"ITEM-1","issue":"2","issued":{"date-parts":[["2017","4","3"]]},"page":"123-132","publisher":"Taylor &amp; Francis","title":"Long-term livestock grazing increases the recruitment success of epigeal termites: insights from a &gt;75-year grazing experiment in the Karoo, South Africa","type":"article-journal","volume":"34"},"uris":["http://www.mendeley.com/documents/?uuid=b0abb74c-d630-3e97-b157-01cfc28e9fdc"]}],"mendeley":{"formattedCitation":"(Hagan &lt;i&gt;et al&lt;/i&gt; 2017)","manualFormatting":"(see also Hagan et al. 2017 where grazing increased Trinervitermes mound densities)","plainTextFormattedCitation":"(Hagan et al 2017)","previouslyFormattedCitation":"(Hagan &lt;i&gt;et al&lt;/i&gt;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(see also Hagan et al. 2017 where grazing increased </w:t>
      </w:r>
      <w:r>
        <w:rPr>
          <w:rFonts w:ascii="Times New Roman" w:hAnsi="Times New Roman"/>
          <w:i/>
          <w:noProof/>
          <w:sz w:val="24"/>
          <w:szCs w:val="24"/>
        </w:rPr>
        <w:t>Trinervitermes</w:t>
      </w:r>
      <w:r>
        <w:rPr>
          <w:rFonts w:ascii="Times New Roman" w:hAnsi="Times New Roman"/>
          <w:noProof/>
          <w:sz w:val="24"/>
          <w:szCs w:val="24"/>
        </w:rPr>
        <w:t xml:space="preserve"> mound densities)</w:t>
      </w:r>
      <w:r>
        <w:rPr>
          <w:rFonts w:ascii="Times New Roman" w:hAnsi="Times New Roman"/>
          <w:sz w:val="24"/>
          <w:szCs w:val="24"/>
        </w:rPr>
        <w:fldChar w:fldCharType="end"/>
      </w:r>
      <w:r>
        <w:rPr>
          <w:rFonts w:ascii="Times New Roman" w:hAnsi="Times New Roman"/>
          <w:sz w:val="24"/>
          <w:szCs w:val="24"/>
        </w:rPr>
        <w:t xml:space="preserve">. </w:t>
      </w:r>
      <w:r w:rsidR="00D62AFB">
        <w:rPr>
          <w:rFonts w:ascii="Times New Roman" w:hAnsi="Times New Roman"/>
          <w:sz w:val="24"/>
          <w:szCs w:val="24"/>
        </w:rPr>
        <w:t>Subsistence a</w:t>
      </w:r>
      <w:r w:rsidR="00847CF5">
        <w:rPr>
          <w:rFonts w:ascii="Times New Roman" w:hAnsi="Times New Roman"/>
          <w:sz w:val="24"/>
          <w:szCs w:val="24"/>
        </w:rPr>
        <w:t xml:space="preserve">gricultural </w:t>
      </w:r>
      <w:r>
        <w:rPr>
          <w:rFonts w:ascii="Times New Roman" w:hAnsi="Times New Roman"/>
          <w:sz w:val="24"/>
          <w:szCs w:val="24"/>
        </w:rPr>
        <w:t xml:space="preserve">practices in </w:t>
      </w:r>
      <w:r w:rsidR="00847CF5">
        <w:rPr>
          <w:rFonts w:ascii="Times New Roman" w:hAnsi="Times New Roman"/>
          <w:sz w:val="24"/>
          <w:szCs w:val="24"/>
        </w:rPr>
        <w:t xml:space="preserve">our </w:t>
      </w:r>
      <w:r>
        <w:rPr>
          <w:rFonts w:ascii="Times New Roman" w:hAnsi="Times New Roman"/>
          <w:sz w:val="24"/>
          <w:szCs w:val="24"/>
        </w:rPr>
        <w:t xml:space="preserve">study area did not include large-scale land clearing common in industrial farming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{"citationItems":[{"id":"ITEM-1","itemData":{"DOI":"10.1126/science.1111772","abstract":"Land use has generally been considered a local environmental issue, but it is becoming a force of global importance. Worldwide changes to forests, farmlands, waterways, and air are being driven by the need to provide food, fiber, water, and shelter to more than six billion people. Global croplands, pastures, plantations, and urban areas have expanded in recent decades, accompanied by large increases in energy, water, and fertilizer consumption, along with considerable losses of biodiversity. Such changes in land use have enabled humans to appropriate an increasing share of the planet&amp;#039;s resources, but they also potentially undermine the capacity of ecosystems to sustain food production, maintain freshwater and forest resources, regulate climate and air quality, and ameliorate infectious diseases. We face the challenge of managing trade-offs between immediate human needs and maintaining the capacity of the biosphere to provide goods and services in the long term.","author":[{"dropping-particle":"","family":"Foley","given":"Jonathan A","non-dropping-particle":"","parse-names":false,"suffix":""},{"dropping-particle":"","family":"DeFries","given":"Ruth","non-dropping-particle":"","parse-names":false,"suffix":""},{"dropping-particle":"","family":"Asner","given":"Gregory P","non-dropping-particle":"","parse-names":false,"suffix":""},{"dropping-particle":"","family":"Barford","given":"Carol","non-dropping-particle":"","parse-names":false,"suffix":""},{"dropping-particle":"","family":"Bonan","given":"Gordon","non-dropping-particle":"","parse-names":false,"suffix":""},{"dropping-particle":"","family":"Carpenter","given":"Stephen R","non-dropping-particle":"","parse-names":false,"suffix":""},{"dropping-particle":"","family":"Chapin","given":"F Stuart","non-dropping-particle":"","parse-names":false,"suffix":""},{"dropping-particle":"","family":"Coe","given":"Michael T","non-dropping-particle":"","parse-names":false,"suffix":""},{"dropping-particle":"","family":"Daily","given":"Gretchen C","non-dropping-particle":"","parse-names":false,"suffix":""},{"dropping-particle":"","family":"Gibbs","given":"Holly K","non-dropping-particle":"","parse-names":false,"suffix":""},{"dropping-particle":"","family":"Helkowski","given":"Joseph H","non-dropping-particle":"","parse-names":false,"suffix":""},{"dropping-particle":"","family":"Holloway","given":"Tracey","non-dropping-particle":"","parse-names":false,"suffix":""},{"dropping-particle":"","family":"Howard","given":"Erica A","non-dropping-particle":"","parse-names":false,"suffix":""},{"dropping-particle":"","family":"Kucharik","given":"Christopher J","non-dropping-particle":"","parse-names":false,"suffix":""},{"dropping-particle":"","family":"Monfreda","given":"Chad","non-dropping-particle":"","parse-names":false,"suffix":""},{"dropping-particle":"","family":"Patz","given":"Jonathan A","non-dropping-particle":"","parse-names":false,"suffix":""},{"dropping-particle":"","family":"Prentice","given":"I Colin","non-dropping-particle":"","parse-names":false,"suffix":""},{"dropping-particle":"","family":"Ramankutty","given":"Navin","non-dropping-particle":"","parse-names":false,"suffix":""},{"dropping-particle":"","family":"Snyder","given":"Peter K","non-dropping-particle":"","parse-names":false,"suffix":""}],"container-title":"Science","id":"ITEM-1","issue":"5734","issued":{"date-parts":[["2005","7","22"]]},"page":"570 LP  - 574","title":"Global Consequences of Land Use","type":"article-journal","volume":"309"},"uris":["http://www.mendeley.com/documents/?uuid=a89df7d4-5a99-4b3d-aebe-b1bc2f85e411"]}],"mendeley":{"formattedCitation":"(Foley &lt;i&gt;et al&lt;/i&gt; 2005)","plainTextFormattedCitation":"(Foley et al 2005)","previouslyFormattedCitation":"(Foley &lt;i&gt;et al&lt;/i&gt; 2005)"},"properties":{"noteIndex":0},"schema":"https://github.com/citation-style-language/schema/raw/master/csl-citation.json"}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(Foley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2005)</w:t>
      </w:r>
      <w:r>
        <w:rPr>
          <w:rFonts w:ascii="Times New Roman" w:hAnsi="Times New Roman"/>
          <w:sz w:val="24"/>
          <w:szCs w:val="24"/>
        </w:rPr>
        <w:fldChar w:fldCharType="end"/>
      </w:r>
      <w:r w:rsidR="00E351DC">
        <w:rPr>
          <w:rFonts w:ascii="Times New Roman" w:hAnsi="Times New Roman"/>
          <w:sz w:val="24"/>
          <w:szCs w:val="24"/>
        </w:rPr>
        <w:t>, and</w:t>
      </w:r>
      <w:r w:rsidR="0089157F">
        <w:rPr>
          <w:rFonts w:ascii="Times New Roman" w:hAnsi="Times New Roman"/>
          <w:sz w:val="24"/>
          <w:szCs w:val="24"/>
        </w:rPr>
        <w:t xml:space="preserve"> </w:t>
      </w:r>
      <w:r>
        <w:rPr>
          <w:rFonts w:ascii="Times New Roman" w:hAnsi="Times New Roman"/>
          <w:sz w:val="24"/>
          <w:szCs w:val="24"/>
        </w:rPr>
        <w:t xml:space="preserve">farming practices </w:t>
      </w:r>
      <w:r w:rsidR="00E351DC">
        <w:rPr>
          <w:rFonts w:ascii="Times New Roman" w:hAnsi="Times New Roman"/>
          <w:sz w:val="24"/>
          <w:szCs w:val="24"/>
        </w:rPr>
        <w:t xml:space="preserve">in the region </w:t>
      </w:r>
      <w:r>
        <w:rPr>
          <w:rFonts w:ascii="Times New Roman" w:hAnsi="Times New Roman"/>
          <w:sz w:val="24"/>
          <w:szCs w:val="24"/>
        </w:rPr>
        <w:t>often</w:t>
      </w:r>
      <w:r w:rsidR="00302B9B">
        <w:rPr>
          <w:rFonts w:ascii="Times New Roman" w:hAnsi="Times New Roman"/>
          <w:sz w:val="24"/>
          <w:szCs w:val="24"/>
        </w:rPr>
        <w:t xml:space="preserve"> </w:t>
      </w:r>
      <w:r>
        <w:rPr>
          <w:rFonts w:ascii="Times New Roman" w:hAnsi="Times New Roman"/>
          <w:sz w:val="24"/>
          <w:szCs w:val="24"/>
        </w:rPr>
        <w:t xml:space="preserve">result in additional organic matter inputs to the soil through mulching, excess crop residue after harvesting, and the use of cattle dung for </w:t>
      </w:r>
      <w:r w:rsidR="00847CF5">
        <w:rPr>
          <w:rFonts w:ascii="Times New Roman" w:hAnsi="Times New Roman"/>
          <w:sz w:val="24"/>
          <w:szCs w:val="24"/>
        </w:rPr>
        <w:t>fertilizer,</w:t>
      </w:r>
      <w:r>
        <w:rPr>
          <w:rFonts w:ascii="Times New Roman" w:hAnsi="Times New Roman"/>
          <w:sz w:val="24"/>
          <w:szCs w:val="24"/>
        </w:rPr>
        <w:t xml:space="preserve"> which likely provide increased food resources for termites. In contrast, grazing areas in the region are subject to large-scale, unsustainable firewood extraction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{"citationItems":[{"id":"ITEM-1","itemData":{"DOI":"10.1088/1748-9326/8/1/014007","ISSN":"1748-9326","author":[{"dropping-particle":"","family":"Wessels","given":"K J","non-dropping-particle":"","parse-names":false,"suffix":""},{"dropping-particle":"","family":"Colgan","given":"M S","non-dropping-particle":"","parse-names":false,"suffix":""},{"dropping-particle":"","family":"Erasmus","given":"B F N","non-dropping-particle":"","parse-names":false,"suffix":""},{"dropping-particle":"","family":"Asner","given":"G P","non-dropping-particle":"","parse-names":false,"suffix":""},{"dropping-particle":"","family":"Twine","given":"W C","non-dropping-particle":"","parse-names":false,"suffix":""},{"dropping-particle":"","family":"Mathieu","given":"R","non-dropping-particle":"","parse-names":false,"suffix":""},{"dropping-particle":"","family":"Aardt","given":"J A N","non-dropping-particle":"van","parse-names":false,"suffix":""},{"dropping-particle":"","family":"Fisher","given":"J T","non-dropping-particle":"","parse-names":false,"suffix":""},{"dropping-particle":"","family":"Smit","given":"I P J","non-dropping-particle":"","parse-names":false,"suffix":""}],"container-title":"Environmental Research Letters","id":"ITEM-1","issue":"1","issued":{"date-parts":[["2013","3","1"]]},"page":"014007","publisher":"IOP Publishing","title":"Unsustainable fuelwood extraction from South African savannas","type":"article-journal","volume":"8"},"uris":["http://www.mendeley.com/documents/?uuid=04b2d216-c5a7-337d-b735-b33c46ad0ad4"]}],"mendeley":{"formattedCitation":"(Wessels &lt;i&gt;et al&lt;/i&gt; 2013)","plainTextFormattedCitation":"(Wessels et al 2013)","previouslyFormattedCitation":"(Wessels &lt;i&gt;et al&lt;/i&gt; 2013)"},"properties":{"noteIndex":0},"schema":"https://github.com/citation-style-language/schema/raw/master/csl-citation.json"}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(Wessels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2013)</w:t>
      </w:r>
      <w:r>
        <w:rPr>
          <w:rFonts w:ascii="Times New Roman" w:hAnsi="Times New Roman"/>
          <w:sz w:val="24"/>
          <w:szCs w:val="24"/>
        </w:rPr>
        <w:fldChar w:fldCharType="end"/>
      </w:r>
      <w:r>
        <w:rPr>
          <w:rFonts w:ascii="Times New Roman" w:hAnsi="Times New Roman"/>
          <w:sz w:val="24"/>
          <w:szCs w:val="24"/>
        </w:rPr>
        <w:t>, which likely lowers food availability for termites and could consequently reduce mound density.</w:t>
      </w:r>
      <w:r w:rsidR="00143045">
        <w:rPr>
          <w:rFonts w:ascii="Times New Roman" w:hAnsi="Times New Roman"/>
          <w:sz w:val="24"/>
          <w:szCs w:val="24"/>
        </w:rPr>
        <w:t xml:space="preserve"> Future studies </w:t>
      </w:r>
      <w:r w:rsidR="00D62AFB">
        <w:rPr>
          <w:rFonts w:ascii="Times New Roman" w:hAnsi="Times New Roman"/>
          <w:sz w:val="24"/>
          <w:szCs w:val="24"/>
        </w:rPr>
        <w:t>quantifying</w:t>
      </w:r>
      <w:r w:rsidR="00143045">
        <w:rPr>
          <w:rFonts w:ascii="Times New Roman" w:hAnsi="Times New Roman"/>
          <w:sz w:val="24"/>
          <w:szCs w:val="24"/>
        </w:rPr>
        <w:t xml:space="preserve"> coarse woody debris across land-use types would </w:t>
      </w:r>
      <w:r w:rsidR="00D62AFB">
        <w:rPr>
          <w:rFonts w:ascii="Times New Roman" w:hAnsi="Times New Roman"/>
          <w:sz w:val="24"/>
          <w:szCs w:val="24"/>
        </w:rPr>
        <w:t>help determine if</w:t>
      </w:r>
      <w:r w:rsidR="00143045">
        <w:rPr>
          <w:rFonts w:ascii="Times New Roman" w:hAnsi="Times New Roman"/>
          <w:sz w:val="24"/>
          <w:szCs w:val="24"/>
        </w:rPr>
        <w:t xml:space="preserve"> </w:t>
      </w:r>
      <w:r w:rsidR="00E31CD5">
        <w:rPr>
          <w:rFonts w:ascii="Times New Roman" w:hAnsi="Times New Roman"/>
          <w:sz w:val="24"/>
          <w:szCs w:val="24"/>
        </w:rPr>
        <w:t xml:space="preserve">firewood extraction is </w:t>
      </w:r>
      <w:r w:rsidR="00C17C00">
        <w:rPr>
          <w:rFonts w:ascii="Times New Roman" w:hAnsi="Times New Roman"/>
          <w:sz w:val="24"/>
          <w:szCs w:val="24"/>
        </w:rPr>
        <w:t xml:space="preserve">indeed </w:t>
      </w:r>
      <w:r w:rsidR="00E31CD5">
        <w:rPr>
          <w:rFonts w:ascii="Times New Roman" w:hAnsi="Times New Roman"/>
          <w:sz w:val="24"/>
          <w:szCs w:val="24"/>
        </w:rPr>
        <w:t xml:space="preserve">a key mechanism </w:t>
      </w:r>
      <w:r w:rsidR="00CD6907">
        <w:rPr>
          <w:rFonts w:ascii="Times New Roman" w:hAnsi="Times New Roman"/>
          <w:sz w:val="24"/>
          <w:szCs w:val="24"/>
        </w:rPr>
        <w:t>of reduced mound densities</w:t>
      </w:r>
      <w:r w:rsidR="00143045">
        <w:rPr>
          <w:rFonts w:ascii="Times New Roman" w:hAnsi="Times New Roman"/>
          <w:sz w:val="24"/>
          <w:szCs w:val="24"/>
        </w:rPr>
        <w:t>.</w:t>
      </w:r>
      <w:r>
        <w:rPr>
          <w:rFonts w:ascii="Times New Roman" w:hAnsi="Times New Roman"/>
          <w:sz w:val="24"/>
          <w:szCs w:val="24"/>
        </w:rPr>
        <w:t xml:space="preserve"> Over-grazing in these regions can also facilitate woody encroachment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{"citationItems":[{"id":"ITEM-1","itemData":{"abstract":"Woody biomass dynamics are an expression of ecosystem function, yet biomass estimates do not provide information on the spatial distribution of woody vegetation within the vertical vegetation subcanopy. We demonstrate the ability of airborne light detection and ranging (LiDAR) to measure aboveground biomass and subcanopy structure, as an explanatory tool to unravel vegetation dynamics in structurally heterogeneous landscapes. We sampled three communal rangelands in Bushbuckridge, South Africa, utilised by rural communities for fuelwood harvesting. Woody biomass estimates ranged between 9 Mg ha-1 on gabbro geology sites to 27 Mg ha-1 on granitic geology sites. Despite predictions of woodland depletion due to unsustainable fuelwood extraction in previous studies, biomass in all the communal rangelands increased between 2008 and 2012. Annual biomass productivity estimates (10–14% p.a.) were higher than previous estimates of 4% and likely a significant contributor to the previous underestimations of modelled biomass supply. We show that biomass increases are attributable to growth of vegetation &lt;5 m in height, and that, in the high wood extraction rangeland, 79% of the changes in the vertical vegetation subcanopy are gains in the 1-3m height class. The higher the wood extraction pressure on the rangelands, the greater the biomass increases in the low height classes within the subcanopy, likely a strong resprouting response to intensive harvesting. Yet, fuelwood shortages are still occurring, as evidenced by the losses in the tall tree height class in the high extraction rangeland. Loss of large trees and gain in subcanopy shrubs could result in a structurally simple landscape with reduced functional capacity. This research demonstrates that intensive harvesting can, paradoxically, increase biomass and this has implications for the sustainability of ecosystem service provision. The structural implications of biomass increases in communal rangelands could be misinterpreted as woodland recovery in the absence of three-dimensional, subcanopy information.","author":[{"dropping-particle":"","family":"Mograbi","given":"Penelope J","non-dropping-particle":"","parse-names":false,"suffix":""},{"dropping-particle":"","family":"Erasmus","given":"Barend F N","non-dropping-particle":"","parse-names":false,"suffix":""},{"dropping-particle":"","family":"Witkowski","given":"E T F","non-dropping-particle":"","parse-names":false,"suffix":""},{"dropping-particle":"","family":"Asner","given":"Gregory P","non-dropping-particle":"","parse-names":false,"suffix":""},{"dropping-particle":"","family":"Wessels","given":"Konrad J","non-dropping-particle":"","parse-names":false,"suffix":""},{"dropping-particle":"","family":"Mathieu","given":"Renaud","non-dropping-particle":"","parse-names":false,"suffix":""},{"dropping-particle":"","family":"Knapp","given":"David E","non-dropping-particle":"","parse-names":false,"suffix":""},{"dropping-particle":"","family":"Martin","given":"Roberta E","non-dropping-particle":"","parse-names":false,"suffix":""},{"dropping-particle":"","family":"Main","given":"Russell","non-dropping-particle":"","parse-names":false,"suffix":""}],"container-title":"PLOS ONE","id":"ITEM-1","issue":"5","issued":{"date-parts":[["2015","5","13"]]},"page":"e0127093","publisher":"Public Library of Science","title":"Biomass Increases Go under Cover: Woody Vegetation Dynamics in South African Rangelands","type":"article-journal","volume":"10"},"uris":["http://www.mendeley.com/documents/?uuid=77fe72ed-1e22-4ad5-92fd-9da17dc29696"]}],"mendeley":{"formattedCitation":"(Mograbi &lt;i&gt;et al&lt;/i&gt; 2015)","plainTextFormattedCitation":"(Mograbi et al 2015)","previouslyFormattedCitation":"(Mograbi &lt;i&gt;et al&lt;/i&gt; 2015)"},"properties":{"noteIndex":0},"schema":"https://github.com/citation-style-language/schema/raw/master/csl-citation.json"}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(Mograbi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2015)</w:t>
      </w:r>
      <w:r>
        <w:rPr>
          <w:rFonts w:ascii="Times New Roman" w:hAnsi="Times New Roman"/>
          <w:sz w:val="24"/>
          <w:szCs w:val="24"/>
        </w:rPr>
        <w:fldChar w:fldCharType="end"/>
      </w:r>
      <w:r>
        <w:rPr>
          <w:rFonts w:ascii="Times New Roman" w:hAnsi="Times New Roman"/>
          <w:sz w:val="24"/>
          <w:szCs w:val="24"/>
        </w:rPr>
        <w:t xml:space="preserve">, which lowers termite abundance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{"citationItems":[{"id":"ITEM-1","itemData":{"DOI":"10.1111/gcb.14118","ISSN":"13541013","author":[{"dropping-particle":"","family":"Leitner","given":"Monica","non-dropping-particle":"","parse-names":false,"suffix":""},{"dropping-particle":"","family":"Davies","given":"Andrew B.","non-dropping-particle":"","parse-names":false,"suffix":""},{"dropping-particle":"","family":"Parr","given":"Catherine L.","non-dropping-particle":"","parse-names":false,"suffix":""},{"dropping-particle":"","family":"Eggleton","given":"Paul","non-dropping-particle":"","parse-names":false,"suffix":""},{"dropping-particle":"","family":"Robertson","given":"Mark P.","non-dropping-particle":"","parse-names":false,"suffix":""}],"container-title":"Global Change Biology","id":"ITEM-1","issue":"6","issued":{"date-parts":[["2018","6","1"]]},"page":"2597-2606","publisher":"John Wiley &amp; Sons, Ltd (10.1111)","title":"Woody encroachment slows decomposition and termite activity in an African savanna","type":"article-journal","volume":"24"},"uris":["http://www.mendeley.com/documents/?uuid=452e5106-969b-3a2e-8f2c-8a7ce93cacf9"]}],"mendeley":{"formattedCitation":"(Leitner &lt;i&gt;et al&lt;/i&gt; 2018)","plainTextFormattedCitation":"(Leitner et al 2018)","previouslyFormattedCitation":"(Leitner &lt;i&gt;et al&lt;/i&gt; 2018)"},"properties":{"noteIndex":0},"schema":"https://github.com/citation-style-language/schema/raw/master/csl-citation.json"}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(Leitner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2018)</w:t>
      </w:r>
      <w:r>
        <w:rPr>
          <w:rFonts w:ascii="Times New Roman" w:hAnsi="Times New Roman"/>
          <w:sz w:val="24"/>
          <w:szCs w:val="24"/>
        </w:rPr>
        <w:fldChar w:fldCharType="end"/>
      </w:r>
      <w:r>
        <w:rPr>
          <w:rFonts w:ascii="Times New Roman" w:hAnsi="Times New Roman"/>
          <w:sz w:val="24"/>
          <w:szCs w:val="24"/>
        </w:rPr>
        <w:t xml:space="preserve">. However, despite higher mound densities in agricultural areas relative to communal grazing areas, there were </w:t>
      </w:r>
      <w:r>
        <w:rPr>
          <w:rFonts w:ascii="Times New Roman" w:hAnsi="Times New Roman"/>
          <w:sz w:val="24"/>
          <w:szCs w:val="24"/>
        </w:rPr>
        <w:lastRenderedPageBreak/>
        <w:t xml:space="preserve">fewer mounds in both these </w:t>
      </w:r>
      <w:r w:rsidR="004B5B2B">
        <w:rPr>
          <w:rFonts w:ascii="Times New Roman" w:hAnsi="Times New Roman"/>
          <w:sz w:val="24"/>
          <w:szCs w:val="24"/>
        </w:rPr>
        <w:t>land-use type</w:t>
      </w:r>
      <w:r>
        <w:rPr>
          <w:rFonts w:ascii="Times New Roman" w:hAnsi="Times New Roman"/>
          <w:sz w:val="24"/>
          <w:szCs w:val="24"/>
        </w:rPr>
        <w:t>s relative to the protected areas, suggesting that both forms of land</w:t>
      </w:r>
      <w:r w:rsidR="00C82ACC">
        <w:rPr>
          <w:rFonts w:ascii="Times New Roman" w:hAnsi="Times New Roman"/>
          <w:sz w:val="24"/>
          <w:szCs w:val="24"/>
        </w:rPr>
        <w:t xml:space="preserve"> </w:t>
      </w:r>
      <w:r>
        <w:rPr>
          <w:rFonts w:ascii="Times New Roman" w:hAnsi="Times New Roman"/>
          <w:sz w:val="24"/>
          <w:szCs w:val="24"/>
        </w:rPr>
        <w:t>use have some negative effect on termite colony survival.</w:t>
      </w:r>
    </w:p>
    <w:p w14:paraId="38FCDC58" w14:textId="362506E5" w:rsidR="00421AD7" w:rsidRDefault="00344831" w:rsidP="00286C91">
      <w:pPr>
        <w:spacing w:after="0" w:line="480" w:lineRule="auto"/>
        <w:ind w:firstLine="720"/>
        <w:rPr>
          <w:rFonts w:ascii="Times New Roman" w:hAnsi="Times New Roman"/>
          <w:sz w:val="24"/>
          <w:szCs w:val="24"/>
        </w:rPr>
      </w:pPr>
      <w:r>
        <w:rPr>
          <w:rFonts w:ascii="Times New Roman" w:hAnsi="Times New Roman"/>
          <w:sz w:val="24"/>
          <w:szCs w:val="24"/>
        </w:rPr>
        <w:t xml:space="preserve">In contrast to clear differences in termite mound densities, mean mound heights were similar </w:t>
      </w:r>
      <w:r w:rsidR="00684A48">
        <w:rPr>
          <w:rFonts w:ascii="Times New Roman" w:hAnsi="Times New Roman"/>
          <w:sz w:val="24"/>
          <w:szCs w:val="24"/>
        </w:rPr>
        <w:t xml:space="preserve">across land-use types </w:t>
      </w:r>
      <w:r>
        <w:rPr>
          <w:rFonts w:ascii="Times New Roman" w:hAnsi="Times New Roman"/>
          <w:sz w:val="24"/>
          <w:szCs w:val="24"/>
        </w:rPr>
        <w:t xml:space="preserve">(Fig 3b). </w:t>
      </w:r>
      <w:r w:rsidR="00286C91">
        <w:rPr>
          <w:rFonts w:ascii="Times New Roman" w:hAnsi="Times New Roman"/>
          <w:sz w:val="24"/>
          <w:szCs w:val="24"/>
        </w:rPr>
        <w:t xml:space="preserve">Mound height is strongly correlated with colony size in </w:t>
      </w:r>
      <w:r w:rsidR="00286C91">
        <w:rPr>
          <w:rFonts w:ascii="Times New Roman" w:hAnsi="Times New Roman"/>
          <w:i/>
          <w:sz w:val="24"/>
          <w:szCs w:val="24"/>
        </w:rPr>
        <w:t>Macrotermes</w:t>
      </w:r>
      <w:r w:rsidR="00286C91">
        <w:rPr>
          <w:rFonts w:ascii="Times New Roman" w:hAnsi="Times New Roman"/>
          <w:sz w:val="24"/>
          <w:szCs w:val="24"/>
        </w:rPr>
        <w:t xml:space="preserve"> </w:t>
      </w:r>
      <w:r w:rsidR="00286C91">
        <w:rPr>
          <w:rFonts w:ascii="Times New Roman" w:hAnsi="Times New Roman"/>
          <w:sz w:val="24"/>
          <w:szCs w:val="24"/>
        </w:rPr>
        <w:fldChar w:fldCharType="begin" w:fldLock="1"/>
      </w:r>
      <w:r w:rsidR="00286C91">
        <w:rPr>
          <w:rFonts w:ascii="Times New Roman" w:hAnsi="Times New Roman"/>
          <w:sz w:val="24"/>
          <w:szCs w:val="24"/>
        </w:rPr>
        <w:instrText>ADDIN CSL_CITATION {"citationItems":[{"id":"ITEM-1","itemData":{"author":[{"dropping-particle":"","family":"Meyer","given":"V W","non-dropping-particle":"","parse-names":false,"suffix":""},{"dropping-particle":"","family":"Crewe","given":"R M","non-dropping-particle":"","parse-names":false,"suffix":""},{"dropping-particle":"","family":"Braack","given":"L E O","non-dropping-particle":"","parse-names":false,"suffix":""},{"dropping-particle":"","family":"Groeneveld","given":"H T","non-dropping-particle":"","parse-names":false,"suffix":""},{"dropping-particle":"","family":"Linde","given":"M J","non-dropping-particle":"van der","parse-names":false,"suffix":""}],"container-title":"Insectes Sociaex","id":"ITEM-1","issued":{"date-parts":[["2000"]]},"page":"390-397","title":"Intracolonial demography of the mound-building termite Macrotermes natalensis (Haviland) (Isoptera, Termitidae) in the northern Kruger National Park, South Africa","type":"article-journal","volume":"47"},"uris":["http://www.mendeley.com/documents/?uuid=6d71f444-d064-4312-bf87-9d43c6a2c12c"]}],"mendeley":{"formattedCitation":"(Meyer &lt;i&gt;et al&lt;/i&gt; 2000)","plainTextFormattedCitation":"(Meyer et al 2000)","previouslyFormattedCitation":"(Meyer &lt;i&gt;et al&lt;/i&gt; 2000)"},"properties":{"noteIndex":0},"schema":"https://github.com/citation-style-language/schema/raw/master/csl-citation.json"}</w:instrText>
      </w:r>
      <w:r w:rsidR="00286C91">
        <w:rPr>
          <w:rFonts w:ascii="Times New Roman" w:hAnsi="Times New Roman"/>
          <w:sz w:val="24"/>
          <w:szCs w:val="24"/>
        </w:rPr>
        <w:fldChar w:fldCharType="separate"/>
      </w:r>
      <w:r w:rsidR="00286C91" w:rsidRPr="00FF1077">
        <w:rPr>
          <w:rFonts w:ascii="Times New Roman" w:hAnsi="Times New Roman"/>
          <w:noProof/>
          <w:sz w:val="24"/>
          <w:szCs w:val="24"/>
        </w:rPr>
        <w:t xml:space="preserve">(Meyer </w:t>
      </w:r>
      <w:r w:rsidR="00286C91" w:rsidRPr="00FF1077">
        <w:rPr>
          <w:rFonts w:ascii="Times New Roman" w:hAnsi="Times New Roman"/>
          <w:i/>
          <w:noProof/>
          <w:sz w:val="24"/>
          <w:szCs w:val="24"/>
        </w:rPr>
        <w:t>et al</w:t>
      </w:r>
      <w:r w:rsidR="00286C91" w:rsidRPr="00FF1077">
        <w:rPr>
          <w:rFonts w:ascii="Times New Roman" w:hAnsi="Times New Roman"/>
          <w:noProof/>
          <w:sz w:val="24"/>
          <w:szCs w:val="24"/>
        </w:rPr>
        <w:t xml:space="preserve"> 2000)</w:t>
      </w:r>
      <w:r w:rsidR="00286C91">
        <w:rPr>
          <w:rFonts w:ascii="Times New Roman" w:hAnsi="Times New Roman"/>
          <w:sz w:val="24"/>
          <w:szCs w:val="24"/>
        </w:rPr>
        <w:fldChar w:fldCharType="end"/>
      </w:r>
      <w:r w:rsidR="00286C91">
        <w:rPr>
          <w:rFonts w:ascii="Times New Roman" w:hAnsi="Times New Roman"/>
          <w:sz w:val="24"/>
          <w:szCs w:val="24"/>
        </w:rPr>
        <w:t>, and the similarities in mean mound height suggest that despite the presence of fewer colonies in human-modified landscapes, those that do establish are, on average, of similar size to those inside protected areas, suggesting that individual termite colonies are able to withstand high levels of human disturbance. Although it is possible</w:t>
      </w:r>
      <w:r w:rsidR="00286C91" w:rsidRPr="000017AB">
        <w:rPr>
          <w:rFonts w:ascii="Times New Roman" w:hAnsi="Times New Roman"/>
          <w:sz w:val="24"/>
          <w:szCs w:val="24"/>
        </w:rPr>
        <w:t xml:space="preserve"> that similar mean mound height across the land-use types is a legacy of previously extant colonies</w:t>
      </w:r>
      <w:r w:rsidR="00286C91">
        <w:rPr>
          <w:rFonts w:ascii="Times New Roman" w:hAnsi="Times New Roman"/>
          <w:sz w:val="24"/>
          <w:szCs w:val="24"/>
        </w:rPr>
        <w:t xml:space="preserve"> given that </w:t>
      </w:r>
      <w:r w:rsidR="00286C91" w:rsidRPr="000017AB">
        <w:rPr>
          <w:rFonts w:ascii="Times New Roman" w:hAnsi="Times New Roman"/>
          <w:sz w:val="24"/>
          <w:szCs w:val="24"/>
        </w:rPr>
        <w:t xml:space="preserve">termite mounds can persist for exceptionally long periods of time </w:t>
      </w:r>
      <w:r w:rsidR="00286C91" w:rsidRPr="000017AB">
        <w:rPr>
          <w:rFonts w:ascii="Times New Roman" w:hAnsi="Times New Roman"/>
          <w:sz w:val="24"/>
          <w:szCs w:val="24"/>
        </w:rPr>
        <w:fldChar w:fldCharType="begin" w:fldLock="1"/>
      </w:r>
      <w:r w:rsidR="00286C91">
        <w:rPr>
          <w:rFonts w:ascii="Times New Roman" w:hAnsi="Times New Roman"/>
          <w:sz w:val="24"/>
          <w:szCs w:val="24"/>
        </w:rPr>
        <w:instrText>ADDIN CSL_CITATION {"citationItems":[{"id":"ITEM-1","itemData":{"ISBN":"0031-0182","author":[{"dropping-particle":"","family":"Erens","given":"Hans","non-dropping-particle":"","parse-names":false,"suffix":""},{"dropping-particle":"","family":"Boudin","given":"Mathieu","non-dropping-particle":"","parse-names":false,"suffix":""},{"dropping-particle":"","family":"Mees","given":"Florias","non-dropping-particle":"","parse-names":false,"suffix":""},{"dropping-particle":"","family":"Mujinya","given":"Basile Bazirake","non-dropping-particle":"","parse-names":false,"suffix":""},{"dropping-particle":"","family":"Baert","given":"Geert","non-dropping-particle":"","parse-names":false,"suffix":""},{"dropping-particle":"","family":"Strydonck","given":"Mark","non-dropping-particle":"Van","parse-names":false,"suffix":""},{"dropping-particle":"","family":"Boeckx","given":"Pascal","non-dropping-particle":"","parse-names":false,"suffix":""},{"dropping-particle":"","family":"Ranst","given":"Eric","non-dropping-particle":"Van","parse-names":false,"suffix":""}],"container-title":"Palaeogeography, Palaeoclimatology, Palaeoecology","id":"ITEM-1","issued":{"date-parts":[["2015"]]},"page":"265-271","title":"The age of large termite mounds—radiocarbon dating of Macrotermes falciger mounds of the Miombo woodland of Katanga, DR Congo","type":"article-journal","volume":"435"},"uris":["http://www.mendeley.com/documents/?uuid=e8f8b4f2-8f12-4c24-9d08-1916aaeaafc5"]}],"mendeley":{"formattedCitation":"(Erens &lt;i&gt;et al&lt;/i&gt; 2015)","plainTextFormattedCitation":"(Erens et al 2015)","previouslyFormattedCitation":"(Erens &lt;i&gt;et al&lt;/i&gt; 2015)"},"properties":{"noteIndex":0},"schema":"https://github.com/citation-style-language/schema/raw/master/csl-citation.json"}</w:instrText>
      </w:r>
      <w:r w:rsidR="00286C91" w:rsidRPr="000017AB">
        <w:rPr>
          <w:rFonts w:ascii="Times New Roman" w:hAnsi="Times New Roman"/>
          <w:sz w:val="24"/>
          <w:szCs w:val="24"/>
        </w:rPr>
        <w:fldChar w:fldCharType="separate"/>
      </w:r>
      <w:r w:rsidR="00286C91" w:rsidRPr="00FF1077">
        <w:rPr>
          <w:rFonts w:ascii="Times New Roman" w:hAnsi="Times New Roman"/>
          <w:noProof/>
          <w:sz w:val="24"/>
          <w:szCs w:val="24"/>
        </w:rPr>
        <w:t xml:space="preserve">(Erens </w:t>
      </w:r>
      <w:r w:rsidR="00286C91" w:rsidRPr="00FF1077">
        <w:rPr>
          <w:rFonts w:ascii="Times New Roman" w:hAnsi="Times New Roman"/>
          <w:i/>
          <w:noProof/>
          <w:sz w:val="24"/>
          <w:szCs w:val="24"/>
        </w:rPr>
        <w:t>et al</w:t>
      </w:r>
      <w:r w:rsidR="00286C91" w:rsidRPr="00FF1077">
        <w:rPr>
          <w:rFonts w:ascii="Times New Roman" w:hAnsi="Times New Roman"/>
          <w:noProof/>
          <w:sz w:val="24"/>
          <w:szCs w:val="24"/>
        </w:rPr>
        <w:t xml:space="preserve"> 2015)</w:t>
      </w:r>
      <w:r w:rsidR="00286C91" w:rsidRPr="000017AB">
        <w:rPr>
          <w:rFonts w:ascii="Times New Roman" w:hAnsi="Times New Roman"/>
          <w:sz w:val="24"/>
          <w:szCs w:val="24"/>
        </w:rPr>
        <w:fldChar w:fldCharType="end"/>
      </w:r>
      <w:r w:rsidR="00286C91" w:rsidRPr="000017AB">
        <w:rPr>
          <w:rFonts w:ascii="Times New Roman" w:hAnsi="Times New Roman"/>
          <w:sz w:val="24"/>
          <w:szCs w:val="24"/>
        </w:rPr>
        <w:t xml:space="preserve">, abandoned mounds </w:t>
      </w:r>
      <w:r w:rsidR="00286C91">
        <w:rPr>
          <w:rFonts w:ascii="Times New Roman" w:hAnsi="Times New Roman"/>
          <w:sz w:val="24"/>
          <w:szCs w:val="24"/>
        </w:rPr>
        <w:t xml:space="preserve">have been observed to </w:t>
      </w:r>
      <w:r w:rsidR="00286C91" w:rsidRPr="000017AB">
        <w:rPr>
          <w:rFonts w:ascii="Times New Roman" w:hAnsi="Times New Roman"/>
          <w:sz w:val="24"/>
          <w:szCs w:val="24"/>
        </w:rPr>
        <w:t xml:space="preserve">remain for </w:t>
      </w:r>
      <w:r w:rsidR="00286C91">
        <w:rPr>
          <w:rFonts w:ascii="Times New Roman" w:hAnsi="Times New Roman"/>
          <w:sz w:val="24"/>
          <w:szCs w:val="24"/>
        </w:rPr>
        <w:t xml:space="preserve">only a few years </w:t>
      </w:r>
      <w:r w:rsidR="00286C91">
        <w:rPr>
          <w:rFonts w:ascii="Times New Roman" w:hAnsi="Times New Roman"/>
          <w:sz w:val="24"/>
          <w:szCs w:val="24"/>
        </w:rPr>
        <w:fldChar w:fldCharType="begin" w:fldLock="1"/>
      </w:r>
      <w:r w:rsidR="00286C91">
        <w:rPr>
          <w:rFonts w:ascii="Times New Roman" w:hAnsi="Times New Roman"/>
          <w:sz w:val="24"/>
          <w:szCs w:val="24"/>
        </w:rPr>
        <w:instrText>ADDIN CSL_CITATION {"citationItems":[{"id":"ITEM-1","itemData":{"DOI":"10.1016/S0065-2504(08)60149-X","ISSN":"00652504","abstract":"This chapter discusses the positive-feedback switches in plant communities. A vegetation positive-feedback switch is a process in which a community modifies the environment, making it more suitable for that community. Positive-feedback switches operate by modifying any of several features of the environment, including water, pH, soil elements, light, temperature, wind, fire, or allelopathic toxins. The four types of switch can be distinguished as: (1) one-sided switch, where a single community modifies the environment of the patches it occupies, (2) reaction switch, where the community additionally modifies the patches it is not in, but in the opposite direction, (3) symmetric switch, where communities of both alternative states modify the same factor of their environment, but in opposite directions, and (4) two-factor switch, where the two communities both modify their environments, but in different factors. The positive-feedback switches producing four major vegetational effects (A–D): a stable vegetational mosaic may be produced in a previously uniform environment(situation A), or a vegetational gradient caused by environmental change can be intensified to give a sharp boundary (situation B). These mosaics and boundaries can occur at a wide variety of spatial scales, from landscape-scale to individual plant-scale. Switches can also sharpen or displace temporal boundaries: succession can be accelerated (situation C) or delayed (situation D). Not all of these effects can be produced by all types of switch; in particular, a one-sided (type 1) switch cannot produce a stable mosaic. © 1992, Academic Press Limited","author":[{"dropping-particle":"","family":"Wilson","given":"J. Bastow","non-dropping-particle":"","parse-names":false,"suffix":""},{"dropping-particle":"","family":"Agnew","given":"Andrew D.Q.","non-dropping-particle":"","parse-names":false,"suffix":""}],"container-title":"Advances in Ecological Research","id":"ITEM-1","issue":"C","issued":{"date-parts":[["1992","1","1"]]},"page":"263-336","publisher":"Academic Press","title":"Positive-feedback Switches in Plant Communities","type":"article-journal","volume":"23"},"uris":["http://www.mendeley.com/documents/?uuid=ff98ead1-ca3e-33fb-a5f4-c9e477912c2d"]}],"mendeley":{"formattedCitation":"(Wilson and Agnew 1992)","manualFormatting":"(e.g. 3-10 years in Australia, Wilson &amp; Agnew, 1992)","plainTextFormattedCitation":"(Wilson and Agnew 1992)","previouslyFormattedCitation":"(Wilson and Agnew 1992)"},"properties":{"noteIndex":0},"schema":"https://github.com/citation-style-language/schema/raw/master/csl-citation.json"}</w:instrText>
      </w:r>
      <w:r w:rsidR="00286C91">
        <w:rPr>
          <w:rFonts w:ascii="Times New Roman" w:hAnsi="Times New Roman"/>
          <w:sz w:val="24"/>
          <w:szCs w:val="24"/>
        </w:rPr>
        <w:fldChar w:fldCharType="separate"/>
      </w:r>
      <w:r w:rsidR="00286C91" w:rsidRPr="00084321">
        <w:rPr>
          <w:rFonts w:ascii="Times New Roman" w:hAnsi="Times New Roman"/>
          <w:noProof/>
          <w:sz w:val="24"/>
          <w:szCs w:val="24"/>
        </w:rPr>
        <w:t>(</w:t>
      </w:r>
      <w:r w:rsidR="00286C91">
        <w:rPr>
          <w:rFonts w:ascii="Times New Roman" w:hAnsi="Times New Roman"/>
          <w:noProof/>
          <w:sz w:val="24"/>
          <w:szCs w:val="24"/>
        </w:rPr>
        <w:t xml:space="preserve">e.g. 3-10 years in Australia, </w:t>
      </w:r>
      <w:r w:rsidR="00286C91" w:rsidRPr="00084321">
        <w:rPr>
          <w:rFonts w:ascii="Times New Roman" w:hAnsi="Times New Roman"/>
          <w:noProof/>
          <w:sz w:val="24"/>
          <w:szCs w:val="24"/>
        </w:rPr>
        <w:t>Wilson &amp; Agnew, 1992)</w:t>
      </w:r>
      <w:r w:rsidR="00286C91">
        <w:rPr>
          <w:rFonts w:ascii="Times New Roman" w:hAnsi="Times New Roman"/>
          <w:sz w:val="24"/>
          <w:szCs w:val="24"/>
        </w:rPr>
        <w:fldChar w:fldCharType="end"/>
      </w:r>
      <w:r w:rsidR="00286C91">
        <w:rPr>
          <w:rFonts w:ascii="Times New Roman" w:hAnsi="Times New Roman"/>
          <w:sz w:val="24"/>
          <w:szCs w:val="24"/>
        </w:rPr>
        <w:t>, reducing the likelihood of legacy effects driving the observed pattern</w:t>
      </w:r>
      <w:r w:rsidR="00286C91" w:rsidRPr="000017AB">
        <w:rPr>
          <w:rFonts w:ascii="Times New Roman" w:hAnsi="Times New Roman"/>
          <w:sz w:val="24"/>
          <w:szCs w:val="24"/>
        </w:rPr>
        <w:t xml:space="preserve">. </w:t>
      </w:r>
      <w:r w:rsidR="00286C91">
        <w:rPr>
          <w:rFonts w:ascii="Times New Roman" w:hAnsi="Times New Roman"/>
          <w:sz w:val="24"/>
          <w:szCs w:val="24"/>
        </w:rPr>
        <w:t xml:space="preserve">However, </w:t>
      </w:r>
      <w:r w:rsidR="00C82ACC">
        <w:rPr>
          <w:rFonts w:ascii="Times New Roman" w:hAnsi="Times New Roman"/>
          <w:sz w:val="24"/>
          <w:szCs w:val="24"/>
        </w:rPr>
        <w:t>determining</w:t>
      </w:r>
      <w:r w:rsidR="00286C91" w:rsidRPr="000017AB">
        <w:rPr>
          <w:rFonts w:ascii="Times New Roman" w:hAnsi="Times New Roman"/>
          <w:sz w:val="24"/>
          <w:szCs w:val="24"/>
        </w:rPr>
        <w:t xml:space="preserve"> the proportion of active </w:t>
      </w:r>
      <w:r w:rsidR="00C82ACC">
        <w:rPr>
          <w:rFonts w:ascii="Times New Roman" w:hAnsi="Times New Roman"/>
          <w:sz w:val="24"/>
          <w:szCs w:val="24"/>
        </w:rPr>
        <w:t>to</w:t>
      </w:r>
      <w:r w:rsidR="00286C91" w:rsidRPr="000017AB">
        <w:rPr>
          <w:rFonts w:ascii="Times New Roman" w:hAnsi="Times New Roman"/>
          <w:sz w:val="24"/>
          <w:szCs w:val="24"/>
        </w:rPr>
        <w:t xml:space="preserve"> </w:t>
      </w:r>
      <w:r w:rsidR="00C82ACC">
        <w:rPr>
          <w:rFonts w:ascii="Times New Roman" w:hAnsi="Times New Roman"/>
          <w:sz w:val="24"/>
          <w:szCs w:val="24"/>
        </w:rPr>
        <w:t>in</w:t>
      </w:r>
      <w:r w:rsidR="00286C91" w:rsidRPr="000017AB">
        <w:rPr>
          <w:rFonts w:ascii="Times New Roman" w:hAnsi="Times New Roman"/>
          <w:sz w:val="24"/>
          <w:szCs w:val="24"/>
        </w:rPr>
        <w:t xml:space="preserve">active mounds in these landscapes is necessary to </w:t>
      </w:r>
      <w:r w:rsidR="00C82ACC">
        <w:rPr>
          <w:rFonts w:ascii="Times New Roman" w:hAnsi="Times New Roman"/>
          <w:sz w:val="24"/>
          <w:szCs w:val="24"/>
        </w:rPr>
        <w:t>better</w:t>
      </w:r>
      <w:r w:rsidR="00C82ACC" w:rsidRPr="000017AB">
        <w:rPr>
          <w:rFonts w:ascii="Times New Roman" w:hAnsi="Times New Roman"/>
          <w:sz w:val="24"/>
          <w:szCs w:val="24"/>
        </w:rPr>
        <w:t xml:space="preserve"> </w:t>
      </w:r>
      <w:r w:rsidR="00286C91" w:rsidRPr="000017AB">
        <w:rPr>
          <w:rFonts w:ascii="Times New Roman" w:hAnsi="Times New Roman"/>
          <w:sz w:val="24"/>
          <w:szCs w:val="24"/>
        </w:rPr>
        <w:t>understand effects of land-use change on termite colonies.</w:t>
      </w:r>
      <w:r>
        <w:rPr>
          <w:rFonts w:ascii="Times New Roman" w:hAnsi="Times New Roman"/>
          <w:sz w:val="24"/>
          <w:szCs w:val="24"/>
        </w:rPr>
        <w:t xml:space="preserve"> </w:t>
      </w:r>
    </w:p>
    <w:p w14:paraId="579DF249" w14:textId="4790E9CE" w:rsidR="00421AD7" w:rsidRDefault="00344831">
      <w:pPr>
        <w:spacing w:after="0" w:line="480" w:lineRule="auto"/>
        <w:ind w:firstLine="720"/>
        <w:rPr>
          <w:rFonts w:ascii="Times New Roman" w:hAnsi="Times New Roman"/>
          <w:sz w:val="24"/>
          <w:szCs w:val="24"/>
        </w:rPr>
      </w:pPr>
      <w:r>
        <w:rPr>
          <w:rFonts w:ascii="Times New Roman" w:hAnsi="Times New Roman"/>
          <w:sz w:val="24"/>
          <w:szCs w:val="24"/>
        </w:rPr>
        <w:t xml:space="preserve">Despite </w:t>
      </w:r>
      <w:r w:rsidR="00F10E80">
        <w:rPr>
          <w:rFonts w:ascii="Times New Roman" w:hAnsi="Times New Roman"/>
          <w:sz w:val="24"/>
          <w:szCs w:val="24"/>
        </w:rPr>
        <w:t>similar means,</w:t>
      </w:r>
      <w:r>
        <w:rPr>
          <w:rFonts w:ascii="Times New Roman" w:hAnsi="Times New Roman"/>
          <w:sz w:val="24"/>
          <w:szCs w:val="24"/>
        </w:rPr>
        <w:t xml:space="preserve"> </w:t>
      </w:r>
      <w:r w:rsidR="007A133C">
        <w:rPr>
          <w:rFonts w:ascii="Times New Roman" w:hAnsi="Times New Roman"/>
          <w:sz w:val="24"/>
          <w:szCs w:val="24"/>
        </w:rPr>
        <w:t xml:space="preserve">the distribution of </w:t>
      </w:r>
      <w:r w:rsidR="005271EC">
        <w:rPr>
          <w:rFonts w:ascii="Times New Roman" w:hAnsi="Times New Roman"/>
          <w:sz w:val="24"/>
          <w:szCs w:val="24"/>
        </w:rPr>
        <w:t xml:space="preserve">mound </w:t>
      </w:r>
      <w:r w:rsidR="007A133C">
        <w:rPr>
          <w:rFonts w:ascii="Times New Roman" w:hAnsi="Times New Roman"/>
          <w:sz w:val="24"/>
          <w:szCs w:val="24"/>
        </w:rPr>
        <w:t xml:space="preserve">height was significantly truncated in agricultural fields and </w:t>
      </w:r>
      <w:r w:rsidR="008A692E">
        <w:rPr>
          <w:rFonts w:ascii="Times New Roman" w:hAnsi="Times New Roman"/>
          <w:sz w:val="24"/>
          <w:szCs w:val="24"/>
        </w:rPr>
        <w:t xml:space="preserve">communal </w:t>
      </w:r>
      <w:r w:rsidR="007A133C">
        <w:rPr>
          <w:rFonts w:ascii="Times New Roman" w:hAnsi="Times New Roman"/>
          <w:sz w:val="24"/>
          <w:szCs w:val="24"/>
        </w:rPr>
        <w:t>grazing areas</w:t>
      </w:r>
      <w:r w:rsidR="00F52AFF">
        <w:rPr>
          <w:rFonts w:ascii="Times New Roman" w:hAnsi="Times New Roman"/>
          <w:sz w:val="24"/>
          <w:szCs w:val="24"/>
        </w:rPr>
        <w:t>, with m</w:t>
      </w:r>
      <w:r>
        <w:rPr>
          <w:rFonts w:ascii="Times New Roman" w:hAnsi="Times New Roman"/>
          <w:sz w:val="24"/>
          <w:szCs w:val="24"/>
        </w:rPr>
        <w:t>ost of the tallest mounds found in protected areas, particularly in privately conserved areas. Termite mound influence on savanna vegetation increase</w:t>
      </w:r>
      <w:r w:rsidR="00F10E80">
        <w:rPr>
          <w:rFonts w:ascii="Times New Roman" w:hAnsi="Times New Roman"/>
          <w:sz w:val="24"/>
          <w:szCs w:val="24"/>
        </w:rPr>
        <w:t>s</w:t>
      </w:r>
      <w:r>
        <w:rPr>
          <w:rFonts w:ascii="Times New Roman" w:hAnsi="Times New Roman"/>
          <w:sz w:val="24"/>
          <w:szCs w:val="24"/>
        </w:rPr>
        <w:t xml:space="preserve"> with mound size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{"citationItems":[{"id":"ITEM-1","itemData":{"DOI":"10.1111/j.1654-1103.2012.01489.x","ISBN":"1654-1103","author":[{"dropping-particle":"","family":"Joseph","given":"Grant S","non-dropping-particle":"","parse-names":false,"suffix":""},{"dropping-particle":"","family":"Seymour","given":"Colleen L","non-dropping-particle":"","parse-names":false,"suffix":""},{"dropping-particle":"","family":"Cumming","given":"Graeme S","non-dropping-particle":"","parse-names":false,"suffix":""},{"dropping-particle":"","family":"Cumming","given":"David H M","non-dropping-particle":"","parse-names":false,"suffix":""},{"dropping-particle":"","family":"Mahlangu","given":"Zacheus","non-dropping-particle":"","parse-names":false,"suffix":""}],"container-title":"Journal of Vegetation Science","id":"ITEM-1","issue":"4","issued":{"date-parts":[["2013"]]},"page":"702-711","title":"Termite mounds as islands: woody plant assemblages relative to termitarium size and soil properties","type":"article-journal","volume":"24"},"uris":["http://www.mendeley.com/documents/?uuid=548ade69-ee9f-4ab1-9634-6b81d3cd7521"]},{"id":"ITEM-2","itemData":{"DOI":"10.1111/jvs.12560","ISSN":"16541103","abstract":"Questions: Termite mounds are known to host a suite of unique plants compared with the surrounding savanna matrix. However, most studies testing the significance of mounds for ecosystem heterogeneity have been conducted at single sites. Mound effects on savanna heterogeneity across varying landscapes are less well understood, and how effects might vary across geological types and mounds of different sizes is as yet unknown. Location: Gonarezhou National Park, Zimbabwe. Methods: We studied effects of termite mounds on vegetation spatial heterogeneity across two geologies (granite and basalt), including effects of mound size and the spatial extent of termite influence. Herbaceous vegetation was sampled on mounds and savanna matrix plots, and along distance transects away from mounds. Soil nutrients on mounds and in the matrix were also compared between geologies. Results: Soil nutrients were more concentrated in large mounds compared with the matrix on granite, but not on basalt, with mounds therefore acting as nutrient hotspots only on nutrient-poor granite. Large- and medium-sized mounds hosted compositionally different grass species to the matrix on granite, but not on basalt. Large mounds on granite also had significantly lower grass and forb species richness compared with the matrix. However, small mounds on granite, and all mound size categories on basalt, did not have an effect on grass and forb species richness or assemblage composition, an observation attributed to a lack of difference in soil nutrients between the mounds and matrix. Conclusion: Our study shows that the significance of termite mounds to ecosystem spatial heterogeneity is strongly influenced by geology and mound size, with mound effects on herbaceous plant species heterogeneity more pronounced in dystrophic geologies and around large mounds. Future studies should take greater cognisance of landscape context and mound size when seeking to understand the contribution of termite mounds to ecosystem structure and function.","author":[{"dropping-particle":"","family":"Muvengwi","given":"Justice","non-dropping-particle":"","parse-names":false,"suffix":""},{"dropping-particle":"","family":"Witkowski","given":"Edward T.F.","non-dropping-particle":"","parse-names":false,"suffix":""},{"dropping-particle":"","family":"Davies","given":"Andrew B.","non-dropping-particle":"","parse-names":false,"suffix":""},{"dropping-particle":"","family":"Parrini","given":"Francesca","non-dropping-particle":"","parse-names":false,"suffix":""}],"container-title":"Journal of Vegetation Science","id":"ITEM-2","issue":"5","issued":{"date-parts":[["2017"]]},"page":"1008-1017","title":"Termite mounds vary in their importance as sources of vegetation heterogeneity across savanna landscapes","type":"article-journal","volume":"28"},"uris":["http://www.mendeley.com/documents/?uuid=abbe34b5-8211-39c4-927b-7e97bc5a7585"]}],"mendeley":{"formattedCitation":"(Joseph &lt;i&gt;et al&lt;/i&gt; 2013, Muvengwi &lt;i&gt;et al&lt;/i&gt; 2017b)","plainTextFormattedCitation":"(Joseph et al 2013, Muvengwi et al 2017b)","previouslyFormattedCitation":"(Joseph &lt;i&gt;et al&lt;/i&gt; 2013, Muvengwi &lt;i&gt;et al&lt;/i&gt; 2017b)"},"properties":{"noteIndex":0},"schema":"https://github.com/citation-style-language/schema/raw/master/csl-citation.json"}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(Joseph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2013, Muvengwi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2017b)</w:t>
      </w:r>
      <w:r>
        <w:rPr>
          <w:rFonts w:ascii="Times New Roman" w:hAnsi="Times New Roman"/>
          <w:sz w:val="24"/>
          <w:szCs w:val="24"/>
        </w:rPr>
        <w:fldChar w:fldCharType="end"/>
      </w:r>
      <w:r>
        <w:rPr>
          <w:rFonts w:ascii="Times New Roman" w:hAnsi="Times New Roman"/>
          <w:sz w:val="24"/>
          <w:szCs w:val="24"/>
        </w:rPr>
        <w:t xml:space="preserve">, and so a higher proportion of tall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2014a)","manualFormatting":"(and consequently also wide, Davies et al. 2014)","plainTextFormattedCitation":"(Davies et al 2014a)","previouslyFormattedCitation":"(Davies &lt;i&gt;et al&lt;/i&gt; 2014a)"},"properties":{"noteIndex":0},"schema":"https://github.com/citation-style-language/schema/raw/master/csl-citation.json"}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(and consequently wide, Davies et al. 2014)</w:t>
      </w:r>
      <w:r>
        <w:rPr>
          <w:rFonts w:ascii="Times New Roman" w:hAnsi="Times New Roman"/>
          <w:sz w:val="24"/>
          <w:szCs w:val="24"/>
        </w:rPr>
        <w:fldChar w:fldCharType="end"/>
      </w:r>
      <w:r>
        <w:rPr>
          <w:rFonts w:ascii="Times New Roman" w:hAnsi="Times New Roman"/>
          <w:sz w:val="24"/>
          <w:szCs w:val="24"/>
        </w:rPr>
        <w:t xml:space="preserve"> mounds in protected areas likely result</w:t>
      </w:r>
      <w:r w:rsidR="00F10E80">
        <w:rPr>
          <w:rFonts w:ascii="Times New Roman" w:hAnsi="Times New Roman"/>
          <w:sz w:val="24"/>
          <w:szCs w:val="24"/>
        </w:rPr>
        <w:t>s</w:t>
      </w:r>
      <w:r>
        <w:rPr>
          <w:rFonts w:ascii="Times New Roman" w:hAnsi="Times New Roman"/>
          <w:sz w:val="24"/>
          <w:szCs w:val="24"/>
        </w:rPr>
        <w:t xml:space="preserve"> in </w:t>
      </w:r>
      <w:r w:rsidR="00F52AFF">
        <w:rPr>
          <w:rFonts w:ascii="Times New Roman" w:hAnsi="Times New Roman"/>
          <w:sz w:val="24"/>
          <w:szCs w:val="24"/>
        </w:rPr>
        <w:t>stronger</w:t>
      </w:r>
      <w:r>
        <w:rPr>
          <w:rFonts w:ascii="Times New Roman" w:hAnsi="Times New Roman"/>
          <w:sz w:val="24"/>
          <w:szCs w:val="24"/>
        </w:rPr>
        <w:t xml:space="preserve"> mound-induced effects </w:t>
      </w:r>
      <w:r w:rsidR="00F52AFF">
        <w:rPr>
          <w:rFonts w:ascii="Times New Roman" w:hAnsi="Times New Roman"/>
          <w:sz w:val="24"/>
          <w:szCs w:val="24"/>
        </w:rPr>
        <w:t xml:space="preserve">here </w:t>
      </w:r>
      <w:r>
        <w:rPr>
          <w:rFonts w:ascii="Times New Roman" w:hAnsi="Times New Roman"/>
          <w:sz w:val="24"/>
          <w:szCs w:val="24"/>
        </w:rPr>
        <w:t xml:space="preserve">relative to </w:t>
      </w:r>
      <w:r w:rsidR="00F52AFF">
        <w:rPr>
          <w:rFonts w:ascii="Times New Roman" w:hAnsi="Times New Roman"/>
          <w:sz w:val="24"/>
          <w:szCs w:val="24"/>
        </w:rPr>
        <w:t xml:space="preserve">the </w:t>
      </w:r>
      <w:r>
        <w:rPr>
          <w:rFonts w:ascii="Times New Roman" w:hAnsi="Times New Roman"/>
          <w:sz w:val="24"/>
          <w:szCs w:val="24"/>
        </w:rPr>
        <w:t xml:space="preserve">human-modified landscapes. Taller termite mounds in </w:t>
      </w:r>
      <w:r w:rsidR="00D9142A">
        <w:rPr>
          <w:rFonts w:ascii="Times New Roman" w:hAnsi="Times New Roman"/>
          <w:sz w:val="24"/>
          <w:szCs w:val="24"/>
        </w:rPr>
        <w:t xml:space="preserve">protected </w:t>
      </w:r>
      <w:r>
        <w:rPr>
          <w:rFonts w:ascii="Times New Roman" w:hAnsi="Times New Roman"/>
          <w:sz w:val="24"/>
          <w:szCs w:val="24"/>
        </w:rPr>
        <w:t xml:space="preserve">areas could also contribute to increased mound densities because larger </w:t>
      </w:r>
      <w:r w:rsidRPr="005271EC">
        <w:rPr>
          <w:rFonts w:ascii="Times New Roman" w:hAnsi="Times New Roman"/>
          <w:sz w:val="24"/>
          <w:szCs w:val="24"/>
        </w:rPr>
        <w:t>colonies</w:t>
      </w:r>
      <w:r w:rsidR="00727847">
        <w:rPr>
          <w:rFonts w:ascii="Times New Roman" w:hAnsi="Times New Roman"/>
          <w:sz w:val="24"/>
          <w:szCs w:val="24"/>
        </w:rPr>
        <w:t xml:space="preserve"> </w:t>
      </w:r>
      <w:r>
        <w:rPr>
          <w:rFonts w:ascii="Times New Roman" w:hAnsi="Times New Roman"/>
          <w:sz w:val="24"/>
          <w:szCs w:val="24"/>
        </w:rPr>
        <w:t xml:space="preserve">likely produce more </w:t>
      </w:r>
      <w:proofErr w:type="spellStart"/>
      <w:r>
        <w:rPr>
          <w:rFonts w:ascii="Times New Roman" w:hAnsi="Times New Roman"/>
          <w:sz w:val="24"/>
          <w:szCs w:val="24"/>
        </w:rPr>
        <w:t>alates</w:t>
      </w:r>
      <w:proofErr w:type="spellEnd"/>
      <w:r>
        <w:rPr>
          <w:rFonts w:ascii="Times New Roman" w:hAnsi="Times New Roman"/>
          <w:sz w:val="24"/>
          <w:szCs w:val="24"/>
        </w:rPr>
        <w:t xml:space="preserve"> capable of initiating new colonies. The increased frequency of tall mounds in the private conservation area</w:t>
      </w:r>
      <w:r w:rsidR="00F10E80">
        <w:rPr>
          <w:rFonts w:ascii="Times New Roman" w:hAnsi="Times New Roman"/>
          <w:sz w:val="24"/>
          <w:szCs w:val="24"/>
        </w:rPr>
        <w:t>s</w:t>
      </w:r>
      <w:r>
        <w:rPr>
          <w:rFonts w:ascii="Times New Roman" w:hAnsi="Times New Roman"/>
          <w:sz w:val="24"/>
          <w:szCs w:val="24"/>
        </w:rPr>
        <w:t xml:space="preserve"> relative to </w:t>
      </w:r>
      <w:r w:rsidR="00F52AFF">
        <w:rPr>
          <w:rFonts w:ascii="Times New Roman" w:hAnsi="Times New Roman"/>
          <w:sz w:val="24"/>
          <w:szCs w:val="24"/>
        </w:rPr>
        <w:t>KNP</w:t>
      </w:r>
      <w:r w:rsidR="00760A98">
        <w:rPr>
          <w:rFonts w:ascii="Times New Roman" w:hAnsi="Times New Roman"/>
          <w:sz w:val="24"/>
          <w:szCs w:val="24"/>
        </w:rPr>
        <w:t xml:space="preserve"> is intriguing and</w:t>
      </w:r>
      <w:r>
        <w:rPr>
          <w:rFonts w:ascii="Times New Roman" w:hAnsi="Times New Roman"/>
          <w:sz w:val="24"/>
          <w:szCs w:val="24"/>
        </w:rPr>
        <w:t xml:space="preserve"> </w:t>
      </w:r>
      <w:r>
        <w:rPr>
          <w:rFonts w:ascii="Times New Roman" w:hAnsi="Times New Roman"/>
          <w:sz w:val="24"/>
          <w:szCs w:val="24"/>
        </w:rPr>
        <w:lastRenderedPageBreak/>
        <w:t>could be due to land-use practices aimed at increasing wildlife sightings for tourists</w:t>
      </w:r>
      <w:r w:rsidR="00760A98">
        <w:rPr>
          <w:rFonts w:ascii="Times New Roman" w:hAnsi="Times New Roman"/>
          <w:sz w:val="24"/>
          <w:szCs w:val="24"/>
        </w:rPr>
        <w:t xml:space="preserve"> in the private reserves</w:t>
      </w:r>
      <w:r>
        <w:rPr>
          <w:rFonts w:ascii="Times New Roman" w:hAnsi="Times New Roman"/>
          <w:sz w:val="24"/>
          <w:szCs w:val="24"/>
        </w:rPr>
        <w:t>.</w:t>
      </w:r>
      <w:r w:rsidR="00760A98">
        <w:rPr>
          <w:rFonts w:ascii="Times New Roman" w:hAnsi="Times New Roman"/>
          <w:sz w:val="24"/>
          <w:szCs w:val="24"/>
        </w:rPr>
        <w:t xml:space="preserve"> </w:t>
      </w:r>
      <w:r>
        <w:rPr>
          <w:rFonts w:ascii="Times New Roman" w:hAnsi="Times New Roman"/>
          <w:sz w:val="24"/>
          <w:szCs w:val="24"/>
        </w:rPr>
        <w:t>These practices, which include an increase</w:t>
      </w:r>
      <w:r w:rsidR="00760A98">
        <w:rPr>
          <w:rFonts w:ascii="Times New Roman" w:hAnsi="Times New Roman"/>
          <w:sz w:val="24"/>
          <w:szCs w:val="24"/>
        </w:rPr>
        <w:t>d</w:t>
      </w:r>
      <w:r>
        <w:rPr>
          <w:rFonts w:ascii="Times New Roman" w:hAnsi="Times New Roman"/>
          <w:sz w:val="24"/>
          <w:szCs w:val="24"/>
        </w:rPr>
        <w:t xml:space="preserve"> number of artificial water points and </w:t>
      </w:r>
      <w:r w:rsidR="00760A98">
        <w:rPr>
          <w:rFonts w:ascii="Times New Roman" w:hAnsi="Times New Roman"/>
          <w:sz w:val="24"/>
          <w:szCs w:val="24"/>
        </w:rPr>
        <w:t xml:space="preserve">vegetation </w:t>
      </w:r>
      <w:r>
        <w:rPr>
          <w:rFonts w:ascii="Times New Roman" w:hAnsi="Times New Roman"/>
          <w:sz w:val="24"/>
          <w:szCs w:val="24"/>
        </w:rPr>
        <w:t xml:space="preserve">clearing along some roads, could increase food availability for termites through increased </w:t>
      </w:r>
      <w:r w:rsidR="00760A98">
        <w:rPr>
          <w:rFonts w:ascii="Times New Roman" w:hAnsi="Times New Roman"/>
          <w:sz w:val="24"/>
          <w:szCs w:val="24"/>
        </w:rPr>
        <w:t>woody</w:t>
      </w:r>
      <w:r>
        <w:rPr>
          <w:rFonts w:ascii="Times New Roman" w:hAnsi="Times New Roman"/>
          <w:sz w:val="24"/>
          <w:szCs w:val="24"/>
        </w:rPr>
        <w:t xml:space="preserve"> debris </w:t>
      </w:r>
      <w:r w:rsidR="00760A98">
        <w:rPr>
          <w:rFonts w:ascii="Times New Roman" w:hAnsi="Times New Roman"/>
          <w:sz w:val="24"/>
          <w:szCs w:val="24"/>
        </w:rPr>
        <w:t>from</w:t>
      </w:r>
      <w:r>
        <w:rPr>
          <w:rFonts w:ascii="Times New Roman" w:hAnsi="Times New Roman"/>
          <w:sz w:val="24"/>
          <w:szCs w:val="24"/>
        </w:rPr>
        <w:t xml:space="preserve"> vegetation clearing and </w:t>
      </w:r>
      <w:r w:rsidR="00760A98">
        <w:rPr>
          <w:rFonts w:ascii="Times New Roman" w:hAnsi="Times New Roman"/>
          <w:sz w:val="24"/>
          <w:szCs w:val="24"/>
        </w:rPr>
        <w:t xml:space="preserve">increased </w:t>
      </w:r>
      <w:r>
        <w:rPr>
          <w:rFonts w:ascii="Times New Roman" w:hAnsi="Times New Roman"/>
          <w:sz w:val="24"/>
          <w:szCs w:val="24"/>
        </w:rPr>
        <w:t xml:space="preserve">dung </w:t>
      </w:r>
      <w:r w:rsidR="00760A98">
        <w:rPr>
          <w:rFonts w:ascii="Times New Roman" w:hAnsi="Times New Roman"/>
          <w:sz w:val="24"/>
          <w:szCs w:val="24"/>
        </w:rPr>
        <w:t xml:space="preserve">availability </w:t>
      </w:r>
      <w:r>
        <w:rPr>
          <w:rFonts w:ascii="Times New Roman" w:hAnsi="Times New Roman"/>
          <w:sz w:val="24"/>
          <w:szCs w:val="24"/>
        </w:rPr>
        <w:t xml:space="preserve">from </w:t>
      </w:r>
      <w:r w:rsidR="00760A98">
        <w:rPr>
          <w:rFonts w:ascii="Times New Roman" w:hAnsi="Times New Roman"/>
          <w:sz w:val="24"/>
          <w:szCs w:val="24"/>
        </w:rPr>
        <w:t xml:space="preserve">more mammalian herbivores </w:t>
      </w:r>
      <w:r>
        <w:rPr>
          <w:rFonts w:ascii="Times New Roman" w:hAnsi="Times New Roman"/>
          <w:sz w:val="24"/>
          <w:szCs w:val="24"/>
        </w:rPr>
        <w:t xml:space="preserve">attracted to the increased water availability. While </w:t>
      </w:r>
      <w:r w:rsidR="00FF7812">
        <w:rPr>
          <w:rFonts w:ascii="Times New Roman" w:hAnsi="Times New Roman"/>
          <w:sz w:val="24"/>
          <w:szCs w:val="24"/>
        </w:rPr>
        <w:t xml:space="preserve">similar </w:t>
      </w:r>
      <w:r w:rsidR="00760A98">
        <w:rPr>
          <w:rFonts w:ascii="Times New Roman" w:hAnsi="Times New Roman"/>
          <w:sz w:val="24"/>
          <w:szCs w:val="24"/>
        </w:rPr>
        <w:t xml:space="preserve">spatial </w:t>
      </w:r>
      <w:r w:rsidR="00FF7812">
        <w:rPr>
          <w:rFonts w:ascii="Times New Roman" w:hAnsi="Times New Roman"/>
          <w:sz w:val="24"/>
          <w:szCs w:val="24"/>
        </w:rPr>
        <w:t>patterns</w:t>
      </w:r>
      <w:r w:rsidR="00760A98">
        <w:rPr>
          <w:rFonts w:ascii="Times New Roman" w:hAnsi="Times New Roman"/>
          <w:sz w:val="24"/>
          <w:szCs w:val="24"/>
        </w:rPr>
        <w:t>, and therefore inter-mound distances,</w:t>
      </w:r>
      <w:r w:rsidR="00FF7812">
        <w:rPr>
          <w:rFonts w:ascii="Times New Roman" w:hAnsi="Times New Roman"/>
          <w:sz w:val="24"/>
          <w:szCs w:val="24"/>
        </w:rPr>
        <w:t xml:space="preserve"> </w:t>
      </w:r>
      <w:r w:rsidR="00760A98">
        <w:rPr>
          <w:rFonts w:ascii="Times New Roman" w:hAnsi="Times New Roman"/>
          <w:sz w:val="24"/>
          <w:szCs w:val="24"/>
        </w:rPr>
        <w:t>between the private reserves and KNP suggest</w:t>
      </w:r>
      <w:r w:rsidR="00FF7812">
        <w:rPr>
          <w:rFonts w:ascii="Times New Roman" w:hAnsi="Times New Roman"/>
          <w:sz w:val="24"/>
          <w:szCs w:val="24"/>
        </w:rPr>
        <w:t xml:space="preserve"> </w:t>
      </w:r>
      <w:r>
        <w:rPr>
          <w:rFonts w:ascii="Times New Roman" w:hAnsi="Times New Roman"/>
          <w:sz w:val="24"/>
          <w:szCs w:val="24"/>
        </w:rPr>
        <w:t xml:space="preserve">consistent </w:t>
      </w:r>
      <w:r w:rsidR="00FF7812">
        <w:rPr>
          <w:rFonts w:ascii="Times New Roman" w:hAnsi="Times New Roman"/>
          <w:sz w:val="24"/>
          <w:szCs w:val="24"/>
        </w:rPr>
        <w:t>termite foraging ranges</w:t>
      </w:r>
      <w:r>
        <w:rPr>
          <w:rFonts w:ascii="Times New Roman" w:hAnsi="Times New Roman"/>
          <w:sz w:val="24"/>
          <w:szCs w:val="24"/>
        </w:rPr>
        <w:t xml:space="preserve">, increased food supply could enable the persistence of larger colonies in </w:t>
      </w:r>
      <w:r w:rsidR="00760A98">
        <w:rPr>
          <w:rFonts w:ascii="Times New Roman" w:hAnsi="Times New Roman"/>
          <w:sz w:val="24"/>
          <w:szCs w:val="24"/>
        </w:rPr>
        <w:t xml:space="preserve">the </w:t>
      </w:r>
      <w:r>
        <w:rPr>
          <w:rFonts w:ascii="Times New Roman" w:hAnsi="Times New Roman"/>
          <w:sz w:val="24"/>
          <w:szCs w:val="24"/>
        </w:rPr>
        <w:t>private reserve</w:t>
      </w:r>
      <w:r w:rsidR="00FF7812">
        <w:rPr>
          <w:rFonts w:ascii="Times New Roman" w:hAnsi="Times New Roman"/>
          <w:sz w:val="24"/>
          <w:szCs w:val="24"/>
        </w:rPr>
        <w:t>s</w:t>
      </w:r>
      <w:r>
        <w:rPr>
          <w:rFonts w:ascii="Times New Roman" w:hAnsi="Times New Roman"/>
          <w:sz w:val="24"/>
          <w:szCs w:val="24"/>
        </w:rPr>
        <w:t xml:space="preserve">. </w:t>
      </w:r>
    </w:p>
    <w:p w14:paraId="6164BDF3" w14:textId="38D28649" w:rsidR="00421AD7" w:rsidRDefault="00344831">
      <w:pPr>
        <w:spacing w:after="0" w:line="480" w:lineRule="auto"/>
        <w:ind w:firstLine="720"/>
        <w:rPr>
          <w:rFonts w:ascii="Times New Roman" w:hAnsi="Times New Roman"/>
          <w:sz w:val="24"/>
          <w:szCs w:val="24"/>
        </w:rPr>
      </w:pPr>
      <w:bookmarkStart w:id="2" w:name="_gjdgxs"/>
      <w:bookmarkEnd w:id="2"/>
      <w:r>
        <w:rPr>
          <w:rFonts w:ascii="Times New Roman" w:hAnsi="Times New Roman"/>
          <w:sz w:val="24"/>
          <w:szCs w:val="24"/>
        </w:rPr>
        <w:t xml:space="preserve">Termite mound height also increased with mound density in all </w:t>
      </w:r>
      <w:r w:rsidR="004B5B2B">
        <w:rPr>
          <w:rFonts w:ascii="Times New Roman" w:hAnsi="Times New Roman"/>
          <w:sz w:val="24"/>
          <w:szCs w:val="24"/>
        </w:rPr>
        <w:t>land-use type</w:t>
      </w:r>
      <w:r>
        <w:rPr>
          <w:rFonts w:ascii="Times New Roman" w:hAnsi="Times New Roman"/>
          <w:sz w:val="24"/>
          <w:szCs w:val="24"/>
        </w:rPr>
        <w:t xml:space="preserve">s, suggesting that where termite colonies persist in large numbers, they also establish the largest colonies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2014a)","manualFormatting":"(see also Davies et al. 2014)","plainTextFormattedCitation":"(Davies et al 2014a)","previouslyFormattedCitation":"(Davies &lt;i&gt;et al&lt;/i&gt; 2014a)"},"properties":{"noteIndex":0},"schema":"https://github.com/citation-style-language/schema/raw/master/csl-citation.json"}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(see also Davies et al. 2014)</w:t>
      </w:r>
      <w:r>
        <w:rPr>
          <w:rFonts w:ascii="Times New Roman" w:hAnsi="Times New Roman"/>
          <w:sz w:val="24"/>
          <w:szCs w:val="24"/>
        </w:rPr>
        <w:fldChar w:fldCharType="end"/>
      </w:r>
      <w:r>
        <w:rPr>
          <w:rFonts w:ascii="Times New Roman" w:hAnsi="Times New Roman"/>
          <w:sz w:val="24"/>
          <w:szCs w:val="24"/>
        </w:rPr>
        <w:t>, likely</w:t>
      </w:r>
      <w:r w:rsidR="00CC2359">
        <w:rPr>
          <w:rFonts w:ascii="Times New Roman" w:hAnsi="Times New Roman"/>
          <w:sz w:val="24"/>
          <w:szCs w:val="24"/>
        </w:rPr>
        <w:t xml:space="preserve"> facilitated by</w:t>
      </w:r>
      <w:r>
        <w:rPr>
          <w:rFonts w:ascii="Times New Roman" w:hAnsi="Times New Roman"/>
          <w:sz w:val="24"/>
          <w:szCs w:val="24"/>
        </w:rPr>
        <w:t xml:space="preserve"> increased food resources. This pattern of increased mound density with height was, however, weaker in the agricultural fields, possibly because farmers actively clear mounds in a </w:t>
      </w:r>
      <w:r w:rsidR="00974AE1">
        <w:rPr>
          <w:rFonts w:ascii="Times New Roman" w:hAnsi="Times New Roman"/>
          <w:sz w:val="24"/>
          <w:szCs w:val="24"/>
        </w:rPr>
        <w:t xml:space="preserve">spatially </w:t>
      </w:r>
      <w:r>
        <w:rPr>
          <w:rFonts w:ascii="Times New Roman" w:hAnsi="Times New Roman"/>
          <w:sz w:val="24"/>
          <w:szCs w:val="24"/>
        </w:rPr>
        <w:t xml:space="preserve">stochastic fashion compared with indirect, semi-natural regulation of mounds in communal grazing areas where decreased food supply (due to woody biomass extraction) across the landscape leads to a mirrored, yet diminished, pattern of the natural areas. Farmers in the region also excavate termite mound soil for use as fertilizer (F. Nyathi, pers. comm.) and sometimes attempt to remove mounds where termites are seen as pests, altering mound structure and likely reducing height. Such clearing by humans could also lead to an increased number of small mounds in these areas, which may not be detected in the LiDAR data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L.","non-dropping-particle":"","parse-names":false,"suffix":""}],"container-title":"Ecography","id":"ITEM-1","issue":"9","issued":{"date-parts":[["2014"]]},"page":"852-862","title":"Spatial variability and abiotic determinants of termite mounds throughout a savanna catchment","type":"article-journal","volume":"37"},"uris":["http://www.mendeley.com/documents/?uuid=47e02a18-0f3b-31e5-aaf3-c16f9003f667"]}],"mendeley":{"formattedCitation":"(Davies &lt;i&gt;et al&lt;/i&gt; 2014a)","plainTextFormattedCitation":"(Davies et al 2014a)","previouslyFormattedCitation":"(Davies &lt;i&gt;et al&lt;/i&gt; 2014a)"},"properties":{"noteIndex":0},"schema":"https://github.com/citation-style-language/schema/raw/master/csl-citation.json"}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Pr>
          <w:rFonts w:ascii="Times New Roman" w:hAnsi="Times New Roman"/>
          <w:sz w:val="24"/>
          <w:szCs w:val="24"/>
        </w:rPr>
        <w:fldChar w:fldCharType="end"/>
      </w:r>
      <w:r>
        <w:rPr>
          <w:rFonts w:ascii="Times New Roman" w:hAnsi="Times New Roman"/>
          <w:sz w:val="24"/>
          <w:szCs w:val="24"/>
        </w:rPr>
        <w:t>, possibly contributing to lower observed mound densities here.</w:t>
      </w:r>
    </w:p>
    <w:p w14:paraId="70D7EE8A" w14:textId="3F564AED" w:rsidR="00421AD7" w:rsidRDefault="00D90A4D">
      <w:pPr>
        <w:spacing w:after="0" w:line="480" w:lineRule="auto"/>
        <w:ind w:firstLine="720"/>
        <w:rPr>
          <w:rFonts w:ascii="Times New Roman" w:hAnsi="Times New Roman"/>
          <w:sz w:val="24"/>
          <w:szCs w:val="24"/>
        </w:rPr>
      </w:pPr>
      <w:r>
        <w:rPr>
          <w:rFonts w:ascii="Times New Roman" w:hAnsi="Times New Roman"/>
          <w:sz w:val="24"/>
          <w:szCs w:val="24"/>
        </w:rPr>
        <w:t>A</w:t>
      </w:r>
      <w:r w:rsidR="00344831">
        <w:rPr>
          <w:rFonts w:ascii="Times New Roman" w:hAnsi="Times New Roman"/>
          <w:sz w:val="24"/>
          <w:szCs w:val="24"/>
        </w:rPr>
        <w:t xml:space="preserve">gricultural fields also displayed the strongest differences in mound spatial patterning across landscapes. Whereas Ripley’s K analyses revealed that mounds were over-dispersed at local scales in all land-use types, suggesting strong inter-colony competition wherever termite </w:t>
      </w:r>
      <w:r w:rsidR="00344831">
        <w:rPr>
          <w:rFonts w:ascii="Times New Roman" w:hAnsi="Times New Roman"/>
          <w:sz w:val="24"/>
          <w:szCs w:val="24"/>
        </w:rPr>
        <w:lastRenderedPageBreak/>
        <w:t>mounds persist, clustering of mounds at the landscape scale was replaced by random pattern</w:t>
      </w:r>
      <w:r>
        <w:rPr>
          <w:rFonts w:ascii="Times New Roman" w:hAnsi="Times New Roman"/>
          <w:sz w:val="24"/>
          <w:szCs w:val="24"/>
        </w:rPr>
        <w:t>ing</w:t>
      </w:r>
      <w:r w:rsidR="00344831">
        <w:rPr>
          <w:rFonts w:ascii="Times New Roman" w:hAnsi="Times New Roman"/>
          <w:sz w:val="24"/>
          <w:szCs w:val="24"/>
        </w:rPr>
        <w:t xml:space="preserve"> in agricultural areas. Landscape clustering arises from abiotic controls over mound distributions, with factors such as soil moisture content restricting mounds to drier hillcrests </w:t>
      </w:r>
      <w:r w:rsidR="00344831">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{"citationItems":[{"id":"ITEM-1","itemData":{"author":[{"dropping-particle":"","family":"Levick","given":"S R","non-dropping-particle":"","parse-names":false,"suffix":""},{"dropping-particle":"","family":"Asner","given":"G P","non-dropping-particle":"","parse-names":false,"suffix":""},{"dropping-particle":"","family":"Chadwick","given":"O A","non-dropping-particle":"","parse-names":false,"suffix":""},{"dropping-particle":"","family":"Khomo","given":"L M","non-dropping-particle":"","parse-names":false,"suffix":""},{"dropping-particle":"","family":"Rogers","given":"K H","non-dropping-particle":"","parse-names":false,"suffix":""},{"dropping-particle":"","family":"Hartshorn","given":"A S","non-dropping-particle":"","parse-names":false,"suffix":""},{"dropping-particle":"","family":"Kennedy-Bowdoin","given":"T","non-dropping-particle":"","parse-names":false,"suffix":""},{"dropping-particle":"","family":"Knapp","given":"D E","non-dropping-particle":"","parse-names":false,"suffix":""}],"container-title":"Nature Communications","id":"ITEM-1","issued":{"date-parts":[["2010"]]},"page":"65","title":"Regional insight into savanna hydrogeomorphology from termite mounds","type":"article-journal","volume":"1"},"uris":["http://www.mendeley.com/documents/?uuid=78935ce0-7118-4f9d-8c47-9777e0158ea7"]},{"id":"ITEM-2","itemData":{"DOI":"10.1111/ecog.00532","ISBN":"0906-7590","ISSN":"16000587","PMID":"21743178","abstract":"Termite mounds contribute to the spatial heterogeneity of ecological processes in many savannas, but the underlying patterns and determinants of mound distributions remain poorly understood. Using the Carnegie Airborne Observatory (CAO), we mapped the distribution of termite mounds across a rainfall gradient within a river catchment (similar to 27 000 ha) of the Kruger National Park, South Africa. We assessed how different factors were associated with the distribution and height of termite mounds at three spatial scales: the entire catchment, among three broad vegetation types, and on individual hillslope crests. Abiotic factors such as the underlying geology and mean annual precipitation shaped mound densities at broad scales, while local hillslope morphology strongly influenced mound distribution at finer scales, emphasising the importance of spatial scale when assessing mound densities. Fire return period had no apparent association with mound densities or height. Mound density averaged 0.46 mounds ha(-1), and exhibited a clustered pattern throughout the landscape, occurring at relatively high densities (up to 2 mounds ha(-1)) on crests, which are nutrient-poor elements of the landscape. Mounds exhibited significant over-dispersion (even spacing) at scales below 60 m so that evenly spaced aggregations of termite mounds are embedded within a landscape of varying mound densities. The tallest mounds were found in dry savanna (500 mm yr(-1)) and were positively correlated with mound density, suggesting that dry granitic savannas are ideal habitat for mound-building termites. Mound activity status also varied significantly across the rainfall gradient, with a higher proportion of active (live) mounds in the drier sites. The differential spacing of mounds across landscapes provides essential nutrient hotspots in crest locations, potentially sustaining species that would otherwise not persist. The contribution to biodiversity and ecosystem functioning that mounds provide is not uniform throughout landscapes, but varies considerably with spatial scale and context.","author":[{"dropping-particle":"","family":"Davies","given":"Andrew B.","non-dropping-particle":"","parse-names":false,"suffix":""},{"dropping-particle":"","family":"Levick","given":"Shaun R.","non-dropping-particle":"","parse-names":false,"suffix":""},{"dropping-particle":"","family":"Asner","given":"Gregory P.","non-dropping-particle":"","parse-names":false,"suffix":""},{"dropping-particle":"","family":"Robertson","given":"Mark P.","non-dropping-particle":"","parse-names":false,"suffix":""},{"dropping-particle":"","family":"Rensburg","given":"Berndt J.","non-dropping-particle":"van","parse-names":false,"suffix":""},{"dropping-particle":"","family":"Parr","given":"Catherine L.","non-dropping-particle":"","parse-names":false,"suffix":""}],"container-title":"Ecography","id":"ITEM-2","issue":"9","issued":{"date-parts":[["2014"]]},"page":"852-862","title":"Spatial variability and abiotic determinants of termite mounds throughout a savanna catchment","type":"article-journal","volume":"37"},"uris":["http://www.mendeley.com/documents/?uuid=47e02a18-0f3b-31e5-aaf3-c16f9003f667"]}],"mendeley":{"formattedCitation":"(Levick &lt;i&gt;et al&lt;/i&gt; 2010a, Davies &lt;i&gt;et al&lt;/i&gt; 2014a)","plainTextFormattedCitation":"(Levick et al 2010a, Davies et al 2014a)","previouslyFormattedCitation":"(Levick &lt;i&gt;et al&lt;/i&gt; 2010a, Davies &lt;i&gt;et al&lt;/i&gt; 2014a)"},"properties":{"noteIndex":0},"schema":"https://github.com/citation-style-language/schema/raw/master/csl-citation.json"}</w:instrText>
      </w:r>
      <w:r w:rsidR="00344831">
        <w:rPr>
          <w:rFonts w:ascii="Times New Roman" w:hAnsi="Times New Roman"/>
          <w:sz w:val="24"/>
          <w:szCs w:val="24"/>
        </w:rPr>
        <w:fldChar w:fldCharType="separate"/>
      </w:r>
      <w:r w:rsidR="00FF1077" w:rsidRPr="00FF1077">
        <w:rPr>
          <w:rFonts w:ascii="Times New Roman" w:hAnsi="Times New Roman"/>
          <w:noProof/>
          <w:sz w:val="24"/>
          <w:szCs w:val="24"/>
        </w:rPr>
        <w:t xml:space="preserve">(Levick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2010a, Davies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2014a)</w:t>
      </w:r>
      <w:r w:rsidR="00344831">
        <w:rPr>
          <w:rFonts w:ascii="Times New Roman" w:hAnsi="Times New Roman"/>
          <w:sz w:val="24"/>
          <w:szCs w:val="24"/>
        </w:rPr>
        <w:fldChar w:fldCharType="end"/>
      </w:r>
      <w:r w:rsidR="00344831">
        <w:rPr>
          <w:rFonts w:ascii="Times New Roman" w:hAnsi="Times New Roman"/>
          <w:sz w:val="24"/>
          <w:szCs w:val="24"/>
        </w:rPr>
        <w:t>. While this clustering occurred in grazing areas, it was more variable than in the protected areas, again suggesting that mound density reductions in grazing areas occurred in a naturally mediated fashion</w:t>
      </w:r>
      <w:r w:rsidR="00C442DF">
        <w:rPr>
          <w:rFonts w:ascii="Times New Roman" w:hAnsi="Times New Roman"/>
          <w:sz w:val="24"/>
          <w:szCs w:val="24"/>
        </w:rPr>
        <w:t xml:space="preserve"> that did</w:t>
      </w:r>
      <w:r w:rsidR="00344831">
        <w:rPr>
          <w:rFonts w:ascii="Times New Roman" w:hAnsi="Times New Roman"/>
          <w:sz w:val="24"/>
          <w:szCs w:val="24"/>
        </w:rPr>
        <w:t xml:space="preserve"> not </w:t>
      </w:r>
      <w:r w:rsidR="00143045">
        <w:rPr>
          <w:rFonts w:ascii="Times New Roman" w:hAnsi="Times New Roman"/>
          <w:sz w:val="24"/>
          <w:szCs w:val="24"/>
        </w:rPr>
        <w:t xml:space="preserve">substantively </w:t>
      </w:r>
      <w:r w:rsidR="00344831">
        <w:rPr>
          <w:rFonts w:ascii="Times New Roman" w:hAnsi="Times New Roman"/>
          <w:sz w:val="24"/>
          <w:szCs w:val="24"/>
        </w:rPr>
        <w:t xml:space="preserve">disrupt their spatial patterning. In contrast, mound density reductions in agricultural areas likely stem from more direct </w:t>
      </w:r>
      <w:r w:rsidR="009E6F90">
        <w:rPr>
          <w:rFonts w:ascii="Times New Roman" w:hAnsi="Times New Roman"/>
          <w:sz w:val="24"/>
          <w:szCs w:val="24"/>
        </w:rPr>
        <w:t xml:space="preserve">and spatially random </w:t>
      </w:r>
      <w:r w:rsidR="00344831">
        <w:rPr>
          <w:rFonts w:ascii="Times New Roman" w:hAnsi="Times New Roman"/>
          <w:sz w:val="24"/>
          <w:szCs w:val="24"/>
        </w:rPr>
        <w:t xml:space="preserve">processes that are indifferent to abiotic controls (such as active mound clearing by humans), </w:t>
      </w:r>
      <w:r w:rsidR="00EE1F19">
        <w:rPr>
          <w:rFonts w:ascii="Times New Roman" w:hAnsi="Times New Roman"/>
          <w:sz w:val="24"/>
          <w:szCs w:val="24"/>
        </w:rPr>
        <w:t xml:space="preserve">thereby </w:t>
      </w:r>
      <w:r w:rsidR="00344831">
        <w:rPr>
          <w:rFonts w:ascii="Times New Roman" w:hAnsi="Times New Roman"/>
          <w:sz w:val="24"/>
          <w:szCs w:val="24"/>
        </w:rPr>
        <w:t>disrupt</w:t>
      </w:r>
      <w:r w:rsidR="00EE1F19">
        <w:rPr>
          <w:rFonts w:ascii="Times New Roman" w:hAnsi="Times New Roman"/>
          <w:sz w:val="24"/>
          <w:szCs w:val="24"/>
        </w:rPr>
        <w:t>ing</w:t>
      </w:r>
      <w:r w:rsidR="00344831">
        <w:rPr>
          <w:rFonts w:ascii="Times New Roman" w:hAnsi="Times New Roman"/>
          <w:sz w:val="24"/>
          <w:szCs w:val="24"/>
        </w:rPr>
        <w:t xml:space="preserve"> landscape clustering. However, local-scale over-dispersion still persists in these agricultural landscapes, </w:t>
      </w:r>
      <w:r w:rsidR="003544EB">
        <w:rPr>
          <w:rFonts w:ascii="Times New Roman" w:hAnsi="Times New Roman"/>
          <w:sz w:val="24"/>
          <w:szCs w:val="24"/>
        </w:rPr>
        <w:t xml:space="preserve">albeit at greater dispersion distances likely </w:t>
      </w:r>
      <w:r>
        <w:rPr>
          <w:rFonts w:ascii="Times New Roman" w:hAnsi="Times New Roman"/>
          <w:sz w:val="24"/>
          <w:szCs w:val="24"/>
        </w:rPr>
        <w:t>due to</w:t>
      </w:r>
      <w:r w:rsidR="0021408E">
        <w:rPr>
          <w:rFonts w:ascii="Times New Roman" w:hAnsi="Times New Roman"/>
          <w:sz w:val="24"/>
          <w:szCs w:val="24"/>
        </w:rPr>
        <w:t xml:space="preserve"> </w:t>
      </w:r>
      <w:r w:rsidR="003544EB">
        <w:rPr>
          <w:rFonts w:ascii="Times New Roman" w:hAnsi="Times New Roman"/>
          <w:sz w:val="24"/>
          <w:szCs w:val="24"/>
        </w:rPr>
        <w:t>lower mound densities</w:t>
      </w:r>
      <w:r w:rsidR="00286C91">
        <w:rPr>
          <w:rFonts w:ascii="Times New Roman" w:hAnsi="Times New Roman"/>
          <w:sz w:val="24"/>
          <w:szCs w:val="24"/>
        </w:rPr>
        <w:t>, demonstrating</w:t>
      </w:r>
      <w:r w:rsidR="00344831">
        <w:rPr>
          <w:rFonts w:ascii="Times New Roman" w:hAnsi="Times New Roman"/>
          <w:sz w:val="24"/>
          <w:szCs w:val="24"/>
        </w:rPr>
        <w:t xml:space="preserve"> the powerful effect inter-colony competition has on mound patterning</w:t>
      </w:r>
      <w:r w:rsidR="00C442DF">
        <w:rPr>
          <w:rFonts w:ascii="Times New Roman" w:hAnsi="Times New Roman"/>
          <w:sz w:val="24"/>
          <w:szCs w:val="24"/>
        </w:rPr>
        <w:t xml:space="preserve"> and </w:t>
      </w:r>
      <w:r w:rsidR="00344831">
        <w:rPr>
          <w:rFonts w:ascii="Times New Roman" w:hAnsi="Times New Roman"/>
          <w:sz w:val="24"/>
          <w:szCs w:val="24"/>
        </w:rPr>
        <w:t xml:space="preserve">the resistance of this natural process </w:t>
      </w:r>
      <w:r w:rsidR="00C442DF">
        <w:rPr>
          <w:rFonts w:ascii="Times New Roman" w:hAnsi="Times New Roman"/>
          <w:sz w:val="24"/>
          <w:szCs w:val="24"/>
        </w:rPr>
        <w:t>to</w:t>
      </w:r>
      <w:r w:rsidR="00344831">
        <w:rPr>
          <w:rFonts w:ascii="Times New Roman" w:hAnsi="Times New Roman"/>
          <w:sz w:val="24"/>
          <w:szCs w:val="24"/>
        </w:rPr>
        <w:t xml:space="preserve"> anthropogenic </w:t>
      </w:r>
      <w:r w:rsidR="00C442DF">
        <w:rPr>
          <w:rFonts w:ascii="Times New Roman" w:hAnsi="Times New Roman"/>
          <w:sz w:val="24"/>
          <w:szCs w:val="24"/>
        </w:rPr>
        <w:t>disturbance</w:t>
      </w:r>
      <w:r w:rsidR="00344831">
        <w:rPr>
          <w:rFonts w:ascii="Times New Roman" w:hAnsi="Times New Roman"/>
          <w:sz w:val="24"/>
          <w:szCs w:val="24"/>
        </w:rPr>
        <w:t>. Topographic differences between land-use types were limited (Table 1), suggesting that differences in mound spatial patterning in agricultural areas were not a result of selection for specific topographic regions for agriculture by people.</w:t>
      </w:r>
    </w:p>
    <w:p w14:paraId="1B5647EE" w14:textId="77777777" w:rsidR="00C041E7" w:rsidRDefault="00344831">
      <w:pPr>
        <w:spacing w:after="0" w:line="480" w:lineRule="auto"/>
        <w:ind w:firstLine="720"/>
        <w:rPr>
          <w:rFonts w:ascii="Times New Roman" w:hAnsi="Times New Roman"/>
          <w:sz w:val="24"/>
          <w:szCs w:val="24"/>
        </w:rPr>
      </w:pPr>
      <w:r>
        <w:rPr>
          <w:rFonts w:ascii="Times New Roman" w:hAnsi="Times New Roman"/>
          <w:sz w:val="24"/>
          <w:szCs w:val="24"/>
        </w:rPr>
        <w:t xml:space="preserve">Given the disruptions to termite </w:t>
      </w:r>
      <w:r w:rsidR="0024395B">
        <w:rPr>
          <w:rFonts w:ascii="Times New Roman" w:hAnsi="Times New Roman"/>
          <w:sz w:val="24"/>
          <w:szCs w:val="24"/>
        </w:rPr>
        <w:t xml:space="preserve">mound </w:t>
      </w:r>
      <w:r>
        <w:rPr>
          <w:rFonts w:ascii="Times New Roman" w:hAnsi="Times New Roman"/>
          <w:sz w:val="24"/>
          <w:szCs w:val="24"/>
        </w:rPr>
        <w:t xml:space="preserve">densities and spatial patterning in the human transformed landscapes, what are the likely consequences on ecosystem function? Over-dispersion of termite colonies at fine spatial scales leads to an even distribution of </w:t>
      </w:r>
      <w:r w:rsidR="00C041E7">
        <w:rPr>
          <w:rFonts w:ascii="Times New Roman" w:hAnsi="Times New Roman"/>
          <w:sz w:val="24"/>
          <w:szCs w:val="24"/>
        </w:rPr>
        <w:t xml:space="preserve">mound-associated </w:t>
      </w:r>
      <w:r>
        <w:rPr>
          <w:rFonts w:ascii="Times New Roman" w:hAnsi="Times New Roman"/>
          <w:sz w:val="24"/>
          <w:szCs w:val="24"/>
        </w:rPr>
        <w:t xml:space="preserve">benefits, such as nutrient and moisture enrichment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{"citationItems":[{"id":"ITEM-1","itemData":{"abstract":"&lt;p&gt;Termites indirectly enhance plant and animal productivity near their mounds, and the uniform spatial patterning of these mounds enhances the overall productivity of the entire landscape.&lt;/p&gt;","author":[{"dropping-particle":"","family":"Pringle","given":"Robert M","non-dropping-particle":"","parse-names":false,"suffix":""},{"dropping-particle":"","family":"Doak","given":"Daniel F","non-dropping-particle":"","parse-names":false,"suffix":""},{"dropping-particle":"","family":"Brody","given":"Alison K","non-dropping-particle":"","parse-names":false,"suffix":""},{"dropping-particle":"","family":"Jocqué","given":"Rudy","non-dropping-particle":"","parse-names":false,"suffix":""},{"dropping-particle":"","family":"Palmer","given":"Todd M","non-dropping-particle":"","parse-names":false,"suffix":""}],"container-title":"PLoS Biol","id":"ITEM-1","issue":"5","issued":{"date-parts":[["2010"]]},"page":"e1000377","publisher":"Public Library of Science","title":"Spatial pattern enhances ecosystem functioning in an African savanna","type":"article-journal","volume":"8"},"uris":["http://www.mendeley.com/documents/?uuid=bc1e58d7-f2e6-4e25-96e3-46836587704c"]}],"mendeley":{"formattedCitation":"(Pringle &lt;i&gt;et al&lt;/i&gt; 2010)","plainTextFormattedCitation":"(Pringle et al 2010)","previouslyFormattedCitation":"(Pringle &lt;i&gt;et al&lt;/i&gt; 2010)"},"properties":{"noteIndex":0},"schema":"https://github.com/citation-style-language/schema/raw/master/csl-citation.json"}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(Pringle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2010)</w:t>
      </w:r>
      <w:r>
        <w:rPr>
          <w:rFonts w:ascii="Times New Roman" w:hAnsi="Times New Roman"/>
          <w:sz w:val="24"/>
          <w:szCs w:val="24"/>
        </w:rPr>
        <w:fldChar w:fldCharType="end"/>
      </w:r>
      <w:r>
        <w:rPr>
          <w:rFonts w:ascii="Times New Roman" w:hAnsi="Times New Roman"/>
          <w:sz w:val="24"/>
          <w:szCs w:val="24"/>
        </w:rPr>
        <w:t xml:space="preserve">. Since this over-dispersed pattern is not severely disrupted in any land-use we studied, the benefits of mounds remain well distributed where they occur, a remarkable finding given the significant alteration of the land surface by people (see Fig. 2). However, lower mound densities in human-transformed landscapes, despite similar mean colony size, will lead to reduced termite activity </w:t>
      </w:r>
      <w:r>
        <w:rPr>
          <w:rFonts w:ascii="Times New Roman" w:hAnsi="Times New Roman"/>
          <w:sz w:val="24"/>
          <w:szCs w:val="24"/>
        </w:rPr>
        <w:lastRenderedPageBreak/>
        <w:t xml:space="preserve">between mounds, which is also evidenced by the larger inter-mound distances (up to 150 m). Termite activities, such as foraging for dead organic matter and mound construction, influence multiple processes that enhance ecosystem function, e.g. water infiltration, nutrient cycling and decomposition of organic matter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10.1016/j.ejsobi.2011.05.005","ISBN":"1164-5563","author":[{"dropping-particle":"","family":"Jouquet","given":"Pascal","non-dropping-particle":"","parse-names":false,"suffix":""},{"dropping-particle":"","family":"Traoré","given":"Saran","non-dropping-particle":"","parse-names":false,"suffix":""},{"dropping-particle":"","family":"Choosai","given":"Chutinan","non-dropping-particle":"","parse-names":false,"suffix":""},{"dropping-particle":"","family":"Hartmann","given":"Christian","non-dropping-particle":"","parse-names":false,"suffix":""},{"dropping-particle":"","family":"Bignell","given":"David","non-dropping-particle":"","parse-names":false,"suffix":""}],"container-title":"European Journal of Soil Biology","id":"ITEM-1","issue":"4","issued":{"date-parts":[["2011"]]},"page":"215-222","title":"Influence of termites on ecosystem functioning. Ecosystem services provided by termites","type":"article-journal","volume":"47"},"uris":["http://www.mendeley.com/documents/?uuid=9a354347-40a2-41f9-8910-9edcf8863cff"]}],"mendeley":{"formattedCitation":"(Jouquet &lt;i&gt;et al&lt;/i&gt; 2011)","manualFormatting":"(as reviewed in Jouquet et al. 2011)","plainTextFormattedCitation":"(Jouquet et al 2011)","previouslyFormattedCitation":"(Jouquet &lt;i&gt;et al&lt;/i&gt; 2011)"},"properties":{"noteIndex":0},"schema":"https://github.com/citation-style-language/schema/raw/master/csl-citation.json"}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(as reviewed in Jouquet et al. 2011)</w:t>
      </w:r>
      <w:r>
        <w:rPr>
          <w:rFonts w:ascii="Times New Roman" w:hAnsi="Times New Roman"/>
          <w:sz w:val="24"/>
          <w:szCs w:val="24"/>
        </w:rPr>
        <w:fldChar w:fldCharType="end"/>
      </w:r>
      <w:r>
        <w:rPr>
          <w:rFonts w:ascii="Times New Roman" w:hAnsi="Times New Roman"/>
          <w:sz w:val="24"/>
          <w:szCs w:val="24"/>
        </w:rPr>
        <w:t>. A decrease in termite activity could</w:t>
      </w:r>
      <w:r w:rsidR="00C041E7">
        <w:rPr>
          <w:rFonts w:ascii="Times New Roman" w:hAnsi="Times New Roman"/>
          <w:sz w:val="24"/>
          <w:szCs w:val="24"/>
        </w:rPr>
        <w:t xml:space="preserve"> therefore</w:t>
      </w:r>
      <w:r>
        <w:rPr>
          <w:rFonts w:ascii="Times New Roman" w:hAnsi="Times New Roman"/>
          <w:sz w:val="24"/>
          <w:szCs w:val="24"/>
        </w:rPr>
        <w:t xml:space="preserve"> lower agricultural production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{"citationItems":[{"id":"ITEM-1","itemData":{"DOI":"http://www.nature.com/ncomms/journal/v2/n3/suppinfo/ncomms1257_S1.html","author":[{"dropping-particle":"","family":"Evans","given":"Theodore A","non-dropping-particle":"","parse-names":false,"suffix":""},{"dropping-particle":"","family":"Dawes","given":"Tracy Z","non-dropping-particle":"","parse-names":false,"suffix":""},{"dropping-particle":"","family":"Ward","given":"Philip R","non-dropping-particle":"","parse-names":false,"suffix":""},{"dropping-particle":"","family":"Lo","given":"Nathan","non-dropping-particle":"","parse-names":false,"suffix":""}],"container-title":"Nat Commun","id":"ITEM-1","issued":{"date-parts":[["2011"]]},"note":"10.1038/ncomms1257","page":"262","publisher":"Nature Publishing Group, a division of Macmillan Publishers Limited. All Rights Reserved.","title":"Ants and termites increase crop yield in a dry climate","type":"article-journal","volume":"2"},"uris":["http://www.mendeley.com/documents/?uuid=e33f8ce1-a5c3-47a5-b1a2-9a62d162732c"]}],"mendeley":{"formattedCitation":"(Evans &lt;i&gt;et al&lt;/i&gt; 2011)","plainTextFormattedCitation":"(Evans et al 2011)","previouslyFormattedCitation":"(Evans &lt;i&gt;et al&lt;/i&gt; 2011)"},"properties":{"noteIndex":0},"schema":"https://github.com/citation-style-language/schema/raw/master/csl-citation.json"}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(Evans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2011)</w:t>
      </w:r>
      <w:r>
        <w:rPr>
          <w:rFonts w:ascii="Times New Roman" w:hAnsi="Times New Roman"/>
          <w:sz w:val="24"/>
          <w:szCs w:val="24"/>
        </w:rPr>
        <w:fldChar w:fldCharType="end"/>
      </w:r>
      <w:r>
        <w:rPr>
          <w:rFonts w:ascii="Times New Roman" w:hAnsi="Times New Roman"/>
          <w:sz w:val="24"/>
          <w:szCs w:val="24"/>
        </w:rPr>
        <w:t xml:space="preserve"> and slow natural ecosystem processes, leading to cyclical declines in resources such as woody biomass and tall tree abundance, resources already under pressure in these human-dominated landscapes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{"citationItems":[{"id":"ITEM-1","itemData":{"DOI":"10.1088/1748-9326/8/1/014007","ISSN":"1748-9326","author":[{"dropping-particle":"","family":"Wessels","given":"K J","non-dropping-particle":"","parse-names":false,"suffix":""},{"dropping-particle":"","family":"Colgan","given":"M S","non-dropping-particle":"","parse-names":false,"suffix":""},{"dropping-particle":"","family":"Erasmus","given":"B F N","non-dropping-particle":"","parse-names":false,"suffix":""},{"dropping-particle":"","family":"Asner","given":"G P","non-dropping-particle":"","parse-names":false,"suffix":""},{"dropping-particle":"","family":"Twine","given":"W C","non-dropping-particle":"","parse-names":false,"suffix":""},{"dropping-particle":"","family":"Mathieu","given":"R","non-dropping-particle":"","parse-names":false,"suffix":""},{"dropping-particle":"","family":"Aardt","given":"J A N","non-dropping-particle":"van","parse-names":false,"suffix":""},{"dropping-particle":"","family":"Fisher","given":"J T","non-dropping-particle":"","parse-names":false,"suffix":""},{"dropping-particle":"","family":"Smit","given":"I P J","non-dropping-particle":"","parse-names":false,"suffix":""}],"container-title":"Environmental Research Letters","id":"ITEM-1","issue":"1","issued":{"date-parts":[["2013","3","1"]]},"page":"014007","publisher":"IOP Publishing","title":"Unsustainable fuelwood extraction from South African savannas","type":"article-journal","volume":"8"},"uris":["http://www.mendeley.com/documents/?uuid=04b2d216-c5a7-337d-b735-b33c46ad0ad4"]},{"id":"ITEM-2","itemData":{"DOI":"10.1111/ecog.02549","ISSN":"09067590","author":[{"dropping-particle":"","family":"Mograbi","given":"Penelope J.","non-dropping-particle":"","parse-names":false,"suffix":""},{"dropping-particle":"","family":"Asner","given":"Gregory P.","non-dropping-particle":"","parse-names":false,"suffix":""},{"dropping-particle":"","family":"Witkowski","given":"Ed T. F.","non-dropping-particle":"","parse-names":false,"suffix":""},{"dropping-particle":"","family":"Erasmus","given":"Barend F. N.","non-dropping-particle":"","parse-names":false,"suffix":""},{"dropping-particle":"","family":"Wessels","given":"Konrad J.","non-dropping-particle":"","parse-names":false,"suffix":""},{"dropping-particle":"","family":"Mathieu","given":"Renaud","non-dropping-particle":"","parse-names":false,"suffix":""},{"dropping-particle":"","family":"Vaughn","given":"Nicholas R.","non-dropping-particle":"","parse-names":false,"suffix":""}],"container-title":"Ecography","id":"ITEM-2","issue":"11","issued":{"date-parts":[["2017","11","1"]]},"page":"1274-1284","publisher":"Blackwell Publishing Ltd","title":"Humans and elephants as treefall drivers in African savannas","type":"article-journal","volume":"40"},"uris":["http://www.mendeley.com/documents/?uuid=0ec4487d-98aa-3a5e-9630-bf2dd77b6734"]}],"mendeley":{"formattedCitation":"(Wessels &lt;i&gt;et al&lt;/i&gt; 2013, Mograbi &lt;i&gt;et al&lt;/i&gt; 2017)","plainTextFormattedCitation":"(Wessels et al 2013, Mograbi et al 2017)","previouslyFormattedCitation":"(Wessels &lt;i&gt;et al&lt;/i&gt; 2013, Mograbi &lt;i&gt;et al&lt;/i&gt; 2017)"},"properties":{"noteIndex":0},"schema":"https://github.com/citation-style-language/schema/raw/master/csl-citation.json"}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(Wessels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2013, Mograbi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2017)</w:t>
      </w:r>
      <w:r>
        <w:rPr>
          <w:rFonts w:ascii="Times New Roman" w:hAnsi="Times New Roman"/>
          <w:sz w:val="24"/>
          <w:szCs w:val="24"/>
        </w:rPr>
        <w:fldChar w:fldCharType="end"/>
      </w:r>
      <w:r>
        <w:rPr>
          <w:rFonts w:ascii="Times New Roman" w:hAnsi="Times New Roman"/>
          <w:sz w:val="24"/>
          <w:szCs w:val="24"/>
        </w:rPr>
        <w:t xml:space="preserve">. </w:t>
      </w:r>
      <w:r w:rsidRPr="00FF1077">
        <w:rPr>
          <w:rFonts w:ascii="Times New Roman" w:hAnsi="Times New Roman"/>
          <w:sz w:val="24"/>
          <w:szCs w:val="24"/>
        </w:rPr>
        <w:t>Future</w:t>
      </w:r>
      <w:r>
        <w:rPr>
          <w:rFonts w:ascii="Times New Roman" w:hAnsi="Times New Roman"/>
          <w:sz w:val="24"/>
          <w:szCs w:val="24"/>
        </w:rPr>
        <w:t xml:space="preserve"> studies </w:t>
      </w:r>
      <w:r w:rsidR="00C041E7">
        <w:rPr>
          <w:rFonts w:ascii="Times New Roman" w:hAnsi="Times New Roman"/>
          <w:sz w:val="24"/>
          <w:szCs w:val="24"/>
        </w:rPr>
        <w:t>examining</w:t>
      </w:r>
      <w:r>
        <w:rPr>
          <w:rFonts w:ascii="Times New Roman" w:hAnsi="Times New Roman"/>
          <w:sz w:val="24"/>
          <w:szCs w:val="24"/>
        </w:rPr>
        <w:t xml:space="preserve"> changes in ecosystem function resulting from altered termite populations </w:t>
      </w:r>
      <w:r w:rsidR="00A0492F">
        <w:rPr>
          <w:rFonts w:ascii="Times New Roman" w:hAnsi="Times New Roman"/>
          <w:sz w:val="24"/>
          <w:szCs w:val="24"/>
        </w:rPr>
        <w:t>are essential for</w:t>
      </w:r>
      <w:r>
        <w:rPr>
          <w:rFonts w:ascii="Times New Roman" w:hAnsi="Times New Roman"/>
          <w:sz w:val="24"/>
          <w:szCs w:val="24"/>
        </w:rPr>
        <w:t xml:space="preserve"> uncover</w:t>
      </w:r>
      <w:r w:rsidR="00A0492F">
        <w:rPr>
          <w:rFonts w:ascii="Times New Roman" w:hAnsi="Times New Roman"/>
          <w:sz w:val="24"/>
          <w:szCs w:val="24"/>
        </w:rPr>
        <w:t>ing</w:t>
      </w:r>
      <w:r>
        <w:rPr>
          <w:rFonts w:ascii="Times New Roman" w:hAnsi="Times New Roman"/>
          <w:sz w:val="24"/>
          <w:szCs w:val="24"/>
        </w:rPr>
        <w:t xml:space="preserve"> the impacts of termite declines on both natural ecosystem processes and human livelihoods</w:t>
      </w:r>
      <w:r w:rsidR="00FF1077">
        <w:rPr>
          <w:rFonts w:ascii="Times New Roman" w:hAnsi="Times New Roman"/>
          <w:sz w:val="24"/>
          <w:szCs w:val="24"/>
        </w:rPr>
        <w:t>, especially since it is unknown how changes in the assemblage composition of ecologically important taxa, such as termites, directly result in changes to</w:t>
      </w:r>
      <w:r w:rsidR="00C041E7">
        <w:rPr>
          <w:rFonts w:ascii="Times New Roman" w:hAnsi="Times New Roman"/>
          <w:sz w:val="24"/>
          <w:szCs w:val="24"/>
        </w:rPr>
        <w:t xml:space="preserve"> the</w:t>
      </w:r>
      <w:r w:rsidR="00FF1077">
        <w:rPr>
          <w:rFonts w:ascii="Times New Roman" w:hAnsi="Times New Roman"/>
          <w:sz w:val="24"/>
          <w:szCs w:val="24"/>
        </w:rPr>
        <w:t xml:space="preserve"> ecosystem functions they mediate </w:t>
      </w:r>
      <w:r w:rsidR="007C3783">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{"citationItems":[{"id":"ITEM-1","itemData":{"DOI":"10.1111/j.1365-2028.2011.01263.x","ISBN":"1365-2028","author":[{"dropping-particle":"","family":"Kagezi","given":"Godfrey H","non-dropping-particle":"","parse-names":false,"suffix":""},{"dropping-particle":"","family":"Kaib","given":"Manfred","non-dropping-particle":"","parse-names":false,"suffix":""},{"dropping-particle":"","family":"Nyeko","given":"Philip","non-dropping-particle":"","parse-names":false,"suffix":""},{"dropping-particle":"","family":"Bakuneeta","given":"Christopher","non-dropping-particle":"","parse-names":false,"suffix":""},{"dropping-particle":"","family":"Schädler","given":"Martin","non-dropping-particle":"","parse-names":false,"suffix":""},{"dropping-particle":"","family":"Brandl","given":"Roland","non-dropping-particle":"","parse-names":false,"suffix":""}],"container-title":"African Journal of Ecology","id":"ITEM-1","issued":{"date-parts":[["2011"]]},"page":"no-no","publisher":"Blackwell Publishing Ltd","title":"Decomposition of tissue baits and termite density along a gradient of human land-use intensification in Western Kenya","type":"article-journal"},"uris":["http://www.mendeley.com/documents/?uuid=64abc0b1-40ed-4110-bf91-b2748ed3ef29"]}],"mendeley":{"formattedCitation":"(Kagezi &lt;i&gt;et al&lt;/i&gt; 2011)","plainTextFormattedCitation":"(Kagezi et al 2011)","previouslyFormattedCitation":"(Kagezi &lt;i&gt;et al&lt;/i&gt; 2011)"},"properties":{"noteIndex":0},"schema":"https://github.com/citation-style-language/schema/raw/master/csl-citation.json"}</w:instrText>
      </w:r>
      <w:r w:rsidR="007C3783">
        <w:rPr>
          <w:rFonts w:ascii="Times New Roman" w:hAnsi="Times New Roman"/>
          <w:sz w:val="24"/>
          <w:szCs w:val="24"/>
        </w:rPr>
        <w:fldChar w:fldCharType="separate"/>
      </w:r>
      <w:r w:rsidR="007C3783" w:rsidRPr="007C3783">
        <w:rPr>
          <w:rFonts w:ascii="Times New Roman" w:hAnsi="Times New Roman"/>
          <w:noProof/>
          <w:sz w:val="24"/>
          <w:szCs w:val="24"/>
        </w:rPr>
        <w:t xml:space="preserve">(Kagezi </w:t>
      </w:r>
      <w:r w:rsidR="007C3783" w:rsidRPr="007C3783">
        <w:rPr>
          <w:rFonts w:ascii="Times New Roman" w:hAnsi="Times New Roman"/>
          <w:i/>
          <w:noProof/>
          <w:sz w:val="24"/>
          <w:szCs w:val="24"/>
        </w:rPr>
        <w:t>et al</w:t>
      </w:r>
      <w:r w:rsidR="007C3783" w:rsidRPr="007C3783">
        <w:rPr>
          <w:rFonts w:ascii="Times New Roman" w:hAnsi="Times New Roman"/>
          <w:noProof/>
          <w:sz w:val="24"/>
          <w:szCs w:val="24"/>
        </w:rPr>
        <w:t xml:space="preserve"> 2011)</w:t>
      </w:r>
      <w:r w:rsidR="007C3783">
        <w:rPr>
          <w:rFonts w:ascii="Times New Roman" w:hAnsi="Times New Roman"/>
          <w:sz w:val="24"/>
          <w:szCs w:val="24"/>
        </w:rPr>
        <w:fldChar w:fldCharType="end"/>
      </w:r>
      <w:r>
        <w:rPr>
          <w:rFonts w:ascii="Times New Roman" w:hAnsi="Times New Roman"/>
          <w:sz w:val="24"/>
          <w:szCs w:val="24"/>
        </w:rPr>
        <w:t>.</w:t>
      </w:r>
      <w:r w:rsidR="003F03E7">
        <w:rPr>
          <w:rFonts w:ascii="Times New Roman" w:hAnsi="Times New Roman"/>
          <w:sz w:val="24"/>
          <w:szCs w:val="24"/>
        </w:rPr>
        <w:t xml:space="preserve"> </w:t>
      </w:r>
      <w:r w:rsidRPr="00356545">
        <w:rPr>
          <w:rFonts w:ascii="Times New Roman" w:hAnsi="Times New Roman"/>
          <w:sz w:val="24"/>
          <w:szCs w:val="24"/>
        </w:rPr>
        <w:t xml:space="preserve">Similarly, </w:t>
      </w:r>
      <w:r w:rsidR="004607F1">
        <w:rPr>
          <w:rFonts w:ascii="Times New Roman" w:hAnsi="Times New Roman"/>
          <w:sz w:val="24"/>
          <w:szCs w:val="24"/>
        </w:rPr>
        <w:t xml:space="preserve">mound </w:t>
      </w:r>
      <w:r w:rsidRPr="00356545">
        <w:rPr>
          <w:rFonts w:ascii="Times New Roman" w:hAnsi="Times New Roman"/>
          <w:sz w:val="24"/>
          <w:szCs w:val="24"/>
        </w:rPr>
        <w:t xml:space="preserve">longevity and enhanced moisture and nutrient content after colony death </w:t>
      </w:r>
      <w:r w:rsidR="004607F1">
        <w:rPr>
          <w:rFonts w:ascii="Times New Roman" w:hAnsi="Times New Roman"/>
          <w:sz w:val="24"/>
          <w:szCs w:val="24"/>
        </w:rPr>
        <w:t>are</w:t>
      </w:r>
      <w:r w:rsidRPr="00356545">
        <w:rPr>
          <w:rFonts w:ascii="Times New Roman" w:hAnsi="Times New Roman"/>
          <w:sz w:val="24"/>
          <w:szCs w:val="24"/>
        </w:rPr>
        <w:t xml:space="preserve"> important avenue</w:t>
      </w:r>
      <w:r w:rsidR="004607F1">
        <w:rPr>
          <w:rFonts w:ascii="Times New Roman" w:hAnsi="Times New Roman"/>
          <w:sz w:val="24"/>
          <w:szCs w:val="24"/>
        </w:rPr>
        <w:t>s</w:t>
      </w:r>
      <w:r w:rsidRPr="00356545">
        <w:rPr>
          <w:rFonts w:ascii="Times New Roman" w:hAnsi="Times New Roman"/>
          <w:sz w:val="24"/>
          <w:szCs w:val="24"/>
        </w:rPr>
        <w:t xml:space="preserve"> for future research. Our remote sensing approach could not </w:t>
      </w:r>
      <w:r w:rsidR="009233F8">
        <w:rPr>
          <w:rFonts w:ascii="Times New Roman" w:hAnsi="Times New Roman"/>
          <w:sz w:val="24"/>
          <w:szCs w:val="24"/>
        </w:rPr>
        <w:t>quantify mound activity</w:t>
      </w:r>
      <w:r w:rsidRPr="00356545">
        <w:rPr>
          <w:rFonts w:ascii="Times New Roman" w:hAnsi="Times New Roman"/>
          <w:sz w:val="24"/>
          <w:szCs w:val="24"/>
        </w:rPr>
        <w:t xml:space="preserve">, </w:t>
      </w:r>
      <w:r w:rsidR="009233F8">
        <w:rPr>
          <w:rFonts w:ascii="Times New Roman" w:hAnsi="Times New Roman"/>
          <w:sz w:val="24"/>
          <w:szCs w:val="24"/>
        </w:rPr>
        <w:t xml:space="preserve">which </w:t>
      </w:r>
      <w:r w:rsidR="00286C91">
        <w:rPr>
          <w:rFonts w:ascii="Times New Roman" w:hAnsi="Times New Roman"/>
          <w:sz w:val="24"/>
          <w:szCs w:val="24"/>
        </w:rPr>
        <w:t>could vary</w:t>
      </w:r>
      <w:r w:rsidRPr="00356545">
        <w:rPr>
          <w:rFonts w:ascii="Times New Roman" w:hAnsi="Times New Roman"/>
          <w:sz w:val="24"/>
          <w:szCs w:val="24"/>
        </w:rPr>
        <w:t xml:space="preserve"> across </w:t>
      </w:r>
      <w:r w:rsidR="004B5B2B" w:rsidRPr="00356545">
        <w:rPr>
          <w:rFonts w:ascii="Times New Roman" w:hAnsi="Times New Roman"/>
          <w:sz w:val="24"/>
          <w:szCs w:val="24"/>
        </w:rPr>
        <w:t>land-use type</w:t>
      </w:r>
      <w:r w:rsidR="00286C91">
        <w:rPr>
          <w:rFonts w:ascii="Times New Roman" w:hAnsi="Times New Roman"/>
          <w:sz w:val="24"/>
          <w:szCs w:val="24"/>
        </w:rPr>
        <w:t>s</w:t>
      </w:r>
      <w:r w:rsidRPr="00356545">
        <w:rPr>
          <w:rFonts w:ascii="Times New Roman" w:hAnsi="Times New Roman"/>
          <w:sz w:val="24"/>
          <w:szCs w:val="24"/>
        </w:rPr>
        <w:t xml:space="preserve"> and thus influence the provisioning of ecosystem services</w:t>
      </w:r>
      <w:r w:rsidR="00C041E7">
        <w:rPr>
          <w:rFonts w:ascii="Times New Roman" w:hAnsi="Times New Roman"/>
          <w:sz w:val="24"/>
          <w:szCs w:val="24"/>
        </w:rPr>
        <w:t xml:space="preserve"> if abandoned mounds disintegrate over short periods of time </w:t>
      </w:r>
      <w:r w:rsidR="00C041E7">
        <w:rPr>
          <w:rFonts w:ascii="Times New Roman" w:hAnsi="Times New Roman"/>
          <w:sz w:val="24"/>
          <w:szCs w:val="24"/>
        </w:rPr>
        <w:fldChar w:fldCharType="begin" w:fldLock="1"/>
      </w:r>
      <w:r w:rsidR="00C041E7">
        <w:rPr>
          <w:rFonts w:ascii="Times New Roman" w:hAnsi="Times New Roman"/>
          <w:sz w:val="24"/>
          <w:szCs w:val="24"/>
        </w:rPr>
        <w:instrText>ADDIN CSL_CITATION {"citationItems":[{"id":"ITEM-1","itemData":{"DOI":"10.1016/S0065-2504(08)60149-X","ISSN":"00652504","abstract":"This chapter discusses the positive-feedback switches in plant communities. A vegetation positive-feedback switch is a process in which a community modifies the environment, making it more suitable for that community. Positive-feedback switches operate by modifying any of several features of the environment, including water, pH, soil elements, light, temperature, wind, fire, or allelopathic toxins. The four types of switch can be distinguished as: (1) one-sided switch, where a single community modifies the environment of the patches it occupies, (2) reaction switch, where the community additionally modifies the patches it is not in, but in the opposite direction, (3) symmetric switch, where communities of both alternative states modify the same factor of their environment, but in opposite directions, and (4) two-factor switch, where the two communities both modify their environments, but in different factors. The positive-feedback switches producing four major vegetational effects (A–D): a stable vegetational mosaic may be produced in a previously uniform environment(situation A), or a vegetational gradient caused by environmental change can be intensified to give a sharp boundary (situation B). These mosaics and boundaries can occur at a wide variety of spatial scales, from landscape-scale to individual plant-scale. Switches can also sharpen or displace temporal boundaries: succession can be accelerated (situation C) or delayed (situation D). Not all of these effects can be produced by all types of switch; in particular, a one-sided (type 1) switch cannot produce a stable mosaic. © 1992, Academic Press Limited","author":[{"dropping-particle":"","family":"Wilson","given":"J. Bastow","non-dropping-particle":"","parse-names":false,"suffix":""},{"dropping-particle":"","family":"Agnew","given":"Andrew D.Q.","non-dropping-particle":"","parse-names":false,"suffix":""}],"container-title":"Advances in Ecological Research","id":"ITEM-1","issue":"C","issued":{"date-parts":[["1992","1","1"]]},"page":"263-336","publisher":"Academic Press","title":"Positive-feedback Switches in Plant Communities","type":"article-journal","volume":"23"},"uris":["http://www.mendeley.com/documents/?uuid=ff98ead1-ca3e-33fb-a5f4-c9e477912c2d"]}],"mendeley":{"formattedCitation":"(Wilson and Agnew 1992)","plainTextFormattedCitation":"(Wilson and Agnew 1992)","previouslyFormattedCitation":"(Wilson and Agnew 1992)"},"properties":{"noteIndex":0},"schema":"https://github.com/citation-style-language/schema/raw/master/csl-citation.json"}</w:instrText>
      </w:r>
      <w:r w:rsidR="00C041E7">
        <w:rPr>
          <w:rFonts w:ascii="Times New Roman" w:hAnsi="Times New Roman"/>
          <w:sz w:val="24"/>
          <w:szCs w:val="24"/>
        </w:rPr>
        <w:fldChar w:fldCharType="separate"/>
      </w:r>
      <w:r w:rsidR="00C041E7" w:rsidRPr="00FF1077">
        <w:rPr>
          <w:rFonts w:ascii="Times New Roman" w:hAnsi="Times New Roman"/>
          <w:noProof/>
          <w:sz w:val="24"/>
          <w:szCs w:val="24"/>
        </w:rPr>
        <w:t>(Wilson and Agnew 1992)</w:t>
      </w:r>
      <w:r w:rsidR="00C041E7">
        <w:rPr>
          <w:rFonts w:ascii="Times New Roman" w:hAnsi="Times New Roman"/>
          <w:sz w:val="24"/>
          <w:szCs w:val="24"/>
        </w:rPr>
        <w:fldChar w:fldCharType="end"/>
      </w:r>
      <w:r w:rsidRPr="00356545">
        <w:rPr>
          <w:rFonts w:ascii="Times New Roman" w:hAnsi="Times New Roman"/>
          <w:sz w:val="24"/>
          <w:szCs w:val="24"/>
        </w:rPr>
        <w:t>.</w:t>
      </w:r>
    </w:p>
    <w:p w14:paraId="327DCA64" w14:textId="69D77706" w:rsidR="00491853" w:rsidRPr="00491853" w:rsidRDefault="00344831" w:rsidP="00491853">
      <w:pPr>
        <w:spacing w:after="0" w:line="480" w:lineRule="auto"/>
        <w:ind w:firstLine="480"/>
        <w:rPr>
          <w:rFonts w:ascii="Times New Roman" w:hAnsi="Times New Roman"/>
          <w:sz w:val="24"/>
          <w:szCs w:val="24"/>
        </w:rPr>
      </w:pPr>
      <w:r>
        <w:rPr>
          <w:rFonts w:ascii="Times New Roman" w:hAnsi="Times New Roman"/>
          <w:sz w:val="24"/>
          <w:szCs w:val="24"/>
        </w:rPr>
        <w:t xml:space="preserve">There is an urgent need to understand </w:t>
      </w:r>
      <w:r w:rsidR="00A84A43">
        <w:rPr>
          <w:rFonts w:ascii="Times New Roman" w:hAnsi="Times New Roman"/>
          <w:sz w:val="24"/>
          <w:szCs w:val="24"/>
        </w:rPr>
        <w:t xml:space="preserve">global change </w:t>
      </w:r>
      <w:r>
        <w:rPr>
          <w:rFonts w:ascii="Times New Roman" w:hAnsi="Times New Roman"/>
          <w:sz w:val="24"/>
          <w:szCs w:val="24"/>
        </w:rPr>
        <w:t xml:space="preserve">impacts on </w:t>
      </w:r>
      <w:r w:rsidR="00974AE1">
        <w:rPr>
          <w:rFonts w:ascii="Times New Roman" w:hAnsi="Times New Roman"/>
          <w:sz w:val="24"/>
          <w:szCs w:val="24"/>
        </w:rPr>
        <w:t>under-studied</w:t>
      </w:r>
      <w:r>
        <w:rPr>
          <w:rFonts w:ascii="Times New Roman" w:hAnsi="Times New Roman"/>
          <w:sz w:val="24"/>
          <w:szCs w:val="24"/>
        </w:rPr>
        <w:t xml:space="preserve"> but critically important </w:t>
      </w:r>
      <w:r w:rsidR="00BB62FD">
        <w:rPr>
          <w:rFonts w:ascii="Times New Roman" w:hAnsi="Times New Roman"/>
          <w:sz w:val="24"/>
          <w:szCs w:val="24"/>
        </w:rPr>
        <w:t xml:space="preserve">groups </w:t>
      </w:r>
      <w:r>
        <w:rPr>
          <w:rFonts w:ascii="Times New Roman" w:hAnsi="Times New Roman"/>
          <w:sz w:val="24"/>
          <w:szCs w:val="24"/>
        </w:rPr>
        <w:t xml:space="preserve">such as insects, and while recent studies suggest widespread insect declines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{"citationItems":[{"id":"ITEM-1","itemData":{"DOI":"10.1016/J.BIOCON.2019.01.020","ISSN":"0006-3207","abstract":"Biodiversity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affected, whereas four major aquatic taxa (Odonata, Plecoptera, Trichoptera and Ephemeroptera) have already lost a considerable proportion of species. Affected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affects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effective remediation technologies should be applied to clean polluted waters in both agricultural and urban environments.","author":[{"dropping-particle":"","family":"Sánchez-Bayo","given":"Francisco","non-dropping-particle":"","parse-names":false,"suffix":""},{"dropping-particle":"","family":"Wyckhuys","given":"Kris A.G.","non-dropping-particle":"","parse-names":false,"suffix":""}],"container-title":"Biological Conservation","id":"ITEM-1","issued":{"date-parts":[["2019","4","1"]]},"page":"8-27","publisher":"Elsevier","title":"Worldwide decline of the entomofauna: A review of its drivers","type":"article-journal","volume":"232"},"uris":["http://www.mendeley.com/documents/?uuid=10aade26-e76d-368d-9f83-2f1e00b5413e"]},{"id":"ITEM-2","itemData":{"DOI":"10.1073/pnas.1722477115","ISSN":"1091-6490","PMID":"30322922","abstract":"A number of studies indicate that tropical arthropods should be particularly vulnerable to climate warming. If these predictions are realized, climate warming may have a more profound impact on the functioning and diversity of tropical forests than currently anticipated. Although arthropods comprise over two-thirds of terrestrial species, information on their abundance and extinction rates in tropical habitats is severely limited. Here we analyze data on arthropod and insectivore abundances taken between 1976 and 2012 at two midelevation habitats in Puerto Rico's Luquillo rainforest. During this time, mean maximum temperatures have risen by 2.0 °C. Using the same study area and methods employed by Lister in the 1970s, we discovered that the dry weight biomass of arthropods captured in sweep samples had declined 4 to 8 times, and 30 to 60 times in sticky traps. Analysis of long-term data on canopy arthropods and walking sticks taken as part of the Luquillo Long-Term Ecological Research program revealed sustained declines in abundance over two decades, as well as negative regressions of abundance on mean maximum temperatures. We also document parallel decreases in Luquillo's insectivorous lizards, frogs, and birds. While El Niño/Southern Oscillation influences the abundance of forest arthropods, climate warming is the major driver of reductions in arthropod abundance, indirectly precipitating a bottom-up trophic cascade and consequent collapse of the forest food web.","author":[{"dropping-particle":"","family":"Lister","given":"Bradford C","non-dropping-particle":"","parse-names":false,"suffix":""},{"dropping-particle":"","family":"Garcia","given":"Andres","non-dropping-particle":"","parse-names":false,"suffix":""}],"container-title":"Proceedings of the National Academy of Sciences of the United States of America","id":"ITEM-2","issue":"44","issued":{"date-parts":[["2018","10","30"]]},"page":"E10397-E10406","publisher":"National Academy of Sciences","title":"Climate-driven declines in arthropod abundance restructure a rainforest food web.","type":"article-journal","volume":"115"},"uris":["http://www.mendeley.com/documents/?uuid=1946934a-b1e3-399e-baac-d180abe5f59d"]}],"mendeley":{"formattedCitation":"(Sánchez-Bayo and Wyckhuys 2019, Lister and Garcia 2018)","plainTextFormattedCitation":"(Sánchez-Bayo and Wyckhuys 2019, Lister and Garcia 2018)","previouslyFormattedCitation":"(Sánchez-Bayo and Wyckhuys 2019, Lister and Garcia 2018)"},"properties":{"noteIndex":0},"schema":"https://github.com/citation-style-language/schema/raw/master/csl-citation.json"}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(Sánchez-Bayo and Wyckhuys 2019, Lister and Garcia 2018)</w:t>
      </w:r>
      <w:r>
        <w:rPr>
          <w:rFonts w:ascii="Times New Roman" w:hAnsi="Times New Roman"/>
          <w:sz w:val="24"/>
          <w:szCs w:val="24"/>
        </w:rPr>
        <w:fldChar w:fldCharType="end"/>
      </w:r>
      <w:r>
        <w:rPr>
          <w:rFonts w:ascii="Times New Roman" w:hAnsi="Times New Roman"/>
          <w:sz w:val="24"/>
          <w:szCs w:val="24"/>
        </w:rPr>
        <w:t xml:space="preserve">, more robust and large-scale data are needed before firm conclusions can be made </w:t>
      </w:r>
      <w:r>
        <w:rPr>
          <w:rFonts w:ascii="Times New Roman" w:hAnsi="Times New Roman"/>
          <w:sz w:val="24"/>
          <w:szCs w:val="24"/>
        </w:rPr>
        <w:fldChar w:fldCharType="begin" w:fldLock="1"/>
      </w:r>
      <w:r w:rsidR="007C3783">
        <w:rPr>
          <w:rFonts w:ascii="Times New Roman" w:hAnsi="Times New Roman"/>
          <w:sz w:val="24"/>
          <w:szCs w:val="24"/>
        </w:rPr>
        <w:instrText>ADDIN CSL_CITATION {"citationItems":[{"id":"ITEM-1","itemData":{"DOI":"10.1111/gcb.14608","ISSN":"13541013","author":[{"dropping-particle":"","family":"Thomas","given":"Chris D.","non-dropping-particle":"","parse-names":false,"suffix":""},{"dropping-particle":"","family":"Jones","given":"T. Hefin","non-dropping-particle":"","parse-names":false,"suffix":""},{"dropping-particle":"","family":"Hartley","given":"Sue E.","non-dropping-particle":"","parse-names":false,"suffix":""}],"container-title":"Global Change Biology","id":"ITEM-1","issued":{"date-parts":[["2019","3","18"]]},"publisher":"John Wiley &amp; Sons, Ltd (10.1111)","title":"“Insectageddon”: a call for more robust data and rigorous analyses","type":"article-journal"},"uris":["http://www.mendeley.com/documents/?uuid=3376b2bf-9e8f-3567-8297-b15ed9e286ad"]}],"mendeley":{"formattedCitation":"(Thomas &lt;i&gt;et al&lt;/i&gt; 2019)","plainTextFormattedCitation":"(Thomas et al 2019)","previouslyFormattedCitation":"(Thomas &lt;i&gt;et al&lt;/i&gt; 2019)"},"properties":{"noteIndex":0},"schema":"https://github.com/citation-style-language/schema/raw/master/csl-citation.json"}</w:instrText>
      </w:r>
      <w:r>
        <w:rPr>
          <w:rFonts w:ascii="Times New Roman" w:hAnsi="Times New Roman"/>
          <w:sz w:val="24"/>
          <w:szCs w:val="24"/>
        </w:rPr>
        <w:fldChar w:fldCharType="separate"/>
      </w:r>
      <w:r w:rsidR="00FF1077" w:rsidRPr="00FF1077">
        <w:rPr>
          <w:rFonts w:ascii="Times New Roman" w:hAnsi="Times New Roman"/>
          <w:noProof/>
          <w:sz w:val="24"/>
          <w:szCs w:val="24"/>
        </w:rPr>
        <w:t xml:space="preserve">(Thomas </w:t>
      </w:r>
      <w:r w:rsidR="00FF1077" w:rsidRPr="00FF1077">
        <w:rPr>
          <w:rFonts w:ascii="Times New Roman" w:hAnsi="Times New Roman"/>
          <w:i/>
          <w:noProof/>
          <w:sz w:val="24"/>
          <w:szCs w:val="24"/>
        </w:rPr>
        <w:t>et al</w:t>
      </w:r>
      <w:r w:rsidR="00FF1077" w:rsidRPr="00FF1077">
        <w:rPr>
          <w:rFonts w:ascii="Times New Roman" w:hAnsi="Times New Roman"/>
          <w:noProof/>
          <w:sz w:val="24"/>
          <w:szCs w:val="24"/>
        </w:rPr>
        <w:t xml:space="preserve"> 2019)</w:t>
      </w:r>
      <w:r>
        <w:rPr>
          <w:rFonts w:ascii="Times New Roman" w:hAnsi="Times New Roman"/>
          <w:sz w:val="24"/>
          <w:szCs w:val="24"/>
        </w:rPr>
        <w:fldChar w:fldCharType="end"/>
      </w:r>
      <w:r>
        <w:rPr>
          <w:rFonts w:ascii="Times New Roman" w:hAnsi="Times New Roman"/>
          <w:sz w:val="24"/>
          <w:szCs w:val="24"/>
        </w:rPr>
        <w:t xml:space="preserve">. There is </w:t>
      </w:r>
      <w:r w:rsidR="00906599">
        <w:rPr>
          <w:rFonts w:ascii="Times New Roman" w:hAnsi="Times New Roman"/>
          <w:sz w:val="24"/>
          <w:szCs w:val="24"/>
        </w:rPr>
        <w:t>a particularly important</w:t>
      </w:r>
      <w:r>
        <w:rPr>
          <w:rFonts w:ascii="Times New Roman" w:hAnsi="Times New Roman"/>
          <w:sz w:val="24"/>
          <w:szCs w:val="24"/>
        </w:rPr>
        <w:t xml:space="preserve"> need for more studies investigating insect population and community changes over large environmental and temporal gradients to better understand the impact of human land-use </w:t>
      </w:r>
      <w:r>
        <w:rPr>
          <w:rFonts w:ascii="Times New Roman" w:hAnsi="Times New Roman"/>
          <w:sz w:val="24"/>
          <w:szCs w:val="24"/>
        </w:rPr>
        <w:lastRenderedPageBreak/>
        <w:t>change on ecosystems and their function.</w:t>
      </w:r>
      <w:r w:rsidR="003F03E7">
        <w:rPr>
          <w:rFonts w:ascii="Times New Roman" w:hAnsi="Times New Roman"/>
          <w:sz w:val="24"/>
          <w:szCs w:val="24"/>
        </w:rPr>
        <w:t xml:space="preserve"> </w:t>
      </w:r>
      <w:r w:rsidR="002F178F">
        <w:rPr>
          <w:rFonts w:ascii="Times New Roman" w:hAnsi="Times New Roman"/>
          <w:sz w:val="24"/>
          <w:szCs w:val="24"/>
        </w:rPr>
        <w:t>Our results suggest that</w:t>
      </w:r>
      <w:r w:rsidR="002F178F" w:rsidRPr="00491853">
        <w:rPr>
          <w:rFonts w:ascii="Times New Roman" w:hAnsi="Times New Roman"/>
          <w:sz w:val="24"/>
          <w:szCs w:val="24"/>
        </w:rPr>
        <w:t xml:space="preserve"> </w:t>
      </w:r>
      <w:r w:rsidR="002F178F">
        <w:rPr>
          <w:rFonts w:ascii="Times New Roman" w:hAnsi="Times New Roman"/>
          <w:sz w:val="24"/>
          <w:szCs w:val="24"/>
        </w:rPr>
        <w:t xml:space="preserve">anthropogenic activities </w:t>
      </w:r>
      <w:r w:rsidR="001A26D6">
        <w:rPr>
          <w:rFonts w:ascii="Times New Roman" w:hAnsi="Times New Roman"/>
          <w:sz w:val="24"/>
          <w:szCs w:val="24"/>
        </w:rPr>
        <w:t xml:space="preserve">do </w:t>
      </w:r>
      <w:r w:rsidR="002F178F">
        <w:rPr>
          <w:rFonts w:ascii="Times New Roman" w:hAnsi="Times New Roman"/>
          <w:sz w:val="24"/>
          <w:szCs w:val="24"/>
        </w:rPr>
        <w:t xml:space="preserve">have </w:t>
      </w:r>
      <w:r w:rsidR="002F178F" w:rsidRPr="00491853">
        <w:rPr>
          <w:rFonts w:ascii="Times New Roman" w:hAnsi="Times New Roman"/>
          <w:sz w:val="24"/>
          <w:szCs w:val="24"/>
        </w:rPr>
        <w:t>clear impacts on termite mounds</w:t>
      </w:r>
      <w:r w:rsidR="001A26D6">
        <w:rPr>
          <w:rFonts w:ascii="Times New Roman" w:hAnsi="Times New Roman"/>
          <w:sz w:val="24"/>
          <w:szCs w:val="24"/>
        </w:rPr>
        <w:t>, but also demonstrate surprising levels of resistance to land-use change.</w:t>
      </w:r>
      <w:r w:rsidR="002F178F" w:rsidRPr="00491853">
        <w:rPr>
          <w:rFonts w:ascii="Times New Roman" w:hAnsi="Times New Roman"/>
          <w:sz w:val="24"/>
          <w:szCs w:val="24"/>
        </w:rPr>
        <w:t xml:space="preserve"> </w:t>
      </w:r>
      <w:r w:rsidR="001A26D6">
        <w:rPr>
          <w:rFonts w:ascii="Times New Roman" w:hAnsi="Times New Roman"/>
          <w:sz w:val="24"/>
          <w:szCs w:val="24"/>
        </w:rPr>
        <w:t>Th</w:t>
      </w:r>
      <w:r w:rsidR="001C3D58">
        <w:rPr>
          <w:rFonts w:ascii="Times New Roman" w:hAnsi="Times New Roman"/>
          <w:sz w:val="24"/>
          <w:szCs w:val="24"/>
        </w:rPr>
        <w:t>ese findings</w:t>
      </w:r>
      <w:r w:rsidR="002F178F" w:rsidRPr="00491853">
        <w:rPr>
          <w:rFonts w:ascii="Times New Roman" w:hAnsi="Times New Roman"/>
          <w:sz w:val="24"/>
          <w:szCs w:val="24"/>
        </w:rPr>
        <w:t xml:space="preserve"> highlight th</w:t>
      </w:r>
      <w:r w:rsidR="002F178F">
        <w:rPr>
          <w:rFonts w:ascii="Times New Roman" w:hAnsi="Times New Roman"/>
          <w:sz w:val="24"/>
          <w:szCs w:val="24"/>
        </w:rPr>
        <w:t>e</w:t>
      </w:r>
      <w:r w:rsidR="002F178F" w:rsidRPr="00491853">
        <w:rPr>
          <w:rFonts w:ascii="Times New Roman" w:hAnsi="Times New Roman"/>
          <w:sz w:val="24"/>
          <w:szCs w:val="24"/>
        </w:rPr>
        <w:t xml:space="preserve"> need for careful study </w:t>
      </w:r>
      <w:r w:rsidR="002F178F">
        <w:rPr>
          <w:rFonts w:ascii="Times New Roman" w:hAnsi="Times New Roman"/>
          <w:sz w:val="24"/>
          <w:szCs w:val="24"/>
        </w:rPr>
        <w:t xml:space="preserve">of </w:t>
      </w:r>
      <w:r w:rsidR="001C3D58">
        <w:rPr>
          <w:rFonts w:ascii="Times New Roman" w:hAnsi="Times New Roman"/>
          <w:sz w:val="24"/>
          <w:szCs w:val="24"/>
        </w:rPr>
        <w:t>changing insect communities, as well as the impacts</w:t>
      </w:r>
      <w:r w:rsidR="002F178F">
        <w:rPr>
          <w:rFonts w:ascii="Times New Roman" w:hAnsi="Times New Roman"/>
          <w:sz w:val="24"/>
          <w:szCs w:val="24"/>
        </w:rPr>
        <w:t xml:space="preserve"> </w:t>
      </w:r>
      <w:r w:rsidR="001C3D58">
        <w:rPr>
          <w:rFonts w:ascii="Times New Roman" w:hAnsi="Times New Roman"/>
          <w:sz w:val="24"/>
          <w:szCs w:val="24"/>
        </w:rPr>
        <w:t xml:space="preserve">these changes might </w:t>
      </w:r>
      <w:r w:rsidR="00A84A43">
        <w:rPr>
          <w:rFonts w:ascii="Times New Roman" w:hAnsi="Times New Roman"/>
          <w:sz w:val="24"/>
          <w:szCs w:val="24"/>
        </w:rPr>
        <w:t xml:space="preserve">have </w:t>
      </w:r>
      <w:r w:rsidR="000B69C7">
        <w:rPr>
          <w:rFonts w:ascii="Times New Roman" w:hAnsi="Times New Roman"/>
          <w:sz w:val="24"/>
          <w:szCs w:val="24"/>
        </w:rPr>
        <w:t>on</w:t>
      </w:r>
      <w:r w:rsidR="001C3D58">
        <w:rPr>
          <w:rFonts w:ascii="Times New Roman" w:hAnsi="Times New Roman"/>
          <w:sz w:val="24"/>
          <w:szCs w:val="24"/>
        </w:rPr>
        <w:t xml:space="preserve"> ecosystem function</w:t>
      </w:r>
      <w:r w:rsidR="006E70F1">
        <w:rPr>
          <w:rFonts w:ascii="Times New Roman" w:hAnsi="Times New Roman"/>
          <w:sz w:val="24"/>
          <w:szCs w:val="24"/>
        </w:rPr>
        <w:t>,</w:t>
      </w:r>
      <w:r w:rsidR="000B69C7">
        <w:rPr>
          <w:rFonts w:ascii="Times New Roman" w:hAnsi="Times New Roman"/>
          <w:sz w:val="24"/>
          <w:szCs w:val="24"/>
        </w:rPr>
        <w:t xml:space="preserve"> </w:t>
      </w:r>
      <w:r w:rsidR="002F178F" w:rsidRPr="00491853">
        <w:rPr>
          <w:rFonts w:ascii="Times New Roman" w:hAnsi="Times New Roman"/>
          <w:sz w:val="24"/>
          <w:szCs w:val="24"/>
        </w:rPr>
        <w:t xml:space="preserve">before allowing the rampant expansion of </w:t>
      </w:r>
      <w:r w:rsidR="00343887">
        <w:rPr>
          <w:rFonts w:ascii="Times New Roman" w:hAnsi="Times New Roman"/>
          <w:sz w:val="24"/>
          <w:szCs w:val="24"/>
        </w:rPr>
        <w:t xml:space="preserve">human </w:t>
      </w:r>
      <w:r w:rsidR="001C3D58">
        <w:rPr>
          <w:rFonts w:ascii="Times New Roman" w:hAnsi="Times New Roman"/>
          <w:sz w:val="24"/>
          <w:szCs w:val="24"/>
        </w:rPr>
        <w:t>activities</w:t>
      </w:r>
      <w:r w:rsidR="00135AE4">
        <w:rPr>
          <w:rFonts w:ascii="Times New Roman" w:hAnsi="Times New Roman"/>
          <w:sz w:val="24"/>
          <w:szCs w:val="24"/>
        </w:rPr>
        <w:t xml:space="preserve"> in natural environments</w:t>
      </w:r>
      <w:r w:rsidR="002F178F" w:rsidRPr="00491853">
        <w:rPr>
          <w:rFonts w:ascii="Times New Roman" w:hAnsi="Times New Roman"/>
          <w:sz w:val="24"/>
          <w:szCs w:val="24"/>
        </w:rPr>
        <w:t>.</w:t>
      </w:r>
      <w:r w:rsidR="002F178F">
        <w:rPr>
          <w:rFonts w:ascii="Times New Roman" w:hAnsi="Times New Roman"/>
          <w:sz w:val="24"/>
          <w:szCs w:val="24"/>
        </w:rPr>
        <w:t xml:space="preserve"> </w:t>
      </w:r>
    </w:p>
    <w:p w14:paraId="0808BB6E" w14:textId="168B72B8" w:rsidR="00421AD7" w:rsidRDefault="00421AD7" w:rsidP="00491853">
      <w:pPr>
        <w:spacing w:after="0" w:line="480" w:lineRule="auto"/>
        <w:rPr>
          <w:rFonts w:ascii="Times New Roman" w:hAnsi="Times New Roman"/>
          <w:sz w:val="24"/>
          <w:szCs w:val="24"/>
        </w:rPr>
      </w:pPr>
    </w:p>
    <w:p w14:paraId="4CCB3A18" w14:textId="781BBA0C" w:rsidR="00070187" w:rsidRDefault="00070187" w:rsidP="00070187">
      <w:pPr>
        <w:spacing w:after="0" w:line="480" w:lineRule="auto"/>
        <w:rPr>
          <w:rFonts w:ascii="Times New Roman" w:hAnsi="Times New Roman"/>
          <w:sz w:val="24"/>
          <w:szCs w:val="24"/>
        </w:rPr>
      </w:pPr>
      <w:r w:rsidRPr="00204E9F">
        <w:rPr>
          <w:rFonts w:ascii="Times New Roman" w:hAnsi="Times New Roman"/>
          <w:b/>
          <w:bCs/>
          <w:sz w:val="24"/>
          <w:szCs w:val="24"/>
          <w:lang w:val="en-GB"/>
        </w:rPr>
        <w:t>Author contributions:</w:t>
      </w:r>
      <w:r>
        <w:rPr>
          <w:rFonts w:ascii="Times New Roman" w:hAnsi="Times New Roman"/>
          <w:sz w:val="24"/>
          <w:szCs w:val="24"/>
          <w:lang w:val="en-GB"/>
        </w:rPr>
        <w:t xml:space="preserve"> </w:t>
      </w:r>
      <w:r>
        <w:rPr>
          <w:rFonts w:ascii="Times New Roman" w:hAnsi="Times New Roman"/>
          <w:sz w:val="24"/>
          <w:szCs w:val="24"/>
        </w:rPr>
        <w:t xml:space="preserve">GPA </w:t>
      </w:r>
      <w:r w:rsidR="004C3440">
        <w:rPr>
          <w:rFonts w:ascii="Times New Roman" w:hAnsi="Times New Roman"/>
          <w:sz w:val="24"/>
          <w:szCs w:val="24"/>
        </w:rPr>
        <w:t>led</w:t>
      </w:r>
      <w:r w:rsidR="004C3440" w:rsidRPr="002549C0">
        <w:rPr>
          <w:rFonts w:ascii="Times New Roman" w:hAnsi="Times New Roman"/>
          <w:sz w:val="24"/>
          <w:szCs w:val="24"/>
        </w:rPr>
        <w:t xml:space="preserve"> </w:t>
      </w:r>
      <w:r w:rsidRPr="002549C0">
        <w:rPr>
          <w:rFonts w:ascii="Times New Roman" w:hAnsi="Times New Roman"/>
          <w:sz w:val="24"/>
          <w:szCs w:val="24"/>
        </w:rPr>
        <w:t>the airborne data collection</w:t>
      </w:r>
      <w:r>
        <w:rPr>
          <w:rFonts w:ascii="Times New Roman" w:hAnsi="Times New Roman"/>
          <w:sz w:val="24"/>
          <w:szCs w:val="24"/>
        </w:rPr>
        <w:t xml:space="preserve"> and</w:t>
      </w:r>
      <w:r w:rsidRPr="002549C0">
        <w:rPr>
          <w:rFonts w:ascii="Times New Roman" w:hAnsi="Times New Roman"/>
          <w:sz w:val="24"/>
          <w:szCs w:val="24"/>
        </w:rPr>
        <w:t xml:space="preserve"> </w:t>
      </w:r>
      <w:r>
        <w:rPr>
          <w:rFonts w:ascii="Times New Roman" w:hAnsi="Times New Roman"/>
          <w:sz w:val="24"/>
          <w:szCs w:val="24"/>
        </w:rPr>
        <w:t xml:space="preserve">research </w:t>
      </w:r>
      <w:r w:rsidRPr="002549C0">
        <w:rPr>
          <w:rFonts w:ascii="Times New Roman" w:hAnsi="Times New Roman"/>
          <w:sz w:val="24"/>
          <w:szCs w:val="24"/>
        </w:rPr>
        <w:t>funding</w:t>
      </w:r>
      <w:r>
        <w:rPr>
          <w:rFonts w:ascii="Times New Roman" w:hAnsi="Times New Roman"/>
          <w:sz w:val="24"/>
          <w:szCs w:val="24"/>
        </w:rPr>
        <w:t>,</w:t>
      </w:r>
      <w:r>
        <w:rPr>
          <w:rFonts w:ascii="Times New Roman" w:hAnsi="Times New Roman"/>
          <w:sz w:val="24"/>
          <w:szCs w:val="24"/>
          <w:lang w:val="en-GB"/>
        </w:rPr>
        <w:t xml:space="preserve"> ABD and CLP developed the research questions, </w:t>
      </w:r>
      <w:r>
        <w:rPr>
          <w:rFonts w:ascii="Times New Roman" w:hAnsi="Times New Roman"/>
          <w:sz w:val="24"/>
          <w:szCs w:val="24"/>
        </w:rPr>
        <w:t>ABD and PGB</w:t>
      </w:r>
      <w:r w:rsidRPr="00204E9F">
        <w:rPr>
          <w:rFonts w:ascii="Times New Roman" w:hAnsi="Times New Roman"/>
          <w:sz w:val="24"/>
          <w:szCs w:val="24"/>
        </w:rPr>
        <w:t xml:space="preserve"> analyzed </w:t>
      </w:r>
      <w:r>
        <w:rPr>
          <w:rFonts w:ascii="Times New Roman" w:hAnsi="Times New Roman"/>
          <w:sz w:val="24"/>
          <w:szCs w:val="24"/>
        </w:rPr>
        <w:t>the data</w:t>
      </w:r>
      <w:r w:rsidRPr="00204E9F">
        <w:rPr>
          <w:rFonts w:ascii="Times New Roman" w:hAnsi="Times New Roman"/>
          <w:sz w:val="24"/>
          <w:szCs w:val="24"/>
        </w:rPr>
        <w:t>,</w:t>
      </w:r>
      <w:r>
        <w:rPr>
          <w:rFonts w:ascii="Times New Roman" w:hAnsi="Times New Roman"/>
          <w:sz w:val="24"/>
          <w:szCs w:val="24"/>
        </w:rPr>
        <w:t xml:space="preserve"> ABD</w:t>
      </w:r>
      <w:r w:rsidRPr="00204E9F">
        <w:rPr>
          <w:rFonts w:ascii="Times New Roman" w:hAnsi="Times New Roman"/>
          <w:sz w:val="24"/>
          <w:szCs w:val="24"/>
        </w:rPr>
        <w:t xml:space="preserve"> wrote the first draft of the manuscript, and all authors contributed </w:t>
      </w:r>
      <w:r>
        <w:rPr>
          <w:rFonts w:ascii="Times New Roman" w:hAnsi="Times New Roman"/>
          <w:sz w:val="24"/>
          <w:szCs w:val="24"/>
        </w:rPr>
        <w:t>to</w:t>
      </w:r>
      <w:r w:rsidRPr="00204E9F">
        <w:rPr>
          <w:rFonts w:ascii="Times New Roman" w:hAnsi="Times New Roman"/>
          <w:sz w:val="24"/>
          <w:szCs w:val="24"/>
        </w:rPr>
        <w:t xml:space="preserve"> revisions.</w:t>
      </w:r>
    </w:p>
    <w:p w14:paraId="7FC010FD" w14:textId="77777777" w:rsidR="00070187" w:rsidRDefault="00070187" w:rsidP="00070187">
      <w:pPr>
        <w:spacing w:after="0" w:line="480" w:lineRule="auto"/>
        <w:rPr>
          <w:rFonts w:ascii="Times New Roman" w:hAnsi="Times New Roman"/>
          <w:b/>
          <w:bCs/>
          <w:sz w:val="24"/>
          <w:szCs w:val="24"/>
        </w:rPr>
      </w:pPr>
    </w:p>
    <w:p w14:paraId="3267A254" w14:textId="698DCB60" w:rsidR="00070187" w:rsidRDefault="00070187" w:rsidP="00070187">
      <w:pPr>
        <w:spacing w:after="0" w:line="480" w:lineRule="auto"/>
        <w:rPr>
          <w:rFonts w:ascii="Times New Roman" w:hAnsi="Times New Roman"/>
          <w:sz w:val="24"/>
          <w:szCs w:val="24"/>
        </w:rPr>
      </w:pPr>
      <w:r w:rsidRPr="00C2331D">
        <w:rPr>
          <w:rFonts w:ascii="Times New Roman" w:hAnsi="Times New Roman"/>
          <w:b/>
          <w:bCs/>
          <w:sz w:val="24"/>
          <w:szCs w:val="24"/>
        </w:rPr>
        <w:t>Data accessibility:</w:t>
      </w:r>
      <w:r>
        <w:rPr>
          <w:rFonts w:ascii="Times New Roman" w:hAnsi="Times New Roman"/>
          <w:sz w:val="24"/>
          <w:szCs w:val="24"/>
        </w:rPr>
        <w:t xml:space="preserve"> Data and code supporting the results will be deposited in </w:t>
      </w:r>
      <w:proofErr w:type="spellStart"/>
      <w:r>
        <w:rPr>
          <w:rFonts w:ascii="Times New Roman" w:hAnsi="Times New Roman"/>
          <w:sz w:val="24"/>
          <w:szCs w:val="24"/>
        </w:rPr>
        <w:t>Github</w:t>
      </w:r>
      <w:proofErr w:type="spellEnd"/>
    </w:p>
    <w:p w14:paraId="520B20E9" w14:textId="77777777" w:rsidR="00421AD7" w:rsidRDefault="00421AD7">
      <w:pPr>
        <w:spacing w:after="0" w:line="480" w:lineRule="auto"/>
        <w:rPr>
          <w:rFonts w:ascii="Times New Roman" w:hAnsi="Times New Roman"/>
          <w:b/>
          <w:sz w:val="24"/>
          <w:szCs w:val="24"/>
        </w:rPr>
      </w:pPr>
    </w:p>
    <w:p w14:paraId="0FFA5C18" w14:textId="77777777" w:rsidR="00421AD7" w:rsidRDefault="00344831" w:rsidP="00505912">
      <w:pPr>
        <w:spacing w:after="0" w:line="480" w:lineRule="auto"/>
        <w:rPr>
          <w:rFonts w:ascii="Times New Roman" w:hAnsi="Times New Roman"/>
          <w:b/>
          <w:sz w:val="24"/>
          <w:szCs w:val="24"/>
        </w:rPr>
      </w:pPr>
      <w:r>
        <w:rPr>
          <w:rFonts w:ascii="Times New Roman" w:hAnsi="Times New Roman"/>
          <w:b/>
          <w:sz w:val="24"/>
          <w:szCs w:val="24"/>
        </w:rPr>
        <w:t>Acknowledgements</w:t>
      </w:r>
    </w:p>
    <w:p w14:paraId="13707F97" w14:textId="22F049D0" w:rsidR="0033107A" w:rsidRDefault="0064573B" w:rsidP="00505912">
      <w:pPr>
        <w:autoSpaceDE w:val="0"/>
        <w:autoSpaceDN w:val="0"/>
        <w:adjustRightInd w:val="0"/>
        <w:spacing w:after="0" w:line="480" w:lineRule="auto"/>
        <w:rPr>
          <w:rFonts w:ascii="AppleSystemUIFont" w:hAnsi="AppleSystemUIFont" w:cs="AppleSystemUIFont"/>
          <w:sz w:val="24"/>
          <w:szCs w:val="24"/>
        </w:rPr>
      </w:pPr>
      <w:r>
        <w:rPr>
          <w:rFonts w:ascii="Times New Roman" w:hAnsi="Times New Roman"/>
          <w:sz w:val="24"/>
          <w:szCs w:val="24"/>
          <w:lang w:val="en-GB"/>
        </w:rPr>
        <w:t xml:space="preserve">Penelope </w:t>
      </w:r>
      <w:proofErr w:type="spellStart"/>
      <w:r>
        <w:rPr>
          <w:rFonts w:ascii="Times New Roman" w:hAnsi="Times New Roman"/>
          <w:sz w:val="24"/>
          <w:szCs w:val="24"/>
          <w:lang w:val="en-GB"/>
        </w:rPr>
        <w:t>Mograbi</w:t>
      </w:r>
      <w:proofErr w:type="spellEnd"/>
      <w:r>
        <w:rPr>
          <w:rFonts w:ascii="Times New Roman" w:hAnsi="Times New Roman"/>
          <w:sz w:val="24"/>
          <w:szCs w:val="24"/>
          <w:lang w:val="en-GB"/>
        </w:rPr>
        <w:t xml:space="preserve"> is thanked for helpful comments on an earlier version of the manuscript</w:t>
      </w:r>
      <w:r>
        <w:rPr>
          <w:rFonts w:ascii="Times New Roman" w:hAnsi="Times New Roman"/>
          <w:sz w:val="24"/>
          <w:szCs w:val="24"/>
        </w:rPr>
        <w:t xml:space="preserve"> </w:t>
      </w:r>
      <w:r w:rsidR="00344831">
        <w:rPr>
          <w:rFonts w:ascii="Times New Roman" w:hAnsi="Times New Roman"/>
          <w:sz w:val="24"/>
          <w:szCs w:val="24"/>
        </w:rPr>
        <w:t xml:space="preserve">The Andrew Mellon Foundation, the South African Council for Scientific and Industrial Research (CSIR) Strategic Research Panel and the </w:t>
      </w:r>
      <w:r w:rsidR="00D93F07">
        <w:rPr>
          <w:rFonts w:ascii="Times New Roman" w:hAnsi="Times New Roman"/>
          <w:sz w:val="24"/>
          <w:szCs w:val="24"/>
        </w:rPr>
        <w:t xml:space="preserve">South African Government </w:t>
      </w:r>
      <w:r w:rsidR="00344831">
        <w:rPr>
          <w:rFonts w:ascii="Times New Roman" w:hAnsi="Times New Roman"/>
          <w:sz w:val="24"/>
          <w:szCs w:val="24"/>
        </w:rPr>
        <w:t>Department of Science and Technology (DST)</w:t>
      </w:r>
      <w:r w:rsidR="00D93F07">
        <w:rPr>
          <w:rFonts w:ascii="Times New Roman" w:hAnsi="Times New Roman"/>
          <w:sz w:val="24"/>
          <w:szCs w:val="24"/>
        </w:rPr>
        <w:t xml:space="preserve">, </w:t>
      </w:r>
      <w:r w:rsidR="00344831">
        <w:rPr>
          <w:rFonts w:ascii="Times New Roman" w:hAnsi="Times New Roman"/>
          <w:sz w:val="24"/>
          <w:szCs w:val="24"/>
        </w:rPr>
        <w:t>funded the LiDAR data collection used in this study</w:t>
      </w:r>
      <w:r w:rsidR="009729AA">
        <w:rPr>
          <w:rFonts w:ascii="Times New Roman" w:hAnsi="Times New Roman"/>
          <w:sz w:val="24"/>
          <w:szCs w:val="24"/>
          <w:lang w:val="en-GB"/>
        </w:rPr>
        <w:t xml:space="preserve">. </w:t>
      </w:r>
      <w:r w:rsidR="0033107A" w:rsidRPr="00505912">
        <w:rPr>
          <w:rFonts w:ascii="Times New Roman" w:hAnsi="Times New Roman"/>
          <w:sz w:val="24"/>
          <w:szCs w:val="24"/>
        </w:rPr>
        <w:t>The Global Airborne Observatory is made possible by support provided by private foundations, visionary individuals, and Arizona State University.</w:t>
      </w:r>
    </w:p>
    <w:p w14:paraId="0BBCC610" w14:textId="070D3B71" w:rsidR="004D580D" w:rsidRDefault="004D580D" w:rsidP="00505912">
      <w:pPr>
        <w:spacing w:after="0" w:line="480" w:lineRule="auto"/>
        <w:rPr>
          <w:rFonts w:ascii="Times New Roman" w:hAnsi="Times New Roman"/>
          <w:sz w:val="24"/>
          <w:szCs w:val="24"/>
          <w:lang w:val="en-GB"/>
        </w:rPr>
      </w:pPr>
    </w:p>
    <w:p w14:paraId="24019A97" w14:textId="77777777" w:rsidR="004D580D" w:rsidRPr="00444F31" w:rsidRDefault="004D580D" w:rsidP="004D580D">
      <w:pPr>
        <w:spacing w:after="0" w:line="480" w:lineRule="auto"/>
        <w:rPr>
          <w:rFonts w:ascii="Times New Roman" w:hAnsi="Times New Roman"/>
          <w:b/>
          <w:sz w:val="24"/>
          <w:szCs w:val="24"/>
        </w:rPr>
      </w:pPr>
      <w:r w:rsidRPr="00444F31">
        <w:rPr>
          <w:rFonts w:ascii="Times New Roman" w:hAnsi="Times New Roman"/>
          <w:b/>
          <w:sz w:val="24"/>
          <w:szCs w:val="24"/>
          <w:lang w:val="en-GB"/>
        </w:rPr>
        <w:t>References</w:t>
      </w:r>
    </w:p>
    <w:p w14:paraId="7E0151C8" w14:textId="40BB9423" w:rsidR="0071041F" w:rsidRPr="0071041F" w:rsidRDefault="004D580D" w:rsidP="0071041F">
      <w:pPr>
        <w:widowControl w:val="0"/>
        <w:autoSpaceDE w:val="0"/>
        <w:autoSpaceDN w:val="0"/>
        <w:adjustRightInd w:val="0"/>
        <w:spacing w:after="0" w:line="480" w:lineRule="auto"/>
        <w:ind w:left="480" w:hanging="480"/>
        <w:rPr>
          <w:rFonts w:ascii="Times New Roman" w:hAnsi="Times New Roman" w:cs="Times New Roman"/>
          <w:noProof/>
          <w:sz w:val="24"/>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0071041F" w:rsidRPr="0071041F">
        <w:rPr>
          <w:rFonts w:ascii="Times New Roman" w:hAnsi="Times New Roman" w:cs="Times New Roman"/>
          <w:noProof/>
          <w:sz w:val="24"/>
        </w:rPr>
        <w:t xml:space="preserve">Ashton L A, Griffiths H M, Parr C L, Evans T A, Didham R K, Hasan F, Teh Y A, Tin H S, Vairappan C S and Eggleton P 2019 Termites mitigate the effects of drought in tropical </w:t>
      </w:r>
      <w:r w:rsidR="0071041F" w:rsidRPr="0071041F">
        <w:rPr>
          <w:rFonts w:ascii="Times New Roman" w:hAnsi="Times New Roman" w:cs="Times New Roman"/>
          <w:noProof/>
          <w:sz w:val="24"/>
        </w:rPr>
        <w:lastRenderedPageBreak/>
        <w:t xml:space="preserve">rainforest </w:t>
      </w:r>
      <w:r w:rsidR="0071041F" w:rsidRPr="0071041F">
        <w:rPr>
          <w:rFonts w:ascii="Times New Roman" w:hAnsi="Times New Roman" w:cs="Times New Roman"/>
          <w:i/>
          <w:iCs/>
          <w:noProof/>
          <w:sz w:val="24"/>
        </w:rPr>
        <w:t>Science (80-. ).</w:t>
      </w:r>
      <w:r w:rsidR="0071041F" w:rsidRPr="0071041F">
        <w:rPr>
          <w:rFonts w:ascii="Times New Roman" w:hAnsi="Times New Roman" w:cs="Times New Roman"/>
          <w:noProof/>
          <w:sz w:val="24"/>
        </w:rPr>
        <w:t xml:space="preserve"> </w:t>
      </w:r>
      <w:r w:rsidR="0071041F" w:rsidRPr="0071041F">
        <w:rPr>
          <w:rFonts w:ascii="Times New Roman" w:hAnsi="Times New Roman" w:cs="Times New Roman"/>
          <w:b/>
          <w:bCs/>
          <w:noProof/>
          <w:sz w:val="24"/>
        </w:rPr>
        <w:t>363</w:t>
      </w:r>
      <w:r w:rsidR="0071041F" w:rsidRPr="0071041F">
        <w:rPr>
          <w:rFonts w:ascii="Times New Roman" w:hAnsi="Times New Roman" w:cs="Times New Roman"/>
          <w:noProof/>
          <w:sz w:val="24"/>
        </w:rPr>
        <w:t xml:space="preserve"> 174–7 Online: http://science.sciencemag.org/content/363/6423/174.abstract</w:t>
      </w:r>
    </w:p>
    <w:p w14:paraId="13AB5048"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Asner G P, Knapp D E, Kennedy-Bowdoin T, Jones M O, Martin R E, Boardman J and Field C B 2007 Carnegie Airborne Observatory: in-flight fusion of hyperspectral imaging and waveform light detection and ranging for three-dimensional studies of ecosystems </w:t>
      </w:r>
      <w:r w:rsidRPr="0071041F">
        <w:rPr>
          <w:rFonts w:ascii="Times New Roman" w:hAnsi="Times New Roman" w:cs="Times New Roman"/>
          <w:i/>
          <w:iCs/>
          <w:noProof/>
          <w:sz w:val="24"/>
        </w:rPr>
        <w:t>J. Appl. Remote Sens.</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w:t>
      </w:r>
      <w:r w:rsidRPr="0071041F">
        <w:rPr>
          <w:rFonts w:ascii="Times New Roman" w:hAnsi="Times New Roman" w:cs="Times New Roman"/>
          <w:noProof/>
          <w:sz w:val="24"/>
        </w:rPr>
        <w:t xml:space="preserve"> 13536 Online: http://dx.doi.org/10.1117/1.2794018</w:t>
      </w:r>
    </w:p>
    <w:p w14:paraId="2E339FE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Asner G P, Levick S R, Kennedy-Bowdoin T, Knapp D E, Emerson R, Jacobson J, Colgan M S and Martin R E 2009 Large-scale impacts of herbivores on the structural diversity of African savannas </w:t>
      </w:r>
      <w:r w:rsidRPr="0071041F">
        <w:rPr>
          <w:rFonts w:ascii="Times New Roman" w:hAnsi="Times New Roman" w:cs="Times New Roman"/>
          <w:i/>
          <w:iCs/>
          <w:noProof/>
          <w:sz w:val="24"/>
        </w:rPr>
        <w:t>Proc. Natl. Acad. Sci. USA</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106</w:t>
      </w:r>
      <w:r w:rsidRPr="0071041F">
        <w:rPr>
          <w:rFonts w:ascii="Times New Roman" w:hAnsi="Times New Roman" w:cs="Times New Roman"/>
          <w:noProof/>
          <w:sz w:val="24"/>
        </w:rPr>
        <w:t xml:space="preserve"> 4947–52</w:t>
      </w:r>
    </w:p>
    <w:p w14:paraId="0D8AB1F9"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Baddeley A and Turner R 2005 spatstat: An R Package for Analyzing Spatial Point Patterns. R-package version: 1.42-2 </w:t>
      </w:r>
      <w:r w:rsidRPr="0071041F">
        <w:rPr>
          <w:rFonts w:ascii="Times New Roman" w:hAnsi="Times New Roman" w:cs="Times New Roman"/>
          <w:i/>
          <w:iCs/>
          <w:noProof/>
          <w:sz w:val="24"/>
        </w:rPr>
        <w:t>J. Stat. Softw.</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12</w:t>
      </w:r>
      <w:r w:rsidRPr="0071041F">
        <w:rPr>
          <w:rFonts w:ascii="Times New Roman" w:hAnsi="Times New Roman" w:cs="Times New Roman"/>
          <w:noProof/>
          <w:sz w:val="24"/>
        </w:rPr>
        <w:t xml:space="preserve"> 1–42 Online: https://user2015.math.aau.dk/docs/tutorials/spatstat.pdf</w:t>
      </w:r>
    </w:p>
    <w:p w14:paraId="1CDA4865"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Bonachela J A, Pringle R M, Sheffer E, Coverdale T C, Guyton J A, Caylor K K, Levin S A and Tarnita C E 2015 Termite mounds can increase the robustness of dryland ecosystems to climatic change </w:t>
      </w:r>
      <w:r w:rsidRPr="0071041F">
        <w:rPr>
          <w:rFonts w:ascii="Times New Roman" w:hAnsi="Times New Roman" w:cs="Times New Roman"/>
          <w:i/>
          <w:iCs/>
          <w:noProof/>
          <w:sz w:val="24"/>
        </w:rPr>
        <w:t>Science (80-. ).</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347</w:t>
      </w:r>
      <w:r w:rsidRPr="0071041F">
        <w:rPr>
          <w:rFonts w:ascii="Times New Roman" w:hAnsi="Times New Roman" w:cs="Times New Roman"/>
          <w:noProof/>
          <w:sz w:val="24"/>
        </w:rPr>
        <w:t xml:space="preserve"> 651 LP – 655 Online: http://science.sciencemag.org/content/347/6222/651.abstract</w:t>
      </w:r>
    </w:p>
    <w:p w14:paraId="7D18013C"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Brodrick P G, Davies A B and Asner G P 2019 Uncovering Ecological Patterns with Convolutional Neural Networks </w:t>
      </w:r>
      <w:r w:rsidRPr="0071041F">
        <w:rPr>
          <w:rFonts w:ascii="Times New Roman" w:hAnsi="Times New Roman" w:cs="Times New Roman"/>
          <w:i/>
          <w:iCs/>
          <w:noProof/>
          <w:sz w:val="24"/>
        </w:rPr>
        <w:t>Trends Ecol. Evol.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34</w:t>
      </w:r>
      <w:r w:rsidRPr="0071041F">
        <w:rPr>
          <w:rFonts w:ascii="Times New Roman" w:hAnsi="Times New Roman" w:cs="Times New Roman"/>
          <w:noProof/>
          <w:sz w:val="24"/>
        </w:rPr>
        <w:t xml:space="preserve"> 734–45 Online: http://www.ncbi.nlm.nih.gov/pubmed/31078331</w:t>
      </w:r>
    </w:p>
    <w:p w14:paraId="1CF463FE"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Cardinale B J, Duffy J E, Gonzalez A, Hooper D U, Perrings C, Venail P, Narwani A, Mace G M, Tilman D, Wardle D A, Kinzig A P, Daily G C, Loreau M, Grace J B, Larigauderie A, Srivastava D S and Naeem S 2012 Biodiversity loss and its impact on humanity </w:t>
      </w:r>
      <w:r w:rsidRPr="0071041F">
        <w:rPr>
          <w:rFonts w:ascii="Times New Roman" w:hAnsi="Times New Roman" w:cs="Times New Roman"/>
          <w:i/>
          <w:iCs/>
          <w:noProof/>
          <w:sz w:val="24"/>
        </w:rPr>
        <w:t>Nature</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486</w:t>
      </w:r>
      <w:r w:rsidRPr="0071041F">
        <w:rPr>
          <w:rFonts w:ascii="Times New Roman" w:hAnsi="Times New Roman" w:cs="Times New Roman"/>
          <w:noProof/>
          <w:sz w:val="24"/>
        </w:rPr>
        <w:t xml:space="preserve"> 59–67 Online: http://www.nature.com/articles/nature11148</w:t>
      </w:r>
    </w:p>
    <w:p w14:paraId="66ACD13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lastRenderedPageBreak/>
        <w:t xml:space="preserve">Ceballos G and Ehrlich P R 2002 Mammal Population Losses and the Extinction Crisis </w:t>
      </w:r>
      <w:r w:rsidRPr="0071041F">
        <w:rPr>
          <w:rFonts w:ascii="Times New Roman" w:hAnsi="Times New Roman" w:cs="Times New Roman"/>
          <w:i/>
          <w:iCs/>
          <w:noProof/>
          <w:sz w:val="24"/>
        </w:rPr>
        <w:t>Science (80-. ).</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296</w:t>
      </w:r>
      <w:r w:rsidRPr="0071041F">
        <w:rPr>
          <w:rFonts w:ascii="Times New Roman" w:hAnsi="Times New Roman" w:cs="Times New Roman"/>
          <w:noProof/>
          <w:sz w:val="24"/>
        </w:rPr>
        <w:t xml:space="preserve"> 904 LP – 907 Online: http://science.sciencemag.org/content/296/5569/904.abstract</w:t>
      </w:r>
    </w:p>
    <w:p w14:paraId="0EE382A1"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Chapin III F S, Zavaleta E S, Eviner V T, Naylor R L, Vitousek P M, Reynolds H L, Hooper D U, Lavorel S, Sala O E, Hobbie S E, Mack M C and Díaz S 2000 Consequences of changing biodiversity </w:t>
      </w:r>
      <w:r w:rsidRPr="0071041F">
        <w:rPr>
          <w:rFonts w:ascii="Times New Roman" w:hAnsi="Times New Roman" w:cs="Times New Roman"/>
          <w:i/>
          <w:iCs/>
          <w:noProof/>
          <w:sz w:val="24"/>
        </w:rPr>
        <w:t>Nature</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405</w:t>
      </w:r>
      <w:r w:rsidRPr="0071041F">
        <w:rPr>
          <w:rFonts w:ascii="Times New Roman" w:hAnsi="Times New Roman" w:cs="Times New Roman"/>
          <w:noProof/>
          <w:sz w:val="24"/>
        </w:rPr>
        <w:t xml:space="preserve"> 234 Online: https://doi.org/10.1038/35012241</w:t>
      </w:r>
    </w:p>
    <w:p w14:paraId="491704D3"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Davies A B, Baldeck C A and Asner G P 2016a Termite mounds alter the spatial distribution of African savanna tree species </w:t>
      </w:r>
      <w:r w:rsidRPr="0071041F">
        <w:rPr>
          <w:rFonts w:ascii="Times New Roman" w:hAnsi="Times New Roman" w:cs="Times New Roman"/>
          <w:i/>
          <w:iCs/>
          <w:noProof/>
          <w:sz w:val="24"/>
        </w:rPr>
        <w:t>J. Biogeogr.</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43</w:t>
      </w:r>
      <w:r w:rsidRPr="0071041F">
        <w:rPr>
          <w:rFonts w:ascii="Times New Roman" w:hAnsi="Times New Roman" w:cs="Times New Roman"/>
          <w:noProof/>
          <w:sz w:val="24"/>
        </w:rPr>
        <w:t xml:space="preserve"> 301–13 Online: http://dx.doi.org/10.1111/jbi.12633</w:t>
      </w:r>
    </w:p>
    <w:p w14:paraId="1320DE2F"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Davies A B, Eggleton P, van Rensburg B J and Parr C L 2012 The pyrodiversity–biodiversity hypothesis: a test with savanna termite assemblages </w:t>
      </w:r>
      <w:r w:rsidRPr="0071041F">
        <w:rPr>
          <w:rFonts w:ascii="Times New Roman" w:hAnsi="Times New Roman" w:cs="Times New Roman"/>
          <w:i/>
          <w:iCs/>
          <w:noProof/>
          <w:sz w:val="24"/>
        </w:rPr>
        <w:t>J. Appl. Ecol.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49</w:t>
      </w:r>
      <w:r w:rsidRPr="0071041F">
        <w:rPr>
          <w:rFonts w:ascii="Times New Roman" w:hAnsi="Times New Roman" w:cs="Times New Roman"/>
          <w:noProof/>
          <w:sz w:val="24"/>
        </w:rPr>
        <w:t xml:space="preserve"> 422–30 Online: http://dx.doi.org/10.1111/j.1365-2664.2012.02107.x</w:t>
      </w:r>
    </w:p>
    <w:p w14:paraId="6EF86825"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Davies A B, Levick S R, Asner G P, Robertson M P, van Rensburg B J and Parr C L 2014a Spatial variability and abiotic determinants of termite mounds throughout a savanna catchment </w:t>
      </w:r>
      <w:r w:rsidRPr="0071041F">
        <w:rPr>
          <w:rFonts w:ascii="Times New Roman" w:hAnsi="Times New Roman" w:cs="Times New Roman"/>
          <w:i/>
          <w:iCs/>
          <w:noProof/>
          <w:sz w:val="24"/>
        </w:rPr>
        <w:t>Ecography (Cop.).</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37</w:t>
      </w:r>
      <w:r w:rsidRPr="0071041F">
        <w:rPr>
          <w:rFonts w:ascii="Times New Roman" w:hAnsi="Times New Roman" w:cs="Times New Roman"/>
          <w:noProof/>
          <w:sz w:val="24"/>
        </w:rPr>
        <w:t xml:space="preserve"> 852–62</w:t>
      </w:r>
    </w:p>
    <w:p w14:paraId="4AC040B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Davies A B, Levick S R, Robertson M P, van Rensburg B J, Asner G P and Parr C L 2016b Termite mounds differ in their importance for herbivores across savanna types, seasons and spatial scales </w:t>
      </w:r>
      <w:r w:rsidRPr="0071041F">
        <w:rPr>
          <w:rFonts w:ascii="Times New Roman" w:hAnsi="Times New Roman" w:cs="Times New Roman"/>
          <w:i/>
          <w:iCs/>
          <w:noProof/>
          <w:sz w:val="24"/>
        </w:rPr>
        <w:t>Oikos</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125</w:t>
      </w:r>
      <w:r w:rsidRPr="0071041F">
        <w:rPr>
          <w:rFonts w:ascii="Times New Roman" w:hAnsi="Times New Roman" w:cs="Times New Roman"/>
          <w:noProof/>
          <w:sz w:val="24"/>
        </w:rPr>
        <w:t xml:space="preserve"> 726–34</w:t>
      </w:r>
    </w:p>
    <w:p w14:paraId="4C7E737B"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Davies A B, Robertson M P, Levick S R, Asner G P, van Rensburg B J and Parr C L 2014b Variable effects of termite mounds on African savanna grass communities across a rainfall gradient ed F Gilliam </w:t>
      </w:r>
      <w:r w:rsidRPr="0071041F">
        <w:rPr>
          <w:rFonts w:ascii="Times New Roman" w:hAnsi="Times New Roman" w:cs="Times New Roman"/>
          <w:i/>
          <w:iCs/>
          <w:noProof/>
          <w:sz w:val="24"/>
        </w:rPr>
        <w:t>J. Veg. Sci.</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25</w:t>
      </w:r>
      <w:r w:rsidRPr="0071041F">
        <w:rPr>
          <w:rFonts w:ascii="Times New Roman" w:hAnsi="Times New Roman" w:cs="Times New Roman"/>
          <w:noProof/>
          <w:sz w:val="24"/>
        </w:rPr>
        <w:t xml:space="preserve"> 1405–16 Online: http://doi.wiley.com/10.1111/jvs.12200</w:t>
      </w:r>
    </w:p>
    <w:p w14:paraId="2A2123D4"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Dosso K, Deligne J, Yéo K, Konaté S and Linsenmair K E 2013 Changes in the termite </w:t>
      </w:r>
      <w:r w:rsidRPr="0071041F">
        <w:rPr>
          <w:rFonts w:ascii="Times New Roman" w:hAnsi="Times New Roman" w:cs="Times New Roman"/>
          <w:noProof/>
          <w:sz w:val="24"/>
        </w:rPr>
        <w:lastRenderedPageBreak/>
        <w:t xml:space="preserve">assemblage across a sequence of land-use systems in the rural area around Lamto Reserve in central Côte d’Ivoire </w:t>
      </w:r>
      <w:r w:rsidRPr="0071041F">
        <w:rPr>
          <w:rFonts w:ascii="Times New Roman" w:hAnsi="Times New Roman" w:cs="Times New Roman"/>
          <w:i/>
          <w:iCs/>
          <w:noProof/>
          <w:sz w:val="24"/>
        </w:rPr>
        <w:t>J. Insect Conserv.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17</w:t>
      </w:r>
      <w:r w:rsidRPr="0071041F">
        <w:rPr>
          <w:rFonts w:ascii="Times New Roman" w:hAnsi="Times New Roman" w:cs="Times New Roman"/>
          <w:noProof/>
          <w:sz w:val="24"/>
        </w:rPr>
        <w:t xml:space="preserve"> 1047–57</w:t>
      </w:r>
    </w:p>
    <w:p w14:paraId="5468564E"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Eggleton P, Bignell D E, Sands W A, Mawdsley N A, Lawton J H, Wood T G and Bignell N C 1996 The diversity, abundance and biomass of termites under differeing levels of disturbance in the Mbalmayo Forest Reserve, southern Cameroon </w:t>
      </w:r>
      <w:r w:rsidRPr="0071041F">
        <w:rPr>
          <w:rFonts w:ascii="Times New Roman" w:hAnsi="Times New Roman" w:cs="Times New Roman"/>
          <w:i/>
          <w:iCs/>
          <w:noProof/>
          <w:sz w:val="24"/>
        </w:rPr>
        <w:t>Philos. Trans. R. Soc. London B</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351</w:t>
      </w:r>
      <w:r w:rsidRPr="0071041F">
        <w:rPr>
          <w:rFonts w:ascii="Times New Roman" w:hAnsi="Times New Roman" w:cs="Times New Roman"/>
          <w:noProof/>
          <w:sz w:val="24"/>
        </w:rPr>
        <w:t xml:space="preserve"> 51–68</w:t>
      </w:r>
    </w:p>
    <w:p w14:paraId="41C3C374"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Erens H, Boudin M, Mees F, Mujinya B B, Baert G, Van Strydonck M, Boeckx P and Van Ranst E 2015 The age of large termite mounds—radiocarbon dating of Macrotermes falciger mounds of the Miombo woodland of Katanga, DR Congo </w:t>
      </w:r>
      <w:r w:rsidRPr="0071041F">
        <w:rPr>
          <w:rFonts w:ascii="Times New Roman" w:hAnsi="Times New Roman" w:cs="Times New Roman"/>
          <w:i/>
          <w:iCs/>
          <w:noProof/>
          <w:sz w:val="24"/>
        </w:rPr>
        <w:t>Palaeogeogr. Palaeoclimatol. Palaeoecol.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435</w:t>
      </w:r>
      <w:r w:rsidRPr="0071041F">
        <w:rPr>
          <w:rFonts w:ascii="Times New Roman" w:hAnsi="Times New Roman" w:cs="Times New Roman"/>
          <w:noProof/>
          <w:sz w:val="24"/>
        </w:rPr>
        <w:t xml:space="preserve"> 265–71</w:t>
      </w:r>
    </w:p>
    <w:p w14:paraId="0E2E202C"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Evans T A, Dawes T Z, Ward P R and Lo N 2011 Ants and termites increase crop yield in a dry climate </w:t>
      </w:r>
      <w:r w:rsidRPr="0071041F">
        <w:rPr>
          <w:rFonts w:ascii="Times New Roman" w:hAnsi="Times New Roman" w:cs="Times New Roman"/>
          <w:i/>
          <w:iCs/>
          <w:noProof/>
          <w:sz w:val="24"/>
        </w:rPr>
        <w:t>Nat Commun</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w:t>
      </w:r>
      <w:r w:rsidRPr="0071041F">
        <w:rPr>
          <w:rFonts w:ascii="Times New Roman" w:hAnsi="Times New Roman" w:cs="Times New Roman"/>
          <w:noProof/>
          <w:sz w:val="24"/>
        </w:rPr>
        <w:t xml:space="preserve"> 262 Online: http://dx.doi.org/10.1038/ncomms1257</w:t>
      </w:r>
    </w:p>
    <w:p w14:paraId="1A94E219"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Evans T A and Kasseney B D 2019 The dominance hierarchy of wood-eating termites from China </w:t>
      </w:r>
      <w:r w:rsidRPr="0071041F">
        <w:rPr>
          <w:rFonts w:ascii="Times New Roman" w:hAnsi="Times New Roman" w:cs="Times New Roman"/>
          <w:i/>
          <w:iCs/>
          <w:noProof/>
          <w:sz w:val="24"/>
        </w:rPr>
        <w:t>Insects</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10</w:t>
      </w:r>
      <w:r w:rsidRPr="0071041F">
        <w:rPr>
          <w:rFonts w:ascii="Times New Roman" w:hAnsi="Times New Roman" w:cs="Times New Roman"/>
          <w:noProof/>
          <w:sz w:val="24"/>
        </w:rPr>
        <w:t xml:space="preserve"> 210 Online: https://www.mdpi.com/2075-4450/10/7/210</w:t>
      </w:r>
    </w:p>
    <w:p w14:paraId="5CB28FB4"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Flynn D F B, Gogol-Prokurat M, Nogeire T, Molinari N, Richers B T, Lin B B, Simpson N, Mayfield M M and DeClerck F 2009 Loss of functional diversity under land use intensification across multiple taxa </w:t>
      </w:r>
      <w:r w:rsidRPr="0071041F">
        <w:rPr>
          <w:rFonts w:ascii="Times New Roman" w:hAnsi="Times New Roman" w:cs="Times New Roman"/>
          <w:i/>
          <w:iCs/>
          <w:noProof/>
          <w:sz w:val="24"/>
        </w:rPr>
        <w:t>Ecol. Lett.</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12</w:t>
      </w:r>
      <w:r w:rsidRPr="0071041F">
        <w:rPr>
          <w:rFonts w:ascii="Times New Roman" w:hAnsi="Times New Roman" w:cs="Times New Roman"/>
          <w:noProof/>
          <w:sz w:val="24"/>
        </w:rPr>
        <w:t xml:space="preserve"> 22–33 Online: https://doi.org/10.1111/j.1461-0248.2008.01255.x</w:t>
      </w:r>
    </w:p>
    <w:p w14:paraId="493FD63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Foley J A, DeFries R, Asner G P, Barford C, Bonan G, Carpenter S R, Chapin F S, Coe M T, Daily G C, Gibbs H K, Helkowski J H, Holloway T, Howard E A, Kucharik C J, Monfreda C, Patz J A, Prentice I C, Ramankutty N and Snyder P K 2005 Global Consequences of Land Use </w:t>
      </w:r>
      <w:r w:rsidRPr="0071041F">
        <w:rPr>
          <w:rFonts w:ascii="Times New Roman" w:hAnsi="Times New Roman" w:cs="Times New Roman"/>
          <w:i/>
          <w:iCs/>
          <w:noProof/>
          <w:sz w:val="24"/>
        </w:rPr>
        <w:t>Science (80-. ).</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309</w:t>
      </w:r>
      <w:r w:rsidRPr="0071041F">
        <w:rPr>
          <w:rFonts w:ascii="Times New Roman" w:hAnsi="Times New Roman" w:cs="Times New Roman"/>
          <w:noProof/>
          <w:sz w:val="24"/>
        </w:rPr>
        <w:t xml:space="preserve"> 570 LP – 574 Online: http://science.sciencemag.org/content/309/5734/570.abstract</w:t>
      </w:r>
    </w:p>
    <w:p w14:paraId="3108DB8F"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lastRenderedPageBreak/>
        <w:t xml:space="preserve">Hagan J G, du Toit J C and Cramer M D 2017 Long-term livestock grazing increases the recruitment success of epigeal termites: insights from a &gt;75-year grazing experiment in the Karoo, South Africa </w:t>
      </w:r>
      <w:r w:rsidRPr="0071041F">
        <w:rPr>
          <w:rFonts w:ascii="Times New Roman" w:hAnsi="Times New Roman" w:cs="Times New Roman"/>
          <w:i/>
          <w:iCs/>
          <w:noProof/>
          <w:sz w:val="24"/>
        </w:rPr>
        <w:t>African J. Range Forage Sci.</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34</w:t>
      </w:r>
      <w:r w:rsidRPr="0071041F">
        <w:rPr>
          <w:rFonts w:ascii="Times New Roman" w:hAnsi="Times New Roman" w:cs="Times New Roman"/>
          <w:noProof/>
          <w:sz w:val="24"/>
        </w:rPr>
        <w:t xml:space="preserve"> 123–32 Online: https://www.tandfonline.com/doi/full/10.2989/10220119.2017.1314981</w:t>
      </w:r>
    </w:p>
    <w:p w14:paraId="3BDBDAE9"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Jones D T, Susilo F X, Bignell D E, Hardiwinoto S, Gillison A N and Eggleton P 2003 Termite assemblage collapse along a land-use intensification gradient in lowland central Sumatra, Indonesia </w:t>
      </w:r>
      <w:r w:rsidRPr="0071041F">
        <w:rPr>
          <w:rFonts w:ascii="Times New Roman" w:hAnsi="Times New Roman" w:cs="Times New Roman"/>
          <w:i/>
          <w:iCs/>
          <w:noProof/>
          <w:sz w:val="24"/>
        </w:rPr>
        <w:t>J. Appl. Ecol.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40</w:t>
      </w:r>
      <w:r w:rsidRPr="0071041F">
        <w:rPr>
          <w:rFonts w:ascii="Times New Roman" w:hAnsi="Times New Roman" w:cs="Times New Roman"/>
          <w:noProof/>
          <w:sz w:val="24"/>
        </w:rPr>
        <w:t xml:space="preserve"> 380–91 Online: http://doi.wiley.com/10.1046/j.1365-2664.2003.00794.x</w:t>
      </w:r>
    </w:p>
    <w:p w14:paraId="7C69EDF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Joseph G S, Seymour C L, Cumming G S, Cumming D H M and Mahlangu Z 2013 Termite mounds as islands: woody plant assemblages relative to termitarium size and soil properties </w:t>
      </w:r>
      <w:r w:rsidRPr="0071041F">
        <w:rPr>
          <w:rFonts w:ascii="Times New Roman" w:hAnsi="Times New Roman" w:cs="Times New Roman"/>
          <w:i/>
          <w:iCs/>
          <w:noProof/>
          <w:sz w:val="24"/>
        </w:rPr>
        <w:t>J. Veg. Sci.</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24</w:t>
      </w:r>
      <w:r w:rsidRPr="0071041F">
        <w:rPr>
          <w:rFonts w:ascii="Times New Roman" w:hAnsi="Times New Roman" w:cs="Times New Roman"/>
          <w:noProof/>
          <w:sz w:val="24"/>
        </w:rPr>
        <w:t xml:space="preserve"> 702–11 Online: http://dx.doi.org/10.1111/j.1654-1103.2012.01489.x</w:t>
      </w:r>
    </w:p>
    <w:p w14:paraId="06DA1377"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Jouquet P, Chaudhary E and Kumar A R V 2018 Sustainable use of termite activity in agro-ecosystems with reference to earthworms. A review </w:t>
      </w:r>
      <w:r w:rsidRPr="0071041F">
        <w:rPr>
          <w:rFonts w:ascii="Times New Roman" w:hAnsi="Times New Roman" w:cs="Times New Roman"/>
          <w:i/>
          <w:iCs/>
          <w:noProof/>
          <w:sz w:val="24"/>
        </w:rPr>
        <w:t>Agron. Sustain. Dev.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38</w:t>
      </w:r>
      <w:r w:rsidRPr="0071041F">
        <w:rPr>
          <w:rFonts w:ascii="Times New Roman" w:hAnsi="Times New Roman" w:cs="Times New Roman"/>
          <w:noProof/>
          <w:sz w:val="24"/>
        </w:rPr>
        <w:t xml:space="preserve"> 3 Online: http://link.springer.com/10.1007/s13593-017-0483-1</w:t>
      </w:r>
    </w:p>
    <w:p w14:paraId="772978B2"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Jouquet P, Traoré S, Choosai C, Hartmann C and Bignell D 2011 Influence of termites on ecosystem functioning. Ecosystem services provided by termites </w:t>
      </w:r>
      <w:r w:rsidRPr="0071041F">
        <w:rPr>
          <w:rFonts w:ascii="Times New Roman" w:hAnsi="Times New Roman" w:cs="Times New Roman"/>
          <w:i/>
          <w:iCs/>
          <w:noProof/>
          <w:sz w:val="24"/>
        </w:rPr>
        <w:t>Eur. J. Soil Biol.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47</w:t>
      </w:r>
      <w:r w:rsidRPr="0071041F">
        <w:rPr>
          <w:rFonts w:ascii="Times New Roman" w:hAnsi="Times New Roman" w:cs="Times New Roman"/>
          <w:noProof/>
          <w:sz w:val="24"/>
        </w:rPr>
        <w:t xml:space="preserve"> 215–22 Online: http://www.sciencedirect.com/science/article/pii/S1164556311000422</w:t>
      </w:r>
    </w:p>
    <w:p w14:paraId="0D0834E9"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Kagezi G H, Kaib M, Nyeko P, Bakuneeta C, Schädler M and Brandl R 2011 Decomposition of tissue baits and termite density along a gradient of human land-use intensification in Western Kenya </w:t>
      </w:r>
      <w:r w:rsidRPr="0071041F">
        <w:rPr>
          <w:rFonts w:ascii="Times New Roman" w:hAnsi="Times New Roman" w:cs="Times New Roman"/>
          <w:i/>
          <w:iCs/>
          <w:noProof/>
          <w:sz w:val="24"/>
        </w:rPr>
        <w:t>Afr. J. Ecol.</w:t>
      </w:r>
      <w:r w:rsidRPr="0071041F">
        <w:rPr>
          <w:rFonts w:ascii="Times New Roman" w:hAnsi="Times New Roman" w:cs="Times New Roman"/>
          <w:noProof/>
          <w:sz w:val="24"/>
        </w:rPr>
        <w:t xml:space="preserve"> no-no Online: http://dx.doi.org/10.1111/j.1365-2028.2011.01263.x</w:t>
      </w:r>
    </w:p>
    <w:p w14:paraId="0EE28605"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Lagendijk D D G, Davies A B, Eggleton P and Slotow R 2016 No evidence for an elephant-termite feedback loop in Sand Forest, South Africa </w:t>
      </w:r>
      <w:r w:rsidRPr="0071041F">
        <w:rPr>
          <w:rFonts w:ascii="Times New Roman" w:hAnsi="Times New Roman" w:cs="Times New Roman"/>
          <w:i/>
          <w:iCs/>
          <w:noProof/>
          <w:sz w:val="24"/>
        </w:rPr>
        <w:t>Biol. Conserv.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203</w:t>
      </w:r>
    </w:p>
    <w:p w14:paraId="233C2A36"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lastRenderedPageBreak/>
        <w:t xml:space="preserve">Leitner M, Davies A B, Parr C L, Eggleton P and Robertson M P 2018 Woody encroachment slows decomposition and termite activity in an African savanna </w:t>
      </w:r>
      <w:r w:rsidRPr="0071041F">
        <w:rPr>
          <w:rFonts w:ascii="Times New Roman" w:hAnsi="Times New Roman" w:cs="Times New Roman"/>
          <w:i/>
          <w:iCs/>
          <w:noProof/>
          <w:sz w:val="24"/>
        </w:rPr>
        <w:t>Glob. Chang. Biol.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24</w:t>
      </w:r>
      <w:r w:rsidRPr="0071041F">
        <w:rPr>
          <w:rFonts w:ascii="Times New Roman" w:hAnsi="Times New Roman" w:cs="Times New Roman"/>
          <w:noProof/>
          <w:sz w:val="24"/>
        </w:rPr>
        <w:t xml:space="preserve"> 2597–606 Online: http://doi.wiley.com/10.1111/gcb.14118</w:t>
      </w:r>
    </w:p>
    <w:p w14:paraId="562C1C87"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Levick S R, Asner G P, Chadwick O A, Khomo L M, Rogers K H, Hartshorn A S, Kennedy-Bowdoin T and Knapp D E 2010a Regional insight into savanna hydrogeomorphology from termite mounds </w:t>
      </w:r>
      <w:r w:rsidRPr="0071041F">
        <w:rPr>
          <w:rFonts w:ascii="Times New Roman" w:hAnsi="Times New Roman" w:cs="Times New Roman"/>
          <w:i/>
          <w:iCs/>
          <w:noProof/>
          <w:sz w:val="24"/>
        </w:rPr>
        <w:t>Nat. Commun.</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w:t>
      </w:r>
      <w:r w:rsidRPr="0071041F">
        <w:rPr>
          <w:rFonts w:ascii="Times New Roman" w:hAnsi="Times New Roman" w:cs="Times New Roman"/>
          <w:noProof/>
          <w:sz w:val="24"/>
        </w:rPr>
        <w:t xml:space="preserve"> 65</w:t>
      </w:r>
    </w:p>
    <w:p w14:paraId="754F48BF"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Levick S R, Asner G P, Kennedy-Bowdoin T and Knapp D E 2010b The spatial extent of termite influences on herbivore browsing in an African savanna </w:t>
      </w:r>
      <w:r w:rsidRPr="0071041F">
        <w:rPr>
          <w:rFonts w:ascii="Times New Roman" w:hAnsi="Times New Roman" w:cs="Times New Roman"/>
          <w:i/>
          <w:iCs/>
          <w:noProof/>
          <w:sz w:val="24"/>
        </w:rPr>
        <w:t>Biol. Conserv.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143</w:t>
      </w:r>
      <w:r w:rsidRPr="0071041F">
        <w:rPr>
          <w:rFonts w:ascii="Times New Roman" w:hAnsi="Times New Roman" w:cs="Times New Roman"/>
          <w:noProof/>
          <w:sz w:val="24"/>
        </w:rPr>
        <w:t xml:space="preserve"> 2462–7 Online: http://www.sciencedirect.com/science/article/B6V5X-50G0F5S-5/2/0f304adf1b2cee4e168627dc74b6033c</w:t>
      </w:r>
    </w:p>
    <w:p w14:paraId="7DA6C231"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Lister B C and Garcia A 2018 Climate-driven declines in arthropod abundance restructure a rainforest food web. </w:t>
      </w:r>
      <w:r w:rsidRPr="0071041F">
        <w:rPr>
          <w:rFonts w:ascii="Times New Roman" w:hAnsi="Times New Roman" w:cs="Times New Roman"/>
          <w:i/>
          <w:iCs/>
          <w:noProof/>
          <w:sz w:val="24"/>
        </w:rPr>
        <w:t>Proc. Natl. Acad. Sci. U. S. A.</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115</w:t>
      </w:r>
      <w:r w:rsidRPr="0071041F">
        <w:rPr>
          <w:rFonts w:ascii="Times New Roman" w:hAnsi="Times New Roman" w:cs="Times New Roman"/>
          <w:noProof/>
          <w:sz w:val="24"/>
        </w:rPr>
        <w:t xml:space="preserve"> E10397–406 Online: http://www.ncbi.nlm.nih.gov/pubmed/30322922</w:t>
      </w:r>
    </w:p>
    <w:p w14:paraId="0174C6EB"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Meyer V W, Crewe R M, Braack L E O, Groeneveld H T and van der Linde M J 2000 Intracolonial demography of the mound-building termite Macrotermes natalensis (Haviland) (Isoptera, Termitidae) in the northern Kruger National Park, South Africa </w:t>
      </w:r>
      <w:r w:rsidRPr="0071041F">
        <w:rPr>
          <w:rFonts w:ascii="Times New Roman" w:hAnsi="Times New Roman" w:cs="Times New Roman"/>
          <w:i/>
          <w:iCs/>
          <w:noProof/>
          <w:sz w:val="24"/>
        </w:rPr>
        <w:t>Insectes Sociaex</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47</w:t>
      </w:r>
      <w:r w:rsidRPr="0071041F">
        <w:rPr>
          <w:rFonts w:ascii="Times New Roman" w:hAnsi="Times New Roman" w:cs="Times New Roman"/>
          <w:noProof/>
          <w:sz w:val="24"/>
        </w:rPr>
        <w:t xml:space="preserve"> 390–7</w:t>
      </w:r>
    </w:p>
    <w:p w14:paraId="77FFD53F"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Mograbi P J, Asner G P, Witkowski E T F, Erasmus B F N, Wessels K J, Mathieu R and Vaughn N R 2017 Humans and elephants as treefall drivers in African savannas </w:t>
      </w:r>
      <w:r w:rsidRPr="0071041F">
        <w:rPr>
          <w:rFonts w:ascii="Times New Roman" w:hAnsi="Times New Roman" w:cs="Times New Roman"/>
          <w:i/>
          <w:iCs/>
          <w:noProof/>
          <w:sz w:val="24"/>
        </w:rPr>
        <w:t>Ecography (Cop.).</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40</w:t>
      </w:r>
      <w:r w:rsidRPr="0071041F">
        <w:rPr>
          <w:rFonts w:ascii="Times New Roman" w:hAnsi="Times New Roman" w:cs="Times New Roman"/>
          <w:noProof/>
          <w:sz w:val="24"/>
        </w:rPr>
        <w:t xml:space="preserve"> 1274–84 Online: http://doi.wiley.com/10.1111/ecog.02549</w:t>
      </w:r>
    </w:p>
    <w:p w14:paraId="2CA4D4B7"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Mograbi P J, Erasmus B F N, Witkowski E T F, Asner G P, Wessels K J, Mathieu R, Knapp D E, Martin R E and Main R 2015 Biomass Increases Go under Cover: Woody Vegetation Dynamics in South African Rangelands </w:t>
      </w:r>
      <w:r w:rsidRPr="0071041F">
        <w:rPr>
          <w:rFonts w:ascii="Times New Roman" w:hAnsi="Times New Roman" w:cs="Times New Roman"/>
          <w:i/>
          <w:iCs/>
          <w:noProof/>
          <w:sz w:val="24"/>
        </w:rPr>
        <w:t>PLoS One</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10</w:t>
      </w:r>
      <w:r w:rsidRPr="0071041F">
        <w:rPr>
          <w:rFonts w:ascii="Times New Roman" w:hAnsi="Times New Roman" w:cs="Times New Roman"/>
          <w:noProof/>
          <w:sz w:val="24"/>
        </w:rPr>
        <w:t xml:space="preserve"> e0127093 Online: </w:t>
      </w:r>
      <w:r w:rsidRPr="0071041F">
        <w:rPr>
          <w:rFonts w:ascii="Times New Roman" w:hAnsi="Times New Roman" w:cs="Times New Roman"/>
          <w:noProof/>
          <w:sz w:val="24"/>
        </w:rPr>
        <w:lastRenderedPageBreak/>
        <w:t>https://doi.org/10.1371/journal.pone.0127093</w:t>
      </w:r>
    </w:p>
    <w:p w14:paraId="4A81350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Muvengwi J, Mbiba M, Ndagurwa H G T, Nyamadzawo G and Nhokovedzo P 2017a Termite diversity along a land use intensification gradient in a semi-arid savanna </w:t>
      </w:r>
      <w:r w:rsidRPr="0071041F">
        <w:rPr>
          <w:rFonts w:ascii="Times New Roman" w:hAnsi="Times New Roman" w:cs="Times New Roman"/>
          <w:i/>
          <w:iCs/>
          <w:noProof/>
          <w:sz w:val="24"/>
        </w:rPr>
        <w:t>J. Insect Conserv.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21</w:t>
      </w:r>
      <w:r w:rsidRPr="0071041F">
        <w:rPr>
          <w:rFonts w:ascii="Times New Roman" w:hAnsi="Times New Roman" w:cs="Times New Roman"/>
          <w:noProof/>
          <w:sz w:val="24"/>
        </w:rPr>
        <w:t xml:space="preserve"> 801–12 Online: http://link.springer.com/10.1007/s10841-017-0019-7</w:t>
      </w:r>
    </w:p>
    <w:p w14:paraId="59DCA23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Muvengwi J, Witkowski E T F, Davies A B and Parrini F 2017b Termite mounds vary in their importance as sources of vegetation heterogeneity across savanna landscapes </w:t>
      </w:r>
      <w:r w:rsidRPr="0071041F">
        <w:rPr>
          <w:rFonts w:ascii="Times New Roman" w:hAnsi="Times New Roman" w:cs="Times New Roman"/>
          <w:i/>
          <w:iCs/>
          <w:noProof/>
          <w:sz w:val="24"/>
        </w:rPr>
        <w:t>J. Veg. Sci.</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28</w:t>
      </w:r>
      <w:r w:rsidRPr="0071041F">
        <w:rPr>
          <w:rFonts w:ascii="Times New Roman" w:hAnsi="Times New Roman" w:cs="Times New Roman"/>
          <w:noProof/>
          <w:sz w:val="24"/>
        </w:rPr>
        <w:t xml:space="preserve"> 1008–17</w:t>
      </w:r>
    </w:p>
    <w:p w14:paraId="0046F85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Newbold T, Hudson L N, Hill S L L, Contu S, Lysenko I, Senior R A, Börger L, Bennett D J, Choimes A, Collen B, Day J, De Palma A, Díaz S, Echeverria-Londoño S, Edgar M J, Feldman A, Garon M, Harrison M L K, Alhusseini T, Ingram D J, Itescu Y, Kattge J, Kemp V, Kirkpatrick L, Kleyer M, Correia D L P, Martin C D, Meiri S, Novosolov M, Pan Y, Phillips H R P, Purves D W, Robinson A, Simpson J, Tuck S L, Weiher E, White H J, Ewers R M, Mace G M, Scharlemann J P W and Purvis A 2015 Global effects of land use on local terrestrial biodiversity </w:t>
      </w:r>
      <w:r w:rsidRPr="0071041F">
        <w:rPr>
          <w:rFonts w:ascii="Times New Roman" w:hAnsi="Times New Roman" w:cs="Times New Roman"/>
          <w:i/>
          <w:iCs/>
          <w:noProof/>
          <w:sz w:val="24"/>
        </w:rPr>
        <w:t>Nature</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520</w:t>
      </w:r>
      <w:r w:rsidRPr="0071041F">
        <w:rPr>
          <w:rFonts w:ascii="Times New Roman" w:hAnsi="Times New Roman" w:cs="Times New Roman"/>
          <w:noProof/>
          <w:sz w:val="24"/>
        </w:rPr>
        <w:t xml:space="preserve"> 45 Online: https://doi.org/10.1038/nature14324</w:t>
      </w:r>
    </w:p>
    <w:p w14:paraId="3DB0C59E"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Pimm S L and Raven P 2000 Biodiversity: Extinction by numbers </w:t>
      </w:r>
      <w:r w:rsidRPr="0071041F">
        <w:rPr>
          <w:rFonts w:ascii="Times New Roman" w:hAnsi="Times New Roman" w:cs="Times New Roman"/>
          <w:i/>
          <w:iCs/>
          <w:noProof/>
          <w:sz w:val="24"/>
        </w:rPr>
        <w:t>Nature</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403</w:t>
      </w:r>
      <w:r w:rsidRPr="0071041F">
        <w:rPr>
          <w:rFonts w:ascii="Times New Roman" w:hAnsi="Times New Roman" w:cs="Times New Roman"/>
          <w:noProof/>
          <w:sz w:val="24"/>
        </w:rPr>
        <w:t xml:space="preserve"> 843–5</w:t>
      </w:r>
    </w:p>
    <w:p w14:paraId="419A0CD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Pollard S, Shackleton C M and Carruthers J 2003 Beyond the fence: people and the lowveld landscape </w:t>
      </w:r>
      <w:r w:rsidRPr="0071041F">
        <w:rPr>
          <w:rFonts w:ascii="Times New Roman" w:hAnsi="Times New Roman" w:cs="Times New Roman"/>
          <w:i/>
          <w:iCs/>
          <w:noProof/>
          <w:sz w:val="24"/>
        </w:rPr>
        <w:t>The Kruger Experience: Ecology and Management of Savanna Heterogeneity</w:t>
      </w:r>
      <w:r w:rsidRPr="0071041F">
        <w:rPr>
          <w:rFonts w:ascii="Times New Roman" w:hAnsi="Times New Roman" w:cs="Times New Roman"/>
          <w:noProof/>
          <w:sz w:val="24"/>
        </w:rPr>
        <w:t xml:space="preserve"> ed J T Du Toit, K H Rogers and H C Biggs (Washington, DC: Island Press) pp 422–46</w:t>
      </w:r>
    </w:p>
    <w:p w14:paraId="4DEBCFE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Potts S G, Biesmeijer J C, Kremen C, Neumann P, Schweiger O and Kunin W E 2010 Global pollinator declines: Trends, impacts and drivers </w:t>
      </w:r>
      <w:r w:rsidRPr="0071041F">
        <w:rPr>
          <w:rFonts w:ascii="Times New Roman" w:hAnsi="Times New Roman" w:cs="Times New Roman"/>
          <w:i/>
          <w:iCs/>
          <w:noProof/>
          <w:sz w:val="24"/>
        </w:rPr>
        <w:t>Trends Ecol. Evol.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25</w:t>
      </w:r>
      <w:r w:rsidRPr="0071041F">
        <w:rPr>
          <w:rFonts w:ascii="Times New Roman" w:hAnsi="Times New Roman" w:cs="Times New Roman"/>
          <w:noProof/>
          <w:sz w:val="24"/>
        </w:rPr>
        <w:t xml:space="preserve"> 345–53 Online: https://www.sciencedirect.com/science/article/pii/S0169534710000364</w:t>
      </w:r>
    </w:p>
    <w:p w14:paraId="6A92A58E"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Pringle R M, Doak D F, Brody A K, Jocqué R and Palmer T M 2010 Spatial pattern enhances ecosystem functioning in an African savanna </w:t>
      </w:r>
      <w:r w:rsidRPr="0071041F">
        <w:rPr>
          <w:rFonts w:ascii="Times New Roman" w:hAnsi="Times New Roman" w:cs="Times New Roman"/>
          <w:i/>
          <w:iCs/>
          <w:noProof/>
          <w:sz w:val="24"/>
        </w:rPr>
        <w:t>PLoS Biol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8</w:t>
      </w:r>
      <w:r w:rsidRPr="0071041F">
        <w:rPr>
          <w:rFonts w:ascii="Times New Roman" w:hAnsi="Times New Roman" w:cs="Times New Roman"/>
          <w:noProof/>
          <w:sz w:val="24"/>
        </w:rPr>
        <w:t xml:space="preserve"> e1000377 Online: </w:t>
      </w:r>
      <w:r w:rsidRPr="0071041F">
        <w:rPr>
          <w:rFonts w:ascii="Times New Roman" w:hAnsi="Times New Roman" w:cs="Times New Roman"/>
          <w:noProof/>
          <w:sz w:val="24"/>
        </w:rPr>
        <w:lastRenderedPageBreak/>
        <w:t>http://dx.doi.org/10.1371%2Fjournal.pbio.1000377</w:t>
      </w:r>
    </w:p>
    <w:p w14:paraId="16E628FB"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Pringle R M and Tarnita C E 2017 Spatial Self-Organization of Ecosystems: Integrating Multiple Mechanisms of Regular-Pattern Formation </w:t>
      </w:r>
      <w:r w:rsidRPr="0071041F">
        <w:rPr>
          <w:rFonts w:ascii="Times New Roman" w:hAnsi="Times New Roman" w:cs="Times New Roman"/>
          <w:i/>
          <w:iCs/>
          <w:noProof/>
          <w:sz w:val="24"/>
        </w:rPr>
        <w:t>Annu. Rev. Entomol.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62</w:t>
      </w:r>
      <w:r w:rsidRPr="0071041F">
        <w:rPr>
          <w:rFonts w:ascii="Times New Roman" w:hAnsi="Times New Roman" w:cs="Times New Roman"/>
          <w:noProof/>
          <w:sz w:val="24"/>
        </w:rPr>
        <w:t xml:space="preserve"> 359–77 Online: http://www.annualreviews.org/doi/10.1146/annurev-ento-031616-035413</w:t>
      </w:r>
    </w:p>
    <w:p w14:paraId="16BEEA58"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Ronneberger O, Fischer P and Brox T 2015 U-net: Convolutional networks for biomedical image segmentation </w:t>
      </w:r>
      <w:r w:rsidRPr="0071041F">
        <w:rPr>
          <w:rFonts w:ascii="Times New Roman" w:hAnsi="Times New Roman" w:cs="Times New Roman"/>
          <w:i/>
          <w:iCs/>
          <w:noProof/>
          <w:sz w:val="24"/>
        </w:rPr>
        <w:t>Lecture Notes in Computer Science (including subseries Lecture Notes in Artificial Intelligence and Lecture Notes in Bioinformatics)</w:t>
      </w:r>
      <w:r w:rsidRPr="0071041F">
        <w:rPr>
          <w:rFonts w:ascii="Times New Roman" w:hAnsi="Times New Roman" w:cs="Times New Roman"/>
          <w:noProof/>
          <w:sz w:val="24"/>
        </w:rPr>
        <w:t xml:space="preserve"> vol 9351 (Springer, Cham) pp 234–41 Online: http://link.springer.com/10.1007/978-3-319-24574-4_28</w:t>
      </w:r>
    </w:p>
    <w:p w14:paraId="3530FE8C"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Rouland-Lefèvre C 2011 Termites as Pests of Agriculture BT  - Biology of Termites: a Modern Synthesis ed D E Bignell, Y Roisin and N Lo (Dordrecht: Springer Netherlands) pp 499–517 Online: https://doi.org/10.1007/978-90-481-3977-4_18</w:t>
      </w:r>
    </w:p>
    <w:p w14:paraId="33A20CC3"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Sánchez-Bayo F and Wyckhuys K A G 2019 Worldwide decline of the entomofauna: A review of its drivers </w:t>
      </w:r>
      <w:r w:rsidRPr="0071041F">
        <w:rPr>
          <w:rFonts w:ascii="Times New Roman" w:hAnsi="Times New Roman" w:cs="Times New Roman"/>
          <w:i/>
          <w:iCs/>
          <w:noProof/>
          <w:sz w:val="24"/>
        </w:rPr>
        <w:t>Biol. Conserv.</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232</w:t>
      </w:r>
      <w:r w:rsidRPr="0071041F">
        <w:rPr>
          <w:rFonts w:ascii="Times New Roman" w:hAnsi="Times New Roman" w:cs="Times New Roman"/>
          <w:noProof/>
          <w:sz w:val="24"/>
        </w:rPr>
        <w:t xml:space="preserve"> 8–27 Online: https://www.sciencedirect.com/science/article/pii/S0006320718313636</w:t>
      </w:r>
    </w:p>
    <w:p w14:paraId="6AD06EC0"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Seymour C L, Milewski A V, Mills A J, Joseph G S, Cumming G S, Cumming D H M and Mahlangu Z 2014 Do the large termite mounds of Macrotermes concentrate micronutrients in addition to macronutrients in nutrient-poor African savannas? </w:t>
      </w:r>
      <w:r w:rsidRPr="0071041F">
        <w:rPr>
          <w:rFonts w:ascii="Times New Roman" w:hAnsi="Times New Roman" w:cs="Times New Roman"/>
          <w:i/>
          <w:iCs/>
          <w:noProof/>
          <w:sz w:val="24"/>
        </w:rPr>
        <w:t>Soil Biol. Biochem.</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68</w:t>
      </w:r>
      <w:r w:rsidRPr="0071041F">
        <w:rPr>
          <w:rFonts w:ascii="Times New Roman" w:hAnsi="Times New Roman" w:cs="Times New Roman"/>
          <w:noProof/>
          <w:sz w:val="24"/>
        </w:rPr>
        <w:t xml:space="preserve"> 95–105 Online: http://www.sciencedirect.com/science/article/pii/S0038071713003234</w:t>
      </w:r>
    </w:p>
    <w:p w14:paraId="5935BAC1"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Shackleton C M, Shackleton S E and Cousins B 2001 The role of land-based strategies in rural livelihoods: The contribution of arable production, animal husbandry and natural resource harvesting in communal areas in South Africa </w:t>
      </w:r>
      <w:r w:rsidRPr="0071041F">
        <w:rPr>
          <w:rFonts w:ascii="Times New Roman" w:hAnsi="Times New Roman" w:cs="Times New Roman"/>
          <w:i/>
          <w:iCs/>
          <w:noProof/>
          <w:sz w:val="24"/>
        </w:rPr>
        <w:t>Dev. South. Afr.</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18</w:t>
      </w:r>
      <w:r w:rsidRPr="0071041F">
        <w:rPr>
          <w:rFonts w:ascii="Times New Roman" w:hAnsi="Times New Roman" w:cs="Times New Roman"/>
          <w:noProof/>
          <w:sz w:val="24"/>
        </w:rPr>
        <w:t xml:space="preserve"> 581–604 Online: https://www.tandfonline.com/doi/full/10.1080/03768350120097441</w:t>
      </w:r>
    </w:p>
    <w:p w14:paraId="7D4A5374"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Sileshi G W, Arshad M A, Konaté S and Nkunika P O Y 2010 Termite-induced heterogeneity in </w:t>
      </w:r>
      <w:r w:rsidRPr="0071041F">
        <w:rPr>
          <w:rFonts w:ascii="Times New Roman" w:hAnsi="Times New Roman" w:cs="Times New Roman"/>
          <w:noProof/>
          <w:sz w:val="24"/>
        </w:rPr>
        <w:lastRenderedPageBreak/>
        <w:t xml:space="preserve">African savanna vegetation: mechanisms and patterns </w:t>
      </w:r>
      <w:r w:rsidRPr="0071041F">
        <w:rPr>
          <w:rFonts w:ascii="Times New Roman" w:hAnsi="Times New Roman" w:cs="Times New Roman"/>
          <w:i/>
          <w:iCs/>
          <w:noProof/>
          <w:sz w:val="24"/>
        </w:rPr>
        <w:t>J. Veg. Sci.</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21</w:t>
      </w:r>
      <w:r w:rsidRPr="0071041F">
        <w:rPr>
          <w:rFonts w:ascii="Times New Roman" w:hAnsi="Times New Roman" w:cs="Times New Roman"/>
          <w:noProof/>
          <w:sz w:val="24"/>
        </w:rPr>
        <w:t xml:space="preserve"> 923–37 Online: http://dx.doi.org/10.1111/j.1654-1103.2010.01197.x</w:t>
      </w:r>
    </w:p>
    <w:p w14:paraId="27708513"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Sileshi G W, Nyeko P, Nkunika P O Y, Sekematte B M, Akinnifesi F K and Ajayi O C 2009 Integrating Ethno-Ecological and Scientific Knowledge of Termites for Sustainable Termite Management and Human Welfare in Africa </w:t>
      </w:r>
      <w:r w:rsidRPr="0071041F">
        <w:rPr>
          <w:rFonts w:ascii="Times New Roman" w:hAnsi="Times New Roman" w:cs="Times New Roman"/>
          <w:i/>
          <w:iCs/>
          <w:noProof/>
          <w:sz w:val="24"/>
        </w:rPr>
        <w:t>Ecol. Soc.</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14</w:t>
      </w:r>
      <w:r w:rsidRPr="0071041F">
        <w:rPr>
          <w:rFonts w:ascii="Times New Roman" w:hAnsi="Times New Roman" w:cs="Times New Roman"/>
          <w:noProof/>
          <w:sz w:val="24"/>
        </w:rPr>
        <w:t xml:space="preserve"> Online: http://www.ecologyandsociety.org/vol14/iss1/art48/</w:t>
      </w:r>
    </w:p>
    <w:p w14:paraId="22ADEE2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Staver A C 2018 Prediction and scale in savanna ecosystems </w:t>
      </w:r>
      <w:r w:rsidRPr="0071041F">
        <w:rPr>
          <w:rFonts w:ascii="Times New Roman" w:hAnsi="Times New Roman" w:cs="Times New Roman"/>
          <w:i/>
          <w:iCs/>
          <w:noProof/>
          <w:sz w:val="24"/>
        </w:rPr>
        <w:t>New Phytol.</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219</w:t>
      </w:r>
      <w:r w:rsidRPr="0071041F">
        <w:rPr>
          <w:rFonts w:ascii="Times New Roman" w:hAnsi="Times New Roman" w:cs="Times New Roman"/>
          <w:noProof/>
          <w:sz w:val="24"/>
        </w:rPr>
        <w:t xml:space="preserve"> 52–7 Online: http://doi.wiley.com/10.1111/nph.14829</w:t>
      </w:r>
    </w:p>
    <w:p w14:paraId="059686F2"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Su N-Y and Scheffrahn R H 2000 Termites as Pests of Buildings BT  - Termites: Evolution, Sociality, Symbioses, Ecology ed T Abe, D E Bignell and M Higashi (Dordrecht: Springer Netherlands) pp 437–53 Online: https://doi.org/10.1007/978-94-017-3223-9_20</w:t>
      </w:r>
    </w:p>
    <w:p w14:paraId="7AC3A28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Thomas C D, Jones T H and Hartley S E 2019 “Insectageddon”: a call for more robust data and rigorous analyses </w:t>
      </w:r>
      <w:r w:rsidRPr="0071041F">
        <w:rPr>
          <w:rFonts w:ascii="Times New Roman" w:hAnsi="Times New Roman" w:cs="Times New Roman"/>
          <w:i/>
          <w:iCs/>
          <w:noProof/>
          <w:sz w:val="24"/>
        </w:rPr>
        <w:t>Glob. Chang. Biol.</w:t>
      </w:r>
      <w:r w:rsidRPr="0071041F">
        <w:rPr>
          <w:rFonts w:ascii="Times New Roman" w:hAnsi="Times New Roman" w:cs="Times New Roman"/>
          <w:noProof/>
          <w:sz w:val="24"/>
        </w:rPr>
        <w:t xml:space="preserve"> Online: http://doi.wiley.com/10.1111/gcb.14608</w:t>
      </w:r>
    </w:p>
    <w:p w14:paraId="3E3F83EA"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Venter F J, Scholes R J and Eckhardt H C 2003 The abiotic template and its associated vegetation pattern </w:t>
      </w:r>
      <w:r w:rsidRPr="0071041F">
        <w:rPr>
          <w:rFonts w:ascii="Times New Roman" w:hAnsi="Times New Roman" w:cs="Times New Roman"/>
          <w:i/>
          <w:iCs/>
          <w:noProof/>
          <w:sz w:val="24"/>
        </w:rPr>
        <w:t>The Kruger Experience: Ecology and Management of Savanna Heterogeneity</w:t>
      </w:r>
      <w:r w:rsidRPr="0071041F">
        <w:rPr>
          <w:rFonts w:ascii="Times New Roman" w:hAnsi="Times New Roman" w:cs="Times New Roman"/>
          <w:noProof/>
          <w:sz w:val="24"/>
        </w:rPr>
        <w:t xml:space="preserve"> ed J T Du Toit, H C Biggs and K H Rogers (Washington DC, USA: Island Press)</w:t>
      </w:r>
    </w:p>
    <w:p w14:paraId="25B4848C" w14:textId="77777777" w:rsidR="0071041F" w:rsidRPr="0071041F" w:rsidRDefault="0071041F" w:rsidP="0071041F">
      <w:pPr>
        <w:widowControl w:val="0"/>
        <w:autoSpaceDE w:val="0"/>
        <w:autoSpaceDN w:val="0"/>
        <w:adjustRightInd w:val="0"/>
        <w:spacing w:after="0" w:line="480" w:lineRule="auto"/>
        <w:ind w:left="480" w:hanging="480"/>
        <w:rPr>
          <w:rFonts w:ascii="Times New Roman" w:hAnsi="Times New Roman" w:cs="Times New Roman"/>
          <w:noProof/>
          <w:sz w:val="24"/>
        </w:rPr>
      </w:pPr>
      <w:r w:rsidRPr="0071041F">
        <w:rPr>
          <w:rFonts w:ascii="Times New Roman" w:hAnsi="Times New Roman" w:cs="Times New Roman"/>
          <w:noProof/>
          <w:sz w:val="24"/>
        </w:rPr>
        <w:t xml:space="preserve">Wessels K J, Colgan M S, Erasmus B F N, Asner G P, Twine W C, Mathieu R, van Aardt J A N, Fisher J T and Smit I P J 2013 Unsustainable fuelwood extraction from South African savannas </w:t>
      </w:r>
      <w:r w:rsidRPr="0071041F">
        <w:rPr>
          <w:rFonts w:ascii="Times New Roman" w:hAnsi="Times New Roman" w:cs="Times New Roman"/>
          <w:i/>
          <w:iCs/>
          <w:noProof/>
          <w:sz w:val="24"/>
        </w:rPr>
        <w:t>Environ. Res. Lett.</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8</w:t>
      </w:r>
      <w:r w:rsidRPr="0071041F">
        <w:rPr>
          <w:rFonts w:ascii="Times New Roman" w:hAnsi="Times New Roman" w:cs="Times New Roman"/>
          <w:noProof/>
          <w:sz w:val="24"/>
        </w:rPr>
        <w:t xml:space="preserve"> 014007 Online: http://stacks.iop.org/1748-9326/8/i=1/a=014007?key=crossref.056731292c319cf2898a2f3b76e7b6f1</w:t>
      </w:r>
    </w:p>
    <w:p w14:paraId="0F68A159" w14:textId="290AAC6B" w:rsidR="001221DA" w:rsidRDefault="0071041F" w:rsidP="00C05F18">
      <w:pPr>
        <w:widowControl w:val="0"/>
        <w:autoSpaceDE w:val="0"/>
        <w:autoSpaceDN w:val="0"/>
        <w:adjustRightInd w:val="0"/>
        <w:spacing w:after="0" w:line="480" w:lineRule="auto"/>
        <w:ind w:left="480" w:hanging="480"/>
        <w:rPr>
          <w:rFonts w:ascii="Times New Roman" w:hAnsi="Times New Roman"/>
          <w:b/>
          <w:sz w:val="24"/>
          <w:szCs w:val="24"/>
        </w:rPr>
      </w:pPr>
      <w:r w:rsidRPr="0071041F">
        <w:rPr>
          <w:rFonts w:ascii="Times New Roman" w:hAnsi="Times New Roman" w:cs="Times New Roman"/>
          <w:noProof/>
          <w:sz w:val="24"/>
        </w:rPr>
        <w:t xml:space="preserve">Wilson J B and Agnew A D Q 1992 Positive-feedback Switches in Plant Communities </w:t>
      </w:r>
      <w:r w:rsidRPr="0071041F">
        <w:rPr>
          <w:rFonts w:ascii="Times New Roman" w:hAnsi="Times New Roman" w:cs="Times New Roman"/>
          <w:i/>
          <w:iCs/>
          <w:noProof/>
          <w:sz w:val="24"/>
        </w:rPr>
        <w:t>Adv. Ecol. Res.</w:t>
      </w:r>
      <w:r w:rsidRPr="0071041F">
        <w:rPr>
          <w:rFonts w:ascii="Times New Roman" w:hAnsi="Times New Roman" w:cs="Times New Roman"/>
          <w:noProof/>
          <w:sz w:val="24"/>
        </w:rPr>
        <w:t xml:space="preserve"> </w:t>
      </w:r>
      <w:r w:rsidRPr="0071041F">
        <w:rPr>
          <w:rFonts w:ascii="Times New Roman" w:hAnsi="Times New Roman" w:cs="Times New Roman"/>
          <w:b/>
          <w:bCs/>
          <w:noProof/>
          <w:sz w:val="24"/>
        </w:rPr>
        <w:t>23</w:t>
      </w:r>
      <w:r w:rsidRPr="0071041F">
        <w:rPr>
          <w:rFonts w:ascii="Times New Roman" w:hAnsi="Times New Roman" w:cs="Times New Roman"/>
          <w:noProof/>
          <w:sz w:val="24"/>
        </w:rPr>
        <w:t xml:space="preserve"> 263–336</w:t>
      </w:r>
      <w:r w:rsidR="004D580D">
        <w:rPr>
          <w:rFonts w:ascii="Times New Roman" w:hAnsi="Times New Roman"/>
          <w:b/>
          <w:sz w:val="24"/>
          <w:szCs w:val="24"/>
        </w:rPr>
        <w:fldChar w:fldCharType="end"/>
      </w:r>
    </w:p>
    <w:p w14:paraId="760558F8" w14:textId="77777777" w:rsidR="00EC6DBA" w:rsidRDefault="00EC6DBA" w:rsidP="00EC6DBA">
      <w:pPr>
        <w:widowControl w:val="0"/>
        <w:autoSpaceDE w:val="0"/>
        <w:autoSpaceDN w:val="0"/>
        <w:adjustRightInd w:val="0"/>
        <w:spacing w:after="0" w:line="480" w:lineRule="auto"/>
        <w:rPr>
          <w:rFonts w:ascii="Times New Roman" w:hAnsi="Times New Roman"/>
          <w:b/>
          <w:sz w:val="24"/>
          <w:szCs w:val="24"/>
        </w:rPr>
        <w:sectPr w:rsidR="00EC6DBA" w:rsidSect="00D56DE4">
          <w:footerReference w:type="even" r:id="rId9"/>
          <w:footerReference w:type="default" r:id="rId10"/>
          <w:pgSz w:w="12240" w:h="15840"/>
          <w:pgMar w:top="1440" w:right="1440" w:bottom="1440" w:left="1440" w:header="720" w:footer="720" w:gutter="0"/>
          <w:lnNumType w:countBy="1" w:restart="continuous"/>
          <w:cols w:space="720"/>
          <w:docGrid w:linePitch="299"/>
        </w:sectPr>
      </w:pPr>
    </w:p>
    <w:p w14:paraId="18840ED5" w14:textId="717C1087" w:rsidR="004D580D" w:rsidRPr="004D580D" w:rsidRDefault="004D580D" w:rsidP="001221DA">
      <w:pPr>
        <w:widowControl w:val="0"/>
        <w:autoSpaceDE w:val="0"/>
        <w:autoSpaceDN w:val="0"/>
        <w:adjustRightInd w:val="0"/>
        <w:spacing w:after="0" w:line="480" w:lineRule="auto"/>
        <w:ind w:left="480" w:hanging="480"/>
        <w:rPr>
          <w:rFonts w:ascii="Times New Roman" w:hAnsi="Times New Roman"/>
          <w:sz w:val="24"/>
          <w:szCs w:val="24"/>
          <w:lang w:val="en-GB"/>
        </w:rPr>
      </w:pPr>
      <w:r>
        <w:rPr>
          <w:rFonts w:ascii="Times New Roman" w:hAnsi="Times New Roman"/>
          <w:b/>
          <w:sz w:val="24"/>
          <w:szCs w:val="24"/>
        </w:rPr>
        <w:lastRenderedPageBreak/>
        <w:t xml:space="preserve">Table 1: </w:t>
      </w:r>
      <w:r>
        <w:rPr>
          <w:rFonts w:ascii="Times New Roman" w:hAnsi="Times New Roman"/>
          <w:sz w:val="24"/>
          <w:szCs w:val="24"/>
        </w:rPr>
        <w:t xml:space="preserve">Termite mound, topographic and vegetation cover characteristics for each of the four </w:t>
      </w:r>
      <w:r w:rsidR="004B5B2B">
        <w:rPr>
          <w:rFonts w:ascii="Times New Roman" w:hAnsi="Times New Roman"/>
          <w:sz w:val="24"/>
          <w:szCs w:val="24"/>
        </w:rPr>
        <w:t>land-use type</w:t>
      </w:r>
      <w:r>
        <w:rPr>
          <w:rFonts w:ascii="Times New Roman" w:hAnsi="Times New Roman"/>
          <w:sz w:val="24"/>
          <w:szCs w:val="24"/>
        </w:rPr>
        <w:t>s.</w:t>
      </w:r>
    </w:p>
    <w:tbl>
      <w:tblPr>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8"/>
        <w:gridCol w:w="857"/>
        <w:gridCol w:w="809"/>
        <w:gridCol w:w="1257"/>
        <w:gridCol w:w="1257"/>
        <w:gridCol w:w="1080"/>
        <w:gridCol w:w="895"/>
        <w:gridCol w:w="895"/>
        <w:gridCol w:w="1000"/>
        <w:gridCol w:w="997"/>
        <w:gridCol w:w="990"/>
        <w:gridCol w:w="1170"/>
        <w:gridCol w:w="1350"/>
      </w:tblGrid>
      <w:tr w:rsidR="00E54B08" w14:paraId="6C8FC4DB" w14:textId="77777777" w:rsidTr="00E54B08">
        <w:tc>
          <w:tcPr>
            <w:tcW w:w="938" w:type="dxa"/>
            <w:vAlign w:val="bottom"/>
          </w:tcPr>
          <w:p w14:paraId="1D39AEDD" w14:textId="7CA06A1D" w:rsidR="004D580D" w:rsidRDefault="004B5B2B" w:rsidP="004B5B2B">
            <w:pPr>
              <w:spacing w:line="276" w:lineRule="auto"/>
              <w:rPr>
                <w:sz w:val="16"/>
                <w:szCs w:val="16"/>
              </w:rPr>
            </w:pPr>
            <w:r>
              <w:rPr>
                <w:sz w:val="16"/>
                <w:szCs w:val="16"/>
              </w:rPr>
              <w:t>Land-use type</w:t>
            </w:r>
          </w:p>
        </w:tc>
        <w:tc>
          <w:tcPr>
            <w:tcW w:w="857" w:type="dxa"/>
            <w:vAlign w:val="bottom"/>
          </w:tcPr>
          <w:p w14:paraId="48F61194" w14:textId="77777777" w:rsidR="004D580D" w:rsidRDefault="004D580D" w:rsidP="004B5B2B">
            <w:pPr>
              <w:spacing w:line="276" w:lineRule="auto"/>
              <w:rPr>
                <w:sz w:val="16"/>
                <w:szCs w:val="16"/>
              </w:rPr>
            </w:pPr>
            <w:r>
              <w:rPr>
                <w:sz w:val="16"/>
                <w:szCs w:val="16"/>
              </w:rPr>
              <w:t>Area (ha)</w:t>
            </w:r>
          </w:p>
        </w:tc>
        <w:tc>
          <w:tcPr>
            <w:tcW w:w="809" w:type="dxa"/>
            <w:vAlign w:val="bottom"/>
          </w:tcPr>
          <w:p w14:paraId="230D2492" w14:textId="77777777" w:rsidR="004D580D" w:rsidRDefault="004D580D" w:rsidP="004B5B2B">
            <w:pPr>
              <w:spacing w:line="276" w:lineRule="auto"/>
              <w:rPr>
                <w:sz w:val="16"/>
                <w:szCs w:val="16"/>
              </w:rPr>
            </w:pPr>
            <w:r>
              <w:rPr>
                <w:sz w:val="16"/>
                <w:szCs w:val="16"/>
              </w:rPr>
              <w:t>No. of mounds</w:t>
            </w:r>
          </w:p>
        </w:tc>
        <w:tc>
          <w:tcPr>
            <w:tcW w:w="1257" w:type="dxa"/>
            <w:vAlign w:val="bottom"/>
          </w:tcPr>
          <w:p w14:paraId="4A40CBA8" w14:textId="77777777" w:rsidR="004D580D" w:rsidRDefault="004D580D" w:rsidP="004B5B2B">
            <w:pPr>
              <w:spacing w:line="276" w:lineRule="auto"/>
              <w:rPr>
                <w:sz w:val="16"/>
                <w:szCs w:val="16"/>
              </w:rPr>
            </w:pPr>
            <w:r>
              <w:rPr>
                <w:sz w:val="16"/>
                <w:szCs w:val="16"/>
              </w:rPr>
              <w:t>Bootstrapped mound density (mean mounds/ha)</w:t>
            </w:r>
          </w:p>
        </w:tc>
        <w:tc>
          <w:tcPr>
            <w:tcW w:w="1257" w:type="dxa"/>
            <w:vAlign w:val="bottom"/>
          </w:tcPr>
          <w:p w14:paraId="32D1C4F9" w14:textId="77777777" w:rsidR="004D580D" w:rsidRDefault="004D580D" w:rsidP="004B5B2B">
            <w:pPr>
              <w:spacing w:line="276" w:lineRule="auto"/>
              <w:rPr>
                <w:sz w:val="16"/>
                <w:szCs w:val="16"/>
              </w:rPr>
            </w:pPr>
            <w:r>
              <w:rPr>
                <w:sz w:val="16"/>
                <w:szCs w:val="16"/>
              </w:rPr>
              <w:t>Bootstrapped std. dev. of mound density (mounds/ha)</w:t>
            </w:r>
          </w:p>
        </w:tc>
        <w:tc>
          <w:tcPr>
            <w:tcW w:w="1080" w:type="dxa"/>
            <w:vAlign w:val="bottom"/>
          </w:tcPr>
          <w:p w14:paraId="347E4F3D" w14:textId="77777777" w:rsidR="004D580D" w:rsidRDefault="004D580D" w:rsidP="004B5B2B">
            <w:pPr>
              <w:spacing w:line="276" w:lineRule="auto"/>
              <w:rPr>
                <w:sz w:val="16"/>
                <w:szCs w:val="16"/>
              </w:rPr>
            </w:pPr>
            <w:r>
              <w:rPr>
                <w:sz w:val="16"/>
                <w:szCs w:val="16"/>
              </w:rPr>
              <w:t>Mound density (mounds/ha)</w:t>
            </w:r>
          </w:p>
        </w:tc>
        <w:tc>
          <w:tcPr>
            <w:tcW w:w="895" w:type="dxa"/>
            <w:vAlign w:val="bottom"/>
          </w:tcPr>
          <w:p w14:paraId="6CB29546" w14:textId="77777777" w:rsidR="004D580D" w:rsidRDefault="004D580D" w:rsidP="004B5B2B">
            <w:pPr>
              <w:spacing w:line="276" w:lineRule="auto"/>
              <w:rPr>
                <w:sz w:val="16"/>
                <w:szCs w:val="16"/>
              </w:rPr>
            </w:pPr>
            <w:r>
              <w:rPr>
                <w:sz w:val="16"/>
                <w:szCs w:val="16"/>
              </w:rPr>
              <w:t>Mean mound height (m)</w:t>
            </w:r>
          </w:p>
        </w:tc>
        <w:tc>
          <w:tcPr>
            <w:tcW w:w="895" w:type="dxa"/>
            <w:vAlign w:val="bottom"/>
          </w:tcPr>
          <w:p w14:paraId="1A158E86" w14:textId="77777777" w:rsidR="004D580D" w:rsidRDefault="004D580D" w:rsidP="004B5B2B">
            <w:pPr>
              <w:spacing w:line="276" w:lineRule="auto"/>
              <w:rPr>
                <w:sz w:val="16"/>
                <w:szCs w:val="16"/>
              </w:rPr>
            </w:pPr>
            <w:r>
              <w:rPr>
                <w:sz w:val="16"/>
                <w:szCs w:val="16"/>
              </w:rPr>
              <w:t>Std. dev. of mound height (m)</w:t>
            </w:r>
          </w:p>
        </w:tc>
        <w:tc>
          <w:tcPr>
            <w:tcW w:w="1000" w:type="dxa"/>
            <w:vAlign w:val="bottom"/>
          </w:tcPr>
          <w:p w14:paraId="48097A54" w14:textId="77777777" w:rsidR="004D580D" w:rsidRDefault="004D580D" w:rsidP="004B5B2B">
            <w:pPr>
              <w:spacing w:line="276" w:lineRule="auto"/>
              <w:rPr>
                <w:sz w:val="16"/>
                <w:szCs w:val="16"/>
              </w:rPr>
            </w:pPr>
            <w:r>
              <w:rPr>
                <w:sz w:val="16"/>
                <w:szCs w:val="16"/>
              </w:rPr>
              <w:t>Proportion valley (REM &lt; 0.05)</w:t>
            </w:r>
          </w:p>
        </w:tc>
        <w:tc>
          <w:tcPr>
            <w:tcW w:w="997" w:type="dxa"/>
            <w:vAlign w:val="bottom"/>
          </w:tcPr>
          <w:p w14:paraId="2EA6C594" w14:textId="20914622" w:rsidR="004D580D" w:rsidRDefault="004D580D" w:rsidP="004B5B2B">
            <w:pPr>
              <w:spacing w:line="276" w:lineRule="auto"/>
              <w:rPr>
                <w:sz w:val="16"/>
                <w:szCs w:val="16"/>
              </w:rPr>
            </w:pPr>
            <w:r>
              <w:rPr>
                <w:sz w:val="16"/>
                <w:szCs w:val="16"/>
              </w:rPr>
              <w:t xml:space="preserve">Proportion crest (REM </w:t>
            </w:r>
            <w:r w:rsidR="00E54B08">
              <w:rPr>
                <w:sz w:val="16"/>
                <w:szCs w:val="16"/>
              </w:rPr>
              <w:t xml:space="preserve">&gt; </w:t>
            </w:r>
            <w:r>
              <w:rPr>
                <w:sz w:val="16"/>
                <w:szCs w:val="16"/>
              </w:rPr>
              <w:t>0.9)</w:t>
            </w:r>
          </w:p>
        </w:tc>
        <w:tc>
          <w:tcPr>
            <w:tcW w:w="990" w:type="dxa"/>
            <w:vAlign w:val="bottom"/>
          </w:tcPr>
          <w:p w14:paraId="4EF6892B" w14:textId="77777777" w:rsidR="004D580D" w:rsidRDefault="004D580D" w:rsidP="004B5B2B">
            <w:pPr>
              <w:spacing w:line="276" w:lineRule="auto"/>
              <w:rPr>
                <w:sz w:val="16"/>
                <w:szCs w:val="16"/>
              </w:rPr>
            </w:pPr>
            <w:r>
              <w:rPr>
                <w:sz w:val="16"/>
                <w:szCs w:val="16"/>
              </w:rPr>
              <w:t>Proportion vegetation cover &gt; 1 m</w:t>
            </w:r>
          </w:p>
        </w:tc>
        <w:tc>
          <w:tcPr>
            <w:tcW w:w="1170" w:type="dxa"/>
            <w:vAlign w:val="bottom"/>
          </w:tcPr>
          <w:p w14:paraId="62F91E9F" w14:textId="77777777" w:rsidR="004D580D" w:rsidRDefault="004D580D" w:rsidP="004B5B2B">
            <w:pPr>
              <w:spacing w:line="276" w:lineRule="auto"/>
              <w:rPr>
                <w:sz w:val="16"/>
                <w:szCs w:val="16"/>
              </w:rPr>
            </w:pPr>
            <w:r>
              <w:rPr>
                <w:sz w:val="16"/>
                <w:szCs w:val="16"/>
              </w:rPr>
              <w:t>Tree cover (proportion of vegetation cover &gt; 3 m)</w:t>
            </w:r>
          </w:p>
        </w:tc>
        <w:tc>
          <w:tcPr>
            <w:tcW w:w="1350" w:type="dxa"/>
            <w:vAlign w:val="bottom"/>
          </w:tcPr>
          <w:p w14:paraId="0A18981A" w14:textId="77777777" w:rsidR="004D580D" w:rsidRDefault="004D580D" w:rsidP="004B5B2B">
            <w:pPr>
              <w:spacing w:line="276" w:lineRule="auto"/>
              <w:rPr>
                <w:sz w:val="16"/>
                <w:szCs w:val="16"/>
              </w:rPr>
            </w:pPr>
            <w:r>
              <w:rPr>
                <w:sz w:val="16"/>
                <w:szCs w:val="16"/>
              </w:rPr>
              <w:t>Shrub cover (proportion of vegetation cover &gt; 1 &amp; &lt; 3 m)</w:t>
            </w:r>
          </w:p>
        </w:tc>
      </w:tr>
      <w:tr w:rsidR="00E54B08" w14:paraId="010071DF" w14:textId="77777777" w:rsidTr="00E54B08">
        <w:tc>
          <w:tcPr>
            <w:tcW w:w="938" w:type="dxa"/>
            <w:vAlign w:val="bottom"/>
          </w:tcPr>
          <w:p w14:paraId="627FF43A" w14:textId="77777777" w:rsidR="004D580D" w:rsidRDefault="004D580D" w:rsidP="004B5B2B">
            <w:pPr>
              <w:spacing w:line="276" w:lineRule="auto"/>
              <w:rPr>
                <w:sz w:val="16"/>
                <w:szCs w:val="16"/>
              </w:rPr>
            </w:pPr>
            <w:r>
              <w:rPr>
                <w:sz w:val="16"/>
                <w:szCs w:val="16"/>
              </w:rPr>
              <w:t>Agriculture</w:t>
            </w:r>
          </w:p>
        </w:tc>
        <w:tc>
          <w:tcPr>
            <w:tcW w:w="857" w:type="dxa"/>
            <w:vAlign w:val="bottom"/>
          </w:tcPr>
          <w:p w14:paraId="61C939D9" w14:textId="77777777" w:rsidR="004D580D" w:rsidRDefault="004D580D" w:rsidP="004B5B2B">
            <w:pPr>
              <w:spacing w:line="276" w:lineRule="auto"/>
              <w:jc w:val="right"/>
              <w:rPr>
                <w:sz w:val="16"/>
                <w:szCs w:val="16"/>
              </w:rPr>
            </w:pPr>
            <w:r>
              <w:rPr>
                <w:sz w:val="16"/>
                <w:szCs w:val="16"/>
              </w:rPr>
              <w:t>2328.89</w:t>
            </w:r>
          </w:p>
        </w:tc>
        <w:tc>
          <w:tcPr>
            <w:tcW w:w="809" w:type="dxa"/>
            <w:vAlign w:val="bottom"/>
          </w:tcPr>
          <w:p w14:paraId="7FBD1F6E" w14:textId="77777777" w:rsidR="004D580D" w:rsidRDefault="004D580D" w:rsidP="004B5B2B">
            <w:pPr>
              <w:spacing w:line="276" w:lineRule="auto"/>
              <w:jc w:val="right"/>
              <w:rPr>
                <w:sz w:val="16"/>
                <w:szCs w:val="16"/>
              </w:rPr>
            </w:pPr>
            <w:r>
              <w:rPr>
                <w:sz w:val="16"/>
                <w:szCs w:val="16"/>
              </w:rPr>
              <w:t>1039</w:t>
            </w:r>
          </w:p>
        </w:tc>
        <w:tc>
          <w:tcPr>
            <w:tcW w:w="1257" w:type="dxa"/>
            <w:vAlign w:val="bottom"/>
          </w:tcPr>
          <w:p w14:paraId="156BCADB" w14:textId="77777777" w:rsidR="004D580D" w:rsidRDefault="004D580D" w:rsidP="004B5B2B">
            <w:pPr>
              <w:spacing w:line="276" w:lineRule="auto"/>
              <w:jc w:val="right"/>
              <w:rPr>
                <w:sz w:val="16"/>
                <w:szCs w:val="16"/>
              </w:rPr>
            </w:pPr>
            <w:r>
              <w:rPr>
                <w:sz w:val="16"/>
                <w:szCs w:val="16"/>
              </w:rPr>
              <w:t>0.48</w:t>
            </w:r>
          </w:p>
        </w:tc>
        <w:tc>
          <w:tcPr>
            <w:tcW w:w="1257" w:type="dxa"/>
            <w:vAlign w:val="bottom"/>
          </w:tcPr>
          <w:p w14:paraId="6351EBD4" w14:textId="77777777" w:rsidR="004D580D" w:rsidRDefault="004D580D" w:rsidP="004B5B2B">
            <w:pPr>
              <w:spacing w:line="276" w:lineRule="auto"/>
              <w:jc w:val="right"/>
              <w:rPr>
                <w:sz w:val="16"/>
                <w:szCs w:val="16"/>
              </w:rPr>
            </w:pPr>
            <w:r>
              <w:rPr>
                <w:sz w:val="16"/>
                <w:szCs w:val="16"/>
              </w:rPr>
              <w:t>0.10</w:t>
            </w:r>
          </w:p>
        </w:tc>
        <w:tc>
          <w:tcPr>
            <w:tcW w:w="1080" w:type="dxa"/>
            <w:vAlign w:val="bottom"/>
          </w:tcPr>
          <w:p w14:paraId="58D10DAA" w14:textId="77777777" w:rsidR="004D580D" w:rsidRDefault="004D580D" w:rsidP="004B5B2B">
            <w:pPr>
              <w:spacing w:line="276" w:lineRule="auto"/>
              <w:jc w:val="right"/>
              <w:rPr>
                <w:sz w:val="16"/>
                <w:szCs w:val="16"/>
              </w:rPr>
            </w:pPr>
            <w:r>
              <w:rPr>
                <w:sz w:val="16"/>
                <w:szCs w:val="16"/>
              </w:rPr>
              <w:t>0.45</w:t>
            </w:r>
          </w:p>
        </w:tc>
        <w:tc>
          <w:tcPr>
            <w:tcW w:w="895" w:type="dxa"/>
            <w:vAlign w:val="bottom"/>
          </w:tcPr>
          <w:p w14:paraId="670610F1" w14:textId="77777777" w:rsidR="004D580D" w:rsidRDefault="004D580D" w:rsidP="004B5B2B">
            <w:pPr>
              <w:spacing w:line="276" w:lineRule="auto"/>
              <w:jc w:val="right"/>
              <w:rPr>
                <w:sz w:val="16"/>
                <w:szCs w:val="16"/>
              </w:rPr>
            </w:pPr>
            <w:r>
              <w:rPr>
                <w:sz w:val="16"/>
                <w:szCs w:val="16"/>
              </w:rPr>
              <w:t>1.19</w:t>
            </w:r>
          </w:p>
        </w:tc>
        <w:tc>
          <w:tcPr>
            <w:tcW w:w="895" w:type="dxa"/>
            <w:vAlign w:val="bottom"/>
          </w:tcPr>
          <w:p w14:paraId="6EC4D3C0" w14:textId="77777777" w:rsidR="004D580D" w:rsidRDefault="004D580D" w:rsidP="004B5B2B">
            <w:pPr>
              <w:spacing w:line="276" w:lineRule="auto"/>
              <w:jc w:val="right"/>
              <w:rPr>
                <w:sz w:val="16"/>
                <w:szCs w:val="16"/>
              </w:rPr>
            </w:pPr>
            <w:r>
              <w:rPr>
                <w:sz w:val="16"/>
                <w:szCs w:val="16"/>
              </w:rPr>
              <w:t>0.41</w:t>
            </w:r>
          </w:p>
        </w:tc>
        <w:tc>
          <w:tcPr>
            <w:tcW w:w="1000" w:type="dxa"/>
            <w:vAlign w:val="bottom"/>
          </w:tcPr>
          <w:p w14:paraId="0FFC63AA" w14:textId="77777777" w:rsidR="004D580D" w:rsidRDefault="004D580D" w:rsidP="004B5B2B">
            <w:pPr>
              <w:spacing w:line="276" w:lineRule="auto"/>
              <w:jc w:val="right"/>
              <w:rPr>
                <w:sz w:val="16"/>
                <w:szCs w:val="16"/>
              </w:rPr>
            </w:pPr>
            <w:r>
              <w:rPr>
                <w:sz w:val="16"/>
                <w:szCs w:val="16"/>
              </w:rPr>
              <w:t>0.09</w:t>
            </w:r>
          </w:p>
        </w:tc>
        <w:tc>
          <w:tcPr>
            <w:tcW w:w="997" w:type="dxa"/>
            <w:vAlign w:val="bottom"/>
          </w:tcPr>
          <w:p w14:paraId="60882E6C" w14:textId="77777777" w:rsidR="004D580D" w:rsidRDefault="004D580D" w:rsidP="004B5B2B">
            <w:pPr>
              <w:spacing w:line="276" w:lineRule="auto"/>
              <w:jc w:val="right"/>
              <w:rPr>
                <w:sz w:val="16"/>
                <w:szCs w:val="16"/>
              </w:rPr>
            </w:pPr>
            <w:r>
              <w:rPr>
                <w:sz w:val="16"/>
                <w:szCs w:val="16"/>
              </w:rPr>
              <w:t>0.12</w:t>
            </w:r>
          </w:p>
        </w:tc>
        <w:tc>
          <w:tcPr>
            <w:tcW w:w="990" w:type="dxa"/>
            <w:vAlign w:val="bottom"/>
          </w:tcPr>
          <w:p w14:paraId="6369D1E1" w14:textId="77777777" w:rsidR="004D580D" w:rsidRDefault="004D580D" w:rsidP="004B5B2B">
            <w:pPr>
              <w:spacing w:line="276" w:lineRule="auto"/>
              <w:jc w:val="right"/>
              <w:rPr>
                <w:sz w:val="16"/>
                <w:szCs w:val="16"/>
              </w:rPr>
            </w:pPr>
            <w:r>
              <w:rPr>
                <w:sz w:val="16"/>
                <w:szCs w:val="16"/>
              </w:rPr>
              <w:t>0.11</w:t>
            </w:r>
          </w:p>
        </w:tc>
        <w:tc>
          <w:tcPr>
            <w:tcW w:w="1170" w:type="dxa"/>
            <w:vAlign w:val="bottom"/>
          </w:tcPr>
          <w:p w14:paraId="6DA58D1C" w14:textId="77777777" w:rsidR="004D580D" w:rsidRDefault="004D580D" w:rsidP="004B5B2B">
            <w:pPr>
              <w:spacing w:line="276" w:lineRule="auto"/>
              <w:jc w:val="right"/>
              <w:rPr>
                <w:sz w:val="16"/>
                <w:szCs w:val="16"/>
              </w:rPr>
            </w:pPr>
            <w:r>
              <w:rPr>
                <w:sz w:val="16"/>
                <w:szCs w:val="16"/>
              </w:rPr>
              <w:t>0.05</w:t>
            </w:r>
          </w:p>
        </w:tc>
        <w:tc>
          <w:tcPr>
            <w:tcW w:w="1350" w:type="dxa"/>
            <w:vAlign w:val="bottom"/>
          </w:tcPr>
          <w:p w14:paraId="03236C5A" w14:textId="77777777" w:rsidR="004D580D" w:rsidRDefault="004D580D" w:rsidP="004B5B2B">
            <w:pPr>
              <w:spacing w:line="276" w:lineRule="auto"/>
              <w:jc w:val="right"/>
              <w:rPr>
                <w:sz w:val="16"/>
                <w:szCs w:val="16"/>
              </w:rPr>
            </w:pPr>
            <w:r>
              <w:rPr>
                <w:sz w:val="16"/>
                <w:szCs w:val="16"/>
              </w:rPr>
              <w:t>0.06</w:t>
            </w:r>
          </w:p>
        </w:tc>
      </w:tr>
      <w:tr w:rsidR="00E54B08" w14:paraId="4AD685BC" w14:textId="77777777" w:rsidTr="00E54B08">
        <w:tc>
          <w:tcPr>
            <w:tcW w:w="938" w:type="dxa"/>
            <w:vAlign w:val="bottom"/>
          </w:tcPr>
          <w:p w14:paraId="091D1BD5" w14:textId="77777777" w:rsidR="004D580D" w:rsidRDefault="004D580D" w:rsidP="004B5B2B">
            <w:pPr>
              <w:spacing w:line="276" w:lineRule="auto"/>
              <w:rPr>
                <w:sz w:val="16"/>
                <w:szCs w:val="16"/>
              </w:rPr>
            </w:pPr>
            <w:r>
              <w:rPr>
                <w:sz w:val="16"/>
                <w:szCs w:val="16"/>
              </w:rPr>
              <w:t>Grazing</w:t>
            </w:r>
          </w:p>
        </w:tc>
        <w:tc>
          <w:tcPr>
            <w:tcW w:w="857" w:type="dxa"/>
            <w:vAlign w:val="bottom"/>
          </w:tcPr>
          <w:p w14:paraId="3CC17E1C" w14:textId="77777777" w:rsidR="004D580D" w:rsidRDefault="004D580D" w:rsidP="004B5B2B">
            <w:pPr>
              <w:spacing w:line="276" w:lineRule="auto"/>
              <w:jc w:val="right"/>
              <w:rPr>
                <w:sz w:val="16"/>
                <w:szCs w:val="16"/>
              </w:rPr>
            </w:pPr>
            <w:r>
              <w:rPr>
                <w:sz w:val="16"/>
                <w:szCs w:val="16"/>
              </w:rPr>
              <w:t>9341.57</w:t>
            </w:r>
          </w:p>
        </w:tc>
        <w:tc>
          <w:tcPr>
            <w:tcW w:w="809" w:type="dxa"/>
            <w:vAlign w:val="bottom"/>
          </w:tcPr>
          <w:p w14:paraId="660FC6AD" w14:textId="77777777" w:rsidR="004D580D" w:rsidRDefault="004D580D" w:rsidP="004B5B2B">
            <w:pPr>
              <w:spacing w:line="276" w:lineRule="auto"/>
              <w:jc w:val="right"/>
              <w:rPr>
                <w:sz w:val="16"/>
                <w:szCs w:val="16"/>
              </w:rPr>
            </w:pPr>
            <w:r>
              <w:rPr>
                <w:sz w:val="16"/>
                <w:szCs w:val="16"/>
              </w:rPr>
              <w:t>3082</w:t>
            </w:r>
          </w:p>
        </w:tc>
        <w:tc>
          <w:tcPr>
            <w:tcW w:w="1257" w:type="dxa"/>
            <w:vAlign w:val="bottom"/>
          </w:tcPr>
          <w:p w14:paraId="0645CA58" w14:textId="77777777" w:rsidR="004D580D" w:rsidRDefault="004D580D" w:rsidP="004B5B2B">
            <w:pPr>
              <w:spacing w:line="276" w:lineRule="auto"/>
              <w:jc w:val="right"/>
              <w:rPr>
                <w:sz w:val="16"/>
                <w:szCs w:val="16"/>
              </w:rPr>
            </w:pPr>
            <w:r>
              <w:rPr>
                <w:sz w:val="16"/>
                <w:szCs w:val="16"/>
              </w:rPr>
              <w:t>0.34</w:t>
            </w:r>
          </w:p>
        </w:tc>
        <w:tc>
          <w:tcPr>
            <w:tcW w:w="1257" w:type="dxa"/>
            <w:vAlign w:val="bottom"/>
          </w:tcPr>
          <w:p w14:paraId="3E70503C" w14:textId="77777777" w:rsidR="004D580D" w:rsidRDefault="004D580D" w:rsidP="004B5B2B">
            <w:pPr>
              <w:spacing w:line="276" w:lineRule="auto"/>
              <w:jc w:val="right"/>
              <w:rPr>
                <w:sz w:val="16"/>
                <w:szCs w:val="16"/>
              </w:rPr>
            </w:pPr>
            <w:r>
              <w:rPr>
                <w:sz w:val="16"/>
                <w:szCs w:val="16"/>
              </w:rPr>
              <w:t>0.14</w:t>
            </w:r>
          </w:p>
        </w:tc>
        <w:tc>
          <w:tcPr>
            <w:tcW w:w="1080" w:type="dxa"/>
            <w:vAlign w:val="bottom"/>
          </w:tcPr>
          <w:p w14:paraId="75C2E576" w14:textId="77777777" w:rsidR="004D580D" w:rsidRDefault="004D580D" w:rsidP="004B5B2B">
            <w:pPr>
              <w:spacing w:line="276" w:lineRule="auto"/>
              <w:jc w:val="right"/>
              <w:rPr>
                <w:sz w:val="16"/>
                <w:szCs w:val="16"/>
              </w:rPr>
            </w:pPr>
            <w:r>
              <w:rPr>
                <w:sz w:val="16"/>
                <w:szCs w:val="16"/>
              </w:rPr>
              <w:t>0.33</w:t>
            </w:r>
          </w:p>
        </w:tc>
        <w:tc>
          <w:tcPr>
            <w:tcW w:w="895" w:type="dxa"/>
            <w:vAlign w:val="bottom"/>
          </w:tcPr>
          <w:p w14:paraId="50E9CDA3" w14:textId="77777777" w:rsidR="004D580D" w:rsidRDefault="004D580D" w:rsidP="004B5B2B">
            <w:pPr>
              <w:spacing w:line="276" w:lineRule="auto"/>
              <w:jc w:val="right"/>
              <w:rPr>
                <w:sz w:val="16"/>
                <w:szCs w:val="16"/>
              </w:rPr>
            </w:pPr>
            <w:r>
              <w:rPr>
                <w:sz w:val="16"/>
                <w:szCs w:val="16"/>
              </w:rPr>
              <w:t>1.15</w:t>
            </w:r>
          </w:p>
        </w:tc>
        <w:tc>
          <w:tcPr>
            <w:tcW w:w="895" w:type="dxa"/>
            <w:vAlign w:val="bottom"/>
          </w:tcPr>
          <w:p w14:paraId="3482C41A" w14:textId="77777777" w:rsidR="004D580D" w:rsidRDefault="004D580D" w:rsidP="004B5B2B">
            <w:pPr>
              <w:spacing w:line="276" w:lineRule="auto"/>
              <w:jc w:val="right"/>
              <w:rPr>
                <w:sz w:val="16"/>
                <w:szCs w:val="16"/>
              </w:rPr>
            </w:pPr>
            <w:r>
              <w:rPr>
                <w:sz w:val="16"/>
                <w:szCs w:val="16"/>
              </w:rPr>
              <w:t>0.39</w:t>
            </w:r>
          </w:p>
        </w:tc>
        <w:tc>
          <w:tcPr>
            <w:tcW w:w="1000" w:type="dxa"/>
            <w:vAlign w:val="bottom"/>
          </w:tcPr>
          <w:p w14:paraId="17A9E3C7" w14:textId="77777777" w:rsidR="004D580D" w:rsidRDefault="004D580D" w:rsidP="004B5B2B">
            <w:pPr>
              <w:spacing w:line="276" w:lineRule="auto"/>
              <w:jc w:val="right"/>
              <w:rPr>
                <w:sz w:val="16"/>
                <w:szCs w:val="16"/>
              </w:rPr>
            </w:pPr>
            <w:r>
              <w:rPr>
                <w:sz w:val="16"/>
                <w:szCs w:val="16"/>
              </w:rPr>
              <w:t>0.09</w:t>
            </w:r>
          </w:p>
        </w:tc>
        <w:tc>
          <w:tcPr>
            <w:tcW w:w="997" w:type="dxa"/>
            <w:vAlign w:val="bottom"/>
          </w:tcPr>
          <w:p w14:paraId="6B9403F6" w14:textId="77777777" w:rsidR="004D580D" w:rsidRDefault="004D580D" w:rsidP="004B5B2B">
            <w:pPr>
              <w:spacing w:line="276" w:lineRule="auto"/>
              <w:jc w:val="right"/>
              <w:rPr>
                <w:sz w:val="16"/>
                <w:szCs w:val="16"/>
              </w:rPr>
            </w:pPr>
            <w:r>
              <w:rPr>
                <w:sz w:val="16"/>
                <w:szCs w:val="16"/>
              </w:rPr>
              <w:t>0.11</w:t>
            </w:r>
          </w:p>
        </w:tc>
        <w:tc>
          <w:tcPr>
            <w:tcW w:w="990" w:type="dxa"/>
            <w:vAlign w:val="bottom"/>
          </w:tcPr>
          <w:p w14:paraId="2868D6D3" w14:textId="77777777" w:rsidR="004D580D" w:rsidRDefault="004D580D" w:rsidP="004B5B2B">
            <w:pPr>
              <w:spacing w:line="276" w:lineRule="auto"/>
              <w:jc w:val="right"/>
              <w:rPr>
                <w:sz w:val="16"/>
                <w:szCs w:val="16"/>
              </w:rPr>
            </w:pPr>
            <w:r>
              <w:rPr>
                <w:sz w:val="16"/>
                <w:szCs w:val="16"/>
              </w:rPr>
              <w:t>0.31</w:t>
            </w:r>
          </w:p>
        </w:tc>
        <w:tc>
          <w:tcPr>
            <w:tcW w:w="1170" w:type="dxa"/>
            <w:vAlign w:val="bottom"/>
          </w:tcPr>
          <w:p w14:paraId="59062A34" w14:textId="77777777" w:rsidR="004D580D" w:rsidRDefault="004D580D" w:rsidP="004B5B2B">
            <w:pPr>
              <w:spacing w:line="276" w:lineRule="auto"/>
              <w:jc w:val="right"/>
              <w:rPr>
                <w:sz w:val="16"/>
                <w:szCs w:val="16"/>
              </w:rPr>
            </w:pPr>
            <w:r>
              <w:rPr>
                <w:sz w:val="16"/>
                <w:szCs w:val="16"/>
              </w:rPr>
              <w:t>0.12</w:t>
            </w:r>
          </w:p>
        </w:tc>
        <w:tc>
          <w:tcPr>
            <w:tcW w:w="1350" w:type="dxa"/>
            <w:vAlign w:val="bottom"/>
          </w:tcPr>
          <w:p w14:paraId="5C8DE6A7" w14:textId="77777777" w:rsidR="004D580D" w:rsidRDefault="004D580D" w:rsidP="004B5B2B">
            <w:pPr>
              <w:spacing w:line="276" w:lineRule="auto"/>
              <w:jc w:val="right"/>
              <w:rPr>
                <w:sz w:val="16"/>
                <w:szCs w:val="16"/>
              </w:rPr>
            </w:pPr>
            <w:r>
              <w:rPr>
                <w:sz w:val="16"/>
                <w:szCs w:val="16"/>
              </w:rPr>
              <w:t>0.20</w:t>
            </w:r>
          </w:p>
        </w:tc>
      </w:tr>
      <w:tr w:rsidR="00E54B08" w14:paraId="3FBB3DEB" w14:textId="77777777" w:rsidTr="00E54B08">
        <w:tc>
          <w:tcPr>
            <w:tcW w:w="938" w:type="dxa"/>
            <w:vAlign w:val="bottom"/>
          </w:tcPr>
          <w:p w14:paraId="22D55ACF" w14:textId="77777777" w:rsidR="004D580D" w:rsidRDefault="004D580D" w:rsidP="004B5B2B">
            <w:pPr>
              <w:spacing w:line="276" w:lineRule="auto"/>
              <w:rPr>
                <w:sz w:val="16"/>
                <w:szCs w:val="16"/>
              </w:rPr>
            </w:pPr>
            <w:r>
              <w:rPr>
                <w:sz w:val="16"/>
                <w:szCs w:val="16"/>
              </w:rPr>
              <w:t>Kruger</w:t>
            </w:r>
          </w:p>
        </w:tc>
        <w:tc>
          <w:tcPr>
            <w:tcW w:w="857" w:type="dxa"/>
            <w:vAlign w:val="bottom"/>
          </w:tcPr>
          <w:p w14:paraId="6E09850C" w14:textId="77777777" w:rsidR="004D580D" w:rsidRDefault="004D580D" w:rsidP="004B5B2B">
            <w:pPr>
              <w:spacing w:line="276" w:lineRule="auto"/>
              <w:jc w:val="right"/>
              <w:rPr>
                <w:sz w:val="16"/>
                <w:szCs w:val="16"/>
              </w:rPr>
            </w:pPr>
            <w:r>
              <w:rPr>
                <w:sz w:val="16"/>
                <w:szCs w:val="16"/>
              </w:rPr>
              <w:t>51196.92</w:t>
            </w:r>
          </w:p>
        </w:tc>
        <w:tc>
          <w:tcPr>
            <w:tcW w:w="809" w:type="dxa"/>
            <w:vAlign w:val="bottom"/>
          </w:tcPr>
          <w:p w14:paraId="7E4212FE" w14:textId="77777777" w:rsidR="004D580D" w:rsidRDefault="004D580D" w:rsidP="004B5B2B">
            <w:pPr>
              <w:spacing w:line="276" w:lineRule="auto"/>
              <w:jc w:val="right"/>
              <w:rPr>
                <w:sz w:val="16"/>
                <w:szCs w:val="16"/>
              </w:rPr>
            </w:pPr>
            <w:r>
              <w:rPr>
                <w:sz w:val="16"/>
                <w:szCs w:val="16"/>
              </w:rPr>
              <w:t>31994</w:t>
            </w:r>
          </w:p>
        </w:tc>
        <w:tc>
          <w:tcPr>
            <w:tcW w:w="1257" w:type="dxa"/>
            <w:vAlign w:val="bottom"/>
          </w:tcPr>
          <w:p w14:paraId="47DFA15E" w14:textId="77777777" w:rsidR="004D580D" w:rsidRDefault="004D580D" w:rsidP="004B5B2B">
            <w:pPr>
              <w:spacing w:line="276" w:lineRule="auto"/>
              <w:jc w:val="right"/>
              <w:rPr>
                <w:sz w:val="16"/>
                <w:szCs w:val="16"/>
              </w:rPr>
            </w:pPr>
            <w:r>
              <w:rPr>
                <w:sz w:val="16"/>
                <w:szCs w:val="16"/>
              </w:rPr>
              <w:t>0.62</w:t>
            </w:r>
          </w:p>
        </w:tc>
        <w:tc>
          <w:tcPr>
            <w:tcW w:w="1257" w:type="dxa"/>
            <w:vAlign w:val="bottom"/>
          </w:tcPr>
          <w:p w14:paraId="693E802B" w14:textId="77777777" w:rsidR="004D580D" w:rsidRDefault="004D580D" w:rsidP="004B5B2B">
            <w:pPr>
              <w:spacing w:line="276" w:lineRule="auto"/>
              <w:jc w:val="right"/>
              <w:rPr>
                <w:sz w:val="16"/>
                <w:szCs w:val="16"/>
              </w:rPr>
            </w:pPr>
            <w:r>
              <w:rPr>
                <w:sz w:val="16"/>
                <w:szCs w:val="16"/>
              </w:rPr>
              <w:t>0.27</w:t>
            </w:r>
          </w:p>
        </w:tc>
        <w:tc>
          <w:tcPr>
            <w:tcW w:w="1080" w:type="dxa"/>
            <w:vAlign w:val="bottom"/>
          </w:tcPr>
          <w:p w14:paraId="1DC7D67A" w14:textId="77777777" w:rsidR="004D580D" w:rsidRDefault="004D580D" w:rsidP="004B5B2B">
            <w:pPr>
              <w:spacing w:line="276" w:lineRule="auto"/>
              <w:jc w:val="right"/>
              <w:rPr>
                <w:sz w:val="16"/>
                <w:szCs w:val="16"/>
              </w:rPr>
            </w:pPr>
            <w:r>
              <w:rPr>
                <w:sz w:val="16"/>
                <w:szCs w:val="16"/>
              </w:rPr>
              <w:t>0.62</w:t>
            </w:r>
          </w:p>
        </w:tc>
        <w:tc>
          <w:tcPr>
            <w:tcW w:w="895" w:type="dxa"/>
            <w:vAlign w:val="bottom"/>
          </w:tcPr>
          <w:p w14:paraId="167BCC88" w14:textId="77777777" w:rsidR="004D580D" w:rsidRDefault="004D580D" w:rsidP="004B5B2B">
            <w:pPr>
              <w:spacing w:line="276" w:lineRule="auto"/>
              <w:jc w:val="right"/>
              <w:rPr>
                <w:sz w:val="16"/>
                <w:szCs w:val="16"/>
              </w:rPr>
            </w:pPr>
            <w:r>
              <w:rPr>
                <w:sz w:val="16"/>
                <w:szCs w:val="16"/>
              </w:rPr>
              <w:t>1.27</w:t>
            </w:r>
          </w:p>
        </w:tc>
        <w:tc>
          <w:tcPr>
            <w:tcW w:w="895" w:type="dxa"/>
            <w:vAlign w:val="bottom"/>
          </w:tcPr>
          <w:p w14:paraId="26623874" w14:textId="77777777" w:rsidR="004D580D" w:rsidRDefault="004D580D" w:rsidP="004B5B2B">
            <w:pPr>
              <w:spacing w:line="276" w:lineRule="auto"/>
              <w:jc w:val="right"/>
              <w:rPr>
                <w:sz w:val="16"/>
                <w:szCs w:val="16"/>
              </w:rPr>
            </w:pPr>
            <w:r>
              <w:rPr>
                <w:sz w:val="16"/>
                <w:szCs w:val="16"/>
              </w:rPr>
              <w:t>0.45</w:t>
            </w:r>
          </w:p>
        </w:tc>
        <w:tc>
          <w:tcPr>
            <w:tcW w:w="1000" w:type="dxa"/>
            <w:vAlign w:val="bottom"/>
          </w:tcPr>
          <w:p w14:paraId="211C72B7" w14:textId="77777777" w:rsidR="004D580D" w:rsidRDefault="004D580D" w:rsidP="004B5B2B">
            <w:pPr>
              <w:spacing w:line="276" w:lineRule="auto"/>
              <w:jc w:val="right"/>
              <w:rPr>
                <w:sz w:val="16"/>
                <w:szCs w:val="16"/>
              </w:rPr>
            </w:pPr>
            <w:r>
              <w:rPr>
                <w:sz w:val="16"/>
                <w:szCs w:val="16"/>
              </w:rPr>
              <w:t>0.11</w:t>
            </w:r>
          </w:p>
        </w:tc>
        <w:tc>
          <w:tcPr>
            <w:tcW w:w="997" w:type="dxa"/>
            <w:vAlign w:val="bottom"/>
          </w:tcPr>
          <w:p w14:paraId="5B698F46" w14:textId="77777777" w:rsidR="004D580D" w:rsidRDefault="004D580D" w:rsidP="004B5B2B">
            <w:pPr>
              <w:spacing w:line="276" w:lineRule="auto"/>
              <w:jc w:val="right"/>
              <w:rPr>
                <w:sz w:val="16"/>
                <w:szCs w:val="16"/>
              </w:rPr>
            </w:pPr>
            <w:r>
              <w:rPr>
                <w:sz w:val="16"/>
                <w:szCs w:val="16"/>
              </w:rPr>
              <w:t>0.08</w:t>
            </w:r>
          </w:p>
        </w:tc>
        <w:tc>
          <w:tcPr>
            <w:tcW w:w="990" w:type="dxa"/>
            <w:vAlign w:val="bottom"/>
          </w:tcPr>
          <w:p w14:paraId="7BAA647E" w14:textId="77777777" w:rsidR="004D580D" w:rsidRDefault="004D580D" w:rsidP="004B5B2B">
            <w:pPr>
              <w:spacing w:line="276" w:lineRule="auto"/>
              <w:jc w:val="right"/>
              <w:rPr>
                <w:sz w:val="16"/>
                <w:szCs w:val="16"/>
              </w:rPr>
            </w:pPr>
            <w:r>
              <w:rPr>
                <w:sz w:val="16"/>
                <w:szCs w:val="16"/>
              </w:rPr>
              <w:t>0.27</w:t>
            </w:r>
          </w:p>
        </w:tc>
        <w:tc>
          <w:tcPr>
            <w:tcW w:w="1170" w:type="dxa"/>
            <w:vAlign w:val="bottom"/>
          </w:tcPr>
          <w:p w14:paraId="52DE1D79" w14:textId="77777777" w:rsidR="004D580D" w:rsidRDefault="004D580D" w:rsidP="004B5B2B">
            <w:pPr>
              <w:spacing w:line="276" w:lineRule="auto"/>
              <w:jc w:val="right"/>
              <w:rPr>
                <w:sz w:val="16"/>
                <w:szCs w:val="16"/>
              </w:rPr>
            </w:pPr>
            <w:r>
              <w:rPr>
                <w:sz w:val="16"/>
                <w:szCs w:val="16"/>
              </w:rPr>
              <w:t>0.14</w:t>
            </w:r>
          </w:p>
        </w:tc>
        <w:tc>
          <w:tcPr>
            <w:tcW w:w="1350" w:type="dxa"/>
            <w:vAlign w:val="bottom"/>
          </w:tcPr>
          <w:p w14:paraId="2E1D93C8" w14:textId="77777777" w:rsidR="004D580D" w:rsidRDefault="004D580D" w:rsidP="004B5B2B">
            <w:pPr>
              <w:spacing w:line="276" w:lineRule="auto"/>
              <w:jc w:val="right"/>
              <w:rPr>
                <w:sz w:val="16"/>
                <w:szCs w:val="16"/>
              </w:rPr>
            </w:pPr>
            <w:r>
              <w:rPr>
                <w:sz w:val="16"/>
                <w:szCs w:val="16"/>
              </w:rPr>
              <w:t>0.13</w:t>
            </w:r>
          </w:p>
        </w:tc>
      </w:tr>
      <w:tr w:rsidR="00E54B08" w14:paraId="1AD0F766" w14:textId="77777777" w:rsidTr="00E54B08">
        <w:tc>
          <w:tcPr>
            <w:tcW w:w="938" w:type="dxa"/>
            <w:vAlign w:val="bottom"/>
          </w:tcPr>
          <w:p w14:paraId="0D43272F" w14:textId="77777777" w:rsidR="004D580D" w:rsidRDefault="004D580D" w:rsidP="004B5B2B">
            <w:pPr>
              <w:spacing w:line="276" w:lineRule="auto"/>
              <w:rPr>
                <w:sz w:val="16"/>
                <w:szCs w:val="16"/>
              </w:rPr>
            </w:pPr>
            <w:r>
              <w:rPr>
                <w:sz w:val="16"/>
                <w:szCs w:val="16"/>
              </w:rPr>
              <w:t>Private</w:t>
            </w:r>
          </w:p>
        </w:tc>
        <w:tc>
          <w:tcPr>
            <w:tcW w:w="857" w:type="dxa"/>
            <w:vAlign w:val="bottom"/>
          </w:tcPr>
          <w:p w14:paraId="6442DC23" w14:textId="77777777" w:rsidR="004D580D" w:rsidRDefault="004D580D" w:rsidP="004B5B2B">
            <w:pPr>
              <w:spacing w:line="276" w:lineRule="auto"/>
              <w:jc w:val="right"/>
              <w:rPr>
                <w:sz w:val="16"/>
                <w:szCs w:val="16"/>
              </w:rPr>
            </w:pPr>
            <w:r>
              <w:rPr>
                <w:sz w:val="16"/>
                <w:szCs w:val="16"/>
              </w:rPr>
              <w:t>13606.57</w:t>
            </w:r>
          </w:p>
        </w:tc>
        <w:tc>
          <w:tcPr>
            <w:tcW w:w="809" w:type="dxa"/>
            <w:vAlign w:val="bottom"/>
          </w:tcPr>
          <w:p w14:paraId="74040F0A" w14:textId="77777777" w:rsidR="004D580D" w:rsidRDefault="004D580D" w:rsidP="004B5B2B">
            <w:pPr>
              <w:spacing w:line="276" w:lineRule="auto"/>
              <w:jc w:val="right"/>
              <w:rPr>
                <w:sz w:val="16"/>
                <w:szCs w:val="16"/>
              </w:rPr>
            </w:pPr>
            <w:r>
              <w:rPr>
                <w:sz w:val="16"/>
                <w:szCs w:val="16"/>
              </w:rPr>
              <w:t>11127</w:t>
            </w:r>
          </w:p>
        </w:tc>
        <w:tc>
          <w:tcPr>
            <w:tcW w:w="1257" w:type="dxa"/>
            <w:vAlign w:val="bottom"/>
          </w:tcPr>
          <w:p w14:paraId="5AC1FB27" w14:textId="77777777" w:rsidR="004D580D" w:rsidRDefault="004D580D" w:rsidP="004B5B2B">
            <w:pPr>
              <w:spacing w:line="276" w:lineRule="auto"/>
              <w:jc w:val="right"/>
              <w:rPr>
                <w:sz w:val="16"/>
                <w:szCs w:val="16"/>
              </w:rPr>
            </w:pPr>
            <w:r>
              <w:rPr>
                <w:sz w:val="16"/>
                <w:szCs w:val="16"/>
              </w:rPr>
              <w:t>0.78</w:t>
            </w:r>
          </w:p>
        </w:tc>
        <w:tc>
          <w:tcPr>
            <w:tcW w:w="1257" w:type="dxa"/>
            <w:vAlign w:val="bottom"/>
          </w:tcPr>
          <w:p w14:paraId="5ECCDF35" w14:textId="77777777" w:rsidR="004D580D" w:rsidRDefault="004D580D" w:rsidP="004B5B2B">
            <w:pPr>
              <w:spacing w:line="276" w:lineRule="auto"/>
              <w:jc w:val="right"/>
              <w:rPr>
                <w:sz w:val="16"/>
                <w:szCs w:val="16"/>
              </w:rPr>
            </w:pPr>
            <w:r>
              <w:rPr>
                <w:sz w:val="16"/>
                <w:szCs w:val="16"/>
              </w:rPr>
              <w:t>0.30</w:t>
            </w:r>
          </w:p>
        </w:tc>
        <w:tc>
          <w:tcPr>
            <w:tcW w:w="1080" w:type="dxa"/>
            <w:vAlign w:val="bottom"/>
          </w:tcPr>
          <w:p w14:paraId="749BDE80" w14:textId="77777777" w:rsidR="004D580D" w:rsidRDefault="004D580D" w:rsidP="004B5B2B">
            <w:pPr>
              <w:spacing w:line="276" w:lineRule="auto"/>
              <w:jc w:val="right"/>
              <w:rPr>
                <w:sz w:val="16"/>
                <w:szCs w:val="16"/>
              </w:rPr>
            </w:pPr>
            <w:r>
              <w:rPr>
                <w:sz w:val="16"/>
                <w:szCs w:val="16"/>
              </w:rPr>
              <w:t>0.82</w:t>
            </w:r>
          </w:p>
        </w:tc>
        <w:tc>
          <w:tcPr>
            <w:tcW w:w="895" w:type="dxa"/>
            <w:vAlign w:val="bottom"/>
          </w:tcPr>
          <w:p w14:paraId="1AB3C412" w14:textId="77777777" w:rsidR="004D580D" w:rsidRDefault="004D580D" w:rsidP="004B5B2B">
            <w:pPr>
              <w:spacing w:line="276" w:lineRule="auto"/>
              <w:jc w:val="right"/>
              <w:rPr>
                <w:sz w:val="16"/>
                <w:szCs w:val="16"/>
              </w:rPr>
            </w:pPr>
            <w:r>
              <w:rPr>
                <w:sz w:val="16"/>
                <w:szCs w:val="16"/>
              </w:rPr>
              <w:t>1.37</w:t>
            </w:r>
          </w:p>
        </w:tc>
        <w:tc>
          <w:tcPr>
            <w:tcW w:w="895" w:type="dxa"/>
            <w:vAlign w:val="bottom"/>
          </w:tcPr>
          <w:p w14:paraId="7D75ABD8" w14:textId="77777777" w:rsidR="004D580D" w:rsidRDefault="004D580D" w:rsidP="004B5B2B">
            <w:pPr>
              <w:spacing w:line="276" w:lineRule="auto"/>
              <w:jc w:val="right"/>
              <w:rPr>
                <w:sz w:val="16"/>
                <w:szCs w:val="16"/>
              </w:rPr>
            </w:pPr>
            <w:r>
              <w:rPr>
                <w:sz w:val="16"/>
                <w:szCs w:val="16"/>
              </w:rPr>
              <w:t>0.50</w:t>
            </w:r>
          </w:p>
        </w:tc>
        <w:tc>
          <w:tcPr>
            <w:tcW w:w="1000" w:type="dxa"/>
            <w:vAlign w:val="bottom"/>
          </w:tcPr>
          <w:p w14:paraId="264E7E59" w14:textId="77777777" w:rsidR="004D580D" w:rsidRDefault="004D580D" w:rsidP="004B5B2B">
            <w:pPr>
              <w:spacing w:line="276" w:lineRule="auto"/>
              <w:jc w:val="right"/>
              <w:rPr>
                <w:sz w:val="16"/>
                <w:szCs w:val="16"/>
              </w:rPr>
            </w:pPr>
            <w:r>
              <w:rPr>
                <w:sz w:val="16"/>
                <w:szCs w:val="16"/>
              </w:rPr>
              <w:t>0.11</w:t>
            </w:r>
          </w:p>
        </w:tc>
        <w:tc>
          <w:tcPr>
            <w:tcW w:w="997" w:type="dxa"/>
            <w:vAlign w:val="bottom"/>
          </w:tcPr>
          <w:p w14:paraId="2C51DFFE" w14:textId="77777777" w:rsidR="004D580D" w:rsidRDefault="004D580D" w:rsidP="004B5B2B">
            <w:pPr>
              <w:spacing w:line="276" w:lineRule="auto"/>
              <w:jc w:val="right"/>
              <w:rPr>
                <w:sz w:val="16"/>
                <w:szCs w:val="16"/>
              </w:rPr>
            </w:pPr>
            <w:r>
              <w:rPr>
                <w:sz w:val="16"/>
                <w:szCs w:val="16"/>
              </w:rPr>
              <w:t>0.10</w:t>
            </w:r>
          </w:p>
        </w:tc>
        <w:tc>
          <w:tcPr>
            <w:tcW w:w="990" w:type="dxa"/>
            <w:vAlign w:val="bottom"/>
          </w:tcPr>
          <w:p w14:paraId="5C0AEDEF" w14:textId="77777777" w:rsidR="004D580D" w:rsidRDefault="004D580D" w:rsidP="004B5B2B">
            <w:pPr>
              <w:spacing w:line="276" w:lineRule="auto"/>
              <w:jc w:val="right"/>
              <w:rPr>
                <w:sz w:val="16"/>
                <w:szCs w:val="16"/>
              </w:rPr>
            </w:pPr>
            <w:r>
              <w:rPr>
                <w:sz w:val="16"/>
                <w:szCs w:val="16"/>
              </w:rPr>
              <w:t>0.31</w:t>
            </w:r>
          </w:p>
        </w:tc>
        <w:tc>
          <w:tcPr>
            <w:tcW w:w="1170" w:type="dxa"/>
            <w:vAlign w:val="bottom"/>
          </w:tcPr>
          <w:p w14:paraId="2A56E1C9" w14:textId="77777777" w:rsidR="004D580D" w:rsidRDefault="004D580D" w:rsidP="004B5B2B">
            <w:pPr>
              <w:spacing w:line="276" w:lineRule="auto"/>
              <w:jc w:val="right"/>
              <w:rPr>
                <w:sz w:val="16"/>
                <w:szCs w:val="16"/>
              </w:rPr>
            </w:pPr>
            <w:r>
              <w:rPr>
                <w:sz w:val="16"/>
                <w:szCs w:val="16"/>
              </w:rPr>
              <w:t>0.16</w:t>
            </w:r>
          </w:p>
        </w:tc>
        <w:tc>
          <w:tcPr>
            <w:tcW w:w="1350" w:type="dxa"/>
            <w:vAlign w:val="bottom"/>
          </w:tcPr>
          <w:p w14:paraId="6220AE70" w14:textId="77777777" w:rsidR="004D580D" w:rsidRDefault="004D580D" w:rsidP="004B5B2B">
            <w:pPr>
              <w:spacing w:line="276" w:lineRule="auto"/>
              <w:jc w:val="right"/>
              <w:rPr>
                <w:sz w:val="16"/>
                <w:szCs w:val="16"/>
              </w:rPr>
            </w:pPr>
            <w:r>
              <w:rPr>
                <w:sz w:val="16"/>
                <w:szCs w:val="16"/>
              </w:rPr>
              <w:t>0.16</w:t>
            </w:r>
          </w:p>
        </w:tc>
      </w:tr>
    </w:tbl>
    <w:p w14:paraId="5DAFCF6E" w14:textId="77777777" w:rsidR="004D580D" w:rsidRDefault="004D580D" w:rsidP="004D580D">
      <w:pPr>
        <w:spacing w:line="480" w:lineRule="auto"/>
        <w:rPr>
          <w:rFonts w:ascii="Times New Roman" w:hAnsi="Times New Roman"/>
        </w:rPr>
      </w:pPr>
    </w:p>
    <w:p w14:paraId="3CB5A4D3" w14:textId="77777777" w:rsidR="004D580D" w:rsidRDefault="004D580D" w:rsidP="004D580D">
      <w:pPr>
        <w:spacing w:line="480" w:lineRule="auto"/>
        <w:rPr>
          <w:rFonts w:ascii="Times New Roman" w:hAnsi="Times New Roman"/>
        </w:rPr>
      </w:pPr>
    </w:p>
    <w:p w14:paraId="4FB33044" w14:textId="77777777" w:rsidR="004D580D" w:rsidRDefault="004D580D">
      <w:pPr>
        <w:spacing w:after="0" w:line="480" w:lineRule="auto"/>
        <w:rPr>
          <w:rFonts w:ascii="Times New Roman" w:hAnsi="Times New Roman"/>
          <w:sz w:val="24"/>
          <w:szCs w:val="24"/>
          <w:lang w:val="en-GB"/>
        </w:rPr>
        <w:sectPr w:rsidR="004D580D" w:rsidSect="00EC6DBA">
          <w:pgSz w:w="15840" w:h="12240" w:orient="landscape"/>
          <w:pgMar w:top="1440" w:right="1440" w:bottom="1440" w:left="1440" w:header="720" w:footer="720" w:gutter="0"/>
          <w:lnNumType w:countBy="1" w:restart="continuous"/>
          <w:cols w:space="720"/>
          <w:docGrid w:linePitch="299"/>
        </w:sectPr>
      </w:pPr>
    </w:p>
    <w:p w14:paraId="0EBCB83A" w14:textId="436565DD" w:rsidR="00070187" w:rsidRDefault="00070187" w:rsidP="004D580D">
      <w:pPr>
        <w:widowControl w:val="0"/>
        <w:autoSpaceDE w:val="0"/>
        <w:autoSpaceDN w:val="0"/>
        <w:adjustRightInd w:val="0"/>
        <w:spacing w:after="0" w:line="480" w:lineRule="auto"/>
        <w:ind w:left="480" w:hanging="480"/>
        <w:rPr>
          <w:rFonts w:ascii="Times New Roman" w:hAnsi="Times New Roman"/>
          <w:b/>
          <w:sz w:val="24"/>
          <w:szCs w:val="24"/>
        </w:rPr>
      </w:pPr>
      <w:r>
        <w:rPr>
          <w:rFonts w:ascii="Times New Roman" w:hAnsi="Times New Roman"/>
          <w:b/>
          <w:noProof/>
          <w:sz w:val="24"/>
          <w:szCs w:val="24"/>
        </w:rPr>
        <w:lastRenderedPageBreak/>
        <w:drawing>
          <wp:inline distT="0" distB="0" distL="0" distR="0" wp14:anchorId="4C47FE18" wp14:editId="00EBA994">
            <wp:extent cx="5409484" cy="548259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mite map _site fig_8May2019.pdf"/>
                    <pic:cNvPicPr/>
                  </pic:nvPicPr>
                  <pic:blipFill rotWithShape="1">
                    <a:blip r:embed="rId11"/>
                    <a:srcRect l="8985" t="28721"/>
                    <a:stretch/>
                  </pic:blipFill>
                  <pic:spPr bwMode="auto">
                    <a:xfrm>
                      <a:off x="0" y="0"/>
                      <a:ext cx="5409522" cy="5482629"/>
                    </a:xfrm>
                    <a:prstGeom prst="rect">
                      <a:avLst/>
                    </a:prstGeom>
                    <a:ln>
                      <a:noFill/>
                    </a:ln>
                  </pic:spPr>
                </pic:pic>
              </a:graphicData>
            </a:graphic>
          </wp:inline>
        </w:drawing>
      </w:r>
    </w:p>
    <w:p w14:paraId="78F43952" w14:textId="77777777" w:rsidR="00070187" w:rsidRDefault="00070187" w:rsidP="00070187">
      <w:pPr>
        <w:spacing w:line="480" w:lineRule="auto"/>
        <w:rPr>
          <w:rFonts w:ascii="Times New Roman" w:hAnsi="Times New Roman"/>
          <w:sz w:val="24"/>
          <w:szCs w:val="24"/>
        </w:rPr>
      </w:pPr>
      <w:r>
        <w:rPr>
          <w:rFonts w:ascii="Times New Roman" w:hAnsi="Times New Roman"/>
          <w:b/>
          <w:sz w:val="24"/>
          <w:szCs w:val="24"/>
        </w:rPr>
        <w:t>Figure 1:</w:t>
      </w:r>
      <w:r>
        <w:rPr>
          <w:rFonts w:ascii="Times New Roman" w:hAnsi="Times New Roman"/>
          <w:sz w:val="24"/>
          <w:szCs w:val="24"/>
        </w:rPr>
        <w:t xml:space="preserve"> Study area in the Lowveld region of northeastern South Africa (see inset map) spanning (from east to west) Kruger National Park, the privately owned </w:t>
      </w:r>
      <w:proofErr w:type="spellStart"/>
      <w:r>
        <w:rPr>
          <w:rFonts w:ascii="Times New Roman" w:hAnsi="Times New Roman"/>
          <w:sz w:val="24"/>
          <w:szCs w:val="24"/>
        </w:rPr>
        <w:t>Sabi</w:t>
      </w:r>
      <w:proofErr w:type="spellEnd"/>
      <w:r>
        <w:rPr>
          <w:rFonts w:ascii="Times New Roman" w:hAnsi="Times New Roman"/>
          <w:sz w:val="24"/>
          <w:szCs w:val="24"/>
        </w:rPr>
        <w:t>-Sand Game Reserve, and communal areas within the Bushbuckridge municipality. Landscapes for which airborne LiDAR data were available are delineated 1–8. Gabbro intrusions, which were excluded from analysis, are mapped within the predominantly granitic landscape. Human settlements in proximity to the study polygons are also mapped.</w:t>
      </w:r>
    </w:p>
    <w:p w14:paraId="5A95572C" w14:textId="77777777" w:rsidR="00070187" w:rsidRDefault="00070187" w:rsidP="00070187">
      <w:pPr>
        <w:spacing w:line="480" w:lineRule="auto"/>
        <w:rPr>
          <w:rFonts w:ascii="Times New Roman" w:hAnsi="Times New Roman"/>
          <w:b/>
          <w:color w:val="000000"/>
          <w:sz w:val="24"/>
          <w:szCs w:val="24"/>
        </w:rPr>
      </w:pPr>
      <w:r>
        <w:rPr>
          <w:rFonts w:ascii="Times New Roman" w:hAnsi="Times New Roman"/>
          <w:noProof/>
          <w:color w:val="000000"/>
          <w:sz w:val="24"/>
          <w:szCs w:val="24"/>
        </w:rPr>
        <w:lastRenderedPageBreak/>
        <w:drawing>
          <wp:inline distT="0" distB="0" distL="0" distR="0" wp14:anchorId="21A38812" wp14:editId="19A7D36A">
            <wp:extent cx="5449529" cy="6002020"/>
            <wp:effectExtent l="0" t="0" r="0" b="5080"/>
            <wp:docPr id="3" name="image4.jpg" descr="https://lh6.googleusercontent.com/hg6DaqtAUSIA5WIC0qpfKlnE4euG6SgRZQgzl-8ydS16q44HILb4Exb2XV4le_0mGtwjfLn7mJcRqfqPnmdL3XFIikyTJwGE6BTOWnAI2_H061qHbgIf437_n9HP0Nfmhk4rtvq3Tuk"/>
            <wp:cNvGraphicFramePr/>
            <a:graphic xmlns:a="http://schemas.openxmlformats.org/drawingml/2006/main">
              <a:graphicData uri="http://schemas.openxmlformats.org/drawingml/2006/picture">
                <pic:pic xmlns:pic="http://schemas.openxmlformats.org/drawingml/2006/picture">
                  <pic:nvPicPr>
                    <pic:cNvPr id="0" name="image4.jpg" descr="https://lh6.googleusercontent.com/hg6DaqtAUSIA5WIC0qpfKlnE4euG6SgRZQgzl-8ydS16q44HILb4Exb2XV4le_0mGtwjfLn7mJcRqfqPnmdL3XFIikyTJwGE6BTOWnAI2_H061qHbgIf437_n9HP0Nfmhk4rtvq3Tuk"/>
                    <pic:cNvPicPr preferRelativeResize="0"/>
                  </pic:nvPicPr>
                  <pic:blipFill>
                    <a:blip r:embed="rId12"/>
                    <a:srcRect/>
                    <a:stretch>
                      <a:fillRect/>
                    </a:stretch>
                  </pic:blipFill>
                  <pic:spPr>
                    <a:xfrm>
                      <a:off x="0" y="0"/>
                      <a:ext cx="5449529" cy="6002020"/>
                    </a:xfrm>
                    <a:prstGeom prst="rect">
                      <a:avLst/>
                    </a:prstGeom>
                  </pic:spPr>
                </pic:pic>
              </a:graphicData>
            </a:graphic>
          </wp:inline>
        </w:drawing>
      </w:r>
    </w:p>
    <w:p w14:paraId="2E3E2879" w14:textId="66B16E3C" w:rsidR="00070187" w:rsidRDefault="00070187" w:rsidP="00070187">
      <w:pPr>
        <w:spacing w:after="0" w:line="480" w:lineRule="auto"/>
        <w:rPr>
          <w:rFonts w:ascii="Times New Roman" w:hAnsi="Times New Roman"/>
          <w:color w:val="000000"/>
          <w:sz w:val="24"/>
          <w:szCs w:val="24"/>
        </w:rPr>
      </w:pPr>
      <w:r>
        <w:rPr>
          <w:rFonts w:ascii="Times New Roman" w:hAnsi="Times New Roman"/>
          <w:b/>
          <w:color w:val="000000"/>
          <w:sz w:val="24"/>
          <w:szCs w:val="24"/>
        </w:rPr>
        <w:t xml:space="preserve">Figure 2: </w:t>
      </w:r>
      <w:r>
        <w:rPr>
          <w:rFonts w:ascii="Times New Roman" w:hAnsi="Times New Roman"/>
          <w:color w:val="000000"/>
          <w:sz w:val="24"/>
          <w:szCs w:val="24"/>
        </w:rPr>
        <w:t xml:space="preserve">Example </w:t>
      </w:r>
      <w:proofErr w:type="spellStart"/>
      <w:r>
        <w:rPr>
          <w:rFonts w:ascii="Times New Roman" w:hAnsi="Times New Roman"/>
          <w:color w:val="000000"/>
          <w:sz w:val="24"/>
          <w:szCs w:val="24"/>
        </w:rPr>
        <w:t>hillshade</w:t>
      </w:r>
      <w:proofErr w:type="spellEnd"/>
      <w:r>
        <w:rPr>
          <w:rFonts w:ascii="Times New Roman" w:hAnsi="Times New Roman"/>
          <w:color w:val="000000"/>
          <w:sz w:val="24"/>
          <w:szCs w:val="24"/>
        </w:rPr>
        <w:t xml:space="preserve"> images showing termite mound distributions, with and without mounds identified by the convolutional neural network (CNN) model (depicted by red circles in the right-hand panels). </w:t>
      </w:r>
      <w:proofErr w:type="spellStart"/>
      <w:r>
        <w:rPr>
          <w:rFonts w:ascii="Times New Roman" w:hAnsi="Times New Roman"/>
          <w:color w:val="000000"/>
          <w:sz w:val="24"/>
          <w:szCs w:val="24"/>
        </w:rPr>
        <w:t>Hillshades</w:t>
      </w:r>
      <w:proofErr w:type="spellEnd"/>
      <w:r>
        <w:rPr>
          <w:rFonts w:ascii="Times New Roman" w:hAnsi="Times New Roman"/>
          <w:color w:val="000000"/>
          <w:sz w:val="24"/>
          <w:szCs w:val="24"/>
        </w:rPr>
        <w:t xml:space="preserve"> were produced from airborne LiDAR-derived digital elevation </w:t>
      </w:r>
      <w:proofErr w:type="gramStart"/>
      <w:r>
        <w:rPr>
          <w:rFonts w:ascii="Times New Roman" w:hAnsi="Times New Roman"/>
          <w:color w:val="000000"/>
          <w:sz w:val="24"/>
          <w:szCs w:val="24"/>
        </w:rPr>
        <w:t>models, and</w:t>
      </w:r>
      <w:proofErr w:type="gramEnd"/>
      <w:r>
        <w:rPr>
          <w:rFonts w:ascii="Times New Roman" w:hAnsi="Times New Roman"/>
          <w:color w:val="000000"/>
          <w:sz w:val="24"/>
          <w:szCs w:val="24"/>
        </w:rPr>
        <w:t xml:space="preserve"> highlight the differences between Kruger National Park (a-b, subset of Landscape 3), communal grazing land (c-d, subset of Landscape 7), and agricultural fields (e-f, subset of Landscape 7).  See Fig. 1 for landscape locations. </w:t>
      </w:r>
    </w:p>
    <w:p w14:paraId="21F49DBD" w14:textId="284F80C3" w:rsidR="00070187" w:rsidRDefault="00070187" w:rsidP="00070187">
      <w:pPr>
        <w:spacing w:after="0" w:line="480" w:lineRule="auto"/>
        <w:ind w:firstLine="720"/>
        <w:rPr>
          <w:rFonts w:ascii="Times New Roman" w:hAnsi="Times New Roman"/>
          <w:b/>
          <w:sz w:val="24"/>
          <w:szCs w:val="24"/>
        </w:rPr>
      </w:pPr>
      <w:r>
        <w:rPr>
          <w:rFonts w:ascii="Times New Roman" w:hAnsi="Times New Roman"/>
          <w:b/>
          <w:noProof/>
          <w:sz w:val="24"/>
          <w:szCs w:val="24"/>
        </w:rPr>
        <w:lastRenderedPageBreak/>
        <w:drawing>
          <wp:inline distT="0" distB="0" distL="0" distR="0" wp14:anchorId="75036431" wp14:editId="1E279C0C">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ng"/>
                    <pic:cNvPicPr/>
                  </pic:nvPicPr>
                  <pic:blipFill>
                    <a:blip r:embed="rId13" cstate="print"/>
                    <a:stretch>
                      <a:fillRect/>
                    </a:stretch>
                  </pic:blipFill>
                  <pic:spPr>
                    <a:xfrm>
                      <a:off x="0" y="0"/>
                      <a:ext cx="5943600" cy="3962400"/>
                    </a:xfrm>
                    <a:prstGeom prst="rect">
                      <a:avLst/>
                    </a:prstGeom>
                  </pic:spPr>
                </pic:pic>
              </a:graphicData>
            </a:graphic>
          </wp:inline>
        </w:drawing>
      </w:r>
    </w:p>
    <w:p w14:paraId="40541701" w14:textId="667B4986" w:rsidR="00070187" w:rsidRDefault="00070187" w:rsidP="00070187">
      <w:pPr>
        <w:spacing w:line="480" w:lineRule="auto"/>
        <w:rPr>
          <w:rFonts w:ascii="Times New Roman" w:hAnsi="Times New Roman"/>
          <w:sz w:val="24"/>
          <w:szCs w:val="24"/>
        </w:rPr>
      </w:pPr>
      <w:r>
        <w:rPr>
          <w:rFonts w:ascii="Times New Roman" w:hAnsi="Times New Roman"/>
          <w:b/>
          <w:sz w:val="24"/>
          <w:szCs w:val="24"/>
        </w:rPr>
        <w:t xml:space="preserve">Figure 3: </w:t>
      </w:r>
      <w:r>
        <w:rPr>
          <w:rFonts w:ascii="Times New Roman" w:hAnsi="Times New Roman"/>
          <w:sz w:val="24"/>
          <w:szCs w:val="24"/>
        </w:rPr>
        <w:t xml:space="preserve">Distribution of termite mound heights (a) and densities (b) measured with airborne LiDAR across areas of varying land-use in northeastern South Africa. The height distributions were generated from all measured mounds per land-use, whereas density distributions were generated by sampling 2000 100 ha blocks with replacement from each land-use type. c) Ripley’s </w:t>
      </w:r>
      <w:r>
        <w:rPr>
          <w:rFonts w:ascii="Times New Roman" w:hAnsi="Times New Roman"/>
          <w:i/>
          <w:sz w:val="24"/>
          <w:szCs w:val="24"/>
        </w:rPr>
        <w:t>K</w:t>
      </w:r>
      <w:r>
        <w:rPr>
          <w:rFonts w:ascii="Times New Roman" w:hAnsi="Times New Roman"/>
          <w:sz w:val="24"/>
          <w:szCs w:val="24"/>
        </w:rPr>
        <w:t xml:space="preserve"> (L transformation) function for termite mounds across the land-use types. The </w:t>
      </w:r>
      <w:r w:rsidR="00C66D10">
        <w:rPr>
          <w:rFonts w:ascii="Times New Roman" w:hAnsi="Times New Roman"/>
          <w:sz w:val="24"/>
          <w:szCs w:val="24"/>
        </w:rPr>
        <w:t xml:space="preserve">red </w:t>
      </w:r>
      <w:r>
        <w:rPr>
          <w:rFonts w:ascii="Times New Roman" w:hAnsi="Times New Roman"/>
          <w:sz w:val="24"/>
          <w:szCs w:val="24"/>
        </w:rPr>
        <w:t xml:space="preserve">dashed line represents the distribution of mounds under complete spatial randomness, whereas the </w:t>
      </w:r>
      <w:r w:rsidR="00C66D10">
        <w:rPr>
          <w:rFonts w:ascii="Times New Roman" w:hAnsi="Times New Roman"/>
          <w:sz w:val="24"/>
          <w:szCs w:val="24"/>
        </w:rPr>
        <w:t xml:space="preserve">black </w:t>
      </w:r>
      <w:r>
        <w:rPr>
          <w:rFonts w:ascii="Times New Roman" w:hAnsi="Times New Roman"/>
          <w:sz w:val="24"/>
          <w:szCs w:val="24"/>
        </w:rPr>
        <w:t>solid lines represent the observed mound distribution per land-use polygon (&gt; 300 ha in extent) in each land-use</w:t>
      </w:r>
      <w:r w:rsidR="00C66D10">
        <w:rPr>
          <w:rFonts w:ascii="Times New Roman" w:hAnsi="Times New Roman"/>
          <w:sz w:val="24"/>
          <w:szCs w:val="24"/>
        </w:rPr>
        <w:t xml:space="preserve"> type</w:t>
      </w:r>
      <w:r>
        <w:rPr>
          <w:rFonts w:ascii="Times New Roman" w:hAnsi="Times New Roman"/>
          <w:sz w:val="24"/>
          <w:szCs w:val="24"/>
        </w:rPr>
        <w:t xml:space="preserve">. Values below the </w:t>
      </w:r>
      <w:r w:rsidR="00C66D10">
        <w:rPr>
          <w:rFonts w:ascii="Times New Roman" w:hAnsi="Times New Roman"/>
          <w:sz w:val="24"/>
          <w:szCs w:val="24"/>
        </w:rPr>
        <w:t xml:space="preserve">red </w:t>
      </w:r>
      <w:r>
        <w:rPr>
          <w:rFonts w:ascii="Times New Roman" w:hAnsi="Times New Roman"/>
          <w:sz w:val="24"/>
          <w:szCs w:val="24"/>
        </w:rPr>
        <w:t xml:space="preserve">dashed line indicate over-dispersion (even spacing) while values above the dashed line indicate clustering. Private Reserve represent areas within </w:t>
      </w:r>
      <w:proofErr w:type="spellStart"/>
      <w:r>
        <w:rPr>
          <w:rFonts w:ascii="Times New Roman" w:hAnsi="Times New Roman"/>
          <w:sz w:val="24"/>
          <w:szCs w:val="24"/>
        </w:rPr>
        <w:t>Sabi</w:t>
      </w:r>
      <w:proofErr w:type="spellEnd"/>
      <w:r>
        <w:rPr>
          <w:rFonts w:ascii="Times New Roman" w:hAnsi="Times New Roman"/>
          <w:sz w:val="24"/>
          <w:szCs w:val="24"/>
        </w:rPr>
        <w:t>-Sand Game Reserve.</w:t>
      </w:r>
    </w:p>
    <w:p w14:paraId="45428D4C" w14:textId="77777777" w:rsidR="00070187" w:rsidRDefault="00070187" w:rsidP="00070187">
      <w:pPr>
        <w:spacing w:line="48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710B7674" wp14:editId="5FCC24B1">
            <wp:extent cx="5664200" cy="482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png"/>
                    <pic:cNvPicPr/>
                  </pic:nvPicPr>
                  <pic:blipFill>
                    <a:blip r:embed="rId14"/>
                    <a:stretch>
                      <a:fillRect/>
                    </a:stretch>
                  </pic:blipFill>
                  <pic:spPr>
                    <a:xfrm>
                      <a:off x="0" y="0"/>
                      <a:ext cx="5664200" cy="4826000"/>
                    </a:xfrm>
                    <a:prstGeom prst="rect">
                      <a:avLst/>
                    </a:prstGeom>
                  </pic:spPr>
                </pic:pic>
              </a:graphicData>
            </a:graphic>
          </wp:inline>
        </w:drawing>
      </w:r>
    </w:p>
    <w:p w14:paraId="25338297" w14:textId="3F21947F" w:rsidR="00070187" w:rsidRDefault="00070187" w:rsidP="00070187">
      <w:pPr>
        <w:spacing w:line="480" w:lineRule="auto"/>
        <w:rPr>
          <w:rFonts w:ascii="Times New Roman" w:hAnsi="Times New Roman"/>
          <w:sz w:val="24"/>
          <w:szCs w:val="24"/>
        </w:rPr>
      </w:pPr>
      <w:r>
        <w:rPr>
          <w:rFonts w:ascii="Times New Roman" w:hAnsi="Times New Roman"/>
          <w:b/>
          <w:sz w:val="24"/>
          <w:szCs w:val="24"/>
        </w:rPr>
        <w:t xml:space="preserve">Figure 4: </w:t>
      </w:r>
      <w:r>
        <w:rPr>
          <w:rFonts w:ascii="Times New Roman" w:hAnsi="Times New Roman"/>
          <w:sz w:val="24"/>
          <w:szCs w:val="24"/>
        </w:rPr>
        <w:t>Termite mound heights vs densities. Points represent the mean height and density in each of the 2000 100 ha blocks from each land</w:t>
      </w:r>
      <w:r w:rsidR="00C70F6E">
        <w:rPr>
          <w:rFonts w:ascii="Times New Roman" w:hAnsi="Times New Roman"/>
          <w:sz w:val="24"/>
          <w:szCs w:val="24"/>
        </w:rPr>
        <w:t>-</w:t>
      </w:r>
      <w:r>
        <w:rPr>
          <w:rFonts w:ascii="Times New Roman" w:hAnsi="Times New Roman"/>
          <w:sz w:val="24"/>
          <w:szCs w:val="24"/>
        </w:rPr>
        <w:t xml:space="preserve">use type. The lines represent linear regressions (with associated </w:t>
      </w:r>
      <w:bookmarkStart w:id="3" w:name="_Hlk25575088"/>
      <w:r>
        <w:rPr>
          <w:rFonts w:ascii="Times New Roman" w:hAnsi="Times New Roman"/>
          <w:sz w:val="24"/>
          <w:szCs w:val="24"/>
        </w:rPr>
        <w:t>R</w:t>
      </w:r>
      <w:r>
        <w:rPr>
          <w:rFonts w:ascii="Times New Roman" w:hAnsi="Times New Roman"/>
          <w:sz w:val="24"/>
          <w:szCs w:val="24"/>
          <w:vertAlign w:val="superscript"/>
        </w:rPr>
        <w:t>2</w:t>
      </w:r>
      <w:r>
        <w:rPr>
          <w:rFonts w:ascii="Times New Roman" w:hAnsi="Times New Roman"/>
          <w:sz w:val="24"/>
          <w:szCs w:val="24"/>
        </w:rPr>
        <w:t xml:space="preserve"> values</w:t>
      </w:r>
      <w:bookmarkEnd w:id="3"/>
      <w:r>
        <w:rPr>
          <w:rFonts w:ascii="Times New Roman" w:hAnsi="Times New Roman"/>
          <w:sz w:val="24"/>
          <w:szCs w:val="24"/>
        </w:rPr>
        <w:t xml:space="preserve"> in the legend) per land</w:t>
      </w:r>
      <w:r w:rsidR="00C70F6E">
        <w:rPr>
          <w:rFonts w:ascii="Times New Roman" w:hAnsi="Times New Roman"/>
          <w:sz w:val="24"/>
          <w:szCs w:val="24"/>
        </w:rPr>
        <w:t>-</w:t>
      </w:r>
      <w:r>
        <w:rPr>
          <w:rFonts w:ascii="Times New Roman" w:hAnsi="Times New Roman"/>
          <w:sz w:val="24"/>
          <w:szCs w:val="24"/>
        </w:rPr>
        <w:t>use type.</w:t>
      </w:r>
    </w:p>
    <w:p w14:paraId="44259680" w14:textId="77777777" w:rsidR="00070187" w:rsidRDefault="00070187" w:rsidP="00070187">
      <w:pPr>
        <w:spacing w:line="480" w:lineRule="auto"/>
        <w:rPr>
          <w:rFonts w:ascii="Times New Roman" w:hAnsi="Times New Roman"/>
          <w:sz w:val="24"/>
          <w:szCs w:val="24"/>
        </w:rPr>
      </w:pPr>
    </w:p>
    <w:p w14:paraId="50575110" w14:textId="40CDC561" w:rsidR="00070187" w:rsidRDefault="00070187" w:rsidP="00070187">
      <w:pPr>
        <w:spacing w:line="480" w:lineRule="auto"/>
        <w:rPr>
          <w:rFonts w:ascii="Times New Roman" w:hAnsi="Times New Roman"/>
          <w:sz w:val="24"/>
          <w:szCs w:val="24"/>
        </w:rPr>
      </w:pPr>
    </w:p>
    <w:p w14:paraId="3119E9AA" w14:textId="4A25E6EA" w:rsidR="00070187" w:rsidRDefault="00070187" w:rsidP="00070187">
      <w:pPr>
        <w:spacing w:line="480" w:lineRule="auto"/>
        <w:rPr>
          <w:rFonts w:ascii="Times New Roman" w:hAnsi="Times New Roman"/>
          <w:sz w:val="24"/>
          <w:szCs w:val="24"/>
        </w:rPr>
      </w:pPr>
    </w:p>
    <w:p w14:paraId="3FDEE1F1" w14:textId="77777777" w:rsidR="00070187" w:rsidRDefault="00070187" w:rsidP="00070187">
      <w:pPr>
        <w:spacing w:after="0" w:line="480" w:lineRule="auto"/>
        <w:rPr>
          <w:rFonts w:ascii="Times New Roman" w:hAnsi="Times New Roman"/>
          <w:color w:val="000000"/>
          <w:sz w:val="24"/>
          <w:szCs w:val="24"/>
        </w:rPr>
      </w:pPr>
    </w:p>
    <w:p w14:paraId="24D29609" w14:textId="37CF4434" w:rsidR="00421AD7" w:rsidRPr="00AE7F7D" w:rsidRDefault="00421AD7" w:rsidP="001E2BA5">
      <w:pPr>
        <w:widowControl w:val="0"/>
        <w:autoSpaceDE w:val="0"/>
        <w:autoSpaceDN w:val="0"/>
        <w:adjustRightInd w:val="0"/>
        <w:spacing w:after="0" w:line="480" w:lineRule="auto"/>
        <w:ind w:left="480" w:hanging="480"/>
        <w:rPr>
          <w:rFonts w:ascii="Times New Roman" w:hAnsi="Times New Roman"/>
          <w:b/>
          <w:sz w:val="24"/>
          <w:szCs w:val="24"/>
        </w:rPr>
      </w:pPr>
    </w:p>
    <w:sectPr w:rsidR="00421AD7" w:rsidRPr="00AE7F7D" w:rsidSect="00AE7F7D">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59878" w14:textId="77777777" w:rsidR="00FD5A89" w:rsidRDefault="00FD5A89" w:rsidP="005C46C1">
      <w:pPr>
        <w:spacing w:after="0" w:line="240" w:lineRule="auto"/>
      </w:pPr>
      <w:r>
        <w:separator/>
      </w:r>
    </w:p>
  </w:endnote>
  <w:endnote w:type="continuationSeparator" w:id="0">
    <w:p w14:paraId="04E44AE5" w14:textId="77777777" w:rsidR="00FD5A89" w:rsidRDefault="00FD5A89" w:rsidP="005C4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1890653"/>
      <w:docPartObj>
        <w:docPartGallery w:val="Page Numbers (Bottom of Page)"/>
        <w:docPartUnique/>
      </w:docPartObj>
    </w:sdtPr>
    <w:sdtEndPr>
      <w:rPr>
        <w:rStyle w:val="PageNumber"/>
      </w:rPr>
    </w:sdtEndPr>
    <w:sdtContent>
      <w:p w14:paraId="247B70C9" w14:textId="3020DE03" w:rsidR="00760A98" w:rsidRDefault="00760A98" w:rsidP="00AF63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F89BBC" w14:textId="77777777" w:rsidR="00760A98" w:rsidRDefault="00760A98" w:rsidP="005C46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8622568"/>
      <w:docPartObj>
        <w:docPartGallery w:val="Page Numbers (Bottom of Page)"/>
        <w:docPartUnique/>
      </w:docPartObj>
    </w:sdtPr>
    <w:sdtEndPr>
      <w:rPr>
        <w:rStyle w:val="PageNumber"/>
      </w:rPr>
    </w:sdtEndPr>
    <w:sdtContent>
      <w:p w14:paraId="6773A595" w14:textId="7A6B9CC9" w:rsidR="00760A98" w:rsidRDefault="00760A98" w:rsidP="00AF63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D195FC" w14:textId="77777777" w:rsidR="00760A98" w:rsidRDefault="00760A98" w:rsidP="005C46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4F157" w14:textId="77777777" w:rsidR="00FD5A89" w:rsidRDefault="00FD5A89" w:rsidP="005C46C1">
      <w:pPr>
        <w:spacing w:after="0" w:line="240" w:lineRule="auto"/>
      </w:pPr>
      <w:r>
        <w:separator/>
      </w:r>
    </w:p>
  </w:footnote>
  <w:footnote w:type="continuationSeparator" w:id="0">
    <w:p w14:paraId="017B6D89" w14:textId="77777777" w:rsidR="00FD5A89" w:rsidRDefault="00FD5A89" w:rsidP="005C46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F23585"/>
    <w:multiLevelType w:val="hybridMultilevel"/>
    <w:tmpl w:val="E698F8EA"/>
    <w:lvl w:ilvl="0" w:tplc="3CBC5788">
      <w:start w:val="1"/>
      <w:numFmt w:val="decimal"/>
      <w:lvlText w:val="%1)"/>
      <w:lvlJc w:val="left"/>
      <w:pPr>
        <w:ind w:left="720" w:hanging="360"/>
      </w:pPr>
    </w:lvl>
    <w:lvl w:ilvl="1" w:tplc="683C552E">
      <w:start w:val="1"/>
      <w:numFmt w:val="lowerLetter"/>
      <w:lvlText w:val="%2."/>
      <w:lvlJc w:val="left"/>
      <w:pPr>
        <w:ind w:left="1440" w:hanging="360"/>
      </w:pPr>
    </w:lvl>
    <w:lvl w:ilvl="2" w:tplc="56B00F0A">
      <w:start w:val="1"/>
      <w:numFmt w:val="lowerRoman"/>
      <w:lvlText w:val="%3."/>
      <w:lvlJc w:val="right"/>
      <w:pPr>
        <w:ind w:left="2160" w:hanging="180"/>
      </w:pPr>
    </w:lvl>
    <w:lvl w:ilvl="3" w:tplc="4FB660A6">
      <w:start w:val="1"/>
      <w:numFmt w:val="decimal"/>
      <w:lvlText w:val="%4."/>
      <w:lvlJc w:val="left"/>
      <w:pPr>
        <w:ind w:left="2880" w:hanging="360"/>
      </w:pPr>
    </w:lvl>
    <w:lvl w:ilvl="4" w:tplc="57163EE4">
      <w:start w:val="1"/>
      <w:numFmt w:val="lowerLetter"/>
      <w:lvlText w:val="%5."/>
      <w:lvlJc w:val="left"/>
      <w:pPr>
        <w:ind w:left="3600" w:hanging="360"/>
      </w:pPr>
    </w:lvl>
    <w:lvl w:ilvl="5" w:tplc="3FF4FC8C">
      <w:start w:val="1"/>
      <w:numFmt w:val="lowerRoman"/>
      <w:lvlText w:val="%6."/>
      <w:lvlJc w:val="right"/>
      <w:pPr>
        <w:ind w:left="4320" w:hanging="180"/>
      </w:pPr>
    </w:lvl>
    <w:lvl w:ilvl="6" w:tplc="1F6CCABE">
      <w:start w:val="1"/>
      <w:numFmt w:val="decimal"/>
      <w:lvlText w:val="%7."/>
      <w:lvlJc w:val="left"/>
      <w:pPr>
        <w:ind w:left="5040" w:hanging="360"/>
      </w:pPr>
    </w:lvl>
    <w:lvl w:ilvl="7" w:tplc="670EFEF2">
      <w:start w:val="1"/>
      <w:numFmt w:val="lowerLetter"/>
      <w:lvlText w:val="%8."/>
      <w:lvlJc w:val="left"/>
      <w:pPr>
        <w:ind w:left="5760" w:hanging="360"/>
      </w:pPr>
    </w:lvl>
    <w:lvl w:ilvl="8" w:tplc="57084F4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98"/>
    <w:rsid w:val="000017AB"/>
    <w:rsid w:val="000079E3"/>
    <w:rsid w:val="00012BE4"/>
    <w:rsid w:val="00016DA0"/>
    <w:rsid w:val="00022C6D"/>
    <w:rsid w:val="000241B2"/>
    <w:rsid w:val="00024571"/>
    <w:rsid w:val="00025F50"/>
    <w:rsid w:val="000271C4"/>
    <w:rsid w:val="000354C3"/>
    <w:rsid w:val="00050DD7"/>
    <w:rsid w:val="0006570D"/>
    <w:rsid w:val="00065E0C"/>
    <w:rsid w:val="00070187"/>
    <w:rsid w:val="000739DA"/>
    <w:rsid w:val="00075638"/>
    <w:rsid w:val="00084321"/>
    <w:rsid w:val="00086ECB"/>
    <w:rsid w:val="00091A23"/>
    <w:rsid w:val="000975DD"/>
    <w:rsid w:val="000B2907"/>
    <w:rsid w:val="000B33A0"/>
    <w:rsid w:val="000B4472"/>
    <w:rsid w:val="000B69C7"/>
    <w:rsid w:val="000C6621"/>
    <w:rsid w:val="000D4483"/>
    <w:rsid w:val="000D7CD6"/>
    <w:rsid w:val="000E26F6"/>
    <w:rsid w:val="000E375E"/>
    <w:rsid w:val="000F075B"/>
    <w:rsid w:val="000F1B5D"/>
    <w:rsid w:val="000F2E6A"/>
    <w:rsid w:val="000F44B4"/>
    <w:rsid w:val="000F44F4"/>
    <w:rsid w:val="00102887"/>
    <w:rsid w:val="00115B01"/>
    <w:rsid w:val="00120DE2"/>
    <w:rsid w:val="001221DA"/>
    <w:rsid w:val="00123713"/>
    <w:rsid w:val="001356BA"/>
    <w:rsid w:val="00135AE4"/>
    <w:rsid w:val="00143045"/>
    <w:rsid w:val="00144110"/>
    <w:rsid w:val="00151A4A"/>
    <w:rsid w:val="00166A89"/>
    <w:rsid w:val="001702AB"/>
    <w:rsid w:val="0018039A"/>
    <w:rsid w:val="001914C4"/>
    <w:rsid w:val="00192C53"/>
    <w:rsid w:val="00196033"/>
    <w:rsid w:val="001A26D6"/>
    <w:rsid w:val="001C11A8"/>
    <w:rsid w:val="001C3D58"/>
    <w:rsid w:val="001D220B"/>
    <w:rsid w:val="001D6D2B"/>
    <w:rsid w:val="001E2BA5"/>
    <w:rsid w:val="001E6E65"/>
    <w:rsid w:val="001E72F1"/>
    <w:rsid w:val="001F3E55"/>
    <w:rsid w:val="001F4C05"/>
    <w:rsid w:val="001F551C"/>
    <w:rsid w:val="001F6FC5"/>
    <w:rsid w:val="00203867"/>
    <w:rsid w:val="00204E9F"/>
    <w:rsid w:val="00206021"/>
    <w:rsid w:val="00210D49"/>
    <w:rsid w:val="0021273D"/>
    <w:rsid w:val="0021408E"/>
    <w:rsid w:val="002314C4"/>
    <w:rsid w:val="0023551D"/>
    <w:rsid w:val="00236C53"/>
    <w:rsid w:val="00242CA8"/>
    <w:rsid w:val="0024395B"/>
    <w:rsid w:val="002477FF"/>
    <w:rsid w:val="002525E3"/>
    <w:rsid w:val="002549C0"/>
    <w:rsid w:val="00255566"/>
    <w:rsid w:val="002557B3"/>
    <w:rsid w:val="00260DFC"/>
    <w:rsid w:val="00286C91"/>
    <w:rsid w:val="002B070E"/>
    <w:rsid w:val="002B3BF0"/>
    <w:rsid w:val="002B7039"/>
    <w:rsid w:val="002C1564"/>
    <w:rsid w:val="002C3AA9"/>
    <w:rsid w:val="002C7BBE"/>
    <w:rsid w:val="002C7CB1"/>
    <w:rsid w:val="002D771A"/>
    <w:rsid w:val="002E3013"/>
    <w:rsid w:val="002F178F"/>
    <w:rsid w:val="002F415A"/>
    <w:rsid w:val="002F5058"/>
    <w:rsid w:val="00302B9B"/>
    <w:rsid w:val="003053B8"/>
    <w:rsid w:val="0031374B"/>
    <w:rsid w:val="00313D98"/>
    <w:rsid w:val="00314872"/>
    <w:rsid w:val="0032032A"/>
    <w:rsid w:val="00323FC7"/>
    <w:rsid w:val="003261B9"/>
    <w:rsid w:val="003301A0"/>
    <w:rsid w:val="0033107A"/>
    <w:rsid w:val="003323AC"/>
    <w:rsid w:val="00334118"/>
    <w:rsid w:val="00343887"/>
    <w:rsid w:val="00344831"/>
    <w:rsid w:val="003509C6"/>
    <w:rsid w:val="003525D8"/>
    <w:rsid w:val="0035381C"/>
    <w:rsid w:val="003544EB"/>
    <w:rsid w:val="00356545"/>
    <w:rsid w:val="00356F1C"/>
    <w:rsid w:val="003724F1"/>
    <w:rsid w:val="00372D42"/>
    <w:rsid w:val="003767C8"/>
    <w:rsid w:val="003773E7"/>
    <w:rsid w:val="00386E1B"/>
    <w:rsid w:val="0039303D"/>
    <w:rsid w:val="00393D81"/>
    <w:rsid w:val="00393E96"/>
    <w:rsid w:val="003A1925"/>
    <w:rsid w:val="003B2623"/>
    <w:rsid w:val="003B3644"/>
    <w:rsid w:val="003D1A5A"/>
    <w:rsid w:val="003D55EA"/>
    <w:rsid w:val="003F03E7"/>
    <w:rsid w:val="003F2B84"/>
    <w:rsid w:val="004022A3"/>
    <w:rsid w:val="00403DE6"/>
    <w:rsid w:val="0041591E"/>
    <w:rsid w:val="00421AD7"/>
    <w:rsid w:val="00442BD1"/>
    <w:rsid w:val="00444D55"/>
    <w:rsid w:val="00444F31"/>
    <w:rsid w:val="00452D9C"/>
    <w:rsid w:val="004530F4"/>
    <w:rsid w:val="004558F2"/>
    <w:rsid w:val="00457E10"/>
    <w:rsid w:val="004607F1"/>
    <w:rsid w:val="004619F6"/>
    <w:rsid w:val="004632B4"/>
    <w:rsid w:val="004706D3"/>
    <w:rsid w:val="004759C7"/>
    <w:rsid w:val="004802A2"/>
    <w:rsid w:val="00485E89"/>
    <w:rsid w:val="00491853"/>
    <w:rsid w:val="004A1773"/>
    <w:rsid w:val="004A3A28"/>
    <w:rsid w:val="004B5B2B"/>
    <w:rsid w:val="004C07C4"/>
    <w:rsid w:val="004C3440"/>
    <w:rsid w:val="004D580D"/>
    <w:rsid w:val="004E3342"/>
    <w:rsid w:val="004E6E97"/>
    <w:rsid w:val="004F08C1"/>
    <w:rsid w:val="004F13D0"/>
    <w:rsid w:val="004F28FA"/>
    <w:rsid w:val="004F4674"/>
    <w:rsid w:val="00502D85"/>
    <w:rsid w:val="00505912"/>
    <w:rsid w:val="00506236"/>
    <w:rsid w:val="00514DCF"/>
    <w:rsid w:val="005175DD"/>
    <w:rsid w:val="00522C62"/>
    <w:rsid w:val="00522D2C"/>
    <w:rsid w:val="005249CB"/>
    <w:rsid w:val="00524A20"/>
    <w:rsid w:val="005271EC"/>
    <w:rsid w:val="00530E19"/>
    <w:rsid w:val="00536D1E"/>
    <w:rsid w:val="005432C7"/>
    <w:rsid w:val="00544CF4"/>
    <w:rsid w:val="00556DA6"/>
    <w:rsid w:val="005648B2"/>
    <w:rsid w:val="00564D5B"/>
    <w:rsid w:val="00573AA3"/>
    <w:rsid w:val="00577347"/>
    <w:rsid w:val="00580C72"/>
    <w:rsid w:val="0058486E"/>
    <w:rsid w:val="00584B3B"/>
    <w:rsid w:val="00590EA0"/>
    <w:rsid w:val="00597BD6"/>
    <w:rsid w:val="005A1335"/>
    <w:rsid w:val="005A4DDE"/>
    <w:rsid w:val="005A7644"/>
    <w:rsid w:val="005B6BAF"/>
    <w:rsid w:val="005C43CF"/>
    <w:rsid w:val="005C46C1"/>
    <w:rsid w:val="005C6910"/>
    <w:rsid w:val="005D0BEE"/>
    <w:rsid w:val="005D4C6E"/>
    <w:rsid w:val="005D60DD"/>
    <w:rsid w:val="005D793D"/>
    <w:rsid w:val="005E0250"/>
    <w:rsid w:val="005E16B5"/>
    <w:rsid w:val="005E1830"/>
    <w:rsid w:val="005E4DCF"/>
    <w:rsid w:val="005E54DE"/>
    <w:rsid w:val="005E7949"/>
    <w:rsid w:val="005F2307"/>
    <w:rsid w:val="005F4229"/>
    <w:rsid w:val="00611151"/>
    <w:rsid w:val="00616940"/>
    <w:rsid w:val="00617294"/>
    <w:rsid w:val="00625003"/>
    <w:rsid w:val="00626406"/>
    <w:rsid w:val="0063440F"/>
    <w:rsid w:val="00634470"/>
    <w:rsid w:val="00641338"/>
    <w:rsid w:val="00641D2D"/>
    <w:rsid w:val="0064573B"/>
    <w:rsid w:val="00655C08"/>
    <w:rsid w:val="00656106"/>
    <w:rsid w:val="00656777"/>
    <w:rsid w:val="006571C1"/>
    <w:rsid w:val="00662E1B"/>
    <w:rsid w:val="00666906"/>
    <w:rsid w:val="0067768E"/>
    <w:rsid w:val="0068093C"/>
    <w:rsid w:val="006849AA"/>
    <w:rsid w:val="00684A48"/>
    <w:rsid w:val="00691788"/>
    <w:rsid w:val="0069611B"/>
    <w:rsid w:val="006A1330"/>
    <w:rsid w:val="006A30FD"/>
    <w:rsid w:val="006A4E13"/>
    <w:rsid w:val="006A5019"/>
    <w:rsid w:val="006A75AE"/>
    <w:rsid w:val="006B298F"/>
    <w:rsid w:val="006C070B"/>
    <w:rsid w:val="006C328C"/>
    <w:rsid w:val="006D06BC"/>
    <w:rsid w:val="006D1A7C"/>
    <w:rsid w:val="006D55E1"/>
    <w:rsid w:val="006E5DE8"/>
    <w:rsid w:val="006E70F1"/>
    <w:rsid w:val="006F1945"/>
    <w:rsid w:val="006F3944"/>
    <w:rsid w:val="0070246F"/>
    <w:rsid w:val="0070260C"/>
    <w:rsid w:val="00702F54"/>
    <w:rsid w:val="00705AE5"/>
    <w:rsid w:val="0070740C"/>
    <w:rsid w:val="0071041F"/>
    <w:rsid w:val="007223E8"/>
    <w:rsid w:val="007224B3"/>
    <w:rsid w:val="00727847"/>
    <w:rsid w:val="00730CF3"/>
    <w:rsid w:val="007328B1"/>
    <w:rsid w:val="00734CC6"/>
    <w:rsid w:val="00737033"/>
    <w:rsid w:val="00746FB2"/>
    <w:rsid w:val="00760A98"/>
    <w:rsid w:val="00762DFD"/>
    <w:rsid w:val="0077195F"/>
    <w:rsid w:val="0077606B"/>
    <w:rsid w:val="00793D1A"/>
    <w:rsid w:val="00797E27"/>
    <w:rsid w:val="007A133C"/>
    <w:rsid w:val="007A4514"/>
    <w:rsid w:val="007B0AC2"/>
    <w:rsid w:val="007C0EDB"/>
    <w:rsid w:val="007C3783"/>
    <w:rsid w:val="007D4BDF"/>
    <w:rsid w:val="007E0F0F"/>
    <w:rsid w:val="007E1E30"/>
    <w:rsid w:val="007F0704"/>
    <w:rsid w:val="007F61D8"/>
    <w:rsid w:val="008041AD"/>
    <w:rsid w:val="00806549"/>
    <w:rsid w:val="0081420C"/>
    <w:rsid w:val="008173BC"/>
    <w:rsid w:val="00824379"/>
    <w:rsid w:val="008244C2"/>
    <w:rsid w:val="00831BF0"/>
    <w:rsid w:val="008325FD"/>
    <w:rsid w:val="00832762"/>
    <w:rsid w:val="0083321B"/>
    <w:rsid w:val="008362E7"/>
    <w:rsid w:val="00847BAD"/>
    <w:rsid w:val="00847CF5"/>
    <w:rsid w:val="00857499"/>
    <w:rsid w:val="00857B04"/>
    <w:rsid w:val="0086079F"/>
    <w:rsid w:val="00864AE7"/>
    <w:rsid w:val="00867440"/>
    <w:rsid w:val="008714FE"/>
    <w:rsid w:val="0089157F"/>
    <w:rsid w:val="00892F2A"/>
    <w:rsid w:val="008A40B8"/>
    <w:rsid w:val="008A692E"/>
    <w:rsid w:val="008A6AA4"/>
    <w:rsid w:val="008B43D1"/>
    <w:rsid w:val="008B6E46"/>
    <w:rsid w:val="008B777E"/>
    <w:rsid w:val="008D2A0A"/>
    <w:rsid w:val="008D6AC5"/>
    <w:rsid w:val="008E7F70"/>
    <w:rsid w:val="008F0779"/>
    <w:rsid w:val="008F2333"/>
    <w:rsid w:val="008F267D"/>
    <w:rsid w:val="008F309B"/>
    <w:rsid w:val="008F3FD5"/>
    <w:rsid w:val="008F5CC7"/>
    <w:rsid w:val="008F7389"/>
    <w:rsid w:val="00900B92"/>
    <w:rsid w:val="00904431"/>
    <w:rsid w:val="00906599"/>
    <w:rsid w:val="0091332D"/>
    <w:rsid w:val="0091593C"/>
    <w:rsid w:val="00916FD9"/>
    <w:rsid w:val="009233F8"/>
    <w:rsid w:val="009361FF"/>
    <w:rsid w:val="009454D2"/>
    <w:rsid w:val="009501C4"/>
    <w:rsid w:val="00960A41"/>
    <w:rsid w:val="00960BA4"/>
    <w:rsid w:val="009617AD"/>
    <w:rsid w:val="00970BC4"/>
    <w:rsid w:val="009729AA"/>
    <w:rsid w:val="00974AE1"/>
    <w:rsid w:val="00976D9B"/>
    <w:rsid w:val="009843E7"/>
    <w:rsid w:val="009852B6"/>
    <w:rsid w:val="0098596F"/>
    <w:rsid w:val="0098700C"/>
    <w:rsid w:val="00987483"/>
    <w:rsid w:val="009C260F"/>
    <w:rsid w:val="009C2D10"/>
    <w:rsid w:val="009C2FB8"/>
    <w:rsid w:val="009C4D77"/>
    <w:rsid w:val="009E4596"/>
    <w:rsid w:val="009E64B1"/>
    <w:rsid w:val="009E6771"/>
    <w:rsid w:val="009E6F90"/>
    <w:rsid w:val="009F6B28"/>
    <w:rsid w:val="00A03310"/>
    <w:rsid w:val="00A042FD"/>
    <w:rsid w:val="00A0492F"/>
    <w:rsid w:val="00A15360"/>
    <w:rsid w:val="00A41092"/>
    <w:rsid w:val="00A5648E"/>
    <w:rsid w:val="00A7117C"/>
    <w:rsid w:val="00A7208B"/>
    <w:rsid w:val="00A737F8"/>
    <w:rsid w:val="00A84A43"/>
    <w:rsid w:val="00A87033"/>
    <w:rsid w:val="00A9209E"/>
    <w:rsid w:val="00A92A26"/>
    <w:rsid w:val="00AA3304"/>
    <w:rsid w:val="00AB0C17"/>
    <w:rsid w:val="00AC0A06"/>
    <w:rsid w:val="00AC14C1"/>
    <w:rsid w:val="00AC3579"/>
    <w:rsid w:val="00AC45EE"/>
    <w:rsid w:val="00AC4CD6"/>
    <w:rsid w:val="00AC6AB4"/>
    <w:rsid w:val="00AD45E1"/>
    <w:rsid w:val="00AD6ED5"/>
    <w:rsid w:val="00AE5A7C"/>
    <w:rsid w:val="00AE744C"/>
    <w:rsid w:val="00AE7F7D"/>
    <w:rsid w:val="00AF4CF2"/>
    <w:rsid w:val="00AF4EE0"/>
    <w:rsid w:val="00AF52DA"/>
    <w:rsid w:val="00AF63D1"/>
    <w:rsid w:val="00B32E1D"/>
    <w:rsid w:val="00B400DB"/>
    <w:rsid w:val="00B4157D"/>
    <w:rsid w:val="00B41C22"/>
    <w:rsid w:val="00B50C93"/>
    <w:rsid w:val="00B54523"/>
    <w:rsid w:val="00B5499B"/>
    <w:rsid w:val="00B56968"/>
    <w:rsid w:val="00B56FD0"/>
    <w:rsid w:val="00B61397"/>
    <w:rsid w:val="00B678BB"/>
    <w:rsid w:val="00B80B0D"/>
    <w:rsid w:val="00B82305"/>
    <w:rsid w:val="00B82B51"/>
    <w:rsid w:val="00B84D80"/>
    <w:rsid w:val="00B86070"/>
    <w:rsid w:val="00B866AC"/>
    <w:rsid w:val="00B90B4D"/>
    <w:rsid w:val="00B90DCF"/>
    <w:rsid w:val="00B926DF"/>
    <w:rsid w:val="00BB62FD"/>
    <w:rsid w:val="00BC0525"/>
    <w:rsid w:val="00BC1794"/>
    <w:rsid w:val="00BC1DB4"/>
    <w:rsid w:val="00BC354E"/>
    <w:rsid w:val="00BC7472"/>
    <w:rsid w:val="00BC7BC3"/>
    <w:rsid w:val="00BD236F"/>
    <w:rsid w:val="00BD5421"/>
    <w:rsid w:val="00BD6572"/>
    <w:rsid w:val="00BE0796"/>
    <w:rsid w:val="00BE25E9"/>
    <w:rsid w:val="00BE634E"/>
    <w:rsid w:val="00BE6646"/>
    <w:rsid w:val="00BF5416"/>
    <w:rsid w:val="00C00CD3"/>
    <w:rsid w:val="00C041E7"/>
    <w:rsid w:val="00C05F18"/>
    <w:rsid w:val="00C10E02"/>
    <w:rsid w:val="00C17C00"/>
    <w:rsid w:val="00C2331D"/>
    <w:rsid w:val="00C23456"/>
    <w:rsid w:val="00C235BD"/>
    <w:rsid w:val="00C244A6"/>
    <w:rsid w:val="00C27670"/>
    <w:rsid w:val="00C3605F"/>
    <w:rsid w:val="00C36CA6"/>
    <w:rsid w:val="00C4080A"/>
    <w:rsid w:val="00C42252"/>
    <w:rsid w:val="00C42A72"/>
    <w:rsid w:val="00C42E28"/>
    <w:rsid w:val="00C442DF"/>
    <w:rsid w:val="00C47025"/>
    <w:rsid w:val="00C4773C"/>
    <w:rsid w:val="00C50912"/>
    <w:rsid w:val="00C537C5"/>
    <w:rsid w:val="00C5746C"/>
    <w:rsid w:val="00C61E17"/>
    <w:rsid w:val="00C63198"/>
    <w:rsid w:val="00C65E34"/>
    <w:rsid w:val="00C661F1"/>
    <w:rsid w:val="00C66D10"/>
    <w:rsid w:val="00C70F6E"/>
    <w:rsid w:val="00C7164E"/>
    <w:rsid w:val="00C739B7"/>
    <w:rsid w:val="00C82ACC"/>
    <w:rsid w:val="00C901DD"/>
    <w:rsid w:val="00C95E81"/>
    <w:rsid w:val="00C96A83"/>
    <w:rsid w:val="00C97D14"/>
    <w:rsid w:val="00CB02BF"/>
    <w:rsid w:val="00CB70E5"/>
    <w:rsid w:val="00CC18F7"/>
    <w:rsid w:val="00CC2359"/>
    <w:rsid w:val="00CC43BE"/>
    <w:rsid w:val="00CC5FAB"/>
    <w:rsid w:val="00CD0B74"/>
    <w:rsid w:val="00CD6907"/>
    <w:rsid w:val="00CD6987"/>
    <w:rsid w:val="00CD79BB"/>
    <w:rsid w:val="00CE21C7"/>
    <w:rsid w:val="00CE4CD1"/>
    <w:rsid w:val="00CF06FE"/>
    <w:rsid w:val="00CF114B"/>
    <w:rsid w:val="00CF16B0"/>
    <w:rsid w:val="00CF3B82"/>
    <w:rsid w:val="00CF4857"/>
    <w:rsid w:val="00D01425"/>
    <w:rsid w:val="00D01891"/>
    <w:rsid w:val="00D058D7"/>
    <w:rsid w:val="00D12958"/>
    <w:rsid w:val="00D22BD2"/>
    <w:rsid w:val="00D27CF3"/>
    <w:rsid w:val="00D309CD"/>
    <w:rsid w:val="00D3423C"/>
    <w:rsid w:val="00D37B6B"/>
    <w:rsid w:val="00D41E69"/>
    <w:rsid w:val="00D478E4"/>
    <w:rsid w:val="00D518E5"/>
    <w:rsid w:val="00D56DE4"/>
    <w:rsid w:val="00D6061A"/>
    <w:rsid w:val="00D62AFB"/>
    <w:rsid w:val="00D62BC4"/>
    <w:rsid w:val="00D70FF3"/>
    <w:rsid w:val="00D73037"/>
    <w:rsid w:val="00D73794"/>
    <w:rsid w:val="00D779D4"/>
    <w:rsid w:val="00D80BAA"/>
    <w:rsid w:val="00D8304D"/>
    <w:rsid w:val="00D854C5"/>
    <w:rsid w:val="00D90A4D"/>
    <w:rsid w:val="00D9142A"/>
    <w:rsid w:val="00D93F07"/>
    <w:rsid w:val="00DA0000"/>
    <w:rsid w:val="00DA1109"/>
    <w:rsid w:val="00DA3BDB"/>
    <w:rsid w:val="00DB741D"/>
    <w:rsid w:val="00DC1706"/>
    <w:rsid w:val="00DC1E11"/>
    <w:rsid w:val="00DC426D"/>
    <w:rsid w:val="00DD5EE7"/>
    <w:rsid w:val="00DE01D2"/>
    <w:rsid w:val="00DE7857"/>
    <w:rsid w:val="00DE7F00"/>
    <w:rsid w:val="00E05B63"/>
    <w:rsid w:val="00E1233E"/>
    <w:rsid w:val="00E209B4"/>
    <w:rsid w:val="00E31CD5"/>
    <w:rsid w:val="00E31D75"/>
    <w:rsid w:val="00E351DC"/>
    <w:rsid w:val="00E36899"/>
    <w:rsid w:val="00E4046E"/>
    <w:rsid w:val="00E40D2B"/>
    <w:rsid w:val="00E422FB"/>
    <w:rsid w:val="00E45E8F"/>
    <w:rsid w:val="00E54B08"/>
    <w:rsid w:val="00E60697"/>
    <w:rsid w:val="00E61076"/>
    <w:rsid w:val="00E65360"/>
    <w:rsid w:val="00E66DD9"/>
    <w:rsid w:val="00E712F7"/>
    <w:rsid w:val="00E73945"/>
    <w:rsid w:val="00E935CE"/>
    <w:rsid w:val="00E93B2D"/>
    <w:rsid w:val="00EA6512"/>
    <w:rsid w:val="00EA6906"/>
    <w:rsid w:val="00EB06F1"/>
    <w:rsid w:val="00EB403A"/>
    <w:rsid w:val="00EB77DD"/>
    <w:rsid w:val="00EC1A04"/>
    <w:rsid w:val="00EC301D"/>
    <w:rsid w:val="00EC58BA"/>
    <w:rsid w:val="00EC6DBA"/>
    <w:rsid w:val="00ED63D5"/>
    <w:rsid w:val="00EE1F19"/>
    <w:rsid w:val="00EE574A"/>
    <w:rsid w:val="00EE6DD3"/>
    <w:rsid w:val="00F06B47"/>
    <w:rsid w:val="00F10E80"/>
    <w:rsid w:val="00F1655A"/>
    <w:rsid w:val="00F17711"/>
    <w:rsid w:val="00F17D7D"/>
    <w:rsid w:val="00F2020F"/>
    <w:rsid w:val="00F230E8"/>
    <w:rsid w:val="00F270D0"/>
    <w:rsid w:val="00F31D0C"/>
    <w:rsid w:val="00F43442"/>
    <w:rsid w:val="00F443E8"/>
    <w:rsid w:val="00F52AFF"/>
    <w:rsid w:val="00F64AC0"/>
    <w:rsid w:val="00F7566C"/>
    <w:rsid w:val="00F7587B"/>
    <w:rsid w:val="00F77848"/>
    <w:rsid w:val="00F81551"/>
    <w:rsid w:val="00F83639"/>
    <w:rsid w:val="00FA7551"/>
    <w:rsid w:val="00FB2867"/>
    <w:rsid w:val="00FB2A48"/>
    <w:rsid w:val="00FB424E"/>
    <w:rsid w:val="00FC03E4"/>
    <w:rsid w:val="00FC494B"/>
    <w:rsid w:val="00FD3E3A"/>
    <w:rsid w:val="00FD47CF"/>
    <w:rsid w:val="00FD5A89"/>
    <w:rsid w:val="00FD7107"/>
    <w:rsid w:val="00FE04A3"/>
    <w:rsid w:val="00FE7C56"/>
    <w:rsid w:val="00FF03C5"/>
    <w:rsid w:val="00FF1077"/>
    <w:rsid w:val="00FF1D8C"/>
    <w:rsid w:val="00FF5414"/>
    <w:rsid w:val="00FF7145"/>
    <w:rsid w:val="00FF7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E7FDD"/>
  <w15:docId w15:val="{0FE856E9-F89E-6D47-8DF1-B73BC268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18E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18E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B2A48"/>
    <w:rPr>
      <w:b/>
      <w:bCs/>
    </w:rPr>
  </w:style>
  <w:style w:type="character" w:customStyle="1" w:styleId="CommentSubjectChar">
    <w:name w:val="Comment Subject Char"/>
    <w:basedOn w:val="CommentTextChar"/>
    <w:link w:val="CommentSubject"/>
    <w:uiPriority w:val="99"/>
    <w:semiHidden/>
    <w:rsid w:val="00FB2A48"/>
    <w:rPr>
      <w:b/>
      <w:bCs/>
      <w:sz w:val="20"/>
      <w:szCs w:val="20"/>
    </w:rPr>
  </w:style>
  <w:style w:type="paragraph" w:styleId="Revision">
    <w:name w:val="Revision"/>
    <w:hidden/>
    <w:uiPriority w:val="99"/>
    <w:semiHidden/>
    <w:rsid w:val="001356BA"/>
    <w:pPr>
      <w:spacing w:after="0" w:line="240" w:lineRule="auto"/>
    </w:pPr>
  </w:style>
  <w:style w:type="character" w:styleId="LineNumber">
    <w:name w:val="line number"/>
    <w:basedOn w:val="DefaultParagraphFont"/>
    <w:uiPriority w:val="99"/>
    <w:semiHidden/>
    <w:unhideWhenUsed/>
    <w:rsid w:val="00323FC7"/>
  </w:style>
  <w:style w:type="paragraph" w:styleId="NormalWeb">
    <w:name w:val="Normal (Web)"/>
    <w:basedOn w:val="Normal"/>
    <w:uiPriority w:val="99"/>
    <w:semiHidden/>
    <w:unhideWhenUsed/>
    <w:rsid w:val="00C716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164E"/>
    <w:rPr>
      <w:color w:val="0000FF"/>
      <w:u w:val="single"/>
    </w:rPr>
  </w:style>
  <w:style w:type="character" w:styleId="UnresolvedMention">
    <w:name w:val="Unresolved Mention"/>
    <w:basedOn w:val="DefaultParagraphFont"/>
    <w:uiPriority w:val="99"/>
    <w:semiHidden/>
    <w:unhideWhenUsed/>
    <w:rsid w:val="00F17D7D"/>
    <w:rPr>
      <w:color w:val="605E5C"/>
      <w:shd w:val="clear" w:color="auto" w:fill="E1DFDD"/>
    </w:rPr>
  </w:style>
  <w:style w:type="paragraph" w:styleId="Footer">
    <w:name w:val="footer"/>
    <w:basedOn w:val="Normal"/>
    <w:link w:val="FooterChar"/>
    <w:uiPriority w:val="99"/>
    <w:unhideWhenUsed/>
    <w:rsid w:val="005C4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6C1"/>
  </w:style>
  <w:style w:type="character" w:styleId="PageNumber">
    <w:name w:val="page number"/>
    <w:basedOn w:val="DefaultParagraphFont"/>
    <w:uiPriority w:val="99"/>
    <w:semiHidden/>
    <w:unhideWhenUsed/>
    <w:rsid w:val="005C4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8542">
      <w:bodyDiv w:val="1"/>
      <w:marLeft w:val="0"/>
      <w:marRight w:val="0"/>
      <w:marTop w:val="0"/>
      <w:marBottom w:val="0"/>
      <w:divBdr>
        <w:top w:val="none" w:sz="0" w:space="0" w:color="auto"/>
        <w:left w:val="none" w:sz="0" w:space="0" w:color="auto"/>
        <w:bottom w:val="none" w:sz="0" w:space="0" w:color="auto"/>
        <w:right w:val="none" w:sz="0" w:space="0" w:color="auto"/>
      </w:divBdr>
    </w:div>
    <w:div w:id="474835773">
      <w:bodyDiv w:val="1"/>
      <w:marLeft w:val="0"/>
      <w:marRight w:val="0"/>
      <w:marTop w:val="0"/>
      <w:marBottom w:val="0"/>
      <w:divBdr>
        <w:top w:val="none" w:sz="0" w:space="0" w:color="auto"/>
        <w:left w:val="none" w:sz="0" w:space="0" w:color="auto"/>
        <w:bottom w:val="none" w:sz="0" w:space="0" w:color="auto"/>
        <w:right w:val="none" w:sz="0" w:space="0" w:color="auto"/>
      </w:divBdr>
    </w:div>
    <w:div w:id="853151226">
      <w:bodyDiv w:val="1"/>
      <w:marLeft w:val="0"/>
      <w:marRight w:val="0"/>
      <w:marTop w:val="0"/>
      <w:marBottom w:val="0"/>
      <w:divBdr>
        <w:top w:val="none" w:sz="0" w:space="0" w:color="auto"/>
        <w:left w:val="none" w:sz="0" w:space="0" w:color="auto"/>
        <w:bottom w:val="none" w:sz="0" w:space="0" w:color="auto"/>
        <w:right w:val="none" w:sz="0" w:space="0" w:color="auto"/>
      </w:divBdr>
    </w:div>
    <w:div w:id="1048725185">
      <w:bodyDiv w:val="1"/>
      <w:marLeft w:val="0"/>
      <w:marRight w:val="0"/>
      <w:marTop w:val="0"/>
      <w:marBottom w:val="0"/>
      <w:divBdr>
        <w:top w:val="none" w:sz="0" w:space="0" w:color="auto"/>
        <w:left w:val="none" w:sz="0" w:space="0" w:color="auto"/>
        <w:bottom w:val="none" w:sz="0" w:space="0" w:color="auto"/>
        <w:right w:val="none" w:sz="0" w:space="0" w:color="auto"/>
      </w:divBdr>
    </w:div>
    <w:div w:id="1235122285">
      <w:bodyDiv w:val="1"/>
      <w:marLeft w:val="0"/>
      <w:marRight w:val="0"/>
      <w:marTop w:val="0"/>
      <w:marBottom w:val="0"/>
      <w:divBdr>
        <w:top w:val="none" w:sz="0" w:space="0" w:color="auto"/>
        <w:left w:val="none" w:sz="0" w:space="0" w:color="auto"/>
        <w:bottom w:val="none" w:sz="0" w:space="0" w:color="auto"/>
        <w:right w:val="none" w:sz="0" w:space="0" w:color="auto"/>
      </w:divBdr>
    </w:div>
    <w:div w:id="1785492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_davies@fas.harvard.ed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F6795-23BB-084F-8A40-A288AEA08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41086</Words>
  <Characters>234195</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Davies</dc:creator>
  <cp:keywords/>
  <cp:lastModifiedBy>Parr, Kate</cp:lastModifiedBy>
  <cp:revision>2</cp:revision>
  <cp:lastPrinted>2019-03-25T11:01:00Z</cp:lastPrinted>
  <dcterms:created xsi:type="dcterms:W3CDTF">2020-07-10T14:25:00Z</dcterms:created>
  <dcterms:modified xsi:type="dcterms:W3CDTF">2020-07-10T14:25:00Z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http://www.zotero.org/styles/biological-conservation</vt:lpwstr>
  </property>
  <property fmtid="{D5CDD505-2E9C-101B-9397-08002B2CF9AE}" pid="3" name="Mendeley Recent Style Name 0_1">
    <vt:lpwstr>Biological Conservation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http://www.zotero.org/styles/ecology</vt:lpwstr>
  </property>
  <property fmtid="{D5CDD505-2E9C-101B-9397-08002B2CF9AE}" pid="9" name="Mendeley Recent Style Name 3_1">
    <vt:lpwstr>Ecology</vt:lpwstr>
  </property>
  <property fmtid="{D5CDD505-2E9C-101B-9397-08002B2CF9AE}" pid="10" name="Mendeley Recent Style Id 4_1">
    <vt:lpwstr>http://www.zotero.org/styles/environmental-research-letters</vt:lpwstr>
  </property>
  <property fmtid="{D5CDD505-2E9C-101B-9397-08002B2CF9AE}" pid="11" name="Mendeley Recent Style Name 4_1">
    <vt:lpwstr>Environmental Research Letters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http://www.zotero.org/styles/journal-of-animal-ecology</vt:lpwstr>
  </property>
  <property fmtid="{D5CDD505-2E9C-101B-9397-08002B2CF9AE}" pid="15" name="Mendeley Recent Style Name 6_1">
    <vt:lpwstr>Journal of Animal Ecology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http://www.zotero.org/styles/oikos</vt:lpwstr>
  </property>
  <property fmtid="{D5CDD505-2E9C-101B-9397-08002B2CF9AE}" pid="19" name="Mendeley Recent Style Name 8_1">
    <vt:lpwstr>Oikos</vt:lpwstr>
  </property>
  <property fmtid="{D5CDD505-2E9C-101B-9397-08002B2CF9AE}" pid="20" name="Mendeley Recent Style Id 9_1">
    <vt:lpwstr>http://www.zotero.org/styles/trends-in-ecology-and-evolution</vt:lpwstr>
  </property>
  <property fmtid="{D5CDD505-2E9C-101B-9397-08002B2CF9AE}" pid="21" name="Mendeley Recent Style Name 9_1">
    <vt:lpwstr>Trends in Ecology &amp; Evolution</vt:lpwstr>
  </property>
  <property fmtid="{D5CDD505-2E9C-101B-9397-08002B2CF9AE}" pid="22" name="Mendeley Document_1">
    <vt:lpwstr>True</vt:lpwstr>
  </property>
  <property fmtid="{D5CDD505-2E9C-101B-9397-08002B2CF9AE}" pid="23" name="Mendeley Unique User Id_1">
    <vt:lpwstr>c1d17c6f-43f9-3973-8233-1a34770a0b14</vt:lpwstr>
  </property>
  <property fmtid="{D5CDD505-2E9C-101B-9397-08002B2CF9AE}" pid="24" name="Mendeley Citation Style_1">
    <vt:lpwstr>http://www.zotero.org/styles/environmental-research-letters</vt:lpwstr>
  </property>
</Properties>
</file>