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A8" w:rsidRPr="00DB5D57" w:rsidRDefault="001F3AA8" w:rsidP="001F3AA8">
      <w:pPr>
        <w:jc w:val="center"/>
        <w:rPr>
          <w:rFonts w:ascii="Times New Roman" w:hAnsi="Times New Roman"/>
        </w:rPr>
      </w:pPr>
      <w:bookmarkStart w:id="0" w:name="_Hlk45106909"/>
      <w:r>
        <w:rPr>
          <w:rFonts w:ascii="Times New Roman" w:hAnsi="Times New Roman"/>
        </w:rPr>
        <w:t>IS</w:t>
      </w:r>
      <w:r w:rsidRPr="00DB5D57">
        <w:rPr>
          <w:rFonts w:ascii="Times New Roman" w:hAnsi="Times New Roman"/>
        </w:rPr>
        <w:t xml:space="preserve"> SEXUAL-ORIENTATION DISCRIMINATION</w:t>
      </w:r>
      <w:r>
        <w:rPr>
          <w:rFonts w:ascii="Times New Roman" w:hAnsi="Times New Roman"/>
        </w:rPr>
        <w:t xml:space="preserve"> A FORM OF SEX DISCRIMINATION</w:t>
      </w:r>
      <w:bookmarkEnd w:id="0"/>
      <w:r w:rsidRPr="00DB5D57">
        <w:rPr>
          <w:rFonts w:ascii="Times New Roman" w:hAnsi="Times New Roman"/>
        </w:rPr>
        <w:t>?</w:t>
      </w:r>
    </w:p>
    <w:p w:rsidR="001F3AA8" w:rsidRDefault="001F3AA8" w:rsidP="001F3AA8">
      <w:pPr>
        <w:jc w:val="center"/>
        <w:rPr>
          <w:rFonts w:ascii="Times New Roman" w:hAnsi="Times New Roman"/>
        </w:rPr>
      </w:pPr>
      <w:r>
        <w:rPr>
          <w:rFonts w:ascii="Times New Roman" w:hAnsi="Times New Roman"/>
        </w:rPr>
        <w:t>Daniel J. Hill</w:t>
      </w:r>
    </w:p>
    <w:p w:rsidR="001F3AA8" w:rsidRDefault="001F3AA8" w:rsidP="001F3AA8">
      <w:pPr>
        <w:jc w:val="center"/>
        <w:rPr>
          <w:rFonts w:ascii="Times New Roman" w:hAnsi="Times New Roman"/>
        </w:rPr>
      </w:pPr>
      <w:r>
        <w:rPr>
          <w:rFonts w:ascii="Times New Roman" w:hAnsi="Times New Roman"/>
        </w:rPr>
        <w:t>Department of Philosophy, University of Liverpool, L69 7WY</w:t>
      </w:r>
    </w:p>
    <w:p w:rsidR="001F3AA8" w:rsidRDefault="001F3AA8" w:rsidP="001F3AA8">
      <w:pPr>
        <w:jc w:val="center"/>
        <w:rPr>
          <w:rFonts w:ascii="Times New Roman" w:hAnsi="Times New Roman"/>
        </w:rPr>
      </w:pPr>
      <w:hyperlink r:id="rId8" w:history="1">
        <w:r w:rsidRPr="00DB2E11">
          <w:rPr>
            <w:rStyle w:val="Hyperlink"/>
          </w:rPr>
          <w:t>djhill@liverpool.ac.uk</w:t>
        </w:r>
      </w:hyperlink>
    </w:p>
    <w:p w:rsidR="001F3AA8" w:rsidRDefault="001F3AA8" w:rsidP="001F3AA8">
      <w:pPr>
        <w:jc w:val="center"/>
        <w:rPr>
          <w:rFonts w:ascii="Times New Roman" w:hAnsi="Times New Roman"/>
        </w:rPr>
      </w:pPr>
      <w:r>
        <w:rPr>
          <w:rFonts w:ascii="Times New Roman" w:hAnsi="Times New Roman"/>
        </w:rPr>
        <w:t xml:space="preserve">ORCID: </w:t>
      </w:r>
      <w:r w:rsidRPr="007B43CA">
        <w:rPr>
          <w:rFonts w:ascii="Times New Roman" w:hAnsi="Times New Roman"/>
        </w:rPr>
        <w:t>0000-0003-4546-8662</w:t>
      </w:r>
    </w:p>
    <w:p w:rsidR="001F3AA8" w:rsidRPr="00B32627" w:rsidRDefault="001F3AA8" w:rsidP="001F3AA8">
      <w:pPr>
        <w:pStyle w:val="Heading2"/>
        <w:rPr>
          <w:rFonts w:ascii="Times New Roman" w:hAnsi="Times New Roman"/>
          <w:szCs w:val="22"/>
        </w:rPr>
      </w:pPr>
      <w:r w:rsidRPr="00B32627">
        <w:rPr>
          <w:rFonts w:ascii="Times New Roman" w:hAnsi="Times New Roman"/>
          <w:szCs w:val="22"/>
        </w:rPr>
        <w:t>Abstract</w:t>
      </w:r>
    </w:p>
    <w:p w:rsidR="001F3AA8" w:rsidRDefault="001F3AA8" w:rsidP="001F3AA8">
      <w:pPr>
        <w:spacing w:line="480" w:lineRule="auto"/>
        <w:rPr>
          <w:rFonts w:ascii="Times New Roman" w:hAnsi="Times New Roman"/>
          <w:sz w:val="24"/>
          <w:szCs w:val="24"/>
        </w:rPr>
      </w:pPr>
      <w:r w:rsidRPr="00065C01">
        <w:rPr>
          <w:rFonts w:ascii="Times New Roman" w:hAnsi="Times New Roman"/>
          <w:sz w:val="24"/>
          <w:szCs w:val="24"/>
        </w:rPr>
        <w:t>I</w:t>
      </w:r>
      <w:r>
        <w:rPr>
          <w:rFonts w:ascii="Times New Roman" w:hAnsi="Times New Roman"/>
          <w:sz w:val="24"/>
          <w:szCs w:val="24"/>
        </w:rPr>
        <w:t xml:space="preserve">n </w:t>
      </w:r>
      <w:r>
        <w:rPr>
          <w:rFonts w:ascii="Times New Roman" w:hAnsi="Times New Roman"/>
          <w:i/>
          <w:iCs/>
          <w:sz w:val="24"/>
          <w:szCs w:val="24"/>
        </w:rPr>
        <w:t>Bostock v Clayton County</w:t>
      </w:r>
      <w:r>
        <w:rPr>
          <w:rFonts w:ascii="Times New Roman" w:hAnsi="Times New Roman"/>
          <w:sz w:val="24"/>
          <w:szCs w:val="24"/>
        </w:rPr>
        <w:t xml:space="preserve"> (2020) Gorsuch J holds that direct discrimination because of sexual orientation is a form of direct discrimination because of sex. I argue that the same is true under the Equality Act 2010. I </w:t>
      </w:r>
      <w:r w:rsidRPr="00065C01">
        <w:rPr>
          <w:rFonts w:ascii="Times New Roman" w:hAnsi="Times New Roman"/>
          <w:sz w:val="24"/>
          <w:szCs w:val="24"/>
        </w:rPr>
        <w:t xml:space="preserve">consider the arguments of </w:t>
      </w:r>
      <w:r>
        <w:rPr>
          <w:rFonts w:ascii="Times New Roman" w:hAnsi="Times New Roman"/>
          <w:sz w:val="24"/>
          <w:szCs w:val="24"/>
        </w:rPr>
        <w:t>(</w:t>
      </w:r>
      <w:r w:rsidRPr="00065C01">
        <w:rPr>
          <w:rFonts w:ascii="Times New Roman" w:hAnsi="Times New Roman"/>
          <w:sz w:val="24"/>
          <w:szCs w:val="24"/>
        </w:rPr>
        <w:t>Finnis</w:t>
      </w:r>
      <w:r>
        <w:rPr>
          <w:rFonts w:ascii="Times New Roman" w:hAnsi="Times New Roman"/>
          <w:sz w:val="24"/>
          <w:szCs w:val="24"/>
        </w:rPr>
        <w:t xml:space="preserve"> 2011) and (Gardner 1998) that</w:t>
      </w:r>
      <w:r w:rsidRPr="00065C01">
        <w:rPr>
          <w:rFonts w:ascii="Times New Roman" w:hAnsi="Times New Roman"/>
          <w:sz w:val="24"/>
          <w:szCs w:val="24"/>
        </w:rPr>
        <w:t xml:space="preserve"> </w:t>
      </w:r>
      <w:r>
        <w:rPr>
          <w:rFonts w:ascii="Times New Roman" w:hAnsi="Times New Roman"/>
          <w:sz w:val="24"/>
          <w:szCs w:val="24"/>
        </w:rPr>
        <w:t>“</w:t>
      </w:r>
      <w:r w:rsidRPr="00065C01">
        <w:rPr>
          <w:rFonts w:ascii="Times New Roman" w:hAnsi="Times New Roman"/>
          <w:sz w:val="24"/>
          <w:szCs w:val="24"/>
        </w:rPr>
        <w:t>because of</w:t>
      </w:r>
      <w:r>
        <w:rPr>
          <w:rFonts w:ascii="Times New Roman" w:hAnsi="Times New Roman"/>
          <w:sz w:val="24"/>
          <w:szCs w:val="24"/>
        </w:rPr>
        <w:t xml:space="preserve">”, “on grounds of”, and similar phrases </w:t>
      </w:r>
      <w:r w:rsidRPr="00065C01">
        <w:rPr>
          <w:rFonts w:ascii="Times New Roman" w:hAnsi="Times New Roman"/>
          <w:sz w:val="24"/>
          <w:szCs w:val="24"/>
        </w:rPr>
        <w:t>in UK discrimination legislation</w:t>
      </w:r>
      <w:r>
        <w:rPr>
          <w:rFonts w:ascii="Times New Roman" w:hAnsi="Times New Roman"/>
          <w:sz w:val="24"/>
          <w:szCs w:val="24"/>
        </w:rPr>
        <w:t xml:space="preserve"> invoke the state of mind of the discriminator</w:t>
      </w:r>
      <w:r w:rsidRPr="00065C01">
        <w:rPr>
          <w:rFonts w:ascii="Times New Roman" w:hAnsi="Times New Roman"/>
          <w:sz w:val="24"/>
          <w:szCs w:val="24"/>
        </w:rPr>
        <w:t xml:space="preserve">. </w:t>
      </w:r>
      <w:r>
        <w:rPr>
          <w:rFonts w:ascii="Times New Roman" w:hAnsi="Times New Roman"/>
          <w:sz w:val="24"/>
          <w:szCs w:val="24"/>
        </w:rPr>
        <w:t xml:space="preserve">I </w:t>
      </w:r>
      <w:r w:rsidRPr="00065C01">
        <w:rPr>
          <w:rFonts w:ascii="Times New Roman" w:hAnsi="Times New Roman"/>
          <w:sz w:val="24"/>
          <w:szCs w:val="24"/>
        </w:rPr>
        <w:t>apply this</w:t>
      </w:r>
      <w:r>
        <w:rPr>
          <w:rFonts w:ascii="Times New Roman" w:hAnsi="Times New Roman"/>
          <w:sz w:val="24"/>
          <w:szCs w:val="24"/>
        </w:rPr>
        <w:t xml:space="preserve"> point</w:t>
      </w:r>
      <w:r w:rsidRPr="00065C01">
        <w:rPr>
          <w:rFonts w:ascii="Times New Roman" w:hAnsi="Times New Roman"/>
          <w:sz w:val="24"/>
          <w:szCs w:val="24"/>
        </w:rPr>
        <w:t xml:space="preserve"> to </w:t>
      </w:r>
      <w:r w:rsidRPr="00065C01">
        <w:rPr>
          <w:rFonts w:ascii="Times New Roman" w:hAnsi="Times New Roman"/>
          <w:i/>
          <w:sz w:val="24"/>
          <w:szCs w:val="24"/>
        </w:rPr>
        <w:t xml:space="preserve">Bull and Bull v Hall and </w:t>
      </w:r>
      <w:proofErr w:type="spellStart"/>
      <w:r w:rsidRPr="00065C01">
        <w:rPr>
          <w:rFonts w:ascii="Times New Roman" w:hAnsi="Times New Roman"/>
          <w:i/>
          <w:sz w:val="24"/>
          <w:szCs w:val="24"/>
        </w:rPr>
        <w:t>Preddy</w:t>
      </w:r>
      <w:proofErr w:type="spellEnd"/>
      <w:r>
        <w:rPr>
          <w:rFonts w:ascii="Times New Roman" w:hAnsi="Times New Roman"/>
          <w:sz w:val="24"/>
          <w:szCs w:val="24"/>
        </w:rPr>
        <w:t xml:space="preserve"> [2013]</w:t>
      </w:r>
      <w:r w:rsidRPr="00065C01">
        <w:rPr>
          <w:rFonts w:ascii="Times New Roman" w:hAnsi="Times New Roman"/>
          <w:sz w:val="24"/>
          <w:szCs w:val="24"/>
        </w:rPr>
        <w:t xml:space="preserve"> argu</w:t>
      </w:r>
      <w:r>
        <w:rPr>
          <w:rFonts w:ascii="Times New Roman" w:hAnsi="Times New Roman"/>
          <w:sz w:val="24"/>
          <w:szCs w:val="24"/>
        </w:rPr>
        <w:t>ing</w:t>
      </w:r>
      <w:r w:rsidRPr="00065C01">
        <w:rPr>
          <w:rFonts w:ascii="Times New Roman" w:hAnsi="Times New Roman"/>
          <w:sz w:val="24"/>
          <w:szCs w:val="24"/>
        </w:rPr>
        <w:t xml:space="preserve"> that</w:t>
      </w: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w:t>
      </w:r>
      <w:r w:rsidRPr="00065C01">
        <w:rPr>
          <w:rFonts w:ascii="Times New Roman" w:hAnsi="Times New Roman"/>
          <w:sz w:val="24"/>
          <w:szCs w:val="24"/>
        </w:rPr>
        <w:t xml:space="preserve"> the</w:t>
      </w:r>
      <w:r>
        <w:rPr>
          <w:rFonts w:ascii="Times New Roman" w:hAnsi="Times New Roman"/>
          <w:sz w:val="24"/>
          <w:szCs w:val="24"/>
        </w:rPr>
        <w:t xml:space="preserve"> UK Supreme Court</w:t>
      </w:r>
      <w:r w:rsidRPr="00065C01">
        <w:rPr>
          <w:rFonts w:ascii="Times New Roman" w:hAnsi="Times New Roman"/>
          <w:sz w:val="24"/>
          <w:szCs w:val="24"/>
        </w:rPr>
        <w:t xml:space="preserve"> was wrong to find direct discrimination </w:t>
      </w:r>
      <w:r>
        <w:rPr>
          <w:rFonts w:ascii="Times New Roman" w:hAnsi="Times New Roman"/>
          <w:sz w:val="24"/>
          <w:szCs w:val="24"/>
        </w:rPr>
        <w:t>on grounds of</w:t>
      </w:r>
      <w:r w:rsidRPr="00065C01">
        <w:rPr>
          <w:rFonts w:ascii="Times New Roman" w:hAnsi="Times New Roman"/>
          <w:sz w:val="24"/>
          <w:szCs w:val="24"/>
        </w:rPr>
        <w:t xml:space="preserve"> sexual </w:t>
      </w:r>
      <w:r>
        <w:rPr>
          <w:rFonts w:ascii="Times New Roman" w:hAnsi="Times New Roman"/>
          <w:sz w:val="24"/>
          <w:szCs w:val="24"/>
        </w:rPr>
        <w:t xml:space="preserve">orientation, while, (ii), nevertheless, under the Equality Act 2010, </w:t>
      </w:r>
      <w:r>
        <w:rPr>
          <w:rFonts w:ascii="Times New Roman" w:hAnsi="Times New Roman"/>
          <w:iCs/>
          <w:sz w:val="24"/>
          <w:szCs w:val="24"/>
        </w:rPr>
        <w:t xml:space="preserve">that case </w:t>
      </w:r>
      <w:r>
        <w:rPr>
          <w:rFonts w:ascii="Times New Roman" w:hAnsi="Times New Roman"/>
          <w:sz w:val="24"/>
          <w:szCs w:val="24"/>
        </w:rPr>
        <w:t xml:space="preserve">and similar </w:t>
      </w:r>
      <w:r w:rsidRPr="00065C01">
        <w:rPr>
          <w:rFonts w:ascii="Times New Roman" w:hAnsi="Times New Roman"/>
          <w:sz w:val="24"/>
          <w:szCs w:val="24"/>
        </w:rPr>
        <w:t xml:space="preserve">cases </w:t>
      </w:r>
      <w:r>
        <w:rPr>
          <w:rFonts w:ascii="Times New Roman" w:hAnsi="Times New Roman"/>
          <w:sz w:val="24"/>
          <w:szCs w:val="24"/>
        </w:rPr>
        <w:t>actually involve</w:t>
      </w:r>
      <w:r w:rsidRPr="00065C01">
        <w:rPr>
          <w:rFonts w:ascii="Times New Roman" w:hAnsi="Times New Roman"/>
          <w:sz w:val="24"/>
          <w:szCs w:val="24"/>
        </w:rPr>
        <w:t xml:space="preserve"> direct discrimination because of sex</w:t>
      </w:r>
      <w:r>
        <w:rPr>
          <w:rFonts w:ascii="Times New Roman" w:hAnsi="Times New Roman"/>
          <w:sz w:val="24"/>
          <w:szCs w:val="24"/>
        </w:rPr>
        <w:t>, not because of sexual orientation.</w:t>
      </w:r>
      <w:r w:rsidRPr="00F40523">
        <w:rPr>
          <w:rFonts w:ascii="Times New Roman" w:hAnsi="Times New Roman"/>
          <w:sz w:val="24"/>
          <w:szCs w:val="24"/>
        </w:rPr>
        <w:t xml:space="preserve"> </w:t>
      </w:r>
      <w:r>
        <w:rPr>
          <w:rFonts w:ascii="Times New Roman" w:hAnsi="Times New Roman"/>
          <w:sz w:val="24"/>
          <w:szCs w:val="24"/>
        </w:rPr>
        <w:t>I conclude by considering some objections, precedents, and implications.</w:t>
      </w:r>
    </w:p>
    <w:p w:rsidR="001F3AA8" w:rsidRDefault="001F3AA8" w:rsidP="001F3AA8">
      <w:pPr>
        <w:spacing w:after="0" w:line="480" w:lineRule="auto"/>
        <w:rPr>
          <w:rFonts w:ascii="Times New Roman" w:hAnsi="Times New Roman"/>
          <w:sz w:val="24"/>
          <w:szCs w:val="24"/>
        </w:rPr>
      </w:pPr>
      <w:r>
        <w:rPr>
          <w:rFonts w:ascii="Times New Roman" w:hAnsi="Times New Roman"/>
          <w:b/>
          <w:sz w:val="24"/>
          <w:szCs w:val="24"/>
        </w:rPr>
        <w:t>Key w</w:t>
      </w:r>
      <w:r w:rsidRPr="00590B50">
        <w:rPr>
          <w:rFonts w:ascii="Times New Roman" w:hAnsi="Times New Roman"/>
          <w:b/>
          <w:sz w:val="24"/>
          <w:szCs w:val="24"/>
        </w:rPr>
        <w:t>ords</w:t>
      </w:r>
      <w:r>
        <w:rPr>
          <w:rFonts w:ascii="Times New Roman" w:hAnsi="Times New Roman"/>
          <w:sz w:val="24"/>
          <w:szCs w:val="24"/>
        </w:rPr>
        <w:t>:</w:t>
      </w:r>
    </w:p>
    <w:p w:rsidR="001F3AA8" w:rsidRDefault="001F3AA8" w:rsidP="001F3AA8">
      <w:pPr>
        <w:spacing w:after="0" w:line="480" w:lineRule="auto"/>
        <w:rPr>
          <w:rFonts w:ascii="Times New Roman" w:hAnsi="Times New Roman"/>
          <w:sz w:val="24"/>
          <w:szCs w:val="24"/>
        </w:rPr>
      </w:pPr>
      <w:r>
        <w:rPr>
          <w:rFonts w:ascii="Times New Roman" w:hAnsi="Times New Roman"/>
          <w:sz w:val="24"/>
          <w:szCs w:val="24"/>
        </w:rPr>
        <w:t xml:space="preserve">Finnis, direct discrimination, grounds, sex, sexual orientation, </w:t>
      </w:r>
      <w:r w:rsidRPr="00590B50">
        <w:rPr>
          <w:rFonts w:ascii="Times New Roman" w:hAnsi="Times New Roman"/>
          <w:i/>
          <w:sz w:val="24"/>
          <w:szCs w:val="24"/>
        </w:rPr>
        <w:t>Bull</w:t>
      </w:r>
      <w:r>
        <w:rPr>
          <w:rFonts w:ascii="Times New Roman" w:hAnsi="Times New Roman"/>
          <w:sz w:val="24"/>
          <w:szCs w:val="24"/>
        </w:rPr>
        <w:t>, Equality Act 2010</w:t>
      </w:r>
    </w:p>
    <w:p w:rsidR="001F3AA8" w:rsidRDefault="001F3AA8" w:rsidP="001F3AA8">
      <w:pPr>
        <w:spacing w:after="0" w:line="480" w:lineRule="auto"/>
        <w:rPr>
          <w:rFonts w:ascii="Times New Roman" w:hAnsi="Times New Roman"/>
          <w:sz w:val="24"/>
          <w:szCs w:val="24"/>
        </w:rPr>
      </w:pPr>
    </w:p>
    <w:p w:rsidR="001F3AA8" w:rsidRDefault="001F3AA8" w:rsidP="001F3AA8">
      <w:pPr>
        <w:spacing w:after="0" w:line="240" w:lineRule="auto"/>
        <w:rPr>
          <w:b/>
          <w:bCs/>
        </w:rPr>
      </w:pPr>
      <w:r>
        <w:rPr>
          <w:b/>
          <w:bCs/>
        </w:rPr>
        <w:t>Declarations:</w:t>
      </w:r>
    </w:p>
    <w:p w:rsidR="001F3AA8" w:rsidRPr="008A4B59" w:rsidRDefault="001F3AA8" w:rsidP="001F3AA8">
      <w:pPr>
        <w:spacing w:after="0" w:line="240" w:lineRule="auto"/>
      </w:pPr>
      <w:r w:rsidRPr="008A4B59">
        <w:rPr>
          <w:b/>
          <w:bCs/>
        </w:rPr>
        <w:t>Funding</w:t>
      </w:r>
      <w:r>
        <w:t>: None</w:t>
      </w:r>
    </w:p>
    <w:p w:rsidR="001F3AA8" w:rsidRPr="008A4B59" w:rsidRDefault="001F3AA8" w:rsidP="001F3AA8">
      <w:pPr>
        <w:spacing w:after="0" w:line="240" w:lineRule="auto"/>
      </w:pPr>
      <w:r w:rsidRPr="008A4B59">
        <w:rPr>
          <w:b/>
          <w:bCs/>
        </w:rPr>
        <w:t>Conflicts of interest/Competing interests</w:t>
      </w:r>
      <w:r>
        <w:t>: None</w:t>
      </w:r>
    </w:p>
    <w:p w:rsidR="001F3AA8" w:rsidRDefault="001F3AA8" w:rsidP="001F3AA8">
      <w:pPr>
        <w:spacing w:after="0" w:line="240" w:lineRule="auto"/>
      </w:pPr>
      <w:r w:rsidRPr="008A4B59">
        <w:rPr>
          <w:b/>
          <w:bCs/>
        </w:rPr>
        <w:t>Availability of data and material</w:t>
      </w:r>
      <w:r>
        <w:t>: Not applicable</w:t>
      </w:r>
    </w:p>
    <w:p w:rsidR="001F3AA8" w:rsidRDefault="001F3AA8" w:rsidP="001F3AA8">
      <w:pPr>
        <w:spacing w:after="0" w:line="240" w:lineRule="auto"/>
      </w:pPr>
      <w:r w:rsidRPr="008A4B59">
        <w:rPr>
          <w:b/>
          <w:bCs/>
        </w:rPr>
        <w:t>Code availability</w:t>
      </w:r>
      <w:r>
        <w:t>: Not applicable</w:t>
      </w:r>
    </w:p>
    <w:p w:rsidR="001F3AA8" w:rsidRDefault="001F3AA8">
      <w:pPr>
        <w:spacing w:after="0" w:line="240" w:lineRule="auto"/>
        <w:rPr>
          <w:rFonts w:ascii="Times New Roman" w:hAnsi="Times New Roman"/>
          <w:sz w:val="24"/>
          <w:szCs w:val="24"/>
        </w:rPr>
      </w:pPr>
      <w:bookmarkStart w:id="1" w:name="_GoBack"/>
      <w:bookmarkEnd w:id="1"/>
      <w:r>
        <w:rPr>
          <w:rFonts w:ascii="Times New Roman" w:hAnsi="Times New Roman"/>
          <w:sz w:val="24"/>
          <w:szCs w:val="24"/>
        </w:rPr>
        <w:br w:type="page"/>
      </w:r>
    </w:p>
    <w:p w:rsidR="00DC0F31" w:rsidRDefault="004E5963" w:rsidP="004E5963">
      <w:pPr>
        <w:jc w:val="center"/>
        <w:rPr>
          <w:rFonts w:ascii="Times New Roman" w:hAnsi="Times New Roman"/>
        </w:rPr>
      </w:pPr>
      <w:r w:rsidRPr="004E5963">
        <w:rPr>
          <w:rFonts w:ascii="Times New Roman" w:hAnsi="Times New Roman"/>
        </w:rPr>
        <w:lastRenderedPageBreak/>
        <w:t>IS</w:t>
      </w:r>
      <w:r w:rsidRPr="00DB5D57">
        <w:rPr>
          <w:rFonts w:ascii="Times New Roman" w:hAnsi="Times New Roman"/>
        </w:rPr>
        <w:t xml:space="preserve"> SEXUAL-ORIENTATION DISCRIMINATION</w:t>
      </w:r>
      <w:r w:rsidRPr="004E5963">
        <w:rPr>
          <w:rFonts w:ascii="Times New Roman" w:hAnsi="Times New Roman"/>
        </w:rPr>
        <w:t xml:space="preserve"> A FORM OF SEX DISCRIMINATION</w:t>
      </w:r>
      <w:r w:rsidR="00083FDE">
        <w:rPr>
          <w:rFonts w:ascii="Times New Roman" w:hAnsi="Times New Roman"/>
        </w:rPr>
        <w:t>?</w:t>
      </w:r>
    </w:p>
    <w:p w:rsidR="004A179B" w:rsidRPr="00DC0F31" w:rsidRDefault="00DC0F31" w:rsidP="00B32627">
      <w:pPr>
        <w:pStyle w:val="Heading2"/>
        <w:numPr>
          <w:ilvl w:val="0"/>
          <w:numId w:val="7"/>
        </w:numPr>
        <w:jc w:val="center"/>
        <w:rPr>
          <w:rFonts w:ascii="Times New Roman" w:hAnsi="Times New Roman"/>
          <w:b w:val="0"/>
          <w:i w:val="0"/>
          <w:szCs w:val="22"/>
        </w:rPr>
      </w:pPr>
      <w:r w:rsidRPr="00DC0F31">
        <w:rPr>
          <w:rFonts w:ascii="Times New Roman" w:hAnsi="Times New Roman"/>
          <w:b w:val="0"/>
          <w:i w:val="0"/>
          <w:szCs w:val="22"/>
        </w:rPr>
        <w:t>INTRODUCTION</w:t>
      </w:r>
    </w:p>
    <w:p w:rsidR="006B0D03" w:rsidRDefault="008A6CAF" w:rsidP="00680EC7">
      <w:pPr>
        <w:spacing w:line="480" w:lineRule="auto"/>
        <w:rPr>
          <w:rFonts w:ascii="Times New Roman" w:hAnsi="Times New Roman"/>
          <w:bCs/>
          <w:iCs/>
          <w:sz w:val="24"/>
          <w:szCs w:val="24"/>
        </w:rPr>
      </w:pPr>
      <w:r>
        <w:rPr>
          <w:rFonts w:ascii="Times New Roman" w:hAnsi="Times New Roman"/>
          <w:sz w:val="24"/>
          <w:szCs w:val="24"/>
        </w:rPr>
        <w:t>On</w:t>
      </w:r>
      <w:r w:rsidRPr="006343E9">
        <w:rPr>
          <w:rFonts w:ascii="Times New Roman" w:hAnsi="Times New Roman"/>
          <w:bCs/>
          <w:iCs/>
          <w:sz w:val="24"/>
          <w:szCs w:val="24"/>
        </w:rPr>
        <w:t xml:space="preserve"> </w:t>
      </w:r>
      <w:r w:rsidR="0095406A">
        <w:rPr>
          <w:rFonts w:ascii="Times New Roman" w:hAnsi="Times New Roman"/>
          <w:bCs/>
          <w:iCs/>
          <w:sz w:val="24"/>
          <w:szCs w:val="24"/>
        </w:rPr>
        <w:t xml:space="preserve">15 </w:t>
      </w:r>
      <w:r w:rsidR="006343E9" w:rsidRPr="006343E9">
        <w:rPr>
          <w:rFonts w:ascii="Times New Roman" w:hAnsi="Times New Roman"/>
          <w:bCs/>
          <w:iCs/>
          <w:sz w:val="24"/>
          <w:szCs w:val="24"/>
        </w:rPr>
        <w:t>June 2020</w:t>
      </w:r>
      <w:r w:rsidR="006343E9">
        <w:rPr>
          <w:rFonts w:ascii="Times New Roman" w:hAnsi="Times New Roman"/>
          <w:bCs/>
          <w:iCs/>
          <w:sz w:val="24"/>
          <w:szCs w:val="24"/>
        </w:rPr>
        <w:t xml:space="preserve"> the Supreme Court of the United States handed down judgment in three combined cases</w:t>
      </w:r>
      <w:r w:rsidR="007F6B36">
        <w:rPr>
          <w:rFonts w:ascii="Times New Roman" w:hAnsi="Times New Roman"/>
          <w:bCs/>
          <w:iCs/>
          <w:sz w:val="24"/>
          <w:szCs w:val="24"/>
        </w:rPr>
        <w:t>,</w:t>
      </w:r>
      <w:r w:rsidR="006343E9">
        <w:rPr>
          <w:rFonts w:ascii="Times New Roman" w:hAnsi="Times New Roman"/>
          <w:bCs/>
          <w:iCs/>
          <w:sz w:val="24"/>
          <w:szCs w:val="24"/>
        </w:rPr>
        <w:t xml:space="preserve"> </w:t>
      </w:r>
      <w:r w:rsidR="00EC7A72" w:rsidRPr="005D35D8">
        <w:rPr>
          <w:rFonts w:ascii="Times New Roman" w:hAnsi="Times New Roman"/>
          <w:bCs/>
          <w:i/>
          <w:sz w:val="24"/>
          <w:szCs w:val="24"/>
        </w:rPr>
        <w:t>Bostock v Clayton County</w:t>
      </w:r>
      <w:r w:rsidR="00E64CEE" w:rsidRPr="005D35D8">
        <w:rPr>
          <w:rFonts w:ascii="Times New Roman" w:hAnsi="Times New Roman"/>
          <w:bCs/>
          <w:i/>
          <w:sz w:val="24"/>
          <w:szCs w:val="24"/>
        </w:rPr>
        <w:t xml:space="preserve"> </w:t>
      </w:r>
      <w:r w:rsidR="005D35D8" w:rsidRPr="005D35D8">
        <w:rPr>
          <w:rFonts w:ascii="Times New Roman" w:hAnsi="Times New Roman"/>
          <w:bCs/>
          <w:iCs/>
          <w:sz w:val="24"/>
          <w:szCs w:val="24"/>
        </w:rPr>
        <w:t>(</w:t>
      </w:r>
      <w:r w:rsidR="00E64CEE" w:rsidRPr="005D35D8">
        <w:rPr>
          <w:rFonts w:ascii="Times New Roman" w:hAnsi="Times New Roman"/>
          <w:bCs/>
          <w:iCs/>
          <w:sz w:val="24"/>
          <w:szCs w:val="24"/>
        </w:rPr>
        <w:t>2</w:t>
      </w:r>
      <w:r w:rsidR="00E64CEE">
        <w:rPr>
          <w:rFonts w:ascii="Times New Roman" w:hAnsi="Times New Roman"/>
          <w:bCs/>
          <w:iCs/>
          <w:sz w:val="24"/>
          <w:szCs w:val="24"/>
        </w:rPr>
        <w:t>020</w:t>
      </w:r>
      <w:r w:rsidR="005D35D8">
        <w:rPr>
          <w:rFonts w:ascii="Times New Roman" w:hAnsi="Times New Roman"/>
          <w:bCs/>
          <w:iCs/>
          <w:sz w:val="24"/>
          <w:szCs w:val="24"/>
        </w:rPr>
        <w:t>)</w:t>
      </w:r>
      <w:r w:rsidR="00E64CEE">
        <w:rPr>
          <w:rFonts w:ascii="Times New Roman" w:hAnsi="Times New Roman"/>
          <w:bCs/>
          <w:iCs/>
          <w:sz w:val="24"/>
          <w:szCs w:val="24"/>
        </w:rPr>
        <w:t xml:space="preserve">, </w:t>
      </w:r>
      <w:r w:rsidR="00E64CEE" w:rsidRPr="005D35D8">
        <w:rPr>
          <w:rFonts w:ascii="Times New Roman" w:hAnsi="Times New Roman"/>
          <w:bCs/>
          <w:i/>
          <w:iCs/>
          <w:sz w:val="24"/>
          <w:szCs w:val="24"/>
        </w:rPr>
        <w:t xml:space="preserve">Altitude Express v </w:t>
      </w:r>
      <w:proofErr w:type="spellStart"/>
      <w:r w:rsidR="00E64CEE" w:rsidRPr="005D35D8">
        <w:rPr>
          <w:rFonts w:ascii="Times New Roman" w:hAnsi="Times New Roman"/>
          <w:bCs/>
          <w:i/>
          <w:iCs/>
          <w:sz w:val="24"/>
          <w:szCs w:val="24"/>
        </w:rPr>
        <w:t>Zarda</w:t>
      </w:r>
      <w:proofErr w:type="spellEnd"/>
      <w:r w:rsidR="00E64CEE" w:rsidRPr="005D35D8">
        <w:rPr>
          <w:rFonts w:ascii="Times New Roman" w:hAnsi="Times New Roman"/>
          <w:bCs/>
          <w:i/>
          <w:iCs/>
          <w:sz w:val="24"/>
          <w:szCs w:val="24"/>
        </w:rPr>
        <w:t xml:space="preserve"> </w:t>
      </w:r>
      <w:r w:rsidR="005D35D8">
        <w:rPr>
          <w:rFonts w:ascii="Times New Roman" w:hAnsi="Times New Roman"/>
          <w:bCs/>
          <w:sz w:val="24"/>
          <w:szCs w:val="24"/>
        </w:rPr>
        <w:t>(</w:t>
      </w:r>
      <w:r w:rsidR="00E64CEE">
        <w:rPr>
          <w:rFonts w:ascii="Times New Roman" w:hAnsi="Times New Roman"/>
          <w:bCs/>
          <w:sz w:val="24"/>
          <w:szCs w:val="24"/>
        </w:rPr>
        <w:t>2020</w:t>
      </w:r>
      <w:r w:rsidR="005D35D8">
        <w:rPr>
          <w:rFonts w:ascii="Times New Roman" w:hAnsi="Times New Roman"/>
          <w:bCs/>
          <w:sz w:val="24"/>
          <w:szCs w:val="24"/>
        </w:rPr>
        <w:t>)</w:t>
      </w:r>
      <w:r w:rsidR="00AB5FEB">
        <w:rPr>
          <w:rFonts w:ascii="Times New Roman" w:hAnsi="Times New Roman"/>
          <w:bCs/>
          <w:sz w:val="24"/>
          <w:szCs w:val="24"/>
        </w:rPr>
        <w:t xml:space="preserve">, and </w:t>
      </w:r>
      <w:r w:rsidR="00E64CEE" w:rsidRPr="005D35D8">
        <w:rPr>
          <w:rFonts w:ascii="Times New Roman" w:hAnsi="Times New Roman"/>
          <w:bCs/>
          <w:i/>
          <w:sz w:val="24"/>
          <w:szCs w:val="24"/>
        </w:rPr>
        <w:t>Harris Funeral Homes v Equal Employment Opportunity Commission</w:t>
      </w:r>
      <w:r w:rsidR="00AB5FEB" w:rsidRPr="005D35D8">
        <w:rPr>
          <w:rFonts w:ascii="Times New Roman" w:hAnsi="Times New Roman"/>
          <w:bCs/>
          <w:i/>
          <w:sz w:val="24"/>
          <w:szCs w:val="24"/>
        </w:rPr>
        <w:t xml:space="preserve"> </w:t>
      </w:r>
      <w:r w:rsidR="005D35D8">
        <w:rPr>
          <w:rFonts w:ascii="Times New Roman" w:hAnsi="Times New Roman"/>
          <w:bCs/>
          <w:iCs/>
          <w:sz w:val="24"/>
          <w:szCs w:val="24"/>
        </w:rPr>
        <w:t>(</w:t>
      </w:r>
      <w:r w:rsidR="00AB5FEB">
        <w:rPr>
          <w:rFonts w:ascii="Times New Roman" w:hAnsi="Times New Roman"/>
          <w:bCs/>
          <w:iCs/>
          <w:sz w:val="24"/>
          <w:szCs w:val="24"/>
        </w:rPr>
        <w:t>2020</w:t>
      </w:r>
      <w:r w:rsidR="005D35D8">
        <w:rPr>
          <w:rFonts w:ascii="Times New Roman" w:hAnsi="Times New Roman"/>
          <w:bCs/>
          <w:iCs/>
          <w:sz w:val="24"/>
          <w:szCs w:val="24"/>
        </w:rPr>
        <w:t>)</w:t>
      </w:r>
      <w:r w:rsidR="006B0D03">
        <w:rPr>
          <w:rFonts w:ascii="Times New Roman" w:hAnsi="Times New Roman"/>
          <w:bCs/>
          <w:iCs/>
          <w:sz w:val="24"/>
          <w:szCs w:val="24"/>
        </w:rPr>
        <w:t>.</w:t>
      </w:r>
      <w:r w:rsidR="00FE77DA">
        <w:rPr>
          <w:rFonts w:ascii="Times New Roman" w:hAnsi="Times New Roman"/>
          <w:bCs/>
          <w:iCs/>
          <w:sz w:val="24"/>
          <w:szCs w:val="24"/>
        </w:rPr>
        <w:t xml:space="preserve"> In this judgment</w:t>
      </w:r>
      <w:r w:rsidR="00914B60">
        <w:rPr>
          <w:rFonts w:ascii="Times New Roman" w:hAnsi="Times New Roman"/>
          <w:bCs/>
          <w:iCs/>
          <w:sz w:val="24"/>
          <w:szCs w:val="24"/>
        </w:rPr>
        <w:t xml:space="preserve"> the </w:t>
      </w:r>
      <w:r w:rsidR="000933E6">
        <w:rPr>
          <w:rFonts w:ascii="Times New Roman" w:hAnsi="Times New Roman"/>
          <w:bCs/>
          <w:iCs/>
          <w:sz w:val="24"/>
          <w:szCs w:val="24"/>
        </w:rPr>
        <w:t>c</w:t>
      </w:r>
      <w:r w:rsidR="00914B60">
        <w:rPr>
          <w:rFonts w:ascii="Times New Roman" w:hAnsi="Times New Roman"/>
          <w:bCs/>
          <w:iCs/>
          <w:sz w:val="24"/>
          <w:szCs w:val="24"/>
        </w:rPr>
        <w:t xml:space="preserve">ourt held that </w:t>
      </w:r>
      <w:r w:rsidR="00FA31CF">
        <w:rPr>
          <w:rFonts w:ascii="Times New Roman" w:hAnsi="Times New Roman"/>
          <w:bCs/>
          <w:iCs/>
          <w:sz w:val="24"/>
          <w:szCs w:val="24"/>
        </w:rPr>
        <w:t xml:space="preserve">direct </w:t>
      </w:r>
      <w:r w:rsidR="00914B60">
        <w:rPr>
          <w:rFonts w:ascii="Times New Roman" w:hAnsi="Times New Roman"/>
          <w:bCs/>
          <w:iCs/>
          <w:sz w:val="24"/>
          <w:szCs w:val="24"/>
        </w:rPr>
        <w:t>discrimination because of sexual orientation or gender presentation</w:t>
      </w:r>
      <w:r w:rsidR="00FA31CF">
        <w:rPr>
          <w:rFonts w:ascii="Times New Roman" w:hAnsi="Times New Roman"/>
          <w:bCs/>
          <w:iCs/>
          <w:sz w:val="24"/>
          <w:szCs w:val="24"/>
        </w:rPr>
        <w:t xml:space="preserve"> was a form of direct</w:t>
      </w:r>
      <w:r w:rsidR="00FA31CF" w:rsidRPr="00FA31CF">
        <w:rPr>
          <w:rFonts w:ascii="Times New Roman" w:hAnsi="Times New Roman"/>
          <w:bCs/>
          <w:iCs/>
          <w:sz w:val="24"/>
          <w:szCs w:val="24"/>
        </w:rPr>
        <w:t xml:space="preserve"> discrimination because of </w:t>
      </w:r>
      <w:r w:rsidR="00FA31CF">
        <w:rPr>
          <w:rFonts w:ascii="Times New Roman" w:hAnsi="Times New Roman"/>
          <w:bCs/>
          <w:iCs/>
          <w:sz w:val="24"/>
          <w:szCs w:val="24"/>
        </w:rPr>
        <w:t>sex</w:t>
      </w:r>
      <w:r w:rsidR="00914B60">
        <w:rPr>
          <w:rFonts w:ascii="Times New Roman" w:hAnsi="Times New Roman"/>
          <w:bCs/>
          <w:iCs/>
          <w:sz w:val="24"/>
          <w:szCs w:val="24"/>
        </w:rPr>
        <w:t xml:space="preserve">. </w:t>
      </w:r>
      <w:r w:rsidR="00FE77DA">
        <w:rPr>
          <w:rFonts w:ascii="Times New Roman" w:hAnsi="Times New Roman"/>
          <w:bCs/>
          <w:iCs/>
          <w:sz w:val="24"/>
          <w:szCs w:val="24"/>
        </w:rPr>
        <w:t xml:space="preserve">Gorsuch J, writing for the majority, </w:t>
      </w:r>
      <w:r w:rsidR="00CE487F">
        <w:rPr>
          <w:rFonts w:ascii="Times New Roman" w:hAnsi="Times New Roman"/>
          <w:bCs/>
          <w:iCs/>
          <w:sz w:val="24"/>
          <w:szCs w:val="24"/>
        </w:rPr>
        <w:t>stated it</w:t>
      </w:r>
      <w:r w:rsidR="007F6B36">
        <w:rPr>
          <w:rFonts w:ascii="Times New Roman" w:hAnsi="Times New Roman"/>
          <w:bCs/>
          <w:iCs/>
          <w:sz w:val="24"/>
          <w:szCs w:val="24"/>
        </w:rPr>
        <w:t xml:space="preserve"> succinctly</w:t>
      </w:r>
      <w:r w:rsidR="00FE77DA">
        <w:rPr>
          <w:rFonts w:ascii="Times New Roman" w:hAnsi="Times New Roman"/>
          <w:bCs/>
          <w:iCs/>
          <w:sz w:val="24"/>
          <w:szCs w:val="24"/>
        </w:rPr>
        <w:t>:</w:t>
      </w:r>
    </w:p>
    <w:p w:rsidR="008A6CAF" w:rsidRPr="00AB5FEB" w:rsidRDefault="00AA5AA6" w:rsidP="00AB2CFD">
      <w:pPr>
        <w:spacing w:line="480" w:lineRule="auto"/>
        <w:ind w:left="709"/>
        <w:rPr>
          <w:rFonts w:ascii="Times New Roman" w:hAnsi="Times New Roman"/>
          <w:bCs/>
          <w:iCs/>
          <w:sz w:val="24"/>
          <w:szCs w:val="24"/>
        </w:rPr>
      </w:pPr>
      <w:r w:rsidRPr="00AA5AA6">
        <w:rPr>
          <w:rFonts w:ascii="Times New Roman" w:hAnsi="Times New Roman"/>
          <w:bCs/>
          <w:iCs/>
          <w:sz w:val="24"/>
          <w:szCs w:val="24"/>
        </w:rPr>
        <w:t>it is impossible to discriminate against a person for being homosexual or transgender without discriminating against that individual based on sex</w:t>
      </w:r>
      <w:r>
        <w:rPr>
          <w:rFonts w:ascii="Times New Roman" w:hAnsi="Times New Roman"/>
          <w:bCs/>
          <w:iCs/>
          <w:sz w:val="24"/>
          <w:szCs w:val="24"/>
        </w:rPr>
        <w:t>.</w:t>
      </w:r>
      <w:r w:rsidR="007F6B36">
        <w:rPr>
          <w:rFonts w:ascii="Times New Roman" w:hAnsi="Times New Roman"/>
          <w:bCs/>
          <w:iCs/>
          <w:sz w:val="24"/>
          <w:szCs w:val="24"/>
        </w:rPr>
        <w:t xml:space="preserve"> (</w:t>
      </w:r>
      <w:r w:rsidR="007F6B36" w:rsidRPr="007F6B36">
        <w:rPr>
          <w:rFonts w:ascii="Times New Roman" w:hAnsi="Times New Roman"/>
          <w:bCs/>
          <w:i/>
          <w:iCs/>
          <w:sz w:val="24"/>
          <w:szCs w:val="24"/>
        </w:rPr>
        <w:t>Bostock v Clayton County</w:t>
      </w:r>
      <w:r w:rsidR="007F6B36" w:rsidRPr="007F6B36">
        <w:rPr>
          <w:rFonts w:ascii="Times New Roman" w:hAnsi="Times New Roman"/>
          <w:bCs/>
          <w:iCs/>
          <w:sz w:val="24"/>
          <w:szCs w:val="24"/>
        </w:rPr>
        <w:t xml:space="preserve"> (2020)</w:t>
      </w:r>
      <w:r w:rsidR="007F6B36">
        <w:rPr>
          <w:rFonts w:ascii="Times New Roman" w:hAnsi="Times New Roman"/>
          <w:bCs/>
          <w:iCs/>
          <w:sz w:val="24"/>
          <w:szCs w:val="24"/>
        </w:rPr>
        <w:t>)</w:t>
      </w:r>
      <w:r w:rsidR="006B0D03" w:rsidRPr="006B0D03">
        <w:rPr>
          <w:rFonts w:ascii="Times New Roman" w:hAnsi="Times New Roman"/>
          <w:bCs/>
          <w:iCs/>
          <w:sz w:val="24"/>
          <w:szCs w:val="24"/>
        </w:rPr>
        <w:t xml:space="preserve"> </w:t>
      </w:r>
      <w:r w:rsidR="00E64CEE" w:rsidRPr="00AB5FEB">
        <w:rPr>
          <w:rFonts w:ascii="Times New Roman" w:hAnsi="Times New Roman"/>
          <w:bCs/>
          <w:iCs/>
          <w:sz w:val="24"/>
          <w:szCs w:val="24"/>
        </w:rPr>
        <w:t xml:space="preserve"> </w:t>
      </w:r>
      <w:r w:rsidR="00EC7A72" w:rsidRPr="00AB5FEB">
        <w:rPr>
          <w:rFonts w:ascii="Times New Roman" w:hAnsi="Times New Roman"/>
          <w:bCs/>
          <w:iCs/>
          <w:sz w:val="24"/>
          <w:szCs w:val="24"/>
        </w:rPr>
        <w:t xml:space="preserve"> </w:t>
      </w:r>
    </w:p>
    <w:p w:rsidR="00B91450" w:rsidRDefault="00B91450" w:rsidP="00680EC7">
      <w:pPr>
        <w:spacing w:line="480" w:lineRule="auto"/>
        <w:rPr>
          <w:rFonts w:ascii="Times New Roman" w:hAnsi="Times New Roman"/>
          <w:sz w:val="24"/>
          <w:szCs w:val="24"/>
        </w:rPr>
      </w:pPr>
      <w:r>
        <w:rPr>
          <w:rFonts w:ascii="Times New Roman" w:hAnsi="Times New Roman"/>
          <w:sz w:val="24"/>
          <w:szCs w:val="24"/>
        </w:rPr>
        <w:t xml:space="preserve">Does anything </w:t>
      </w:r>
      <w:r w:rsidR="00CE487F">
        <w:rPr>
          <w:rFonts w:ascii="Times New Roman" w:hAnsi="Times New Roman"/>
          <w:sz w:val="24"/>
          <w:szCs w:val="24"/>
        </w:rPr>
        <w:t>similar</w:t>
      </w:r>
      <w:r>
        <w:rPr>
          <w:rFonts w:ascii="Times New Roman" w:hAnsi="Times New Roman"/>
          <w:sz w:val="24"/>
          <w:szCs w:val="24"/>
        </w:rPr>
        <w:t xml:space="preserve"> hold in the UK? </w:t>
      </w:r>
      <w:r w:rsidR="00A45282">
        <w:rPr>
          <w:rFonts w:ascii="Times New Roman" w:hAnsi="Times New Roman"/>
          <w:sz w:val="24"/>
          <w:szCs w:val="24"/>
        </w:rPr>
        <w:t>Is it</w:t>
      </w:r>
      <w:r w:rsidR="00FA6451">
        <w:rPr>
          <w:rFonts w:ascii="Times New Roman" w:hAnsi="Times New Roman"/>
          <w:sz w:val="24"/>
          <w:szCs w:val="24"/>
        </w:rPr>
        <w:t xml:space="preserve"> </w:t>
      </w:r>
      <w:r w:rsidR="00CE487F">
        <w:rPr>
          <w:rFonts w:ascii="Times New Roman" w:hAnsi="Times New Roman"/>
          <w:sz w:val="24"/>
          <w:szCs w:val="24"/>
        </w:rPr>
        <w:t>the case</w:t>
      </w:r>
      <w:r w:rsidR="00FA6451">
        <w:rPr>
          <w:rFonts w:ascii="Times New Roman" w:hAnsi="Times New Roman"/>
          <w:sz w:val="24"/>
          <w:szCs w:val="24"/>
        </w:rPr>
        <w:t xml:space="preserve"> that </w:t>
      </w:r>
      <w:r w:rsidR="00843D6F">
        <w:rPr>
          <w:rFonts w:ascii="Times New Roman" w:hAnsi="Times New Roman"/>
          <w:sz w:val="24"/>
          <w:szCs w:val="24"/>
        </w:rPr>
        <w:t>under</w:t>
      </w:r>
      <w:r w:rsidR="00FA6451">
        <w:rPr>
          <w:rFonts w:ascii="Times New Roman" w:hAnsi="Times New Roman"/>
          <w:sz w:val="24"/>
          <w:szCs w:val="24"/>
        </w:rPr>
        <w:t xml:space="preserve"> UK law </w:t>
      </w:r>
      <w:r w:rsidR="00843D6F">
        <w:rPr>
          <w:rFonts w:ascii="Times New Roman" w:hAnsi="Times New Roman"/>
          <w:sz w:val="24"/>
          <w:szCs w:val="24"/>
        </w:rPr>
        <w:t xml:space="preserve">direct </w:t>
      </w:r>
      <w:r w:rsidR="00FA6451">
        <w:rPr>
          <w:rFonts w:ascii="Times New Roman" w:hAnsi="Times New Roman"/>
          <w:sz w:val="24"/>
          <w:szCs w:val="24"/>
        </w:rPr>
        <w:t>discrimination because of sexual orientation</w:t>
      </w:r>
      <w:r w:rsidR="00843D6F">
        <w:rPr>
          <w:rFonts w:ascii="Times New Roman" w:hAnsi="Times New Roman"/>
          <w:sz w:val="24"/>
          <w:szCs w:val="24"/>
        </w:rPr>
        <w:t xml:space="preserve"> is a form of direct </w:t>
      </w:r>
      <w:r w:rsidR="00843D6F" w:rsidRPr="00843D6F">
        <w:rPr>
          <w:rFonts w:ascii="Times New Roman" w:hAnsi="Times New Roman"/>
          <w:sz w:val="24"/>
          <w:szCs w:val="24"/>
        </w:rPr>
        <w:t>discrimination because of sex</w:t>
      </w:r>
      <w:r w:rsidR="00FA6451">
        <w:rPr>
          <w:rFonts w:ascii="Times New Roman" w:hAnsi="Times New Roman"/>
          <w:sz w:val="24"/>
          <w:szCs w:val="24"/>
        </w:rPr>
        <w:t>?</w:t>
      </w:r>
      <w:r w:rsidR="00265F65">
        <w:rPr>
          <w:rFonts w:ascii="Times New Roman" w:hAnsi="Times New Roman"/>
          <w:sz w:val="24"/>
          <w:szCs w:val="24"/>
        </w:rPr>
        <w:t xml:space="preserve"> In this essay I argue </w:t>
      </w:r>
      <w:r w:rsidR="00843D6F">
        <w:rPr>
          <w:rFonts w:ascii="Times New Roman" w:hAnsi="Times New Roman"/>
          <w:sz w:val="24"/>
          <w:szCs w:val="24"/>
        </w:rPr>
        <w:t xml:space="preserve">that it </w:t>
      </w:r>
      <w:r w:rsidR="00CE487F">
        <w:rPr>
          <w:rFonts w:ascii="Times New Roman" w:hAnsi="Times New Roman"/>
          <w:sz w:val="24"/>
          <w:szCs w:val="24"/>
        </w:rPr>
        <w:t>i</w:t>
      </w:r>
      <w:r w:rsidR="00843D6F">
        <w:rPr>
          <w:rFonts w:ascii="Times New Roman" w:hAnsi="Times New Roman"/>
          <w:sz w:val="24"/>
          <w:szCs w:val="24"/>
        </w:rPr>
        <w:t>s</w:t>
      </w:r>
      <w:r w:rsidR="00CE487F">
        <w:rPr>
          <w:rFonts w:ascii="Times New Roman" w:hAnsi="Times New Roman"/>
          <w:sz w:val="24"/>
          <w:szCs w:val="24"/>
        </w:rPr>
        <w:t xml:space="preserve"> the case</w:t>
      </w:r>
      <w:r w:rsidR="00265F65">
        <w:rPr>
          <w:rFonts w:ascii="Times New Roman" w:hAnsi="Times New Roman"/>
          <w:sz w:val="24"/>
          <w:szCs w:val="24"/>
        </w:rPr>
        <w:t>.</w:t>
      </w:r>
      <w:r>
        <w:rPr>
          <w:rFonts w:ascii="Times New Roman" w:hAnsi="Times New Roman"/>
          <w:sz w:val="24"/>
          <w:szCs w:val="24"/>
        </w:rPr>
        <w:t xml:space="preserve"> </w:t>
      </w:r>
    </w:p>
    <w:p w:rsidR="00CE354D" w:rsidRDefault="00CE354D" w:rsidP="00680EC7">
      <w:pPr>
        <w:spacing w:line="480" w:lineRule="auto"/>
        <w:rPr>
          <w:rFonts w:ascii="Times New Roman" w:hAnsi="Times New Roman"/>
          <w:sz w:val="24"/>
          <w:szCs w:val="24"/>
        </w:rPr>
      </w:pPr>
    </w:p>
    <w:p w:rsidR="004A179B" w:rsidRPr="00065C01" w:rsidRDefault="003A42E4" w:rsidP="00680EC7">
      <w:pPr>
        <w:spacing w:line="480" w:lineRule="auto"/>
        <w:rPr>
          <w:rFonts w:ascii="Times New Roman" w:hAnsi="Times New Roman"/>
          <w:sz w:val="24"/>
          <w:szCs w:val="24"/>
        </w:rPr>
      </w:pPr>
      <w:r w:rsidRPr="00065C01">
        <w:rPr>
          <w:rFonts w:ascii="Times New Roman" w:hAnsi="Times New Roman"/>
          <w:sz w:val="24"/>
          <w:szCs w:val="24"/>
        </w:rPr>
        <w:t>The main piece of anti-discrimination legislation in</w:t>
      </w:r>
      <w:r w:rsidR="00E07A5B">
        <w:rPr>
          <w:rFonts w:ascii="Times New Roman" w:hAnsi="Times New Roman"/>
          <w:sz w:val="24"/>
          <w:szCs w:val="24"/>
        </w:rPr>
        <w:t xml:space="preserve"> force in</w:t>
      </w:r>
      <w:r w:rsidRPr="00065C01">
        <w:rPr>
          <w:rFonts w:ascii="Times New Roman" w:hAnsi="Times New Roman"/>
          <w:sz w:val="24"/>
          <w:szCs w:val="24"/>
        </w:rPr>
        <w:t xml:space="preserve"> the UK</w:t>
      </w:r>
      <w:r w:rsidR="00D076A5" w:rsidRPr="00065C01">
        <w:rPr>
          <w:rStyle w:val="FootnoteReference"/>
          <w:rFonts w:ascii="Times New Roman" w:hAnsi="Times New Roman"/>
          <w:sz w:val="24"/>
          <w:szCs w:val="24"/>
        </w:rPr>
        <w:footnoteReference w:id="1"/>
      </w:r>
      <w:r w:rsidRPr="00065C01">
        <w:rPr>
          <w:rFonts w:ascii="Times New Roman" w:hAnsi="Times New Roman"/>
          <w:sz w:val="24"/>
          <w:szCs w:val="24"/>
        </w:rPr>
        <w:t xml:space="preserve"> is the </w:t>
      </w:r>
      <w:bookmarkStart w:id="2" w:name="_Hlk44498332"/>
      <w:r w:rsidRPr="00065C01">
        <w:rPr>
          <w:rFonts w:ascii="Times New Roman" w:hAnsi="Times New Roman"/>
          <w:sz w:val="24"/>
          <w:szCs w:val="24"/>
        </w:rPr>
        <w:t>Equality Act 2010</w:t>
      </w:r>
      <w:r w:rsidR="00350AF4">
        <w:rPr>
          <w:rFonts w:ascii="Times New Roman" w:hAnsi="Times New Roman"/>
          <w:sz w:val="24"/>
          <w:szCs w:val="24"/>
        </w:rPr>
        <w:t xml:space="preserve"> </w:t>
      </w:r>
      <w:bookmarkEnd w:id="2"/>
      <w:r w:rsidR="00350AF4">
        <w:rPr>
          <w:rFonts w:ascii="Times New Roman" w:hAnsi="Times New Roman"/>
          <w:sz w:val="24"/>
          <w:szCs w:val="24"/>
        </w:rPr>
        <w:t>(</w:t>
      </w:r>
      <w:r w:rsidR="007C5FF6">
        <w:rPr>
          <w:rFonts w:ascii="Times New Roman" w:hAnsi="Times New Roman"/>
          <w:sz w:val="24"/>
          <w:szCs w:val="24"/>
        </w:rPr>
        <w:t>‘</w:t>
      </w:r>
      <w:r w:rsidR="00350AF4">
        <w:rPr>
          <w:rFonts w:ascii="Times New Roman" w:hAnsi="Times New Roman"/>
          <w:sz w:val="24"/>
          <w:szCs w:val="24"/>
        </w:rPr>
        <w:t>the Act</w:t>
      </w:r>
      <w:r w:rsidR="007C5FF6">
        <w:rPr>
          <w:rFonts w:ascii="Times New Roman" w:hAnsi="Times New Roman"/>
          <w:sz w:val="24"/>
          <w:szCs w:val="24"/>
        </w:rPr>
        <w:t>’</w:t>
      </w:r>
      <w:r w:rsidR="00350AF4">
        <w:rPr>
          <w:rFonts w:ascii="Times New Roman" w:hAnsi="Times New Roman"/>
          <w:sz w:val="24"/>
          <w:szCs w:val="24"/>
        </w:rPr>
        <w:t>)</w:t>
      </w:r>
      <w:r w:rsidRPr="00065C01">
        <w:rPr>
          <w:rFonts w:ascii="Times New Roman" w:hAnsi="Times New Roman"/>
          <w:sz w:val="24"/>
          <w:szCs w:val="24"/>
        </w:rPr>
        <w:t>. Thi</w:t>
      </w:r>
      <w:r w:rsidR="00833247" w:rsidRPr="00065C01">
        <w:rPr>
          <w:rFonts w:ascii="Times New Roman" w:hAnsi="Times New Roman"/>
          <w:sz w:val="24"/>
          <w:szCs w:val="24"/>
        </w:rPr>
        <w:t>s outlaws discrimination</w:t>
      </w:r>
      <w:r w:rsidR="00DB3F20">
        <w:rPr>
          <w:rFonts w:ascii="Times New Roman" w:hAnsi="Times New Roman"/>
          <w:sz w:val="24"/>
          <w:szCs w:val="24"/>
        </w:rPr>
        <w:t xml:space="preserve"> (</w:t>
      </w:r>
      <w:r w:rsidR="00DB3F20" w:rsidRPr="00DB3F20">
        <w:rPr>
          <w:rFonts w:ascii="Times New Roman" w:hAnsi="Times New Roman"/>
          <w:sz w:val="24"/>
          <w:szCs w:val="24"/>
        </w:rPr>
        <w:t>s</w:t>
      </w:r>
      <w:r w:rsidR="005A7147">
        <w:rPr>
          <w:rFonts w:ascii="Times New Roman" w:hAnsi="Times New Roman"/>
          <w:sz w:val="24"/>
          <w:szCs w:val="24"/>
        </w:rPr>
        <w:t>ections</w:t>
      </w:r>
      <w:r w:rsidR="00DB3F20" w:rsidRPr="00DB3F20">
        <w:rPr>
          <w:rFonts w:ascii="Times New Roman" w:hAnsi="Times New Roman"/>
          <w:sz w:val="24"/>
          <w:szCs w:val="24"/>
        </w:rPr>
        <w:t xml:space="preserve"> 13–25</w:t>
      </w:r>
      <w:r w:rsidR="00DB3F20">
        <w:rPr>
          <w:rFonts w:ascii="Times New Roman" w:hAnsi="Times New Roman"/>
          <w:sz w:val="24"/>
          <w:szCs w:val="24"/>
        </w:rPr>
        <w:t>)</w:t>
      </w:r>
      <w:r w:rsidR="00833247" w:rsidRPr="00065C01">
        <w:rPr>
          <w:rFonts w:ascii="Times New Roman" w:hAnsi="Times New Roman"/>
          <w:sz w:val="24"/>
          <w:szCs w:val="24"/>
        </w:rPr>
        <w:t>,</w:t>
      </w:r>
      <w:r w:rsidR="006640A0">
        <w:rPr>
          <w:rStyle w:val="FootnoteReference"/>
          <w:rFonts w:ascii="Times New Roman" w:hAnsi="Times New Roman"/>
          <w:sz w:val="24"/>
          <w:szCs w:val="24"/>
        </w:rPr>
        <w:t xml:space="preserve"> </w:t>
      </w:r>
      <w:r w:rsidR="00D076A5" w:rsidRPr="00065C01">
        <w:rPr>
          <w:rFonts w:ascii="Times New Roman" w:hAnsi="Times New Roman"/>
          <w:sz w:val="24"/>
          <w:szCs w:val="24"/>
        </w:rPr>
        <w:t>harassment</w:t>
      </w:r>
      <w:r w:rsidR="005A7147">
        <w:rPr>
          <w:rFonts w:ascii="Times New Roman" w:hAnsi="Times New Roman"/>
          <w:sz w:val="24"/>
          <w:szCs w:val="24"/>
        </w:rPr>
        <w:t xml:space="preserve"> </w:t>
      </w:r>
      <w:r w:rsidR="005A7147" w:rsidRPr="005A7147">
        <w:rPr>
          <w:rFonts w:ascii="Times New Roman" w:hAnsi="Times New Roman"/>
          <w:sz w:val="24"/>
          <w:szCs w:val="24"/>
        </w:rPr>
        <w:t>(section</w:t>
      </w:r>
      <w:r w:rsidR="006640A0">
        <w:rPr>
          <w:rFonts w:ascii="Times New Roman" w:hAnsi="Times New Roman"/>
          <w:sz w:val="24"/>
          <w:szCs w:val="24"/>
        </w:rPr>
        <w:t xml:space="preserve"> 26</w:t>
      </w:r>
      <w:r w:rsidR="005A7147" w:rsidRPr="005A7147">
        <w:rPr>
          <w:rFonts w:ascii="Times New Roman" w:hAnsi="Times New Roman"/>
          <w:sz w:val="24"/>
          <w:szCs w:val="24"/>
        </w:rPr>
        <w:t>)</w:t>
      </w:r>
      <w:r w:rsidR="00D076A5" w:rsidRPr="00065C01">
        <w:rPr>
          <w:rFonts w:ascii="Times New Roman" w:hAnsi="Times New Roman"/>
          <w:sz w:val="24"/>
          <w:szCs w:val="24"/>
        </w:rPr>
        <w:t>, and victimisation</w:t>
      </w:r>
      <w:r w:rsidR="005A7147" w:rsidRPr="005A7147">
        <w:rPr>
          <w:rFonts w:ascii="Times New Roman" w:hAnsi="Times New Roman"/>
          <w:sz w:val="24"/>
          <w:szCs w:val="24"/>
        </w:rPr>
        <w:t xml:space="preserve"> (section</w:t>
      </w:r>
      <w:r w:rsidR="006640A0">
        <w:rPr>
          <w:rFonts w:ascii="Times New Roman" w:hAnsi="Times New Roman"/>
          <w:sz w:val="24"/>
          <w:szCs w:val="24"/>
        </w:rPr>
        <w:t xml:space="preserve"> 27</w:t>
      </w:r>
      <w:r w:rsidR="005A7147" w:rsidRPr="005A7147">
        <w:rPr>
          <w:rFonts w:ascii="Times New Roman" w:hAnsi="Times New Roman"/>
          <w:sz w:val="24"/>
          <w:szCs w:val="24"/>
        </w:rPr>
        <w:t>)</w:t>
      </w:r>
      <w:r w:rsidR="00833247" w:rsidRPr="00065C01">
        <w:rPr>
          <w:rFonts w:ascii="Times New Roman" w:hAnsi="Times New Roman"/>
          <w:sz w:val="24"/>
          <w:szCs w:val="24"/>
        </w:rPr>
        <w:t>.</w:t>
      </w:r>
      <w:r w:rsidR="00D076A5" w:rsidRPr="00065C01">
        <w:rPr>
          <w:rFonts w:ascii="Times New Roman" w:hAnsi="Times New Roman"/>
          <w:sz w:val="24"/>
          <w:szCs w:val="24"/>
        </w:rPr>
        <w:t xml:space="preserve"> Discrimination comes in two forms, direct discrimination</w:t>
      </w:r>
      <w:r w:rsidR="006640A0">
        <w:rPr>
          <w:rFonts w:ascii="Times New Roman" w:hAnsi="Times New Roman"/>
          <w:sz w:val="24"/>
          <w:szCs w:val="24"/>
        </w:rPr>
        <w:t xml:space="preserve"> </w:t>
      </w:r>
      <w:r w:rsidR="006640A0" w:rsidRPr="006640A0">
        <w:rPr>
          <w:rFonts w:ascii="Times New Roman" w:hAnsi="Times New Roman"/>
          <w:sz w:val="24"/>
          <w:szCs w:val="24"/>
        </w:rPr>
        <w:t>(sections 13–</w:t>
      </w:r>
      <w:r w:rsidR="006640A0">
        <w:rPr>
          <w:rFonts w:ascii="Times New Roman" w:hAnsi="Times New Roman"/>
          <w:sz w:val="24"/>
          <w:szCs w:val="24"/>
        </w:rPr>
        <w:t>18</w:t>
      </w:r>
      <w:r w:rsidR="006640A0" w:rsidRPr="006640A0">
        <w:rPr>
          <w:rFonts w:ascii="Times New Roman" w:hAnsi="Times New Roman"/>
          <w:sz w:val="24"/>
          <w:szCs w:val="24"/>
        </w:rPr>
        <w:t>)</w:t>
      </w:r>
      <w:r w:rsidR="00D076A5" w:rsidRPr="00065C01">
        <w:rPr>
          <w:rFonts w:ascii="Times New Roman" w:hAnsi="Times New Roman"/>
          <w:sz w:val="24"/>
          <w:szCs w:val="24"/>
        </w:rPr>
        <w:t xml:space="preserve"> and indirect discrimination</w:t>
      </w:r>
      <w:r w:rsidR="006640A0">
        <w:rPr>
          <w:rFonts w:ascii="Times New Roman" w:hAnsi="Times New Roman"/>
          <w:sz w:val="24"/>
          <w:szCs w:val="24"/>
        </w:rPr>
        <w:t xml:space="preserve"> </w:t>
      </w:r>
      <w:r w:rsidR="006640A0" w:rsidRPr="006640A0">
        <w:rPr>
          <w:rFonts w:ascii="Times New Roman" w:hAnsi="Times New Roman"/>
          <w:sz w:val="24"/>
          <w:szCs w:val="24"/>
        </w:rPr>
        <w:t>(sections 1</w:t>
      </w:r>
      <w:r w:rsidR="006640A0">
        <w:rPr>
          <w:rFonts w:ascii="Times New Roman" w:hAnsi="Times New Roman"/>
          <w:sz w:val="24"/>
          <w:szCs w:val="24"/>
        </w:rPr>
        <w:t>9</w:t>
      </w:r>
      <w:r w:rsidR="006640A0" w:rsidRPr="006640A0">
        <w:rPr>
          <w:rFonts w:ascii="Times New Roman" w:hAnsi="Times New Roman"/>
          <w:sz w:val="24"/>
          <w:szCs w:val="24"/>
        </w:rPr>
        <w:t>)</w:t>
      </w:r>
      <w:r w:rsidR="00D076A5" w:rsidRPr="00065C01">
        <w:rPr>
          <w:rFonts w:ascii="Times New Roman" w:hAnsi="Times New Roman"/>
          <w:sz w:val="24"/>
          <w:szCs w:val="24"/>
        </w:rPr>
        <w:t>.</w:t>
      </w:r>
      <w:r w:rsidR="00833247" w:rsidRPr="00065C01">
        <w:rPr>
          <w:rFonts w:ascii="Times New Roman" w:hAnsi="Times New Roman"/>
          <w:sz w:val="24"/>
          <w:szCs w:val="24"/>
        </w:rPr>
        <w:t xml:space="preserve"> </w:t>
      </w:r>
      <w:r w:rsidR="00C21F52" w:rsidRPr="00065C01">
        <w:rPr>
          <w:rFonts w:ascii="Times New Roman" w:hAnsi="Times New Roman"/>
          <w:sz w:val="24"/>
          <w:szCs w:val="24"/>
        </w:rPr>
        <w:t>The focus of this article is on d</w:t>
      </w:r>
      <w:r w:rsidR="00D076A5" w:rsidRPr="00065C01">
        <w:rPr>
          <w:rFonts w:ascii="Times New Roman" w:hAnsi="Times New Roman"/>
          <w:sz w:val="24"/>
          <w:szCs w:val="24"/>
        </w:rPr>
        <w:t>irect discrimination</w:t>
      </w:r>
      <w:r w:rsidR="00C21F52" w:rsidRPr="00065C01">
        <w:rPr>
          <w:rFonts w:ascii="Times New Roman" w:hAnsi="Times New Roman"/>
          <w:sz w:val="24"/>
          <w:szCs w:val="24"/>
        </w:rPr>
        <w:t>, which</w:t>
      </w:r>
      <w:r w:rsidR="00D076A5" w:rsidRPr="00065C01">
        <w:rPr>
          <w:rFonts w:ascii="Times New Roman" w:hAnsi="Times New Roman"/>
          <w:sz w:val="24"/>
          <w:szCs w:val="24"/>
        </w:rPr>
        <w:t xml:space="preserve"> is defined</w:t>
      </w:r>
      <w:r w:rsidR="005670B0" w:rsidRPr="00065C01">
        <w:rPr>
          <w:rFonts w:ascii="Times New Roman" w:hAnsi="Times New Roman"/>
          <w:sz w:val="24"/>
          <w:szCs w:val="24"/>
        </w:rPr>
        <w:t xml:space="preserve"> in</w:t>
      </w:r>
      <w:r w:rsidR="00CE354D">
        <w:rPr>
          <w:rFonts w:ascii="Times New Roman" w:hAnsi="Times New Roman"/>
          <w:sz w:val="24"/>
          <w:szCs w:val="24"/>
        </w:rPr>
        <w:t xml:space="preserve"> </w:t>
      </w:r>
      <w:r w:rsidR="007C5FF6">
        <w:rPr>
          <w:rFonts w:ascii="Times New Roman" w:hAnsi="Times New Roman"/>
          <w:sz w:val="24"/>
          <w:szCs w:val="24"/>
        </w:rPr>
        <w:t>s</w:t>
      </w:r>
      <w:r w:rsidR="00CE354D" w:rsidRPr="00CE354D">
        <w:rPr>
          <w:rFonts w:ascii="Times New Roman" w:hAnsi="Times New Roman"/>
          <w:sz w:val="24"/>
          <w:szCs w:val="24"/>
        </w:rPr>
        <w:t>ection 13(1)</w:t>
      </w:r>
      <w:r w:rsidR="00CE354D">
        <w:rPr>
          <w:rFonts w:ascii="Times New Roman" w:hAnsi="Times New Roman"/>
          <w:sz w:val="24"/>
          <w:szCs w:val="24"/>
        </w:rPr>
        <w:t xml:space="preserve"> of</w:t>
      </w:r>
      <w:r w:rsidR="005670B0" w:rsidRPr="00065C01">
        <w:rPr>
          <w:rFonts w:ascii="Times New Roman" w:hAnsi="Times New Roman"/>
          <w:sz w:val="24"/>
          <w:szCs w:val="24"/>
        </w:rPr>
        <w:t xml:space="preserve"> the Act</w:t>
      </w:r>
      <w:r w:rsidR="0060587E" w:rsidRPr="00065C01">
        <w:rPr>
          <w:rFonts w:ascii="Times New Roman" w:hAnsi="Times New Roman"/>
          <w:sz w:val="24"/>
          <w:szCs w:val="24"/>
        </w:rPr>
        <w:t xml:space="preserve"> as follows</w:t>
      </w:r>
      <w:r w:rsidR="00867AF3" w:rsidRPr="00065C01">
        <w:rPr>
          <w:rFonts w:ascii="Times New Roman" w:hAnsi="Times New Roman"/>
          <w:sz w:val="24"/>
          <w:szCs w:val="24"/>
        </w:rPr>
        <w:t>:</w:t>
      </w:r>
    </w:p>
    <w:p w:rsidR="003A42E4" w:rsidRPr="00065C01" w:rsidRDefault="003A42E4" w:rsidP="00680EC7">
      <w:pPr>
        <w:autoSpaceDE w:val="0"/>
        <w:autoSpaceDN w:val="0"/>
        <w:adjustRightInd w:val="0"/>
        <w:spacing w:after="0" w:line="480" w:lineRule="auto"/>
        <w:ind w:left="709"/>
        <w:rPr>
          <w:rFonts w:ascii="Times New Roman" w:hAnsi="Times New Roman"/>
          <w:color w:val="231F20"/>
          <w:sz w:val="24"/>
          <w:szCs w:val="24"/>
          <w:lang w:eastAsia="en-GB"/>
        </w:rPr>
      </w:pPr>
      <w:r w:rsidRPr="00065C01">
        <w:rPr>
          <w:rFonts w:ascii="Times New Roman" w:hAnsi="Times New Roman"/>
          <w:color w:val="231F20"/>
          <w:sz w:val="24"/>
          <w:szCs w:val="24"/>
          <w:lang w:eastAsia="en-GB"/>
        </w:rPr>
        <w:t>A person (A) discriminates against another (B) if, because of a protected</w:t>
      </w:r>
    </w:p>
    <w:p w:rsidR="003A42E4" w:rsidRPr="00065C01" w:rsidRDefault="003A42E4" w:rsidP="0040377C">
      <w:pPr>
        <w:spacing w:after="120" w:line="480" w:lineRule="auto"/>
        <w:ind w:left="709"/>
        <w:rPr>
          <w:rFonts w:ascii="Times New Roman" w:hAnsi="Times New Roman"/>
          <w:sz w:val="24"/>
          <w:szCs w:val="24"/>
        </w:rPr>
      </w:pPr>
      <w:r w:rsidRPr="00065C01">
        <w:rPr>
          <w:rFonts w:ascii="Times New Roman" w:hAnsi="Times New Roman"/>
          <w:color w:val="231F20"/>
          <w:sz w:val="24"/>
          <w:szCs w:val="24"/>
          <w:lang w:eastAsia="en-GB"/>
        </w:rPr>
        <w:lastRenderedPageBreak/>
        <w:t>characteristic, A treats B less favourably than A treats or would treat others</w:t>
      </w:r>
      <w:r w:rsidR="0060587E" w:rsidRPr="00065C01">
        <w:rPr>
          <w:rFonts w:ascii="Times New Roman" w:hAnsi="Times New Roman"/>
          <w:color w:val="231F20"/>
          <w:sz w:val="24"/>
          <w:szCs w:val="24"/>
          <w:lang w:eastAsia="en-GB"/>
        </w:rPr>
        <w:t>.</w:t>
      </w:r>
    </w:p>
    <w:p w:rsidR="00532B91" w:rsidRPr="00065C01" w:rsidRDefault="00532B91" w:rsidP="0040377C">
      <w:pPr>
        <w:spacing w:after="120" w:line="480" w:lineRule="auto"/>
        <w:rPr>
          <w:rFonts w:ascii="Times New Roman" w:hAnsi="Times New Roman"/>
          <w:sz w:val="24"/>
          <w:szCs w:val="24"/>
        </w:rPr>
      </w:pPr>
      <w:r w:rsidRPr="00065C01">
        <w:rPr>
          <w:rFonts w:ascii="Times New Roman" w:hAnsi="Times New Roman"/>
          <w:sz w:val="24"/>
          <w:szCs w:val="24"/>
        </w:rPr>
        <w:t xml:space="preserve">The protected characteristics are listed in section 4 </w:t>
      </w:r>
      <w:r w:rsidR="00CC5F73" w:rsidRPr="00065C01">
        <w:rPr>
          <w:rFonts w:ascii="Times New Roman" w:hAnsi="Times New Roman"/>
          <w:sz w:val="24"/>
          <w:szCs w:val="24"/>
        </w:rPr>
        <w:t xml:space="preserve">of the Act </w:t>
      </w:r>
      <w:r w:rsidRPr="00065C01">
        <w:rPr>
          <w:rFonts w:ascii="Times New Roman" w:hAnsi="Times New Roman"/>
          <w:sz w:val="24"/>
          <w:szCs w:val="24"/>
        </w:rPr>
        <w:t>and explained briefly in sections 5–12</w:t>
      </w:r>
      <w:r w:rsidR="0060587E" w:rsidRPr="00065C01">
        <w:rPr>
          <w:rFonts w:ascii="Times New Roman" w:hAnsi="Times New Roman"/>
          <w:sz w:val="24"/>
          <w:szCs w:val="24"/>
        </w:rPr>
        <w:t xml:space="preserve"> of the Act</w:t>
      </w:r>
      <w:r w:rsidR="00CC5F73" w:rsidRPr="00065C01">
        <w:rPr>
          <w:rFonts w:ascii="Times New Roman" w:hAnsi="Times New Roman"/>
          <w:sz w:val="24"/>
          <w:szCs w:val="24"/>
        </w:rPr>
        <w:t>. Our focus</w:t>
      </w:r>
      <w:r w:rsidR="003B29BD">
        <w:rPr>
          <w:rFonts w:ascii="Times New Roman" w:hAnsi="Times New Roman"/>
          <w:sz w:val="24"/>
          <w:szCs w:val="24"/>
        </w:rPr>
        <w:t xml:space="preserve"> is</w:t>
      </w:r>
      <w:r w:rsidR="00CC5F73" w:rsidRPr="00065C01">
        <w:rPr>
          <w:rFonts w:ascii="Times New Roman" w:hAnsi="Times New Roman"/>
          <w:sz w:val="24"/>
          <w:szCs w:val="24"/>
        </w:rPr>
        <w:t xml:space="preserve"> on the characteristics</w:t>
      </w:r>
      <w:r w:rsidR="007C5FF6">
        <w:rPr>
          <w:rFonts w:ascii="Times New Roman" w:hAnsi="Times New Roman"/>
          <w:sz w:val="24"/>
          <w:szCs w:val="24"/>
        </w:rPr>
        <w:t xml:space="preserve"> of</w:t>
      </w:r>
      <w:r w:rsidR="00CC5F73" w:rsidRPr="00065C01">
        <w:rPr>
          <w:rFonts w:ascii="Times New Roman" w:hAnsi="Times New Roman"/>
          <w:sz w:val="24"/>
          <w:szCs w:val="24"/>
        </w:rPr>
        <w:t xml:space="preserve"> sex</w:t>
      </w:r>
      <w:r w:rsidR="00CE354D">
        <w:rPr>
          <w:rFonts w:ascii="Times New Roman" w:hAnsi="Times New Roman"/>
          <w:sz w:val="24"/>
          <w:szCs w:val="24"/>
        </w:rPr>
        <w:t xml:space="preserve"> (section 11)</w:t>
      </w:r>
      <w:r w:rsidR="00CC5F73" w:rsidRPr="00065C01">
        <w:rPr>
          <w:rFonts w:ascii="Times New Roman" w:hAnsi="Times New Roman"/>
          <w:sz w:val="24"/>
          <w:szCs w:val="24"/>
        </w:rPr>
        <w:t xml:space="preserve"> and sexual orientation</w:t>
      </w:r>
      <w:r w:rsidR="00CE354D">
        <w:rPr>
          <w:rFonts w:ascii="Times New Roman" w:hAnsi="Times New Roman"/>
          <w:sz w:val="24"/>
          <w:szCs w:val="24"/>
        </w:rPr>
        <w:t xml:space="preserve"> (section 12)</w:t>
      </w:r>
      <w:r w:rsidR="0060587E" w:rsidRPr="00065C01">
        <w:rPr>
          <w:rFonts w:ascii="Times New Roman" w:hAnsi="Times New Roman"/>
          <w:sz w:val="24"/>
          <w:szCs w:val="24"/>
        </w:rPr>
        <w:t>.</w:t>
      </w:r>
    </w:p>
    <w:p w:rsidR="00CE354D" w:rsidRDefault="00CE354D" w:rsidP="00F720B4">
      <w:pPr>
        <w:spacing w:line="480" w:lineRule="auto"/>
        <w:rPr>
          <w:rFonts w:ascii="Times New Roman" w:hAnsi="Times New Roman"/>
          <w:sz w:val="24"/>
          <w:szCs w:val="24"/>
        </w:rPr>
      </w:pPr>
    </w:p>
    <w:p w:rsidR="00F720B4" w:rsidRPr="00F720B4" w:rsidRDefault="00D076A5" w:rsidP="00F720B4">
      <w:pPr>
        <w:spacing w:line="480" w:lineRule="auto"/>
        <w:rPr>
          <w:rFonts w:ascii="Times New Roman" w:hAnsi="Times New Roman"/>
          <w:sz w:val="24"/>
          <w:szCs w:val="24"/>
        </w:rPr>
      </w:pPr>
      <w:r w:rsidRPr="00065C01">
        <w:rPr>
          <w:rFonts w:ascii="Times New Roman" w:hAnsi="Times New Roman"/>
          <w:sz w:val="24"/>
          <w:szCs w:val="24"/>
        </w:rPr>
        <w:t>It is to be noted that the law does not state that it is necessary either that B have the protected characteristic or that B be thought by A to have the protected characteristic.</w:t>
      </w:r>
      <w:r w:rsidR="00F720B4">
        <w:rPr>
          <w:rFonts w:ascii="Times New Roman" w:hAnsi="Times New Roman"/>
          <w:sz w:val="24"/>
          <w:szCs w:val="24"/>
        </w:rPr>
        <w:t xml:space="preserve"> Indeed,</w:t>
      </w:r>
      <w:r w:rsidR="0060587E" w:rsidRPr="00065C01">
        <w:rPr>
          <w:rFonts w:ascii="Times New Roman" w:hAnsi="Times New Roman"/>
          <w:sz w:val="24"/>
          <w:szCs w:val="24"/>
        </w:rPr>
        <w:t xml:space="preserve"> the </w:t>
      </w:r>
      <w:bookmarkStart w:id="3" w:name="_Hlk44498401"/>
      <w:r w:rsidR="00F720B4">
        <w:rPr>
          <w:rFonts w:ascii="Times New Roman" w:hAnsi="Times New Roman"/>
          <w:sz w:val="24"/>
          <w:szCs w:val="24"/>
        </w:rPr>
        <w:t xml:space="preserve">Explanatory Notes to the Equality </w:t>
      </w:r>
      <w:r w:rsidR="0060587E" w:rsidRPr="00065C01">
        <w:rPr>
          <w:rFonts w:ascii="Times New Roman" w:hAnsi="Times New Roman"/>
          <w:sz w:val="24"/>
          <w:szCs w:val="24"/>
        </w:rPr>
        <w:t xml:space="preserve">Act </w:t>
      </w:r>
      <w:r w:rsidR="00F720B4">
        <w:rPr>
          <w:rFonts w:ascii="Times New Roman" w:hAnsi="Times New Roman"/>
          <w:sz w:val="24"/>
          <w:szCs w:val="24"/>
        </w:rPr>
        <w:t xml:space="preserve">2010 </w:t>
      </w:r>
      <w:bookmarkEnd w:id="3"/>
      <w:r w:rsidR="0060587E" w:rsidRPr="00065C01">
        <w:rPr>
          <w:rFonts w:ascii="Times New Roman" w:hAnsi="Times New Roman"/>
          <w:sz w:val="24"/>
          <w:szCs w:val="24"/>
        </w:rPr>
        <w:t>explicitly s</w:t>
      </w:r>
      <w:r w:rsidR="00F720B4">
        <w:rPr>
          <w:rFonts w:ascii="Times New Roman" w:hAnsi="Times New Roman"/>
          <w:sz w:val="24"/>
          <w:szCs w:val="24"/>
        </w:rPr>
        <w:t>ay</w:t>
      </w:r>
      <w:r w:rsidRPr="00065C01">
        <w:rPr>
          <w:rFonts w:ascii="Times New Roman" w:hAnsi="Times New Roman"/>
          <w:sz w:val="24"/>
          <w:szCs w:val="24"/>
        </w:rPr>
        <w:t>:</w:t>
      </w:r>
    </w:p>
    <w:p w:rsidR="002E006F" w:rsidRPr="00065C01" w:rsidRDefault="002E006F" w:rsidP="0040377C">
      <w:pPr>
        <w:pStyle w:val="Default"/>
        <w:spacing w:after="120" w:line="480" w:lineRule="auto"/>
        <w:ind w:left="709"/>
      </w:pPr>
      <w:r w:rsidRPr="00065C01">
        <w:t xml:space="preserve">Direct discrimination occurs where the reason for a person being treated less favourably than another is a protected characteristic </w:t>
      </w:r>
      <w:r w:rsidR="003D3BEF" w:rsidRPr="00065C01">
        <w:t>[…]</w:t>
      </w:r>
      <w:r w:rsidRPr="00065C01">
        <w:t xml:space="preserve">. This definition is broad enough to cover cases where the less favourable treatment is because of the victim’s association with someone who has that characteristic (for example, is disabled), or because the victim is wrongly thought to have it (for example, a </w:t>
      </w:r>
      <w:proofErr w:type="gramStart"/>
      <w:r w:rsidRPr="00065C01">
        <w:t>particular religious</w:t>
      </w:r>
      <w:proofErr w:type="gramEnd"/>
      <w:r w:rsidRPr="00065C01">
        <w:t xml:space="preserve"> belief).</w:t>
      </w:r>
      <w:r w:rsidR="00556F68">
        <w:t xml:space="preserve"> (</w:t>
      </w:r>
      <w:r w:rsidR="00556F68" w:rsidRPr="00556F68">
        <w:t>Explanatory Notes to the Equality Act 2010</w:t>
      </w:r>
      <w:r w:rsidR="00556F68">
        <w:t>: [</w:t>
      </w:r>
      <w:r w:rsidR="00556F68" w:rsidRPr="00556F68">
        <w:t>59</w:t>
      </w:r>
      <w:r w:rsidR="00556F68">
        <w:t>])</w:t>
      </w:r>
    </w:p>
    <w:p w:rsidR="002E006F" w:rsidRPr="00065C01" w:rsidRDefault="00B4757D" w:rsidP="0040377C">
      <w:pPr>
        <w:spacing w:after="120" w:line="480" w:lineRule="auto"/>
        <w:rPr>
          <w:rFonts w:ascii="Times New Roman" w:hAnsi="Times New Roman"/>
          <w:sz w:val="24"/>
          <w:szCs w:val="24"/>
        </w:rPr>
      </w:pPr>
      <w:r w:rsidRPr="00065C01">
        <w:rPr>
          <w:rFonts w:ascii="Times New Roman" w:hAnsi="Times New Roman"/>
          <w:sz w:val="24"/>
          <w:szCs w:val="24"/>
        </w:rPr>
        <w:t>It will be observed that the drafter of the notes evidently thinks that</w:t>
      </w:r>
      <w:r w:rsidR="00457E01">
        <w:rPr>
          <w:rFonts w:ascii="Times New Roman" w:hAnsi="Times New Roman"/>
          <w:sz w:val="24"/>
          <w:szCs w:val="24"/>
        </w:rPr>
        <w:t xml:space="preserve"> </w:t>
      </w:r>
      <w:r w:rsidR="00AC2011">
        <w:rPr>
          <w:rFonts w:ascii="Times New Roman" w:hAnsi="Times New Roman"/>
          <w:sz w:val="24"/>
          <w:szCs w:val="24"/>
        </w:rPr>
        <w:t>“</w:t>
      </w:r>
      <w:r w:rsidRPr="00065C01">
        <w:rPr>
          <w:rFonts w:ascii="Times New Roman" w:hAnsi="Times New Roman"/>
          <w:sz w:val="24"/>
          <w:szCs w:val="24"/>
        </w:rPr>
        <w:t>the reason for</w:t>
      </w:r>
      <w:r w:rsidR="00AC2011">
        <w:rPr>
          <w:rFonts w:ascii="Times New Roman" w:hAnsi="Times New Roman"/>
          <w:sz w:val="24"/>
          <w:szCs w:val="24"/>
        </w:rPr>
        <w:t>”</w:t>
      </w:r>
      <w:r w:rsidRPr="00065C01">
        <w:rPr>
          <w:rFonts w:ascii="Times New Roman" w:hAnsi="Times New Roman"/>
          <w:sz w:val="24"/>
          <w:szCs w:val="24"/>
        </w:rPr>
        <w:t xml:space="preserve"> is </w:t>
      </w:r>
      <w:r w:rsidR="00B32627">
        <w:rPr>
          <w:rFonts w:ascii="Times New Roman" w:hAnsi="Times New Roman"/>
          <w:sz w:val="24"/>
          <w:szCs w:val="24"/>
        </w:rPr>
        <w:t>synonymous with</w:t>
      </w:r>
      <w:r w:rsidRPr="00065C01">
        <w:rPr>
          <w:rFonts w:ascii="Times New Roman" w:hAnsi="Times New Roman"/>
          <w:sz w:val="24"/>
          <w:szCs w:val="24"/>
        </w:rPr>
        <w:t xml:space="preserve"> </w:t>
      </w:r>
      <w:r w:rsidR="00AC2011">
        <w:rPr>
          <w:rFonts w:ascii="Times New Roman" w:hAnsi="Times New Roman"/>
          <w:sz w:val="24"/>
          <w:szCs w:val="24"/>
        </w:rPr>
        <w:t>“</w:t>
      </w:r>
      <w:r w:rsidRPr="00065C01">
        <w:rPr>
          <w:rFonts w:ascii="Times New Roman" w:hAnsi="Times New Roman"/>
          <w:sz w:val="24"/>
          <w:szCs w:val="24"/>
        </w:rPr>
        <w:t>because</w:t>
      </w:r>
      <w:r w:rsidR="00AC2011">
        <w:rPr>
          <w:rFonts w:ascii="Times New Roman" w:hAnsi="Times New Roman"/>
          <w:sz w:val="24"/>
          <w:szCs w:val="24"/>
        </w:rPr>
        <w:t>”</w:t>
      </w:r>
      <w:r w:rsidRPr="00065C01">
        <w:rPr>
          <w:rFonts w:ascii="Times New Roman" w:hAnsi="Times New Roman"/>
          <w:sz w:val="24"/>
          <w:szCs w:val="24"/>
        </w:rPr>
        <w:t xml:space="preserve"> (the word used in the Act).</w:t>
      </w:r>
    </w:p>
    <w:p w:rsidR="00DF042F" w:rsidRDefault="00B32627" w:rsidP="00680EC7">
      <w:pPr>
        <w:spacing w:line="480" w:lineRule="auto"/>
        <w:rPr>
          <w:rFonts w:ascii="Times New Roman" w:hAnsi="Times New Roman"/>
          <w:sz w:val="24"/>
          <w:szCs w:val="24"/>
        </w:rPr>
      </w:pPr>
      <w:r>
        <w:rPr>
          <w:rFonts w:ascii="Times New Roman" w:hAnsi="Times New Roman"/>
          <w:sz w:val="24"/>
          <w:szCs w:val="24"/>
        </w:rPr>
        <w:tab/>
      </w:r>
    </w:p>
    <w:p w:rsidR="00B4757D" w:rsidRPr="00065C01" w:rsidRDefault="00B4757D" w:rsidP="00680EC7">
      <w:pPr>
        <w:spacing w:line="480" w:lineRule="auto"/>
        <w:rPr>
          <w:rFonts w:ascii="Times New Roman" w:hAnsi="Times New Roman"/>
          <w:sz w:val="24"/>
          <w:szCs w:val="24"/>
        </w:rPr>
      </w:pPr>
      <w:r w:rsidRPr="00065C01">
        <w:rPr>
          <w:rFonts w:ascii="Times New Roman" w:hAnsi="Times New Roman"/>
          <w:sz w:val="24"/>
          <w:szCs w:val="24"/>
        </w:rPr>
        <w:t>The Act supersedes</w:t>
      </w:r>
      <w:r w:rsidR="003D3BEF" w:rsidRPr="00065C01">
        <w:rPr>
          <w:rFonts w:ascii="Times New Roman" w:hAnsi="Times New Roman"/>
          <w:sz w:val="24"/>
          <w:szCs w:val="24"/>
        </w:rPr>
        <w:t>, among other pieces of legislation,</w:t>
      </w:r>
      <w:r w:rsidRPr="00065C01">
        <w:rPr>
          <w:rFonts w:ascii="Times New Roman" w:hAnsi="Times New Roman"/>
          <w:sz w:val="24"/>
          <w:szCs w:val="24"/>
        </w:rPr>
        <w:t xml:space="preserve"> the </w:t>
      </w:r>
      <w:bookmarkStart w:id="4" w:name="_Hlk44498354"/>
      <w:r w:rsidRPr="00065C01">
        <w:rPr>
          <w:rFonts w:ascii="Times New Roman" w:hAnsi="Times New Roman"/>
          <w:sz w:val="24"/>
          <w:szCs w:val="24"/>
        </w:rPr>
        <w:t xml:space="preserve">Equality Act 2006 and the </w:t>
      </w:r>
      <w:r w:rsidRPr="00065C01">
        <w:rPr>
          <w:rFonts w:ascii="Times New Roman" w:hAnsi="Times New Roman"/>
          <w:sz w:val="24"/>
          <w:szCs w:val="24"/>
          <w:shd w:val="clear" w:color="auto" w:fill="FFFFFF"/>
        </w:rPr>
        <w:t>Equality Act (Sexual Orientation) Regulations 2007</w:t>
      </w:r>
      <w:r w:rsidR="00350AF4">
        <w:rPr>
          <w:rFonts w:ascii="Times New Roman" w:hAnsi="Times New Roman"/>
          <w:sz w:val="24"/>
          <w:szCs w:val="24"/>
          <w:shd w:val="clear" w:color="auto" w:fill="FFFFFF"/>
        </w:rPr>
        <w:t xml:space="preserve"> (the Regulations)</w:t>
      </w:r>
      <w:r w:rsidRPr="00065C01">
        <w:rPr>
          <w:rFonts w:ascii="Times New Roman" w:hAnsi="Times New Roman"/>
          <w:sz w:val="24"/>
          <w:szCs w:val="24"/>
          <w:shd w:val="clear" w:color="auto" w:fill="FFFFFF"/>
        </w:rPr>
        <w:t>,</w:t>
      </w:r>
      <w:bookmarkEnd w:id="4"/>
      <w:r w:rsidRPr="00065C01">
        <w:rPr>
          <w:rFonts w:ascii="Times New Roman" w:hAnsi="Times New Roman"/>
          <w:sz w:val="24"/>
          <w:szCs w:val="24"/>
          <w:shd w:val="clear" w:color="auto" w:fill="FFFFFF"/>
        </w:rPr>
        <w:t xml:space="preserve"> made pursua</w:t>
      </w:r>
      <w:r w:rsidR="00350AF4">
        <w:rPr>
          <w:rFonts w:ascii="Times New Roman" w:hAnsi="Times New Roman"/>
          <w:sz w:val="24"/>
          <w:szCs w:val="24"/>
          <w:shd w:val="clear" w:color="auto" w:fill="FFFFFF"/>
        </w:rPr>
        <w:t xml:space="preserve">nt to the Equality Act 2006. A </w:t>
      </w:r>
      <w:r w:rsidRPr="00065C01">
        <w:rPr>
          <w:rFonts w:ascii="Times New Roman" w:hAnsi="Times New Roman"/>
          <w:sz w:val="24"/>
          <w:szCs w:val="24"/>
          <w:shd w:val="clear" w:color="auto" w:fill="FFFFFF"/>
        </w:rPr>
        <w:t>similar</w:t>
      </w:r>
      <w:r w:rsidR="00350AF4" w:rsidRPr="00065C01">
        <w:rPr>
          <w:rFonts w:ascii="Times New Roman" w:hAnsi="Times New Roman"/>
          <w:sz w:val="24"/>
          <w:szCs w:val="24"/>
        </w:rPr>
        <w:t xml:space="preserve"> </w:t>
      </w:r>
      <w:r w:rsidRPr="00065C01">
        <w:rPr>
          <w:rFonts w:ascii="Times New Roman" w:hAnsi="Times New Roman"/>
          <w:sz w:val="24"/>
          <w:szCs w:val="24"/>
          <w:shd w:val="clear" w:color="auto" w:fill="FFFFFF"/>
        </w:rPr>
        <w:t xml:space="preserve">definition of </w:t>
      </w:r>
      <w:r w:rsidR="00AC2011">
        <w:rPr>
          <w:rFonts w:ascii="Times New Roman" w:hAnsi="Times New Roman"/>
          <w:sz w:val="24"/>
          <w:szCs w:val="24"/>
          <w:shd w:val="clear" w:color="auto" w:fill="FFFFFF"/>
        </w:rPr>
        <w:t>“</w:t>
      </w:r>
      <w:r w:rsidRPr="00065C01">
        <w:rPr>
          <w:rFonts w:ascii="Times New Roman" w:hAnsi="Times New Roman"/>
          <w:sz w:val="24"/>
          <w:szCs w:val="24"/>
          <w:shd w:val="clear" w:color="auto" w:fill="FFFFFF"/>
        </w:rPr>
        <w:t xml:space="preserve">direct </w:t>
      </w:r>
      <w:r w:rsidR="00D7463A">
        <w:rPr>
          <w:rFonts w:ascii="Times New Roman" w:hAnsi="Times New Roman"/>
          <w:sz w:val="24"/>
          <w:szCs w:val="24"/>
          <w:shd w:val="clear" w:color="auto" w:fill="FFFFFF"/>
        </w:rPr>
        <w:t>discrimination</w:t>
      </w:r>
      <w:r w:rsidR="00AC2011">
        <w:rPr>
          <w:rFonts w:ascii="Times New Roman" w:hAnsi="Times New Roman"/>
          <w:sz w:val="24"/>
          <w:szCs w:val="24"/>
          <w:shd w:val="clear" w:color="auto" w:fill="FFFFFF"/>
        </w:rPr>
        <w:t>”</w:t>
      </w:r>
      <w:r w:rsidR="00D7463A">
        <w:rPr>
          <w:rFonts w:ascii="Times New Roman" w:hAnsi="Times New Roman"/>
          <w:sz w:val="24"/>
          <w:szCs w:val="24"/>
          <w:shd w:val="clear" w:color="auto" w:fill="FFFFFF"/>
        </w:rPr>
        <w:t xml:space="preserve"> to that in the </w:t>
      </w:r>
      <w:r w:rsidRPr="00065C01">
        <w:rPr>
          <w:rFonts w:ascii="Times New Roman" w:hAnsi="Times New Roman"/>
          <w:sz w:val="24"/>
          <w:szCs w:val="24"/>
          <w:shd w:val="clear" w:color="auto" w:fill="FFFFFF"/>
        </w:rPr>
        <w:t xml:space="preserve">Act </w:t>
      </w:r>
      <w:r w:rsidR="00EC467A">
        <w:rPr>
          <w:rFonts w:ascii="Times New Roman" w:hAnsi="Times New Roman"/>
          <w:sz w:val="24"/>
          <w:szCs w:val="24"/>
          <w:shd w:val="clear" w:color="auto" w:fill="FFFFFF"/>
        </w:rPr>
        <w:t>was</w:t>
      </w:r>
      <w:r w:rsidRPr="00065C01">
        <w:rPr>
          <w:rFonts w:ascii="Times New Roman" w:hAnsi="Times New Roman"/>
          <w:sz w:val="24"/>
          <w:szCs w:val="24"/>
          <w:shd w:val="clear" w:color="auto" w:fill="FFFFFF"/>
        </w:rPr>
        <w:t xml:space="preserve"> provided in </w:t>
      </w:r>
      <w:r w:rsidR="00DF042F">
        <w:rPr>
          <w:rFonts w:ascii="Times New Roman" w:hAnsi="Times New Roman"/>
          <w:sz w:val="24"/>
          <w:szCs w:val="24"/>
          <w:shd w:val="clear" w:color="auto" w:fill="FFFFFF"/>
        </w:rPr>
        <w:t xml:space="preserve">section 3(1) of </w:t>
      </w:r>
      <w:r w:rsidRPr="00065C01">
        <w:rPr>
          <w:rFonts w:ascii="Times New Roman" w:hAnsi="Times New Roman"/>
          <w:sz w:val="24"/>
          <w:szCs w:val="24"/>
          <w:shd w:val="clear" w:color="auto" w:fill="FFFFFF"/>
        </w:rPr>
        <w:t>the Regulations:</w:t>
      </w:r>
    </w:p>
    <w:p w:rsidR="00B4757D" w:rsidRPr="00065C01" w:rsidRDefault="00B4757D" w:rsidP="0040377C">
      <w:pPr>
        <w:pStyle w:val="legp1paratext"/>
        <w:shd w:val="clear" w:color="auto" w:fill="FFFFFF"/>
        <w:spacing w:before="0" w:beforeAutospacing="0" w:after="120" w:afterAutospacing="0" w:line="480" w:lineRule="auto"/>
        <w:ind w:left="709"/>
        <w:jc w:val="both"/>
      </w:pPr>
      <w:r w:rsidRPr="00065C01">
        <w:lastRenderedPageBreak/>
        <w:t>For the purposes of these Regulations, a person (</w:t>
      </w:r>
      <w:r w:rsidR="00284818">
        <w:t>“</w:t>
      </w:r>
      <w:r w:rsidRPr="00065C01">
        <w:t>A</w:t>
      </w:r>
      <w:r w:rsidR="00284818">
        <w:t>”</w:t>
      </w:r>
      <w:r w:rsidRPr="00065C01">
        <w:t>) discriminates against another (</w:t>
      </w:r>
      <w:r w:rsidR="00284818">
        <w:t>“</w:t>
      </w:r>
      <w:r w:rsidRPr="00065C01">
        <w:t>B</w:t>
      </w:r>
      <w:r w:rsidR="00284818">
        <w:t>”</w:t>
      </w:r>
      <w:r w:rsidRPr="00065C01">
        <w:t xml:space="preserve">) if, on grounds of the sexual orientation of B or any other person except A, A treats B less favourably than he treats or would treat others (in cases where there is no material difference in the relevant circumstances). </w:t>
      </w:r>
    </w:p>
    <w:p w:rsidR="00B4757D" w:rsidRPr="00065C01" w:rsidRDefault="009B2352" w:rsidP="0040377C">
      <w:pPr>
        <w:spacing w:after="120" w:line="480" w:lineRule="auto"/>
        <w:rPr>
          <w:rFonts w:ascii="Times New Roman" w:hAnsi="Times New Roman"/>
          <w:sz w:val="24"/>
          <w:szCs w:val="24"/>
        </w:rPr>
      </w:pPr>
      <w:r w:rsidRPr="00065C01">
        <w:rPr>
          <w:rFonts w:ascii="Times New Roman" w:hAnsi="Times New Roman"/>
          <w:sz w:val="24"/>
          <w:szCs w:val="24"/>
        </w:rPr>
        <w:t>Another similar</w:t>
      </w:r>
      <w:r w:rsidR="00F720B4">
        <w:rPr>
          <w:rFonts w:ascii="Times New Roman" w:hAnsi="Times New Roman"/>
          <w:sz w:val="24"/>
          <w:szCs w:val="24"/>
        </w:rPr>
        <w:t>, though narrower</w:t>
      </w:r>
      <w:r w:rsidR="00D7463A">
        <w:rPr>
          <w:rFonts w:ascii="Times New Roman" w:hAnsi="Times New Roman"/>
          <w:sz w:val="24"/>
          <w:szCs w:val="24"/>
        </w:rPr>
        <w:t xml:space="preserve"> still</w:t>
      </w:r>
      <w:r w:rsidR="00F720B4">
        <w:rPr>
          <w:rFonts w:ascii="Times New Roman" w:hAnsi="Times New Roman"/>
          <w:sz w:val="24"/>
          <w:szCs w:val="24"/>
        </w:rPr>
        <w:t>,</w:t>
      </w:r>
      <w:r w:rsidR="00785D2C" w:rsidRPr="00065C01">
        <w:rPr>
          <w:rFonts w:ascii="Times New Roman" w:hAnsi="Times New Roman"/>
          <w:sz w:val="24"/>
          <w:szCs w:val="24"/>
        </w:rPr>
        <w:t xml:space="preserve"> definition </w:t>
      </w:r>
      <w:r w:rsidR="00E970AE">
        <w:rPr>
          <w:rFonts w:ascii="Times New Roman" w:hAnsi="Times New Roman"/>
          <w:sz w:val="24"/>
          <w:szCs w:val="24"/>
        </w:rPr>
        <w:t>wa</w:t>
      </w:r>
      <w:r w:rsidRPr="00065C01">
        <w:rPr>
          <w:rFonts w:ascii="Times New Roman" w:hAnsi="Times New Roman"/>
          <w:sz w:val="24"/>
          <w:szCs w:val="24"/>
        </w:rPr>
        <w:t>s</w:t>
      </w:r>
      <w:r w:rsidR="00785D2C" w:rsidRPr="00065C01">
        <w:rPr>
          <w:rFonts w:ascii="Times New Roman" w:hAnsi="Times New Roman"/>
          <w:sz w:val="24"/>
          <w:szCs w:val="24"/>
        </w:rPr>
        <w:t xml:space="preserve"> used in</w:t>
      </w:r>
      <w:r w:rsidR="00280FF4">
        <w:rPr>
          <w:rFonts w:ascii="Times New Roman" w:hAnsi="Times New Roman"/>
          <w:sz w:val="24"/>
          <w:szCs w:val="24"/>
        </w:rPr>
        <w:t xml:space="preserve"> section 1(2) of</w:t>
      </w:r>
      <w:r w:rsidR="00785D2C" w:rsidRPr="00065C01">
        <w:rPr>
          <w:rFonts w:ascii="Times New Roman" w:hAnsi="Times New Roman"/>
          <w:sz w:val="24"/>
          <w:szCs w:val="24"/>
        </w:rPr>
        <w:t xml:space="preserve"> the</w:t>
      </w:r>
      <w:r w:rsidR="00C374AF">
        <w:rPr>
          <w:rFonts w:ascii="Times New Roman" w:hAnsi="Times New Roman"/>
          <w:sz w:val="24"/>
          <w:szCs w:val="24"/>
        </w:rPr>
        <w:t xml:space="preserve"> (now-superseded)</w:t>
      </w:r>
      <w:r w:rsidR="00785D2C" w:rsidRPr="00065C01">
        <w:rPr>
          <w:rFonts w:ascii="Times New Roman" w:hAnsi="Times New Roman"/>
          <w:sz w:val="24"/>
          <w:szCs w:val="24"/>
        </w:rPr>
        <w:t xml:space="preserve"> </w:t>
      </w:r>
      <w:bookmarkStart w:id="5" w:name="_Hlk44498419"/>
      <w:r w:rsidR="00785D2C" w:rsidRPr="00065C01">
        <w:rPr>
          <w:rFonts w:ascii="Times New Roman" w:hAnsi="Times New Roman"/>
          <w:sz w:val="24"/>
          <w:szCs w:val="24"/>
        </w:rPr>
        <w:t>Sex Discrimination Act 1975:</w:t>
      </w:r>
      <w:bookmarkEnd w:id="5"/>
      <w:r w:rsidR="003D3BEF" w:rsidRPr="00065C01">
        <w:rPr>
          <w:rStyle w:val="FootnoteReference"/>
          <w:rFonts w:ascii="Times New Roman" w:hAnsi="Times New Roman"/>
          <w:color w:val="000000"/>
          <w:sz w:val="24"/>
          <w:szCs w:val="24"/>
        </w:rPr>
        <w:footnoteReference w:id="2"/>
      </w:r>
    </w:p>
    <w:p w:rsidR="00785D2C" w:rsidRPr="00065C01" w:rsidRDefault="00785D2C" w:rsidP="00680EC7">
      <w:pPr>
        <w:pStyle w:val="legclearfix"/>
        <w:shd w:val="clear" w:color="auto" w:fill="FFFFFF"/>
        <w:spacing w:before="0" w:beforeAutospacing="0" w:after="120" w:afterAutospacing="0" w:line="480" w:lineRule="auto"/>
        <w:ind w:left="709"/>
        <w:rPr>
          <w:color w:val="000000"/>
        </w:rPr>
      </w:pPr>
      <w:r w:rsidRPr="00065C01">
        <w:rPr>
          <w:rStyle w:val="legaddition"/>
          <w:color w:val="000000"/>
        </w:rPr>
        <w:t>a person discriminates against a woman if—</w:t>
      </w:r>
      <w:r w:rsidRPr="00065C01">
        <w:rPr>
          <w:color w:val="000000"/>
        </w:rPr>
        <w:t xml:space="preserve"> </w:t>
      </w:r>
    </w:p>
    <w:p w:rsidR="00785D2C" w:rsidRPr="00065C01" w:rsidRDefault="00785D2C" w:rsidP="005670B0">
      <w:pPr>
        <w:pStyle w:val="legclearfix"/>
        <w:numPr>
          <w:ilvl w:val="0"/>
          <w:numId w:val="6"/>
        </w:numPr>
        <w:shd w:val="clear" w:color="auto" w:fill="FFFFFF"/>
        <w:spacing w:before="0" w:beforeAutospacing="0" w:after="120" w:afterAutospacing="0" w:line="480" w:lineRule="auto"/>
        <w:rPr>
          <w:color w:val="000000"/>
        </w:rPr>
      </w:pPr>
      <w:r w:rsidRPr="00065C01">
        <w:rPr>
          <w:rStyle w:val="legaddition"/>
          <w:color w:val="000000"/>
        </w:rPr>
        <w:t>on the ground of her sex, he treats her less favourably than he treats or would treat a man</w:t>
      </w:r>
      <w:r w:rsidR="009B2352" w:rsidRPr="00065C01">
        <w:rPr>
          <w:rStyle w:val="legaddition"/>
          <w:color w:val="000000"/>
        </w:rPr>
        <w:t>[</w:t>
      </w:r>
      <w:r w:rsidR="00715FC1" w:rsidRPr="00065C01">
        <w:rPr>
          <w:rStyle w:val="legsubstitution"/>
          <w:color w:val="000000"/>
        </w:rPr>
        <w:t>.</w:t>
      </w:r>
      <w:r w:rsidR="009B2352" w:rsidRPr="00065C01">
        <w:rPr>
          <w:rStyle w:val="legsubstitution"/>
          <w:color w:val="000000"/>
        </w:rPr>
        <w:t>]</w:t>
      </w:r>
    </w:p>
    <w:p w:rsidR="00B4757D" w:rsidRPr="00065C01" w:rsidRDefault="00715FC1" w:rsidP="00680EC7">
      <w:pPr>
        <w:pStyle w:val="legclearfix"/>
        <w:shd w:val="clear" w:color="auto" w:fill="FFFFFF"/>
        <w:spacing w:before="0" w:beforeAutospacing="0" w:after="120" w:afterAutospacing="0" w:line="480" w:lineRule="auto"/>
      </w:pPr>
      <w:r w:rsidRPr="00065C01">
        <w:rPr>
          <w:color w:val="000000"/>
        </w:rPr>
        <w:t>It should be observed that</w:t>
      </w:r>
      <w:r w:rsidR="00280FF4">
        <w:rPr>
          <w:color w:val="000000"/>
        </w:rPr>
        <w:t xml:space="preserve"> paragraph 61 of</w:t>
      </w:r>
      <w:r w:rsidRPr="00065C01">
        <w:rPr>
          <w:color w:val="000000"/>
        </w:rPr>
        <w:t xml:space="preserve"> the Explanatory Notes to the Equality Act 2010 </w:t>
      </w:r>
      <w:r w:rsidR="003D3BEF" w:rsidRPr="00065C01">
        <w:rPr>
          <w:color w:val="000000"/>
        </w:rPr>
        <w:t>also comment</w:t>
      </w:r>
      <w:r w:rsidR="00280FF4">
        <w:rPr>
          <w:color w:val="000000"/>
        </w:rPr>
        <w:t>s</w:t>
      </w:r>
      <w:r w:rsidRPr="00065C01">
        <w:rPr>
          <w:color w:val="000000"/>
        </w:rPr>
        <w:t xml:space="preserve"> that the difference in wording between </w:t>
      </w:r>
      <w:r w:rsidR="00284818">
        <w:rPr>
          <w:color w:val="000000"/>
        </w:rPr>
        <w:t>“</w:t>
      </w:r>
      <w:r w:rsidR="00F720B4">
        <w:rPr>
          <w:color w:val="000000"/>
        </w:rPr>
        <w:t>because of</w:t>
      </w:r>
      <w:r w:rsidR="00284818">
        <w:rPr>
          <w:color w:val="000000"/>
        </w:rPr>
        <w:t>”</w:t>
      </w:r>
      <w:r w:rsidR="00F720B4">
        <w:rPr>
          <w:color w:val="000000"/>
        </w:rPr>
        <w:t xml:space="preserve"> and </w:t>
      </w:r>
      <w:r w:rsidR="00284818">
        <w:rPr>
          <w:color w:val="000000"/>
        </w:rPr>
        <w:t>“</w:t>
      </w:r>
      <w:r w:rsidR="00F720B4">
        <w:rPr>
          <w:color w:val="000000"/>
        </w:rPr>
        <w:t>on grounds of</w:t>
      </w:r>
      <w:r w:rsidR="00284818">
        <w:rPr>
          <w:color w:val="000000"/>
        </w:rPr>
        <w:t>”</w:t>
      </w:r>
      <w:r w:rsidR="00F720B4">
        <w:rPr>
          <w:color w:val="000000"/>
        </w:rPr>
        <w:t xml:space="preserve"> in </w:t>
      </w:r>
      <w:r w:rsidRPr="00065C01">
        <w:rPr>
          <w:color w:val="000000"/>
        </w:rPr>
        <w:t xml:space="preserve">the </w:t>
      </w:r>
      <w:proofErr w:type="gramStart"/>
      <w:r w:rsidRPr="00065C01">
        <w:rPr>
          <w:color w:val="000000"/>
        </w:rPr>
        <w:t>various different</w:t>
      </w:r>
      <w:proofErr w:type="gramEnd"/>
      <w:r w:rsidRPr="00065C01">
        <w:rPr>
          <w:color w:val="000000"/>
        </w:rPr>
        <w:t xml:space="preserve"> Acts is not significant:</w:t>
      </w:r>
    </w:p>
    <w:p w:rsidR="009B2352" w:rsidRDefault="00B4757D" w:rsidP="006B0227">
      <w:pPr>
        <w:pStyle w:val="Default"/>
        <w:spacing w:after="120" w:line="480" w:lineRule="auto"/>
        <w:ind w:left="709"/>
      </w:pPr>
      <w:r w:rsidRPr="00065C01">
        <w:t xml:space="preserve">This section uses the words </w:t>
      </w:r>
      <w:r w:rsidR="00284818">
        <w:t>“</w:t>
      </w:r>
      <w:r w:rsidRPr="00065C01">
        <w:t>because of</w:t>
      </w:r>
      <w:r w:rsidR="00284818">
        <w:t>”</w:t>
      </w:r>
      <w:r w:rsidRPr="00065C01">
        <w:t xml:space="preserve"> where the previous legislation contains various</w:t>
      </w:r>
      <w:r w:rsidR="00715FC1" w:rsidRPr="00065C01">
        <w:t xml:space="preserve"> </w:t>
      </w:r>
      <w:r w:rsidRPr="00065C01">
        <w:t xml:space="preserve">definitions using the words </w:t>
      </w:r>
      <w:r w:rsidR="00284818">
        <w:t>“</w:t>
      </w:r>
      <w:r w:rsidRPr="00065C01">
        <w:t>on grounds of</w:t>
      </w:r>
      <w:r w:rsidR="00284818">
        <w:t>”</w:t>
      </w:r>
      <w:r w:rsidRPr="00065C01">
        <w:t>. This change in wording does not change</w:t>
      </w:r>
      <w:r w:rsidR="00715FC1" w:rsidRPr="00065C01">
        <w:t xml:space="preserve"> </w:t>
      </w:r>
      <w:r w:rsidRPr="00065C01">
        <w:t>the legal meaning of the definition, but rather is designed to make it more accessible</w:t>
      </w:r>
      <w:r w:rsidR="00715FC1" w:rsidRPr="00065C01">
        <w:t xml:space="preserve"> </w:t>
      </w:r>
      <w:r w:rsidRPr="00065C01">
        <w:t>to the ordinary user of the Act.</w:t>
      </w:r>
    </w:p>
    <w:p w:rsidR="00280FF4" w:rsidRDefault="00280FF4" w:rsidP="006B0227">
      <w:pPr>
        <w:spacing w:after="120" w:line="480" w:lineRule="auto"/>
        <w:rPr>
          <w:rFonts w:ascii="Times New Roman" w:hAnsi="Times New Roman"/>
          <w:sz w:val="24"/>
          <w:szCs w:val="24"/>
        </w:rPr>
      </w:pPr>
    </w:p>
    <w:p w:rsidR="00634DB9" w:rsidRPr="00065C01" w:rsidRDefault="00800124" w:rsidP="006B0227">
      <w:pPr>
        <w:spacing w:after="120" w:line="480" w:lineRule="auto"/>
        <w:rPr>
          <w:rFonts w:ascii="Times New Roman" w:hAnsi="Times New Roman"/>
          <w:sz w:val="24"/>
          <w:szCs w:val="24"/>
        </w:rPr>
      </w:pPr>
      <w:r>
        <w:rPr>
          <w:rFonts w:ascii="Times New Roman" w:hAnsi="Times New Roman"/>
          <w:sz w:val="24"/>
          <w:szCs w:val="24"/>
        </w:rPr>
        <w:t xml:space="preserve">I noted above that </w:t>
      </w:r>
      <w:r w:rsidRPr="00065C01">
        <w:rPr>
          <w:rFonts w:ascii="Times New Roman" w:hAnsi="Times New Roman"/>
          <w:sz w:val="24"/>
          <w:szCs w:val="24"/>
        </w:rPr>
        <w:t xml:space="preserve">the Sex Discrimination Act 1975 </w:t>
      </w:r>
      <w:r>
        <w:rPr>
          <w:rFonts w:ascii="Times New Roman" w:hAnsi="Times New Roman"/>
          <w:sz w:val="24"/>
          <w:szCs w:val="24"/>
        </w:rPr>
        <w:t>contained a n</w:t>
      </w:r>
      <w:r w:rsidR="006B0227">
        <w:rPr>
          <w:rFonts w:ascii="Times New Roman" w:hAnsi="Times New Roman"/>
          <w:sz w:val="24"/>
          <w:szCs w:val="24"/>
        </w:rPr>
        <w:t xml:space="preserve">arrower </w:t>
      </w:r>
      <w:r>
        <w:rPr>
          <w:rFonts w:ascii="Times New Roman" w:hAnsi="Times New Roman"/>
          <w:sz w:val="24"/>
          <w:szCs w:val="24"/>
        </w:rPr>
        <w:t xml:space="preserve">formulation: </w:t>
      </w:r>
      <w:r w:rsidR="00284818">
        <w:rPr>
          <w:rFonts w:ascii="Times New Roman" w:hAnsi="Times New Roman"/>
          <w:sz w:val="24"/>
          <w:szCs w:val="24"/>
        </w:rPr>
        <w:t>“</w:t>
      </w:r>
      <w:r w:rsidR="00715FC1" w:rsidRPr="00065C01">
        <w:rPr>
          <w:rFonts w:ascii="Times New Roman" w:hAnsi="Times New Roman"/>
          <w:sz w:val="24"/>
          <w:szCs w:val="24"/>
        </w:rPr>
        <w:t>on the ground of her sex</w:t>
      </w:r>
      <w:r w:rsidR="00284818">
        <w:rPr>
          <w:rFonts w:ascii="Times New Roman" w:hAnsi="Times New Roman"/>
          <w:sz w:val="24"/>
          <w:szCs w:val="24"/>
        </w:rPr>
        <w:t>”</w:t>
      </w:r>
      <w:r>
        <w:rPr>
          <w:rFonts w:ascii="Times New Roman" w:hAnsi="Times New Roman"/>
          <w:sz w:val="24"/>
          <w:szCs w:val="24"/>
        </w:rPr>
        <w:t xml:space="preserve"> for discrimination against women, and </w:t>
      </w:r>
      <w:r w:rsidR="00284818">
        <w:rPr>
          <w:rFonts w:ascii="Times New Roman" w:hAnsi="Times New Roman"/>
          <w:sz w:val="24"/>
          <w:szCs w:val="24"/>
        </w:rPr>
        <w:t>“</w:t>
      </w:r>
      <w:r>
        <w:rPr>
          <w:rFonts w:ascii="Times New Roman" w:hAnsi="Times New Roman"/>
          <w:sz w:val="24"/>
          <w:szCs w:val="24"/>
        </w:rPr>
        <w:t>on the ground of his sex</w:t>
      </w:r>
      <w:r w:rsidR="00284818">
        <w:rPr>
          <w:rFonts w:ascii="Times New Roman" w:hAnsi="Times New Roman"/>
          <w:sz w:val="24"/>
          <w:szCs w:val="24"/>
        </w:rPr>
        <w:t>”</w:t>
      </w:r>
      <w:r>
        <w:rPr>
          <w:rFonts w:ascii="Times New Roman" w:hAnsi="Times New Roman"/>
          <w:sz w:val="24"/>
          <w:szCs w:val="24"/>
        </w:rPr>
        <w:t xml:space="preserve"> for discrimination against men.</w:t>
      </w:r>
      <w:r w:rsidR="002878B4">
        <w:rPr>
          <w:rFonts w:ascii="Times New Roman" w:hAnsi="Times New Roman"/>
          <w:sz w:val="24"/>
          <w:szCs w:val="24"/>
        </w:rPr>
        <w:t xml:space="preserve"> (Compare also the narrow formulation</w:t>
      </w:r>
      <w:r w:rsidR="000B7BC7">
        <w:rPr>
          <w:rFonts w:ascii="Times New Roman" w:hAnsi="Times New Roman"/>
          <w:sz w:val="24"/>
          <w:szCs w:val="24"/>
        </w:rPr>
        <w:t xml:space="preserve"> of the statute at issue in </w:t>
      </w:r>
      <w:r w:rsidR="000B7BC7">
        <w:rPr>
          <w:rFonts w:ascii="Times New Roman" w:hAnsi="Times New Roman"/>
          <w:i/>
          <w:iCs/>
          <w:sz w:val="24"/>
          <w:szCs w:val="24"/>
        </w:rPr>
        <w:t xml:space="preserve">Bostock v Clayton County </w:t>
      </w:r>
      <w:r w:rsidR="000B7BC7">
        <w:rPr>
          <w:rFonts w:ascii="Times New Roman" w:hAnsi="Times New Roman"/>
          <w:sz w:val="24"/>
          <w:szCs w:val="24"/>
        </w:rPr>
        <w:t>(2020),</w:t>
      </w:r>
      <w:r w:rsidR="002878B4">
        <w:rPr>
          <w:rFonts w:ascii="Times New Roman" w:hAnsi="Times New Roman"/>
          <w:sz w:val="24"/>
          <w:szCs w:val="24"/>
        </w:rPr>
        <w:t xml:space="preserve"> Title VII of the Civil Rights Act 1964: </w:t>
      </w:r>
      <w:r w:rsidR="000B7BC7">
        <w:rPr>
          <w:rFonts w:ascii="Times New Roman" w:hAnsi="Times New Roman"/>
          <w:sz w:val="24"/>
          <w:szCs w:val="24"/>
        </w:rPr>
        <w:t>“</w:t>
      </w:r>
      <w:r w:rsidR="000B7BC7" w:rsidRPr="000B7BC7">
        <w:rPr>
          <w:rFonts w:ascii="Times New Roman" w:hAnsi="Times New Roman"/>
          <w:sz w:val="24"/>
          <w:szCs w:val="24"/>
        </w:rPr>
        <w:t xml:space="preserve">because of such </w:t>
      </w:r>
      <w:r w:rsidR="000B7BC7" w:rsidRPr="000B7BC7">
        <w:rPr>
          <w:rFonts w:ascii="Times New Roman" w:hAnsi="Times New Roman"/>
          <w:sz w:val="24"/>
          <w:szCs w:val="24"/>
        </w:rPr>
        <w:lastRenderedPageBreak/>
        <w:t>individual</w:t>
      </w:r>
      <w:r w:rsidR="000B7BC7">
        <w:rPr>
          <w:rFonts w:ascii="Times New Roman" w:hAnsi="Times New Roman"/>
          <w:sz w:val="24"/>
          <w:szCs w:val="24"/>
        </w:rPr>
        <w:t>’</w:t>
      </w:r>
      <w:r w:rsidR="000B7BC7" w:rsidRPr="000B7BC7">
        <w:rPr>
          <w:rFonts w:ascii="Times New Roman" w:hAnsi="Times New Roman"/>
          <w:sz w:val="24"/>
          <w:szCs w:val="24"/>
        </w:rPr>
        <w:t xml:space="preserve">s race, </w:t>
      </w:r>
      <w:proofErr w:type="spellStart"/>
      <w:r w:rsidR="000B7BC7" w:rsidRPr="000B7BC7">
        <w:rPr>
          <w:rFonts w:ascii="Times New Roman" w:hAnsi="Times New Roman"/>
          <w:sz w:val="24"/>
          <w:szCs w:val="24"/>
        </w:rPr>
        <w:t>color</w:t>
      </w:r>
      <w:proofErr w:type="spellEnd"/>
      <w:r w:rsidR="000B7BC7" w:rsidRPr="000B7BC7">
        <w:rPr>
          <w:rFonts w:ascii="Times New Roman" w:hAnsi="Times New Roman"/>
          <w:sz w:val="24"/>
          <w:szCs w:val="24"/>
        </w:rPr>
        <w:t>, religion, sex, or national origin</w:t>
      </w:r>
      <w:r w:rsidR="000B7BC7">
        <w:rPr>
          <w:rFonts w:ascii="Times New Roman" w:hAnsi="Times New Roman"/>
          <w:sz w:val="24"/>
          <w:szCs w:val="24"/>
        </w:rPr>
        <w:t>”.)</w:t>
      </w:r>
      <w:r w:rsidR="00715FC1" w:rsidRPr="00065C01">
        <w:rPr>
          <w:rFonts w:ascii="Times New Roman" w:hAnsi="Times New Roman"/>
          <w:sz w:val="24"/>
          <w:szCs w:val="24"/>
        </w:rPr>
        <w:t xml:space="preserve"> </w:t>
      </w:r>
      <w:r>
        <w:rPr>
          <w:rFonts w:ascii="Times New Roman" w:hAnsi="Times New Roman"/>
          <w:sz w:val="24"/>
          <w:szCs w:val="24"/>
        </w:rPr>
        <w:t>I</w:t>
      </w:r>
      <w:r w:rsidR="00715FC1" w:rsidRPr="00065C01">
        <w:rPr>
          <w:rFonts w:ascii="Times New Roman" w:hAnsi="Times New Roman"/>
          <w:sz w:val="24"/>
          <w:szCs w:val="24"/>
        </w:rPr>
        <w:t>n the Equality Act 2010 this is widened to include A’s discriminating against B because of sex</w:t>
      </w:r>
      <w:r>
        <w:rPr>
          <w:rFonts w:ascii="Times New Roman" w:hAnsi="Times New Roman"/>
          <w:sz w:val="24"/>
          <w:szCs w:val="24"/>
        </w:rPr>
        <w:t>,</w:t>
      </w:r>
      <w:r w:rsidR="00715FC1" w:rsidRPr="00065C01">
        <w:rPr>
          <w:rFonts w:ascii="Times New Roman" w:hAnsi="Times New Roman"/>
          <w:sz w:val="24"/>
          <w:szCs w:val="24"/>
        </w:rPr>
        <w:t xml:space="preserve"> even if it is not </w:t>
      </w:r>
      <w:r w:rsidR="009B2352" w:rsidRPr="00065C01">
        <w:rPr>
          <w:rFonts w:ascii="Times New Roman" w:hAnsi="Times New Roman"/>
          <w:sz w:val="24"/>
          <w:szCs w:val="24"/>
        </w:rPr>
        <w:t>because of B’s sex</w:t>
      </w:r>
      <w:r>
        <w:rPr>
          <w:rFonts w:ascii="Times New Roman" w:hAnsi="Times New Roman"/>
          <w:sz w:val="24"/>
          <w:szCs w:val="24"/>
        </w:rPr>
        <w:t>, whether male or female</w:t>
      </w:r>
      <w:r w:rsidR="00715FC1" w:rsidRPr="00065C01">
        <w:rPr>
          <w:rFonts w:ascii="Times New Roman" w:hAnsi="Times New Roman"/>
          <w:sz w:val="24"/>
          <w:szCs w:val="24"/>
        </w:rPr>
        <w:t>.</w:t>
      </w:r>
      <w:r w:rsidR="00634DB9" w:rsidRPr="00065C01">
        <w:rPr>
          <w:rFonts w:ascii="Times New Roman" w:hAnsi="Times New Roman"/>
          <w:sz w:val="24"/>
          <w:szCs w:val="24"/>
        </w:rPr>
        <w:t xml:space="preserve"> It should be noted that </w:t>
      </w:r>
      <w:r w:rsidR="008B6DB9">
        <w:rPr>
          <w:rFonts w:ascii="Times New Roman" w:hAnsi="Times New Roman"/>
          <w:sz w:val="24"/>
          <w:szCs w:val="24"/>
        </w:rPr>
        <w:t xml:space="preserve">Article 2 </w:t>
      </w:r>
      <w:r w:rsidR="00537D1C">
        <w:rPr>
          <w:rFonts w:ascii="Times New Roman" w:hAnsi="Times New Roman"/>
          <w:sz w:val="24"/>
          <w:szCs w:val="24"/>
        </w:rPr>
        <w:t xml:space="preserve">of </w:t>
      </w:r>
      <w:bookmarkStart w:id="6" w:name="_Hlk44498436"/>
      <w:r w:rsidR="00537D1C" w:rsidRPr="00537D1C">
        <w:rPr>
          <w:rFonts w:ascii="Times New Roman" w:hAnsi="Times New Roman"/>
          <w:sz w:val="24"/>
          <w:szCs w:val="24"/>
        </w:rPr>
        <w:t>Directive 2006/54/EC of the European Parliament and of the Council of 5 July 2006</w:t>
      </w:r>
      <w:bookmarkEnd w:id="6"/>
      <w:r w:rsidR="00537D1C" w:rsidRPr="00537D1C">
        <w:rPr>
          <w:rFonts w:ascii="Times New Roman" w:hAnsi="Times New Roman"/>
          <w:sz w:val="24"/>
          <w:szCs w:val="24"/>
        </w:rPr>
        <w:t xml:space="preserve"> on the implementation of the principle of equal opportunities and equal treatment of men and women in matters of employment and occupation </w:t>
      </w:r>
      <w:bookmarkStart w:id="7" w:name="_Hlk44498458"/>
      <w:r w:rsidR="00BA2B32">
        <w:rPr>
          <w:rFonts w:ascii="Times New Roman" w:hAnsi="Times New Roman"/>
          <w:sz w:val="24"/>
          <w:szCs w:val="24"/>
        </w:rPr>
        <w:t>(</w:t>
      </w:r>
      <w:r w:rsidR="00BA2B32" w:rsidRPr="00BA2B32">
        <w:rPr>
          <w:rFonts w:ascii="Times New Roman" w:hAnsi="Times New Roman"/>
          <w:sz w:val="24"/>
          <w:szCs w:val="24"/>
        </w:rPr>
        <w:t>OJ</w:t>
      </w:r>
      <w:r w:rsidR="00BA2B32">
        <w:rPr>
          <w:rFonts w:ascii="Times New Roman" w:hAnsi="Times New Roman"/>
          <w:sz w:val="24"/>
          <w:szCs w:val="24"/>
        </w:rPr>
        <w:t xml:space="preserve"> 2006 </w:t>
      </w:r>
      <w:r w:rsidR="00BA2B32" w:rsidRPr="00BA2B32">
        <w:rPr>
          <w:rFonts w:ascii="Times New Roman" w:hAnsi="Times New Roman"/>
          <w:sz w:val="24"/>
          <w:szCs w:val="24"/>
        </w:rPr>
        <w:t>L 204)</w:t>
      </w:r>
      <w:r w:rsidR="000F3106">
        <w:rPr>
          <w:rFonts w:ascii="Times New Roman" w:hAnsi="Times New Roman"/>
          <w:sz w:val="24"/>
          <w:szCs w:val="24"/>
        </w:rPr>
        <w:t xml:space="preserve"> </w:t>
      </w:r>
      <w:bookmarkEnd w:id="7"/>
      <w:r w:rsidR="000F3106">
        <w:rPr>
          <w:rFonts w:ascii="Times New Roman" w:hAnsi="Times New Roman"/>
          <w:sz w:val="24"/>
          <w:szCs w:val="24"/>
        </w:rPr>
        <w:t xml:space="preserve">employs </w:t>
      </w:r>
      <w:r w:rsidR="00634DB9" w:rsidRPr="00065C01">
        <w:rPr>
          <w:rFonts w:ascii="Times New Roman" w:hAnsi="Times New Roman"/>
          <w:sz w:val="24"/>
          <w:szCs w:val="24"/>
        </w:rPr>
        <w:t xml:space="preserve">the broader definition of </w:t>
      </w:r>
      <w:r w:rsidR="001275CA">
        <w:rPr>
          <w:rFonts w:ascii="Times New Roman" w:hAnsi="Times New Roman"/>
          <w:sz w:val="24"/>
          <w:szCs w:val="24"/>
        </w:rPr>
        <w:t>“</w:t>
      </w:r>
      <w:r w:rsidR="00634DB9" w:rsidRPr="00065C01">
        <w:rPr>
          <w:rFonts w:ascii="Times New Roman" w:hAnsi="Times New Roman"/>
          <w:sz w:val="24"/>
          <w:szCs w:val="24"/>
        </w:rPr>
        <w:t>direct discrimination</w:t>
      </w:r>
      <w:r w:rsidR="001275CA">
        <w:rPr>
          <w:rFonts w:ascii="Times New Roman" w:hAnsi="Times New Roman"/>
          <w:sz w:val="24"/>
          <w:szCs w:val="24"/>
        </w:rPr>
        <w:t>”</w:t>
      </w:r>
      <w:r w:rsidR="00634DB9" w:rsidRPr="00065C01">
        <w:rPr>
          <w:rFonts w:ascii="Times New Roman" w:hAnsi="Times New Roman"/>
          <w:sz w:val="24"/>
          <w:szCs w:val="24"/>
        </w:rPr>
        <w:t xml:space="preserve"> in section (a) of Article 2:</w:t>
      </w:r>
    </w:p>
    <w:p w:rsidR="006B0227" w:rsidRDefault="00634DB9" w:rsidP="00A844B9">
      <w:pPr>
        <w:spacing w:line="480" w:lineRule="auto"/>
        <w:ind w:left="709"/>
        <w:rPr>
          <w:rFonts w:ascii="Times New Roman" w:hAnsi="Times New Roman"/>
          <w:sz w:val="24"/>
          <w:szCs w:val="24"/>
        </w:rPr>
      </w:pPr>
      <w:r w:rsidRPr="00065C01">
        <w:rPr>
          <w:rFonts w:ascii="Times New Roman" w:hAnsi="Times New Roman"/>
          <w:sz w:val="24"/>
          <w:szCs w:val="24"/>
        </w:rPr>
        <w:t>direct discrimination: where one person is treated less favourably on grounds of sex than another is, has been or would be treated in a comparable situation</w:t>
      </w:r>
      <w:r w:rsidR="00800124">
        <w:rPr>
          <w:rFonts w:ascii="Times New Roman" w:hAnsi="Times New Roman"/>
          <w:sz w:val="24"/>
          <w:szCs w:val="24"/>
        </w:rPr>
        <w:t>[.]</w:t>
      </w:r>
      <w:r w:rsidR="00804201" w:rsidRPr="00065C01">
        <w:rPr>
          <w:rStyle w:val="FootnoteReference"/>
          <w:rFonts w:ascii="Times New Roman" w:hAnsi="Times New Roman"/>
          <w:sz w:val="24"/>
          <w:szCs w:val="24"/>
        </w:rPr>
        <w:footnoteReference w:id="3"/>
      </w:r>
    </w:p>
    <w:p w:rsidR="008D462D" w:rsidRDefault="001275CA" w:rsidP="001275CA">
      <w:pPr>
        <w:spacing w:line="480" w:lineRule="auto"/>
        <w:rPr>
          <w:rFonts w:ascii="Times New Roman" w:hAnsi="Times New Roman"/>
          <w:sz w:val="24"/>
          <w:szCs w:val="24"/>
        </w:rPr>
      </w:pPr>
      <w:r>
        <w:rPr>
          <w:rFonts w:ascii="Times New Roman" w:hAnsi="Times New Roman"/>
          <w:sz w:val="24"/>
          <w:szCs w:val="24"/>
        </w:rPr>
        <w:t xml:space="preserve">These observations are important to </w:t>
      </w:r>
      <w:r w:rsidR="007019B2">
        <w:rPr>
          <w:rFonts w:ascii="Times New Roman" w:hAnsi="Times New Roman"/>
          <w:sz w:val="24"/>
          <w:szCs w:val="24"/>
        </w:rPr>
        <w:t>answer</w:t>
      </w:r>
      <w:r>
        <w:rPr>
          <w:rFonts w:ascii="Times New Roman" w:hAnsi="Times New Roman"/>
          <w:sz w:val="24"/>
          <w:szCs w:val="24"/>
        </w:rPr>
        <w:t xml:space="preserve"> an objection</w:t>
      </w:r>
      <w:r w:rsidR="00B82D4A">
        <w:rPr>
          <w:rFonts w:ascii="Times New Roman" w:hAnsi="Times New Roman"/>
          <w:sz w:val="24"/>
          <w:szCs w:val="24"/>
        </w:rPr>
        <w:t xml:space="preserve"> from </w:t>
      </w:r>
      <w:r w:rsidR="008C562D">
        <w:rPr>
          <w:rFonts w:ascii="Times New Roman" w:hAnsi="Times New Roman"/>
          <w:sz w:val="24"/>
          <w:szCs w:val="24"/>
        </w:rPr>
        <w:t>Julian Rivers</w:t>
      </w:r>
      <w:r w:rsidR="00B82D4A">
        <w:rPr>
          <w:rFonts w:ascii="Times New Roman" w:hAnsi="Times New Roman"/>
          <w:sz w:val="24"/>
          <w:szCs w:val="24"/>
        </w:rPr>
        <w:t xml:space="preserve"> (2017</w:t>
      </w:r>
      <w:r w:rsidR="008C562D">
        <w:rPr>
          <w:rFonts w:ascii="Times New Roman" w:hAnsi="Times New Roman"/>
          <w:sz w:val="24"/>
          <w:szCs w:val="24"/>
        </w:rPr>
        <w:t xml:space="preserve">, personal communication, </w:t>
      </w:r>
      <w:r w:rsidR="007D2613">
        <w:rPr>
          <w:rFonts w:ascii="Times New Roman" w:hAnsi="Times New Roman"/>
          <w:sz w:val="24"/>
          <w:szCs w:val="24"/>
        </w:rPr>
        <w:t>18 July</w:t>
      </w:r>
      <w:r w:rsidR="008C562D">
        <w:rPr>
          <w:rFonts w:ascii="Times New Roman" w:hAnsi="Times New Roman"/>
          <w:sz w:val="24"/>
          <w:szCs w:val="24"/>
        </w:rPr>
        <w:t>)</w:t>
      </w:r>
      <w:r w:rsidR="00B82D4A">
        <w:rPr>
          <w:rFonts w:ascii="Times New Roman" w:hAnsi="Times New Roman"/>
          <w:sz w:val="24"/>
          <w:szCs w:val="24"/>
        </w:rPr>
        <w:t>. The objection is</w:t>
      </w:r>
      <w:r w:rsidR="008C562D">
        <w:rPr>
          <w:rFonts w:ascii="Times New Roman" w:hAnsi="Times New Roman"/>
          <w:sz w:val="24"/>
          <w:szCs w:val="24"/>
        </w:rPr>
        <w:t xml:space="preserve"> </w:t>
      </w:r>
      <w:r>
        <w:rPr>
          <w:rFonts w:ascii="Times New Roman" w:hAnsi="Times New Roman"/>
          <w:sz w:val="24"/>
          <w:szCs w:val="24"/>
        </w:rPr>
        <w:t xml:space="preserve">based on </w:t>
      </w:r>
      <w:r w:rsidR="004C198E">
        <w:rPr>
          <w:rFonts w:ascii="Times New Roman" w:hAnsi="Times New Roman"/>
          <w:sz w:val="24"/>
          <w:szCs w:val="24"/>
        </w:rPr>
        <w:t>section 11 of the Equality Act 2010:</w:t>
      </w:r>
    </w:p>
    <w:p w:rsidR="008D462D" w:rsidRPr="008D462D" w:rsidRDefault="008D462D" w:rsidP="004C198E">
      <w:pPr>
        <w:spacing w:line="480" w:lineRule="auto"/>
        <w:ind w:left="709"/>
        <w:rPr>
          <w:rFonts w:ascii="Times New Roman" w:hAnsi="Times New Roman"/>
          <w:sz w:val="24"/>
          <w:szCs w:val="24"/>
        </w:rPr>
      </w:pPr>
      <w:r w:rsidRPr="008D462D">
        <w:rPr>
          <w:rFonts w:ascii="Times New Roman" w:hAnsi="Times New Roman"/>
          <w:sz w:val="24"/>
          <w:szCs w:val="24"/>
        </w:rPr>
        <w:t>In relation to the protected characteristic of sex—</w:t>
      </w:r>
    </w:p>
    <w:p w:rsidR="008D462D" w:rsidRPr="004C198E" w:rsidRDefault="008D462D" w:rsidP="004C198E">
      <w:pPr>
        <w:pStyle w:val="ListParagraph"/>
        <w:numPr>
          <w:ilvl w:val="0"/>
          <w:numId w:val="15"/>
        </w:numPr>
        <w:spacing w:line="480" w:lineRule="auto"/>
      </w:pPr>
      <w:r w:rsidRPr="004C198E">
        <w:t xml:space="preserve">a reference to a person who has a </w:t>
      </w:r>
      <w:proofErr w:type="gramStart"/>
      <w:r w:rsidRPr="004C198E">
        <w:t>particular protected</w:t>
      </w:r>
      <w:proofErr w:type="gramEnd"/>
      <w:r w:rsidRPr="004C198E">
        <w:t xml:space="preserve"> characteristic is a reference to a man or to a woman</w:t>
      </w:r>
    </w:p>
    <w:p w:rsidR="001275CA" w:rsidRDefault="004C198E" w:rsidP="001275CA">
      <w:pPr>
        <w:spacing w:line="480" w:lineRule="auto"/>
        <w:rPr>
          <w:rFonts w:ascii="Times New Roman" w:hAnsi="Times New Roman"/>
          <w:sz w:val="24"/>
          <w:szCs w:val="24"/>
        </w:rPr>
      </w:pPr>
      <w:r>
        <w:rPr>
          <w:rFonts w:ascii="Times New Roman" w:hAnsi="Times New Roman"/>
          <w:sz w:val="24"/>
          <w:szCs w:val="24"/>
        </w:rPr>
        <w:t xml:space="preserve">The objection is that </w:t>
      </w:r>
      <w:r w:rsidR="00AF129F">
        <w:rPr>
          <w:rFonts w:ascii="Times New Roman" w:hAnsi="Times New Roman"/>
          <w:sz w:val="24"/>
          <w:szCs w:val="24"/>
        </w:rPr>
        <w:t>this section in fact shows that the law is still working with the narrower formulation. The objection could also be based on</w:t>
      </w:r>
      <w:r w:rsidR="001275CA">
        <w:rPr>
          <w:rFonts w:ascii="Times New Roman" w:hAnsi="Times New Roman"/>
          <w:sz w:val="24"/>
          <w:szCs w:val="24"/>
        </w:rPr>
        <w:t xml:space="preserve"> the Explanatory Notes to the </w:t>
      </w:r>
      <w:r w:rsidR="008D462D">
        <w:rPr>
          <w:rFonts w:ascii="Times New Roman" w:hAnsi="Times New Roman"/>
          <w:sz w:val="24"/>
          <w:szCs w:val="24"/>
        </w:rPr>
        <w:t>Equality Act 2010:</w:t>
      </w:r>
    </w:p>
    <w:p w:rsidR="001275CA" w:rsidRDefault="001275CA" w:rsidP="008D462D">
      <w:pPr>
        <w:spacing w:line="480" w:lineRule="auto"/>
        <w:ind w:left="709"/>
        <w:rPr>
          <w:rFonts w:ascii="Times New Roman" w:hAnsi="Times New Roman"/>
          <w:sz w:val="24"/>
          <w:szCs w:val="24"/>
        </w:rPr>
      </w:pPr>
      <w:r w:rsidRPr="001275CA">
        <w:rPr>
          <w:rFonts w:ascii="Times New Roman" w:hAnsi="Times New Roman"/>
          <w:sz w:val="24"/>
          <w:szCs w:val="24"/>
        </w:rPr>
        <w:t>This section is a new provision which explains that references in the Act to people having the protected characteristic of sex are to mean being a man or a woman, and that men share this characteristic with other men, and women with other women.</w:t>
      </w:r>
      <w:r w:rsidR="00311F50">
        <w:rPr>
          <w:rFonts w:ascii="Times New Roman" w:hAnsi="Times New Roman"/>
          <w:sz w:val="24"/>
          <w:szCs w:val="24"/>
        </w:rPr>
        <w:t xml:space="preserve"> (E</w:t>
      </w:r>
      <w:r w:rsidR="00311F50" w:rsidRPr="00311F50">
        <w:rPr>
          <w:rFonts w:ascii="Times New Roman" w:hAnsi="Times New Roman"/>
          <w:sz w:val="24"/>
          <w:szCs w:val="24"/>
        </w:rPr>
        <w:t>xplanatory Notes to the Equality Act 2010:</w:t>
      </w:r>
      <w:r w:rsidR="00311F50">
        <w:rPr>
          <w:rFonts w:ascii="Times New Roman" w:hAnsi="Times New Roman"/>
          <w:sz w:val="24"/>
          <w:szCs w:val="24"/>
        </w:rPr>
        <w:t xml:space="preserve"> [</w:t>
      </w:r>
      <w:r w:rsidR="00311F50" w:rsidRPr="00311F50">
        <w:rPr>
          <w:rFonts w:ascii="Times New Roman" w:hAnsi="Times New Roman"/>
          <w:sz w:val="24"/>
          <w:szCs w:val="24"/>
        </w:rPr>
        <w:t>54</w:t>
      </w:r>
      <w:r w:rsidR="00311F50">
        <w:rPr>
          <w:rFonts w:ascii="Times New Roman" w:hAnsi="Times New Roman"/>
          <w:sz w:val="24"/>
          <w:szCs w:val="24"/>
        </w:rPr>
        <w:t>])</w:t>
      </w:r>
    </w:p>
    <w:p w:rsidR="008D462D" w:rsidRDefault="000B0394" w:rsidP="000B0394">
      <w:pPr>
        <w:spacing w:line="480" w:lineRule="auto"/>
        <w:rPr>
          <w:rFonts w:ascii="Times New Roman" w:hAnsi="Times New Roman"/>
          <w:sz w:val="24"/>
          <w:szCs w:val="24"/>
        </w:rPr>
      </w:pPr>
      <w:r>
        <w:rPr>
          <w:rFonts w:ascii="Times New Roman" w:hAnsi="Times New Roman"/>
          <w:sz w:val="24"/>
          <w:szCs w:val="24"/>
        </w:rPr>
        <w:lastRenderedPageBreak/>
        <w:t>It seems to me that th</w:t>
      </w:r>
      <w:r w:rsidRPr="000B0394">
        <w:rPr>
          <w:rFonts w:ascii="Times New Roman" w:hAnsi="Times New Roman"/>
          <w:sz w:val="24"/>
          <w:szCs w:val="24"/>
        </w:rPr>
        <w:t>e reason why the drafters included th</w:t>
      </w:r>
      <w:r>
        <w:rPr>
          <w:rFonts w:ascii="Times New Roman" w:hAnsi="Times New Roman"/>
          <w:sz w:val="24"/>
          <w:szCs w:val="24"/>
        </w:rPr>
        <w:t>is</w:t>
      </w:r>
      <w:r w:rsidRPr="000B0394">
        <w:rPr>
          <w:rFonts w:ascii="Times New Roman" w:hAnsi="Times New Roman"/>
          <w:sz w:val="24"/>
          <w:szCs w:val="24"/>
        </w:rPr>
        <w:t xml:space="preserve"> definition for </w:t>
      </w:r>
      <w:r w:rsidR="00557A51">
        <w:rPr>
          <w:rFonts w:ascii="Times New Roman" w:hAnsi="Times New Roman"/>
          <w:sz w:val="24"/>
          <w:szCs w:val="24"/>
        </w:rPr>
        <w:t>“</w:t>
      </w:r>
      <w:r w:rsidRPr="000B0394">
        <w:rPr>
          <w:rFonts w:ascii="Times New Roman" w:hAnsi="Times New Roman"/>
          <w:sz w:val="24"/>
          <w:szCs w:val="24"/>
        </w:rPr>
        <w:t>sex</w:t>
      </w:r>
      <w:r w:rsidR="00557A51">
        <w:rPr>
          <w:rFonts w:ascii="Times New Roman" w:hAnsi="Times New Roman"/>
          <w:sz w:val="24"/>
          <w:szCs w:val="24"/>
        </w:rPr>
        <w:t>”</w:t>
      </w:r>
      <w:r>
        <w:rPr>
          <w:rFonts w:ascii="Times New Roman" w:hAnsi="Times New Roman"/>
          <w:sz w:val="24"/>
          <w:szCs w:val="24"/>
        </w:rPr>
        <w:t>, and the effect of their including it,</w:t>
      </w:r>
      <w:r w:rsidRPr="000B0394">
        <w:rPr>
          <w:rFonts w:ascii="Times New Roman" w:hAnsi="Times New Roman"/>
          <w:sz w:val="24"/>
          <w:szCs w:val="24"/>
        </w:rPr>
        <w:t xml:space="preserve"> was to ensure that conditions such as intersex and other sexes were not counted as sexes under the Act.</w:t>
      </w:r>
      <w:r>
        <w:rPr>
          <w:rFonts w:ascii="Times New Roman" w:hAnsi="Times New Roman"/>
          <w:sz w:val="24"/>
          <w:szCs w:val="24"/>
        </w:rPr>
        <w:t xml:space="preserve"> It should also be noted</w:t>
      </w:r>
      <w:r w:rsidR="00B0664D">
        <w:rPr>
          <w:rFonts w:ascii="Times New Roman" w:hAnsi="Times New Roman"/>
          <w:sz w:val="24"/>
          <w:szCs w:val="24"/>
        </w:rPr>
        <w:t xml:space="preserve"> that</w:t>
      </w:r>
      <w:r w:rsidR="009F7232">
        <w:rPr>
          <w:rFonts w:ascii="Times New Roman" w:hAnsi="Times New Roman"/>
          <w:sz w:val="24"/>
          <w:szCs w:val="24"/>
        </w:rPr>
        <w:t xml:space="preserve"> similar definitions are provided for all the characteristics. Since the characteristic of race come</w:t>
      </w:r>
      <w:r w:rsidR="006545EB">
        <w:rPr>
          <w:rFonts w:ascii="Times New Roman" w:hAnsi="Times New Roman"/>
          <w:sz w:val="24"/>
          <w:szCs w:val="24"/>
        </w:rPr>
        <w:t xml:space="preserve">s </w:t>
      </w:r>
      <w:r w:rsidR="009F7232">
        <w:rPr>
          <w:rFonts w:ascii="Times New Roman" w:hAnsi="Times New Roman"/>
          <w:sz w:val="24"/>
          <w:szCs w:val="24"/>
        </w:rPr>
        <w:t xml:space="preserve">back into the discussion </w:t>
      </w:r>
      <w:r w:rsidR="007708C7">
        <w:rPr>
          <w:rFonts w:ascii="Times New Roman" w:hAnsi="Times New Roman"/>
          <w:sz w:val="24"/>
          <w:szCs w:val="24"/>
        </w:rPr>
        <w:t>below</w:t>
      </w:r>
      <w:r w:rsidR="009F7232">
        <w:rPr>
          <w:rFonts w:ascii="Times New Roman" w:hAnsi="Times New Roman"/>
          <w:sz w:val="24"/>
          <w:szCs w:val="24"/>
        </w:rPr>
        <w:t>, I quote this one from section 9 for comparative purposes:</w:t>
      </w:r>
    </w:p>
    <w:p w:rsidR="009F7232" w:rsidRPr="009F7232" w:rsidRDefault="009F7232" w:rsidP="009F7232">
      <w:pPr>
        <w:spacing w:line="480" w:lineRule="auto"/>
        <w:ind w:left="851"/>
        <w:rPr>
          <w:rFonts w:ascii="Times New Roman" w:hAnsi="Times New Roman"/>
          <w:sz w:val="24"/>
          <w:szCs w:val="24"/>
        </w:rPr>
      </w:pPr>
      <w:r w:rsidRPr="009F7232">
        <w:rPr>
          <w:rFonts w:ascii="Times New Roman" w:hAnsi="Times New Roman"/>
          <w:sz w:val="24"/>
          <w:szCs w:val="24"/>
        </w:rPr>
        <w:t>In relation to the protected characteristic of race—</w:t>
      </w:r>
    </w:p>
    <w:p w:rsidR="009F7232" w:rsidRPr="0018063A" w:rsidRDefault="009F7232" w:rsidP="0018063A">
      <w:pPr>
        <w:pStyle w:val="ListParagraph"/>
        <w:numPr>
          <w:ilvl w:val="0"/>
          <w:numId w:val="16"/>
        </w:numPr>
        <w:spacing w:line="480" w:lineRule="auto"/>
      </w:pPr>
      <w:r w:rsidRPr="0018063A">
        <w:t xml:space="preserve">a reference to a person who has a </w:t>
      </w:r>
      <w:proofErr w:type="gramStart"/>
      <w:r w:rsidRPr="0018063A">
        <w:t>particular protected</w:t>
      </w:r>
      <w:proofErr w:type="gramEnd"/>
      <w:r w:rsidRPr="0018063A">
        <w:t xml:space="preserve"> characteristic is a reference to a person of a particular racial group</w:t>
      </w:r>
      <w:r w:rsidR="000B0394">
        <w:t>[.]</w:t>
      </w:r>
      <w:r w:rsidR="00311F50">
        <w:t xml:space="preserve"> (Equality Act 2010, s 9)</w:t>
      </w:r>
    </w:p>
    <w:p w:rsidR="009F7232" w:rsidRDefault="00084AB8" w:rsidP="008D462D">
      <w:pPr>
        <w:spacing w:line="480" w:lineRule="auto"/>
        <w:rPr>
          <w:rFonts w:ascii="Times New Roman" w:hAnsi="Times New Roman"/>
          <w:sz w:val="24"/>
          <w:szCs w:val="24"/>
        </w:rPr>
      </w:pPr>
      <w:r>
        <w:rPr>
          <w:rFonts w:ascii="Times New Roman" w:hAnsi="Times New Roman"/>
          <w:sz w:val="24"/>
          <w:szCs w:val="24"/>
        </w:rPr>
        <w:t xml:space="preserve">It is clear from paragraph 50 of the </w:t>
      </w:r>
      <w:r w:rsidR="00681B53">
        <w:rPr>
          <w:rFonts w:ascii="Times New Roman" w:hAnsi="Times New Roman"/>
          <w:sz w:val="24"/>
          <w:szCs w:val="24"/>
        </w:rPr>
        <w:t xml:space="preserve">Explanatory Notes to the Equality Act 2010 that this definition of </w:t>
      </w:r>
      <w:r w:rsidR="007019B2">
        <w:rPr>
          <w:rFonts w:ascii="Times New Roman" w:hAnsi="Times New Roman"/>
          <w:sz w:val="24"/>
          <w:szCs w:val="24"/>
        </w:rPr>
        <w:t>“</w:t>
      </w:r>
      <w:r w:rsidR="00681B53">
        <w:rPr>
          <w:rFonts w:ascii="Times New Roman" w:hAnsi="Times New Roman"/>
          <w:sz w:val="24"/>
          <w:szCs w:val="24"/>
        </w:rPr>
        <w:t>race</w:t>
      </w:r>
      <w:r w:rsidR="007019B2">
        <w:rPr>
          <w:rFonts w:ascii="Times New Roman" w:hAnsi="Times New Roman"/>
          <w:sz w:val="24"/>
          <w:szCs w:val="24"/>
        </w:rPr>
        <w:t>”</w:t>
      </w:r>
      <w:r w:rsidR="00681B53">
        <w:rPr>
          <w:rFonts w:ascii="Times New Roman" w:hAnsi="Times New Roman"/>
          <w:sz w:val="24"/>
          <w:szCs w:val="24"/>
        </w:rPr>
        <w:t xml:space="preserve"> is not to be taken as restricting the expansive phrase</w:t>
      </w:r>
      <w:r w:rsidR="007019B2">
        <w:rPr>
          <w:rFonts w:ascii="Times New Roman" w:hAnsi="Times New Roman"/>
          <w:sz w:val="24"/>
          <w:szCs w:val="24"/>
        </w:rPr>
        <w:t xml:space="preserve"> “</w:t>
      </w:r>
      <w:r w:rsidR="00681B53">
        <w:rPr>
          <w:rFonts w:ascii="Times New Roman" w:hAnsi="Times New Roman"/>
          <w:sz w:val="24"/>
          <w:szCs w:val="24"/>
        </w:rPr>
        <w:t>on racial grounds</w:t>
      </w:r>
      <w:r w:rsidR="007019B2">
        <w:rPr>
          <w:rFonts w:ascii="Times New Roman" w:hAnsi="Times New Roman"/>
          <w:sz w:val="24"/>
          <w:szCs w:val="24"/>
        </w:rPr>
        <w:t>”</w:t>
      </w:r>
      <w:r w:rsidR="00681B53">
        <w:rPr>
          <w:rFonts w:ascii="Times New Roman" w:hAnsi="Times New Roman"/>
          <w:sz w:val="24"/>
          <w:szCs w:val="24"/>
        </w:rPr>
        <w:t xml:space="preserve"> to be found in the Race Relations Act 1976.</w:t>
      </w:r>
      <w:r w:rsidR="00557A51">
        <w:rPr>
          <w:rFonts w:ascii="Times New Roman" w:hAnsi="Times New Roman"/>
          <w:sz w:val="24"/>
          <w:szCs w:val="24"/>
        </w:rPr>
        <w:t xml:space="preserve"> I return to this point below.</w:t>
      </w:r>
    </w:p>
    <w:p w:rsidR="004A179B" w:rsidRPr="00DC0F31" w:rsidRDefault="00DC0F31" w:rsidP="00B32627">
      <w:pPr>
        <w:pStyle w:val="Heading2"/>
        <w:numPr>
          <w:ilvl w:val="0"/>
          <w:numId w:val="7"/>
        </w:numPr>
        <w:jc w:val="center"/>
        <w:rPr>
          <w:rFonts w:ascii="Times New Roman" w:hAnsi="Times New Roman"/>
          <w:b w:val="0"/>
          <w:i w:val="0"/>
          <w:szCs w:val="22"/>
        </w:rPr>
      </w:pPr>
      <w:r w:rsidRPr="00DC0F31">
        <w:rPr>
          <w:rFonts w:ascii="Times New Roman" w:hAnsi="Times New Roman"/>
          <w:b w:val="0"/>
          <w:i w:val="0"/>
          <w:szCs w:val="22"/>
        </w:rPr>
        <w:t>GROUNDS</w:t>
      </w:r>
    </w:p>
    <w:p w:rsidR="00804201" w:rsidRPr="00065C01" w:rsidRDefault="00233D37" w:rsidP="005B1D7D">
      <w:pPr>
        <w:pStyle w:val="Default"/>
        <w:spacing w:before="120" w:after="120" w:line="480" w:lineRule="auto"/>
        <w:rPr>
          <w:shd w:val="clear" w:color="auto" w:fill="FFFFFF"/>
        </w:rPr>
      </w:pPr>
      <w:r w:rsidRPr="00065C01">
        <w:t xml:space="preserve">The question arises what is meant by </w:t>
      </w:r>
      <w:r w:rsidR="007727F9" w:rsidRPr="00065C01">
        <w:t xml:space="preserve">each of these </w:t>
      </w:r>
      <w:r w:rsidR="00776D6D">
        <w:t>four</w:t>
      </w:r>
      <w:r w:rsidR="007727F9" w:rsidRPr="00065C01">
        <w:t xml:space="preserve"> formulations, </w:t>
      </w:r>
      <w:r w:rsidR="00284818">
        <w:t>“</w:t>
      </w:r>
      <w:r w:rsidR="007727F9" w:rsidRPr="00065C01">
        <w:t>on grounds of</w:t>
      </w:r>
      <w:r w:rsidR="00284818">
        <w:t>”</w:t>
      </w:r>
      <w:r w:rsidR="00776D6D">
        <w:t>,</w:t>
      </w:r>
      <w:r w:rsidR="00385B5E">
        <w:t xml:space="preserve"> </w:t>
      </w:r>
      <w:r w:rsidR="00284818">
        <w:t>“</w:t>
      </w:r>
      <w:r w:rsidR="00804201" w:rsidRPr="00065C01">
        <w:t>on the ground of</w:t>
      </w:r>
      <w:r w:rsidR="00284818">
        <w:t>”</w:t>
      </w:r>
      <w:r w:rsidR="007727F9" w:rsidRPr="00065C01">
        <w:t xml:space="preserve">, </w:t>
      </w:r>
      <w:r w:rsidR="00284818">
        <w:t>“</w:t>
      </w:r>
      <w:r w:rsidR="007727F9" w:rsidRPr="00065C01">
        <w:t>because of</w:t>
      </w:r>
      <w:r w:rsidR="00284818">
        <w:t>”</w:t>
      </w:r>
      <w:r w:rsidR="003B4E98">
        <w:t>,</w:t>
      </w:r>
      <w:r w:rsidR="007727F9" w:rsidRPr="00065C01">
        <w:t xml:space="preserve"> and </w:t>
      </w:r>
      <w:r w:rsidR="00284818">
        <w:t>“</w:t>
      </w:r>
      <w:r w:rsidR="007727F9" w:rsidRPr="00065C01">
        <w:t>the reason for</w:t>
      </w:r>
      <w:r w:rsidR="00284818">
        <w:t>”</w:t>
      </w:r>
      <w:r w:rsidRPr="00065C01">
        <w:t xml:space="preserve">. </w:t>
      </w:r>
      <w:r w:rsidR="007D5862" w:rsidRPr="00065C01">
        <w:t>In the first place</w:t>
      </w:r>
      <w:r w:rsidR="00804201" w:rsidRPr="00065C01">
        <w:t>,</w:t>
      </w:r>
      <w:r w:rsidR="007D5862" w:rsidRPr="00065C01">
        <w:t xml:space="preserve"> it seems on the face of it that </w:t>
      </w:r>
      <w:r w:rsidRPr="00065C01">
        <w:t xml:space="preserve">they </w:t>
      </w:r>
      <w:r w:rsidR="007D5862" w:rsidRPr="00065C01">
        <w:t xml:space="preserve">all </w:t>
      </w:r>
      <w:r w:rsidRPr="00065C01">
        <w:t>r</w:t>
      </w:r>
      <w:r w:rsidR="007727F9" w:rsidRPr="00065C01">
        <w:t>e</w:t>
      </w:r>
      <w:r w:rsidR="007D5862" w:rsidRPr="00065C01">
        <w:t>late</w:t>
      </w:r>
      <w:r w:rsidR="007727F9" w:rsidRPr="00065C01">
        <w:t xml:space="preserve"> to </w:t>
      </w:r>
      <w:r w:rsidRPr="00065C01">
        <w:t>a</w:t>
      </w:r>
      <w:r w:rsidR="007727F9" w:rsidRPr="00065C01">
        <w:t xml:space="preserve"> mental state of the person alleged to have discriminated.</w:t>
      </w:r>
      <w:r w:rsidR="007D5862" w:rsidRPr="00065C01">
        <w:t xml:space="preserve"> As Lord Nicholls</w:t>
      </w:r>
      <w:r w:rsidR="006545EB">
        <w:t xml:space="preserve"> </w:t>
      </w:r>
      <w:r w:rsidR="006545EB" w:rsidRPr="006545EB">
        <w:t>put it</w:t>
      </w:r>
      <w:r w:rsidR="007D5862" w:rsidRPr="00065C01">
        <w:t xml:space="preserve"> </w:t>
      </w:r>
      <w:r w:rsidR="00A976D3">
        <w:t>when</w:t>
      </w:r>
      <w:r w:rsidR="00885BC8" w:rsidRPr="00065C01">
        <w:t xml:space="preserve"> consider</w:t>
      </w:r>
      <w:r w:rsidR="00A976D3">
        <w:t>ing</w:t>
      </w:r>
      <w:r w:rsidR="00885BC8" w:rsidRPr="00065C01">
        <w:t xml:space="preserve"> the </w:t>
      </w:r>
      <w:r w:rsidR="00804201" w:rsidRPr="00065C01">
        <w:t xml:space="preserve">similar </w:t>
      </w:r>
      <w:r w:rsidR="00885BC8" w:rsidRPr="00065C01">
        <w:t xml:space="preserve">phrase </w:t>
      </w:r>
      <w:r w:rsidR="005B1D7D">
        <w:t>“</w:t>
      </w:r>
      <w:r w:rsidR="00885BC8" w:rsidRPr="00065C01">
        <w:t>by reason that</w:t>
      </w:r>
      <w:r w:rsidR="005B1D7D">
        <w:t>”</w:t>
      </w:r>
      <w:r w:rsidR="00804201" w:rsidRPr="00065C01">
        <w:t xml:space="preserve"> found in </w:t>
      </w:r>
      <w:r w:rsidR="005B1D7D">
        <w:t xml:space="preserve">section 2(1) of the </w:t>
      </w:r>
      <w:bookmarkStart w:id="8" w:name="_Hlk44498542"/>
      <w:r w:rsidR="005B1D7D" w:rsidRPr="005B1D7D">
        <w:t>Race Relations Act 1976</w:t>
      </w:r>
      <w:bookmarkEnd w:id="8"/>
      <w:r w:rsidR="00885BC8" w:rsidRPr="00065C01">
        <w:rPr>
          <w:shd w:val="clear" w:color="auto" w:fill="FFFFFF"/>
        </w:rPr>
        <w:t>:</w:t>
      </w:r>
    </w:p>
    <w:p w:rsidR="007D5862" w:rsidRPr="00065C01" w:rsidRDefault="007D5862" w:rsidP="00800124">
      <w:pPr>
        <w:pStyle w:val="Default"/>
        <w:spacing w:before="120" w:after="120" w:line="480" w:lineRule="auto"/>
        <w:ind w:left="709"/>
        <w:rPr>
          <w:color w:val="auto"/>
        </w:rPr>
      </w:pPr>
      <w:r w:rsidRPr="00065C01">
        <w:rPr>
          <w:color w:val="auto"/>
        </w:rPr>
        <w:t>Save in obvious cases, answering the crucial question will call for some consideration of the mental processes of the alleged discriminator</w:t>
      </w:r>
      <w:r w:rsidR="00885BC8" w:rsidRPr="00065C01">
        <w:rPr>
          <w:color w:val="auto"/>
        </w:rPr>
        <w:t xml:space="preserve">. Treatment, favourable or unfavourable, is a consequence which follows from a decision. </w:t>
      </w:r>
      <w:r w:rsidR="00DE596D">
        <w:rPr>
          <w:color w:val="auto"/>
        </w:rPr>
        <w:t>(</w:t>
      </w:r>
      <w:bookmarkStart w:id="9" w:name="_Hlk44498483"/>
      <w:r w:rsidR="00DE596D" w:rsidRPr="00DE596D">
        <w:rPr>
          <w:i/>
          <w:color w:val="auto"/>
        </w:rPr>
        <w:t xml:space="preserve">Nagarajan v London Regional Transport </w:t>
      </w:r>
      <w:r w:rsidR="00DE596D" w:rsidRPr="00DE596D">
        <w:rPr>
          <w:iCs/>
          <w:color w:val="auto"/>
        </w:rPr>
        <w:t>[1999</w:t>
      </w:r>
      <w:bookmarkEnd w:id="9"/>
      <w:r w:rsidR="004C4E57">
        <w:rPr>
          <w:iCs/>
          <w:color w:val="auto"/>
        </w:rPr>
        <w:t>]</w:t>
      </w:r>
      <w:r w:rsidR="00DE596D">
        <w:rPr>
          <w:iCs/>
          <w:color w:val="auto"/>
        </w:rPr>
        <w:t xml:space="preserve">: </w:t>
      </w:r>
      <w:r w:rsidR="00DE596D" w:rsidRPr="00DE596D">
        <w:rPr>
          <w:iCs/>
          <w:color w:val="auto"/>
        </w:rPr>
        <w:t>511A</w:t>
      </w:r>
      <w:r w:rsidR="00DE596D">
        <w:rPr>
          <w:iCs/>
          <w:color w:val="auto"/>
        </w:rPr>
        <w:t>)</w:t>
      </w:r>
    </w:p>
    <w:p w:rsidR="00804201" w:rsidRPr="00065C01" w:rsidRDefault="00885BC8" w:rsidP="00800124">
      <w:pPr>
        <w:pStyle w:val="Default"/>
        <w:spacing w:before="120" w:after="120" w:line="480" w:lineRule="auto"/>
        <w:rPr>
          <w:color w:val="auto"/>
        </w:rPr>
      </w:pPr>
      <w:r w:rsidRPr="00065C01">
        <w:rPr>
          <w:color w:val="auto"/>
        </w:rPr>
        <w:t>Or</w:t>
      </w:r>
      <w:r w:rsidR="00E21A63" w:rsidRPr="00065C01">
        <w:rPr>
          <w:color w:val="auto"/>
        </w:rPr>
        <w:t>,</w:t>
      </w:r>
      <w:r w:rsidRPr="00065C01">
        <w:rPr>
          <w:color w:val="auto"/>
        </w:rPr>
        <w:t xml:space="preserve"> to quote Lord Steyn from</w:t>
      </w:r>
      <w:r w:rsidR="006A6570">
        <w:rPr>
          <w:color w:val="auto"/>
        </w:rPr>
        <w:t xml:space="preserve"> </w:t>
      </w:r>
      <w:r w:rsidRPr="00065C01">
        <w:rPr>
          <w:color w:val="auto"/>
        </w:rPr>
        <w:t>the same case, direct discrimination means that the discriminator’s</w:t>
      </w:r>
    </w:p>
    <w:p w:rsidR="00885BC8" w:rsidRPr="00065C01" w:rsidRDefault="00885BC8" w:rsidP="00800124">
      <w:pPr>
        <w:pStyle w:val="Default"/>
        <w:spacing w:before="120" w:after="120" w:line="480" w:lineRule="auto"/>
        <w:ind w:left="709"/>
      </w:pPr>
      <w:r w:rsidRPr="00065C01">
        <w:rPr>
          <w:color w:val="auto"/>
        </w:rPr>
        <w:lastRenderedPageBreak/>
        <w:t>knowledge caused or influenced the discriminator to treat the victimised person less favourably than he would treat other persons. In other words, it postulates that the discriminator</w:t>
      </w:r>
      <w:r w:rsidR="00B32627">
        <w:rPr>
          <w:color w:val="auto"/>
        </w:rPr>
        <w:t>’</w:t>
      </w:r>
      <w:r w:rsidRPr="00065C01">
        <w:rPr>
          <w:color w:val="auto"/>
        </w:rPr>
        <w:t>s knowledge of the protected act had a subjective impact on his mind</w:t>
      </w:r>
      <w:r w:rsidR="001C554D" w:rsidRPr="00065C01">
        <w:rPr>
          <w:color w:val="auto"/>
        </w:rPr>
        <w:t>.</w:t>
      </w:r>
      <w:r w:rsidR="00DE596D">
        <w:rPr>
          <w:color w:val="auto"/>
        </w:rPr>
        <w:t xml:space="preserve"> (</w:t>
      </w:r>
      <w:r w:rsidR="00DE596D" w:rsidRPr="00DE596D">
        <w:rPr>
          <w:i/>
          <w:color w:val="auto"/>
        </w:rPr>
        <w:t xml:space="preserve">Nagarajan v London Regional Transport </w:t>
      </w:r>
      <w:r w:rsidR="00DE596D" w:rsidRPr="00DE596D">
        <w:rPr>
          <w:iCs/>
          <w:color w:val="auto"/>
        </w:rPr>
        <w:t>[1999</w:t>
      </w:r>
      <w:r w:rsidR="004C4E57">
        <w:rPr>
          <w:iCs/>
          <w:color w:val="auto"/>
        </w:rPr>
        <w:t>]</w:t>
      </w:r>
      <w:r w:rsidR="00DE596D" w:rsidRPr="00DE596D">
        <w:rPr>
          <w:iCs/>
          <w:color w:val="auto"/>
        </w:rPr>
        <w:t xml:space="preserve">: </w:t>
      </w:r>
      <w:r w:rsidR="00DE596D" w:rsidRPr="00DE596D">
        <w:rPr>
          <w:color w:val="auto"/>
        </w:rPr>
        <w:t>519H–520A</w:t>
      </w:r>
      <w:r w:rsidR="00DE596D">
        <w:rPr>
          <w:color w:val="auto"/>
        </w:rPr>
        <w:t>)</w:t>
      </w:r>
      <w:r w:rsidRPr="00065C01">
        <w:rPr>
          <w:color w:val="auto"/>
        </w:rPr>
        <w:t xml:space="preserve"> </w:t>
      </w:r>
      <w:r w:rsidR="007D5862" w:rsidRPr="00065C01">
        <w:t xml:space="preserve"> </w:t>
      </w:r>
    </w:p>
    <w:p w:rsidR="001C554D" w:rsidRPr="00800124" w:rsidRDefault="001C554D" w:rsidP="00800124">
      <w:pPr>
        <w:pStyle w:val="Default"/>
        <w:spacing w:before="120" w:after="120" w:line="480" w:lineRule="auto"/>
      </w:pPr>
      <w:r w:rsidRPr="00065C01">
        <w:t>Lord Browne-Wilkinson dissented from the majority in the case, b</w:t>
      </w:r>
      <w:r w:rsidR="00DE596D">
        <w:t>ut</w:t>
      </w:r>
      <w:r w:rsidR="00F56EF0">
        <w:t xml:space="preserve"> </w:t>
      </w:r>
      <w:r w:rsidRPr="00065C01">
        <w:t xml:space="preserve">he </w:t>
      </w:r>
      <w:r w:rsidR="00F56EF0">
        <w:t>agreed with the majority’s</w:t>
      </w:r>
      <w:r w:rsidRPr="00065C01">
        <w:t xml:space="preserve"> view that it called for consideration of a mental element:</w:t>
      </w:r>
    </w:p>
    <w:p w:rsidR="00E21A63" w:rsidRPr="00065C01" w:rsidRDefault="001C554D" w:rsidP="00800124">
      <w:pPr>
        <w:pStyle w:val="Default"/>
        <w:spacing w:before="120" w:after="120" w:line="480" w:lineRule="auto"/>
        <w:ind w:left="709"/>
      </w:pPr>
      <w:r w:rsidRPr="00065C01">
        <w:rPr>
          <w:color w:val="auto"/>
        </w:rPr>
        <w:t>This is a wholly subjective question directed specifically to the mental state of the alleged discriminator: why did he treat the claimant less favourably?</w:t>
      </w:r>
      <w:r w:rsidR="00E21A63" w:rsidRPr="00065C01">
        <w:rPr>
          <w:color w:val="auto"/>
        </w:rPr>
        <w:t xml:space="preserve"> </w:t>
      </w:r>
      <w:r w:rsidR="00E21A63" w:rsidRPr="00065C01">
        <w:t>[...]</w:t>
      </w:r>
    </w:p>
    <w:p w:rsidR="00DF34FB" w:rsidRDefault="0041113C" w:rsidP="00800124">
      <w:pPr>
        <w:pStyle w:val="Default"/>
        <w:spacing w:before="120" w:after="120" w:line="480" w:lineRule="auto"/>
        <w:ind w:left="709"/>
        <w:rPr>
          <w:color w:val="auto"/>
        </w:rPr>
      </w:pPr>
      <w:r>
        <w:rPr>
          <w:color w:val="auto"/>
        </w:rPr>
        <w:tab/>
      </w:r>
    </w:p>
    <w:p w:rsidR="00E21A63" w:rsidRPr="00065C01" w:rsidRDefault="00E21A63" w:rsidP="00800124">
      <w:pPr>
        <w:pStyle w:val="Default"/>
        <w:spacing w:before="120" w:after="120" w:line="480" w:lineRule="auto"/>
        <w:ind w:left="709"/>
      </w:pPr>
      <w:proofErr w:type="gramStart"/>
      <w:r w:rsidRPr="00065C01">
        <w:rPr>
          <w:color w:val="auto"/>
        </w:rPr>
        <w:t>Thus</w:t>
      </w:r>
      <w:proofErr w:type="gramEnd"/>
      <w:r w:rsidRPr="00065C01">
        <w:rPr>
          <w:color w:val="auto"/>
        </w:rPr>
        <w:t xml:space="preserve"> the question is essentially a subjective one: why did the alleged discriminator act as he did? My Lords, it is this very clarity of the statutory words which require the court to determine the reason why the alleged discriminator treated the claimant less favourably that makes it difficult to understand why in some of the authorities and in your Lordships’ judgments the question is often posed, not subjectively, but objectively. […]</w:t>
      </w:r>
    </w:p>
    <w:p w:rsidR="00DF34FB" w:rsidRDefault="0041113C" w:rsidP="00800124">
      <w:pPr>
        <w:pStyle w:val="Default"/>
        <w:spacing w:before="120" w:after="120" w:line="480" w:lineRule="auto"/>
        <w:ind w:left="709"/>
        <w:rPr>
          <w:color w:val="auto"/>
        </w:rPr>
      </w:pPr>
      <w:r>
        <w:rPr>
          <w:color w:val="auto"/>
        </w:rPr>
        <w:tab/>
      </w:r>
    </w:p>
    <w:p w:rsidR="00E21A63" w:rsidRPr="00065C01" w:rsidRDefault="00E21A63" w:rsidP="00800124">
      <w:pPr>
        <w:pStyle w:val="Default"/>
        <w:spacing w:before="120" w:after="120" w:line="480" w:lineRule="auto"/>
        <w:ind w:left="709"/>
        <w:rPr>
          <w:color w:val="auto"/>
        </w:rPr>
      </w:pPr>
      <w:r w:rsidRPr="00065C01">
        <w:rPr>
          <w:color w:val="auto"/>
        </w:rPr>
        <w:t>Parliament has, in introducing legislation to outlaw discrimination on grounds of sex or race, expressly required the court to investigate the reasons which have led the alleged discriminator to take the steps which he did. This is not surprising since this was pioneering legislation designed to produce a social, as much as a legal, change. The only yardstick (in the field of direct discrimination) must be the mental state of the alleged discriminator. […]</w:t>
      </w:r>
    </w:p>
    <w:p w:rsidR="00DF34FB" w:rsidRDefault="0041113C" w:rsidP="00800124">
      <w:pPr>
        <w:pStyle w:val="Default"/>
        <w:spacing w:before="120" w:after="120" w:line="480" w:lineRule="auto"/>
        <w:ind w:left="709"/>
        <w:rPr>
          <w:color w:val="auto"/>
        </w:rPr>
      </w:pPr>
      <w:r>
        <w:rPr>
          <w:color w:val="auto"/>
        </w:rPr>
        <w:tab/>
      </w:r>
    </w:p>
    <w:p w:rsidR="00DF34FB" w:rsidRDefault="00DF34FB" w:rsidP="00800124">
      <w:pPr>
        <w:pStyle w:val="Default"/>
        <w:spacing w:before="120" w:after="120" w:line="480" w:lineRule="auto"/>
        <w:ind w:left="709"/>
        <w:rPr>
          <w:color w:val="auto"/>
        </w:rPr>
      </w:pPr>
    </w:p>
    <w:p w:rsidR="00166CC1" w:rsidRDefault="00E21A63" w:rsidP="00800124">
      <w:pPr>
        <w:pStyle w:val="Default"/>
        <w:spacing w:before="120" w:after="120" w:line="480" w:lineRule="auto"/>
        <w:ind w:left="709"/>
      </w:pPr>
      <w:r w:rsidRPr="00065C01">
        <w:rPr>
          <w:color w:val="auto"/>
        </w:rPr>
        <w:t>There is no escape from the difficulties inherent in examining the minds of the parties</w:t>
      </w:r>
      <w:r w:rsidR="00A57690" w:rsidRPr="00065C01">
        <w:rPr>
          <w:color w:val="auto"/>
        </w:rPr>
        <w:t>.</w:t>
      </w:r>
      <w:r w:rsidR="00DE596D">
        <w:rPr>
          <w:color w:val="auto"/>
        </w:rPr>
        <w:t xml:space="preserve"> (</w:t>
      </w:r>
      <w:r w:rsidR="00DE596D" w:rsidRPr="00DE596D">
        <w:rPr>
          <w:i/>
          <w:color w:val="auto"/>
        </w:rPr>
        <w:t xml:space="preserve">Nagarajan v London Regional Transport </w:t>
      </w:r>
      <w:r w:rsidR="00DE596D" w:rsidRPr="00DE596D">
        <w:rPr>
          <w:iCs/>
          <w:color w:val="auto"/>
        </w:rPr>
        <w:t>[1999</w:t>
      </w:r>
      <w:r w:rsidR="004C4E57">
        <w:rPr>
          <w:iCs/>
          <w:color w:val="auto"/>
        </w:rPr>
        <w:t>]</w:t>
      </w:r>
      <w:r w:rsidR="00DE596D" w:rsidRPr="00DE596D">
        <w:rPr>
          <w:iCs/>
          <w:color w:val="auto"/>
        </w:rPr>
        <w:t>:</w:t>
      </w:r>
      <w:r w:rsidR="00DE596D">
        <w:rPr>
          <w:iCs/>
          <w:color w:val="auto"/>
        </w:rPr>
        <w:t xml:space="preserve"> </w:t>
      </w:r>
      <w:r w:rsidR="00DE596D" w:rsidRPr="00DE596D">
        <w:rPr>
          <w:color w:val="auto"/>
        </w:rPr>
        <w:t>507E, 508D–E, 509E, and 509F</w:t>
      </w:r>
      <w:r w:rsidR="00DE596D">
        <w:rPr>
          <w:color w:val="auto"/>
        </w:rPr>
        <w:t>)</w:t>
      </w:r>
    </w:p>
    <w:p w:rsidR="00773132" w:rsidRDefault="00773132" w:rsidP="00800124">
      <w:pPr>
        <w:pStyle w:val="Default"/>
        <w:spacing w:before="120" w:after="120" w:line="480" w:lineRule="auto"/>
      </w:pPr>
    </w:p>
    <w:p w:rsidR="00F351B1" w:rsidRPr="00065C01" w:rsidRDefault="00E21A63" w:rsidP="00800124">
      <w:pPr>
        <w:pStyle w:val="Default"/>
        <w:spacing w:before="120" w:after="120" w:line="480" w:lineRule="auto"/>
      </w:pPr>
      <w:r w:rsidRPr="00065C01">
        <w:t xml:space="preserve">There has been less </w:t>
      </w:r>
      <w:r w:rsidR="00DC1F63" w:rsidRPr="00065C01">
        <w:t>judicial attempt to delineate precisely what the mental element should be, but Finnis</w:t>
      </w:r>
      <w:r w:rsidR="00DF3C5F">
        <w:t xml:space="preserve"> (2011</w:t>
      </w:r>
      <w:r w:rsidR="00C70B17">
        <w:t>: 269</w:t>
      </w:r>
      <w:r w:rsidR="00DF3C5F">
        <w:t>)</w:t>
      </w:r>
      <w:r w:rsidR="00DC1F63" w:rsidRPr="00065C01">
        <w:t xml:space="preserve"> has advanced </w:t>
      </w:r>
      <w:r w:rsidR="00166CC1">
        <w:t>an</w:t>
      </w:r>
      <w:r w:rsidR="00DC1F63" w:rsidRPr="00065C01">
        <w:t xml:space="preserve"> interpretation of </w:t>
      </w:r>
      <w:r w:rsidR="00773132">
        <w:t>“</w:t>
      </w:r>
      <w:r w:rsidR="00141A19" w:rsidRPr="00065C01">
        <w:t>grounds</w:t>
      </w:r>
      <w:r w:rsidR="00773132">
        <w:t>”</w:t>
      </w:r>
      <w:r w:rsidR="00166CC1">
        <w:t xml:space="preserve"> that I find compelling</w:t>
      </w:r>
      <w:r w:rsidR="00DC1F63" w:rsidRPr="00065C01">
        <w:t>:</w:t>
      </w:r>
    </w:p>
    <w:p w:rsidR="00F351B1" w:rsidRPr="00065C01" w:rsidRDefault="00141A19" w:rsidP="00800124">
      <w:pPr>
        <w:autoSpaceDE w:val="0"/>
        <w:autoSpaceDN w:val="0"/>
        <w:adjustRightInd w:val="0"/>
        <w:spacing w:before="120" w:after="120" w:line="480" w:lineRule="auto"/>
        <w:ind w:left="709"/>
        <w:rPr>
          <w:rFonts w:ascii="Times New Roman" w:hAnsi="Times New Roman"/>
          <w:sz w:val="24"/>
          <w:szCs w:val="24"/>
        </w:rPr>
      </w:pPr>
      <w:r w:rsidRPr="00065C01">
        <w:rPr>
          <w:rFonts w:ascii="Times New Roman" w:hAnsi="Times New Roman"/>
          <w:sz w:val="24"/>
          <w:szCs w:val="24"/>
          <w:lang w:eastAsia="en-GB"/>
        </w:rPr>
        <w:t xml:space="preserve">Acting </w:t>
      </w:r>
      <w:r w:rsidR="00773132">
        <w:rPr>
          <w:rFonts w:ascii="Times New Roman" w:hAnsi="Times New Roman"/>
          <w:sz w:val="24"/>
          <w:szCs w:val="24"/>
          <w:lang w:eastAsia="en-GB"/>
        </w:rPr>
        <w:t>“</w:t>
      </w:r>
      <w:r w:rsidRPr="00065C01">
        <w:rPr>
          <w:rFonts w:ascii="Times New Roman" w:hAnsi="Times New Roman"/>
          <w:sz w:val="24"/>
          <w:szCs w:val="24"/>
          <w:lang w:eastAsia="en-GB"/>
        </w:rPr>
        <w:t>on the grounds of</w:t>
      </w:r>
      <w:r w:rsidR="00773132">
        <w:rPr>
          <w:rFonts w:ascii="Times New Roman" w:hAnsi="Times New Roman"/>
          <w:sz w:val="24"/>
          <w:szCs w:val="24"/>
          <w:lang w:eastAsia="en-GB"/>
        </w:rPr>
        <w:t>”</w:t>
      </w:r>
      <w:r w:rsidRPr="00065C01">
        <w:rPr>
          <w:rFonts w:ascii="Times New Roman" w:hAnsi="Times New Roman"/>
          <w:sz w:val="24"/>
          <w:szCs w:val="24"/>
          <w:lang w:eastAsia="en-GB"/>
        </w:rPr>
        <w:t xml:space="preserve"> X means that X</w:t>
      </w:r>
      <w:r w:rsidR="00DC1F63" w:rsidRPr="00065C01">
        <w:rPr>
          <w:rFonts w:ascii="Times New Roman" w:hAnsi="Times New Roman"/>
          <w:sz w:val="24"/>
          <w:szCs w:val="24"/>
          <w:lang w:eastAsia="en-GB"/>
        </w:rPr>
        <w:t xml:space="preserve"> </w:t>
      </w:r>
      <w:proofErr w:type="gramStart"/>
      <w:r w:rsidRPr="00065C01">
        <w:rPr>
          <w:rFonts w:ascii="Times New Roman" w:hAnsi="Times New Roman"/>
          <w:sz w:val="24"/>
          <w:szCs w:val="24"/>
          <w:lang w:eastAsia="en-GB"/>
        </w:rPr>
        <w:t>enters into</w:t>
      </w:r>
      <w:proofErr w:type="gramEnd"/>
      <w:r w:rsidRPr="00065C01">
        <w:rPr>
          <w:rFonts w:ascii="Times New Roman" w:hAnsi="Times New Roman"/>
          <w:sz w:val="24"/>
          <w:szCs w:val="24"/>
          <w:lang w:eastAsia="en-GB"/>
        </w:rPr>
        <w:t xml:space="preserve"> the acting person</w:t>
      </w:r>
      <w:r w:rsidR="00F351B1" w:rsidRPr="00065C01">
        <w:rPr>
          <w:rFonts w:ascii="Times New Roman" w:hAnsi="Times New Roman"/>
          <w:sz w:val="24"/>
          <w:szCs w:val="24"/>
          <w:lang w:eastAsia="en-GB"/>
        </w:rPr>
        <w:t>’s or body’</w:t>
      </w:r>
      <w:r w:rsidRPr="00065C01">
        <w:rPr>
          <w:rFonts w:ascii="Times New Roman" w:hAnsi="Times New Roman"/>
          <w:sz w:val="24"/>
          <w:szCs w:val="24"/>
          <w:lang w:eastAsia="en-GB"/>
        </w:rPr>
        <w:t>s deliberation in such a way as to affect that</w:t>
      </w:r>
      <w:r w:rsidR="00DC1F63" w:rsidRPr="00065C01">
        <w:rPr>
          <w:rFonts w:ascii="Times New Roman" w:hAnsi="Times New Roman"/>
          <w:sz w:val="24"/>
          <w:szCs w:val="24"/>
          <w:lang w:eastAsia="en-GB"/>
        </w:rPr>
        <w:t xml:space="preserve"> </w:t>
      </w:r>
      <w:r w:rsidRPr="00065C01">
        <w:rPr>
          <w:rFonts w:ascii="Times New Roman" w:hAnsi="Times New Roman"/>
          <w:sz w:val="24"/>
          <w:szCs w:val="24"/>
        </w:rPr>
        <w:t>person</w:t>
      </w:r>
      <w:r w:rsidR="00E21A63" w:rsidRPr="00065C01">
        <w:rPr>
          <w:rFonts w:ascii="Times New Roman" w:hAnsi="Times New Roman"/>
          <w:sz w:val="24"/>
          <w:szCs w:val="24"/>
        </w:rPr>
        <w:t>’</w:t>
      </w:r>
      <w:r w:rsidRPr="00065C01">
        <w:rPr>
          <w:rFonts w:ascii="Times New Roman" w:hAnsi="Times New Roman"/>
          <w:sz w:val="24"/>
          <w:szCs w:val="24"/>
        </w:rPr>
        <w:t>s selection of means and/or ends</w:t>
      </w:r>
      <w:r w:rsidR="00AA428F">
        <w:rPr>
          <w:rFonts w:ascii="Times New Roman" w:hAnsi="Times New Roman"/>
          <w:sz w:val="24"/>
          <w:szCs w:val="24"/>
        </w:rPr>
        <w:t>.</w:t>
      </w:r>
    </w:p>
    <w:p w:rsidR="00F351B1" w:rsidRPr="00065C01" w:rsidRDefault="00141A19" w:rsidP="00194F13">
      <w:pPr>
        <w:pStyle w:val="Default"/>
        <w:spacing w:before="120" w:after="120" w:line="480" w:lineRule="auto"/>
      </w:pPr>
      <w:r w:rsidRPr="00065C01">
        <w:t>Fi</w:t>
      </w:r>
      <w:r w:rsidR="005E6A2D">
        <w:t>nnis</w:t>
      </w:r>
      <w:r w:rsidR="00506585">
        <w:t xml:space="preserve"> (2011</w:t>
      </w:r>
      <w:r w:rsidR="00287823">
        <w:t>: 275</w:t>
      </w:r>
      <w:r w:rsidR="00506585">
        <w:t>)</w:t>
      </w:r>
      <w:r w:rsidR="005E6A2D">
        <w:t xml:space="preserve"> also discusses the phrase </w:t>
      </w:r>
      <w:r w:rsidR="00773132">
        <w:t>“</w:t>
      </w:r>
      <w:r w:rsidRPr="00065C01">
        <w:t>because of</w:t>
      </w:r>
      <w:r w:rsidR="00773132">
        <w:t>”</w:t>
      </w:r>
      <w:r w:rsidR="00166CC1">
        <w:t>, which</w:t>
      </w:r>
      <w:r w:rsidRPr="00065C01">
        <w:t xml:space="preserve"> has now replaced </w:t>
      </w:r>
      <w:r w:rsidR="00773132">
        <w:t>“</w:t>
      </w:r>
      <w:r w:rsidRPr="00065C01">
        <w:t>on grounds of</w:t>
      </w:r>
      <w:r w:rsidR="00773132">
        <w:t>”</w:t>
      </w:r>
      <w:r w:rsidR="00F351B1" w:rsidRPr="00065C01">
        <w:t xml:space="preserve"> in the definition of direct discrimination</w:t>
      </w:r>
      <w:r w:rsidRPr="00065C01">
        <w:t>:</w:t>
      </w:r>
    </w:p>
    <w:p w:rsidR="004767B7" w:rsidRPr="00194F13" w:rsidRDefault="00141A19" w:rsidP="00194F13">
      <w:pPr>
        <w:autoSpaceDE w:val="0"/>
        <w:autoSpaceDN w:val="0"/>
        <w:adjustRightInd w:val="0"/>
        <w:spacing w:before="120" w:after="120" w:line="480" w:lineRule="auto"/>
        <w:ind w:left="709"/>
        <w:rPr>
          <w:rFonts w:ascii="Times New Roman" w:hAnsi="Times New Roman"/>
          <w:sz w:val="24"/>
          <w:szCs w:val="24"/>
        </w:rPr>
      </w:pPr>
      <w:r w:rsidRPr="00065C01">
        <w:rPr>
          <w:rFonts w:ascii="Times New Roman" w:hAnsi="Times New Roman"/>
          <w:sz w:val="24"/>
          <w:szCs w:val="24"/>
          <w:lang w:eastAsia="en-GB"/>
        </w:rPr>
        <w:t>the definition’s concern with why (</w:t>
      </w:r>
      <w:r w:rsidR="00E46D4C">
        <w:rPr>
          <w:rFonts w:ascii="Times New Roman" w:hAnsi="Times New Roman"/>
          <w:sz w:val="24"/>
          <w:szCs w:val="24"/>
          <w:lang w:eastAsia="en-GB"/>
        </w:rPr>
        <w:t>“</w:t>
      </w:r>
      <w:r w:rsidRPr="00065C01">
        <w:rPr>
          <w:rFonts w:ascii="Times New Roman" w:hAnsi="Times New Roman"/>
          <w:sz w:val="24"/>
          <w:szCs w:val="24"/>
          <w:lang w:eastAsia="en-GB"/>
        </w:rPr>
        <w:t>because of</w:t>
      </w:r>
      <w:r w:rsidR="00E46D4C">
        <w:rPr>
          <w:rFonts w:ascii="Times New Roman" w:hAnsi="Times New Roman"/>
          <w:sz w:val="24"/>
          <w:szCs w:val="24"/>
          <w:lang w:eastAsia="en-GB"/>
        </w:rPr>
        <w:t>”</w:t>
      </w:r>
      <w:r w:rsidR="005E6A2D">
        <w:rPr>
          <w:rFonts w:ascii="Times New Roman" w:hAnsi="Times New Roman"/>
          <w:sz w:val="24"/>
          <w:szCs w:val="24"/>
          <w:lang w:eastAsia="en-GB"/>
        </w:rPr>
        <w:t xml:space="preserve"> </w:t>
      </w:r>
      <w:r w:rsidRPr="00065C01">
        <w:rPr>
          <w:rFonts w:ascii="Times New Roman" w:hAnsi="Times New Roman"/>
          <w:sz w:val="24"/>
          <w:szCs w:val="24"/>
          <w:lang w:eastAsia="en-GB"/>
        </w:rPr>
        <w:t>what) A treated B less favourably, rather than with what factors contributed to the impact of A’s conduct on B, indicates that a decision-making body’s treatment of B cannot rightly be judged direct discrimination unless at least one step in the body’s actual, motivating reasoning towards decision refers to a protected characteristic.</w:t>
      </w:r>
    </w:p>
    <w:p w:rsidR="003536E3" w:rsidRDefault="003536E3" w:rsidP="00194F13">
      <w:pPr>
        <w:pStyle w:val="Default"/>
        <w:spacing w:before="120" w:after="120" w:line="480" w:lineRule="auto"/>
      </w:pPr>
      <w:r>
        <w:t>Finnis</w:t>
      </w:r>
      <w:r w:rsidR="00AA428F">
        <w:t xml:space="preserve"> (2011</w:t>
      </w:r>
      <w:r w:rsidR="00287823">
        <w:t>: 274</w:t>
      </w:r>
      <w:r w:rsidR="00AA428F">
        <w:t>)</w:t>
      </w:r>
      <w:r>
        <w:t xml:space="preserve"> </w:t>
      </w:r>
      <w:r w:rsidR="00233FAA">
        <w:t xml:space="preserve">links together the </w:t>
      </w:r>
      <w:proofErr w:type="gramStart"/>
      <w:r w:rsidR="00233FAA">
        <w:t>various different</w:t>
      </w:r>
      <w:proofErr w:type="gramEnd"/>
      <w:r w:rsidR="00233FAA">
        <w:t xml:space="preserve"> judicial descriptions of the mental state relevant to judgments of discrimination as follows</w:t>
      </w:r>
      <w:r>
        <w:t>:</w:t>
      </w:r>
    </w:p>
    <w:p w:rsidR="003536E3" w:rsidRDefault="003536E3" w:rsidP="002C6674">
      <w:pPr>
        <w:pStyle w:val="Default"/>
        <w:spacing w:before="120" w:after="120" w:line="480" w:lineRule="auto"/>
        <w:ind w:left="709"/>
      </w:pPr>
      <w:r w:rsidRPr="003536E3">
        <w:rPr>
          <w:i/>
          <w:iCs/>
        </w:rPr>
        <w:t xml:space="preserve">Anything </w:t>
      </w:r>
      <w:r w:rsidRPr="003536E3">
        <w:t>which (even very reluctantly) you count—and</w:t>
      </w:r>
      <w:r>
        <w:t xml:space="preserve"> </w:t>
      </w:r>
      <w:r w:rsidRPr="003536E3">
        <w:rPr>
          <w:i/>
          <w:iCs/>
        </w:rPr>
        <w:t xml:space="preserve">only </w:t>
      </w:r>
      <w:r w:rsidRPr="003536E3">
        <w:t>what you count—in favour of behaving the way you do appears (under the</w:t>
      </w:r>
      <w:r>
        <w:t xml:space="preserve"> </w:t>
      </w:r>
      <w:r w:rsidRPr="003536E3">
        <w:t>description it has in your actual practical reasoning) in the adequate account of your</w:t>
      </w:r>
      <w:r>
        <w:t xml:space="preserve"> </w:t>
      </w:r>
      <w:r w:rsidRPr="003536E3">
        <w:t>grounds = motives = intentions = ends = means (and thus of your action)</w:t>
      </w:r>
      <w:r w:rsidR="001C6C10">
        <w:t>.</w:t>
      </w:r>
    </w:p>
    <w:p w:rsidR="00EE1E5F" w:rsidRDefault="00233FAA" w:rsidP="00194F13">
      <w:pPr>
        <w:pStyle w:val="Default"/>
        <w:spacing w:before="120" w:after="120" w:line="480" w:lineRule="auto"/>
      </w:pPr>
      <w:r w:rsidRPr="00233FAA">
        <w:t xml:space="preserve">So, to act on something as a ground, the thing </w:t>
      </w:r>
      <w:proofErr w:type="gramStart"/>
      <w:r w:rsidRPr="00233FAA">
        <w:t>has to</w:t>
      </w:r>
      <w:proofErr w:type="gramEnd"/>
      <w:r w:rsidRPr="00233FAA">
        <w:t xml:space="preserve"> motivate one to act in that way</w:t>
      </w:r>
      <w:r w:rsidR="009B0153">
        <w:t>, and all such mental motivations are grounds</w:t>
      </w:r>
      <w:r w:rsidRPr="00233FAA">
        <w:t>.</w:t>
      </w:r>
      <w:r w:rsidR="009B0153">
        <w:t xml:space="preserve"> </w:t>
      </w:r>
      <w:r w:rsidR="00CC3A80">
        <w:t xml:space="preserve">The above considerations do not turn just on the </w:t>
      </w:r>
      <w:r w:rsidR="00CC3A80">
        <w:lastRenderedPageBreak/>
        <w:t xml:space="preserve">meaning of the word </w:t>
      </w:r>
      <w:r w:rsidR="00AA428F">
        <w:t>“</w:t>
      </w:r>
      <w:r w:rsidR="00CC3A80">
        <w:t>ground</w:t>
      </w:r>
      <w:r w:rsidR="00AA428F">
        <w:t>”</w:t>
      </w:r>
      <w:r w:rsidR="00CC3A80">
        <w:t xml:space="preserve">. The word </w:t>
      </w:r>
      <w:r w:rsidR="00AA428F">
        <w:t>“</w:t>
      </w:r>
      <w:r w:rsidR="00CC3A80">
        <w:t>on</w:t>
      </w:r>
      <w:r w:rsidR="00AA428F">
        <w:t>”</w:t>
      </w:r>
      <w:r w:rsidR="00CC3A80">
        <w:t xml:space="preserve"> is also relevant: if one acts </w:t>
      </w:r>
      <w:r w:rsidR="00CC3A80">
        <w:rPr>
          <w:i/>
        </w:rPr>
        <w:t>on</w:t>
      </w:r>
      <w:r w:rsidR="00CC3A80">
        <w:t xml:space="preserve"> something</w:t>
      </w:r>
      <w:r w:rsidR="003703B4">
        <w:t>,</w:t>
      </w:r>
      <w:r w:rsidR="00CC3A80">
        <w:t xml:space="preserve"> that means that one makes the thing one’s own, one’s motivating ground or reason.</w:t>
      </w:r>
    </w:p>
    <w:p w:rsidR="00AB338C" w:rsidRDefault="00AB338C" w:rsidP="00194F13">
      <w:pPr>
        <w:pStyle w:val="Default"/>
        <w:spacing w:before="120" w:after="120" w:line="480" w:lineRule="auto"/>
      </w:pPr>
    </w:p>
    <w:p w:rsidR="00871255" w:rsidRDefault="00871255" w:rsidP="00194F13">
      <w:pPr>
        <w:pStyle w:val="Default"/>
        <w:spacing w:before="120" w:after="120" w:line="480" w:lineRule="auto"/>
      </w:pPr>
      <w:r>
        <w:t>John Gardner</w:t>
      </w:r>
      <w:r w:rsidR="0023516D">
        <w:t xml:space="preserve"> (1998</w:t>
      </w:r>
      <w:r w:rsidR="00287823">
        <w:t>: 182</w:t>
      </w:r>
      <w:r w:rsidR="0023516D">
        <w:t>)</w:t>
      </w:r>
      <w:r>
        <w:t xml:space="preserve"> goes further than Finnis in s</w:t>
      </w:r>
      <w:r w:rsidR="008F5150">
        <w:t>uggest</w:t>
      </w:r>
      <w:r>
        <w:t xml:space="preserve">ing that </w:t>
      </w:r>
      <w:r w:rsidR="00B13E9F">
        <w:t xml:space="preserve">only </w:t>
      </w:r>
      <w:r w:rsidR="00137ACF">
        <w:t xml:space="preserve">the </w:t>
      </w:r>
      <w:r w:rsidR="00C17DA6">
        <w:t>“</w:t>
      </w:r>
      <w:r w:rsidR="00137ACF">
        <w:t>operative</w:t>
      </w:r>
      <w:r w:rsidR="00C17DA6">
        <w:t>”</w:t>
      </w:r>
      <w:r w:rsidR="00137ACF">
        <w:t xml:space="preserve"> </w:t>
      </w:r>
      <w:proofErr w:type="spellStart"/>
      <w:r w:rsidR="00137ACF">
        <w:t>premisses</w:t>
      </w:r>
      <w:proofErr w:type="spellEnd"/>
      <w:r w:rsidR="00137ACF">
        <w:t xml:space="preserve"> in one’s reasoning are motivating and so relevant for the purposes of discrimination law</w:t>
      </w:r>
      <w:r w:rsidR="00190C3D">
        <w:t>:</w:t>
      </w:r>
    </w:p>
    <w:p w:rsidR="00190C3D" w:rsidRPr="00CC3A80" w:rsidRDefault="00C17DA6" w:rsidP="004B2371">
      <w:pPr>
        <w:pStyle w:val="Default"/>
        <w:spacing w:before="120" w:after="120" w:line="480" w:lineRule="auto"/>
        <w:ind w:left="709"/>
      </w:pPr>
      <w:r>
        <w:t>“</w:t>
      </w:r>
      <w:r w:rsidR="00190C3D" w:rsidRPr="00190C3D">
        <w:t>on the ground that</w:t>
      </w:r>
      <w:r>
        <w:t>”</w:t>
      </w:r>
      <w:r w:rsidR="00190C3D" w:rsidRPr="00190C3D">
        <w:t xml:space="preserve"> </w:t>
      </w:r>
      <w:r w:rsidR="00190C3D">
        <w:t xml:space="preserve">[…] </w:t>
      </w:r>
      <w:r w:rsidR="00190C3D" w:rsidRPr="00190C3D">
        <w:t xml:space="preserve">refers to the operative rather than the auxiliary </w:t>
      </w:r>
      <w:proofErr w:type="spellStart"/>
      <w:r w:rsidR="00190C3D" w:rsidRPr="00190C3D">
        <w:t>premisses</w:t>
      </w:r>
      <w:proofErr w:type="spellEnd"/>
      <w:r w:rsidR="00190C3D" w:rsidRPr="00190C3D">
        <w:t xml:space="preserve"> of the discriminator</w:t>
      </w:r>
      <w:r w:rsidR="004B2371">
        <w:t>’</w:t>
      </w:r>
      <w:r w:rsidR="00190C3D" w:rsidRPr="00190C3D">
        <w:t>s reasoning</w:t>
      </w:r>
      <w:r w:rsidR="004B2371">
        <w:t xml:space="preserve"> […] </w:t>
      </w:r>
      <w:r w:rsidR="00190C3D" w:rsidRPr="00190C3D">
        <w:t xml:space="preserve">since an auxiliary </w:t>
      </w:r>
      <w:proofErr w:type="spellStart"/>
      <w:r w:rsidR="00190C3D" w:rsidRPr="00190C3D">
        <w:t>premiss</w:t>
      </w:r>
      <w:proofErr w:type="spellEnd"/>
      <w:r w:rsidR="00190C3D" w:rsidRPr="00190C3D">
        <w:t xml:space="preserve"> has only an</w:t>
      </w:r>
      <w:r w:rsidR="007169E1">
        <w:t xml:space="preserve"> </w:t>
      </w:r>
      <w:r w:rsidR="00190C3D" w:rsidRPr="00190C3D">
        <w:t>informational and not a motivational role in one</w:t>
      </w:r>
      <w:r w:rsidR="00190C3D">
        <w:t>’</w:t>
      </w:r>
      <w:r w:rsidR="00190C3D" w:rsidRPr="00190C3D">
        <w:t>s thinking.</w:t>
      </w:r>
    </w:p>
    <w:p w:rsidR="004D5599" w:rsidRDefault="005A303C" w:rsidP="00194F13">
      <w:pPr>
        <w:pStyle w:val="Default"/>
        <w:spacing w:before="120" w:after="120" w:line="480" w:lineRule="auto"/>
      </w:pPr>
      <w:r>
        <w:t>One problem with this</w:t>
      </w:r>
      <w:r w:rsidR="005361A0">
        <w:t xml:space="preserve"> </w:t>
      </w:r>
      <w:r>
        <w:t>is that</w:t>
      </w:r>
      <w:r w:rsidR="00EC5B1C">
        <w:t xml:space="preserve"> in real-life cases of direct discrimination</w:t>
      </w:r>
      <w:r>
        <w:t xml:space="preserve"> it is not a hard-and-fast matter </w:t>
      </w:r>
      <w:r w:rsidR="00156EBC">
        <w:t>how to divide up the reasoning into</w:t>
      </w:r>
      <w:r>
        <w:t xml:space="preserve"> </w:t>
      </w:r>
      <w:r w:rsidR="00C17DA6">
        <w:t>“</w:t>
      </w:r>
      <w:r>
        <w:t>auxiliary</w:t>
      </w:r>
      <w:r w:rsidR="00C17DA6">
        <w:t>”</w:t>
      </w:r>
      <w:r>
        <w:t xml:space="preserve"> and </w:t>
      </w:r>
      <w:r w:rsidR="00C17DA6">
        <w:t>“</w:t>
      </w:r>
      <w:r>
        <w:t>operative</w:t>
      </w:r>
      <w:r w:rsidR="00C17DA6">
        <w:t>”</w:t>
      </w:r>
      <w:r w:rsidR="00156EBC">
        <w:t xml:space="preserve"> </w:t>
      </w:r>
      <w:proofErr w:type="spellStart"/>
      <w:r w:rsidR="00156EBC">
        <w:t>premisses</w:t>
      </w:r>
      <w:proofErr w:type="spellEnd"/>
      <w:r>
        <w:t>.</w:t>
      </w:r>
      <w:r w:rsidR="004D5599">
        <w:t xml:space="preserve"> Gardner</w:t>
      </w:r>
      <w:r w:rsidR="00861453">
        <w:t xml:space="preserve"> (2014, personal communication, </w:t>
      </w:r>
      <w:r w:rsidR="00861453" w:rsidRPr="00861453">
        <w:t>25 July</w:t>
      </w:r>
      <w:r w:rsidR="00861453">
        <w:t>)</w:t>
      </w:r>
      <w:r w:rsidR="004D5599">
        <w:t xml:space="preserve"> gives this example of</w:t>
      </w:r>
      <w:r w:rsidR="006B5EBB">
        <w:t xml:space="preserve"> the thinking of </w:t>
      </w:r>
      <w:r w:rsidR="004D5599">
        <w:t>a hypothetical employer</w:t>
      </w:r>
      <w:r w:rsidR="006B5EBB">
        <w:t>:</w:t>
      </w:r>
    </w:p>
    <w:p w:rsidR="00714DD0" w:rsidRPr="00714DD0" w:rsidRDefault="00672B69" w:rsidP="006B5EBB">
      <w:pPr>
        <w:pStyle w:val="Default"/>
        <w:spacing w:before="120" w:after="120" w:line="480" w:lineRule="auto"/>
        <w:ind w:left="993"/>
      </w:pPr>
      <w:r>
        <w:t>I</w:t>
      </w:r>
      <w:r w:rsidR="00714DD0" w:rsidRPr="00714DD0">
        <w:br/>
        <w:t>(1) Every one of my employees engaging in conduct forbidden by my religious authority should be sacked by me</w:t>
      </w:r>
      <w:r w:rsidR="006B5EBB">
        <w:t>.</w:t>
      </w:r>
      <w:r w:rsidR="00714DD0" w:rsidRPr="00714DD0">
        <w:br/>
        <w:t>(2) Everyone in a homosexual relationship is engaging in conduct forbidden by my religious authority</w:t>
      </w:r>
      <w:r w:rsidR="006B5EBB">
        <w:t>.</w:t>
      </w:r>
    </w:p>
    <w:p w:rsidR="006B5EBB" w:rsidRDefault="00714DD0" w:rsidP="006B5EBB">
      <w:pPr>
        <w:pStyle w:val="Default"/>
        <w:spacing w:before="120" w:after="120" w:line="480" w:lineRule="auto"/>
        <w:ind w:left="993"/>
      </w:pPr>
      <w:r w:rsidRPr="00714DD0">
        <w:t>Therefore</w:t>
      </w:r>
      <w:r w:rsidR="006B5EBB">
        <w:t>,</w:t>
      </w:r>
    </w:p>
    <w:p w:rsidR="00714DD0" w:rsidRPr="00714DD0" w:rsidRDefault="00714DD0" w:rsidP="006B5EBB">
      <w:pPr>
        <w:pStyle w:val="Default"/>
        <w:spacing w:before="120" w:after="120" w:line="480" w:lineRule="auto"/>
        <w:ind w:left="993"/>
      </w:pPr>
      <w:r w:rsidRPr="00714DD0">
        <w:t>(3) Every one of my employees in a homosexual relationship should be sacked by me</w:t>
      </w:r>
      <w:r w:rsidR="006B5EBB">
        <w:t>.</w:t>
      </w:r>
    </w:p>
    <w:p w:rsidR="00714DD0" w:rsidRPr="00714DD0" w:rsidRDefault="00672B69" w:rsidP="006B5EBB">
      <w:pPr>
        <w:pStyle w:val="Default"/>
        <w:spacing w:before="120" w:after="120" w:line="480" w:lineRule="auto"/>
        <w:ind w:left="993"/>
      </w:pPr>
      <w:r>
        <w:t>II</w:t>
      </w:r>
    </w:p>
    <w:p w:rsidR="00714DD0" w:rsidRPr="00714DD0" w:rsidRDefault="00714DD0" w:rsidP="006B5EBB">
      <w:pPr>
        <w:pStyle w:val="Default"/>
        <w:spacing w:before="120" w:after="120" w:line="480" w:lineRule="auto"/>
        <w:ind w:left="993"/>
      </w:pPr>
      <w:r w:rsidRPr="00714DD0">
        <w:lastRenderedPageBreak/>
        <w:t>(3) Every one of my employees in a homosexual relationship should be sacked by me</w:t>
      </w:r>
      <w:r w:rsidR="006B5EBB">
        <w:t>.</w:t>
      </w:r>
      <w:r w:rsidRPr="00714DD0">
        <w:br/>
        <w:t>(4) B is in a homosexual relationship and is one of my employees</w:t>
      </w:r>
      <w:r w:rsidR="006B5EBB">
        <w:t>.</w:t>
      </w:r>
    </w:p>
    <w:p w:rsidR="009A5B90" w:rsidRDefault="00714DD0" w:rsidP="006B5EBB">
      <w:pPr>
        <w:pStyle w:val="Default"/>
        <w:spacing w:before="120" w:after="120" w:line="480" w:lineRule="auto"/>
        <w:ind w:left="993"/>
      </w:pPr>
      <w:r w:rsidRPr="00714DD0">
        <w:t>(5) Therefore, B should be sacked by me.</w:t>
      </w:r>
    </w:p>
    <w:p w:rsidR="006B5EBB" w:rsidRDefault="00615BE4" w:rsidP="006B5EBB">
      <w:pPr>
        <w:pStyle w:val="Default"/>
        <w:spacing w:before="120" w:after="120" w:line="480" w:lineRule="auto"/>
      </w:pPr>
      <w:r>
        <w:t>Gardner’s analysis of this hypothetical example is that</w:t>
      </w:r>
      <w:r w:rsidR="006E5244">
        <w:t xml:space="preserve"> (1)</w:t>
      </w:r>
      <w:r w:rsidR="0017496F">
        <w:t xml:space="preserve"> and (3) are operative </w:t>
      </w:r>
      <w:proofErr w:type="spellStart"/>
      <w:r w:rsidR="0017496F">
        <w:t>premisses</w:t>
      </w:r>
      <w:proofErr w:type="spellEnd"/>
      <w:r w:rsidR="0017496F">
        <w:t xml:space="preserve">, but (2) and (4) are auxiliary factual </w:t>
      </w:r>
      <w:proofErr w:type="spellStart"/>
      <w:r w:rsidR="0017496F">
        <w:t>premisses</w:t>
      </w:r>
      <w:proofErr w:type="spellEnd"/>
      <w:r w:rsidR="0017496F">
        <w:t>.</w:t>
      </w:r>
      <w:r>
        <w:t xml:space="preserve"> </w:t>
      </w:r>
      <w:r w:rsidR="0017496F">
        <w:t>He concludes that d</w:t>
      </w:r>
      <w:r>
        <w:t xml:space="preserve">iscrimination </w:t>
      </w:r>
      <w:r w:rsidR="008F5150">
        <w:t>because of sexual orientation</w:t>
      </w:r>
      <w:r w:rsidR="002911BD">
        <w:rPr>
          <w:rStyle w:val="FootnoteReference"/>
        </w:rPr>
        <w:footnoteReference w:id="4"/>
      </w:r>
      <w:r w:rsidR="008F5150">
        <w:t xml:space="preserve"> </w:t>
      </w:r>
      <w:r>
        <w:t xml:space="preserve">is made out </w:t>
      </w:r>
      <w:r w:rsidR="0017496F">
        <w:t xml:space="preserve">in this case </w:t>
      </w:r>
      <w:r>
        <w:t xml:space="preserve">because sexual orientation features in an operative </w:t>
      </w:r>
      <w:proofErr w:type="spellStart"/>
      <w:r>
        <w:t>premiss</w:t>
      </w:r>
      <w:proofErr w:type="spellEnd"/>
      <w:r>
        <w:t xml:space="preserve">, (3). But </w:t>
      </w:r>
      <w:r w:rsidR="00AE0E5D">
        <w:t>how can Gardner rule out</w:t>
      </w:r>
      <w:r w:rsidR="0016208C">
        <w:t xml:space="preserve"> a real-life employer </w:t>
      </w:r>
      <w:r w:rsidR="00AE0E5D">
        <w:t>from</w:t>
      </w:r>
      <w:r w:rsidR="0016208C">
        <w:t xml:space="preserve"> reason</w:t>
      </w:r>
      <w:r w:rsidR="00AE0E5D">
        <w:t>ing</w:t>
      </w:r>
      <w:r w:rsidR="0016208C">
        <w:t xml:space="preserve"> </w:t>
      </w:r>
      <w:r w:rsidR="00672B69">
        <w:t xml:space="preserve">to the same conclusion </w:t>
      </w:r>
      <w:r w:rsidR="0017496F">
        <w:t>as follows</w:t>
      </w:r>
      <w:r w:rsidR="0016208C">
        <w:t xml:space="preserve"> instead?</w:t>
      </w:r>
    </w:p>
    <w:p w:rsidR="0016208C" w:rsidRPr="0016208C" w:rsidRDefault="00E2718C" w:rsidP="0016208C">
      <w:pPr>
        <w:pStyle w:val="Default"/>
        <w:spacing w:before="120" w:after="120" w:line="480" w:lineRule="auto"/>
        <w:ind w:left="709"/>
      </w:pPr>
      <w:r>
        <w:t>I</w:t>
      </w:r>
      <w:r w:rsidR="0016208C" w:rsidRPr="0016208C">
        <w:br/>
        <w:t>(1) Everyone in a homosexual relationship is engaging in conduct forbidden by my religious authority</w:t>
      </w:r>
      <w:r w:rsidR="0016208C">
        <w:t>.</w:t>
      </w:r>
      <w:r w:rsidR="0016208C" w:rsidRPr="0016208C">
        <w:t xml:space="preserve"> </w:t>
      </w:r>
    </w:p>
    <w:p w:rsidR="0016208C" w:rsidRPr="0016208C" w:rsidRDefault="0016208C" w:rsidP="0016208C">
      <w:pPr>
        <w:pStyle w:val="Default"/>
        <w:spacing w:before="120" w:after="120" w:line="480" w:lineRule="auto"/>
        <w:ind w:left="709"/>
      </w:pPr>
      <w:r w:rsidRPr="0016208C">
        <w:t>(2) B is in a homosexual relationship</w:t>
      </w:r>
      <w:r w:rsidR="003F38F6">
        <w:t xml:space="preserve"> </w:t>
      </w:r>
      <w:r w:rsidR="003F38F6" w:rsidRPr="003F38F6">
        <w:t>and is one of my employees</w:t>
      </w:r>
      <w:r>
        <w:t>.</w:t>
      </w:r>
    </w:p>
    <w:p w:rsidR="0016208C" w:rsidRPr="0016208C" w:rsidRDefault="0016208C" w:rsidP="0016208C">
      <w:pPr>
        <w:pStyle w:val="Default"/>
        <w:spacing w:before="120" w:after="120" w:line="480" w:lineRule="auto"/>
        <w:ind w:left="709"/>
      </w:pPr>
      <w:r w:rsidRPr="0016208C">
        <w:t xml:space="preserve">(3) Therefore, B is </w:t>
      </w:r>
      <w:r w:rsidR="003F38F6">
        <w:t xml:space="preserve">one of my employees and is </w:t>
      </w:r>
      <w:r w:rsidRPr="0016208C">
        <w:t>engaging in conduct forbidden by my religious authority.</w:t>
      </w:r>
    </w:p>
    <w:p w:rsidR="0016208C" w:rsidRPr="0016208C" w:rsidRDefault="00E2718C" w:rsidP="0016208C">
      <w:pPr>
        <w:pStyle w:val="Default"/>
        <w:spacing w:before="120" w:after="120" w:line="480" w:lineRule="auto"/>
        <w:ind w:left="709"/>
      </w:pPr>
      <w:r>
        <w:t>II</w:t>
      </w:r>
    </w:p>
    <w:p w:rsidR="0016208C" w:rsidRDefault="0016208C" w:rsidP="0016208C">
      <w:pPr>
        <w:pStyle w:val="Default"/>
        <w:spacing w:before="120" w:after="120" w:line="480" w:lineRule="auto"/>
        <w:ind w:left="709"/>
      </w:pPr>
      <w:r w:rsidRPr="0016208C">
        <w:t>(</w:t>
      </w:r>
      <w:r w:rsidR="0061332B">
        <w:t>3)</w:t>
      </w:r>
      <w:r w:rsidRPr="0016208C">
        <w:t xml:space="preserve"> B </w:t>
      </w:r>
      <w:r w:rsidR="00283EB3" w:rsidRPr="00283EB3">
        <w:t xml:space="preserve">is one of my employees and </w:t>
      </w:r>
      <w:r w:rsidRPr="0016208C">
        <w:t>is engaging in conduct forbidden by my religious authority.</w:t>
      </w:r>
    </w:p>
    <w:p w:rsidR="0061332B" w:rsidRPr="0016208C" w:rsidRDefault="0061332B" w:rsidP="0016208C">
      <w:pPr>
        <w:pStyle w:val="Default"/>
        <w:spacing w:before="120" w:after="120" w:line="480" w:lineRule="auto"/>
        <w:ind w:left="709"/>
      </w:pPr>
      <w:r>
        <w:t>(</w:t>
      </w:r>
      <w:r w:rsidRPr="0061332B">
        <w:t xml:space="preserve">4) </w:t>
      </w:r>
      <w:r w:rsidR="00FE3735" w:rsidRPr="00FE3735">
        <w:t>Every one of my employees engaging in conduct forbidden by my religious authority should be sacked by me</w:t>
      </w:r>
      <w:r w:rsidRPr="0061332B">
        <w:t>.</w:t>
      </w:r>
    </w:p>
    <w:p w:rsidR="0016208C" w:rsidRDefault="0016208C" w:rsidP="0016208C">
      <w:pPr>
        <w:pStyle w:val="Default"/>
        <w:spacing w:before="120" w:after="120" w:line="480" w:lineRule="auto"/>
        <w:ind w:left="709"/>
      </w:pPr>
      <w:r w:rsidRPr="0016208C">
        <w:t>(</w:t>
      </w:r>
      <w:r w:rsidR="00D77A6E">
        <w:t>5</w:t>
      </w:r>
      <w:r w:rsidRPr="0016208C">
        <w:t>) Therefore, B should be sacked by me.</w:t>
      </w:r>
    </w:p>
    <w:p w:rsidR="0016208C" w:rsidRPr="00042A05" w:rsidRDefault="0016208C" w:rsidP="0016208C">
      <w:pPr>
        <w:pStyle w:val="Default"/>
        <w:spacing w:before="120" w:after="120" w:line="480" w:lineRule="auto"/>
      </w:pPr>
      <w:r>
        <w:lastRenderedPageBreak/>
        <w:t xml:space="preserve">The reasoning here </w:t>
      </w:r>
      <w:r w:rsidR="00DE3A60">
        <w:t xml:space="preserve">does not seem to be relevantly different from the point of view of discrimination law, but </w:t>
      </w:r>
      <w:r w:rsidR="00283EB3">
        <w:t xml:space="preserve">the switch to </w:t>
      </w:r>
      <w:r w:rsidR="00DB5EBB">
        <w:t xml:space="preserve">having </w:t>
      </w:r>
      <w:r w:rsidR="0012708F">
        <w:t>(</w:t>
      </w:r>
      <w:r w:rsidR="00283EB3">
        <w:t>1</w:t>
      </w:r>
      <w:r w:rsidR="0012708F">
        <w:t>)</w:t>
      </w:r>
      <w:r w:rsidR="00283EB3">
        <w:t xml:space="preserve">, </w:t>
      </w:r>
      <w:r w:rsidR="0012708F">
        <w:t>(</w:t>
      </w:r>
      <w:r w:rsidR="00283EB3">
        <w:t>2</w:t>
      </w:r>
      <w:r w:rsidR="0012708F">
        <w:t>)</w:t>
      </w:r>
      <w:r w:rsidR="007A6733">
        <w:t>,</w:t>
      </w:r>
      <w:r w:rsidR="00283EB3">
        <w:t xml:space="preserve"> and </w:t>
      </w:r>
      <w:r w:rsidR="0012708F">
        <w:t>(</w:t>
      </w:r>
      <w:r w:rsidR="00283EB3">
        <w:t>3</w:t>
      </w:r>
      <w:r w:rsidR="0012708F">
        <w:t>)</w:t>
      </w:r>
      <w:r w:rsidR="00526620">
        <w:t xml:space="preserve">, </w:t>
      </w:r>
      <w:r w:rsidR="00DB5EBB">
        <w:t xml:space="preserve">as </w:t>
      </w:r>
      <w:r w:rsidR="00DB5EBB" w:rsidRPr="00DB5EBB">
        <w:t xml:space="preserve">auxiliary </w:t>
      </w:r>
      <w:proofErr w:type="spellStart"/>
      <w:r w:rsidR="00DB5EBB" w:rsidRPr="00DB5EBB">
        <w:t>premisses</w:t>
      </w:r>
      <w:proofErr w:type="spellEnd"/>
      <w:r w:rsidR="00DB5EBB">
        <w:t>,</w:t>
      </w:r>
      <w:r w:rsidR="00DB5EBB" w:rsidRPr="00DB5EBB">
        <w:t xml:space="preserve"> </w:t>
      </w:r>
      <w:r w:rsidR="00526620">
        <w:t xml:space="preserve">and </w:t>
      </w:r>
      <w:r w:rsidR="000A1059">
        <w:t xml:space="preserve">having </w:t>
      </w:r>
      <w:r w:rsidR="00526620">
        <w:t xml:space="preserve">only </w:t>
      </w:r>
      <w:r w:rsidR="003F61E1">
        <w:t>(</w:t>
      </w:r>
      <w:r w:rsidR="00526620">
        <w:t>4</w:t>
      </w:r>
      <w:r w:rsidR="003F61E1">
        <w:t>)</w:t>
      </w:r>
      <w:r w:rsidR="000A1059">
        <w:t xml:space="preserve"> as </w:t>
      </w:r>
      <w:r w:rsidR="00AF0FA6">
        <w:t xml:space="preserve">an </w:t>
      </w:r>
      <w:r w:rsidR="000A1059">
        <w:t xml:space="preserve">operative </w:t>
      </w:r>
      <w:proofErr w:type="spellStart"/>
      <w:r w:rsidR="000A1059">
        <w:t>premiss</w:t>
      </w:r>
      <w:proofErr w:type="spellEnd"/>
      <w:r w:rsidR="00526620">
        <w:t>, means that</w:t>
      </w:r>
      <w:r w:rsidR="00283EB3">
        <w:t xml:space="preserve"> </w:t>
      </w:r>
      <w:r w:rsidR="00DE3A60">
        <w:t>on Gardner’s analysis there is no</w:t>
      </w:r>
      <w:r w:rsidR="00283EB3">
        <w:t>w no</w:t>
      </w:r>
      <w:r w:rsidR="00DE3A60">
        <w:t xml:space="preserve"> discrimination</w:t>
      </w:r>
      <w:r w:rsidR="00C074A8">
        <w:t xml:space="preserve"> because of sexual orientation</w:t>
      </w:r>
      <w:r w:rsidR="00E2718C">
        <w:t>,</w:t>
      </w:r>
      <w:r w:rsidR="00DE3A60">
        <w:t xml:space="preserve"> since here sexual orientation </w:t>
      </w:r>
      <w:r w:rsidR="00497C4D">
        <w:t>does not feature in the only</w:t>
      </w:r>
      <w:r w:rsidR="00DE3A60">
        <w:t xml:space="preserve"> operative </w:t>
      </w:r>
      <w:proofErr w:type="spellStart"/>
      <w:r w:rsidR="00497C4D">
        <w:t>premis</w:t>
      </w:r>
      <w:r w:rsidR="00DE3A60">
        <w:t>s</w:t>
      </w:r>
      <w:proofErr w:type="spellEnd"/>
      <w:r w:rsidR="0012708F">
        <w:t>,</w:t>
      </w:r>
      <w:r w:rsidR="00D77A6E">
        <w:t xml:space="preserve"> (4)</w:t>
      </w:r>
      <w:r w:rsidR="00DE3A60">
        <w:t xml:space="preserve">. It does not seem </w:t>
      </w:r>
      <w:r w:rsidR="001207D4">
        <w:t>plausible</w:t>
      </w:r>
      <w:r w:rsidR="00526620">
        <w:t xml:space="preserve"> for Gardner</w:t>
      </w:r>
      <w:r w:rsidR="001207D4">
        <w:t xml:space="preserve"> to say that there is a relevant difference here, </w:t>
      </w:r>
      <w:r w:rsidR="00C074A8">
        <w:t>so</w:t>
      </w:r>
      <w:r w:rsidR="008F5150">
        <w:t xml:space="preserve"> I conclude that it does not matter </w:t>
      </w:r>
      <w:r w:rsidR="00C074A8">
        <w:t>whether the</w:t>
      </w:r>
      <w:r w:rsidR="00766DF3">
        <w:t xml:space="preserve"> protected characteristic occurs in an operative or an auxiliary </w:t>
      </w:r>
      <w:proofErr w:type="spellStart"/>
      <w:r w:rsidR="00766DF3">
        <w:t>premiss</w:t>
      </w:r>
      <w:proofErr w:type="spellEnd"/>
      <w:r w:rsidR="00766DF3">
        <w:t xml:space="preserve">, </w:t>
      </w:r>
      <w:proofErr w:type="gramStart"/>
      <w:r w:rsidR="00766DF3">
        <w:t>as long as</w:t>
      </w:r>
      <w:proofErr w:type="gramEnd"/>
      <w:r w:rsidR="00766DF3">
        <w:t xml:space="preserve"> it features somewhere in the line of motivational reasoning.</w:t>
      </w:r>
      <w:r w:rsidR="00042A05">
        <w:t xml:space="preserve"> This also was the stance adopted by Advocate General </w:t>
      </w:r>
      <w:r w:rsidR="006C0514">
        <w:t xml:space="preserve">Maduro </w:t>
      </w:r>
      <w:r w:rsidR="00042A05">
        <w:t>in</w:t>
      </w:r>
      <w:r w:rsidR="008A668B">
        <w:t xml:space="preserve"> his opinion for the Court of Justice in</w:t>
      </w:r>
      <w:r w:rsidR="00042A05">
        <w:t xml:space="preserve"> </w:t>
      </w:r>
      <w:r w:rsidR="00042A05">
        <w:rPr>
          <w:i/>
          <w:iCs/>
        </w:rPr>
        <w:t xml:space="preserve">Coleman v </w:t>
      </w:r>
      <w:proofErr w:type="spellStart"/>
      <w:r w:rsidR="00042A05">
        <w:rPr>
          <w:i/>
          <w:iCs/>
        </w:rPr>
        <w:t>Attridge</w:t>
      </w:r>
      <w:proofErr w:type="spellEnd"/>
      <w:r w:rsidR="00042A05">
        <w:rPr>
          <w:i/>
          <w:iCs/>
        </w:rPr>
        <w:t xml:space="preserve"> Law</w:t>
      </w:r>
      <w:r w:rsidR="00042A05">
        <w:t xml:space="preserve"> [2008</w:t>
      </w:r>
      <w:r w:rsidR="00FF164D">
        <w:t>]:</w:t>
      </w:r>
    </w:p>
    <w:p w:rsidR="00766E00" w:rsidRDefault="00766E00" w:rsidP="00766E00">
      <w:pPr>
        <w:pStyle w:val="Default"/>
        <w:spacing w:before="120" w:after="120" w:line="480" w:lineRule="auto"/>
        <w:ind w:left="851"/>
      </w:pPr>
      <w:r w:rsidRPr="00766E00">
        <w:t xml:space="preserve">the Directive performs an </w:t>
      </w:r>
      <w:r w:rsidRPr="00766E00">
        <w:rPr>
          <w:i/>
          <w:iCs/>
        </w:rPr>
        <w:t xml:space="preserve">exclusionary </w:t>
      </w:r>
      <w:r w:rsidRPr="00766E00">
        <w:t>function: it excludes</w:t>
      </w:r>
      <w:r>
        <w:t xml:space="preserve"> </w:t>
      </w:r>
      <w:r w:rsidRPr="00766E00">
        <w:t>religious belief, age, disability and sexual orientation from the range of permissible reasons an</w:t>
      </w:r>
      <w:r>
        <w:t xml:space="preserve"> </w:t>
      </w:r>
      <w:r w:rsidRPr="00766E00">
        <w:t>employer may legitimately rely upon in order to treat one employee less favourably than another.</w:t>
      </w:r>
      <w:r>
        <w:t xml:space="preserve"> </w:t>
      </w:r>
      <w:r w:rsidRPr="00766E00">
        <w:t>In other words, after the coming into force of the Directive it is no longer permissible for these</w:t>
      </w:r>
      <w:r>
        <w:t xml:space="preserve"> </w:t>
      </w:r>
      <w:r w:rsidRPr="00766E00">
        <w:t>considerations to figure in the employe</w:t>
      </w:r>
      <w:r>
        <w:t>r’</w:t>
      </w:r>
      <w:r w:rsidRPr="00766E00">
        <w:t>s reasoning when she decides to treat an employee less</w:t>
      </w:r>
      <w:r>
        <w:t xml:space="preserve"> </w:t>
      </w:r>
      <w:r w:rsidRPr="00766E00">
        <w:t>favourably.</w:t>
      </w:r>
    </w:p>
    <w:p w:rsidR="00042A05" w:rsidRPr="00FF164D" w:rsidRDefault="00766E00" w:rsidP="00FF164D">
      <w:pPr>
        <w:pStyle w:val="Default"/>
        <w:spacing w:before="120" w:after="120" w:line="480" w:lineRule="auto"/>
        <w:ind w:left="851"/>
        <w:rPr>
          <w:b/>
          <w:bCs/>
        </w:rPr>
      </w:pPr>
      <w:r>
        <w:t xml:space="preserve">[19] […] </w:t>
      </w:r>
      <w:r w:rsidR="00042A05" w:rsidRPr="00042A05">
        <w:t>The discriminator relies on a suspect</w:t>
      </w:r>
      <w:r w:rsidR="00FF164D">
        <w:t xml:space="preserve"> </w:t>
      </w:r>
      <w:r w:rsidR="00042A05" w:rsidRPr="00042A05">
        <w:t>classification in order to act in a certain way. The classification is not a mere contingency</w:t>
      </w:r>
      <w:r w:rsidR="00FF164D">
        <w:t xml:space="preserve"> </w:t>
      </w:r>
      <w:r w:rsidR="00042A05" w:rsidRPr="00042A05">
        <w:t>but serves as an essential premise of his reasoning. An employer</w:t>
      </w:r>
      <w:r w:rsidR="00B822BA">
        <w:t>’</w:t>
      </w:r>
      <w:r w:rsidR="00042A05" w:rsidRPr="00042A05">
        <w:t>s reliance on those suspect</w:t>
      </w:r>
      <w:r w:rsidR="00FF164D">
        <w:t xml:space="preserve"> </w:t>
      </w:r>
      <w:r w:rsidR="00042A05" w:rsidRPr="00042A05">
        <w:t>grounds is seen by the Community legal order as an evil which must be eradicated. Therefore,</w:t>
      </w:r>
      <w:r w:rsidR="00FF164D">
        <w:t xml:space="preserve"> </w:t>
      </w:r>
      <w:r w:rsidR="00042A05" w:rsidRPr="00042A05">
        <w:t>the Directive prohibits the use of those classifications as grounds upon which an employer</w:t>
      </w:r>
      <w:r w:rsidR="00FF164D">
        <w:t>’</w:t>
      </w:r>
      <w:r w:rsidR="00042A05" w:rsidRPr="00042A05">
        <w:t>s</w:t>
      </w:r>
      <w:r w:rsidR="00FF164D">
        <w:t xml:space="preserve"> </w:t>
      </w:r>
      <w:r w:rsidR="00042A05" w:rsidRPr="00042A05">
        <w:t xml:space="preserve">reasoning may be based. In this way, </w:t>
      </w:r>
      <w:r w:rsidR="00FF164D">
        <w:t>[…]</w:t>
      </w:r>
      <w:r w:rsidR="00042A05" w:rsidRPr="00042A05">
        <w:t xml:space="preserve"> the prohibition of direct discrimination </w:t>
      </w:r>
      <w:r w:rsidR="00FF164D">
        <w:t xml:space="preserve">[…] </w:t>
      </w:r>
      <w:r w:rsidR="00042A05" w:rsidRPr="00042A05">
        <w:t>operates as</w:t>
      </w:r>
      <w:r w:rsidR="00FF164D">
        <w:t xml:space="preserve"> </w:t>
      </w:r>
      <w:r w:rsidR="00042A05" w:rsidRPr="00042A05">
        <w:t>an exclusionary mechanism (by excluding from an employer</w:t>
      </w:r>
      <w:r w:rsidR="00B822BA">
        <w:t>’</w:t>
      </w:r>
      <w:r w:rsidR="00042A05" w:rsidRPr="00042A05">
        <w:t>s reasoning reliance on certain</w:t>
      </w:r>
      <w:r w:rsidR="00FF164D">
        <w:t xml:space="preserve"> </w:t>
      </w:r>
      <w:proofErr w:type="gramStart"/>
      <w:r w:rsidR="00042A05" w:rsidRPr="00042A05">
        <w:t>grounds)</w:t>
      </w:r>
      <w:r w:rsidR="00FF164D">
        <w:t>[.]</w:t>
      </w:r>
      <w:proofErr w:type="gramEnd"/>
      <w:r w:rsidR="00FF164D">
        <w:t xml:space="preserve"> (</w:t>
      </w:r>
      <w:r w:rsidR="00FF164D" w:rsidRPr="00FF164D">
        <w:rPr>
          <w:i/>
          <w:iCs/>
        </w:rPr>
        <w:t xml:space="preserve">Coleman v </w:t>
      </w:r>
      <w:proofErr w:type="spellStart"/>
      <w:r w:rsidR="00FF164D" w:rsidRPr="00FF164D">
        <w:rPr>
          <w:i/>
          <w:iCs/>
        </w:rPr>
        <w:t>Attridge</w:t>
      </w:r>
      <w:proofErr w:type="spellEnd"/>
      <w:r w:rsidR="00FF164D" w:rsidRPr="00FF164D">
        <w:rPr>
          <w:i/>
          <w:iCs/>
        </w:rPr>
        <w:t xml:space="preserve"> Law</w:t>
      </w:r>
      <w:r w:rsidR="00FF164D" w:rsidRPr="00FF164D">
        <w:t xml:space="preserve"> [2008]</w:t>
      </w:r>
      <w:r w:rsidR="00FF164D">
        <w:t>: 785</w:t>
      </w:r>
      <w:r w:rsidR="008A668B">
        <w:rPr>
          <w:rFonts w:ascii="Calibri" w:hAnsi="Calibri" w:cs="Calibri"/>
        </w:rPr>
        <w:t>–</w:t>
      </w:r>
      <w:r w:rsidR="008A668B">
        <w:t>786 [1</w:t>
      </w:r>
      <w:r w:rsidR="004C52E5">
        <w:t>8</w:t>
      </w:r>
      <w:r w:rsidR="004C52E5">
        <w:rPr>
          <w:rFonts w:ascii="Calibri" w:hAnsi="Calibri" w:cs="Calibri"/>
        </w:rPr>
        <w:t>–</w:t>
      </w:r>
      <w:r w:rsidR="004C52E5">
        <w:t>1</w:t>
      </w:r>
      <w:r w:rsidR="008A668B">
        <w:t>9])</w:t>
      </w:r>
    </w:p>
    <w:p w:rsidR="00AB338C" w:rsidRDefault="00AB338C" w:rsidP="00AB338C">
      <w:pPr>
        <w:pStyle w:val="Default"/>
        <w:spacing w:before="120" w:after="120" w:line="480" w:lineRule="auto"/>
      </w:pPr>
    </w:p>
    <w:p w:rsidR="00104E16" w:rsidRPr="00194F13" w:rsidRDefault="001207D4" w:rsidP="00AB338C">
      <w:pPr>
        <w:pStyle w:val="Default"/>
        <w:spacing w:before="120" w:after="120" w:line="480" w:lineRule="auto"/>
      </w:pPr>
      <w:r>
        <w:t>In any case</w:t>
      </w:r>
      <w:r w:rsidR="00267D22" w:rsidRPr="00065C01">
        <w:t>,</w:t>
      </w:r>
      <w:r>
        <w:t xml:space="preserve"> while </w:t>
      </w:r>
      <w:r w:rsidR="00223409">
        <w:t xml:space="preserve">initially it seems compelling </w:t>
      </w:r>
      <w:r>
        <w:t xml:space="preserve">that </w:t>
      </w:r>
      <w:r w:rsidR="00F94E00">
        <w:t>“</w:t>
      </w:r>
      <w:r w:rsidR="00223409">
        <w:t xml:space="preserve">because </w:t>
      </w:r>
      <w:r>
        <w:t>of</w:t>
      </w:r>
      <w:r w:rsidR="00F94E00">
        <w:t>”</w:t>
      </w:r>
      <w:r w:rsidR="00223409">
        <w:t xml:space="preserve">, </w:t>
      </w:r>
      <w:r w:rsidR="00F94E00">
        <w:t>“</w:t>
      </w:r>
      <w:r w:rsidR="00223409">
        <w:t>on grounds of</w:t>
      </w:r>
      <w:r w:rsidR="00F94E00">
        <w:t>”</w:t>
      </w:r>
      <w:r w:rsidR="00223409">
        <w:t xml:space="preserve"> etc.</w:t>
      </w:r>
      <w:r>
        <w:t xml:space="preserve"> refer</w:t>
      </w:r>
      <w:r w:rsidR="00223409">
        <w:t>,</w:t>
      </w:r>
      <w:r>
        <w:t xml:space="preserve"> </w:t>
      </w:r>
      <w:r w:rsidR="00267D22" w:rsidRPr="00065C01">
        <w:t xml:space="preserve">as detailed above, </w:t>
      </w:r>
      <w:r w:rsidR="00223409">
        <w:t>to mental states</w:t>
      </w:r>
      <w:r w:rsidR="00267D22" w:rsidRPr="00065C01">
        <w:t>,</w:t>
      </w:r>
      <w:r w:rsidR="00223409">
        <w:t xml:space="preserve"> </w:t>
      </w:r>
      <w:r w:rsidR="00267D22" w:rsidRPr="00065C01">
        <w:t>th</w:t>
      </w:r>
      <w:r w:rsidR="00DC1F63" w:rsidRPr="00065C01">
        <w:t xml:space="preserve">ere has, </w:t>
      </w:r>
      <w:r w:rsidR="00621AF6" w:rsidRPr="00065C01">
        <w:t>nevertheless</w:t>
      </w:r>
      <w:r w:rsidR="00DC1F63" w:rsidRPr="00065C01">
        <w:t xml:space="preserve">, been </w:t>
      </w:r>
      <w:r w:rsidR="00031823">
        <w:t xml:space="preserve">running against this idea </w:t>
      </w:r>
      <w:r w:rsidR="00DC1F63" w:rsidRPr="00065C01">
        <w:t xml:space="preserve">a very </w:t>
      </w:r>
      <w:r w:rsidR="00621AF6" w:rsidRPr="00065C01">
        <w:t>influentia</w:t>
      </w:r>
      <w:r w:rsidR="00DC1F63" w:rsidRPr="00065C01">
        <w:t>l ju</w:t>
      </w:r>
      <w:r w:rsidR="00621AF6" w:rsidRPr="00065C01">
        <w:t xml:space="preserve">dicial current </w:t>
      </w:r>
      <w:r w:rsidR="00031823">
        <w:t>dating</w:t>
      </w:r>
      <w:r w:rsidR="00DC1F63" w:rsidRPr="00065C01">
        <w:t xml:space="preserve"> back to the </w:t>
      </w:r>
      <w:r w:rsidR="00407404" w:rsidRPr="00065C01">
        <w:t xml:space="preserve">case </w:t>
      </w:r>
      <w:bookmarkStart w:id="10" w:name="_Hlk44498607"/>
      <w:r w:rsidR="00CC3A80">
        <w:rPr>
          <w:i/>
          <w:iCs/>
          <w:color w:val="auto"/>
        </w:rPr>
        <w:t>R</w:t>
      </w:r>
      <w:r w:rsidR="00104E16" w:rsidRPr="00065C01">
        <w:rPr>
          <w:i/>
          <w:iCs/>
          <w:color w:val="auto"/>
        </w:rPr>
        <w:t xml:space="preserve"> v Birmingham City Council</w:t>
      </w:r>
      <w:r w:rsidR="006051B8">
        <w:rPr>
          <w:iCs/>
          <w:color w:val="auto"/>
        </w:rPr>
        <w:t xml:space="preserve"> </w:t>
      </w:r>
      <w:r w:rsidR="007C0583" w:rsidRPr="007C0583">
        <w:rPr>
          <w:color w:val="auto"/>
        </w:rPr>
        <w:t>[1989]</w:t>
      </w:r>
      <w:bookmarkEnd w:id="10"/>
      <w:r w:rsidR="008D0061">
        <w:rPr>
          <w:color w:val="auto"/>
        </w:rPr>
        <w:t>,</w:t>
      </w:r>
      <w:r w:rsidR="00DC1F63" w:rsidRPr="00065C01">
        <w:rPr>
          <w:color w:val="auto"/>
        </w:rPr>
        <w:t xml:space="preserve"> a case concerning whether the Council’s provision of more places</w:t>
      </w:r>
      <w:r w:rsidR="00BB56C6" w:rsidRPr="00065C01">
        <w:rPr>
          <w:color w:val="auto"/>
        </w:rPr>
        <w:t xml:space="preserve"> at selective schools</w:t>
      </w:r>
      <w:r w:rsidR="00DC1F63" w:rsidRPr="00065C01">
        <w:rPr>
          <w:color w:val="auto"/>
        </w:rPr>
        <w:t xml:space="preserve"> for</w:t>
      </w:r>
      <w:r w:rsidR="00BB56C6" w:rsidRPr="00065C01">
        <w:rPr>
          <w:color w:val="auto"/>
        </w:rPr>
        <w:t xml:space="preserve"> 11-year-old</w:t>
      </w:r>
      <w:r w:rsidR="00DC1F63" w:rsidRPr="00065C01">
        <w:rPr>
          <w:color w:val="auto"/>
        </w:rPr>
        <w:t xml:space="preserve"> boys than for </w:t>
      </w:r>
      <w:r w:rsidR="00BB56C6" w:rsidRPr="00065C01">
        <w:rPr>
          <w:color w:val="auto"/>
        </w:rPr>
        <w:t xml:space="preserve">11-year-old </w:t>
      </w:r>
      <w:r w:rsidR="00DC1F63" w:rsidRPr="00065C01">
        <w:rPr>
          <w:color w:val="auto"/>
        </w:rPr>
        <w:t>girls constituted discrimination on the ground of sex.</w:t>
      </w:r>
      <w:r w:rsidR="00FD6332" w:rsidRPr="00065C01">
        <w:rPr>
          <w:color w:val="auto"/>
        </w:rPr>
        <w:t xml:space="preserve"> </w:t>
      </w:r>
      <w:r w:rsidR="00407404" w:rsidRPr="00065C01">
        <w:t>Lord Goff</w:t>
      </w:r>
      <w:r w:rsidR="00FD6332" w:rsidRPr="00065C01">
        <w:t>, giving the only substantive judgment in the House of Lords,</w:t>
      </w:r>
      <w:r w:rsidR="00407404" w:rsidRPr="00065C01">
        <w:t xml:space="preserve"> put forward</w:t>
      </w:r>
      <w:r w:rsidR="00FD6332" w:rsidRPr="00065C01">
        <w:t xml:space="preserve"> </w:t>
      </w:r>
      <w:r w:rsidR="00407404" w:rsidRPr="00065C01">
        <w:t xml:space="preserve">a test </w:t>
      </w:r>
      <w:r w:rsidR="00407404" w:rsidRPr="00065C01">
        <w:rPr>
          <w:color w:val="auto"/>
        </w:rPr>
        <w:t>that he took to answer the question whether the less favourable tre</w:t>
      </w:r>
      <w:r w:rsidR="00FD6332" w:rsidRPr="00065C01">
        <w:rPr>
          <w:color w:val="auto"/>
        </w:rPr>
        <w:t xml:space="preserve">atment was on the ground of sex. This test is now known as </w:t>
      </w:r>
      <w:r w:rsidR="00407404" w:rsidRPr="00065C01">
        <w:rPr>
          <w:color w:val="auto"/>
        </w:rPr>
        <w:t xml:space="preserve">the </w:t>
      </w:r>
      <w:r w:rsidR="000B713E">
        <w:rPr>
          <w:color w:val="auto"/>
        </w:rPr>
        <w:t>“</w:t>
      </w:r>
      <w:r w:rsidR="00407404" w:rsidRPr="00065C01">
        <w:rPr>
          <w:color w:val="auto"/>
        </w:rPr>
        <w:t>but for</w:t>
      </w:r>
      <w:r w:rsidR="000B713E">
        <w:rPr>
          <w:color w:val="auto"/>
        </w:rPr>
        <w:t>”</w:t>
      </w:r>
      <w:r w:rsidR="00407404" w:rsidRPr="00065C01">
        <w:rPr>
          <w:color w:val="auto"/>
        </w:rPr>
        <w:t xml:space="preserve"> test</w:t>
      </w:r>
      <w:r w:rsidR="00104E16" w:rsidRPr="00065C01">
        <w:rPr>
          <w:color w:val="auto"/>
        </w:rPr>
        <w:t>:</w:t>
      </w:r>
    </w:p>
    <w:p w:rsidR="00104E16" w:rsidRPr="00065C01" w:rsidRDefault="00104E16" w:rsidP="00F3064D">
      <w:pPr>
        <w:pStyle w:val="Default"/>
        <w:spacing w:before="120" w:after="120" w:line="480" w:lineRule="auto"/>
        <w:ind w:left="709"/>
      </w:pPr>
      <w:r w:rsidRPr="00065C01">
        <w:rPr>
          <w:color w:val="auto"/>
        </w:rPr>
        <w:t>There is discrimination under the statute if there is less favourable treatment on the ground of sex, in other words if the relevant girl or girls would have received the same treatment as the boys but for their sex.</w:t>
      </w:r>
      <w:r w:rsidR="00141A19" w:rsidRPr="00065C01">
        <w:rPr>
          <w:color w:val="auto"/>
        </w:rPr>
        <w:t xml:space="preserve"> The intention or motive of the defendant to discriminate </w:t>
      </w:r>
      <w:r w:rsidR="00F351B1" w:rsidRPr="00065C01">
        <w:rPr>
          <w:color w:val="auto"/>
        </w:rPr>
        <w:t>[…]</w:t>
      </w:r>
      <w:r w:rsidR="00141A19" w:rsidRPr="00065C01">
        <w:rPr>
          <w:color w:val="auto"/>
        </w:rPr>
        <w:t xml:space="preserve"> is not a necessary condition of liability; it is perfectly possible to envisage cases where the defendant had no such motive, and yet did in fact discriminate on the ground of sex.</w:t>
      </w:r>
      <w:r w:rsidR="00F3064D">
        <w:rPr>
          <w:color w:val="auto"/>
        </w:rPr>
        <w:t xml:space="preserve"> […] </w:t>
      </w:r>
      <w:r w:rsidR="001E3183">
        <w:rPr>
          <w:color w:val="auto"/>
        </w:rPr>
        <w:t>[I]</w:t>
      </w:r>
      <w:r w:rsidR="00F3064D" w:rsidRPr="00F3064D">
        <w:rPr>
          <w:color w:val="auto"/>
        </w:rPr>
        <w:t>f the council</w:t>
      </w:r>
      <w:r w:rsidR="00F3064D">
        <w:rPr>
          <w:color w:val="auto"/>
        </w:rPr>
        <w:t>’</w:t>
      </w:r>
      <w:r w:rsidR="00F3064D" w:rsidRPr="00F3064D">
        <w:rPr>
          <w:color w:val="auto"/>
        </w:rPr>
        <w:t>s submission were correct it would be a good defence for an employer to show that he discriminated against women not because he intended to do so but (for example) because of customer preference, or to save money, or even to avoid controversy.</w:t>
      </w:r>
      <w:r w:rsidR="007B4357">
        <w:rPr>
          <w:color w:val="auto"/>
        </w:rPr>
        <w:t xml:space="preserve"> (</w:t>
      </w:r>
      <w:r w:rsidR="007B4357" w:rsidRPr="007B4357">
        <w:rPr>
          <w:i/>
          <w:iCs/>
          <w:color w:val="auto"/>
        </w:rPr>
        <w:t>R v Birmingham City Council</w:t>
      </w:r>
      <w:r w:rsidR="007B4357">
        <w:rPr>
          <w:color w:val="auto"/>
        </w:rPr>
        <w:t xml:space="preserve"> </w:t>
      </w:r>
      <w:r w:rsidR="00E3278D">
        <w:rPr>
          <w:color w:val="auto"/>
        </w:rPr>
        <w:t>[</w:t>
      </w:r>
      <w:r w:rsidR="007B4357">
        <w:rPr>
          <w:color w:val="auto"/>
        </w:rPr>
        <w:t>1989</w:t>
      </w:r>
      <w:r w:rsidR="00E3278D">
        <w:rPr>
          <w:color w:val="auto"/>
        </w:rPr>
        <w:t>]</w:t>
      </w:r>
      <w:r w:rsidR="00663F9A">
        <w:rPr>
          <w:color w:val="auto"/>
        </w:rPr>
        <w:t xml:space="preserve">: </w:t>
      </w:r>
      <w:r w:rsidR="00663F9A" w:rsidRPr="00663F9A">
        <w:rPr>
          <w:color w:val="auto"/>
        </w:rPr>
        <w:t>1194B–C</w:t>
      </w:r>
      <w:r w:rsidR="0034189A">
        <w:rPr>
          <w:color w:val="auto"/>
        </w:rPr>
        <w:t>)</w:t>
      </w:r>
      <w:r w:rsidR="007B4357" w:rsidRPr="007B4357">
        <w:rPr>
          <w:color w:val="auto"/>
          <w:vertAlign w:val="superscript"/>
        </w:rPr>
        <w:t xml:space="preserve"> </w:t>
      </w:r>
      <w:r w:rsidRPr="00065C01">
        <w:rPr>
          <w:rStyle w:val="FootnoteReference"/>
          <w:color w:val="auto"/>
        </w:rPr>
        <w:footnoteReference w:id="5"/>
      </w:r>
    </w:p>
    <w:p w:rsidR="0041113C" w:rsidRDefault="001963B4" w:rsidP="00194F13">
      <w:pPr>
        <w:pStyle w:val="Default"/>
        <w:spacing w:before="120" w:after="120" w:line="480" w:lineRule="auto"/>
        <w:rPr>
          <w:color w:val="auto"/>
        </w:rPr>
      </w:pPr>
      <w:r>
        <w:rPr>
          <w:color w:val="auto"/>
        </w:rPr>
        <w:t>T</w:t>
      </w:r>
      <w:r w:rsidR="006B27D7">
        <w:rPr>
          <w:color w:val="auto"/>
        </w:rPr>
        <w:t>he view</w:t>
      </w:r>
      <w:r>
        <w:rPr>
          <w:color w:val="auto"/>
        </w:rPr>
        <w:t xml:space="preserve"> that Lord Goff here rejects is not the view advanced by Finnis and contended for here</w:t>
      </w:r>
      <w:r w:rsidR="006B27D7">
        <w:rPr>
          <w:color w:val="auto"/>
        </w:rPr>
        <w:t xml:space="preserve">. </w:t>
      </w:r>
      <w:r w:rsidR="005C4998">
        <w:rPr>
          <w:color w:val="auto"/>
        </w:rPr>
        <w:t>The view that Lord Goff is rejecting seems to be</w:t>
      </w:r>
      <w:r w:rsidR="00F87089">
        <w:rPr>
          <w:color w:val="auto"/>
        </w:rPr>
        <w:t xml:space="preserve"> that</w:t>
      </w:r>
      <w:r w:rsidR="00904557">
        <w:rPr>
          <w:color w:val="auto"/>
        </w:rPr>
        <w:t xml:space="preserve"> for there to be discrimination it is </w:t>
      </w:r>
      <w:r w:rsidR="00904557">
        <w:rPr>
          <w:color w:val="auto"/>
        </w:rPr>
        <w:lastRenderedPageBreak/>
        <w:t xml:space="preserve">necessary that </w:t>
      </w:r>
      <w:r w:rsidR="009A7371">
        <w:rPr>
          <w:color w:val="auto"/>
        </w:rPr>
        <w:t>the discriminator be motivated by, or intend to bring about</w:t>
      </w:r>
      <w:r w:rsidR="00EC1440">
        <w:rPr>
          <w:color w:val="auto"/>
        </w:rPr>
        <w:t xml:space="preserve">, </w:t>
      </w:r>
      <w:r w:rsidR="00EC1440" w:rsidRPr="00EC1440">
        <w:rPr>
          <w:color w:val="auto"/>
        </w:rPr>
        <w:t>the prospect of discrimination itself</w:t>
      </w:r>
      <w:r w:rsidR="009A7371">
        <w:rPr>
          <w:color w:val="auto"/>
        </w:rPr>
        <w:t>.</w:t>
      </w:r>
      <w:r w:rsidR="00E80620">
        <w:rPr>
          <w:color w:val="auto"/>
        </w:rPr>
        <w:t xml:space="preserve"> This does not follow from Finnis’s definition</w:t>
      </w:r>
      <w:r w:rsidR="005C4998" w:rsidRPr="005C4998">
        <w:rPr>
          <w:color w:val="auto"/>
        </w:rPr>
        <w:t xml:space="preserve">: it is true that, for discrimination to be made out, the ground of the action must be </w:t>
      </w:r>
      <w:r w:rsidR="005C4998" w:rsidRPr="00454803">
        <w:rPr>
          <w:i/>
          <w:color w:val="auto"/>
        </w:rPr>
        <w:t>discriminatory</w:t>
      </w:r>
      <w:r w:rsidR="005C4998" w:rsidRPr="005C4998">
        <w:rPr>
          <w:color w:val="auto"/>
        </w:rPr>
        <w:t xml:space="preserve">, but it is not true that the ground must be </w:t>
      </w:r>
      <w:r w:rsidR="005C4998" w:rsidRPr="00454803">
        <w:rPr>
          <w:i/>
          <w:color w:val="auto"/>
        </w:rPr>
        <w:t>discrimination</w:t>
      </w:r>
      <w:r w:rsidR="005C4998" w:rsidRPr="005C4998">
        <w:rPr>
          <w:color w:val="auto"/>
        </w:rPr>
        <w:t>.</w:t>
      </w:r>
      <w:r w:rsidR="0019200A">
        <w:rPr>
          <w:color w:val="auto"/>
        </w:rPr>
        <w:t xml:space="preserve"> </w:t>
      </w:r>
      <w:r w:rsidR="00E80620">
        <w:rPr>
          <w:color w:val="auto"/>
        </w:rPr>
        <w:t>Further</w:t>
      </w:r>
      <w:r w:rsidR="00621AF6" w:rsidRPr="00065C01">
        <w:rPr>
          <w:color w:val="auto"/>
        </w:rPr>
        <w:t>,</w:t>
      </w:r>
      <w:r w:rsidR="00E80620">
        <w:rPr>
          <w:color w:val="auto"/>
        </w:rPr>
        <w:t xml:space="preserve"> actions can, and typically do, have more than one ground</w:t>
      </w:r>
      <w:r w:rsidR="00F0019B">
        <w:rPr>
          <w:color w:val="auto"/>
        </w:rPr>
        <w:t xml:space="preserve"> (cf. </w:t>
      </w:r>
      <w:bookmarkStart w:id="11" w:name="_Hlk44506834"/>
      <w:r w:rsidR="00F0019B" w:rsidRPr="00F0019B">
        <w:rPr>
          <w:i/>
        </w:rPr>
        <w:t>Owen and Briggs v James</w:t>
      </w:r>
      <w:r w:rsidR="00F0019B" w:rsidRPr="00F0019B">
        <w:t xml:space="preserve"> [1982] ICR 618</w:t>
      </w:r>
      <w:bookmarkEnd w:id="11"/>
      <w:r w:rsidR="00711904">
        <w:t xml:space="preserve">: </w:t>
      </w:r>
      <w:r w:rsidR="00711904" w:rsidRPr="00711904">
        <w:t>623E (Sir David Cairns), 626A (Stephenson LJ)</w:t>
      </w:r>
      <w:r w:rsidR="00291D51">
        <w:t>)</w:t>
      </w:r>
      <w:r w:rsidR="00E80620">
        <w:rPr>
          <w:color w:val="auto"/>
        </w:rPr>
        <w:t>, and</w:t>
      </w:r>
      <w:r w:rsidR="00621AF6" w:rsidRPr="00065C01">
        <w:rPr>
          <w:color w:val="auto"/>
        </w:rPr>
        <w:t xml:space="preserve"> </w:t>
      </w:r>
      <w:r w:rsidR="003536F7">
        <w:rPr>
          <w:color w:val="auto"/>
        </w:rPr>
        <w:t xml:space="preserve">there may indeed be more than one action at issue too: </w:t>
      </w:r>
      <w:r w:rsidR="00BB56C6" w:rsidRPr="00065C01">
        <w:rPr>
          <w:color w:val="auto"/>
        </w:rPr>
        <w:t xml:space="preserve">the motive that leads the discriminator to </w:t>
      </w:r>
      <w:r w:rsidR="00621AF6" w:rsidRPr="0057065E">
        <w:rPr>
          <w:i/>
          <w:color w:val="auto"/>
        </w:rPr>
        <w:t xml:space="preserve">adopt </w:t>
      </w:r>
      <w:r w:rsidR="00621AF6" w:rsidRPr="00065C01">
        <w:rPr>
          <w:color w:val="auto"/>
        </w:rPr>
        <w:t xml:space="preserve">a discriminatory </w:t>
      </w:r>
      <w:r w:rsidR="00DC6332" w:rsidRPr="00065C01">
        <w:rPr>
          <w:color w:val="auto"/>
        </w:rPr>
        <w:t xml:space="preserve">criterion or </w:t>
      </w:r>
      <w:r w:rsidR="00F33CD9">
        <w:rPr>
          <w:color w:val="auto"/>
        </w:rPr>
        <w:t>policy</w:t>
      </w:r>
      <w:r w:rsidR="00BB56C6" w:rsidRPr="00065C01">
        <w:rPr>
          <w:color w:val="auto"/>
        </w:rPr>
        <w:t xml:space="preserve"> </w:t>
      </w:r>
      <w:r w:rsidR="00621AF6" w:rsidRPr="00065C01">
        <w:rPr>
          <w:color w:val="auto"/>
        </w:rPr>
        <w:t>is only one ground</w:t>
      </w:r>
      <w:r w:rsidR="0041113C">
        <w:rPr>
          <w:color w:val="auto"/>
        </w:rPr>
        <w:t>;</w:t>
      </w:r>
      <w:r w:rsidR="00621AF6" w:rsidRPr="00065C01">
        <w:rPr>
          <w:color w:val="auto"/>
        </w:rPr>
        <w:t xml:space="preserve"> another ground</w:t>
      </w:r>
      <w:r w:rsidR="00EA1019">
        <w:rPr>
          <w:rFonts w:ascii="Calibri" w:hAnsi="Calibri"/>
          <w:color w:val="auto"/>
        </w:rPr>
        <w:t>—</w:t>
      </w:r>
      <w:r w:rsidR="00DC6332" w:rsidRPr="00065C01">
        <w:rPr>
          <w:color w:val="auto"/>
        </w:rPr>
        <w:t xml:space="preserve">the </w:t>
      </w:r>
      <w:r w:rsidR="0041113C">
        <w:rPr>
          <w:color w:val="auto"/>
        </w:rPr>
        <w:t>discriminatory</w:t>
      </w:r>
      <w:r w:rsidR="0087733D">
        <w:rPr>
          <w:color w:val="auto"/>
        </w:rPr>
        <w:t xml:space="preserve"> one in </w:t>
      </w:r>
      <w:r w:rsidR="00995768" w:rsidRPr="00995768">
        <w:rPr>
          <w:i/>
          <w:iCs/>
          <w:color w:val="auto"/>
        </w:rPr>
        <w:t>R v Birmingham City Council</w:t>
      </w:r>
      <w:r w:rsidR="00E3278D">
        <w:rPr>
          <w:i/>
          <w:color w:val="auto"/>
        </w:rPr>
        <w:t xml:space="preserve"> </w:t>
      </w:r>
      <w:r w:rsidR="00E3278D">
        <w:rPr>
          <w:iCs/>
          <w:color w:val="auto"/>
        </w:rPr>
        <w:t>[1989]</w:t>
      </w:r>
      <w:r w:rsidR="00EA1019">
        <w:rPr>
          <w:rFonts w:ascii="Calibri" w:hAnsi="Calibri"/>
          <w:color w:val="auto"/>
        </w:rPr>
        <w:t>—</w:t>
      </w:r>
      <w:r w:rsidR="00DC6332" w:rsidRPr="00065C01">
        <w:rPr>
          <w:color w:val="auto"/>
        </w:rPr>
        <w:t xml:space="preserve">would </w:t>
      </w:r>
      <w:r w:rsidR="00621AF6" w:rsidRPr="00065C01">
        <w:rPr>
          <w:color w:val="auto"/>
        </w:rPr>
        <w:t>be</w:t>
      </w:r>
      <w:r w:rsidR="00BB56C6" w:rsidRPr="00065C01">
        <w:rPr>
          <w:color w:val="auto"/>
        </w:rPr>
        <w:t xml:space="preserve"> the </w:t>
      </w:r>
      <w:r w:rsidR="00DC6332" w:rsidRPr="00065C01">
        <w:rPr>
          <w:color w:val="auto"/>
        </w:rPr>
        <w:t>motiv</w:t>
      </w:r>
      <w:r w:rsidR="0041113C">
        <w:rPr>
          <w:color w:val="auto"/>
        </w:rPr>
        <w:t>ating factor</w:t>
      </w:r>
      <w:r w:rsidR="00DC6332" w:rsidRPr="00065C01">
        <w:rPr>
          <w:color w:val="auto"/>
        </w:rPr>
        <w:t xml:space="preserve"> that leads th</w:t>
      </w:r>
      <w:r w:rsidR="00BB56C6" w:rsidRPr="00065C01">
        <w:rPr>
          <w:color w:val="auto"/>
        </w:rPr>
        <w:t xml:space="preserve">e discriminator </w:t>
      </w:r>
      <w:r w:rsidR="00DC6332" w:rsidRPr="00065C01">
        <w:rPr>
          <w:color w:val="auto"/>
        </w:rPr>
        <w:t xml:space="preserve">to </w:t>
      </w:r>
      <w:r w:rsidR="00DC6332" w:rsidRPr="0057065E">
        <w:rPr>
          <w:i/>
          <w:color w:val="auto"/>
        </w:rPr>
        <w:t>apply</w:t>
      </w:r>
      <w:r w:rsidR="00DC6332" w:rsidRPr="00065C01">
        <w:rPr>
          <w:color w:val="auto"/>
        </w:rPr>
        <w:t xml:space="preserve"> the criterion or policy in a </w:t>
      </w:r>
      <w:r w:rsidR="00621AF6" w:rsidRPr="00065C01">
        <w:rPr>
          <w:color w:val="auto"/>
        </w:rPr>
        <w:t>particular</w:t>
      </w:r>
      <w:r w:rsidR="00DC6332" w:rsidRPr="00065C01">
        <w:rPr>
          <w:color w:val="auto"/>
        </w:rPr>
        <w:t xml:space="preserve"> instance of</w:t>
      </w:r>
      <w:r w:rsidR="00621AF6" w:rsidRPr="00065C01">
        <w:rPr>
          <w:color w:val="auto"/>
        </w:rPr>
        <w:t xml:space="preserve"> less favourable</w:t>
      </w:r>
      <w:r w:rsidR="00BB56C6" w:rsidRPr="00065C01">
        <w:rPr>
          <w:color w:val="auto"/>
        </w:rPr>
        <w:t xml:space="preserve"> treatment. </w:t>
      </w:r>
      <w:r w:rsidR="00267D22" w:rsidRPr="00065C01">
        <w:rPr>
          <w:color w:val="auto"/>
        </w:rPr>
        <w:t xml:space="preserve">In </w:t>
      </w:r>
      <w:r w:rsidR="00995768" w:rsidRPr="00995768">
        <w:rPr>
          <w:i/>
          <w:iCs/>
          <w:color w:val="auto"/>
        </w:rPr>
        <w:t>R v Birmingham City Council</w:t>
      </w:r>
      <w:r w:rsidR="00267D22" w:rsidRPr="00065C01">
        <w:rPr>
          <w:color w:val="auto"/>
        </w:rPr>
        <w:t xml:space="preserve"> </w:t>
      </w:r>
      <w:r w:rsidR="00E3278D">
        <w:rPr>
          <w:color w:val="auto"/>
        </w:rPr>
        <w:t xml:space="preserve">[1989] </w:t>
      </w:r>
      <w:r w:rsidR="00267D22" w:rsidRPr="00065C01">
        <w:rPr>
          <w:color w:val="auto"/>
        </w:rPr>
        <w:t>the ground</w:t>
      </w:r>
      <w:r w:rsidR="00B211CE" w:rsidRPr="00065C01">
        <w:rPr>
          <w:color w:val="auto"/>
        </w:rPr>
        <w:t>s</w:t>
      </w:r>
      <w:r w:rsidR="00267D22" w:rsidRPr="00065C01">
        <w:rPr>
          <w:color w:val="auto"/>
        </w:rPr>
        <w:t xml:space="preserve"> that motivated, for any given 11-year-old girl, the Council to offer her less chance of a place</w:t>
      </w:r>
      <w:r w:rsidR="000A730B" w:rsidRPr="00065C01">
        <w:rPr>
          <w:color w:val="auto"/>
        </w:rPr>
        <w:t xml:space="preserve"> at a selective secondary school</w:t>
      </w:r>
      <w:r w:rsidR="00267D22" w:rsidRPr="00065C01">
        <w:rPr>
          <w:color w:val="auto"/>
        </w:rPr>
        <w:t xml:space="preserve"> than it offered a comparable 11-year-old boy</w:t>
      </w:r>
      <w:r w:rsidR="00B211CE" w:rsidRPr="00065C01">
        <w:rPr>
          <w:color w:val="auto"/>
        </w:rPr>
        <w:t xml:space="preserve">, were simply that she was a girl and that the policy was to have fewer places open to girls. </w:t>
      </w:r>
      <w:r w:rsidR="000A730B" w:rsidRPr="00065C01">
        <w:rPr>
          <w:color w:val="auto"/>
        </w:rPr>
        <w:t>Th</w:t>
      </w:r>
      <w:r w:rsidR="0041113C">
        <w:rPr>
          <w:color w:val="auto"/>
        </w:rPr>
        <w:t>ese</w:t>
      </w:r>
      <w:r w:rsidR="000A730B" w:rsidRPr="00065C01">
        <w:rPr>
          <w:color w:val="auto"/>
        </w:rPr>
        <w:t xml:space="preserve"> grounds</w:t>
      </w:r>
      <w:r w:rsidR="0041113C">
        <w:rPr>
          <w:color w:val="auto"/>
        </w:rPr>
        <w:t xml:space="preserve"> are</w:t>
      </w:r>
      <w:r w:rsidR="000A730B" w:rsidRPr="00065C01">
        <w:rPr>
          <w:color w:val="auto"/>
        </w:rPr>
        <w:t xml:space="preserve"> not ruled out by </w:t>
      </w:r>
      <w:r w:rsidR="0041113C">
        <w:rPr>
          <w:color w:val="auto"/>
        </w:rPr>
        <w:t xml:space="preserve">what </w:t>
      </w:r>
      <w:r w:rsidR="000A730B" w:rsidRPr="00065C01">
        <w:rPr>
          <w:color w:val="auto"/>
        </w:rPr>
        <w:t>Lord Goff</w:t>
      </w:r>
      <w:r w:rsidR="0041113C">
        <w:rPr>
          <w:color w:val="auto"/>
        </w:rPr>
        <w:t xml:space="preserve"> had to say</w:t>
      </w:r>
      <w:r w:rsidR="000A730B" w:rsidRPr="00065C01">
        <w:rPr>
          <w:color w:val="auto"/>
        </w:rPr>
        <w:t xml:space="preserve">, and, indeed, </w:t>
      </w:r>
      <w:r w:rsidR="0041113C">
        <w:rPr>
          <w:color w:val="auto"/>
        </w:rPr>
        <w:t xml:space="preserve">the second </w:t>
      </w:r>
      <w:r w:rsidR="000A730B" w:rsidRPr="00065C01">
        <w:rPr>
          <w:color w:val="auto"/>
        </w:rPr>
        <w:t>was found to be the ground of discrimination in the case.</w:t>
      </w:r>
      <w:r w:rsidR="0041113C">
        <w:rPr>
          <w:color w:val="auto"/>
        </w:rPr>
        <w:t xml:space="preserve"> (The House of Lords did not consider any specific individual case of less favourable treatment, so they did not specifically mention any grounds relating exclusively to individuals.)</w:t>
      </w:r>
      <w:r w:rsidR="000A730B" w:rsidRPr="00065C01">
        <w:rPr>
          <w:color w:val="auto"/>
        </w:rPr>
        <w:t xml:space="preserve"> </w:t>
      </w:r>
      <w:r w:rsidR="00B211CE" w:rsidRPr="00065C01">
        <w:rPr>
          <w:color w:val="auto"/>
        </w:rPr>
        <w:t xml:space="preserve">On the other hand, the grounds that motivated the Council to </w:t>
      </w:r>
      <w:r w:rsidR="00B211CE" w:rsidRPr="00C12B79">
        <w:rPr>
          <w:i/>
          <w:color w:val="auto"/>
        </w:rPr>
        <w:t xml:space="preserve">adopt </w:t>
      </w:r>
      <w:r w:rsidR="00B211CE" w:rsidRPr="00065C01">
        <w:rPr>
          <w:color w:val="auto"/>
        </w:rPr>
        <w:t xml:space="preserve">the </w:t>
      </w:r>
      <w:r w:rsidR="000A730B" w:rsidRPr="00065C01">
        <w:rPr>
          <w:color w:val="auto"/>
        </w:rPr>
        <w:t xml:space="preserve">discriminatory </w:t>
      </w:r>
      <w:r w:rsidR="00B211CE" w:rsidRPr="00065C01">
        <w:rPr>
          <w:color w:val="auto"/>
        </w:rPr>
        <w:t>policy that it did were much more complicated</w:t>
      </w:r>
      <w:r w:rsidR="005039D1" w:rsidRPr="00065C01">
        <w:rPr>
          <w:color w:val="auto"/>
        </w:rPr>
        <w:t xml:space="preserve">: Lord Goff comments that </w:t>
      </w:r>
      <w:r w:rsidR="00AE0666">
        <w:rPr>
          <w:color w:val="auto"/>
        </w:rPr>
        <w:t>“</w:t>
      </w:r>
      <w:r w:rsidR="005039D1" w:rsidRPr="00065C01">
        <w:rPr>
          <w:color w:val="auto"/>
        </w:rPr>
        <w:t>the history of proposals for secondary school reorganisation in Birmingham has been a history of changing policies according to the philosophy of the political party in power</w:t>
      </w:r>
      <w:r w:rsidR="00AE0666">
        <w:rPr>
          <w:color w:val="auto"/>
        </w:rPr>
        <w:t>”</w:t>
      </w:r>
      <w:r w:rsidR="00AE0666" w:rsidRPr="00AE0666">
        <w:rPr>
          <w:color w:val="auto"/>
        </w:rPr>
        <w:t xml:space="preserve"> (</w:t>
      </w:r>
      <w:r w:rsidR="00AE0666" w:rsidRPr="00AE0666">
        <w:rPr>
          <w:i/>
          <w:iCs/>
          <w:color w:val="auto"/>
        </w:rPr>
        <w:t>R v Birmingham City Council</w:t>
      </w:r>
      <w:r w:rsidR="00AE0666" w:rsidRPr="00AE0666">
        <w:rPr>
          <w:color w:val="auto"/>
        </w:rPr>
        <w:t xml:space="preserve"> </w:t>
      </w:r>
      <w:r w:rsidR="00E3278D">
        <w:rPr>
          <w:color w:val="auto"/>
        </w:rPr>
        <w:t>[</w:t>
      </w:r>
      <w:r w:rsidR="00AE0666" w:rsidRPr="00AE0666">
        <w:rPr>
          <w:color w:val="auto"/>
        </w:rPr>
        <w:t>1989</w:t>
      </w:r>
      <w:r w:rsidR="00E3278D">
        <w:rPr>
          <w:color w:val="auto"/>
        </w:rPr>
        <w:t>]</w:t>
      </w:r>
      <w:r w:rsidR="00DF3FBB">
        <w:rPr>
          <w:color w:val="auto"/>
        </w:rPr>
        <w:t xml:space="preserve">: </w:t>
      </w:r>
      <w:r w:rsidR="00DF3FBB" w:rsidRPr="00DF3FBB">
        <w:rPr>
          <w:color w:val="auto"/>
        </w:rPr>
        <w:t>1190G</w:t>
      </w:r>
      <w:r w:rsidR="00AE0666" w:rsidRPr="00AE0666">
        <w:rPr>
          <w:color w:val="auto"/>
        </w:rPr>
        <w:t>)</w:t>
      </w:r>
      <w:r w:rsidR="00B211CE" w:rsidRPr="00065C01">
        <w:rPr>
          <w:color w:val="auto"/>
        </w:rPr>
        <w:t>.</w:t>
      </w:r>
    </w:p>
    <w:p w:rsidR="00AB338C" w:rsidRDefault="00AB338C" w:rsidP="0087733D">
      <w:pPr>
        <w:pStyle w:val="Default"/>
        <w:spacing w:before="120" w:after="120" w:line="480" w:lineRule="auto"/>
        <w:rPr>
          <w:color w:val="auto"/>
        </w:rPr>
      </w:pPr>
    </w:p>
    <w:p w:rsidR="00E678D1" w:rsidRPr="00065C01" w:rsidRDefault="008156D3" w:rsidP="0087733D">
      <w:pPr>
        <w:pStyle w:val="Default"/>
        <w:spacing w:before="120" w:after="120" w:line="480" w:lineRule="auto"/>
        <w:rPr>
          <w:color w:val="auto"/>
        </w:rPr>
      </w:pPr>
      <w:r w:rsidRPr="00065C01">
        <w:rPr>
          <w:color w:val="auto"/>
        </w:rPr>
        <w:t xml:space="preserve">Lord Goff’s </w:t>
      </w:r>
      <w:r w:rsidR="00AE0666">
        <w:rPr>
          <w:color w:val="auto"/>
        </w:rPr>
        <w:t>“</w:t>
      </w:r>
      <w:r w:rsidRPr="00065C01">
        <w:rPr>
          <w:color w:val="auto"/>
        </w:rPr>
        <w:t>but for</w:t>
      </w:r>
      <w:r w:rsidR="00AE0666">
        <w:rPr>
          <w:color w:val="auto"/>
        </w:rPr>
        <w:t>”</w:t>
      </w:r>
      <w:r w:rsidRPr="00065C01">
        <w:rPr>
          <w:color w:val="auto"/>
        </w:rPr>
        <w:t xml:space="preserve"> test </w:t>
      </w:r>
      <w:r w:rsidR="00DC6332" w:rsidRPr="00065C01">
        <w:rPr>
          <w:color w:val="auto"/>
        </w:rPr>
        <w:t xml:space="preserve">itself </w:t>
      </w:r>
      <w:r w:rsidRPr="00065C01">
        <w:rPr>
          <w:color w:val="auto"/>
        </w:rPr>
        <w:t xml:space="preserve">is, however, </w:t>
      </w:r>
      <w:r w:rsidR="003E00D2" w:rsidRPr="00065C01">
        <w:rPr>
          <w:color w:val="auto"/>
        </w:rPr>
        <w:t xml:space="preserve">incompatible with Finnis’s explanation of </w:t>
      </w:r>
      <w:r w:rsidR="00365E55">
        <w:rPr>
          <w:color w:val="auto"/>
        </w:rPr>
        <w:t>“</w:t>
      </w:r>
      <w:r w:rsidR="003E00D2" w:rsidRPr="00065C01">
        <w:rPr>
          <w:color w:val="auto"/>
        </w:rPr>
        <w:t>ground</w:t>
      </w:r>
      <w:r w:rsidR="00365E55">
        <w:rPr>
          <w:color w:val="auto"/>
        </w:rPr>
        <w:t>”</w:t>
      </w:r>
      <w:r w:rsidR="003E00D2" w:rsidRPr="00065C01">
        <w:rPr>
          <w:color w:val="auto"/>
        </w:rPr>
        <w:t xml:space="preserve"> and with, I contend, the statute itself. This is because the </w:t>
      </w:r>
      <w:r w:rsidR="00365E55">
        <w:rPr>
          <w:color w:val="auto"/>
        </w:rPr>
        <w:t>“</w:t>
      </w:r>
      <w:r w:rsidR="003E00D2" w:rsidRPr="00065C01">
        <w:rPr>
          <w:color w:val="auto"/>
        </w:rPr>
        <w:t>but fo</w:t>
      </w:r>
      <w:r w:rsidR="005E6A2D">
        <w:rPr>
          <w:color w:val="auto"/>
        </w:rPr>
        <w:t>r</w:t>
      </w:r>
      <w:r w:rsidR="00365E55">
        <w:rPr>
          <w:color w:val="auto"/>
        </w:rPr>
        <w:t>”</w:t>
      </w:r>
      <w:r w:rsidR="003E00D2" w:rsidRPr="00065C01">
        <w:rPr>
          <w:color w:val="auto"/>
        </w:rPr>
        <w:t xml:space="preserve"> test also picks </w:t>
      </w:r>
      <w:r w:rsidR="003E00D2" w:rsidRPr="00065C01">
        <w:rPr>
          <w:color w:val="auto"/>
        </w:rPr>
        <w:lastRenderedPageBreak/>
        <w:t xml:space="preserve">out factors that are not </w:t>
      </w:r>
      <w:proofErr w:type="spellStart"/>
      <w:r w:rsidR="003E00D2" w:rsidRPr="00065C01">
        <w:rPr>
          <w:color w:val="auto"/>
        </w:rPr>
        <w:t>premisses</w:t>
      </w:r>
      <w:proofErr w:type="spellEnd"/>
      <w:r w:rsidR="0087733D">
        <w:rPr>
          <w:color w:val="auto"/>
        </w:rPr>
        <w:t xml:space="preserve"> that motivate one’s action</w:t>
      </w:r>
      <w:r w:rsidR="003E00D2" w:rsidRPr="00065C01">
        <w:rPr>
          <w:color w:val="auto"/>
        </w:rPr>
        <w:t xml:space="preserve">, and that, thus, </w:t>
      </w:r>
      <w:r w:rsidR="00DC6332" w:rsidRPr="00065C01">
        <w:rPr>
          <w:color w:val="auto"/>
        </w:rPr>
        <w:t>are not</w:t>
      </w:r>
      <w:r w:rsidR="003E00D2" w:rsidRPr="00065C01">
        <w:rPr>
          <w:color w:val="auto"/>
        </w:rPr>
        <w:t xml:space="preserve"> grounds </w:t>
      </w:r>
      <w:r w:rsidR="00711DCF">
        <w:rPr>
          <w:color w:val="auto"/>
        </w:rPr>
        <w:t>on which one acts</w:t>
      </w:r>
      <w:r w:rsidR="003E00D2" w:rsidRPr="00065C01">
        <w:rPr>
          <w:color w:val="auto"/>
        </w:rPr>
        <w:t xml:space="preserve"> in the sense of the statute.</w:t>
      </w:r>
      <w:r w:rsidR="00E678D1" w:rsidRPr="00065C01">
        <w:rPr>
          <w:color w:val="auto"/>
        </w:rPr>
        <w:t xml:space="preserve"> As Finnis puts it:</w:t>
      </w:r>
    </w:p>
    <w:p w:rsidR="00046DD6" w:rsidRDefault="00E678D1" w:rsidP="00046DD6">
      <w:pPr>
        <w:autoSpaceDE w:val="0"/>
        <w:autoSpaceDN w:val="0"/>
        <w:adjustRightInd w:val="0"/>
        <w:spacing w:before="120" w:after="120" w:line="480" w:lineRule="auto"/>
        <w:ind w:left="709"/>
        <w:rPr>
          <w:rFonts w:ascii="Times New Roman" w:hAnsi="Times New Roman"/>
          <w:sz w:val="24"/>
          <w:szCs w:val="24"/>
        </w:rPr>
      </w:pPr>
      <w:r w:rsidRPr="00065C01">
        <w:rPr>
          <w:rFonts w:ascii="Times New Roman" w:hAnsi="Times New Roman"/>
          <w:sz w:val="24"/>
          <w:szCs w:val="24"/>
          <w:lang w:eastAsia="en-GB"/>
        </w:rPr>
        <w:t xml:space="preserve">the question […] whether the complainant </w:t>
      </w:r>
      <w:r w:rsidR="00365E55">
        <w:rPr>
          <w:rFonts w:ascii="Times New Roman" w:hAnsi="Times New Roman"/>
          <w:sz w:val="24"/>
          <w:szCs w:val="24"/>
          <w:lang w:eastAsia="en-GB"/>
        </w:rPr>
        <w:t>“</w:t>
      </w:r>
      <w:r w:rsidRPr="00065C01">
        <w:rPr>
          <w:rFonts w:ascii="Times New Roman" w:hAnsi="Times New Roman"/>
          <w:sz w:val="24"/>
          <w:szCs w:val="24"/>
          <w:lang w:eastAsia="en-GB"/>
        </w:rPr>
        <w:t>would… have received the same</w:t>
      </w:r>
      <w:r w:rsidR="0087733D">
        <w:rPr>
          <w:rFonts w:ascii="Times New Roman" w:hAnsi="Times New Roman"/>
          <w:sz w:val="24"/>
          <w:szCs w:val="24"/>
          <w:lang w:eastAsia="en-GB"/>
        </w:rPr>
        <w:t xml:space="preserve"> </w:t>
      </w:r>
      <w:r w:rsidRPr="00065C01">
        <w:rPr>
          <w:rFonts w:ascii="Times New Roman" w:hAnsi="Times New Roman"/>
          <w:sz w:val="24"/>
          <w:szCs w:val="24"/>
          <w:lang w:eastAsia="en-GB"/>
        </w:rPr>
        <w:t>treatment from the defendant but for his or her sex</w:t>
      </w:r>
      <w:r w:rsidR="00365E55">
        <w:rPr>
          <w:rFonts w:ascii="Times New Roman" w:hAnsi="Times New Roman"/>
          <w:sz w:val="24"/>
          <w:szCs w:val="24"/>
          <w:lang w:eastAsia="en-GB"/>
        </w:rPr>
        <w:t>”</w:t>
      </w:r>
      <w:r w:rsidRPr="00065C01">
        <w:rPr>
          <w:rFonts w:ascii="Times New Roman" w:hAnsi="Times New Roman"/>
          <w:sz w:val="24"/>
          <w:szCs w:val="24"/>
          <w:lang w:eastAsia="en-GB"/>
        </w:rPr>
        <w:t xml:space="preserve"> […] eliminates the statutorily mandated inquiry into the </w:t>
      </w:r>
      <w:r w:rsidRPr="00065C01">
        <w:rPr>
          <w:rFonts w:ascii="Times New Roman" w:hAnsi="Times New Roman"/>
          <w:i/>
          <w:iCs/>
          <w:sz w:val="24"/>
          <w:szCs w:val="24"/>
          <w:lang w:eastAsia="en-GB"/>
        </w:rPr>
        <w:t>defendant’s grounds</w:t>
      </w:r>
      <w:r w:rsidRPr="00065C01">
        <w:rPr>
          <w:rFonts w:ascii="Times New Roman" w:hAnsi="Times New Roman"/>
          <w:sz w:val="24"/>
          <w:szCs w:val="24"/>
          <w:lang w:eastAsia="en-GB"/>
        </w:rPr>
        <w:t xml:space="preserve">, practical reasoning and deliberation, and intentionality, in favour of an inquiry (without statutory </w:t>
      </w:r>
      <w:r w:rsidRPr="00065C01">
        <w:rPr>
          <w:rFonts w:ascii="Times New Roman" w:hAnsi="Times New Roman"/>
          <w:sz w:val="24"/>
          <w:szCs w:val="24"/>
        </w:rPr>
        <w:t xml:space="preserve">mandate) into the </w:t>
      </w:r>
      <w:r w:rsidRPr="00065C01">
        <w:rPr>
          <w:rFonts w:ascii="Times New Roman" w:hAnsi="Times New Roman"/>
          <w:i/>
          <w:iCs/>
          <w:sz w:val="24"/>
          <w:szCs w:val="24"/>
        </w:rPr>
        <w:t xml:space="preserve">causation </w:t>
      </w:r>
      <w:r w:rsidRPr="00065C01">
        <w:rPr>
          <w:rFonts w:ascii="Times New Roman" w:hAnsi="Times New Roman"/>
          <w:sz w:val="24"/>
          <w:szCs w:val="24"/>
        </w:rPr>
        <w:t xml:space="preserve">of the </w:t>
      </w:r>
      <w:r w:rsidRPr="00065C01">
        <w:rPr>
          <w:rFonts w:ascii="Times New Roman" w:hAnsi="Times New Roman"/>
          <w:i/>
          <w:iCs/>
          <w:sz w:val="24"/>
          <w:szCs w:val="24"/>
        </w:rPr>
        <w:t>complainant’s outcome</w:t>
      </w:r>
      <w:r w:rsidRPr="00065C01">
        <w:rPr>
          <w:rFonts w:ascii="Times New Roman" w:hAnsi="Times New Roman"/>
          <w:sz w:val="24"/>
          <w:szCs w:val="24"/>
        </w:rPr>
        <w:t>.</w:t>
      </w:r>
      <w:r w:rsidR="00966AFF">
        <w:rPr>
          <w:rFonts w:ascii="Times New Roman" w:hAnsi="Times New Roman"/>
          <w:sz w:val="24"/>
          <w:szCs w:val="24"/>
        </w:rPr>
        <w:t xml:space="preserve"> (Finnis 2011</w:t>
      </w:r>
      <w:r w:rsidR="00DF3FBB">
        <w:rPr>
          <w:rFonts w:ascii="Times New Roman" w:hAnsi="Times New Roman"/>
          <w:sz w:val="24"/>
          <w:szCs w:val="24"/>
        </w:rPr>
        <w:t xml:space="preserve">: </w:t>
      </w:r>
      <w:r w:rsidR="00DF3FBB" w:rsidRPr="00DF3FBB">
        <w:rPr>
          <w:rFonts w:ascii="Times New Roman" w:hAnsi="Times New Roman"/>
          <w:sz w:val="24"/>
          <w:szCs w:val="24"/>
        </w:rPr>
        <w:t>271–272</w:t>
      </w:r>
      <w:r w:rsidR="00966AFF">
        <w:rPr>
          <w:rFonts w:ascii="Times New Roman" w:hAnsi="Times New Roman"/>
          <w:sz w:val="24"/>
          <w:szCs w:val="24"/>
        </w:rPr>
        <w:t>)</w:t>
      </w:r>
    </w:p>
    <w:p w:rsidR="00DC6332" w:rsidRPr="00046DD6" w:rsidRDefault="00DC6332" w:rsidP="00046DD6">
      <w:pPr>
        <w:autoSpaceDE w:val="0"/>
        <w:autoSpaceDN w:val="0"/>
        <w:adjustRightInd w:val="0"/>
        <w:spacing w:before="120" w:after="120" w:line="480" w:lineRule="auto"/>
        <w:rPr>
          <w:rFonts w:ascii="Times New Roman" w:hAnsi="Times New Roman"/>
          <w:sz w:val="24"/>
          <w:szCs w:val="24"/>
        </w:rPr>
      </w:pPr>
      <w:r w:rsidRPr="00065C01">
        <w:rPr>
          <w:rFonts w:ascii="Times New Roman" w:hAnsi="Times New Roman"/>
          <w:color w:val="000000"/>
          <w:sz w:val="24"/>
          <w:szCs w:val="24"/>
        </w:rPr>
        <w:t>Lord Nicholls also recogni</w:t>
      </w:r>
      <w:r w:rsidR="0015173D">
        <w:rPr>
          <w:rFonts w:ascii="Times New Roman" w:hAnsi="Times New Roman"/>
          <w:color w:val="000000"/>
          <w:sz w:val="24"/>
          <w:szCs w:val="24"/>
        </w:rPr>
        <w:t>s</w:t>
      </w:r>
      <w:r w:rsidR="005E6A2D">
        <w:rPr>
          <w:rFonts w:ascii="Times New Roman" w:hAnsi="Times New Roman"/>
          <w:color w:val="000000"/>
          <w:sz w:val="24"/>
          <w:szCs w:val="24"/>
        </w:rPr>
        <w:t xml:space="preserve">es the incompatibility of the </w:t>
      </w:r>
      <w:r w:rsidR="00966AFF">
        <w:rPr>
          <w:rFonts w:ascii="Times New Roman" w:hAnsi="Times New Roman"/>
          <w:color w:val="000000"/>
          <w:sz w:val="24"/>
          <w:szCs w:val="24"/>
        </w:rPr>
        <w:t>“</w:t>
      </w:r>
      <w:r w:rsidRPr="00065C01">
        <w:rPr>
          <w:rFonts w:ascii="Times New Roman" w:hAnsi="Times New Roman"/>
          <w:color w:val="000000"/>
          <w:sz w:val="24"/>
          <w:szCs w:val="24"/>
        </w:rPr>
        <w:t>but fo</w:t>
      </w:r>
      <w:r w:rsidR="005E6A2D">
        <w:rPr>
          <w:rFonts w:ascii="Times New Roman" w:hAnsi="Times New Roman"/>
          <w:color w:val="000000"/>
          <w:sz w:val="24"/>
          <w:szCs w:val="24"/>
        </w:rPr>
        <w:t>r</w:t>
      </w:r>
      <w:r w:rsidR="00966AFF">
        <w:rPr>
          <w:rFonts w:ascii="Times New Roman" w:hAnsi="Times New Roman"/>
          <w:color w:val="000000"/>
          <w:sz w:val="24"/>
          <w:szCs w:val="24"/>
        </w:rPr>
        <w:t>”</w:t>
      </w:r>
      <w:r w:rsidRPr="00065C01">
        <w:rPr>
          <w:rFonts w:ascii="Times New Roman" w:hAnsi="Times New Roman"/>
          <w:color w:val="000000"/>
          <w:sz w:val="24"/>
          <w:szCs w:val="24"/>
        </w:rPr>
        <w:t xml:space="preserve"> test and the</w:t>
      </w:r>
      <w:r w:rsidRPr="00065C01">
        <w:rPr>
          <w:rFonts w:ascii="Times New Roman" w:hAnsi="Times New Roman"/>
          <w:sz w:val="24"/>
          <w:szCs w:val="24"/>
          <w:lang w:eastAsia="en-GB"/>
        </w:rPr>
        <w:t xml:space="preserve"> statutorily mandated inquiry into grounds i</w:t>
      </w:r>
      <w:r w:rsidRPr="00065C01">
        <w:rPr>
          <w:rFonts w:ascii="Times New Roman" w:hAnsi="Times New Roman"/>
          <w:color w:val="000000"/>
          <w:sz w:val="24"/>
          <w:szCs w:val="24"/>
        </w:rPr>
        <w:t xml:space="preserve">n </w:t>
      </w:r>
      <w:r w:rsidR="00966AFF">
        <w:rPr>
          <w:rFonts w:ascii="Times New Roman" w:hAnsi="Times New Roman"/>
          <w:color w:val="000000"/>
          <w:sz w:val="24"/>
          <w:szCs w:val="24"/>
        </w:rPr>
        <w:t xml:space="preserve">a </w:t>
      </w:r>
      <w:r w:rsidRPr="00065C01">
        <w:rPr>
          <w:rFonts w:ascii="Times New Roman" w:hAnsi="Times New Roman"/>
          <w:color w:val="000000"/>
          <w:sz w:val="24"/>
          <w:szCs w:val="24"/>
        </w:rPr>
        <w:t xml:space="preserve">2001 case in connection with the similar phrase </w:t>
      </w:r>
      <w:r w:rsidR="00966AFF">
        <w:rPr>
          <w:rFonts w:ascii="Times New Roman" w:hAnsi="Times New Roman"/>
          <w:color w:val="000000"/>
          <w:sz w:val="24"/>
          <w:szCs w:val="24"/>
        </w:rPr>
        <w:t>“</w:t>
      </w:r>
      <w:r w:rsidRPr="00065C01">
        <w:rPr>
          <w:rFonts w:ascii="Times New Roman" w:hAnsi="Times New Roman"/>
          <w:color w:val="000000"/>
          <w:sz w:val="24"/>
          <w:szCs w:val="24"/>
        </w:rPr>
        <w:t>by reason that</w:t>
      </w:r>
      <w:r w:rsidR="00966AFF">
        <w:rPr>
          <w:rFonts w:ascii="Times New Roman" w:hAnsi="Times New Roman"/>
          <w:color w:val="000000"/>
          <w:sz w:val="24"/>
          <w:szCs w:val="24"/>
        </w:rPr>
        <w:t>”</w:t>
      </w:r>
      <w:r w:rsidRPr="00065C01">
        <w:rPr>
          <w:rFonts w:ascii="Times New Roman" w:hAnsi="Times New Roman"/>
          <w:color w:val="000000"/>
          <w:sz w:val="24"/>
          <w:szCs w:val="24"/>
        </w:rPr>
        <w:t>:</w:t>
      </w:r>
    </w:p>
    <w:p w:rsidR="0057065E" w:rsidRPr="00966AFF" w:rsidRDefault="00DC6332" w:rsidP="0087733D">
      <w:pPr>
        <w:pStyle w:val="Default"/>
        <w:spacing w:before="120" w:after="120" w:line="480" w:lineRule="auto"/>
        <w:ind w:left="709"/>
        <w:rPr>
          <w:iCs/>
          <w:color w:val="auto"/>
        </w:rPr>
      </w:pPr>
      <w:r w:rsidRPr="00065C01">
        <w:rPr>
          <w:color w:val="auto"/>
        </w:rPr>
        <w:t>Contrary to views sometimes stated, the third ingredient (</w:t>
      </w:r>
      <w:r w:rsidR="00D76556">
        <w:rPr>
          <w:color w:val="auto"/>
        </w:rPr>
        <w:t>“</w:t>
      </w:r>
      <w:r w:rsidRPr="00065C01">
        <w:rPr>
          <w:color w:val="auto"/>
        </w:rPr>
        <w:t>by reason that</w:t>
      </w:r>
      <w:r w:rsidR="00D76556">
        <w:rPr>
          <w:color w:val="auto"/>
        </w:rPr>
        <w:t>”</w:t>
      </w:r>
      <w:r w:rsidRPr="00065C01">
        <w:rPr>
          <w:color w:val="auto"/>
        </w:rPr>
        <w:t>) does not raise a question of causation as that expression is usually understood.</w:t>
      </w:r>
      <w:r w:rsidR="00D4714F">
        <w:rPr>
          <w:color w:val="auto"/>
        </w:rPr>
        <w:t xml:space="preserve"> […]</w:t>
      </w:r>
      <w:r w:rsidRPr="00065C01">
        <w:rPr>
          <w:color w:val="auto"/>
        </w:rPr>
        <w:t xml:space="preserve"> Sometimes the court may look for the </w:t>
      </w:r>
      <w:r w:rsidR="00D76556">
        <w:rPr>
          <w:color w:val="auto"/>
        </w:rPr>
        <w:t>“</w:t>
      </w:r>
      <w:r w:rsidRPr="00065C01">
        <w:rPr>
          <w:color w:val="auto"/>
        </w:rPr>
        <w:t>operative</w:t>
      </w:r>
      <w:r w:rsidR="00D76556">
        <w:rPr>
          <w:color w:val="auto"/>
        </w:rPr>
        <w:t>”</w:t>
      </w:r>
      <w:r w:rsidRPr="00065C01">
        <w:rPr>
          <w:color w:val="auto"/>
        </w:rPr>
        <w:t xml:space="preserve"> cause, or the </w:t>
      </w:r>
      <w:r w:rsidR="00D76556">
        <w:rPr>
          <w:color w:val="auto"/>
        </w:rPr>
        <w:t>“</w:t>
      </w:r>
      <w:r w:rsidRPr="00065C01">
        <w:rPr>
          <w:color w:val="auto"/>
        </w:rPr>
        <w:t>effective</w:t>
      </w:r>
      <w:r w:rsidR="00D76556">
        <w:rPr>
          <w:color w:val="auto"/>
        </w:rPr>
        <w:t>”</w:t>
      </w:r>
      <w:r w:rsidR="005E6A2D">
        <w:rPr>
          <w:color w:val="auto"/>
        </w:rPr>
        <w:t xml:space="preserve"> </w:t>
      </w:r>
      <w:r w:rsidRPr="00065C01">
        <w:rPr>
          <w:color w:val="auto"/>
        </w:rPr>
        <w:t xml:space="preserve">cause. Sometimes it may apply a </w:t>
      </w:r>
      <w:r w:rsidR="00D76556">
        <w:rPr>
          <w:color w:val="auto"/>
        </w:rPr>
        <w:t>“</w:t>
      </w:r>
      <w:r w:rsidRPr="00065C01">
        <w:rPr>
          <w:color w:val="auto"/>
        </w:rPr>
        <w:t>but for</w:t>
      </w:r>
      <w:r w:rsidR="00D76556">
        <w:rPr>
          <w:color w:val="auto"/>
        </w:rPr>
        <w:t>”</w:t>
      </w:r>
      <w:r w:rsidRPr="00065C01">
        <w:rPr>
          <w:color w:val="auto"/>
        </w:rPr>
        <w:t xml:space="preserve"> approach. For the reasons I sought to explain in </w:t>
      </w:r>
      <w:r w:rsidRPr="00065C01">
        <w:rPr>
          <w:i/>
          <w:iCs/>
          <w:color w:val="auto"/>
        </w:rPr>
        <w:t xml:space="preserve">Nagarajan v London Regional Transport </w:t>
      </w:r>
      <w:r w:rsidRPr="00065C01">
        <w:rPr>
          <w:color w:val="auto"/>
        </w:rPr>
        <w:t xml:space="preserve">[2000] 1 AC 502, 510–512, a causation exercise of this type is not required either by section </w:t>
      </w:r>
      <w:proofErr w:type="spellStart"/>
      <w:r w:rsidRPr="00065C01">
        <w:rPr>
          <w:color w:val="auto"/>
        </w:rPr>
        <w:t>i</w:t>
      </w:r>
      <w:proofErr w:type="spellEnd"/>
      <w:r w:rsidRPr="00065C01">
        <w:rPr>
          <w:color w:val="auto"/>
        </w:rPr>
        <w:t>(</w:t>
      </w:r>
      <w:proofErr w:type="spellStart"/>
      <w:r w:rsidRPr="00065C01">
        <w:rPr>
          <w:color w:val="auto"/>
        </w:rPr>
        <w:t>i</w:t>
      </w:r>
      <w:proofErr w:type="spellEnd"/>
      <w:r w:rsidRPr="00065C01">
        <w:rPr>
          <w:color w:val="auto"/>
        </w:rPr>
        <w:t xml:space="preserve">)(a) or section 2. The phrases </w:t>
      </w:r>
      <w:r w:rsidR="00D76556">
        <w:rPr>
          <w:color w:val="auto"/>
        </w:rPr>
        <w:t>“</w:t>
      </w:r>
      <w:r w:rsidRPr="00065C01">
        <w:rPr>
          <w:color w:val="auto"/>
        </w:rPr>
        <w:t>on racial grounds</w:t>
      </w:r>
      <w:r w:rsidR="00D76556">
        <w:rPr>
          <w:color w:val="auto"/>
        </w:rPr>
        <w:t>”</w:t>
      </w:r>
      <w:r w:rsidR="000E0136">
        <w:rPr>
          <w:color w:val="auto"/>
        </w:rPr>
        <w:t xml:space="preserve"> </w:t>
      </w:r>
      <w:r w:rsidRPr="00065C01">
        <w:rPr>
          <w:color w:val="auto"/>
        </w:rPr>
        <w:t xml:space="preserve">and </w:t>
      </w:r>
      <w:r w:rsidR="00D76556">
        <w:rPr>
          <w:color w:val="auto"/>
        </w:rPr>
        <w:t>“</w:t>
      </w:r>
      <w:r w:rsidRPr="00065C01">
        <w:rPr>
          <w:color w:val="auto"/>
        </w:rPr>
        <w:t>by reason that</w:t>
      </w:r>
      <w:r w:rsidR="00D76556">
        <w:rPr>
          <w:color w:val="auto"/>
        </w:rPr>
        <w:t>”</w:t>
      </w:r>
      <w:r w:rsidRPr="00065C01">
        <w:rPr>
          <w:color w:val="auto"/>
        </w:rPr>
        <w:t xml:space="preserve"> denote a different exercise: why did the alleged discriminator act as he did? What, consciously or unconsciously, was his reason? Unlike causation, this is a subjective test.</w:t>
      </w:r>
      <w:r w:rsidR="00966AFF">
        <w:rPr>
          <w:color w:val="auto"/>
        </w:rPr>
        <w:t xml:space="preserve"> (</w:t>
      </w:r>
      <w:bookmarkStart w:id="12" w:name="_Hlk44507072"/>
      <w:r w:rsidR="00966AFF" w:rsidRPr="00966AFF">
        <w:rPr>
          <w:i/>
          <w:color w:val="auto"/>
        </w:rPr>
        <w:t>Chief Constable of the West Yorkshire Police v Khan</w:t>
      </w:r>
      <w:r w:rsidR="00966AFF">
        <w:rPr>
          <w:iCs/>
          <w:color w:val="auto"/>
        </w:rPr>
        <w:t xml:space="preserve"> </w:t>
      </w:r>
      <w:r w:rsidR="00966AFF" w:rsidRPr="00966AFF">
        <w:rPr>
          <w:iCs/>
          <w:color w:val="auto"/>
        </w:rPr>
        <w:t>[2001]</w:t>
      </w:r>
      <w:bookmarkEnd w:id="12"/>
      <w:r w:rsidR="00AF6461">
        <w:rPr>
          <w:iCs/>
          <w:color w:val="auto"/>
        </w:rPr>
        <w:t xml:space="preserve">: </w:t>
      </w:r>
      <w:r w:rsidR="00AF6461" w:rsidRPr="00AF6461">
        <w:rPr>
          <w:iCs/>
          <w:color w:val="auto"/>
        </w:rPr>
        <w:t>1954 B–D [29]</w:t>
      </w:r>
      <w:r w:rsidR="00966AFF">
        <w:rPr>
          <w:iCs/>
          <w:color w:val="auto"/>
        </w:rPr>
        <w:t>)</w:t>
      </w:r>
    </w:p>
    <w:p w:rsidR="00E678D1" w:rsidRPr="009A04B4" w:rsidRDefault="009A04B4" w:rsidP="00967188">
      <w:pPr>
        <w:pStyle w:val="Heading2"/>
        <w:numPr>
          <w:ilvl w:val="0"/>
          <w:numId w:val="7"/>
        </w:numPr>
        <w:spacing w:line="480" w:lineRule="auto"/>
        <w:jc w:val="center"/>
        <w:rPr>
          <w:rFonts w:ascii="Times New Roman" w:hAnsi="Times New Roman"/>
          <w:b w:val="0"/>
        </w:rPr>
      </w:pPr>
      <w:r w:rsidRPr="009A04B4">
        <w:rPr>
          <w:rFonts w:ascii="Times New Roman" w:hAnsi="Times New Roman"/>
          <w:b w:val="0"/>
        </w:rPr>
        <w:t xml:space="preserve">JAMES </w:t>
      </w:r>
      <w:r w:rsidR="000C1018">
        <w:rPr>
          <w:rFonts w:ascii="Times New Roman" w:hAnsi="Times New Roman"/>
          <w:b w:val="0"/>
        </w:rPr>
        <w:t>v</w:t>
      </w:r>
      <w:r w:rsidRPr="009A04B4">
        <w:rPr>
          <w:rFonts w:ascii="Times New Roman" w:hAnsi="Times New Roman"/>
          <w:b w:val="0"/>
        </w:rPr>
        <w:t xml:space="preserve"> EASTLEIGH BOROUGH COUNCIL</w:t>
      </w:r>
      <w:r w:rsidR="00BD182F">
        <w:rPr>
          <w:rFonts w:ascii="Times New Roman" w:hAnsi="Times New Roman"/>
          <w:b w:val="0"/>
        </w:rPr>
        <w:t xml:space="preserve"> (HL) </w:t>
      </w:r>
      <w:r w:rsidR="00BD182F" w:rsidRPr="00BD182F">
        <w:rPr>
          <w:b w:val="0"/>
          <w:bCs w:val="0"/>
          <w:i w:val="0"/>
          <w:iCs w:val="0"/>
        </w:rPr>
        <w:t>[1990]</w:t>
      </w:r>
    </w:p>
    <w:p w:rsidR="00A57690" w:rsidRPr="00065C01" w:rsidRDefault="00E678D1" w:rsidP="00214DBE">
      <w:pPr>
        <w:pStyle w:val="Default"/>
        <w:spacing w:before="120" w:after="120" w:line="480" w:lineRule="auto"/>
        <w:rPr>
          <w:color w:val="auto"/>
        </w:rPr>
      </w:pPr>
      <w:r w:rsidRPr="00065C01">
        <w:rPr>
          <w:color w:val="auto"/>
        </w:rPr>
        <w:t xml:space="preserve">The </w:t>
      </w:r>
      <w:r w:rsidR="009517DC" w:rsidRPr="00065C01">
        <w:rPr>
          <w:color w:val="auto"/>
        </w:rPr>
        <w:t>leadin</w:t>
      </w:r>
      <w:r w:rsidR="00B44DE0" w:rsidRPr="00065C01">
        <w:rPr>
          <w:color w:val="auto"/>
        </w:rPr>
        <w:t xml:space="preserve">g case </w:t>
      </w:r>
      <w:r w:rsidR="00711DCF">
        <w:rPr>
          <w:color w:val="auto"/>
        </w:rPr>
        <w:t xml:space="preserve">on the concept of direct discrimination </w:t>
      </w:r>
      <w:r w:rsidR="00B44DE0" w:rsidRPr="00065C01">
        <w:rPr>
          <w:color w:val="auto"/>
        </w:rPr>
        <w:t xml:space="preserve">in UK discrimination law, </w:t>
      </w:r>
      <w:r w:rsidR="003E00D2" w:rsidRPr="00065C01">
        <w:rPr>
          <w:color w:val="auto"/>
        </w:rPr>
        <w:t xml:space="preserve">the case of </w:t>
      </w:r>
      <w:bookmarkStart w:id="13" w:name="_Hlk44507186"/>
      <w:r w:rsidR="009767D3" w:rsidRPr="00065C01">
        <w:rPr>
          <w:i/>
          <w:color w:val="auto"/>
        </w:rPr>
        <w:t>James v Eastleigh Borough Council</w:t>
      </w:r>
      <w:r w:rsidR="003C55A1">
        <w:rPr>
          <w:i/>
          <w:color w:val="auto"/>
        </w:rPr>
        <w:t xml:space="preserve"> </w:t>
      </w:r>
      <w:r w:rsidR="003C55A1" w:rsidRPr="003C2047">
        <w:rPr>
          <w:iCs/>
          <w:color w:val="auto"/>
        </w:rPr>
        <w:t>(HL)</w:t>
      </w:r>
      <w:r w:rsidR="00D76556" w:rsidRPr="003C2047">
        <w:rPr>
          <w:iCs/>
          <w:color w:val="auto"/>
        </w:rPr>
        <w:t xml:space="preserve"> </w:t>
      </w:r>
      <w:r w:rsidR="00D76556">
        <w:rPr>
          <w:color w:val="auto"/>
        </w:rPr>
        <w:t>[</w:t>
      </w:r>
      <w:r w:rsidR="00D76556" w:rsidRPr="00D76556">
        <w:rPr>
          <w:color w:val="auto"/>
        </w:rPr>
        <w:t>1990]</w:t>
      </w:r>
      <w:bookmarkEnd w:id="13"/>
      <w:r w:rsidR="00A41EBD">
        <w:rPr>
          <w:color w:val="auto"/>
        </w:rPr>
        <w:t>,</w:t>
      </w:r>
      <w:r w:rsidR="009767D3" w:rsidRPr="00065C01">
        <w:rPr>
          <w:color w:val="auto"/>
        </w:rPr>
        <w:t xml:space="preserve"> </w:t>
      </w:r>
      <w:r w:rsidR="00B44DE0" w:rsidRPr="00065C01">
        <w:rPr>
          <w:color w:val="auto"/>
        </w:rPr>
        <w:t xml:space="preserve">features the </w:t>
      </w:r>
      <w:r w:rsidR="00A41EBD">
        <w:rPr>
          <w:color w:val="auto"/>
        </w:rPr>
        <w:t>“</w:t>
      </w:r>
      <w:r w:rsidR="00B44DE0" w:rsidRPr="00065C01">
        <w:rPr>
          <w:color w:val="auto"/>
        </w:rPr>
        <w:t>but for</w:t>
      </w:r>
      <w:r w:rsidR="00A41EBD">
        <w:rPr>
          <w:color w:val="auto"/>
        </w:rPr>
        <w:t>”</w:t>
      </w:r>
      <w:r w:rsidR="00B44DE0" w:rsidRPr="00065C01">
        <w:rPr>
          <w:color w:val="auto"/>
        </w:rPr>
        <w:t xml:space="preserve"> test at work. </w:t>
      </w:r>
      <w:r w:rsidR="003C55A1" w:rsidRPr="003C55A1">
        <w:rPr>
          <w:iCs/>
          <w:color w:val="auto"/>
        </w:rPr>
        <w:t xml:space="preserve">The </w:t>
      </w:r>
      <w:r w:rsidR="003C55A1" w:rsidRPr="003C55A1">
        <w:rPr>
          <w:iCs/>
          <w:color w:val="auto"/>
        </w:rPr>
        <w:lastRenderedPageBreak/>
        <w:t>case</w:t>
      </w:r>
      <w:r w:rsidR="00FD6332" w:rsidRPr="00065C01">
        <w:rPr>
          <w:i/>
          <w:color w:val="auto"/>
        </w:rPr>
        <w:t xml:space="preserve"> </w:t>
      </w:r>
      <w:r w:rsidR="009767D3" w:rsidRPr="00065C01">
        <w:rPr>
          <w:color w:val="auto"/>
        </w:rPr>
        <w:t>concerned</w:t>
      </w:r>
      <w:r w:rsidR="00FD6332" w:rsidRPr="00065C01">
        <w:rPr>
          <w:color w:val="auto"/>
        </w:rPr>
        <w:t xml:space="preserve"> whether it was discrimination</w:t>
      </w:r>
      <w:r w:rsidRPr="00065C01">
        <w:rPr>
          <w:color w:val="auto"/>
        </w:rPr>
        <w:t xml:space="preserve"> against </w:t>
      </w:r>
      <w:r w:rsidR="00B32CA2">
        <w:rPr>
          <w:color w:val="auto"/>
        </w:rPr>
        <w:t>Pete</w:t>
      </w:r>
      <w:r w:rsidRPr="00065C01">
        <w:rPr>
          <w:color w:val="auto"/>
        </w:rPr>
        <w:t xml:space="preserve">r James on </w:t>
      </w:r>
      <w:r w:rsidR="00D4714F">
        <w:rPr>
          <w:color w:val="auto"/>
        </w:rPr>
        <w:t xml:space="preserve">the </w:t>
      </w:r>
      <w:r w:rsidRPr="00065C01">
        <w:rPr>
          <w:color w:val="auto"/>
        </w:rPr>
        <w:t>ground</w:t>
      </w:r>
      <w:r w:rsidR="00FD6332" w:rsidRPr="00065C01">
        <w:rPr>
          <w:color w:val="auto"/>
        </w:rPr>
        <w:t xml:space="preserve"> of </w:t>
      </w:r>
      <w:r w:rsidRPr="00065C01">
        <w:rPr>
          <w:color w:val="auto"/>
        </w:rPr>
        <w:t xml:space="preserve">his </w:t>
      </w:r>
      <w:r w:rsidR="00FD6332" w:rsidRPr="00065C01">
        <w:rPr>
          <w:color w:val="auto"/>
        </w:rPr>
        <w:t>sex</w:t>
      </w:r>
      <w:r w:rsidR="00E67362">
        <w:rPr>
          <w:rStyle w:val="FootnoteReference"/>
          <w:color w:val="auto"/>
        </w:rPr>
        <w:footnoteReference w:id="6"/>
      </w:r>
      <w:r w:rsidR="00FD6332" w:rsidRPr="00065C01">
        <w:rPr>
          <w:color w:val="auto"/>
        </w:rPr>
        <w:t xml:space="preserve"> to </w:t>
      </w:r>
      <w:r w:rsidR="00B44DE0" w:rsidRPr="00065C01">
        <w:rPr>
          <w:color w:val="auto"/>
        </w:rPr>
        <w:t>charge him for entry to the swimming baths on the ground that he was not of pensionable age,</w:t>
      </w:r>
      <w:r w:rsidR="00FD6332" w:rsidRPr="00065C01">
        <w:rPr>
          <w:color w:val="auto"/>
        </w:rPr>
        <w:t xml:space="preserve"> the criterion for free entry to </w:t>
      </w:r>
      <w:r w:rsidR="00B44DE0" w:rsidRPr="00065C01">
        <w:rPr>
          <w:color w:val="auto"/>
        </w:rPr>
        <w:t>Fleming Park Leisure Centre, Eastleigh</w:t>
      </w:r>
      <w:r w:rsidR="006315A6">
        <w:rPr>
          <w:color w:val="auto"/>
        </w:rPr>
        <w:t xml:space="preserve"> (</w:t>
      </w:r>
      <w:r w:rsidR="003C2047" w:rsidRPr="003C2047">
        <w:rPr>
          <w:i/>
          <w:color w:val="auto"/>
        </w:rPr>
        <w:t xml:space="preserve">James v Eastleigh Borough Council </w:t>
      </w:r>
      <w:r w:rsidR="003C2047" w:rsidRPr="003C2047">
        <w:rPr>
          <w:iCs/>
          <w:color w:val="auto"/>
        </w:rPr>
        <w:t xml:space="preserve">(HL) </w:t>
      </w:r>
      <w:r w:rsidR="003C2047" w:rsidRPr="003C2047">
        <w:rPr>
          <w:color w:val="auto"/>
        </w:rPr>
        <w:t>[1990]</w:t>
      </w:r>
      <w:r w:rsidR="003C2047">
        <w:rPr>
          <w:color w:val="auto"/>
        </w:rPr>
        <w:t xml:space="preserve">: </w:t>
      </w:r>
      <w:r w:rsidR="006315A6" w:rsidRPr="006315A6">
        <w:rPr>
          <w:color w:val="auto"/>
        </w:rPr>
        <w:t>765D</w:t>
      </w:r>
      <w:r w:rsidR="006315A6">
        <w:rPr>
          <w:color w:val="auto"/>
        </w:rPr>
        <w:t>)</w:t>
      </w:r>
      <w:r w:rsidR="00407404" w:rsidRPr="00065C01">
        <w:rPr>
          <w:color w:val="auto"/>
        </w:rPr>
        <w:t>.</w:t>
      </w:r>
      <w:r w:rsidR="00104E16" w:rsidRPr="00065C01">
        <w:rPr>
          <w:color w:val="auto"/>
        </w:rPr>
        <w:t xml:space="preserve"> </w:t>
      </w:r>
      <w:r w:rsidR="002975E3" w:rsidRPr="00065C01">
        <w:rPr>
          <w:color w:val="auto"/>
        </w:rPr>
        <w:t>When the case was i</w:t>
      </w:r>
      <w:r w:rsidR="00FD6332" w:rsidRPr="00065C01">
        <w:rPr>
          <w:color w:val="auto"/>
        </w:rPr>
        <w:t xml:space="preserve">n </w:t>
      </w:r>
      <w:r w:rsidR="00A57690" w:rsidRPr="00065C01">
        <w:rPr>
          <w:color w:val="auto"/>
        </w:rPr>
        <w:t>the Court of Appeal</w:t>
      </w:r>
      <w:r w:rsidR="00E3278D">
        <w:rPr>
          <w:rStyle w:val="FootnoteReference"/>
          <w:color w:val="auto"/>
        </w:rPr>
        <w:t xml:space="preserve"> </w:t>
      </w:r>
      <w:r w:rsidR="00F84196">
        <w:rPr>
          <w:color w:val="auto"/>
        </w:rPr>
        <w:t>th</w:t>
      </w:r>
      <w:r w:rsidR="001930DD" w:rsidRPr="001930DD">
        <w:rPr>
          <w:color w:val="auto"/>
        </w:rPr>
        <w:t xml:space="preserve">e argument that discrimination </w:t>
      </w:r>
      <w:r w:rsidR="001930DD">
        <w:rPr>
          <w:color w:val="auto"/>
        </w:rPr>
        <w:t>wa</w:t>
      </w:r>
      <w:r w:rsidR="001930DD" w:rsidRPr="001930DD">
        <w:rPr>
          <w:color w:val="auto"/>
        </w:rPr>
        <w:t>s on the ground of</w:t>
      </w:r>
      <w:r w:rsidR="001930DD">
        <w:rPr>
          <w:color w:val="auto"/>
        </w:rPr>
        <w:t xml:space="preserve"> </w:t>
      </w:r>
      <w:r w:rsidR="00D4714F">
        <w:rPr>
          <w:color w:val="auto"/>
        </w:rPr>
        <w:t xml:space="preserve">his </w:t>
      </w:r>
      <w:r w:rsidR="001930DD">
        <w:rPr>
          <w:color w:val="auto"/>
        </w:rPr>
        <w:t xml:space="preserve">sex </w:t>
      </w:r>
      <w:r w:rsidR="001930DD" w:rsidRPr="001930DD">
        <w:rPr>
          <w:color w:val="auto"/>
        </w:rPr>
        <w:t xml:space="preserve">if the sex of the </w:t>
      </w:r>
      <w:r w:rsidR="001930DD">
        <w:rPr>
          <w:color w:val="auto"/>
        </w:rPr>
        <w:t>victim wa</w:t>
      </w:r>
      <w:r w:rsidR="001930DD" w:rsidRPr="001930DD">
        <w:rPr>
          <w:color w:val="auto"/>
        </w:rPr>
        <w:t xml:space="preserve">s </w:t>
      </w:r>
      <w:r w:rsidR="00896C77">
        <w:rPr>
          <w:color w:val="auto"/>
        </w:rPr>
        <w:t>“</w:t>
      </w:r>
      <w:r w:rsidR="001930DD" w:rsidRPr="001930DD">
        <w:rPr>
          <w:color w:val="auto"/>
        </w:rPr>
        <w:t>a substantial cause of the less favourable treatment</w:t>
      </w:r>
      <w:r w:rsidR="00896C77">
        <w:rPr>
          <w:color w:val="auto"/>
        </w:rPr>
        <w:t>”</w:t>
      </w:r>
      <w:r w:rsidR="006315A6">
        <w:rPr>
          <w:color w:val="auto"/>
        </w:rPr>
        <w:t xml:space="preserve"> (</w:t>
      </w:r>
      <w:r w:rsidR="001306F0" w:rsidRPr="001306F0">
        <w:rPr>
          <w:i/>
          <w:color w:val="auto"/>
        </w:rPr>
        <w:t>James</w:t>
      </w:r>
      <w:r w:rsidR="001306F0" w:rsidRPr="001306F0">
        <w:rPr>
          <w:color w:val="auto"/>
        </w:rPr>
        <w:t xml:space="preserve"> </w:t>
      </w:r>
      <w:r w:rsidR="001306F0" w:rsidRPr="001306F0">
        <w:rPr>
          <w:i/>
          <w:color w:val="auto"/>
        </w:rPr>
        <w:t>v Eastleigh</w:t>
      </w:r>
      <w:r w:rsidR="001306F0" w:rsidRPr="001306F0">
        <w:rPr>
          <w:color w:val="auto"/>
        </w:rPr>
        <w:t xml:space="preserve"> </w:t>
      </w:r>
      <w:r w:rsidR="001306F0" w:rsidRPr="001306F0">
        <w:rPr>
          <w:i/>
          <w:color w:val="auto"/>
        </w:rPr>
        <w:t xml:space="preserve">Borough Council </w:t>
      </w:r>
      <w:r w:rsidR="001306F0" w:rsidRPr="001306F0">
        <w:rPr>
          <w:color w:val="auto"/>
        </w:rPr>
        <w:t>(CA) [1990]</w:t>
      </w:r>
      <w:r w:rsidR="001306F0">
        <w:rPr>
          <w:color w:val="auto"/>
        </w:rPr>
        <w:t>:</w:t>
      </w:r>
      <w:r w:rsidR="001306F0" w:rsidRPr="001306F0">
        <w:rPr>
          <w:color w:val="auto"/>
        </w:rPr>
        <w:t xml:space="preserve"> </w:t>
      </w:r>
      <w:r w:rsidR="006315A6" w:rsidRPr="006315A6">
        <w:rPr>
          <w:color w:val="auto"/>
        </w:rPr>
        <w:t>74A</w:t>
      </w:r>
      <w:r w:rsidR="006315A6">
        <w:rPr>
          <w:color w:val="auto"/>
        </w:rPr>
        <w:t>)</w:t>
      </w:r>
      <w:r w:rsidR="00CD2654">
        <w:rPr>
          <w:color w:val="auto"/>
        </w:rPr>
        <w:t xml:space="preserve"> was put to the </w:t>
      </w:r>
      <w:r w:rsidR="000933E6">
        <w:rPr>
          <w:color w:val="auto"/>
        </w:rPr>
        <w:t>c</w:t>
      </w:r>
      <w:r w:rsidR="00CD2654">
        <w:rPr>
          <w:color w:val="auto"/>
        </w:rPr>
        <w:t xml:space="preserve">ourt, and put as being equivalent to the </w:t>
      </w:r>
      <w:r w:rsidR="00896C77">
        <w:rPr>
          <w:color w:val="auto"/>
        </w:rPr>
        <w:t>“</w:t>
      </w:r>
      <w:r w:rsidR="00CD2654">
        <w:rPr>
          <w:color w:val="auto"/>
        </w:rPr>
        <w:t>but for</w:t>
      </w:r>
      <w:r w:rsidR="00896C77">
        <w:rPr>
          <w:color w:val="auto"/>
        </w:rPr>
        <w:t>”</w:t>
      </w:r>
      <w:r w:rsidR="00CD2654">
        <w:rPr>
          <w:color w:val="auto"/>
        </w:rPr>
        <w:t xml:space="preserve"> test</w:t>
      </w:r>
      <w:r w:rsidR="00D93B60">
        <w:rPr>
          <w:color w:val="auto"/>
        </w:rPr>
        <w:t xml:space="preserve"> (</w:t>
      </w:r>
      <w:r w:rsidR="00216CB4" w:rsidRPr="00216CB4">
        <w:rPr>
          <w:i/>
          <w:color w:val="auto"/>
        </w:rPr>
        <w:t>James</w:t>
      </w:r>
      <w:r w:rsidR="00216CB4" w:rsidRPr="00216CB4">
        <w:rPr>
          <w:color w:val="auto"/>
        </w:rPr>
        <w:t xml:space="preserve"> </w:t>
      </w:r>
      <w:r w:rsidR="00216CB4" w:rsidRPr="00216CB4">
        <w:rPr>
          <w:i/>
          <w:color w:val="auto"/>
        </w:rPr>
        <w:t>v Eastleigh</w:t>
      </w:r>
      <w:r w:rsidR="00216CB4" w:rsidRPr="00216CB4">
        <w:rPr>
          <w:color w:val="auto"/>
        </w:rPr>
        <w:t xml:space="preserve"> </w:t>
      </w:r>
      <w:r w:rsidR="00216CB4" w:rsidRPr="00216CB4">
        <w:rPr>
          <w:i/>
          <w:color w:val="auto"/>
        </w:rPr>
        <w:t xml:space="preserve">Borough Council </w:t>
      </w:r>
      <w:r w:rsidR="00216CB4" w:rsidRPr="00216CB4">
        <w:rPr>
          <w:color w:val="auto"/>
        </w:rPr>
        <w:t>(CA) [1990]: 74</w:t>
      </w:r>
      <w:r w:rsidR="00D93B60" w:rsidRPr="00D93B60">
        <w:rPr>
          <w:color w:val="auto"/>
        </w:rPr>
        <w:t>B</w:t>
      </w:r>
      <w:r w:rsidR="00D93B60">
        <w:rPr>
          <w:color w:val="auto"/>
        </w:rPr>
        <w:t>)</w:t>
      </w:r>
      <w:r w:rsidR="00CD2654">
        <w:rPr>
          <w:color w:val="auto"/>
        </w:rPr>
        <w:t xml:space="preserve">. The Vice-Chancellor, </w:t>
      </w:r>
      <w:r w:rsidR="00CD2654" w:rsidRPr="00065C01">
        <w:rPr>
          <w:color w:val="auto"/>
        </w:rPr>
        <w:t>Sir Nicolas Browne-Wilkinson</w:t>
      </w:r>
      <w:r w:rsidR="00CD2654">
        <w:rPr>
          <w:color w:val="auto"/>
        </w:rPr>
        <w:t>, critici</w:t>
      </w:r>
      <w:r w:rsidR="00896C77">
        <w:rPr>
          <w:color w:val="auto"/>
        </w:rPr>
        <w:t>z</w:t>
      </w:r>
      <w:r w:rsidR="00CD2654">
        <w:rPr>
          <w:color w:val="auto"/>
        </w:rPr>
        <w:t>ed</w:t>
      </w:r>
      <w:r w:rsidR="00577796" w:rsidRPr="00065C01">
        <w:rPr>
          <w:color w:val="auto"/>
        </w:rPr>
        <w:t xml:space="preserve"> </w:t>
      </w:r>
      <w:r w:rsidR="00CD2654">
        <w:rPr>
          <w:color w:val="auto"/>
        </w:rPr>
        <w:t>this argument</w:t>
      </w:r>
      <w:r w:rsidR="00A57690" w:rsidRPr="00065C01">
        <w:rPr>
          <w:color w:val="auto"/>
        </w:rPr>
        <w:t>:</w:t>
      </w:r>
    </w:p>
    <w:p w:rsidR="00577796" w:rsidRPr="00896C77" w:rsidRDefault="00A57690" w:rsidP="00214DBE">
      <w:pPr>
        <w:pStyle w:val="Default"/>
        <w:spacing w:before="120" w:after="120" w:line="480" w:lineRule="auto"/>
        <w:ind w:left="709"/>
        <w:rPr>
          <w:b/>
          <w:bCs/>
          <w:color w:val="auto"/>
        </w:rPr>
      </w:pPr>
      <w:r w:rsidRPr="00065C01">
        <w:rPr>
          <w:color w:val="auto"/>
        </w:rPr>
        <w:t>What is relevant is the defendant’s reason for doing an act, not the causative effect of the act done by the defendant. […]</w:t>
      </w:r>
      <w:r w:rsidR="00214DBE">
        <w:rPr>
          <w:color w:val="auto"/>
        </w:rPr>
        <w:t xml:space="preserve"> [</w:t>
      </w:r>
      <w:r w:rsidR="00214DBE" w:rsidRPr="00065C01">
        <w:rPr>
          <w:color w:val="auto"/>
        </w:rPr>
        <w:t>O</w:t>
      </w:r>
      <w:r w:rsidR="00214DBE">
        <w:rPr>
          <w:color w:val="auto"/>
        </w:rPr>
        <w:t>]</w:t>
      </w:r>
      <w:r w:rsidRPr="00065C01">
        <w:rPr>
          <w:color w:val="auto"/>
        </w:rPr>
        <w:t>ne is looking, not to the causative link between the</w:t>
      </w:r>
      <w:r w:rsidR="00577796" w:rsidRPr="00065C01">
        <w:rPr>
          <w:color w:val="auto"/>
        </w:rPr>
        <w:t xml:space="preserve"> defendant’s behaviour and the</w:t>
      </w:r>
      <w:r w:rsidRPr="00065C01">
        <w:rPr>
          <w:color w:val="auto"/>
        </w:rPr>
        <w:t xml:space="preserve"> detriment to the plaintiff, but to the reason why the defendant treated the plaintiff less favourably. The relevant question is </w:t>
      </w:r>
      <w:r w:rsidR="00896C77">
        <w:rPr>
          <w:color w:val="auto"/>
        </w:rPr>
        <w:t>“</w:t>
      </w:r>
      <w:r w:rsidRPr="00065C01">
        <w:rPr>
          <w:color w:val="auto"/>
        </w:rPr>
        <w:t>did the defendant act on the ground of sex?</w:t>
      </w:r>
      <w:r w:rsidR="00896C77">
        <w:rPr>
          <w:color w:val="auto"/>
        </w:rPr>
        <w:t>”</w:t>
      </w:r>
      <w:r w:rsidRPr="00065C01">
        <w:rPr>
          <w:color w:val="auto"/>
        </w:rPr>
        <w:t xml:space="preserve"> not </w:t>
      </w:r>
      <w:r w:rsidR="00896C77">
        <w:rPr>
          <w:color w:val="auto"/>
        </w:rPr>
        <w:t>“</w:t>
      </w:r>
      <w:r w:rsidRPr="00065C01">
        <w:rPr>
          <w:color w:val="auto"/>
        </w:rPr>
        <w:t>did the less favourable treatment result from the defendant</w:t>
      </w:r>
      <w:r w:rsidR="00E678D1" w:rsidRPr="00065C01">
        <w:rPr>
          <w:color w:val="auto"/>
        </w:rPr>
        <w:t>’</w:t>
      </w:r>
      <w:r w:rsidRPr="00065C01">
        <w:rPr>
          <w:color w:val="auto"/>
        </w:rPr>
        <w:t>s actions?</w:t>
      </w:r>
      <w:r w:rsidR="00896C77">
        <w:rPr>
          <w:color w:val="auto"/>
        </w:rPr>
        <w:t>” (</w:t>
      </w:r>
      <w:r w:rsidR="00896C77" w:rsidRPr="00896C77">
        <w:rPr>
          <w:i/>
          <w:color w:val="auto"/>
        </w:rPr>
        <w:t>James</w:t>
      </w:r>
      <w:r w:rsidR="00896C77">
        <w:rPr>
          <w:i/>
          <w:color w:val="auto"/>
        </w:rPr>
        <w:t xml:space="preserve"> </w:t>
      </w:r>
      <w:r w:rsidR="00896C77" w:rsidRPr="00896C77">
        <w:rPr>
          <w:i/>
          <w:color w:val="auto"/>
        </w:rPr>
        <w:t xml:space="preserve">v Eastleigh Borough Council </w:t>
      </w:r>
      <w:r w:rsidR="00896C77" w:rsidRPr="00896C77">
        <w:rPr>
          <w:iCs/>
          <w:color w:val="auto"/>
        </w:rPr>
        <w:t>(CA) [1990]</w:t>
      </w:r>
      <w:r w:rsidR="00832035">
        <w:rPr>
          <w:iCs/>
          <w:color w:val="auto"/>
        </w:rPr>
        <w:t xml:space="preserve">: </w:t>
      </w:r>
      <w:r w:rsidR="00832035" w:rsidRPr="00832035">
        <w:rPr>
          <w:iCs/>
          <w:color w:val="auto"/>
        </w:rPr>
        <w:t>74C, 74D</w:t>
      </w:r>
      <w:r w:rsidR="00896C77">
        <w:rPr>
          <w:iCs/>
          <w:color w:val="auto"/>
        </w:rPr>
        <w:t>)</w:t>
      </w:r>
    </w:p>
    <w:p w:rsidR="002975E3" w:rsidRPr="00065C01" w:rsidRDefault="00577796" w:rsidP="00214DBE">
      <w:pPr>
        <w:pStyle w:val="Default"/>
        <w:spacing w:before="120" w:after="120" w:line="480" w:lineRule="auto"/>
        <w:rPr>
          <w:color w:val="auto"/>
        </w:rPr>
      </w:pPr>
      <w:r w:rsidRPr="00065C01">
        <w:rPr>
          <w:color w:val="auto"/>
        </w:rPr>
        <w:t>This reasoning seems to me sound</w:t>
      </w:r>
      <w:r w:rsidR="003E00D2" w:rsidRPr="00065C01">
        <w:rPr>
          <w:color w:val="auto"/>
        </w:rPr>
        <w:t xml:space="preserve">, and quite compatible with Finnis’s </w:t>
      </w:r>
      <w:r w:rsidR="00B44DE0" w:rsidRPr="00065C01">
        <w:rPr>
          <w:color w:val="auto"/>
        </w:rPr>
        <w:t>interpretation</w:t>
      </w:r>
      <w:r w:rsidR="003E00D2" w:rsidRPr="00065C01">
        <w:rPr>
          <w:color w:val="auto"/>
        </w:rPr>
        <w:t xml:space="preserve"> endorsed above</w:t>
      </w:r>
      <w:r w:rsidRPr="00065C01">
        <w:rPr>
          <w:color w:val="auto"/>
        </w:rPr>
        <w:t xml:space="preserve">. Further, </w:t>
      </w:r>
      <w:r w:rsidR="007D3402" w:rsidRPr="00065C01">
        <w:rPr>
          <w:color w:val="auto"/>
        </w:rPr>
        <w:t>the</w:t>
      </w:r>
      <w:r w:rsidRPr="00065C01">
        <w:rPr>
          <w:color w:val="auto"/>
        </w:rPr>
        <w:t xml:space="preserve"> V</w:t>
      </w:r>
      <w:r w:rsidR="007D3402" w:rsidRPr="00065C01">
        <w:rPr>
          <w:color w:val="auto"/>
        </w:rPr>
        <w:t>ice</w:t>
      </w:r>
      <w:r w:rsidRPr="00065C01">
        <w:rPr>
          <w:color w:val="auto"/>
        </w:rPr>
        <w:t>-C</w:t>
      </w:r>
      <w:r w:rsidR="007D3402" w:rsidRPr="00065C01">
        <w:rPr>
          <w:color w:val="auto"/>
        </w:rPr>
        <w:t>hancellor</w:t>
      </w:r>
      <w:r w:rsidRPr="00065C01">
        <w:rPr>
          <w:color w:val="auto"/>
        </w:rPr>
        <w:t xml:space="preserve"> gave an argument for </w:t>
      </w:r>
      <w:r w:rsidR="00283123">
        <w:rPr>
          <w:color w:val="auto"/>
        </w:rPr>
        <w:t>t</w:t>
      </w:r>
      <w:r w:rsidRPr="00065C01">
        <w:rPr>
          <w:color w:val="auto"/>
        </w:rPr>
        <w:t xml:space="preserve">his </w:t>
      </w:r>
      <w:r w:rsidR="00CD2654">
        <w:rPr>
          <w:color w:val="auto"/>
        </w:rPr>
        <w:t>way of understanding the statute</w:t>
      </w:r>
      <w:r w:rsidRPr="00065C01">
        <w:rPr>
          <w:color w:val="auto"/>
        </w:rPr>
        <w:t>:</w:t>
      </w:r>
    </w:p>
    <w:p w:rsidR="00E678D1" w:rsidRPr="00065C01" w:rsidRDefault="00577796" w:rsidP="00214DBE">
      <w:pPr>
        <w:pStyle w:val="Default"/>
        <w:spacing w:before="120" w:after="120" w:line="480" w:lineRule="auto"/>
        <w:ind w:left="709"/>
        <w:rPr>
          <w:color w:val="auto"/>
        </w:rPr>
      </w:pPr>
      <w:r w:rsidRPr="00065C01">
        <w:rPr>
          <w:color w:val="auto"/>
        </w:rPr>
        <w:t xml:space="preserve">If there is direct discrimination in every case where there is a substantial causative link between the defendant’s treatment and the detriment suffered by the plaintiff as a result of his sex I can see no room for the operation of subsection </w:t>
      </w:r>
      <w:r w:rsidRPr="00065C01">
        <w:rPr>
          <w:iCs/>
          <w:color w:val="auto"/>
        </w:rPr>
        <w:t>(1)(</w:t>
      </w:r>
      <w:r w:rsidRPr="00065C01">
        <w:rPr>
          <w:i/>
          <w:iCs/>
          <w:color w:val="auto"/>
        </w:rPr>
        <w:t>b</w:t>
      </w:r>
      <w:r w:rsidRPr="00065C01">
        <w:rPr>
          <w:iCs/>
          <w:color w:val="auto"/>
        </w:rPr>
        <w:t>)</w:t>
      </w:r>
      <w:r w:rsidR="003E00D2" w:rsidRPr="00065C01">
        <w:rPr>
          <w:iCs/>
          <w:color w:val="auto"/>
        </w:rPr>
        <w:t xml:space="preserve"> [i</w:t>
      </w:r>
      <w:r w:rsidR="006C197B">
        <w:rPr>
          <w:iCs/>
          <w:color w:val="auto"/>
        </w:rPr>
        <w:t>.</w:t>
      </w:r>
      <w:r w:rsidR="003E00D2" w:rsidRPr="00065C01">
        <w:rPr>
          <w:iCs/>
          <w:color w:val="auto"/>
        </w:rPr>
        <w:t>e</w:t>
      </w:r>
      <w:r w:rsidR="006C197B">
        <w:rPr>
          <w:iCs/>
          <w:color w:val="auto"/>
        </w:rPr>
        <w:t>.</w:t>
      </w:r>
      <w:r w:rsidR="003E00D2" w:rsidRPr="00065C01">
        <w:rPr>
          <w:iCs/>
          <w:color w:val="auto"/>
        </w:rPr>
        <w:t xml:space="preserve"> for indirect discrimination]</w:t>
      </w:r>
      <w:r w:rsidRPr="00065C01">
        <w:rPr>
          <w:i/>
          <w:iCs/>
          <w:color w:val="auto"/>
        </w:rPr>
        <w:t xml:space="preserve">. </w:t>
      </w:r>
      <w:r w:rsidRPr="00065C01">
        <w:rPr>
          <w:color w:val="auto"/>
        </w:rPr>
        <w:t xml:space="preserve">In every case in which a sexually neutral condition in fact </w:t>
      </w:r>
      <w:r w:rsidRPr="00065C01">
        <w:rPr>
          <w:color w:val="auto"/>
        </w:rPr>
        <w:lastRenderedPageBreak/>
        <w:t xml:space="preserve">operates differentially and detrimentally to one sex as opposed to the other, the imposition of such </w:t>
      </w:r>
      <w:r w:rsidR="00634EA1">
        <w:rPr>
          <w:color w:val="auto"/>
        </w:rPr>
        <w:t xml:space="preserve">a </w:t>
      </w:r>
      <w:r w:rsidRPr="00065C01">
        <w:rPr>
          <w:color w:val="auto"/>
        </w:rPr>
        <w:t xml:space="preserve">condition would be a substantial cause of detriment to the plaintiff by reason of his or her sex, i.e. it would </w:t>
      </w:r>
      <w:r w:rsidR="002975E3" w:rsidRPr="00065C01">
        <w:rPr>
          <w:color w:val="auto"/>
        </w:rPr>
        <w:t>[…]</w:t>
      </w:r>
      <w:r w:rsidRPr="00065C01">
        <w:rPr>
          <w:color w:val="auto"/>
        </w:rPr>
        <w:t xml:space="preserve"> therefore constitute direct discrimination </w:t>
      </w:r>
      <w:r w:rsidR="00462374" w:rsidRPr="00065C01">
        <w:rPr>
          <w:color w:val="auto"/>
        </w:rPr>
        <w:t>[…]</w:t>
      </w:r>
      <w:r w:rsidRPr="00065C01">
        <w:rPr>
          <w:color w:val="auto"/>
        </w:rPr>
        <w:t xml:space="preserve">. </w:t>
      </w:r>
    </w:p>
    <w:p w:rsidR="00C12634" w:rsidRDefault="00967188" w:rsidP="00214DBE">
      <w:pPr>
        <w:pStyle w:val="Default"/>
        <w:spacing w:before="120" w:after="120" w:line="480" w:lineRule="auto"/>
        <w:ind w:left="709"/>
        <w:rPr>
          <w:color w:val="auto"/>
        </w:rPr>
      </w:pPr>
      <w:r>
        <w:rPr>
          <w:color w:val="auto"/>
        </w:rPr>
        <w:tab/>
      </w:r>
    </w:p>
    <w:p w:rsidR="00577796" w:rsidRPr="00065C01" w:rsidRDefault="00577796" w:rsidP="00214DBE">
      <w:pPr>
        <w:pStyle w:val="Default"/>
        <w:spacing w:before="120" w:after="120" w:line="480" w:lineRule="auto"/>
        <w:ind w:left="709"/>
        <w:rPr>
          <w:color w:val="auto"/>
        </w:rPr>
      </w:pPr>
      <w:r w:rsidRPr="00065C01">
        <w:rPr>
          <w:color w:val="auto"/>
        </w:rPr>
        <w:t>This plainly was not the intention of Parliament which was drawing a clear distinction between, on the one hand, those cases where the defendant expressly or covertly acts by reference to the sex of the plaintiff and, on the other, those cases where the defendant acted on grounds not expressly or covertly related to sex but his actions have caused a disparate impact as between the sexes.</w:t>
      </w:r>
      <w:r w:rsidR="005C2668">
        <w:rPr>
          <w:color w:val="auto"/>
        </w:rPr>
        <w:t xml:space="preserve"> (</w:t>
      </w:r>
      <w:r w:rsidR="00212E2E" w:rsidRPr="00212E2E">
        <w:rPr>
          <w:i/>
          <w:color w:val="auto"/>
        </w:rPr>
        <w:t xml:space="preserve">James v Eastleigh Borough Council </w:t>
      </w:r>
      <w:r w:rsidR="00212E2E" w:rsidRPr="00212E2E">
        <w:rPr>
          <w:iCs/>
          <w:color w:val="auto"/>
        </w:rPr>
        <w:t>(CA) [1990]</w:t>
      </w:r>
      <w:r w:rsidR="00212E2E">
        <w:rPr>
          <w:iCs/>
          <w:color w:val="auto"/>
        </w:rPr>
        <w:t xml:space="preserve">: </w:t>
      </w:r>
      <w:r w:rsidR="005C2668" w:rsidRPr="005C2668">
        <w:rPr>
          <w:color w:val="auto"/>
        </w:rPr>
        <w:t>75D–F</w:t>
      </w:r>
      <w:r w:rsidR="00212E2E">
        <w:rPr>
          <w:color w:val="auto"/>
        </w:rPr>
        <w:t>)</w:t>
      </w:r>
    </w:p>
    <w:p w:rsidR="00FB7288" w:rsidRPr="00065C01" w:rsidRDefault="00DC75A0" w:rsidP="00A65FEE">
      <w:pPr>
        <w:pStyle w:val="Default"/>
        <w:spacing w:before="120" w:after="120" w:line="480" w:lineRule="auto"/>
        <w:rPr>
          <w:color w:val="auto"/>
        </w:rPr>
      </w:pPr>
      <w:r w:rsidRPr="00065C01">
        <w:rPr>
          <w:color w:val="auto"/>
        </w:rPr>
        <w:t xml:space="preserve">This argument </w:t>
      </w:r>
      <w:r w:rsidR="00CD2654">
        <w:rPr>
          <w:color w:val="auto"/>
        </w:rPr>
        <w:t>seems very plausible to me</w:t>
      </w:r>
      <w:r w:rsidR="00C9021B">
        <w:rPr>
          <w:color w:val="auto"/>
        </w:rPr>
        <w:t xml:space="preserve">: the </w:t>
      </w:r>
      <w:r w:rsidR="00832035">
        <w:rPr>
          <w:color w:val="auto"/>
        </w:rPr>
        <w:t>“</w:t>
      </w:r>
      <w:r w:rsidR="00C9021B">
        <w:rPr>
          <w:color w:val="auto"/>
        </w:rPr>
        <w:t>but for</w:t>
      </w:r>
      <w:r w:rsidR="00832035">
        <w:rPr>
          <w:color w:val="auto"/>
        </w:rPr>
        <w:t>”</w:t>
      </w:r>
      <w:r w:rsidR="00C9021B">
        <w:rPr>
          <w:color w:val="auto"/>
        </w:rPr>
        <w:t xml:space="preserve"> test </w:t>
      </w:r>
      <w:r w:rsidR="00100D86">
        <w:rPr>
          <w:color w:val="auto"/>
        </w:rPr>
        <w:t>would level the distinction between direct and indirect discrimination</w:t>
      </w:r>
      <w:r w:rsidR="00CD2654">
        <w:rPr>
          <w:color w:val="auto"/>
        </w:rPr>
        <w:t>.</w:t>
      </w:r>
      <w:r w:rsidR="00100D86">
        <w:rPr>
          <w:color w:val="auto"/>
        </w:rPr>
        <w:t xml:space="preserve"> The only way in which the </w:t>
      </w:r>
      <w:r w:rsidR="001D2486">
        <w:rPr>
          <w:color w:val="auto"/>
        </w:rPr>
        <w:t xml:space="preserve">significance of the </w:t>
      </w:r>
      <w:r w:rsidR="00100D86">
        <w:rPr>
          <w:color w:val="auto"/>
        </w:rPr>
        <w:t xml:space="preserve">distinction may plausibly be </w:t>
      </w:r>
      <w:r w:rsidR="001D2486">
        <w:rPr>
          <w:color w:val="auto"/>
        </w:rPr>
        <w:t>understood</w:t>
      </w:r>
      <w:r w:rsidR="00100D86">
        <w:rPr>
          <w:color w:val="auto"/>
        </w:rPr>
        <w:t xml:space="preserve"> is if direct discrimination is decided by reference to the subjective factors of the </w:t>
      </w:r>
      <w:r w:rsidR="00022EC3">
        <w:rPr>
          <w:color w:val="auto"/>
        </w:rPr>
        <w:t>alleged discriminator’s motivation</w:t>
      </w:r>
      <w:r w:rsidR="000829B8">
        <w:rPr>
          <w:color w:val="auto"/>
        </w:rPr>
        <w:t>,</w:t>
      </w:r>
      <w:r w:rsidR="00022EC3">
        <w:rPr>
          <w:color w:val="auto"/>
        </w:rPr>
        <w:t xml:space="preserve"> and indirect discrimination is decided by reference to objective, causative factors.</w:t>
      </w:r>
      <w:r w:rsidR="00CD2654">
        <w:rPr>
          <w:color w:val="auto"/>
        </w:rPr>
        <w:t xml:space="preserve"> </w:t>
      </w:r>
      <w:r w:rsidR="00022EC3">
        <w:rPr>
          <w:color w:val="auto"/>
        </w:rPr>
        <w:t>The argument</w:t>
      </w:r>
      <w:r w:rsidR="00F23960" w:rsidRPr="00065C01">
        <w:rPr>
          <w:color w:val="auto"/>
        </w:rPr>
        <w:t xml:space="preserve"> did not, however, compel</w:t>
      </w:r>
      <w:r w:rsidR="00FD6332" w:rsidRPr="00065C01">
        <w:rPr>
          <w:color w:val="auto"/>
        </w:rPr>
        <w:t xml:space="preserve"> Lord Bridge</w:t>
      </w:r>
      <w:r w:rsidR="00C7089E" w:rsidRPr="00065C01">
        <w:rPr>
          <w:color w:val="auto"/>
        </w:rPr>
        <w:t xml:space="preserve">, </w:t>
      </w:r>
      <w:r w:rsidR="00A65FEE">
        <w:rPr>
          <w:color w:val="auto"/>
        </w:rPr>
        <w:t>who, in giving</w:t>
      </w:r>
      <w:r w:rsidR="00C7089E" w:rsidRPr="00065C01">
        <w:rPr>
          <w:color w:val="auto"/>
        </w:rPr>
        <w:t xml:space="preserve"> the leading judgment </w:t>
      </w:r>
      <w:r w:rsidR="00152E4C" w:rsidRPr="00065C01">
        <w:rPr>
          <w:color w:val="auto"/>
        </w:rPr>
        <w:t xml:space="preserve">when </w:t>
      </w:r>
      <w:r w:rsidR="00C7089E" w:rsidRPr="00065C01">
        <w:rPr>
          <w:i/>
          <w:color w:val="auto"/>
        </w:rPr>
        <w:t>James</w:t>
      </w:r>
      <w:r w:rsidR="00152E4C" w:rsidRPr="00065C01">
        <w:rPr>
          <w:color w:val="auto"/>
        </w:rPr>
        <w:t xml:space="preserve"> came to the House of Lords</w:t>
      </w:r>
      <w:r w:rsidR="00A65FEE">
        <w:rPr>
          <w:color w:val="auto"/>
        </w:rPr>
        <w:t xml:space="preserve">, adopted </w:t>
      </w:r>
      <w:r w:rsidR="00462374" w:rsidRPr="00065C01">
        <w:rPr>
          <w:color w:val="auto"/>
        </w:rPr>
        <w:t xml:space="preserve">Lord Goff’s </w:t>
      </w:r>
      <w:r w:rsidR="00832035">
        <w:rPr>
          <w:color w:val="auto"/>
        </w:rPr>
        <w:t>“</w:t>
      </w:r>
      <w:r w:rsidR="00462374" w:rsidRPr="00065C01">
        <w:rPr>
          <w:color w:val="auto"/>
        </w:rPr>
        <w:t>but for</w:t>
      </w:r>
      <w:r w:rsidR="00832035">
        <w:rPr>
          <w:color w:val="auto"/>
        </w:rPr>
        <w:t>”</w:t>
      </w:r>
      <w:r w:rsidR="00462374" w:rsidRPr="00065C01">
        <w:rPr>
          <w:color w:val="auto"/>
        </w:rPr>
        <w:t xml:space="preserve"> test:</w:t>
      </w:r>
    </w:p>
    <w:p w:rsidR="00FD6332" w:rsidRPr="00065C01" w:rsidRDefault="00FD6332" w:rsidP="007C011F">
      <w:pPr>
        <w:pStyle w:val="Default"/>
        <w:spacing w:before="120" w:after="120" w:line="480" w:lineRule="auto"/>
        <w:ind w:left="709"/>
        <w:rPr>
          <w:color w:val="auto"/>
        </w:rPr>
      </w:pPr>
      <w:r w:rsidRPr="00065C01">
        <w:rPr>
          <w:color w:val="auto"/>
        </w:rPr>
        <w:t>Lord Goff</w:t>
      </w:r>
      <w:r w:rsidR="00E678D1" w:rsidRPr="00065C01">
        <w:rPr>
          <w:color w:val="auto"/>
        </w:rPr>
        <w:t>’</w:t>
      </w:r>
      <w:r w:rsidRPr="00065C01">
        <w:rPr>
          <w:color w:val="auto"/>
        </w:rPr>
        <w:t xml:space="preserve">s test, it will be observed, is not subjective, but objective. Adopting it here the question becomes: </w:t>
      </w:r>
      <w:r w:rsidR="003C55A1">
        <w:rPr>
          <w:color w:val="auto"/>
        </w:rPr>
        <w:t>“</w:t>
      </w:r>
      <w:r w:rsidRPr="00065C01">
        <w:rPr>
          <w:color w:val="auto"/>
        </w:rPr>
        <w:t>Would the plaintiff, a man of 61, have received the same treatment as his wife but for his sex?</w:t>
      </w:r>
      <w:r w:rsidR="003C55A1">
        <w:rPr>
          <w:color w:val="auto"/>
        </w:rPr>
        <w:t>”</w:t>
      </w:r>
      <w:r w:rsidRPr="00065C01">
        <w:rPr>
          <w:color w:val="auto"/>
        </w:rPr>
        <w:t xml:space="preserve"> An affirmative answer is inescapable.</w:t>
      </w:r>
      <w:r w:rsidR="003C55A1">
        <w:rPr>
          <w:color w:val="auto"/>
        </w:rPr>
        <w:t xml:space="preserve"> (</w:t>
      </w:r>
      <w:r w:rsidR="003C55A1" w:rsidRPr="003C55A1">
        <w:rPr>
          <w:i/>
          <w:color w:val="auto"/>
        </w:rPr>
        <w:t xml:space="preserve">James v Eastleigh Borough Council </w:t>
      </w:r>
      <w:r w:rsidR="003C55A1" w:rsidRPr="00C12634">
        <w:rPr>
          <w:iCs/>
          <w:color w:val="auto"/>
        </w:rPr>
        <w:t>(HL)</w:t>
      </w:r>
      <w:r w:rsidR="00BD1CC1" w:rsidRPr="00C12634">
        <w:rPr>
          <w:iCs/>
          <w:color w:val="auto"/>
        </w:rPr>
        <w:t xml:space="preserve"> </w:t>
      </w:r>
      <w:r w:rsidR="003C55A1">
        <w:rPr>
          <w:iCs/>
          <w:color w:val="auto"/>
        </w:rPr>
        <w:t>[1990</w:t>
      </w:r>
      <w:r w:rsidR="00496398">
        <w:rPr>
          <w:iCs/>
          <w:color w:val="auto"/>
        </w:rPr>
        <w:t>]</w:t>
      </w:r>
      <w:r w:rsidR="00D22B44">
        <w:rPr>
          <w:iCs/>
          <w:color w:val="auto"/>
        </w:rPr>
        <w:t xml:space="preserve">: </w:t>
      </w:r>
      <w:r w:rsidR="00D22B44" w:rsidRPr="00D22B44">
        <w:rPr>
          <w:iCs/>
          <w:color w:val="auto"/>
        </w:rPr>
        <w:t>765D</w:t>
      </w:r>
      <w:r w:rsidR="00AF01BE">
        <w:rPr>
          <w:iCs/>
          <w:color w:val="auto"/>
        </w:rPr>
        <w:t>)</w:t>
      </w:r>
    </w:p>
    <w:p w:rsidR="006913D6" w:rsidRDefault="00F16E05" w:rsidP="007C011F">
      <w:pPr>
        <w:pStyle w:val="Default"/>
        <w:spacing w:before="120" w:after="120" w:line="480" w:lineRule="auto"/>
      </w:pPr>
      <w:r>
        <w:t xml:space="preserve">In rejecting the appropriateness of the </w:t>
      </w:r>
      <w:r w:rsidR="00AF01BE">
        <w:t>“</w:t>
      </w:r>
      <w:r>
        <w:t>but for</w:t>
      </w:r>
      <w:r w:rsidR="00AF01BE">
        <w:t>”</w:t>
      </w:r>
      <w:r>
        <w:t xml:space="preserve"> test I am not saying that</w:t>
      </w:r>
      <w:r w:rsidR="006913D6">
        <w:t xml:space="preserve"> </w:t>
      </w:r>
      <w:r w:rsidR="008E0543">
        <w:rPr>
          <w:i/>
        </w:rPr>
        <w:t xml:space="preserve">James </w:t>
      </w:r>
      <w:r w:rsidR="008E0543">
        <w:t xml:space="preserve">was not a case of direct discrimination. If </w:t>
      </w:r>
      <w:r w:rsidR="002963CD">
        <w:t>M</w:t>
      </w:r>
      <w:r w:rsidR="008E0543">
        <w:t xml:space="preserve">r James’s sex </w:t>
      </w:r>
      <w:r w:rsidR="00F91866">
        <w:t xml:space="preserve">(as opposed to the mere fact of his not being of </w:t>
      </w:r>
      <w:r w:rsidR="00F91866">
        <w:lastRenderedPageBreak/>
        <w:t>pensionable age)</w:t>
      </w:r>
      <w:r w:rsidR="008E0543">
        <w:t xml:space="preserve"> </w:t>
      </w:r>
      <w:r w:rsidR="00827A4D" w:rsidRPr="00827A4D">
        <w:t>really was a factor in the reasoning that led to his being turned away</w:t>
      </w:r>
      <w:r w:rsidR="00827A4D">
        <w:t xml:space="preserve"> then he was directly discriminated against</w:t>
      </w:r>
      <w:r w:rsidR="00827A4D">
        <w:rPr>
          <w:rFonts w:ascii="Calibri" w:hAnsi="Calibri" w:cs="Calibri"/>
        </w:rPr>
        <w:t>—</w:t>
      </w:r>
      <w:r w:rsidR="00827A4D">
        <w:t>but this is a matter on which evidence should have been taken.</w:t>
      </w:r>
      <w:r w:rsidR="00D51E12">
        <w:rPr>
          <w:rStyle w:val="FootnoteReference"/>
        </w:rPr>
        <w:footnoteReference w:id="7"/>
      </w:r>
      <w:r w:rsidR="004879B3">
        <w:tab/>
      </w:r>
    </w:p>
    <w:p w:rsidR="00AB338C" w:rsidRDefault="00AB338C" w:rsidP="00AB338C">
      <w:pPr>
        <w:pStyle w:val="Default"/>
        <w:spacing w:before="120" w:after="120" w:line="480" w:lineRule="auto"/>
      </w:pPr>
    </w:p>
    <w:p w:rsidR="00104E16" w:rsidRPr="00065C01" w:rsidRDefault="00443198" w:rsidP="00AB338C">
      <w:pPr>
        <w:pStyle w:val="Default"/>
        <w:spacing w:before="120" w:after="120" w:line="480" w:lineRule="auto"/>
      </w:pPr>
      <w:r w:rsidRPr="00065C01">
        <w:t>I</w:t>
      </w:r>
      <w:r w:rsidR="00FB7288" w:rsidRPr="00065C01">
        <w:t xml:space="preserve">t might be thought that, whether or not correct, </w:t>
      </w:r>
      <w:r w:rsidRPr="00065C01">
        <w:t>t</w:t>
      </w:r>
      <w:r w:rsidR="00104E16" w:rsidRPr="00065C01">
        <w:t xml:space="preserve">he precedent </w:t>
      </w:r>
      <w:r w:rsidRPr="00065C01">
        <w:t>here</w:t>
      </w:r>
      <w:r w:rsidR="00104E16" w:rsidRPr="00065C01">
        <w:t xml:space="preserve"> </w:t>
      </w:r>
      <w:r w:rsidR="00FB7288" w:rsidRPr="00065C01">
        <w:t xml:space="preserve">is </w:t>
      </w:r>
      <w:r w:rsidR="00104E16" w:rsidRPr="00065C01">
        <w:t>decisive</w:t>
      </w:r>
      <w:r w:rsidR="00FB7288" w:rsidRPr="00065C01">
        <w:t>, but</w:t>
      </w:r>
      <w:r w:rsidR="00C371A9">
        <w:t>,</w:t>
      </w:r>
      <w:r w:rsidR="00FB7288" w:rsidRPr="00065C01">
        <w:t xml:space="preserve"> in </w:t>
      </w:r>
      <w:r w:rsidR="00C371A9">
        <w:t>addition to the words of Lord Nicholls in</w:t>
      </w:r>
      <w:r w:rsidR="00C371A9" w:rsidRPr="00065C01">
        <w:t xml:space="preserve"> </w:t>
      </w:r>
      <w:r w:rsidR="00C371A9" w:rsidRPr="00065C01">
        <w:rPr>
          <w:i/>
        </w:rPr>
        <w:t>Chief Constable of the West Yorkshire Police v Khan</w:t>
      </w:r>
      <w:r w:rsidR="00AF01BE">
        <w:rPr>
          <w:i/>
        </w:rPr>
        <w:t xml:space="preserve"> </w:t>
      </w:r>
      <w:r w:rsidR="00AF01BE">
        <w:rPr>
          <w:iCs/>
        </w:rPr>
        <w:t>[2001]</w:t>
      </w:r>
      <w:r w:rsidR="00C371A9">
        <w:t xml:space="preserve">, </w:t>
      </w:r>
      <w:r w:rsidR="00594502">
        <w:t>there are the words of</w:t>
      </w:r>
      <w:r w:rsidR="00104E16" w:rsidRPr="00065C01">
        <w:t xml:space="preserve"> Lord Phillips </w:t>
      </w:r>
      <w:r w:rsidR="00594502">
        <w:t>from his</w:t>
      </w:r>
      <w:r w:rsidRPr="00065C01">
        <w:t xml:space="preserve"> judgment in </w:t>
      </w:r>
      <w:bookmarkStart w:id="14" w:name="_Hlk44507521"/>
      <w:r w:rsidR="00DA139E" w:rsidRPr="00DA139E">
        <w:rPr>
          <w:iCs/>
        </w:rPr>
        <w:t xml:space="preserve">a case from </w:t>
      </w:r>
      <w:r w:rsidR="0075708C" w:rsidRPr="0075708C">
        <w:t>2009</w:t>
      </w:r>
      <w:bookmarkEnd w:id="14"/>
      <w:r w:rsidR="00104E16" w:rsidRPr="00065C01">
        <w:t>:</w:t>
      </w:r>
    </w:p>
    <w:p w:rsidR="00B87540" w:rsidRPr="00065C01" w:rsidRDefault="00104E16" w:rsidP="00C371A9">
      <w:pPr>
        <w:autoSpaceDE w:val="0"/>
        <w:autoSpaceDN w:val="0"/>
        <w:adjustRightInd w:val="0"/>
        <w:spacing w:before="120" w:after="120" w:line="480" w:lineRule="auto"/>
        <w:ind w:left="709"/>
      </w:pPr>
      <w:r w:rsidRPr="00065C01">
        <w:rPr>
          <w:rFonts w:ascii="Times New Roman" w:hAnsi="Times New Roman"/>
          <w:sz w:val="24"/>
          <w:szCs w:val="24"/>
          <w:lang w:eastAsia="en-GB"/>
        </w:rPr>
        <w:t xml:space="preserve">This </w:t>
      </w:r>
      <w:r w:rsidR="00C16B51">
        <w:rPr>
          <w:rFonts w:ascii="Times New Roman" w:hAnsi="Times New Roman"/>
          <w:sz w:val="24"/>
          <w:szCs w:val="24"/>
          <w:lang w:eastAsia="en-GB"/>
        </w:rPr>
        <w:t>“</w:t>
      </w:r>
      <w:r w:rsidRPr="00065C01">
        <w:rPr>
          <w:rFonts w:ascii="Times New Roman" w:hAnsi="Times New Roman"/>
          <w:sz w:val="24"/>
          <w:szCs w:val="24"/>
          <w:lang w:eastAsia="en-GB"/>
        </w:rPr>
        <w:t>but for</w:t>
      </w:r>
      <w:r w:rsidR="00C16B51">
        <w:rPr>
          <w:rFonts w:ascii="Times New Roman" w:hAnsi="Times New Roman"/>
          <w:sz w:val="24"/>
          <w:szCs w:val="24"/>
          <w:lang w:eastAsia="en-GB"/>
        </w:rPr>
        <w:t>”</w:t>
      </w:r>
      <w:r w:rsidRPr="00065C01">
        <w:rPr>
          <w:rFonts w:ascii="Times New Roman" w:hAnsi="Times New Roman"/>
          <w:sz w:val="24"/>
          <w:szCs w:val="24"/>
          <w:lang w:eastAsia="en-GB"/>
        </w:rPr>
        <w:t xml:space="preserve"> test was another way of identifying the factual criterion that</w:t>
      </w:r>
      <w:r w:rsidR="00C371A9">
        <w:rPr>
          <w:rFonts w:ascii="Times New Roman" w:hAnsi="Times New Roman"/>
          <w:sz w:val="24"/>
          <w:szCs w:val="24"/>
          <w:lang w:eastAsia="en-GB"/>
        </w:rPr>
        <w:t xml:space="preserve"> </w:t>
      </w:r>
      <w:r w:rsidRPr="00065C01">
        <w:rPr>
          <w:rFonts w:ascii="Times New Roman" w:hAnsi="Times New Roman"/>
          <w:sz w:val="24"/>
          <w:szCs w:val="24"/>
          <w:lang w:eastAsia="en-GB"/>
        </w:rPr>
        <w:t>was applied by the council as the basis for their discrimination, but it is not</w:t>
      </w:r>
      <w:r w:rsidR="00C371A9">
        <w:rPr>
          <w:rFonts w:ascii="Times New Roman" w:hAnsi="Times New Roman"/>
          <w:sz w:val="24"/>
          <w:szCs w:val="24"/>
          <w:lang w:eastAsia="en-GB"/>
        </w:rPr>
        <w:t xml:space="preserve"> </w:t>
      </w:r>
      <w:r w:rsidRPr="00065C01">
        <w:rPr>
          <w:rFonts w:ascii="Times New Roman" w:hAnsi="Times New Roman"/>
          <w:sz w:val="24"/>
          <w:szCs w:val="24"/>
          <w:lang w:eastAsia="en-GB"/>
        </w:rPr>
        <w:t>one that I find helpful. It is better simply to ask what were the facts that the</w:t>
      </w:r>
      <w:r w:rsidR="00C371A9">
        <w:rPr>
          <w:rFonts w:ascii="Times New Roman" w:hAnsi="Times New Roman"/>
          <w:sz w:val="24"/>
          <w:szCs w:val="24"/>
          <w:lang w:eastAsia="en-GB"/>
        </w:rPr>
        <w:t xml:space="preserve"> </w:t>
      </w:r>
      <w:r w:rsidRPr="00065C01">
        <w:rPr>
          <w:rFonts w:ascii="Times New Roman" w:hAnsi="Times New Roman"/>
          <w:sz w:val="24"/>
          <w:szCs w:val="24"/>
          <w:lang w:eastAsia="en-GB"/>
        </w:rPr>
        <w:t>discriminator considered to be determinative when making the relevant</w:t>
      </w:r>
      <w:r w:rsidR="00C371A9">
        <w:rPr>
          <w:rFonts w:ascii="Times New Roman" w:hAnsi="Times New Roman"/>
          <w:sz w:val="24"/>
          <w:szCs w:val="24"/>
          <w:lang w:eastAsia="en-GB"/>
        </w:rPr>
        <w:t xml:space="preserve"> </w:t>
      </w:r>
      <w:r w:rsidRPr="00594502">
        <w:rPr>
          <w:rFonts w:ascii="Times New Roman" w:hAnsi="Times New Roman"/>
          <w:sz w:val="24"/>
          <w:szCs w:val="24"/>
        </w:rPr>
        <w:t>decision.</w:t>
      </w:r>
      <w:r w:rsidR="0075708C">
        <w:rPr>
          <w:rFonts w:ascii="Times New Roman" w:hAnsi="Times New Roman"/>
          <w:sz w:val="24"/>
          <w:szCs w:val="24"/>
        </w:rPr>
        <w:t xml:space="preserve"> (</w:t>
      </w:r>
      <w:r w:rsidR="0075708C" w:rsidRPr="0075708C">
        <w:rPr>
          <w:rFonts w:ascii="Times New Roman" w:hAnsi="Times New Roman"/>
          <w:i/>
          <w:sz w:val="24"/>
          <w:szCs w:val="24"/>
        </w:rPr>
        <w:t>R</w:t>
      </w:r>
      <w:r w:rsidR="0075708C" w:rsidRPr="0075708C">
        <w:rPr>
          <w:rFonts w:ascii="Times New Roman" w:hAnsi="Times New Roman"/>
          <w:sz w:val="24"/>
          <w:szCs w:val="24"/>
        </w:rPr>
        <w:t xml:space="preserve"> </w:t>
      </w:r>
      <w:r w:rsidR="0075708C" w:rsidRPr="0075708C">
        <w:rPr>
          <w:rFonts w:ascii="Times New Roman" w:hAnsi="Times New Roman"/>
          <w:i/>
          <w:sz w:val="24"/>
          <w:szCs w:val="24"/>
        </w:rPr>
        <w:t xml:space="preserve">(E) v Governing Body of JFS </w:t>
      </w:r>
      <w:r w:rsidR="0075708C" w:rsidRPr="0075708C">
        <w:rPr>
          <w:rFonts w:ascii="Times New Roman" w:hAnsi="Times New Roman"/>
          <w:sz w:val="24"/>
          <w:szCs w:val="24"/>
        </w:rPr>
        <w:t>[2009]</w:t>
      </w:r>
      <w:r w:rsidR="0075708C">
        <w:rPr>
          <w:rFonts w:ascii="Times New Roman" w:hAnsi="Times New Roman"/>
          <w:sz w:val="24"/>
          <w:szCs w:val="24"/>
        </w:rPr>
        <w:t xml:space="preserve">: </w:t>
      </w:r>
      <w:r w:rsidR="0075708C" w:rsidRPr="0075708C">
        <w:rPr>
          <w:rFonts w:ascii="Times New Roman" w:hAnsi="Times New Roman"/>
          <w:sz w:val="24"/>
          <w:szCs w:val="24"/>
        </w:rPr>
        <w:t>747D–E [16]</w:t>
      </w:r>
      <w:r w:rsidR="0075708C">
        <w:rPr>
          <w:rFonts w:ascii="Times New Roman" w:hAnsi="Times New Roman"/>
          <w:sz w:val="24"/>
          <w:szCs w:val="24"/>
        </w:rPr>
        <w:t>)</w:t>
      </w:r>
    </w:p>
    <w:p w:rsidR="00C606F4" w:rsidRPr="00065C01" w:rsidRDefault="00FB7288" w:rsidP="009C5BE1">
      <w:pPr>
        <w:pStyle w:val="Default"/>
        <w:spacing w:before="120" w:after="120" w:line="480" w:lineRule="auto"/>
      </w:pPr>
      <w:r w:rsidRPr="00065C01">
        <w:t xml:space="preserve">This indicates that courts are not bound to implement the </w:t>
      </w:r>
      <w:r w:rsidR="0075708C">
        <w:t>“</w:t>
      </w:r>
      <w:r w:rsidRPr="00065C01">
        <w:t>but for</w:t>
      </w:r>
      <w:r w:rsidR="0075708C">
        <w:t>”</w:t>
      </w:r>
      <w:r w:rsidRPr="00065C01">
        <w:t xml:space="preserve"> test. </w:t>
      </w:r>
      <w:r w:rsidR="00B87540" w:rsidRPr="00065C01">
        <w:t>To sum up, I contend that (</w:t>
      </w:r>
      <w:proofErr w:type="spellStart"/>
      <w:r w:rsidR="00B87540" w:rsidRPr="00065C01">
        <w:t>i</w:t>
      </w:r>
      <w:proofErr w:type="spellEnd"/>
      <w:r w:rsidR="00B87540" w:rsidRPr="00065C01">
        <w:t xml:space="preserve">) the </w:t>
      </w:r>
      <w:r w:rsidR="0075708C">
        <w:t>“</w:t>
      </w:r>
      <w:r w:rsidR="00B87540" w:rsidRPr="00065C01">
        <w:t>but for</w:t>
      </w:r>
      <w:r w:rsidR="0075708C">
        <w:t>”</w:t>
      </w:r>
      <w:r w:rsidR="004557C2">
        <w:t xml:space="preserve"> </w:t>
      </w:r>
      <w:r w:rsidR="00B87540" w:rsidRPr="00065C01">
        <w:t>test does not conform to either the current s</w:t>
      </w:r>
      <w:r w:rsidR="00C606F4" w:rsidRPr="00065C01">
        <w:t xml:space="preserve">tatute or </w:t>
      </w:r>
      <w:r w:rsidR="00A83F5B" w:rsidRPr="00065C01">
        <w:t>its</w:t>
      </w:r>
      <w:r w:rsidR="00C606F4" w:rsidRPr="00065C01">
        <w:t xml:space="preserve"> predecessors relating to discrimination, (ii) the test should no longer be applied, and (iii) the courts should focus on attempting to determine</w:t>
      </w:r>
      <w:r w:rsidR="00B87540" w:rsidRPr="00065C01">
        <w:t xml:space="preserve"> </w:t>
      </w:r>
      <w:r w:rsidR="00C606F4" w:rsidRPr="00065C01">
        <w:t xml:space="preserve">whether the relevant </w:t>
      </w:r>
      <w:r w:rsidR="004879B3">
        <w:t xml:space="preserve">protected </w:t>
      </w:r>
      <w:r w:rsidR="00C606F4" w:rsidRPr="00065C01">
        <w:t xml:space="preserve">characteristic featured </w:t>
      </w:r>
      <w:r w:rsidR="00A83F5B" w:rsidRPr="00065C01">
        <w:t xml:space="preserve">as </w:t>
      </w:r>
      <w:r w:rsidR="004879B3">
        <w:t>a ground</w:t>
      </w:r>
      <w:r w:rsidR="00A83F5B" w:rsidRPr="00065C01">
        <w:t xml:space="preserve"> of </w:t>
      </w:r>
      <w:r w:rsidR="00C606F4" w:rsidRPr="00065C01">
        <w:t xml:space="preserve">the </w:t>
      </w:r>
      <w:r w:rsidR="00A83F5B" w:rsidRPr="00065C01">
        <w:t>less favourable treatment in question, i.e. whether the relevant</w:t>
      </w:r>
      <w:r w:rsidR="004879B3">
        <w:t xml:space="preserve"> protected</w:t>
      </w:r>
      <w:r w:rsidR="00A83F5B" w:rsidRPr="00065C01">
        <w:t xml:space="preserve"> characteristic motivated the </w:t>
      </w:r>
      <w:r w:rsidR="004879B3">
        <w:t xml:space="preserve">actual imposition of the </w:t>
      </w:r>
      <w:r w:rsidR="00A83F5B" w:rsidRPr="00065C01">
        <w:t>less favourable treatment</w:t>
      </w:r>
      <w:r w:rsidR="00C606F4" w:rsidRPr="00065C01">
        <w:t>.</w:t>
      </w:r>
    </w:p>
    <w:p w:rsidR="00C606F4" w:rsidRPr="009A04B4" w:rsidRDefault="009A04B4" w:rsidP="004879B3">
      <w:pPr>
        <w:pStyle w:val="Heading2"/>
        <w:numPr>
          <w:ilvl w:val="0"/>
          <w:numId w:val="7"/>
        </w:numPr>
        <w:spacing w:line="480" w:lineRule="auto"/>
        <w:jc w:val="center"/>
        <w:rPr>
          <w:rFonts w:ascii="Times New Roman" w:hAnsi="Times New Roman"/>
          <w:b w:val="0"/>
          <w:i w:val="0"/>
        </w:rPr>
      </w:pPr>
      <w:r w:rsidRPr="009A04B4">
        <w:rPr>
          <w:rFonts w:ascii="Times New Roman" w:hAnsi="Times New Roman"/>
          <w:b w:val="0"/>
          <w:i w:val="0"/>
        </w:rPr>
        <w:lastRenderedPageBreak/>
        <w:t>THE GROUND OF SEX</w:t>
      </w:r>
      <w:r>
        <w:rPr>
          <w:rFonts w:ascii="Times New Roman" w:hAnsi="Times New Roman"/>
          <w:b w:val="0"/>
          <w:i w:val="0"/>
        </w:rPr>
        <w:t>UAL ORIENTATION</w:t>
      </w:r>
      <w:r w:rsidRPr="009A04B4">
        <w:rPr>
          <w:rFonts w:ascii="Times New Roman" w:hAnsi="Times New Roman"/>
          <w:b w:val="0"/>
          <w:i w:val="0"/>
        </w:rPr>
        <w:t xml:space="preserve"> VS THE GROUND OF SEX</w:t>
      </w:r>
    </w:p>
    <w:p w:rsidR="00C606F4" w:rsidRPr="00065C01" w:rsidRDefault="00C606F4" w:rsidP="00680EC7">
      <w:pPr>
        <w:spacing w:line="480" w:lineRule="auto"/>
        <w:rPr>
          <w:rFonts w:ascii="Times New Roman" w:hAnsi="Times New Roman"/>
          <w:sz w:val="24"/>
          <w:szCs w:val="24"/>
        </w:rPr>
      </w:pPr>
      <w:r w:rsidRPr="00065C01">
        <w:rPr>
          <w:rFonts w:ascii="Times New Roman" w:hAnsi="Times New Roman"/>
          <w:sz w:val="24"/>
          <w:szCs w:val="24"/>
        </w:rPr>
        <w:t xml:space="preserve">I shall now apply the foregoing considerations to cases of alleged direct discrimination </w:t>
      </w:r>
      <w:r w:rsidR="008A79B6">
        <w:rPr>
          <w:rFonts w:ascii="Times New Roman" w:hAnsi="Times New Roman"/>
          <w:sz w:val="24"/>
          <w:szCs w:val="24"/>
        </w:rPr>
        <w:t xml:space="preserve">because of, or </w:t>
      </w:r>
      <w:r w:rsidRPr="00065C01">
        <w:rPr>
          <w:rFonts w:ascii="Times New Roman" w:hAnsi="Times New Roman"/>
          <w:sz w:val="24"/>
          <w:szCs w:val="24"/>
        </w:rPr>
        <w:t>on grounds of</w:t>
      </w:r>
      <w:r w:rsidR="008A79B6">
        <w:rPr>
          <w:rFonts w:ascii="Times New Roman" w:hAnsi="Times New Roman"/>
          <w:sz w:val="24"/>
          <w:szCs w:val="24"/>
        </w:rPr>
        <w:t>,</w:t>
      </w:r>
      <w:r w:rsidRPr="00065C01">
        <w:rPr>
          <w:rFonts w:ascii="Times New Roman" w:hAnsi="Times New Roman"/>
          <w:sz w:val="24"/>
          <w:szCs w:val="24"/>
        </w:rPr>
        <w:t xml:space="preserve"> sexual orientation, focussing on the case of </w:t>
      </w:r>
      <w:bookmarkStart w:id="15" w:name="_Hlk44507873"/>
      <w:r w:rsidRPr="00065C01">
        <w:rPr>
          <w:rFonts w:ascii="Times New Roman" w:hAnsi="Times New Roman"/>
          <w:i/>
          <w:sz w:val="24"/>
          <w:szCs w:val="24"/>
        </w:rPr>
        <w:t>Bull</w:t>
      </w:r>
      <w:r w:rsidR="001D0D70">
        <w:rPr>
          <w:rFonts w:ascii="Times New Roman" w:hAnsi="Times New Roman"/>
          <w:i/>
          <w:sz w:val="24"/>
          <w:szCs w:val="24"/>
        </w:rPr>
        <w:t xml:space="preserve"> and Bull v Hall and </w:t>
      </w:r>
      <w:proofErr w:type="spellStart"/>
      <w:r w:rsidR="001D0D70">
        <w:rPr>
          <w:rFonts w:ascii="Times New Roman" w:hAnsi="Times New Roman"/>
          <w:i/>
          <w:sz w:val="24"/>
          <w:szCs w:val="24"/>
        </w:rPr>
        <w:t>Preddy</w:t>
      </w:r>
      <w:proofErr w:type="spellEnd"/>
      <w:r w:rsidR="00151850">
        <w:rPr>
          <w:rFonts w:ascii="Times New Roman" w:hAnsi="Times New Roman"/>
          <w:i/>
          <w:sz w:val="24"/>
          <w:szCs w:val="24"/>
        </w:rPr>
        <w:t xml:space="preserve"> </w:t>
      </w:r>
      <w:r w:rsidR="00151850" w:rsidRPr="00151850">
        <w:rPr>
          <w:rFonts w:ascii="Times New Roman" w:hAnsi="Times New Roman"/>
          <w:iCs/>
          <w:sz w:val="24"/>
          <w:szCs w:val="24"/>
        </w:rPr>
        <w:t>[2013]</w:t>
      </w:r>
      <w:bookmarkEnd w:id="15"/>
      <w:r w:rsidRPr="00065C01">
        <w:rPr>
          <w:rFonts w:ascii="Times New Roman" w:hAnsi="Times New Roman"/>
          <w:sz w:val="24"/>
          <w:szCs w:val="24"/>
        </w:rPr>
        <w:t xml:space="preserve">. The reason for this is that I shall be arguing that </w:t>
      </w:r>
      <w:r w:rsidR="00C371A9">
        <w:rPr>
          <w:rFonts w:ascii="Times New Roman" w:hAnsi="Times New Roman"/>
          <w:sz w:val="24"/>
          <w:szCs w:val="24"/>
        </w:rPr>
        <w:t>th</w:t>
      </w:r>
      <w:r w:rsidR="001032C7">
        <w:rPr>
          <w:rFonts w:ascii="Times New Roman" w:hAnsi="Times New Roman"/>
          <w:sz w:val="24"/>
          <w:szCs w:val="24"/>
        </w:rPr>
        <w:t>e judgment in this</w:t>
      </w:r>
      <w:r w:rsidR="00C371A9">
        <w:rPr>
          <w:rFonts w:ascii="Times New Roman" w:hAnsi="Times New Roman"/>
          <w:sz w:val="24"/>
          <w:szCs w:val="24"/>
        </w:rPr>
        <w:t xml:space="preserve"> case</w:t>
      </w:r>
      <w:r w:rsidR="00F21F7A">
        <w:rPr>
          <w:rFonts w:ascii="Times New Roman" w:hAnsi="Times New Roman"/>
          <w:sz w:val="24"/>
          <w:szCs w:val="24"/>
        </w:rPr>
        <w:t xml:space="preserve"> was</w:t>
      </w:r>
      <w:r w:rsidRPr="00065C01">
        <w:rPr>
          <w:rFonts w:ascii="Times New Roman" w:hAnsi="Times New Roman"/>
          <w:sz w:val="24"/>
          <w:szCs w:val="24"/>
        </w:rPr>
        <w:t xml:space="preserve"> incorrect: </w:t>
      </w:r>
      <w:r w:rsidR="00F21F7A">
        <w:rPr>
          <w:rFonts w:ascii="Times New Roman" w:hAnsi="Times New Roman"/>
          <w:sz w:val="24"/>
          <w:szCs w:val="24"/>
        </w:rPr>
        <w:t>it was</w:t>
      </w:r>
      <w:r w:rsidRPr="00065C01">
        <w:rPr>
          <w:rFonts w:ascii="Times New Roman" w:hAnsi="Times New Roman"/>
          <w:sz w:val="24"/>
          <w:szCs w:val="24"/>
        </w:rPr>
        <w:t xml:space="preserve"> not</w:t>
      </w:r>
      <w:r w:rsidR="00F21F7A">
        <w:rPr>
          <w:rFonts w:ascii="Times New Roman" w:hAnsi="Times New Roman"/>
          <w:sz w:val="24"/>
          <w:szCs w:val="24"/>
        </w:rPr>
        <w:t xml:space="preserve"> a</w:t>
      </w:r>
      <w:r w:rsidRPr="00065C01">
        <w:rPr>
          <w:rFonts w:ascii="Times New Roman" w:hAnsi="Times New Roman"/>
          <w:sz w:val="24"/>
          <w:szCs w:val="24"/>
        </w:rPr>
        <w:t xml:space="preserve"> case of direct discrimination on grounds of sexual orientation. I shall, however, be maintaining that the ingredients</w:t>
      </w:r>
      <w:r w:rsidR="00A5495A" w:rsidRPr="00065C01">
        <w:rPr>
          <w:rFonts w:ascii="Times New Roman" w:hAnsi="Times New Roman"/>
          <w:sz w:val="24"/>
          <w:szCs w:val="24"/>
        </w:rPr>
        <w:t xml:space="preserve"> are made o</w:t>
      </w:r>
      <w:r w:rsidR="009C5BE1">
        <w:rPr>
          <w:rFonts w:ascii="Times New Roman" w:hAnsi="Times New Roman"/>
          <w:sz w:val="24"/>
          <w:szCs w:val="24"/>
        </w:rPr>
        <w:t>ut</w:t>
      </w:r>
      <w:r w:rsidR="00A5495A" w:rsidRPr="00065C01">
        <w:rPr>
          <w:rFonts w:ascii="Times New Roman" w:hAnsi="Times New Roman"/>
          <w:sz w:val="24"/>
          <w:szCs w:val="24"/>
        </w:rPr>
        <w:t>,</w:t>
      </w:r>
      <w:r w:rsidRPr="00065C01">
        <w:rPr>
          <w:rFonts w:ascii="Times New Roman" w:hAnsi="Times New Roman"/>
          <w:sz w:val="24"/>
          <w:szCs w:val="24"/>
        </w:rPr>
        <w:t xml:space="preserve"> under the</w:t>
      </w:r>
      <w:r w:rsidR="00505A0A">
        <w:rPr>
          <w:rFonts w:ascii="Times New Roman" w:hAnsi="Times New Roman"/>
          <w:sz w:val="24"/>
          <w:szCs w:val="24"/>
        </w:rPr>
        <w:t xml:space="preserve"> later</w:t>
      </w:r>
      <w:r w:rsidRPr="00065C01">
        <w:rPr>
          <w:rFonts w:ascii="Times New Roman" w:hAnsi="Times New Roman"/>
          <w:sz w:val="24"/>
          <w:szCs w:val="24"/>
        </w:rPr>
        <w:t xml:space="preserve"> Equality Act 2010</w:t>
      </w:r>
      <w:r w:rsidR="00C371A9">
        <w:rPr>
          <w:rFonts w:ascii="Times New Roman" w:hAnsi="Times New Roman"/>
          <w:sz w:val="24"/>
          <w:szCs w:val="24"/>
        </w:rPr>
        <w:t>, for direct discrimination because</w:t>
      </w:r>
      <w:r w:rsidR="00C371A9" w:rsidRPr="00065C01">
        <w:rPr>
          <w:rFonts w:ascii="Times New Roman" w:hAnsi="Times New Roman"/>
          <w:sz w:val="24"/>
          <w:szCs w:val="24"/>
        </w:rPr>
        <w:t xml:space="preserve"> of sex</w:t>
      </w:r>
      <w:r w:rsidR="00A5495A" w:rsidRPr="00065C01">
        <w:rPr>
          <w:rFonts w:ascii="Times New Roman" w:hAnsi="Times New Roman"/>
          <w:sz w:val="24"/>
          <w:szCs w:val="24"/>
        </w:rPr>
        <w:t>.</w:t>
      </w:r>
      <w:r w:rsidR="00371D94">
        <w:rPr>
          <w:rFonts w:ascii="Times New Roman" w:hAnsi="Times New Roman"/>
          <w:sz w:val="24"/>
          <w:szCs w:val="24"/>
        </w:rPr>
        <w:t xml:space="preserve"> These results will generali</w:t>
      </w:r>
      <w:r w:rsidR="00D337A2">
        <w:rPr>
          <w:rFonts w:ascii="Times New Roman" w:hAnsi="Times New Roman"/>
          <w:sz w:val="24"/>
          <w:szCs w:val="24"/>
        </w:rPr>
        <w:t>z</w:t>
      </w:r>
      <w:r w:rsidR="00371D94">
        <w:rPr>
          <w:rFonts w:ascii="Times New Roman" w:hAnsi="Times New Roman"/>
          <w:sz w:val="24"/>
          <w:szCs w:val="24"/>
        </w:rPr>
        <w:t>e to similar cases.</w:t>
      </w:r>
    </w:p>
    <w:p w:rsidR="00AB338C" w:rsidRDefault="00AB338C" w:rsidP="00680EC7">
      <w:pPr>
        <w:pStyle w:val="Default"/>
        <w:spacing w:line="480" w:lineRule="auto"/>
      </w:pPr>
    </w:p>
    <w:p w:rsidR="00A5495A" w:rsidRPr="00065C01" w:rsidRDefault="00A5495A" w:rsidP="00680EC7">
      <w:pPr>
        <w:pStyle w:val="Default"/>
        <w:spacing w:line="480" w:lineRule="auto"/>
      </w:pPr>
      <w:r w:rsidRPr="00065C01">
        <w:t xml:space="preserve">The facts in </w:t>
      </w:r>
      <w:r w:rsidR="00D337A2" w:rsidRPr="00D337A2">
        <w:rPr>
          <w:i/>
        </w:rPr>
        <w:t xml:space="preserve">Bull and Bull v Hall and </w:t>
      </w:r>
      <w:proofErr w:type="spellStart"/>
      <w:r w:rsidR="00D337A2" w:rsidRPr="00D337A2">
        <w:rPr>
          <w:i/>
        </w:rPr>
        <w:t>Preddy</w:t>
      </w:r>
      <w:proofErr w:type="spellEnd"/>
      <w:r w:rsidR="00D337A2" w:rsidRPr="00D337A2">
        <w:t xml:space="preserve"> [2013]</w:t>
      </w:r>
      <w:r w:rsidRPr="00065C01">
        <w:rPr>
          <w:i/>
        </w:rPr>
        <w:t xml:space="preserve"> </w:t>
      </w:r>
      <w:r w:rsidRPr="00065C01">
        <w:t xml:space="preserve">are that </w:t>
      </w:r>
      <w:r w:rsidR="008127DC" w:rsidRPr="008127DC">
        <w:t xml:space="preserve">Steven </w:t>
      </w:r>
      <w:proofErr w:type="spellStart"/>
      <w:r w:rsidR="008127DC" w:rsidRPr="008127DC">
        <w:t>Preddy</w:t>
      </w:r>
      <w:proofErr w:type="spellEnd"/>
      <w:r w:rsidR="008127DC" w:rsidRPr="008127DC">
        <w:t xml:space="preserve"> and Martyn Hall</w:t>
      </w:r>
      <w:r w:rsidRPr="00065C01">
        <w:t xml:space="preserve">, who were </w:t>
      </w:r>
      <w:r w:rsidR="00EE1747">
        <w:t>gay</w:t>
      </w:r>
      <w:r w:rsidRPr="00065C01">
        <w:t xml:space="preserve"> men in a civil partnership with each other, were turned away on 5 September 2008 from the double room that they had booked in the </w:t>
      </w:r>
      <w:proofErr w:type="spellStart"/>
      <w:r w:rsidRPr="00065C01">
        <w:t>Chymorvah</w:t>
      </w:r>
      <w:proofErr w:type="spellEnd"/>
      <w:r w:rsidRPr="00065C01">
        <w:t xml:space="preserve"> Hotel, which was owned and run by </w:t>
      </w:r>
      <w:r w:rsidR="002273E4">
        <w:t xml:space="preserve">Peter and </w:t>
      </w:r>
      <w:proofErr w:type="spellStart"/>
      <w:r w:rsidR="002273E4">
        <w:t>Hazelmary</w:t>
      </w:r>
      <w:proofErr w:type="spellEnd"/>
      <w:r w:rsidRPr="00065C01">
        <w:t xml:space="preserve"> Bull</w:t>
      </w:r>
      <w:r w:rsidR="008A79B6">
        <w:t xml:space="preserve"> with assistance from Bernard Quinn</w:t>
      </w:r>
      <w:r w:rsidRPr="00065C01">
        <w:t xml:space="preserve">. The criterion given by the Bulls for their renting out of double rooms was </w:t>
      </w:r>
      <w:r w:rsidR="003839E6">
        <w:t>“</w:t>
      </w:r>
      <w:r w:rsidRPr="00065C01">
        <w:rPr>
          <w:iCs/>
        </w:rPr>
        <w:t>we prefer to let double accommodation to heterosexual married couples only</w:t>
      </w:r>
      <w:r w:rsidR="003839E6">
        <w:t>”</w:t>
      </w:r>
      <w:r w:rsidR="00151850">
        <w:t xml:space="preserve"> (</w:t>
      </w:r>
      <w:bookmarkStart w:id="16" w:name="_Hlk44507921"/>
      <w:r w:rsidR="008A77BB" w:rsidRPr="008A77BB">
        <w:rPr>
          <w:i/>
        </w:rPr>
        <w:t xml:space="preserve">Hall and </w:t>
      </w:r>
      <w:proofErr w:type="spellStart"/>
      <w:r w:rsidR="008A77BB" w:rsidRPr="008A77BB">
        <w:rPr>
          <w:i/>
        </w:rPr>
        <w:t>Preddy</w:t>
      </w:r>
      <w:proofErr w:type="spellEnd"/>
      <w:r w:rsidR="008A77BB" w:rsidRPr="008A77BB">
        <w:rPr>
          <w:i/>
        </w:rPr>
        <w:t xml:space="preserve"> v Bull and Bull</w:t>
      </w:r>
      <w:r w:rsidR="00151850" w:rsidRPr="00151850">
        <w:t xml:space="preserve"> [2011]</w:t>
      </w:r>
      <w:bookmarkEnd w:id="16"/>
      <w:r w:rsidR="003839E6">
        <w:rPr>
          <w:bCs/>
        </w:rPr>
        <w:t>:</w:t>
      </w:r>
      <w:r w:rsidR="00151850" w:rsidRPr="00151850">
        <w:t xml:space="preserve"> [11]</w:t>
      </w:r>
      <w:r w:rsidR="003839E6">
        <w:t>)</w:t>
      </w:r>
      <w:r w:rsidRPr="00065C01">
        <w:t>.</w:t>
      </w:r>
      <w:r w:rsidR="007F7895" w:rsidRPr="00065C01">
        <w:t xml:space="preserve"> </w:t>
      </w:r>
      <w:r w:rsidR="002E7E01" w:rsidRPr="00065C01">
        <w:t xml:space="preserve">It is important to note that </w:t>
      </w:r>
      <w:r w:rsidR="003839E6">
        <w:t>“</w:t>
      </w:r>
      <w:r w:rsidR="002E7E01" w:rsidRPr="00065C01">
        <w:t>heterosexual</w:t>
      </w:r>
      <w:r w:rsidR="003839E6">
        <w:t>”</w:t>
      </w:r>
      <w:r w:rsidR="002E7E01" w:rsidRPr="00065C01">
        <w:t xml:space="preserve"> means here </w:t>
      </w:r>
      <w:r w:rsidR="003839E6">
        <w:t>“</w:t>
      </w:r>
      <w:r w:rsidR="002E7E01" w:rsidRPr="00065C01">
        <w:t>of the opposite sex</w:t>
      </w:r>
      <w:r w:rsidR="003839E6">
        <w:t>”</w:t>
      </w:r>
      <w:r w:rsidR="002E7E01" w:rsidRPr="00065C01">
        <w:t xml:space="preserve">, not </w:t>
      </w:r>
      <w:r w:rsidR="003839E6">
        <w:t>“</w:t>
      </w:r>
      <w:r w:rsidR="002E7E01" w:rsidRPr="00065C01">
        <w:t>of a heterosexual orientation</w:t>
      </w:r>
      <w:r w:rsidR="003839E6">
        <w:t>” (</w:t>
      </w:r>
      <w:r w:rsidR="003839E6" w:rsidRPr="003839E6">
        <w:t>Bernard Quinn</w:t>
      </w:r>
      <w:r w:rsidR="00FB464A">
        <w:t xml:space="preserve"> 2014</w:t>
      </w:r>
      <w:r w:rsidR="003839E6" w:rsidRPr="003839E6">
        <w:t xml:space="preserve">, </w:t>
      </w:r>
      <w:r w:rsidR="00FB464A">
        <w:t>personal communication,</w:t>
      </w:r>
      <w:r w:rsidR="003839E6" w:rsidRPr="003839E6">
        <w:t xml:space="preserve"> 24 July)</w:t>
      </w:r>
      <w:r w:rsidR="002E7E01" w:rsidRPr="00065C01">
        <w:t>.</w:t>
      </w:r>
      <w:r w:rsidR="00FF7839" w:rsidRPr="00065C01">
        <w:t xml:space="preserve"> </w:t>
      </w:r>
      <w:r w:rsidR="007F7895" w:rsidRPr="00065C01">
        <w:t xml:space="preserve">Hall and </w:t>
      </w:r>
      <w:proofErr w:type="spellStart"/>
      <w:r w:rsidR="007F7895" w:rsidRPr="00065C01">
        <w:t>Preddy</w:t>
      </w:r>
      <w:proofErr w:type="spellEnd"/>
      <w:r w:rsidR="007F7895" w:rsidRPr="00065C01">
        <w:t xml:space="preserve"> alleged direct discrimination on grounds of sexual orientation, which was the finding of the </w:t>
      </w:r>
      <w:r w:rsidR="00AD7A59">
        <w:t xml:space="preserve">Bristol </w:t>
      </w:r>
      <w:r w:rsidR="007F7895" w:rsidRPr="00065C01">
        <w:t xml:space="preserve">County Court </w:t>
      </w:r>
      <w:r w:rsidR="00FB464A">
        <w:t>(</w:t>
      </w:r>
      <w:r w:rsidR="00863258">
        <w:rPr>
          <w:i/>
        </w:rPr>
        <w:t>Ha</w:t>
      </w:r>
      <w:r w:rsidR="00863258" w:rsidRPr="00863258">
        <w:rPr>
          <w:i/>
        </w:rPr>
        <w:t xml:space="preserve">ll </w:t>
      </w:r>
      <w:r w:rsidR="006B77E9">
        <w:rPr>
          <w:i/>
        </w:rPr>
        <w:t>and</w:t>
      </w:r>
      <w:r w:rsidR="00863258" w:rsidRPr="00863258">
        <w:rPr>
          <w:i/>
        </w:rPr>
        <w:t xml:space="preserve"> </w:t>
      </w:r>
      <w:proofErr w:type="spellStart"/>
      <w:r w:rsidR="00863258" w:rsidRPr="00863258">
        <w:rPr>
          <w:i/>
        </w:rPr>
        <w:t>Preddy</w:t>
      </w:r>
      <w:proofErr w:type="spellEnd"/>
      <w:r w:rsidR="00863258" w:rsidRPr="00863258">
        <w:rPr>
          <w:i/>
        </w:rPr>
        <w:t xml:space="preserve"> v Bull </w:t>
      </w:r>
      <w:r w:rsidR="006B77E9">
        <w:rPr>
          <w:i/>
        </w:rPr>
        <w:t>and</w:t>
      </w:r>
      <w:r w:rsidR="00863258" w:rsidRPr="00863258">
        <w:rPr>
          <w:i/>
        </w:rPr>
        <w:t xml:space="preserve"> Bull</w:t>
      </w:r>
      <w:r w:rsidR="00863258" w:rsidRPr="00863258">
        <w:rPr>
          <w:iCs/>
        </w:rPr>
        <w:t xml:space="preserve"> [2011]</w:t>
      </w:r>
      <w:r w:rsidR="00FB464A">
        <w:t>:</w:t>
      </w:r>
      <w:r w:rsidR="00FB464A" w:rsidRPr="00FB464A">
        <w:t xml:space="preserve"> [11]</w:t>
      </w:r>
      <w:r w:rsidR="00FB464A">
        <w:t>)</w:t>
      </w:r>
      <w:r w:rsidR="007F7895" w:rsidRPr="00065C01">
        <w:t xml:space="preserve">, the </w:t>
      </w:r>
      <w:bookmarkStart w:id="17" w:name="_Hlk44508027"/>
      <w:r w:rsidR="007F7895" w:rsidRPr="00065C01">
        <w:t xml:space="preserve">Court of Appeal </w:t>
      </w:r>
      <w:r w:rsidR="00FB464A">
        <w:t>(</w:t>
      </w:r>
      <w:r w:rsidR="00FB464A" w:rsidRPr="00FB464A">
        <w:rPr>
          <w:i/>
        </w:rPr>
        <w:t>Bull</w:t>
      </w:r>
      <w:r w:rsidR="0052380C">
        <w:rPr>
          <w:i/>
        </w:rPr>
        <w:t xml:space="preserve"> and Bull v Hall and </w:t>
      </w:r>
      <w:proofErr w:type="spellStart"/>
      <w:r w:rsidR="0052380C">
        <w:rPr>
          <w:i/>
        </w:rPr>
        <w:t>Preddy</w:t>
      </w:r>
      <w:proofErr w:type="spellEnd"/>
      <w:r w:rsidR="00FB464A" w:rsidRPr="00FB464A">
        <w:rPr>
          <w:i/>
        </w:rPr>
        <w:t xml:space="preserve"> </w:t>
      </w:r>
      <w:r w:rsidR="00FB464A" w:rsidRPr="00FB464A">
        <w:t>[2012]</w:t>
      </w:r>
      <w:bookmarkEnd w:id="17"/>
      <w:r w:rsidR="00FB464A">
        <w:t>)</w:t>
      </w:r>
      <w:r w:rsidR="007F7895" w:rsidRPr="00065C01">
        <w:t xml:space="preserve">, and the UK Supreme Court </w:t>
      </w:r>
      <w:r w:rsidR="00B4691F">
        <w:t>(</w:t>
      </w:r>
      <w:r w:rsidR="00863258" w:rsidRPr="00863258">
        <w:rPr>
          <w:i/>
        </w:rPr>
        <w:t xml:space="preserve">Bull and Bull v Hall and </w:t>
      </w:r>
      <w:proofErr w:type="spellStart"/>
      <w:r w:rsidR="00863258" w:rsidRPr="00863258">
        <w:rPr>
          <w:i/>
        </w:rPr>
        <w:t>Preddy</w:t>
      </w:r>
      <w:proofErr w:type="spellEnd"/>
      <w:r w:rsidR="00B4691F" w:rsidRPr="00B4691F">
        <w:rPr>
          <w:i/>
        </w:rPr>
        <w:t xml:space="preserve"> </w:t>
      </w:r>
      <w:r w:rsidR="00B4691F" w:rsidRPr="00B4691F">
        <w:t>[2013]</w:t>
      </w:r>
      <w:r w:rsidR="00B4691F">
        <w:t>)</w:t>
      </w:r>
      <w:r w:rsidR="007F7895" w:rsidRPr="00065C01">
        <w:t>.</w:t>
      </w:r>
    </w:p>
    <w:p w:rsidR="00AB338C" w:rsidRDefault="00AB338C" w:rsidP="00680EC7">
      <w:pPr>
        <w:spacing w:line="480" w:lineRule="auto"/>
        <w:rPr>
          <w:rFonts w:ascii="Times New Roman" w:hAnsi="Times New Roman"/>
          <w:sz w:val="24"/>
          <w:szCs w:val="24"/>
        </w:rPr>
      </w:pPr>
    </w:p>
    <w:p w:rsidR="00B06FD3" w:rsidRPr="00065C01" w:rsidRDefault="008C2BBE" w:rsidP="00680EC7">
      <w:pPr>
        <w:spacing w:line="480" w:lineRule="auto"/>
        <w:rPr>
          <w:rFonts w:ascii="Times New Roman" w:hAnsi="Times New Roman"/>
          <w:sz w:val="24"/>
          <w:szCs w:val="24"/>
        </w:rPr>
      </w:pPr>
      <w:r w:rsidRPr="00065C01">
        <w:rPr>
          <w:rFonts w:ascii="Times New Roman" w:hAnsi="Times New Roman"/>
          <w:sz w:val="24"/>
          <w:szCs w:val="24"/>
        </w:rPr>
        <w:t xml:space="preserve">The leading judgment from the Supreme Court </w:t>
      </w:r>
      <w:r w:rsidR="004B182C">
        <w:rPr>
          <w:rFonts w:ascii="Times New Roman" w:hAnsi="Times New Roman"/>
          <w:sz w:val="24"/>
          <w:szCs w:val="24"/>
        </w:rPr>
        <w:t>wa</w:t>
      </w:r>
      <w:r w:rsidR="009224D7">
        <w:rPr>
          <w:rFonts w:ascii="Times New Roman" w:hAnsi="Times New Roman"/>
          <w:sz w:val="24"/>
          <w:szCs w:val="24"/>
        </w:rPr>
        <w:t>s</w:t>
      </w:r>
      <w:r w:rsidR="009E08A6" w:rsidRPr="00065C01">
        <w:rPr>
          <w:rFonts w:ascii="Times New Roman" w:hAnsi="Times New Roman"/>
          <w:sz w:val="24"/>
          <w:szCs w:val="24"/>
        </w:rPr>
        <w:t xml:space="preserve"> by </w:t>
      </w:r>
      <w:r w:rsidR="00293FB4">
        <w:rPr>
          <w:rFonts w:ascii="Times New Roman" w:hAnsi="Times New Roman"/>
          <w:sz w:val="24"/>
          <w:szCs w:val="24"/>
        </w:rPr>
        <w:t>Baroness</w:t>
      </w:r>
      <w:r w:rsidR="009E08A6" w:rsidRPr="00065C01">
        <w:rPr>
          <w:rFonts w:ascii="Times New Roman" w:hAnsi="Times New Roman"/>
          <w:sz w:val="24"/>
          <w:szCs w:val="24"/>
        </w:rPr>
        <w:t xml:space="preserve"> Hale. She argues that the Bulls direct</w:t>
      </w:r>
      <w:r w:rsidR="001032C7">
        <w:rPr>
          <w:rFonts w:ascii="Times New Roman" w:hAnsi="Times New Roman"/>
          <w:sz w:val="24"/>
          <w:szCs w:val="24"/>
        </w:rPr>
        <w:t>ly</w:t>
      </w:r>
      <w:r w:rsidR="009E08A6" w:rsidRPr="00065C01">
        <w:rPr>
          <w:rFonts w:ascii="Times New Roman" w:hAnsi="Times New Roman"/>
          <w:sz w:val="24"/>
          <w:szCs w:val="24"/>
        </w:rPr>
        <w:t xml:space="preserve"> discriminat</w:t>
      </w:r>
      <w:r w:rsidR="00967466">
        <w:rPr>
          <w:rFonts w:ascii="Times New Roman" w:hAnsi="Times New Roman"/>
          <w:sz w:val="24"/>
          <w:szCs w:val="24"/>
        </w:rPr>
        <w:t>ed</w:t>
      </w:r>
      <w:r w:rsidR="009E08A6" w:rsidRPr="00065C01">
        <w:rPr>
          <w:rFonts w:ascii="Times New Roman" w:hAnsi="Times New Roman"/>
          <w:sz w:val="24"/>
          <w:szCs w:val="24"/>
        </w:rPr>
        <w:t xml:space="preserve"> on</w:t>
      </w:r>
      <w:r w:rsidR="006A663C" w:rsidRPr="00065C01">
        <w:rPr>
          <w:rFonts w:ascii="Times New Roman" w:hAnsi="Times New Roman"/>
          <w:sz w:val="24"/>
          <w:szCs w:val="24"/>
        </w:rPr>
        <w:t xml:space="preserve"> grounds of sexual orientation.</w:t>
      </w:r>
      <w:r w:rsidR="00EB2DE6">
        <w:rPr>
          <w:rFonts w:ascii="Times New Roman" w:hAnsi="Times New Roman"/>
          <w:sz w:val="24"/>
          <w:szCs w:val="24"/>
        </w:rPr>
        <w:t xml:space="preserve"> The Bulls contended that they </w:t>
      </w:r>
      <w:r w:rsidR="00EB2DE6">
        <w:rPr>
          <w:rFonts w:ascii="Times New Roman" w:hAnsi="Times New Roman"/>
          <w:sz w:val="24"/>
          <w:szCs w:val="24"/>
        </w:rPr>
        <w:lastRenderedPageBreak/>
        <w:t>discriminated on grounds of marital status</w:t>
      </w:r>
      <w:r w:rsidR="00B4691F">
        <w:rPr>
          <w:rFonts w:ascii="Times New Roman" w:hAnsi="Times New Roman"/>
          <w:sz w:val="24"/>
          <w:szCs w:val="24"/>
        </w:rPr>
        <w:t xml:space="preserve"> (</w:t>
      </w:r>
      <w:r w:rsidR="00103E76" w:rsidRPr="00103E76">
        <w:rPr>
          <w:rFonts w:ascii="Times New Roman" w:hAnsi="Times New Roman"/>
          <w:i/>
          <w:sz w:val="24"/>
          <w:szCs w:val="24"/>
        </w:rPr>
        <w:t xml:space="preserve">Bull and Bull v Hall and </w:t>
      </w:r>
      <w:proofErr w:type="spellStart"/>
      <w:r w:rsidR="00103E76" w:rsidRPr="00103E76">
        <w:rPr>
          <w:rFonts w:ascii="Times New Roman" w:hAnsi="Times New Roman"/>
          <w:i/>
          <w:sz w:val="24"/>
          <w:szCs w:val="24"/>
        </w:rPr>
        <w:t>Preddy</w:t>
      </w:r>
      <w:proofErr w:type="spellEnd"/>
      <w:r w:rsidR="00B4691F" w:rsidRPr="00B4691F">
        <w:rPr>
          <w:rFonts w:ascii="Times New Roman" w:hAnsi="Times New Roman"/>
          <w:i/>
          <w:sz w:val="24"/>
          <w:szCs w:val="24"/>
        </w:rPr>
        <w:t xml:space="preserve"> </w:t>
      </w:r>
      <w:r w:rsidR="00B4691F" w:rsidRPr="00B4691F">
        <w:rPr>
          <w:rFonts w:ascii="Times New Roman" w:hAnsi="Times New Roman"/>
          <w:sz w:val="24"/>
          <w:szCs w:val="24"/>
        </w:rPr>
        <w:t>[2013]</w:t>
      </w:r>
      <w:r w:rsidR="00B4691F">
        <w:rPr>
          <w:rFonts w:ascii="Times New Roman" w:hAnsi="Times New Roman"/>
          <w:sz w:val="24"/>
          <w:szCs w:val="24"/>
        </w:rPr>
        <w:t xml:space="preserve">: </w:t>
      </w:r>
      <w:r w:rsidR="00B4691F" w:rsidRPr="00B4691F">
        <w:rPr>
          <w:rFonts w:ascii="Times New Roman" w:hAnsi="Times New Roman"/>
          <w:sz w:val="24"/>
          <w:szCs w:val="24"/>
        </w:rPr>
        <w:t>3747G [17]</w:t>
      </w:r>
      <w:r w:rsidR="00B4691F">
        <w:rPr>
          <w:rFonts w:ascii="Times New Roman" w:hAnsi="Times New Roman"/>
          <w:sz w:val="24"/>
          <w:szCs w:val="24"/>
        </w:rPr>
        <w:t>)</w:t>
      </w:r>
      <w:r w:rsidR="00293FB4">
        <w:rPr>
          <w:rFonts w:ascii="Times New Roman" w:hAnsi="Times New Roman"/>
          <w:sz w:val="24"/>
          <w:szCs w:val="24"/>
        </w:rPr>
        <w:t>. (Although the case was heard under the Sexual</w:t>
      </w:r>
      <w:r w:rsidR="003E56CF">
        <w:rPr>
          <w:rFonts w:ascii="Times New Roman" w:hAnsi="Times New Roman"/>
          <w:sz w:val="24"/>
          <w:szCs w:val="24"/>
        </w:rPr>
        <w:t xml:space="preserve"> </w:t>
      </w:r>
      <w:r w:rsidR="00293FB4">
        <w:rPr>
          <w:rFonts w:ascii="Times New Roman" w:hAnsi="Times New Roman"/>
          <w:sz w:val="24"/>
          <w:szCs w:val="24"/>
        </w:rPr>
        <w:t xml:space="preserve">Orientation Regulations 2007, it is worth noting that the </w:t>
      </w:r>
      <w:r w:rsidR="00293FB4">
        <w:rPr>
          <w:rFonts w:ascii="Times New Roman" w:hAnsi="Times New Roman"/>
        </w:rPr>
        <w:t>characteristic of marriage or civil partnership</w:t>
      </w:r>
      <w:r w:rsidR="00293FB4">
        <w:rPr>
          <w:rFonts w:ascii="Times New Roman" w:hAnsi="Times New Roman"/>
          <w:sz w:val="24"/>
          <w:szCs w:val="24"/>
        </w:rPr>
        <w:t xml:space="preserve"> </w:t>
      </w:r>
      <w:r w:rsidR="003E56CF">
        <w:rPr>
          <w:rFonts w:ascii="Times New Roman" w:hAnsi="Times New Roman"/>
          <w:sz w:val="24"/>
          <w:szCs w:val="24"/>
        </w:rPr>
        <w:t>was not then covered by discrimination legislation respecting services and public functions</w:t>
      </w:r>
      <w:r w:rsidR="00B83D85">
        <w:rPr>
          <w:rFonts w:ascii="Times New Roman" w:hAnsi="Times New Roman"/>
          <w:sz w:val="24"/>
          <w:szCs w:val="24"/>
        </w:rPr>
        <w:t xml:space="preserve">, </w:t>
      </w:r>
      <w:r w:rsidR="003E56CF">
        <w:rPr>
          <w:rFonts w:ascii="Times New Roman" w:hAnsi="Times New Roman"/>
          <w:sz w:val="24"/>
          <w:szCs w:val="24"/>
        </w:rPr>
        <w:t xml:space="preserve">and even now </w:t>
      </w:r>
      <w:r w:rsidR="00293FB4">
        <w:rPr>
          <w:rFonts w:ascii="Times New Roman" w:hAnsi="Times New Roman"/>
        </w:rPr>
        <w:t>is not covered by</w:t>
      </w:r>
      <w:r w:rsidR="003E56CF">
        <w:rPr>
          <w:rFonts w:ascii="Times New Roman" w:hAnsi="Times New Roman"/>
        </w:rPr>
        <w:t xml:space="preserve"> the relevant part,</w:t>
      </w:r>
      <w:r w:rsidR="00293FB4">
        <w:rPr>
          <w:rFonts w:ascii="Times New Roman" w:hAnsi="Times New Roman"/>
        </w:rPr>
        <w:t xml:space="preserve"> Part 3</w:t>
      </w:r>
      <w:r w:rsidR="003E56CF">
        <w:rPr>
          <w:rFonts w:ascii="Times New Roman" w:hAnsi="Times New Roman"/>
        </w:rPr>
        <w:t>,</w:t>
      </w:r>
      <w:r w:rsidR="00293FB4">
        <w:rPr>
          <w:rFonts w:ascii="Times New Roman" w:hAnsi="Times New Roman"/>
        </w:rPr>
        <w:t xml:space="preserve"> of the Equality Act 2010</w:t>
      </w:r>
      <w:r w:rsidR="00EB2DE6">
        <w:rPr>
          <w:rFonts w:ascii="Times New Roman" w:hAnsi="Times New Roman"/>
          <w:sz w:val="24"/>
          <w:szCs w:val="24"/>
        </w:rPr>
        <w:t>.</w:t>
      </w:r>
      <w:r w:rsidR="009F1A24">
        <w:rPr>
          <w:rFonts w:ascii="Times New Roman" w:hAnsi="Times New Roman"/>
          <w:sz w:val="24"/>
          <w:szCs w:val="24"/>
        </w:rPr>
        <w:t xml:space="preserve"> Same-sex marriage was not introduced in England and Wales until </w:t>
      </w:r>
      <w:r w:rsidR="007E05C3">
        <w:rPr>
          <w:rFonts w:ascii="Times New Roman" w:hAnsi="Times New Roman"/>
          <w:sz w:val="24"/>
          <w:szCs w:val="24"/>
        </w:rPr>
        <w:t xml:space="preserve">the </w:t>
      </w:r>
      <w:bookmarkStart w:id="18" w:name="_Hlk44508173"/>
      <w:r w:rsidR="007E05C3" w:rsidRPr="007E05C3">
        <w:rPr>
          <w:rFonts w:ascii="Times New Roman" w:hAnsi="Times New Roman"/>
          <w:sz w:val="24"/>
          <w:szCs w:val="24"/>
        </w:rPr>
        <w:t>Marriage (Same-sex Couples) Act 2013</w:t>
      </w:r>
      <w:bookmarkEnd w:id="18"/>
      <w:r w:rsidR="009F1A24">
        <w:rPr>
          <w:rFonts w:ascii="Times New Roman" w:hAnsi="Times New Roman"/>
          <w:sz w:val="24"/>
          <w:szCs w:val="24"/>
        </w:rPr>
        <w:t>.</w:t>
      </w:r>
      <w:r w:rsidR="00293FB4">
        <w:rPr>
          <w:rFonts w:ascii="Times New Roman" w:hAnsi="Times New Roman"/>
          <w:sz w:val="24"/>
          <w:szCs w:val="24"/>
        </w:rPr>
        <w:t>)</w:t>
      </w:r>
      <w:r w:rsidR="00EB2DE6">
        <w:rPr>
          <w:rFonts w:ascii="Times New Roman" w:hAnsi="Times New Roman"/>
          <w:sz w:val="24"/>
          <w:szCs w:val="24"/>
        </w:rPr>
        <w:t xml:space="preserve"> </w:t>
      </w:r>
      <w:r w:rsidR="002F1C2F" w:rsidRPr="00065C01">
        <w:rPr>
          <w:rFonts w:ascii="Times New Roman" w:hAnsi="Times New Roman"/>
          <w:sz w:val="24"/>
          <w:szCs w:val="24"/>
        </w:rPr>
        <w:t>The crucial para</w:t>
      </w:r>
      <w:r w:rsidR="00B06FD3" w:rsidRPr="00065C01">
        <w:rPr>
          <w:rFonts w:ascii="Times New Roman" w:hAnsi="Times New Roman"/>
          <w:sz w:val="24"/>
          <w:szCs w:val="24"/>
        </w:rPr>
        <w:t>graph</w:t>
      </w:r>
      <w:r w:rsidR="002F1C2F" w:rsidRPr="00065C01">
        <w:rPr>
          <w:rFonts w:ascii="Times New Roman" w:hAnsi="Times New Roman"/>
          <w:sz w:val="24"/>
          <w:szCs w:val="24"/>
        </w:rPr>
        <w:t xml:space="preserve"> of </w:t>
      </w:r>
      <w:r w:rsidR="00613309" w:rsidRPr="00065C01">
        <w:rPr>
          <w:rFonts w:ascii="Times New Roman" w:hAnsi="Times New Roman"/>
          <w:sz w:val="24"/>
          <w:szCs w:val="24"/>
        </w:rPr>
        <w:t>Lady</w:t>
      </w:r>
      <w:r w:rsidR="00B06FD3" w:rsidRPr="00065C01">
        <w:rPr>
          <w:rFonts w:ascii="Times New Roman" w:hAnsi="Times New Roman"/>
          <w:sz w:val="24"/>
          <w:szCs w:val="24"/>
        </w:rPr>
        <w:t xml:space="preserve"> Hale’s</w:t>
      </w:r>
      <w:r w:rsidR="002F1C2F" w:rsidRPr="00065C01">
        <w:rPr>
          <w:rFonts w:ascii="Times New Roman" w:hAnsi="Times New Roman"/>
          <w:sz w:val="24"/>
          <w:szCs w:val="24"/>
        </w:rPr>
        <w:t xml:space="preserve"> judgment is, in my opinion, [29]:</w:t>
      </w:r>
    </w:p>
    <w:p w:rsidR="00B06FD3" w:rsidRPr="003E56CF" w:rsidRDefault="002F1C2F" w:rsidP="00680EC7">
      <w:pPr>
        <w:spacing w:line="480" w:lineRule="auto"/>
        <w:ind w:left="709"/>
        <w:rPr>
          <w:rFonts w:ascii="Times New Roman" w:hAnsi="Times New Roman"/>
          <w:sz w:val="24"/>
          <w:szCs w:val="24"/>
        </w:rPr>
      </w:pPr>
      <w:r w:rsidRPr="00065C01">
        <w:rPr>
          <w:rFonts w:ascii="Times New Roman" w:hAnsi="Times New Roman"/>
          <w:sz w:val="24"/>
          <w:szCs w:val="24"/>
        </w:rPr>
        <w:t xml:space="preserve">I would </w:t>
      </w:r>
      <w:r w:rsidR="003E56CF">
        <w:rPr>
          <w:rFonts w:ascii="Times New Roman" w:hAnsi="Times New Roman"/>
          <w:sz w:val="24"/>
          <w:szCs w:val="24"/>
        </w:rPr>
        <w:t>[…]</w:t>
      </w:r>
      <w:r w:rsidRPr="00065C01">
        <w:rPr>
          <w:rFonts w:ascii="Times New Roman" w:hAnsi="Times New Roman"/>
          <w:sz w:val="24"/>
          <w:szCs w:val="24"/>
        </w:rPr>
        <w:t xml:space="preserve"> regard the criterion of marriage or civil partnership as indissociable from the sexual orientation of those who qualify to enter it. More importantly, there is an exact correspondence between the advantage conferred and the disadvantage imposed </w:t>
      </w:r>
      <w:r w:rsidRPr="003E56CF">
        <w:rPr>
          <w:rFonts w:ascii="Times New Roman" w:hAnsi="Times New Roman"/>
          <w:sz w:val="24"/>
          <w:szCs w:val="24"/>
        </w:rPr>
        <w:t>in allowing a double bed to the o</w:t>
      </w:r>
      <w:r w:rsidR="00B06FD3" w:rsidRPr="003E56CF">
        <w:rPr>
          <w:rFonts w:ascii="Times New Roman" w:hAnsi="Times New Roman"/>
          <w:sz w:val="24"/>
          <w:szCs w:val="24"/>
        </w:rPr>
        <w:t>ne and denying it to the other.</w:t>
      </w:r>
      <w:r w:rsidR="007E05C3">
        <w:rPr>
          <w:rFonts w:ascii="Times New Roman" w:hAnsi="Times New Roman"/>
          <w:sz w:val="24"/>
          <w:szCs w:val="24"/>
        </w:rPr>
        <w:t xml:space="preserve"> (</w:t>
      </w:r>
      <w:r w:rsidR="00103E76" w:rsidRPr="00103E76">
        <w:rPr>
          <w:rFonts w:ascii="Times New Roman" w:hAnsi="Times New Roman"/>
          <w:i/>
          <w:sz w:val="24"/>
          <w:szCs w:val="24"/>
        </w:rPr>
        <w:t xml:space="preserve">Bull and Bull v Hall and </w:t>
      </w:r>
      <w:proofErr w:type="spellStart"/>
      <w:r w:rsidR="00103E76" w:rsidRPr="00103E76">
        <w:rPr>
          <w:rFonts w:ascii="Times New Roman" w:hAnsi="Times New Roman"/>
          <w:i/>
          <w:sz w:val="24"/>
          <w:szCs w:val="24"/>
        </w:rPr>
        <w:t>Preddy</w:t>
      </w:r>
      <w:proofErr w:type="spellEnd"/>
      <w:r w:rsidR="007E05C3" w:rsidRPr="007E05C3">
        <w:rPr>
          <w:rFonts w:ascii="Times New Roman" w:hAnsi="Times New Roman"/>
          <w:i/>
          <w:sz w:val="24"/>
          <w:szCs w:val="24"/>
        </w:rPr>
        <w:t xml:space="preserve"> </w:t>
      </w:r>
      <w:r w:rsidR="007E05C3" w:rsidRPr="007E05C3">
        <w:rPr>
          <w:rFonts w:ascii="Times New Roman" w:hAnsi="Times New Roman"/>
          <w:sz w:val="24"/>
          <w:szCs w:val="24"/>
        </w:rPr>
        <w:t>[2013]</w:t>
      </w:r>
      <w:r w:rsidR="007E05C3">
        <w:rPr>
          <w:rFonts w:ascii="Times New Roman" w:hAnsi="Times New Roman"/>
          <w:sz w:val="24"/>
          <w:szCs w:val="24"/>
        </w:rPr>
        <w:t>:</w:t>
      </w:r>
      <w:r w:rsidR="007E05C3" w:rsidRPr="007E05C3">
        <w:rPr>
          <w:rFonts w:ascii="Times New Roman" w:hAnsi="Times New Roman"/>
          <w:sz w:val="24"/>
          <w:szCs w:val="24"/>
        </w:rPr>
        <w:t xml:space="preserve"> 3750F [29]</w:t>
      </w:r>
      <w:r w:rsidR="007E05C3">
        <w:rPr>
          <w:rFonts w:ascii="Times New Roman" w:hAnsi="Times New Roman"/>
          <w:sz w:val="24"/>
          <w:szCs w:val="24"/>
        </w:rPr>
        <w:t>)</w:t>
      </w:r>
    </w:p>
    <w:p w:rsidR="000E4FFB" w:rsidRPr="000E4FFB" w:rsidRDefault="000E4FFB" w:rsidP="000E4FFB">
      <w:pPr>
        <w:spacing w:line="480" w:lineRule="auto"/>
        <w:rPr>
          <w:rFonts w:ascii="Times New Roman" w:hAnsi="Times New Roman"/>
          <w:sz w:val="24"/>
          <w:szCs w:val="24"/>
        </w:rPr>
      </w:pPr>
      <w:r w:rsidRPr="000E4FFB">
        <w:rPr>
          <w:rFonts w:ascii="Times New Roman" w:hAnsi="Times New Roman"/>
          <w:sz w:val="24"/>
          <w:szCs w:val="24"/>
        </w:rPr>
        <w:t>Contrary to Lady Hale, the criterion is clearly not indissociable from sexual orientation, since (a) those of a heterosexual orientation do not have to marry, and</w:t>
      </w:r>
      <w:r w:rsidR="00027850">
        <w:rPr>
          <w:rFonts w:ascii="Times New Roman" w:hAnsi="Times New Roman"/>
          <w:sz w:val="24"/>
          <w:szCs w:val="24"/>
        </w:rPr>
        <w:t>,</w:t>
      </w:r>
      <w:r w:rsidRPr="000E4FFB">
        <w:rPr>
          <w:rFonts w:ascii="Times New Roman" w:hAnsi="Times New Roman"/>
          <w:sz w:val="24"/>
          <w:szCs w:val="24"/>
        </w:rPr>
        <w:t xml:space="preserve"> as she</w:t>
      </w:r>
      <w:r w:rsidR="00027850">
        <w:rPr>
          <w:rFonts w:ascii="Times New Roman" w:hAnsi="Times New Roman"/>
          <w:sz w:val="24"/>
          <w:szCs w:val="24"/>
        </w:rPr>
        <w:t xml:space="preserve"> herself</w:t>
      </w:r>
      <w:r w:rsidRPr="000E4FFB">
        <w:rPr>
          <w:rFonts w:ascii="Times New Roman" w:hAnsi="Times New Roman"/>
          <w:sz w:val="24"/>
          <w:szCs w:val="24"/>
        </w:rPr>
        <w:t xml:space="preserve"> points out,</w:t>
      </w:r>
      <w:r w:rsidR="00027850">
        <w:rPr>
          <w:rFonts w:ascii="Times New Roman" w:hAnsi="Times New Roman"/>
          <w:sz w:val="24"/>
          <w:szCs w:val="24"/>
        </w:rPr>
        <w:t xml:space="preserve"> </w:t>
      </w:r>
      <w:r w:rsidR="00027850" w:rsidRPr="000E4FFB">
        <w:rPr>
          <w:rFonts w:ascii="Times New Roman" w:hAnsi="Times New Roman"/>
          <w:sz w:val="24"/>
          <w:szCs w:val="24"/>
        </w:rPr>
        <w:t>(b)</w:t>
      </w:r>
      <w:r w:rsidRPr="000E4FFB">
        <w:rPr>
          <w:rFonts w:ascii="Times New Roman" w:hAnsi="Times New Roman"/>
          <w:sz w:val="24"/>
          <w:szCs w:val="24"/>
        </w:rPr>
        <w:t xml:space="preserve"> those of a homosexual orientation </w:t>
      </w:r>
      <w:r w:rsidR="009F1A24">
        <w:rPr>
          <w:rFonts w:ascii="Times New Roman" w:hAnsi="Times New Roman"/>
          <w:sz w:val="24"/>
          <w:szCs w:val="24"/>
        </w:rPr>
        <w:t>have always been</w:t>
      </w:r>
      <w:r w:rsidRPr="000E4FFB">
        <w:rPr>
          <w:rFonts w:ascii="Times New Roman" w:hAnsi="Times New Roman"/>
          <w:sz w:val="24"/>
          <w:szCs w:val="24"/>
        </w:rPr>
        <w:t xml:space="preserve"> free to get married</w:t>
      </w:r>
      <w:r w:rsidR="007E05C3">
        <w:rPr>
          <w:rFonts w:ascii="Times New Roman" w:hAnsi="Times New Roman"/>
          <w:sz w:val="24"/>
          <w:szCs w:val="24"/>
        </w:rPr>
        <w:t xml:space="preserve"> (</w:t>
      </w:r>
      <w:r w:rsidR="00103E76" w:rsidRPr="00103E76">
        <w:rPr>
          <w:rFonts w:ascii="Times New Roman" w:hAnsi="Times New Roman"/>
          <w:i/>
          <w:sz w:val="24"/>
          <w:szCs w:val="24"/>
        </w:rPr>
        <w:t xml:space="preserve">Bull and Bull v Hall and </w:t>
      </w:r>
      <w:proofErr w:type="spellStart"/>
      <w:r w:rsidR="00103E76" w:rsidRPr="00103E76">
        <w:rPr>
          <w:rFonts w:ascii="Times New Roman" w:hAnsi="Times New Roman"/>
          <w:i/>
          <w:sz w:val="24"/>
          <w:szCs w:val="24"/>
        </w:rPr>
        <w:t>Preddy</w:t>
      </w:r>
      <w:proofErr w:type="spellEnd"/>
      <w:r w:rsidR="0032629C" w:rsidRPr="0032629C">
        <w:rPr>
          <w:rFonts w:ascii="Times New Roman" w:hAnsi="Times New Roman"/>
          <w:i/>
          <w:sz w:val="24"/>
          <w:szCs w:val="24"/>
        </w:rPr>
        <w:t xml:space="preserve"> </w:t>
      </w:r>
      <w:r w:rsidR="0032629C" w:rsidRPr="0032629C">
        <w:rPr>
          <w:rFonts w:ascii="Times New Roman" w:hAnsi="Times New Roman"/>
          <w:sz w:val="24"/>
          <w:szCs w:val="24"/>
        </w:rPr>
        <w:t>[2013]:</w:t>
      </w:r>
      <w:r w:rsidR="0032629C">
        <w:rPr>
          <w:rFonts w:ascii="Times New Roman" w:hAnsi="Times New Roman"/>
          <w:sz w:val="24"/>
          <w:szCs w:val="24"/>
        </w:rPr>
        <w:t xml:space="preserve"> </w:t>
      </w:r>
      <w:r w:rsidR="007E05C3" w:rsidRPr="007E05C3">
        <w:rPr>
          <w:rFonts w:ascii="Times New Roman" w:hAnsi="Times New Roman"/>
          <w:sz w:val="24"/>
          <w:szCs w:val="24"/>
        </w:rPr>
        <w:t>3748F [20]</w:t>
      </w:r>
      <w:r w:rsidR="007E05C3">
        <w:rPr>
          <w:rFonts w:ascii="Times New Roman" w:hAnsi="Times New Roman"/>
          <w:sz w:val="24"/>
          <w:szCs w:val="24"/>
        </w:rPr>
        <w:t>)</w:t>
      </w:r>
      <w:r w:rsidRPr="000E4FFB">
        <w:rPr>
          <w:rFonts w:ascii="Times New Roman" w:hAnsi="Times New Roman"/>
          <w:sz w:val="24"/>
          <w:szCs w:val="24"/>
        </w:rPr>
        <w:t xml:space="preserve">. Lady Hale responds </w:t>
      </w:r>
      <w:r w:rsidR="00021A03">
        <w:rPr>
          <w:rFonts w:ascii="Times New Roman" w:hAnsi="Times New Roman"/>
          <w:sz w:val="24"/>
          <w:szCs w:val="24"/>
        </w:rPr>
        <w:t xml:space="preserve">to this point </w:t>
      </w:r>
      <w:r w:rsidR="00503C9C">
        <w:rPr>
          <w:rFonts w:ascii="Times New Roman" w:hAnsi="Times New Roman"/>
          <w:sz w:val="24"/>
          <w:szCs w:val="24"/>
        </w:rPr>
        <w:t>“</w:t>
      </w:r>
      <w:r w:rsidRPr="000E4FFB">
        <w:rPr>
          <w:rFonts w:ascii="Times New Roman" w:hAnsi="Times New Roman"/>
          <w:sz w:val="24"/>
          <w:szCs w:val="24"/>
        </w:rPr>
        <w:t>They are not free to marry a person who shares their own orientation</w:t>
      </w:r>
      <w:r w:rsidR="00503C9C">
        <w:rPr>
          <w:rFonts w:ascii="Times New Roman" w:hAnsi="Times New Roman"/>
          <w:sz w:val="24"/>
          <w:szCs w:val="24"/>
        </w:rPr>
        <w:t xml:space="preserve">” </w:t>
      </w:r>
      <w:r w:rsidR="00503C9C" w:rsidRPr="00503C9C">
        <w:rPr>
          <w:rFonts w:ascii="Times New Roman" w:hAnsi="Times New Roman"/>
          <w:sz w:val="24"/>
          <w:szCs w:val="24"/>
        </w:rPr>
        <w:t>(</w:t>
      </w:r>
      <w:r w:rsidR="00103E76" w:rsidRPr="00103E76">
        <w:rPr>
          <w:rFonts w:ascii="Times New Roman" w:hAnsi="Times New Roman"/>
          <w:i/>
          <w:sz w:val="24"/>
          <w:szCs w:val="24"/>
        </w:rPr>
        <w:t xml:space="preserve">Bull and Bull v Hall and </w:t>
      </w:r>
      <w:proofErr w:type="spellStart"/>
      <w:r w:rsidR="00103E76" w:rsidRPr="00103E76">
        <w:rPr>
          <w:rFonts w:ascii="Times New Roman" w:hAnsi="Times New Roman"/>
          <w:i/>
          <w:sz w:val="24"/>
          <w:szCs w:val="24"/>
        </w:rPr>
        <w:t>Preddy</w:t>
      </w:r>
      <w:proofErr w:type="spellEnd"/>
      <w:r w:rsidR="0032629C" w:rsidRPr="0032629C">
        <w:rPr>
          <w:rFonts w:ascii="Times New Roman" w:hAnsi="Times New Roman"/>
          <w:i/>
          <w:sz w:val="24"/>
          <w:szCs w:val="24"/>
        </w:rPr>
        <w:t xml:space="preserve"> </w:t>
      </w:r>
      <w:r w:rsidR="0032629C" w:rsidRPr="0032629C">
        <w:rPr>
          <w:rFonts w:ascii="Times New Roman" w:hAnsi="Times New Roman"/>
          <w:sz w:val="24"/>
          <w:szCs w:val="24"/>
        </w:rPr>
        <w:t>[2013]:</w:t>
      </w:r>
      <w:r w:rsidR="0032629C">
        <w:rPr>
          <w:rFonts w:ascii="Times New Roman" w:hAnsi="Times New Roman"/>
          <w:sz w:val="24"/>
          <w:szCs w:val="24"/>
        </w:rPr>
        <w:t xml:space="preserve"> </w:t>
      </w:r>
      <w:r w:rsidR="00503C9C" w:rsidRPr="00503C9C">
        <w:rPr>
          <w:rFonts w:ascii="Times New Roman" w:hAnsi="Times New Roman"/>
          <w:sz w:val="24"/>
          <w:szCs w:val="24"/>
        </w:rPr>
        <w:t>3748F [20])</w:t>
      </w:r>
      <w:r w:rsidRPr="000E4FFB">
        <w:rPr>
          <w:rFonts w:ascii="Times New Roman" w:hAnsi="Times New Roman"/>
          <w:sz w:val="24"/>
          <w:szCs w:val="24"/>
        </w:rPr>
        <w:t>. But this is, again, false, as her own example shows: Vita Sackville-West was of a homosexual orientation, and she married another person of a homosexual orientation, Harold Nicholson</w:t>
      </w:r>
      <w:r w:rsidR="00503C9C">
        <w:rPr>
          <w:rFonts w:ascii="Times New Roman" w:hAnsi="Times New Roman"/>
          <w:sz w:val="24"/>
          <w:szCs w:val="24"/>
        </w:rPr>
        <w:t xml:space="preserve"> (</w:t>
      </w:r>
      <w:r w:rsidR="00C707E3" w:rsidRPr="00C707E3">
        <w:rPr>
          <w:rFonts w:ascii="Times New Roman" w:hAnsi="Times New Roman"/>
          <w:i/>
          <w:sz w:val="24"/>
          <w:szCs w:val="24"/>
        </w:rPr>
        <w:t xml:space="preserve">Bull and Bull v Hall and </w:t>
      </w:r>
      <w:proofErr w:type="spellStart"/>
      <w:r w:rsidR="00C707E3" w:rsidRPr="00C707E3">
        <w:rPr>
          <w:rFonts w:ascii="Times New Roman" w:hAnsi="Times New Roman"/>
          <w:i/>
          <w:sz w:val="24"/>
          <w:szCs w:val="24"/>
        </w:rPr>
        <w:t>Preddy</w:t>
      </w:r>
      <w:proofErr w:type="spellEnd"/>
      <w:r w:rsidR="0032629C" w:rsidRPr="0032629C">
        <w:rPr>
          <w:rFonts w:ascii="Times New Roman" w:hAnsi="Times New Roman"/>
          <w:i/>
          <w:sz w:val="24"/>
          <w:szCs w:val="24"/>
        </w:rPr>
        <w:t xml:space="preserve"> </w:t>
      </w:r>
      <w:r w:rsidR="0032629C" w:rsidRPr="0032629C">
        <w:rPr>
          <w:rFonts w:ascii="Times New Roman" w:hAnsi="Times New Roman"/>
          <w:sz w:val="24"/>
          <w:szCs w:val="24"/>
        </w:rPr>
        <w:t>[2013]:</w:t>
      </w:r>
      <w:r w:rsidR="0032629C">
        <w:rPr>
          <w:rFonts w:ascii="Times New Roman" w:hAnsi="Times New Roman"/>
          <w:sz w:val="24"/>
          <w:szCs w:val="24"/>
        </w:rPr>
        <w:t xml:space="preserve"> </w:t>
      </w:r>
      <w:r w:rsidR="00503C9C" w:rsidRPr="00503C9C">
        <w:rPr>
          <w:rFonts w:ascii="Times New Roman" w:hAnsi="Times New Roman"/>
          <w:sz w:val="24"/>
          <w:szCs w:val="24"/>
        </w:rPr>
        <w:t>3748F [20]</w:t>
      </w:r>
      <w:r w:rsidR="00503C9C">
        <w:rPr>
          <w:rFonts w:ascii="Times New Roman" w:hAnsi="Times New Roman"/>
          <w:sz w:val="24"/>
          <w:szCs w:val="24"/>
        </w:rPr>
        <w:t>)</w:t>
      </w:r>
      <w:r w:rsidRPr="000E4FFB">
        <w:rPr>
          <w:rFonts w:ascii="Times New Roman" w:hAnsi="Times New Roman"/>
          <w:sz w:val="24"/>
          <w:szCs w:val="24"/>
        </w:rPr>
        <w:t>.</w:t>
      </w:r>
      <w:r w:rsidRPr="000E4FFB">
        <w:rPr>
          <w:rStyle w:val="FootnoteReference"/>
          <w:rFonts w:ascii="Times New Roman" w:hAnsi="Times New Roman"/>
          <w:sz w:val="24"/>
          <w:szCs w:val="24"/>
        </w:rPr>
        <w:footnoteReference w:id="8"/>
      </w:r>
      <w:r w:rsidRPr="000E4FFB">
        <w:rPr>
          <w:rFonts w:ascii="Times New Roman" w:hAnsi="Times New Roman"/>
          <w:sz w:val="24"/>
          <w:szCs w:val="24"/>
        </w:rPr>
        <w:t xml:space="preserve"> What is true is that </w:t>
      </w:r>
      <w:r w:rsidRPr="000E4FFB">
        <w:rPr>
          <w:rFonts w:ascii="Times New Roman" w:hAnsi="Times New Roman"/>
          <w:sz w:val="24"/>
          <w:szCs w:val="24"/>
        </w:rPr>
        <w:lastRenderedPageBreak/>
        <w:t xml:space="preserve">one was not at the time legally free to marry someone of the same </w:t>
      </w:r>
      <w:r w:rsidRPr="000E4FFB">
        <w:rPr>
          <w:rFonts w:ascii="Times New Roman" w:hAnsi="Times New Roman"/>
          <w:i/>
          <w:sz w:val="24"/>
          <w:szCs w:val="24"/>
        </w:rPr>
        <w:t>sex</w:t>
      </w:r>
      <w:r w:rsidRPr="000E4FFB">
        <w:rPr>
          <w:rFonts w:ascii="Times New Roman" w:hAnsi="Times New Roman"/>
          <w:sz w:val="24"/>
          <w:szCs w:val="24"/>
        </w:rPr>
        <w:t xml:space="preserve">: this is only indirectly discriminatory under the Sexual-Orientation Regulations 2007, though I shall argue that it would </w:t>
      </w:r>
      <w:r w:rsidR="00027850">
        <w:rPr>
          <w:rFonts w:ascii="Times New Roman" w:hAnsi="Times New Roman"/>
          <w:sz w:val="24"/>
          <w:szCs w:val="24"/>
        </w:rPr>
        <w:t xml:space="preserve">have </w:t>
      </w:r>
      <w:r w:rsidRPr="000E4FFB">
        <w:rPr>
          <w:rFonts w:ascii="Times New Roman" w:hAnsi="Times New Roman"/>
          <w:sz w:val="24"/>
          <w:szCs w:val="24"/>
        </w:rPr>
        <w:t>constitute</w:t>
      </w:r>
      <w:r w:rsidR="00027850">
        <w:rPr>
          <w:rFonts w:ascii="Times New Roman" w:hAnsi="Times New Roman"/>
          <w:sz w:val="24"/>
          <w:szCs w:val="24"/>
        </w:rPr>
        <w:t>d</w:t>
      </w:r>
      <w:r w:rsidRPr="000E4FFB">
        <w:rPr>
          <w:rFonts w:ascii="Times New Roman" w:hAnsi="Times New Roman"/>
          <w:sz w:val="24"/>
          <w:szCs w:val="24"/>
        </w:rPr>
        <w:t xml:space="preserve"> direct discrimination because of sex under the Equality Act 2010.</w:t>
      </w:r>
    </w:p>
    <w:p w:rsidR="00AB338C" w:rsidRDefault="00AB338C" w:rsidP="00027850">
      <w:pPr>
        <w:spacing w:line="480" w:lineRule="auto"/>
        <w:rPr>
          <w:rFonts w:ascii="Times New Roman" w:hAnsi="Times New Roman"/>
          <w:sz w:val="24"/>
          <w:szCs w:val="24"/>
        </w:rPr>
      </w:pPr>
    </w:p>
    <w:p w:rsidR="00A94B5A" w:rsidRPr="00EE7658" w:rsidRDefault="003E56CF" w:rsidP="00027850">
      <w:pPr>
        <w:spacing w:line="480" w:lineRule="auto"/>
        <w:rPr>
          <w:rFonts w:ascii="Times New Roman" w:hAnsi="Times New Roman"/>
          <w:sz w:val="24"/>
          <w:szCs w:val="24"/>
        </w:rPr>
      </w:pPr>
      <w:r w:rsidRPr="00EE7658">
        <w:rPr>
          <w:rFonts w:ascii="Times New Roman" w:hAnsi="Times New Roman"/>
          <w:sz w:val="24"/>
          <w:szCs w:val="24"/>
        </w:rPr>
        <w:t>Lady Hale</w:t>
      </w:r>
      <w:r w:rsidR="00027850" w:rsidRPr="00EE7658">
        <w:rPr>
          <w:rFonts w:ascii="Times New Roman" w:hAnsi="Times New Roman"/>
          <w:sz w:val="24"/>
          <w:szCs w:val="24"/>
        </w:rPr>
        <w:t xml:space="preserve"> secondly asserts that there is an </w:t>
      </w:r>
      <w:r w:rsidR="00503C9C">
        <w:rPr>
          <w:rFonts w:ascii="Times New Roman" w:hAnsi="Times New Roman"/>
          <w:sz w:val="24"/>
          <w:szCs w:val="24"/>
        </w:rPr>
        <w:t>“</w:t>
      </w:r>
      <w:r w:rsidR="00027850" w:rsidRPr="00EE7658">
        <w:rPr>
          <w:rFonts w:ascii="Times New Roman" w:hAnsi="Times New Roman"/>
          <w:sz w:val="24"/>
          <w:szCs w:val="24"/>
        </w:rPr>
        <w:t>exact correspondence between the advantage conferred and the disadvantage imposed in allowing a double bed to the one and denying it to the other</w:t>
      </w:r>
      <w:r w:rsidR="00503C9C">
        <w:rPr>
          <w:rFonts w:ascii="Times New Roman" w:hAnsi="Times New Roman"/>
          <w:sz w:val="24"/>
          <w:szCs w:val="24"/>
        </w:rPr>
        <w:t>”</w:t>
      </w:r>
      <w:r w:rsidR="0032629C">
        <w:rPr>
          <w:rFonts w:ascii="Times New Roman" w:hAnsi="Times New Roman"/>
          <w:sz w:val="24"/>
          <w:szCs w:val="24"/>
        </w:rPr>
        <w:t xml:space="preserve"> (</w:t>
      </w:r>
      <w:r w:rsidR="006B77E9" w:rsidRPr="006B77E9">
        <w:rPr>
          <w:rFonts w:ascii="Times New Roman" w:hAnsi="Times New Roman"/>
          <w:i/>
          <w:sz w:val="24"/>
          <w:szCs w:val="24"/>
        </w:rPr>
        <w:t xml:space="preserve">Bull and Bull v Hall and </w:t>
      </w:r>
      <w:proofErr w:type="spellStart"/>
      <w:r w:rsidR="006B77E9" w:rsidRPr="006B77E9">
        <w:rPr>
          <w:rFonts w:ascii="Times New Roman" w:hAnsi="Times New Roman"/>
          <w:i/>
          <w:sz w:val="24"/>
          <w:szCs w:val="24"/>
        </w:rPr>
        <w:t>Preddy</w:t>
      </w:r>
      <w:proofErr w:type="spellEnd"/>
      <w:r w:rsidR="0032629C" w:rsidRPr="0032629C">
        <w:rPr>
          <w:rFonts w:ascii="Times New Roman" w:hAnsi="Times New Roman"/>
          <w:i/>
          <w:sz w:val="24"/>
          <w:szCs w:val="24"/>
        </w:rPr>
        <w:t xml:space="preserve"> </w:t>
      </w:r>
      <w:r w:rsidR="0032629C" w:rsidRPr="0032629C">
        <w:rPr>
          <w:rFonts w:ascii="Times New Roman" w:hAnsi="Times New Roman"/>
          <w:sz w:val="24"/>
          <w:szCs w:val="24"/>
        </w:rPr>
        <w:t>[2013]:</w:t>
      </w:r>
      <w:r w:rsidR="0032629C">
        <w:rPr>
          <w:rFonts w:ascii="Times New Roman" w:hAnsi="Times New Roman"/>
          <w:sz w:val="24"/>
          <w:szCs w:val="24"/>
        </w:rPr>
        <w:t xml:space="preserve"> 3748A [18])</w:t>
      </w:r>
      <w:r w:rsidR="00027850" w:rsidRPr="00EE7658">
        <w:rPr>
          <w:rFonts w:ascii="Times New Roman" w:hAnsi="Times New Roman"/>
          <w:sz w:val="24"/>
          <w:szCs w:val="24"/>
        </w:rPr>
        <w:t>. This</w:t>
      </w:r>
      <w:r w:rsidRPr="00EE7658">
        <w:rPr>
          <w:rFonts w:ascii="Times New Roman" w:hAnsi="Times New Roman"/>
          <w:sz w:val="24"/>
          <w:szCs w:val="24"/>
        </w:rPr>
        <w:t xml:space="preserve"> sentence should not be read literally, as it would then be obviously false: the category of those suffering a disadvantage did not coincide exactly with those with the protected characteristic, since (</w:t>
      </w:r>
      <w:proofErr w:type="spellStart"/>
      <w:r w:rsidRPr="00EE7658">
        <w:rPr>
          <w:rFonts w:ascii="Times New Roman" w:hAnsi="Times New Roman"/>
          <w:sz w:val="24"/>
          <w:szCs w:val="24"/>
        </w:rPr>
        <w:t>i</w:t>
      </w:r>
      <w:proofErr w:type="spellEnd"/>
      <w:r w:rsidRPr="00EE7658">
        <w:rPr>
          <w:rFonts w:ascii="Times New Roman" w:hAnsi="Times New Roman"/>
          <w:sz w:val="24"/>
          <w:szCs w:val="24"/>
        </w:rPr>
        <w:t xml:space="preserve">) unmarried opposite-sex couples of heterosexual orientation were also barred from double rooms and, </w:t>
      </w:r>
      <w:proofErr w:type="spellStart"/>
      <w:r w:rsidRPr="00EE7658">
        <w:rPr>
          <w:rFonts w:ascii="Times New Roman" w:hAnsi="Times New Roman"/>
          <w:sz w:val="24"/>
          <w:szCs w:val="24"/>
        </w:rPr>
        <w:t>unnoted</w:t>
      </w:r>
      <w:proofErr w:type="spellEnd"/>
      <w:r w:rsidRPr="00EE7658">
        <w:rPr>
          <w:rFonts w:ascii="Times New Roman" w:hAnsi="Times New Roman"/>
          <w:sz w:val="24"/>
          <w:szCs w:val="24"/>
        </w:rPr>
        <w:t xml:space="preserve"> by Lady Hale</w:t>
      </w:r>
      <w:r w:rsidR="008968AD">
        <w:rPr>
          <w:rFonts w:ascii="Times New Roman" w:hAnsi="Times New Roman"/>
          <w:sz w:val="24"/>
          <w:szCs w:val="24"/>
        </w:rPr>
        <w:t xml:space="preserve"> (but noted by </w:t>
      </w:r>
      <w:r w:rsidR="008968AD" w:rsidRPr="008968AD">
        <w:rPr>
          <w:rFonts w:ascii="Times New Roman" w:hAnsi="Times New Roman"/>
          <w:sz w:val="24"/>
          <w:szCs w:val="24"/>
        </w:rPr>
        <w:t>HHJ Rutherford in his judgment at the County Court</w:t>
      </w:r>
      <w:r w:rsidR="008968AD">
        <w:rPr>
          <w:rFonts w:ascii="Times New Roman" w:hAnsi="Times New Roman"/>
          <w:sz w:val="24"/>
          <w:szCs w:val="24"/>
        </w:rPr>
        <w:t xml:space="preserve"> (</w:t>
      </w:r>
      <w:r w:rsidR="008D2873" w:rsidRPr="008D2873">
        <w:rPr>
          <w:rFonts w:ascii="Times New Roman" w:hAnsi="Times New Roman"/>
          <w:i/>
          <w:sz w:val="24"/>
          <w:szCs w:val="24"/>
        </w:rPr>
        <w:t xml:space="preserve">Hall and </w:t>
      </w:r>
      <w:proofErr w:type="spellStart"/>
      <w:r w:rsidR="008D2873" w:rsidRPr="008D2873">
        <w:rPr>
          <w:rFonts w:ascii="Times New Roman" w:hAnsi="Times New Roman"/>
          <w:i/>
          <w:sz w:val="24"/>
          <w:szCs w:val="24"/>
        </w:rPr>
        <w:t>Preddy</w:t>
      </w:r>
      <w:proofErr w:type="spellEnd"/>
      <w:r w:rsidR="008D2873" w:rsidRPr="008D2873">
        <w:rPr>
          <w:rFonts w:ascii="Times New Roman" w:hAnsi="Times New Roman"/>
          <w:i/>
          <w:sz w:val="24"/>
          <w:szCs w:val="24"/>
        </w:rPr>
        <w:t xml:space="preserve"> v Bull and Bull</w:t>
      </w:r>
      <w:r w:rsidR="008968AD" w:rsidRPr="008968AD">
        <w:rPr>
          <w:rFonts w:ascii="Times New Roman" w:hAnsi="Times New Roman"/>
          <w:i/>
          <w:sz w:val="24"/>
          <w:szCs w:val="24"/>
        </w:rPr>
        <w:t xml:space="preserve"> </w:t>
      </w:r>
      <w:r w:rsidR="008968AD" w:rsidRPr="008968AD">
        <w:rPr>
          <w:rFonts w:ascii="Times New Roman" w:hAnsi="Times New Roman"/>
          <w:sz w:val="24"/>
          <w:szCs w:val="24"/>
        </w:rPr>
        <w:t>[2011]</w:t>
      </w:r>
      <w:r w:rsidR="008968AD">
        <w:rPr>
          <w:rFonts w:ascii="Times New Roman" w:hAnsi="Times New Roman"/>
          <w:sz w:val="24"/>
          <w:szCs w:val="24"/>
        </w:rPr>
        <w:t>:</w:t>
      </w:r>
      <w:r w:rsidR="008968AD" w:rsidRPr="008968AD">
        <w:rPr>
          <w:rFonts w:ascii="Times New Roman" w:hAnsi="Times New Roman"/>
          <w:sz w:val="24"/>
          <w:szCs w:val="24"/>
        </w:rPr>
        <w:t xml:space="preserve"> [33]</w:t>
      </w:r>
      <w:r w:rsidR="008968AD">
        <w:rPr>
          <w:rFonts w:ascii="Times New Roman" w:hAnsi="Times New Roman"/>
          <w:sz w:val="24"/>
          <w:szCs w:val="24"/>
        </w:rPr>
        <w:t>))</w:t>
      </w:r>
      <w:r w:rsidRPr="00EE7658">
        <w:rPr>
          <w:rFonts w:ascii="Times New Roman" w:hAnsi="Times New Roman"/>
          <w:sz w:val="24"/>
          <w:szCs w:val="24"/>
        </w:rPr>
        <w:t xml:space="preserve">, (ii) two people of the same sex and of heterosexual orientation were also barred from sharing a double room, and (iii) a man of homosexual orientation </w:t>
      </w:r>
      <w:r w:rsidR="00C72D3E" w:rsidRPr="00EE7658">
        <w:rPr>
          <w:rFonts w:ascii="Times New Roman" w:hAnsi="Times New Roman"/>
          <w:sz w:val="24"/>
          <w:szCs w:val="24"/>
        </w:rPr>
        <w:t>and</w:t>
      </w:r>
      <w:r w:rsidRPr="00EE7658">
        <w:rPr>
          <w:rFonts w:ascii="Times New Roman" w:hAnsi="Times New Roman"/>
          <w:sz w:val="24"/>
          <w:szCs w:val="24"/>
        </w:rPr>
        <w:t xml:space="preserve"> a woman of homosexual orientation</w:t>
      </w:r>
      <w:r w:rsidR="00C72D3E" w:rsidRPr="00EE7658">
        <w:rPr>
          <w:rFonts w:ascii="Times New Roman" w:hAnsi="Times New Roman"/>
          <w:sz w:val="24"/>
          <w:szCs w:val="24"/>
        </w:rPr>
        <w:t>, if married to each other,</w:t>
      </w:r>
      <w:r w:rsidRPr="00EE7658">
        <w:rPr>
          <w:rFonts w:ascii="Times New Roman" w:hAnsi="Times New Roman"/>
          <w:sz w:val="24"/>
          <w:szCs w:val="24"/>
        </w:rPr>
        <w:t xml:space="preserve"> would be welcomed by the Bulls to share a double room</w:t>
      </w:r>
      <w:r w:rsidR="008968AD">
        <w:rPr>
          <w:rFonts w:ascii="Times New Roman" w:hAnsi="Times New Roman"/>
          <w:sz w:val="24"/>
          <w:szCs w:val="24"/>
        </w:rPr>
        <w:t xml:space="preserve"> (</w:t>
      </w:r>
      <w:r w:rsidR="008968AD" w:rsidRPr="008968AD">
        <w:rPr>
          <w:rFonts w:ascii="Times New Roman" w:hAnsi="Times New Roman"/>
          <w:sz w:val="24"/>
          <w:szCs w:val="24"/>
        </w:rPr>
        <w:t>Bernard Quinn</w:t>
      </w:r>
      <w:r w:rsidR="00D45DF1">
        <w:rPr>
          <w:rFonts w:ascii="Times New Roman" w:hAnsi="Times New Roman"/>
          <w:sz w:val="24"/>
          <w:szCs w:val="24"/>
        </w:rPr>
        <w:t xml:space="preserve"> 2014</w:t>
      </w:r>
      <w:r w:rsidR="008968AD" w:rsidRPr="008968AD">
        <w:rPr>
          <w:rFonts w:ascii="Times New Roman" w:hAnsi="Times New Roman"/>
          <w:sz w:val="24"/>
          <w:szCs w:val="24"/>
        </w:rPr>
        <w:t>,</w:t>
      </w:r>
      <w:r w:rsidR="008968AD">
        <w:rPr>
          <w:rFonts w:ascii="Times New Roman" w:hAnsi="Times New Roman"/>
          <w:sz w:val="24"/>
          <w:szCs w:val="24"/>
        </w:rPr>
        <w:t xml:space="preserve"> </w:t>
      </w:r>
      <w:r w:rsidR="00D45DF1">
        <w:rPr>
          <w:rFonts w:ascii="Times New Roman" w:hAnsi="Times New Roman"/>
          <w:sz w:val="24"/>
          <w:szCs w:val="24"/>
        </w:rPr>
        <w:t>p</w:t>
      </w:r>
      <w:r w:rsidR="008968AD" w:rsidRPr="008968AD">
        <w:rPr>
          <w:rFonts w:ascii="Times New Roman" w:hAnsi="Times New Roman"/>
          <w:sz w:val="24"/>
          <w:szCs w:val="24"/>
        </w:rPr>
        <w:t>ersonal communication, 24 July</w:t>
      </w:r>
      <w:r w:rsidR="00D45DF1">
        <w:rPr>
          <w:rFonts w:ascii="Times New Roman" w:hAnsi="Times New Roman"/>
          <w:sz w:val="24"/>
          <w:szCs w:val="24"/>
        </w:rPr>
        <w:t>)</w:t>
      </w:r>
      <w:r w:rsidRPr="00EE7658">
        <w:rPr>
          <w:rFonts w:ascii="Times New Roman" w:hAnsi="Times New Roman"/>
          <w:sz w:val="24"/>
          <w:szCs w:val="24"/>
        </w:rPr>
        <w:t xml:space="preserve">. </w:t>
      </w:r>
      <w:r w:rsidR="00027850" w:rsidRPr="00EE7658">
        <w:rPr>
          <w:rFonts w:ascii="Times New Roman" w:hAnsi="Times New Roman"/>
          <w:sz w:val="24"/>
          <w:szCs w:val="24"/>
        </w:rPr>
        <w:t xml:space="preserve">Rather, this sentence of </w:t>
      </w:r>
      <w:r w:rsidR="00613309" w:rsidRPr="00EE7658">
        <w:rPr>
          <w:rFonts w:ascii="Times New Roman" w:hAnsi="Times New Roman"/>
          <w:sz w:val="24"/>
          <w:szCs w:val="24"/>
        </w:rPr>
        <w:t>Lady</w:t>
      </w:r>
      <w:r w:rsidR="008425D9" w:rsidRPr="00EE7658">
        <w:rPr>
          <w:rFonts w:ascii="Times New Roman" w:hAnsi="Times New Roman"/>
          <w:sz w:val="24"/>
          <w:szCs w:val="24"/>
        </w:rPr>
        <w:t xml:space="preserve"> Hale’s</w:t>
      </w:r>
      <w:r w:rsidR="00027850" w:rsidRPr="00EE7658">
        <w:rPr>
          <w:rFonts w:ascii="Times New Roman" w:hAnsi="Times New Roman"/>
          <w:sz w:val="24"/>
          <w:szCs w:val="24"/>
        </w:rPr>
        <w:t xml:space="preserve"> is</w:t>
      </w:r>
      <w:r w:rsidR="008425D9" w:rsidRPr="00EE7658">
        <w:rPr>
          <w:rFonts w:ascii="Times New Roman" w:hAnsi="Times New Roman"/>
          <w:sz w:val="24"/>
          <w:szCs w:val="24"/>
        </w:rPr>
        <w:t xml:space="preserve"> to be understood as restricted to the comparison between </w:t>
      </w:r>
      <w:r w:rsidR="00310989" w:rsidRPr="00EE7658">
        <w:rPr>
          <w:rFonts w:ascii="Times New Roman" w:hAnsi="Times New Roman"/>
          <w:sz w:val="24"/>
          <w:szCs w:val="24"/>
        </w:rPr>
        <w:t xml:space="preserve">an opposite-sex married couple and a couple in a civil </w:t>
      </w:r>
      <w:r w:rsidR="00310989" w:rsidRPr="00EE7658">
        <w:rPr>
          <w:rFonts w:ascii="Times New Roman" w:hAnsi="Times New Roman"/>
          <w:sz w:val="24"/>
          <w:szCs w:val="24"/>
        </w:rPr>
        <w:lastRenderedPageBreak/>
        <w:t xml:space="preserve">partnership (by definition </w:t>
      </w:r>
      <w:r w:rsidR="00F043C7">
        <w:rPr>
          <w:rFonts w:ascii="Times New Roman" w:hAnsi="Times New Roman"/>
          <w:sz w:val="24"/>
          <w:szCs w:val="24"/>
        </w:rPr>
        <w:t xml:space="preserve">then </w:t>
      </w:r>
      <w:r w:rsidR="00310989" w:rsidRPr="00EE7658">
        <w:rPr>
          <w:rFonts w:ascii="Times New Roman" w:hAnsi="Times New Roman"/>
          <w:sz w:val="24"/>
          <w:szCs w:val="24"/>
        </w:rPr>
        <w:t>a same-sex couple)</w:t>
      </w:r>
      <w:r w:rsidR="00D45DF1">
        <w:rPr>
          <w:rFonts w:ascii="Times New Roman" w:hAnsi="Times New Roman"/>
          <w:sz w:val="24"/>
          <w:szCs w:val="24"/>
        </w:rPr>
        <w:t>; t</w:t>
      </w:r>
      <w:r w:rsidR="00D45DF1" w:rsidRPr="00D45DF1">
        <w:rPr>
          <w:rFonts w:ascii="Times New Roman" w:hAnsi="Times New Roman"/>
          <w:sz w:val="24"/>
          <w:szCs w:val="24"/>
        </w:rPr>
        <w:t>his is how Lord Neuberger takes the sentence too</w:t>
      </w:r>
      <w:r w:rsidR="00D45DF1">
        <w:rPr>
          <w:rFonts w:ascii="Times New Roman" w:hAnsi="Times New Roman"/>
          <w:sz w:val="24"/>
          <w:szCs w:val="24"/>
        </w:rPr>
        <w:t xml:space="preserve"> (</w:t>
      </w:r>
      <w:r w:rsidR="008D2873" w:rsidRPr="008D2873">
        <w:rPr>
          <w:rFonts w:ascii="Times New Roman" w:hAnsi="Times New Roman"/>
          <w:i/>
          <w:sz w:val="24"/>
          <w:szCs w:val="24"/>
        </w:rPr>
        <w:t xml:space="preserve">Bull and Bull v Hall and </w:t>
      </w:r>
      <w:proofErr w:type="spellStart"/>
      <w:r w:rsidR="008D2873" w:rsidRPr="008D2873">
        <w:rPr>
          <w:rFonts w:ascii="Times New Roman" w:hAnsi="Times New Roman"/>
          <w:i/>
          <w:sz w:val="24"/>
          <w:szCs w:val="24"/>
        </w:rPr>
        <w:t>Preddy</w:t>
      </w:r>
      <w:proofErr w:type="spellEnd"/>
      <w:r w:rsidR="008D2873" w:rsidRPr="008D2873">
        <w:rPr>
          <w:rFonts w:ascii="Times New Roman" w:hAnsi="Times New Roman"/>
          <w:i/>
          <w:sz w:val="24"/>
          <w:szCs w:val="24"/>
        </w:rPr>
        <w:t xml:space="preserve"> </w:t>
      </w:r>
      <w:r w:rsidR="00D45DF1" w:rsidRPr="00D45DF1">
        <w:rPr>
          <w:rFonts w:ascii="Times New Roman" w:hAnsi="Times New Roman"/>
          <w:sz w:val="24"/>
          <w:szCs w:val="24"/>
        </w:rPr>
        <w:t>[2013]</w:t>
      </w:r>
      <w:r w:rsidR="00D45DF1">
        <w:rPr>
          <w:rFonts w:ascii="Times New Roman" w:hAnsi="Times New Roman"/>
          <w:sz w:val="24"/>
          <w:szCs w:val="24"/>
        </w:rPr>
        <w:t>:</w:t>
      </w:r>
      <w:r w:rsidR="00D45DF1" w:rsidRPr="00D45DF1">
        <w:rPr>
          <w:rFonts w:ascii="Times New Roman" w:hAnsi="Times New Roman"/>
          <w:sz w:val="24"/>
          <w:szCs w:val="24"/>
        </w:rPr>
        <w:t xml:space="preserve"> 3761G [82]</w:t>
      </w:r>
      <w:r w:rsidR="00D45DF1">
        <w:rPr>
          <w:rFonts w:ascii="Times New Roman" w:hAnsi="Times New Roman"/>
          <w:sz w:val="24"/>
          <w:szCs w:val="24"/>
        </w:rPr>
        <w:t>)</w:t>
      </w:r>
      <w:r w:rsidR="00310989" w:rsidRPr="00EE7658">
        <w:rPr>
          <w:rFonts w:ascii="Times New Roman" w:hAnsi="Times New Roman"/>
          <w:sz w:val="24"/>
          <w:szCs w:val="24"/>
        </w:rPr>
        <w:t>.</w:t>
      </w:r>
      <w:r w:rsidR="008425D9" w:rsidRPr="00EE7658">
        <w:rPr>
          <w:rFonts w:ascii="Times New Roman" w:hAnsi="Times New Roman"/>
          <w:sz w:val="24"/>
          <w:szCs w:val="24"/>
        </w:rPr>
        <w:t xml:space="preserve"> </w:t>
      </w:r>
      <w:r w:rsidR="00310989" w:rsidRPr="00EE7658">
        <w:rPr>
          <w:rFonts w:ascii="Times New Roman" w:hAnsi="Times New Roman"/>
          <w:sz w:val="24"/>
          <w:szCs w:val="24"/>
        </w:rPr>
        <w:t xml:space="preserve">If one restricts oneself to this comparison then there is indeed an exact correspondence: the opposite-sex married couple will be given the double room, and the couple in a civil partnership will be denied it. This is admitted by the Bulls. But how </w:t>
      </w:r>
      <w:r w:rsidR="00D0624A" w:rsidRPr="00EE7658">
        <w:rPr>
          <w:rFonts w:ascii="Times New Roman" w:hAnsi="Times New Roman"/>
          <w:sz w:val="24"/>
          <w:szCs w:val="24"/>
        </w:rPr>
        <w:t>are</w:t>
      </w:r>
      <w:r w:rsidR="00310989" w:rsidRPr="00EE7658">
        <w:rPr>
          <w:rFonts w:ascii="Times New Roman" w:hAnsi="Times New Roman"/>
          <w:sz w:val="24"/>
          <w:szCs w:val="24"/>
        </w:rPr>
        <w:t xml:space="preserve"> we </w:t>
      </w:r>
      <w:r w:rsidR="00D0624A" w:rsidRPr="00EE7658">
        <w:rPr>
          <w:rFonts w:ascii="Times New Roman" w:hAnsi="Times New Roman"/>
          <w:sz w:val="24"/>
          <w:szCs w:val="24"/>
        </w:rPr>
        <w:t xml:space="preserve">supposed to </w:t>
      </w:r>
      <w:r w:rsidR="00310989" w:rsidRPr="00EE7658">
        <w:rPr>
          <w:rFonts w:ascii="Times New Roman" w:hAnsi="Times New Roman"/>
          <w:sz w:val="24"/>
          <w:szCs w:val="24"/>
        </w:rPr>
        <w:t>get from here to a finding of direct discrimination on grounds of sexual orientation?</w:t>
      </w:r>
    </w:p>
    <w:p w:rsidR="00AB338C" w:rsidRDefault="00AB338C" w:rsidP="00973578">
      <w:pPr>
        <w:pStyle w:val="Default"/>
        <w:spacing w:line="480" w:lineRule="auto"/>
        <w:rPr>
          <w:color w:val="auto"/>
        </w:rPr>
      </w:pPr>
    </w:p>
    <w:p w:rsidR="001C7A7B" w:rsidRPr="00065C01" w:rsidRDefault="00613309" w:rsidP="00973578">
      <w:pPr>
        <w:pStyle w:val="Default"/>
        <w:spacing w:line="480" w:lineRule="auto"/>
        <w:rPr>
          <w:color w:val="auto"/>
        </w:rPr>
      </w:pPr>
      <w:r w:rsidRPr="00027850">
        <w:rPr>
          <w:color w:val="auto"/>
        </w:rPr>
        <w:t>Lady</w:t>
      </w:r>
      <w:r w:rsidR="00310989" w:rsidRPr="00027850">
        <w:rPr>
          <w:color w:val="auto"/>
        </w:rPr>
        <w:t xml:space="preserve"> Hale first cites a precedent from the Court of Justice</w:t>
      </w:r>
      <w:r w:rsidR="00ED16BA" w:rsidRPr="00027850">
        <w:rPr>
          <w:color w:val="auto"/>
        </w:rPr>
        <w:t xml:space="preserve"> of t</w:t>
      </w:r>
      <w:r w:rsidR="00ED16BA" w:rsidRPr="00065C01">
        <w:rPr>
          <w:color w:val="auto"/>
        </w:rPr>
        <w:t xml:space="preserve">he European </w:t>
      </w:r>
      <w:r w:rsidR="00287B8C">
        <w:rPr>
          <w:color w:val="auto"/>
        </w:rPr>
        <w:t xml:space="preserve">Communities (now the European </w:t>
      </w:r>
      <w:r w:rsidR="00ED16BA" w:rsidRPr="00065C01">
        <w:rPr>
          <w:color w:val="auto"/>
        </w:rPr>
        <w:t>Union</w:t>
      </w:r>
      <w:r w:rsidR="00287B8C">
        <w:rPr>
          <w:color w:val="auto"/>
        </w:rPr>
        <w:t>)</w:t>
      </w:r>
      <w:r w:rsidR="00310989" w:rsidRPr="00065C01">
        <w:rPr>
          <w:color w:val="auto"/>
        </w:rPr>
        <w:t xml:space="preserve"> </w:t>
      </w:r>
      <w:r w:rsidR="00A85381" w:rsidRPr="00A85381">
        <w:rPr>
          <w:color w:val="auto"/>
        </w:rPr>
        <w:t>(</w:t>
      </w:r>
      <w:bookmarkStart w:id="19" w:name="_Hlk44508254"/>
      <w:r w:rsidR="00767C79" w:rsidRPr="00767C79">
        <w:rPr>
          <w:i/>
          <w:iCs/>
          <w:color w:val="auto"/>
        </w:rPr>
        <w:t xml:space="preserve">Maruko v </w:t>
      </w:r>
      <w:proofErr w:type="spellStart"/>
      <w:r w:rsidR="00767C79" w:rsidRPr="00767C79">
        <w:rPr>
          <w:bCs/>
          <w:i/>
          <w:iCs/>
          <w:color w:val="auto"/>
        </w:rPr>
        <w:t>Versorgungsanstalt</w:t>
      </w:r>
      <w:proofErr w:type="spellEnd"/>
      <w:r w:rsidR="00767C79" w:rsidRPr="00767C79">
        <w:rPr>
          <w:bCs/>
          <w:i/>
          <w:iCs/>
          <w:color w:val="auto"/>
        </w:rPr>
        <w:t xml:space="preserve"> der </w:t>
      </w:r>
      <w:proofErr w:type="spellStart"/>
      <w:r w:rsidR="00767C79" w:rsidRPr="00767C79">
        <w:rPr>
          <w:bCs/>
          <w:i/>
          <w:iCs/>
          <w:color w:val="auto"/>
        </w:rPr>
        <w:t>Deutschen</w:t>
      </w:r>
      <w:proofErr w:type="spellEnd"/>
      <w:r w:rsidR="00767C79" w:rsidRPr="00767C79">
        <w:rPr>
          <w:bCs/>
          <w:i/>
          <w:iCs/>
          <w:color w:val="auto"/>
        </w:rPr>
        <w:t xml:space="preserve"> </w:t>
      </w:r>
      <w:proofErr w:type="spellStart"/>
      <w:r w:rsidR="00767C79" w:rsidRPr="00767C79">
        <w:rPr>
          <w:bCs/>
          <w:i/>
          <w:iCs/>
          <w:color w:val="auto"/>
        </w:rPr>
        <w:t>Bühnen</w:t>
      </w:r>
      <w:proofErr w:type="spellEnd"/>
      <w:r w:rsidR="00767C79" w:rsidRPr="00767C79">
        <w:rPr>
          <w:bCs/>
          <w:i/>
          <w:iCs/>
          <w:color w:val="auto"/>
        </w:rPr>
        <w:t xml:space="preserve"> </w:t>
      </w:r>
      <w:r w:rsidR="00767C79" w:rsidRPr="00767C79">
        <w:rPr>
          <w:iCs/>
          <w:color w:val="auto"/>
        </w:rPr>
        <w:t>[2008]</w:t>
      </w:r>
      <w:r w:rsidR="00767C79">
        <w:rPr>
          <w:iCs/>
          <w:color w:val="auto"/>
        </w:rPr>
        <w:t>)</w:t>
      </w:r>
      <w:bookmarkEnd w:id="19"/>
      <w:r w:rsidR="00397982">
        <w:rPr>
          <w:iCs/>
          <w:color w:val="auto"/>
        </w:rPr>
        <w:t xml:space="preserve">. </w:t>
      </w:r>
      <w:r w:rsidR="00310989" w:rsidRPr="00065C01">
        <w:rPr>
          <w:color w:val="auto"/>
        </w:rPr>
        <w:t>In this</w:t>
      </w:r>
      <w:r w:rsidR="00D0624A" w:rsidRPr="00065C01">
        <w:rPr>
          <w:color w:val="auto"/>
        </w:rPr>
        <w:t xml:space="preserve"> case the Grand Chamber of the </w:t>
      </w:r>
      <w:r w:rsidR="00310989" w:rsidRPr="00065C01">
        <w:rPr>
          <w:color w:val="auto"/>
        </w:rPr>
        <w:t>C</w:t>
      </w:r>
      <w:r w:rsidR="00F879DB">
        <w:rPr>
          <w:color w:val="auto"/>
        </w:rPr>
        <w:t>ourt of Justice</w:t>
      </w:r>
      <w:r w:rsidR="00310989" w:rsidRPr="00065C01">
        <w:rPr>
          <w:color w:val="auto"/>
        </w:rPr>
        <w:t xml:space="preserve"> had considered whether, to quote </w:t>
      </w:r>
      <w:r w:rsidRPr="00065C01">
        <w:rPr>
          <w:color w:val="auto"/>
        </w:rPr>
        <w:t>Lady</w:t>
      </w:r>
      <w:r w:rsidR="00310989" w:rsidRPr="00065C01">
        <w:rPr>
          <w:color w:val="auto"/>
        </w:rPr>
        <w:t xml:space="preserve"> Hale’s summary, treating </w:t>
      </w:r>
      <w:r w:rsidR="00DB6A53">
        <w:rPr>
          <w:color w:val="auto"/>
        </w:rPr>
        <w:t>“</w:t>
      </w:r>
      <w:r w:rsidR="00310989" w:rsidRPr="00065C01">
        <w:rPr>
          <w:color w:val="auto"/>
        </w:rPr>
        <w:t>a surviving life partner less favourably than a surviving spouse, by denying him a survivor’s pension, was direct discrimination within the meaning of the equal treatment directive</w:t>
      </w:r>
      <w:r w:rsidR="00DB6A53">
        <w:rPr>
          <w:color w:val="auto"/>
        </w:rPr>
        <w:t>” (</w:t>
      </w:r>
      <w:r w:rsidR="008D2873" w:rsidRPr="008D2873">
        <w:rPr>
          <w:i/>
          <w:color w:val="auto"/>
        </w:rPr>
        <w:t xml:space="preserve">Bull and Bull v Hall and </w:t>
      </w:r>
      <w:proofErr w:type="spellStart"/>
      <w:r w:rsidR="008D2873" w:rsidRPr="008D2873">
        <w:rPr>
          <w:i/>
          <w:color w:val="auto"/>
        </w:rPr>
        <w:t>Preddy</w:t>
      </w:r>
      <w:proofErr w:type="spellEnd"/>
      <w:r w:rsidR="00DB6A53" w:rsidRPr="00DB6A53">
        <w:rPr>
          <w:i/>
          <w:color w:val="auto"/>
        </w:rPr>
        <w:t xml:space="preserve"> </w:t>
      </w:r>
      <w:r w:rsidR="00DB6A53" w:rsidRPr="00DB6A53">
        <w:rPr>
          <w:color w:val="auto"/>
        </w:rPr>
        <w:t>[2013]</w:t>
      </w:r>
      <w:r w:rsidR="009C76F3">
        <w:rPr>
          <w:color w:val="auto"/>
        </w:rPr>
        <w:t>:</w:t>
      </w:r>
      <w:r w:rsidR="00DB6A53" w:rsidRPr="00DB6A53">
        <w:rPr>
          <w:color w:val="auto"/>
        </w:rPr>
        <w:t xml:space="preserve"> 3750C [28]</w:t>
      </w:r>
      <w:r w:rsidR="00DB6A53">
        <w:rPr>
          <w:color w:val="auto"/>
        </w:rPr>
        <w:t>)</w:t>
      </w:r>
      <w:r w:rsidR="00397982">
        <w:rPr>
          <w:color w:val="auto"/>
        </w:rPr>
        <w:t>.</w:t>
      </w:r>
      <w:r w:rsidR="003B48DF" w:rsidRPr="00065C01">
        <w:rPr>
          <w:color w:val="auto"/>
        </w:rPr>
        <w:t xml:space="preserve"> The </w:t>
      </w:r>
      <w:r w:rsidR="000933E6">
        <w:rPr>
          <w:color w:val="auto"/>
        </w:rPr>
        <w:t>c</w:t>
      </w:r>
      <w:r w:rsidR="003B48DF" w:rsidRPr="00065C01">
        <w:rPr>
          <w:color w:val="auto"/>
        </w:rPr>
        <w:t>ourt said</w:t>
      </w:r>
      <w:r w:rsidR="001C7A7B" w:rsidRPr="00065C01">
        <w:rPr>
          <w:color w:val="auto"/>
        </w:rPr>
        <w:t>:</w:t>
      </w:r>
    </w:p>
    <w:p w:rsidR="001C7A7B" w:rsidRPr="00065C01" w:rsidRDefault="001C7A7B" w:rsidP="00656344">
      <w:pPr>
        <w:autoSpaceDE w:val="0"/>
        <w:autoSpaceDN w:val="0"/>
        <w:adjustRightInd w:val="0"/>
        <w:spacing w:before="120" w:after="120" w:line="480" w:lineRule="auto"/>
        <w:ind w:left="709"/>
        <w:rPr>
          <w:rFonts w:ascii="Times New Roman" w:hAnsi="Times New Roman"/>
          <w:sz w:val="24"/>
          <w:szCs w:val="24"/>
          <w:lang w:eastAsia="en-GB"/>
        </w:rPr>
      </w:pPr>
      <w:r w:rsidRPr="00065C01">
        <w:rPr>
          <w:rFonts w:ascii="Times New Roman" w:hAnsi="Times New Roman"/>
          <w:sz w:val="24"/>
          <w:szCs w:val="24"/>
        </w:rPr>
        <w:tab/>
      </w:r>
      <w:r w:rsidRPr="00065C01">
        <w:rPr>
          <w:rFonts w:ascii="Times New Roman" w:hAnsi="Times New Roman"/>
          <w:sz w:val="24"/>
          <w:szCs w:val="24"/>
          <w:lang w:eastAsia="en-GB"/>
        </w:rPr>
        <w:t>According to Art.2(2)(a) of Directive 2000/78, direct discrimination occurs where one</w:t>
      </w:r>
      <w:r w:rsidR="00656344">
        <w:rPr>
          <w:rFonts w:ascii="Times New Roman" w:hAnsi="Times New Roman"/>
          <w:sz w:val="24"/>
          <w:szCs w:val="24"/>
          <w:lang w:eastAsia="en-GB"/>
        </w:rPr>
        <w:t xml:space="preserve"> </w:t>
      </w:r>
      <w:r w:rsidRPr="00065C01">
        <w:rPr>
          <w:rFonts w:ascii="Times New Roman" w:hAnsi="Times New Roman"/>
          <w:sz w:val="24"/>
          <w:szCs w:val="24"/>
          <w:lang w:eastAsia="en-GB"/>
        </w:rPr>
        <w:t>person is treated less favourably than another person who is in a comparable situation, on any of the grounds referred to in Art.1 of the Directive.</w:t>
      </w:r>
      <w:r w:rsidR="00DB6A53">
        <w:rPr>
          <w:rFonts w:ascii="Times New Roman" w:hAnsi="Times New Roman"/>
          <w:sz w:val="24"/>
          <w:szCs w:val="24"/>
          <w:lang w:eastAsia="en-GB"/>
        </w:rPr>
        <w:t xml:space="preserve"> (</w:t>
      </w:r>
      <w:r w:rsidR="009C76F3" w:rsidRPr="009C76F3">
        <w:rPr>
          <w:rFonts w:ascii="Times New Roman" w:hAnsi="Times New Roman"/>
          <w:i/>
          <w:iCs/>
          <w:sz w:val="24"/>
          <w:szCs w:val="24"/>
          <w:lang w:eastAsia="en-GB"/>
        </w:rPr>
        <w:t xml:space="preserve">Maruko v </w:t>
      </w:r>
      <w:proofErr w:type="spellStart"/>
      <w:r w:rsidR="009C76F3" w:rsidRPr="009C76F3">
        <w:rPr>
          <w:rFonts w:ascii="Times New Roman" w:hAnsi="Times New Roman"/>
          <w:bCs/>
          <w:i/>
          <w:iCs/>
          <w:sz w:val="24"/>
          <w:szCs w:val="24"/>
          <w:lang w:eastAsia="en-GB"/>
        </w:rPr>
        <w:t>Versorgungsanstalt</w:t>
      </w:r>
      <w:proofErr w:type="spellEnd"/>
      <w:r w:rsidR="009C76F3" w:rsidRPr="009C76F3">
        <w:rPr>
          <w:rFonts w:ascii="Times New Roman" w:hAnsi="Times New Roman"/>
          <w:bCs/>
          <w:i/>
          <w:iCs/>
          <w:sz w:val="24"/>
          <w:szCs w:val="24"/>
          <w:lang w:eastAsia="en-GB"/>
        </w:rPr>
        <w:t xml:space="preserve"> der </w:t>
      </w:r>
      <w:proofErr w:type="spellStart"/>
      <w:r w:rsidR="009C76F3" w:rsidRPr="009C76F3">
        <w:rPr>
          <w:rFonts w:ascii="Times New Roman" w:hAnsi="Times New Roman"/>
          <w:bCs/>
          <w:i/>
          <w:iCs/>
          <w:sz w:val="24"/>
          <w:szCs w:val="24"/>
          <w:lang w:eastAsia="en-GB"/>
        </w:rPr>
        <w:t>Deutschen</w:t>
      </w:r>
      <w:proofErr w:type="spellEnd"/>
      <w:r w:rsidR="009C76F3" w:rsidRPr="009C76F3">
        <w:rPr>
          <w:rFonts w:ascii="Times New Roman" w:hAnsi="Times New Roman"/>
          <w:bCs/>
          <w:i/>
          <w:iCs/>
          <w:sz w:val="24"/>
          <w:szCs w:val="24"/>
          <w:lang w:eastAsia="en-GB"/>
        </w:rPr>
        <w:t xml:space="preserve"> </w:t>
      </w:r>
      <w:proofErr w:type="spellStart"/>
      <w:r w:rsidR="009C76F3" w:rsidRPr="009C76F3">
        <w:rPr>
          <w:rFonts w:ascii="Times New Roman" w:hAnsi="Times New Roman"/>
          <w:bCs/>
          <w:i/>
          <w:iCs/>
          <w:sz w:val="24"/>
          <w:szCs w:val="24"/>
          <w:lang w:eastAsia="en-GB"/>
        </w:rPr>
        <w:t>Bühnen</w:t>
      </w:r>
      <w:proofErr w:type="spellEnd"/>
      <w:r w:rsidR="00DB6A53">
        <w:rPr>
          <w:rFonts w:ascii="Times New Roman" w:hAnsi="Times New Roman"/>
          <w:i/>
          <w:sz w:val="24"/>
          <w:szCs w:val="24"/>
          <w:lang w:eastAsia="en-GB"/>
        </w:rPr>
        <w:t xml:space="preserve"> </w:t>
      </w:r>
      <w:r w:rsidR="00DB6A53">
        <w:rPr>
          <w:rFonts w:ascii="Times New Roman" w:hAnsi="Times New Roman"/>
          <w:iCs/>
          <w:sz w:val="24"/>
          <w:szCs w:val="24"/>
          <w:lang w:eastAsia="en-GB"/>
        </w:rPr>
        <w:t>[2008]:</w:t>
      </w:r>
      <w:r w:rsidR="00DB6A53" w:rsidRPr="00DB6A53">
        <w:rPr>
          <w:rFonts w:ascii="Times New Roman" w:hAnsi="Times New Roman"/>
          <w:sz w:val="24"/>
          <w:szCs w:val="24"/>
          <w:lang w:eastAsia="en-GB"/>
        </w:rPr>
        <w:t xml:space="preserve"> 954 [66]</w:t>
      </w:r>
      <w:r w:rsidR="00DB6A53">
        <w:rPr>
          <w:rFonts w:ascii="Times New Roman" w:hAnsi="Times New Roman"/>
          <w:sz w:val="24"/>
          <w:szCs w:val="24"/>
          <w:lang w:eastAsia="en-GB"/>
        </w:rPr>
        <w:t>)</w:t>
      </w:r>
    </w:p>
    <w:p w:rsidR="001C7A7B" w:rsidRPr="00065C01" w:rsidRDefault="001C7A7B" w:rsidP="00397982">
      <w:pPr>
        <w:pStyle w:val="Default"/>
        <w:spacing w:before="120" w:after="120" w:line="480" w:lineRule="auto"/>
        <w:rPr>
          <w:color w:val="auto"/>
        </w:rPr>
      </w:pPr>
      <w:r w:rsidRPr="00065C01">
        <w:rPr>
          <w:color w:val="auto"/>
        </w:rPr>
        <w:t xml:space="preserve">This is </w:t>
      </w:r>
      <w:r w:rsidR="005E4C41">
        <w:rPr>
          <w:color w:val="auto"/>
        </w:rPr>
        <w:t>standard, b</w:t>
      </w:r>
      <w:r w:rsidRPr="00065C01">
        <w:rPr>
          <w:color w:val="auto"/>
        </w:rPr>
        <w:t xml:space="preserve">ut the </w:t>
      </w:r>
      <w:r w:rsidR="000933E6">
        <w:rPr>
          <w:color w:val="auto"/>
        </w:rPr>
        <w:t>c</w:t>
      </w:r>
      <w:r w:rsidRPr="00065C01">
        <w:rPr>
          <w:color w:val="auto"/>
        </w:rPr>
        <w:t>ourt concludes:</w:t>
      </w:r>
    </w:p>
    <w:p w:rsidR="001C7A7B" w:rsidRPr="00065C01" w:rsidRDefault="001C7A7B" w:rsidP="00397982">
      <w:pPr>
        <w:autoSpaceDE w:val="0"/>
        <w:autoSpaceDN w:val="0"/>
        <w:adjustRightInd w:val="0"/>
        <w:spacing w:before="120" w:after="120" w:line="480" w:lineRule="auto"/>
        <w:ind w:left="709"/>
        <w:rPr>
          <w:rFonts w:ascii="Times New Roman" w:hAnsi="Times New Roman"/>
          <w:sz w:val="24"/>
          <w:szCs w:val="24"/>
          <w:lang w:eastAsia="en-GB"/>
        </w:rPr>
      </w:pPr>
      <w:r w:rsidRPr="00065C01">
        <w:rPr>
          <w:rFonts w:ascii="Times New Roman" w:hAnsi="Times New Roman"/>
          <w:sz w:val="24"/>
          <w:szCs w:val="24"/>
          <w:lang w:eastAsia="en-GB"/>
        </w:rPr>
        <w:t>If the referring court decides that surviving spouses and surviving life partners are in a</w:t>
      </w:r>
      <w:r w:rsidR="00397982">
        <w:rPr>
          <w:rFonts w:ascii="Times New Roman" w:hAnsi="Times New Roman"/>
          <w:sz w:val="24"/>
          <w:szCs w:val="24"/>
          <w:lang w:eastAsia="en-GB"/>
        </w:rPr>
        <w:t xml:space="preserve"> </w:t>
      </w:r>
      <w:r w:rsidRPr="00065C01">
        <w:rPr>
          <w:rFonts w:ascii="Times New Roman" w:hAnsi="Times New Roman"/>
          <w:sz w:val="24"/>
          <w:szCs w:val="24"/>
          <w:lang w:eastAsia="en-GB"/>
        </w:rPr>
        <w:t>comparable situation so far as concerns that survivor</w:t>
      </w:r>
      <w:r w:rsidR="003B48DF" w:rsidRPr="00065C01">
        <w:rPr>
          <w:rFonts w:ascii="Times New Roman" w:hAnsi="Times New Roman"/>
          <w:sz w:val="24"/>
          <w:szCs w:val="24"/>
          <w:lang w:eastAsia="en-GB"/>
        </w:rPr>
        <w:t>’</w:t>
      </w:r>
      <w:r w:rsidRPr="00065C01">
        <w:rPr>
          <w:rFonts w:ascii="Times New Roman" w:hAnsi="Times New Roman"/>
          <w:sz w:val="24"/>
          <w:szCs w:val="24"/>
          <w:lang w:eastAsia="en-GB"/>
        </w:rPr>
        <w:t>s benefit, legislation such as that at issue in the main proceedings must, as a consequence, be considered to constitute direct discrimination on grounds of sexual orientation, within the meaning of Arts 1 and 2(2)(a) of Directive 2000/78.</w:t>
      </w:r>
      <w:r w:rsidR="00244589">
        <w:rPr>
          <w:rFonts w:ascii="Times New Roman" w:hAnsi="Times New Roman"/>
          <w:sz w:val="24"/>
          <w:szCs w:val="24"/>
          <w:lang w:eastAsia="en-GB"/>
        </w:rPr>
        <w:t xml:space="preserve"> </w:t>
      </w:r>
      <w:r w:rsidR="00244589" w:rsidRPr="00244589">
        <w:rPr>
          <w:rFonts w:ascii="Times New Roman" w:hAnsi="Times New Roman"/>
          <w:sz w:val="24"/>
          <w:szCs w:val="24"/>
          <w:lang w:eastAsia="en-GB"/>
        </w:rPr>
        <w:t>(</w:t>
      </w:r>
      <w:r w:rsidR="005E4C41" w:rsidRPr="005E4C41">
        <w:rPr>
          <w:rFonts w:ascii="Times New Roman" w:hAnsi="Times New Roman"/>
          <w:i/>
          <w:iCs/>
          <w:sz w:val="24"/>
          <w:szCs w:val="24"/>
          <w:lang w:eastAsia="en-GB"/>
        </w:rPr>
        <w:t xml:space="preserve">Maruko v </w:t>
      </w:r>
      <w:proofErr w:type="spellStart"/>
      <w:r w:rsidR="005E4C41" w:rsidRPr="005E4C41">
        <w:rPr>
          <w:rFonts w:ascii="Times New Roman" w:hAnsi="Times New Roman"/>
          <w:bCs/>
          <w:i/>
          <w:iCs/>
          <w:sz w:val="24"/>
          <w:szCs w:val="24"/>
          <w:lang w:eastAsia="en-GB"/>
        </w:rPr>
        <w:t>Versorgungsanstalt</w:t>
      </w:r>
      <w:proofErr w:type="spellEnd"/>
      <w:r w:rsidR="005E4C41" w:rsidRPr="005E4C41">
        <w:rPr>
          <w:rFonts w:ascii="Times New Roman" w:hAnsi="Times New Roman"/>
          <w:bCs/>
          <w:i/>
          <w:iCs/>
          <w:sz w:val="24"/>
          <w:szCs w:val="24"/>
          <w:lang w:eastAsia="en-GB"/>
        </w:rPr>
        <w:t xml:space="preserve"> der </w:t>
      </w:r>
      <w:proofErr w:type="spellStart"/>
      <w:r w:rsidR="005E4C41" w:rsidRPr="005E4C41">
        <w:rPr>
          <w:rFonts w:ascii="Times New Roman" w:hAnsi="Times New Roman"/>
          <w:bCs/>
          <w:i/>
          <w:iCs/>
          <w:sz w:val="24"/>
          <w:szCs w:val="24"/>
          <w:lang w:eastAsia="en-GB"/>
        </w:rPr>
        <w:t>Deutschen</w:t>
      </w:r>
      <w:proofErr w:type="spellEnd"/>
      <w:r w:rsidR="005E4C41" w:rsidRPr="005E4C41">
        <w:rPr>
          <w:rFonts w:ascii="Times New Roman" w:hAnsi="Times New Roman"/>
          <w:bCs/>
          <w:i/>
          <w:iCs/>
          <w:sz w:val="24"/>
          <w:szCs w:val="24"/>
          <w:lang w:eastAsia="en-GB"/>
        </w:rPr>
        <w:t xml:space="preserve"> </w:t>
      </w:r>
      <w:proofErr w:type="spellStart"/>
      <w:r w:rsidR="005E4C41" w:rsidRPr="005E4C41">
        <w:rPr>
          <w:rFonts w:ascii="Times New Roman" w:hAnsi="Times New Roman"/>
          <w:bCs/>
          <w:i/>
          <w:iCs/>
          <w:sz w:val="24"/>
          <w:szCs w:val="24"/>
          <w:lang w:eastAsia="en-GB"/>
        </w:rPr>
        <w:t>Bühnen</w:t>
      </w:r>
      <w:proofErr w:type="spellEnd"/>
      <w:r w:rsidR="00244589" w:rsidRPr="00244589">
        <w:rPr>
          <w:rFonts w:ascii="Times New Roman" w:hAnsi="Times New Roman"/>
          <w:i/>
          <w:sz w:val="24"/>
          <w:szCs w:val="24"/>
          <w:lang w:eastAsia="en-GB"/>
        </w:rPr>
        <w:t xml:space="preserve"> </w:t>
      </w:r>
      <w:r w:rsidR="00244589" w:rsidRPr="00244589">
        <w:rPr>
          <w:rFonts w:ascii="Times New Roman" w:hAnsi="Times New Roman"/>
          <w:iCs/>
          <w:sz w:val="24"/>
          <w:szCs w:val="24"/>
          <w:lang w:eastAsia="en-GB"/>
        </w:rPr>
        <w:t>[2008]:</w:t>
      </w:r>
      <w:r w:rsidR="00244589" w:rsidRPr="00244589">
        <w:rPr>
          <w:rFonts w:ascii="Times New Roman" w:hAnsi="Times New Roman"/>
          <w:sz w:val="24"/>
          <w:szCs w:val="24"/>
          <w:lang w:eastAsia="en-GB"/>
        </w:rPr>
        <w:t xml:space="preserve"> 955 [72]</w:t>
      </w:r>
      <w:r w:rsidR="00244589">
        <w:rPr>
          <w:rFonts w:ascii="Times New Roman" w:hAnsi="Times New Roman"/>
          <w:sz w:val="24"/>
          <w:szCs w:val="24"/>
          <w:lang w:eastAsia="en-GB"/>
        </w:rPr>
        <w:t>)</w:t>
      </w:r>
    </w:p>
    <w:p w:rsidR="001C7A7B" w:rsidRPr="00065C01" w:rsidRDefault="001C7A7B" w:rsidP="00397982">
      <w:pPr>
        <w:pStyle w:val="Default"/>
        <w:spacing w:before="120" w:after="120" w:line="480" w:lineRule="auto"/>
        <w:rPr>
          <w:color w:val="auto"/>
        </w:rPr>
      </w:pPr>
      <w:r w:rsidRPr="00065C01">
        <w:rPr>
          <w:color w:val="auto"/>
        </w:rPr>
        <w:lastRenderedPageBreak/>
        <w:t xml:space="preserve">It is apparent that </w:t>
      </w:r>
      <w:r w:rsidR="003B48DF" w:rsidRPr="00065C01">
        <w:rPr>
          <w:color w:val="auto"/>
        </w:rPr>
        <w:t>there is no mention of the discriminator’s grounds in this paragraph</w:t>
      </w:r>
      <w:r w:rsidRPr="00065C01">
        <w:rPr>
          <w:color w:val="auto"/>
        </w:rPr>
        <w:t xml:space="preserve">. In consequence, this part of the </w:t>
      </w:r>
      <w:r w:rsidR="000933E6">
        <w:rPr>
          <w:color w:val="auto"/>
        </w:rPr>
        <w:t>c</w:t>
      </w:r>
      <w:r w:rsidRPr="00065C01">
        <w:rPr>
          <w:color w:val="auto"/>
        </w:rPr>
        <w:t>ourt’s judgment must be considered mistaken: a necessary ingredient of direct discrimination is that one discriminate on the ground of</w:t>
      </w:r>
      <w:r w:rsidR="00FB7288" w:rsidRPr="00065C01">
        <w:rPr>
          <w:color w:val="auto"/>
        </w:rPr>
        <w:t>,</w:t>
      </w:r>
      <w:r w:rsidRPr="00065C01">
        <w:rPr>
          <w:color w:val="auto"/>
        </w:rPr>
        <w:t xml:space="preserve"> or because of</w:t>
      </w:r>
      <w:r w:rsidR="00FB7288" w:rsidRPr="00065C01">
        <w:rPr>
          <w:color w:val="auto"/>
        </w:rPr>
        <w:t>,</w:t>
      </w:r>
      <w:r w:rsidRPr="00065C01">
        <w:rPr>
          <w:color w:val="auto"/>
        </w:rPr>
        <w:t xml:space="preserve"> a protected characteristic, and this has not been established in this case.</w:t>
      </w:r>
      <w:r w:rsidR="00D359D1" w:rsidRPr="00065C01">
        <w:rPr>
          <w:color w:val="auto"/>
        </w:rPr>
        <w:t xml:space="preserve"> (I am not saying that the </w:t>
      </w:r>
      <w:r w:rsidR="000933E6">
        <w:rPr>
          <w:color w:val="auto"/>
        </w:rPr>
        <w:t>c</w:t>
      </w:r>
      <w:r w:rsidR="00D359D1" w:rsidRPr="00065C01">
        <w:rPr>
          <w:color w:val="auto"/>
        </w:rPr>
        <w:t xml:space="preserve">ourt simply forgot about grounds; </w:t>
      </w:r>
      <w:r w:rsidR="006B7B88" w:rsidRPr="00065C01">
        <w:rPr>
          <w:color w:val="auto"/>
        </w:rPr>
        <w:t xml:space="preserve">I think that </w:t>
      </w:r>
      <w:r w:rsidR="00D359D1" w:rsidRPr="00065C01">
        <w:rPr>
          <w:color w:val="auto"/>
        </w:rPr>
        <w:t xml:space="preserve">the </w:t>
      </w:r>
      <w:r w:rsidR="000933E6">
        <w:rPr>
          <w:color w:val="auto"/>
        </w:rPr>
        <w:t>c</w:t>
      </w:r>
      <w:r w:rsidR="00D359D1" w:rsidRPr="00065C01">
        <w:rPr>
          <w:color w:val="auto"/>
        </w:rPr>
        <w:t>ourt conceived, wrongly, that if one treated someone less favourably than a relevant comparator without the protected characteristic it must be on grounds of that characteristic.</w:t>
      </w:r>
      <w:r w:rsidR="00B77423">
        <w:rPr>
          <w:color w:val="auto"/>
        </w:rPr>
        <w:t xml:space="preserve"> </w:t>
      </w:r>
      <w:r w:rsidR="00B77423" w:rsidRPr="00B77423">
        <w:rPr>
          <w:color w:val="auto"/>
        </w:rPr>
        <w:t xml:space="preserve">This is how Lord Neuberger understands it </w:t>
      </w:r>
      <w:r w:rsidR="00B77423">
        <w:rPr>
          <w:color w:val="auto"/>
        </w:rPr>
        <w:t>(</w:t>
      </w:r>
      <w:r w:rsidR="00522BBE" w:rsidRPr="00522BBE">
        <w:rPr>
          <w:i/>
          <w:iCs/>
          <w:color w:val="auto"/>
        </w:rPr>
        <w:t xml:space="preserve">Bull and Bull v Hall and </w:t>
      </w:r>
      <w:proofErr w:type="spellStart"/>
      <w:r w:rsidR="00522BBE" w:rsidRPr="00522BBE">
        <w:rPr>
          <w:i/>
          <w:iCs/>
          <w:color w:val="auto"/>
        </w:rPr>
        <w:t>Preddy</w:t>
      </w:r>
      <w:proofErr w:type="spellEnd"/>
      <w:r w:rsidR="00522BBE" w:rsidRPr="00522BBE">
        <w:rPr>
          <w:i/>
          <w:color w:val="auto"/>
        </w:rPr>
        <w:t xml:space="preserve"> </w:t>
      </w:r>
      <w:r w:rsidR="00B77423" w:rsidRPr="00B77423">
        <w:rPr>
          <w:color w:val="auto"/>
        </w:rPr>
        <w:t>[2013]</w:t>
      </w:r>
      <w:r w:rsidR="00B77423">
        <w:rPr>
          <w:color w:val="auto"/>
        </w:rPr>
        <w:t>:</w:t>
      </w:r>
      <w:r w:rsidR="00B77423" w:rsidRPr="00B77423">
        <w:rPr>
          <w:color w:val="auto"/>
        </w:rPr>
        <w:t xml:space="preserve"> 3761E [81]</w:t>
      </w:r>
      <w:r w:rsidR="00B77423">
        <w:rPr>
          <w:color w:val="auto"/>
        </w:rPr>
        <w:t>).</w:t>
      </w:r>
      <w:r w:rsidR="00D359D1" w:rsidRPr="00065C01">
        <w:rPr>
          <w:color w:val="auto"/>
        </w:rPr>
        <w:t>)</w:t>
      </w:r>
      <w:r w:rsidR="003B48DF" w:rsidRPr="00065C01">
        <w:rPr>
          <w:color w:val="auto"/>
        </w:rPr>
        <w:t xml:space="preserve"> </w:t>
      </w:r>
      <w:r w:rsidR="00522BBE" w:rsidRPr="00522BBE">
        <w:rPr>
          <w:i/>
          <w:iCs/>
          <w:color w:val="auto"/>
        </w:rPr>
        <w:t xml:space="preserve">Maruko v </w:t>
      </w:r>
      <w:proofErr w:type="spellStart"/>
      <w:r w:rsidR="00522BBE" w:rsidRPr="00522BBE">
        <w:rPr>
          <w:bCs/>
          <w:i/>
          <w:iCs/>
          <w:color w:val="auto"/>
        </w:rPr>
        <w:t>Versorgungsanstalt</w:t>
      </w:r>
      <w:proofErr w:type="spellEnd"/>
      <w:r w:rsidR="00522BBE" w:rsidRPr="00522BBE">
        <w:rPr>
          <w:bCs/>
          <w:i/>
          <w:iCs/>
          <w:color w:val="auto"/>
        </w:rPr>
        <w:t xml:space="preserve"> der </w:t>
      </w:r>
      <w:proofErr w:type="spellStart"/>
      <w:r w:rsidR="00522BBE" w:rsidRPr="00522BBE">
        <w:rPr>
          <w:bCs/>
          <w:i/>
          <w:iCs/>
          <w:color w:val="auto"/>
        </w:rPr>
        <w:t>Deutschen</w:t>
      </w:r>
      <w:proofErr w:type="spellEnd"/>
      <w:r w:rsidR="00522BBE" w:rsidRPr="00522BBE">
        <w:rPr>
          <w:bCs/>
          <w:i/>
          <w:iCs/>
          <w:color w:val="auto"/>
        </w:rPr>
        <w:t xml:space="preserve"> </w:t>
      </w:r>
      <w:proofErr w:type="spellStart"/>
      <w:r w:rsidR="00522BBE" w:rsidRPr="00522BBE">
        <w:rPr>
          <w:bCs/>
          <w:i/>
          <w:iCs/>
          <w:color w:val="auto"/>
        </w:rPr>
        <w:t>Bühnen</w:t>
      </w:r>
      <w:proofErr w:type="spellEnd"/>
      <w:r w:rsidR="00522BBE" w:rsidRPr="00522BBE">
        <w:rPr>
          <w:i/>
          <w:color w:val="auto"/>
        </w:rPr>
        <w:t xml:space="preserve"> </w:t>
      </w:r>
      <w:r w:rsidR="00522BBE" w:rsidRPr="00522BBE">
        <w:rPr>
          <w:color w:val="auto"/>
        </w:rPr>
        <w:t>[2008]</w:t>
      </w:r>
      <w:r w:rsidR="003B48DF" w:rsidRPr="00065C01">
        <w:rPr>
          <w:color w:val="auto"/>
        </w:rPr>
        <w:t xml:space="preserve"> does not, however, establish a binding precedent</w:t>
      </w:r>
      <w:r w:rsidR="00EC3E05">
        <w:rPr>
          <w:color w:val="auto"/>
        </w:rPr>
        <w:t xml:space="preserve"> </w:t>
      </w:r>
      <w:r w:rsidR="00183FF4">
        <w:rPr>
          <w:color w:val="auto"/>
        </w:rPr>
        <w:t>on domestic law</w:t>
      </w:r>
      <w:r w:rsidR="00D30CB3">
        <w:rPr>
          <w:color w:val="auto"/>
        </w:rPr>
        <w:t>, as is noted by Lord Neuberger</w:t>
      </w:r>
      <w:r w:rsidR="00B77423">
        <w:rPr>
          <w:color w:val="auto"/>
        </w:rPr>
        <w:t xml:space="preserve"> (</w:t>
      </w:r>
      <w:r w:rsidR="00522BBE" w:rsidRPr="00522BBE">
        <w:rPr>
          <w:i/>
          <w:iCs/>
          <w:color w:val="auto"/>
        </w:rPr>
        <w:t xml:space="preserve">Bull and Bull v Hall and </w:t>
      </w:r>
      <w:proofErr w:type="spellStart"/>
      <w:r w:rsidR="00522BBE" w:rsidRPr="00522BBE">
        <w:rPr>
          <w:i/>
          <w:iCs/>
          <w:color w:val="auto"/>
        </w:rPr>
        <w:t>Preddy</w:t>
      </w:r>
      <w:proofErr w:type="spellEnd"/>
      <w:r w:rsidR="00B77423" w:rsidRPr="00B77423">
        <w:rPr>
          <w:color w:val="auto"/>
        </w:rPr>
        <w:t xml:space="preserve"> [2013]</w:t>
      </w:r>
      <w:r w:rsidR="00B77423">
        <w:rPr>
          <w:color w:val="auto"/>
        </w:rPr>
        <w:t>:</w:t>
      </w:r>
      <w:r w:rsidR="00B77423" w:rsidRPr="00B77423">
        <w:rPr>
          <w:color w:val="auto"/>
        </w:rPr>
        <w:t xml:space="preserve"> 3761G [81]</w:t>
      </w:r>
      <w:r w:rsidR="00B77423">
        <w:rPr>
          <w:color w:val="auto"/>
        </w:rPr>
        <w:t>)</w:t>
      </w:r>
      <w:r w:rsidR="003B48DF" w:rsidRPr="00065C01">
        <w:rPr>
          <w:color w:val="auto"/>
        </w:rPr>
        <w:t>.</w:t>
      </w:r>
    </w:p>
    <w:p w:rsidR="00AB338C" w:rsidRDefault="00AB338C" w:rsidP="00EC3E05">
      <w:pPr>
        <w:pStyle w:val="Default"/>
        <w:spacing w:before="120" w:after="120" w:line="480" w:lineRule="auto"/>
        <w:rPr>
          <w:color w:val="auto"/>
        </w:rPr>
      </w:pPr>
    </w:p>
    <w:p w:rsidR="006B7B88" w:rsidRPr="00065C01" w:rsidRDefault="006B7B88" w:rsidP="00EC3E05">
      <w:pPr>
        <w:pStyle w:val="Default"/>
        <w:spacing w:before="120" w:after="120" w:line="480" w:lineRule="auto"/>
        <w:rPr>
          <w:color w:val="auto"/>
        </w:rPr>
      </w:pPr>
      <w:r w:rsidRPr="00065C01">
        <w:rPr>
          <w:color w:val="auto"/>
        </w:rPr>
        <w:t>Now</w:t>
      </w:r>
      <w:r w:rsidR="00522BBE">
        <w:rPr>
          <w:color w:val="auto"/>
        </w:rPr>
        <w:t>,</w:t>
      </w:r>
      <w:r w:rsidRPr="00065C01">
        <w:rPr>
          <w:color w:val="auto"/>
        </w:rPr>
        <w:t xml:space="preserve"> </w:t>
      </w:r>
      <w:r w:rsidR="00613309" w:rsidRPr="00065C01">
        <w:rPr>
          <w:color w:val="auto"/>
        </w:rPr>
        <w:t>Lady</w:t>
      </w:r>
      <w:r w:rsidRPr="00065C01">
        <w:rPr>
          <w:color w:val="auto"/>
        </w:rPr>
        <w:t xml:space="preserve"> Hale</w:t>
      </w:r>
      <w:r w:rsidR="002F1C2F" w:rsidRPr="00065C01">
        <w:rPr>
          <w:color w:val="auto"/>
        </w:rPr>
        <w:t xml:space="preserve"> does add </w:t>
      </w:r>
      <w:r w:rsidRPr="00065C01">
        <w:rPr>
          <w:color w:val="auto"/>
        </w:rPr>
        <w:t>an additional reason</w:t>
      </w:r>
      <w:r w:rsidR="003B48DF" w:rsidRPr="00065C01">
        <w:rPr>
          <w:color w:val="auto"/>
        </w:rPr>
        <w:t xml:space="preserve"> towards the end of her consideration of direct discrimination</w:t>
      </w:r>
      <w:r w:rsidRPr="00065C01">
        <w:rPr>
          <w:color w:val="auto"/>
        </w:rPr>
        <w:t>:</w:t>
      </w:r>
    </w:p>
    <w:p w:rsidR="006B7B88" w:rsidRPr="00065C01" w:rsidRDefault="006B7B88" w:rsidP="00EC3E05">
      <w:pPr>
        <w:pStyle w:val="Default"/>
        <w:spacing w:before="120" w:after="120" w:line="480" w:lineRule="auto"/>
        <w:ind w:left="709"/>
        <w:rPr>
          <w:color w:val="auto"/>
        </w:rPr>
      </w:pPr>
      <w:r w:rsidRPr="00065C01">
        <w:rPr>
          <w:color w:val="auto"/>
        </w:rPr>
        <w:t xml:space="preserve">When it came to </w:t>
      </w:r>
      <w:proofErr w:type="gramStart"/>
      <w:r w:rsidRPr="00065C01">
        <w:rPr>
          <w:color w:val="auto"/>
        </w:rPr>
        <w:t>denying</w:t>
      </w:r>
      <w:proofErr w:type="gramEnd"/>
      <w:r w:rsidRPr="00065C01">
        <w:rPr>
          <w:color w:val="auto"/>
        </w:rPr>
        <w:t xml:space="preserve"> a double bed to Mr </w:t>
      </w:r>
      <w:proofErr w:type="spellStart"/>
      <w:r w:rsidRPr="00065C01">
        <w:rPr>
          <w:color w:val="auto"/>
        </w:rPr>
        <w:t>Preddy</w:t>
      </w:r>
      <w:proofErr w:type="spellEnd"/>
      <w:r w:rsidRPr="00065C01">
        <w:rPr>
          <w:color w:val="auto"/>
        </w:rPr>
        <w:t xml:space="preserve"> and Mr Hall, which they would have given to a heterosexual married couple, Mr and Mrs Bull were not only applying the criterion that they were unmarried. </w:t>
      </w:r>
      <w:r w:rsidR="002F1C2F" w:rsidRPr="00065C01">
        <w:rPr>
          <w:color w:val="auto"/>
        </w:rPr>
        <w:t>They were applying a criterion that their legal relationship was not that of one man and one woman, in other words a criterion indistinguishable from sexual orientation.</w:t>
      </w:r>
      <w:r w:rsidR="00B77423">
        <w:rPr>
          <w:color w:val="auto"/>
        </w:rPr>
        <w:t xml:space="preserve"> (</w:t>
      </w:r>
      <w:r w:rsidR="00522BBE" w:rsidRPr="00522BBE">
        <w:rPr>
          <w:i/>
          <w:iCs/>
          <w:color w:val="auto"/>
        </w:rPr>
        <w:t xml:space="preserve">Bull and Bull v Hall and </w:t>
      </w:r>
      <w:proofErr w:type="spellStart"/>
      <w:r w:rsidR="00522BBE" w:rsidRPr="00522BBE">
        <w:rPr>
          <w:i/>
          <w:iCs/>
          <w:color w:val="auto"/>
        </w:rPr>
        <w:t>Preddy</w:t>
      </w:r>
      <w:proofErr w:type="spellEnd"/>
      <w:r w:rsidR="00522BBE" w:rsidRPr="00522BBE">
        <w:rPr>
          <w:i/>
          <w:color w:val="auto"/>
        </w:rPr>
        <w:t xml:space="preserve"> </w:t>
      </w:r>
      <w:r w:rsidR="00B77423" w:rsidRPr="00B77423">
        <w:rPr>
          <w:color w:val="auto"/>
        </w:rPr>
        <w:t>[2013]</w:t>
      </w:r>
      <w:r w:rsidR="00B77423">
        <w:rPr>
          <w:color w:val="auto"/>
        </w:rPr>
        <w:t xml:space="preserve">: </w:t>
      </w:r>
      <w:r w:rsidR="00B77423" w:rsidRPr="00B77423">
        <w:rPr>
          <w:color w:val="auto"/>
        </w:rPr>
        <w:t>3750H [30]</w:t>
      </w:r>
      <w:r w:rsidR="00B77423">
        <w:rPr>
          <w:color w:val="auto"/>
        </w:rPr>
        <w:t>)</w:t>
      </w:r>
      <w:r w:rsidR="002F1C2F" w:rsidRPr="00065C01">
        <w:rPr>
          <w:color w:val="auto"/>
        </w:rPr>
        <w:t xml:space="preserve"> </w:t>
      </w:r>
    </w:p>
    <w:p w:rsidR="00A26720" w:rsidRPr="00065C01" w:rsidRDefault="006B7B88" w:rsidP="00110CBC">
      <w:pPr>
        <w:pStyle w:val="Default"/>
        <w:spacing w:before="120" w:after="120" w:line="480" w:lineRule="auto"/>
        <w:rPr>
          <w:color w:val="auto"/>
        </w:rPr>
      </w:pPr>
      <w:r w:rsidRPr="00065C01">
        <w:rPr>
          <w:color w:val="auto"/>
        </w:rPr>
        <w:t>It should be clear by now that the criterion certainly was distinguishable from sexual orientation:</w:t>
      </w:r>
      <w:r w:rsidR="003B48DF" w:rsidRPr="00065C01">
        <w:rPr>
          <w:color w:val="auto"/>
        </w:rPr>
        <w:t xml:space="preserve"> as was discussed above,</w:t>
      </w:r>
      <w:r w:rsidRPr="00065C01">
        <w:rPr>
          <w:color w:val="auto"/>
        </w:rPr>
        <w:t xml:space="preserve"> the Bulls would have barred two backpackers of the same sex </w:t>
      </w:r>
      <w:r w:rsidR="0020133F" w:rsidRPr="00065C01">
        <w:rPr>
          <w:color w:val="auto"/>
        </w:rPr>
        <w:t xml:space="preserve">and of heterosexual orientation </w:t>
      </w:r>
      <w:r w:rsidRPr="00065C01">
        <w:rPr>
          <w:color w:val="auto"/>
        </w:rPr>
        <w:t>from sharing a double room</w:t>
      </w:r>
      <w:r w:rsidR="006259AC">
        <w:rPr>
          <w:color w:val="auto"/>
        </w:rPr>
        <w:t xml:space="preserve"> (</w:t>
      </w:r>
      <w:r w:rsidR="006259AC">
        <w:rPr>
          <w:i/>
          <w:iCs/>
          <w:color w:val="auto"/>
        </w:rPr>
        <w:t xml:space="preserve">Hall and </w:t>
      </w:r>
      <w:proofErr w:type="spellStart"/>
      <w:r w:rsidR="006259AC">
        <w:rPr>
          <w:i/>
          <w:iCs/>
          <w:color w:val="auto"/>
        </w:rPr>
        <w:t>Preddy</w:t>
      </w:r>
      <w:proofErr w:type="spellEnd"/>
      <w:r w:rsidR="006259AC">
        <w:rPr>
          <w:i/>
          <w:iCs/>
          <w:color w:val="auto"/>
        </w:rPr>
        <w:t xml:space="preserve"> v Bull and Bull </w:t>
      </w:r>
      <w:r w:rsidR="006259AC">
        <w:rPr>
          <w:color w:val="auto"/>
        </w:rPr>
        <w:t>[2011]: [33])</w:t>
      </w:r>
      <w:r w:rsidR="00FB7288" w:rsidRPr="00065C01">
        <w:rPr>
          <w:color w:val="auto"/>
        </w:rPr>
        <w:t>,</w:t>
      </w:r>
      <w:r w:rsidRPr="00065C01">
        <w:rPr>
          <w:color w:val="auto"/>
        </w:rPr>
        <w:t xml:space="preserve"> and they would have allowed Vita Sackville-West and Harold </w:t>
      </w:r>
      <w:r w:rsidRPr="00065C01">
        <w:rPr>
          <w:color w:val="auto"/>
        </w:rPr>
        <w:lastRenderedPageBreak/>
        <w:t xml:space="preserve">Nicholson to share a double room. Nevertheless, </w:t>
      </w:r>
      <w:r w:rsidR="00613309" w:rsidRPr="00065C01">
        <w:rPr>
          <w:color w:val="auto"/>
        </w:rPr>
        <w:t>Lady</w:t>
      </w:r>
      <w:r w:rsidRPr="00065C01">
        <w:rPr>
          <w:color w:val="auto"/>
        </w:rPr>
        <w:t xml:space="preserve"> Hale is correct: </w:t>
      </w:r>
      <w:proofErr w:type="gramStart"/>
      <w:r w:rsidRPr="00065C01">
        <w:rPr>
          <w:color w:val="auto"/>
        </w:rPr>
        <w:t>the</w:t>
      </w:r>
      <w:proofErr w:type="gramEnd"/>
      <w:r w:rsidRPr="00065C01">
        <w:rPr>
          <w:color w:val="auto"/>
        </w:rPr>
        <w:t xml:space="preserve"> Bulls’ criterion was not merely </w:t>
      </w:r>
      <w:r w:rsidR="00902A8D">
        <w:rPr>
          <w:color w:val="auto"/>
        </w:rPr>
        <w:t>“</w:t>
      </w:r>
      <w:r w:rsidRPr="00065C01">
        <w:rPr>
          <w:color w:val="auto"/>
        </w:rPr>
        <w:t xml:space="preserve">only married </w:t>
      </w:r>
      <w:r w:rsidR="00A37063">
        <w:rPr>
          <w:color w:val="auto"/>
        </w:rPr>
        <w:t>couples can have a double room</w:t>
      </w:r>
      <w:r w:rsidR="00902A8D">
        <w:rPr>
          <w:color w:val="auto"/>
        </w:rPr>
        <w:t>”</w:t>
      </w:r>
      <w:r w:rsidR="00D41078" w:rsidRPr="00065C01">
        <w:rPr>
          <w:color w:val="auto"/>
        </w:rPr>
        <w:t xml:space="preserve">, it was </w:t>
      </w:r>
      <w:r w:rsidR="00902A8D">
        <w:rPr>
          <w:color w:val="auto"/>
        </w:rPr>
        <w:t>“</w:t>
      </w:r>
      <w:r w:rsidR="00D41078" w:rsidRPr="00065C01">
        <w:rPr>
          <w:color w:val="auto"/>
        </w:rPr>
        <w:t xml:space="preserve">only heterosexual </w:t>
      </w:r>
      <w:r w:rsidR="0020133F" w:rsidRPr="00065C01">
        <w:rPr>
          <w:color w:val="auto"/>
        </w:rPr>
        <w:t xml:space="preserve">[i.e. opposite-sex] </w:t>
      </w:r>
      <w:r w:rsidR="00D41078" w:rsidRPr="00065C01">
        <w:rPr>
          <w:color w:val="auto"/>
        </w:rPr>
        <w:t>married cou</w:t>
      </w:r>
      <w:r w:rsidR="00A37063">
        <w:rPr>
          <w:color w:val="auto"/>
        </w:rPr>
        <w:t>ples can have a double room</w:t>
      </w:r>
      <w:r w:rsidR="00902A8D">
        <w:rPr>
          <w:color w:val="auto"/>
        </w:rPr>
        <w:t>”</w:t>
      </w:r>
      <w:r w:rsidR="00973578">
        <w:rPr>
          <w:color w:val="auto"/>
        </w:rPr>
        <w:t>. Despite this</w:t>
      </w:r>
      <w:r w:rsidR="00D41078" w:rsidRPr="00065C01">
        <w:rPr>
          <w:color w:val="auto"/>
        </w:rPr>
        <w:t xml:space="preserve">, </w:t>
      </w:r>
      <w:r w:rsidR="00736F40" w:rsidRPr="00065C01">
        <w:rPr>
          <w:color w:val="auto"/>
        </w:rPr>
        <w:t xml:space="preserve">I </w:t>
      </w:r>
      <w:r w:rsidR="00D41078" w:rsidRPr="00065C01">
        <w:rPr>
          <w:color w:val="auto"/>
        </w:rPr>
        <w:t xml:space="preserve">still </w:t>
      </w:r>
      <w:r w:rsidR="00736F40" w:rsidRPr="00065C01">
        <w:rPr>
          <w:color w:val="auto"/>
        </w:rPr>
        <w:t xml:space="preserve">think that this is not a case of direct discrimination on grounds of sexual orientation: there is no mention of that in the criterion at all, nor, as we have seen, is it hidden in the word </w:t>
      </w:r>
      <w:r w:rsidR="00902A8D">
        <w:rPr>
          <w:color w:val="auto"/>
        </w:rPr>
        <w:t>“</w:t>
      </w:r>
      <w:r w:rsidR="00736F40" w:rsidRPr="00065C01">
        <w:rPr>
          <w:color w:val="auto"/>
        </w:rPr>
        <w:t>married</w:t>
      </w:r>
      <w:r w:rsidR="00902A8D">
        <w:rPr>
          <w:color w:val="auto"/>
        </w:rPr>
        <w:t>”</w:t>
      </w:r>
      <w:r w:rsidR="00736F40" w:rsidRPr="00065C01">
        <w:rPr>
          <w:color w:val="auto"/>
        </w:rPr>
        <w:t>. (One can imagine that a legislature might have allowed only th</w:t>
      </w:r>
      <w:r w:rsidR="0020133F" w:rsidRPr="00065C01">
        <w:rPr>
          <w:color w:val="auto"/>
        </w:rPr>
        <w:t>ose of</w:t>
      </w:r>
      <w:r w:rsidR="00736F40" w:rsidRPr="00065C01">
        <w:rPr>
          <w:color w:val="auto"/>
        </w:rPr>
        <w:t xml:space="preserve"> heterosexual </w:t>
      </w:r>
      <w:r w:rsidR="0020133F" w:rsidRPr="00065C01">
        <w:rPr>
          <w:color w:val="auto"/>
        </w:rPr>
        <w:t xml:space="preserve">orientation </w:t>
      </w:r>
      <w:r w:rsidR="00736F40" w:rsidRPr="00065C01">
        <w:rPr>
          <w:color w:val="auto"/>
        </w:rPr>
        <w:t xml:space="preserve">to marry, by asking </w:t>
      </w:r>
      <w:r w:rsidR="00973578">
        <w:rPr>
          <w:color w:val="auto"/>
        </w:rPr>
        <w:t>the parties</w:t>
      </w:r>
      <w:r w:rsidR="00736F40" w:rsidRPr="00065C01">
        <w:rPr>
          <w:color w:val="auto"/>
        </w:rPr>
        <w:t xml:space="preserve"> what their sexual orientation was before pronouncing them</w:t>
      </w:r>
      <w:r w:rsidR="001F2494">
        <w:rPr>
          <w:color w:val="auto"/>
        </w:rPr>
        <w:t xml:space="preserve"> married</w:t>
      </w:r>
      <w:r w:rsidR="00736F40" w:rsidRPr="00065C01">
        <w:rPr>
          <w:color w:val="auto"/>
        </w:rPr>
        <w:t xml:space="preserve">, yet, as far as I know, no legislature has done </w:t>
      </w:r>
      <w:r w:rsidR="00110CBC">
        <w:rPr>
          <w:color w:val="auto"/>
        </w:rPr>
        <w:t xml:space="preserve">anything like </w:t>
      </w:r>
      <w:r w:rsidR="00736F40" w:rsidRPr="00065C01">
        <w:rPr>
          <w:color w:val="auto"/>
        </w:rPr>
        <w:t>this.)</w:t>
      </w:r>
    </w:p>
    <w:p w:rsidR="00AB338C" w:rsidRDefault="00AB338C" w:rsidP="003E7B9B">
      <w:pPr>
        <w:spacing w:line="480" w:lineRule="auto"/>
        <w:rPr>
          <w:rFonts w:ascii="Times New Roman" w:hAnsi="Times New Roman"/>
          <w:sz w:val="24"/>
          <w:szCs w:val="24"/>
        </w:rPr>
      </w:pPr>
    </w:p>
    <w:p w:rsidR="009A03A9" w:rsidRPr="00065C01" w:rsidRDefault="001032C7" w:rsidP="003E7B9B">
      <w:pPr>
        <w:spacing w:line="480" w:lineRule="auto"/>
        <w:rPr>
          <w:rFonts w:ascii="Times New Roman" w:hAnsi="Times New Roman"/>
          <w:sz w:val="24"/>
          <w:szCs w:val="24"/>
        </w:rPr>
      </w:pPr>
      <w:r>
        <w:rPr>
          <w:rFonts w:ascii="Times New Roman" w:hAnsi="Times New Roman"/>
          <w:sz w:val="24"/>
          <w:szCs w:val="24"/>
        </w:rPr>
        <w:t xml:space="preserve">Although the </w:t>
      </w:r>
      <w:r w:rsidR="00902A8D">
        <w:rPr>
          <w:rFonts w:ascii="Times New Roman" w:hAnsi="Times New Roman"/>
          <w:sz w:val="24"/>
          <w:szCs w:val="24"/>
        </w:rPr>
        <w:t>“</w:t>
      </w:r>
      <w:r>
        <w:rPr>
          <w:rFonts w:ascii="Times New Roman" w:hAnsi="Times New Roman"/>
          <w:sz w:val="24"/>
          <w:szCs w:val="24"/>
        </w:rPr>
        <w:t>but for</w:t>
      </w:r>
      <w:r w:rsidR="00902A8D">
        <w:rPr>
          <w:rFonts w:ascii="Times New Roman" w:hAnsi="Times New Roman"/>
          <w:sz w:val="24"/>
          <w:szCs w:val="24"/>
        </w:rPr>
        <w:t>”</w:t>
      </w:r>
      <w:r>
        <w:rPr>
          <w:rFonts w:ascii="Times New Roman" w:hAnsi="Times New Roman"/>
          <w:sz w:val="24"/>
          <w:szCs w:val="24"/>
        </w:rPr>
        <w:t xml:space="preserve"> </w:t>
      </w:r>
      <w:r w:rsidR="00AF4855">
        <w:rPr>
          <w:rFonts w:ascii="Times New Roman" w:hAnsi="Times New Roman"/>
          <w:sz w:val="24"/>
          <w:szCs w:val="24"/>
        </w:rPr>
        <w:t>test does not explicitly feature in the judgment of Lady Hale, it does feature in t</w:t>
      </w:r>
      <w:r w:rsidR="00D41078" w:rsidRPr="00065C01">
        <w:rPr>
          <w:rFonts w:ascii="Times New Roman" w:hAnsi="Times New Roman"/>
          <w:sz w:val="24"/>
          <w:szCs w:val="24"/>
        </w:rPr>
        <w:t>he</w:t>
      </w:r>
      <w:r w:rsidR="00A031EC" w:rsidRPr="00065C01">
        <w:rPr>
          <w:rFonts w:ascii="Times New Roman" w:hAnsi="Times New Roman"/>
          <w:sz w:val="24"/>
          <w:szCs w:val="24"/>
        </w:rPr>
        <w:t xml:space="preserve"> </w:t>
      </w:r>
      <w:r w:rsidR="00AF4855">
        <w:rPr>
          <w:rFonts w:ascii="Times New Roman" w:hAnsi="Times New Roman"/>
          <w:sz w:val="24"/>
          <w:szCs w:val="24"/>
        </w:rPr>
        <w:t xml:space="preserve">concurring judgment </w:t>
      </w:r>
      <w:r w:rsidR="00D41078" w:rsidRPr="00065C01">
        <w:rPr>
          <w:rFonts w:ascii="Times New Roman" w:hAnsi="Times New Roman"/>
          <w:sz w:val="24"/>
          <w:szCs w:val="24"/>
        </w:rPr>
        <w:t>of Lord Toulson JSC</w:t>
      </w:r>
      <w:r w:rsidR="00D326E0" w:rsidRPr="00065C01">
        <w:rPr>
          <w:rFonts w:ascii="Times New Roman" w:hAnsi="Times New Roman"/>
          <w:sz w:val="24"/>
          <w:szCs w:val="24"/>
        </w:rPr>
        <w:t>:</w:t>
      </w:r>
    </w:p>
    <w:p w:rsidR="00D326E0" w:rsidRPr="00065C01" w:rsidRDefault="00D326E0" w:rsidP="00680EC7">
      <w:pPr>
        <w:spacing w:line="480" w:lineRule="auto"/>
        <w:ind w:left="709"/>
        <w:rPr>
          <w:rFonts w:ascii="Times New Roman" w:hAnsi="Times New Roman"/>
          <w:sz w:val="24"/>
          <w:szCs w:val="24"/>
        </w:rPr>
      </w:pPr>
      <w:r w:rsidRPr="00065C01">
        <w:rPr>
          <w:rFonts w:ascii="Times New Roman" w:hAnsi="Times New Roman"/>
          <w:color w:val="000000"/>
          <w:sz w:val="24"/>
          <w:szCs w:val="24"/>
          <w:shd w:val="clear" w:color="auto" w:fill="FFFFFF"/>
        </w:rPr>
        <w:t xml:space="preserve">[In] this case the question [from </w:t>
      </w:r>
      <w:r w:rsidR="0054148B" w:rsidRPr="0054148B">
        <w:rPr>
          <w:rFonts w:ascii="Times New Roman" w:hAnsi="Times New Roman"/>
          <w:i/>
          <w:color w:val="000000"/>
          <w:sz w:val="24"/>
          <w:szCs w:val="24"/>
          <w:shd w:val="clear" w:color="auto" w:fill="FFFFFF"/>
        </w:rPr>
        <w:t>James v Eastleigh Borough Council</w:t>
      </w:r>
      <w:r w:rsidR="0054148B" w:rsidRPr="0054148B">
        <w:rPr>
          <w:rFonts w:ascii="Times New Roman" w:hAnsi="Times New Roman"/>
          <w:iCs/>
          <w:color w:val="000000"/>
          <w:sz w:val="24"/>
          <w:szCs w:val="24"/>
          <w:shd w:val="clear" w:color="auto" w:fill="FFFFFF"/>
        </w:rPr>
        <w:t xml:space="preserve"> [1990]</w:t>
      </w:r>
      <w:r w:rsidRPr="00065C01">
        <w:rPr>
          <w:rFonts w:ascii="Times New Roman" w:hAnsi="Times New Roman"/>
          <w:color w:val="000000"/>
          <w:sz w:val="24"/>
          <w:szCs w:val="24"/>
          <w:shd w:val="clear" w:color="auto" w:fill="FFFFFF"/>
        </w:rPr>
        <w:t>] becomes: would the claimants have received the same treatment as married heterosexuals but for their sexual orientation?</w:t>
      </w:r>
      <w:r w:rsidR="008D2C5F">
        <w:rPr>
          <w:rFonts w:ascii="Times New Roman" w:hAnsi="Times New Roman"/>
          <w:color w:val="000000"/>
          <w:sz w:val="24"/>
          <w:szCs w:val="24"/>
          <w:shd w:val="clear" w:color="auto" w:fill="FFFFFF"/>
        </w:rPr>
        <w:t xml:space="preserve"> (</w:t>
      </w:r>
      <w:r w:rsidR="0054148B" w:rsidRPr="0054148B">
        <w:rPr>
          <w:rFonts w:ascii="Times New Roman" w:hAnsi="Times New Roman"/>
          <w:i/>
          <w:iCs/>
          <w:color w:val="000000"/>
          <w:sz w:val="24"/>
          <w:szCs w:val="24"/>
          <w:shd w:val="clear" w:color="auto" w:fill="FFFFFF"/>
        </w:rPr>
        <w:t xml:space="preserve">Bull and Bull v Hall and </w:t>
      </w:r>
      <w:proofErr w:type="spellStart"/>
      <w:r w:rsidR="0054148B" w:rsidRPr="0054148B">
        <w:rPr>
          <w:rFonts w:ascii="Times New Roman" w:hAnsi="Times New Roman"/>
          <w:i/>
          <w:iCs/>
          <w:color w:val="000000"/>
          <w:sz w:val="24"/>
          <w:szCs w:val="24"/>
          <w:shd w:val="clear" w:color="auto" w:fill="FFFFFF"/>
        </w:rPr>
        <w:t>Preddy</w:t>
      </w:r>
      <w:proofErr w:type="spellEnd"/>
      <w:r w:rsidR="0054148B" w:rsidRPr="0054148B">
        <w:rPr>
          <w:rFonts w:ascii="Times New Roman" w:hAnsi="Times New Roman"/>
          <w:i/>
          <w:color w:val="000000"/>
          <w:sz w:val="24"/>
          <w:szCs w:val="24"/>
          <w:shd w:val="clear" w:color="auto" w:fill="FFFFFF"/>
        </w:rPr>
        <w:t xml:space="preserve"> </w:t>
      </w:r>
      <w:r w:rsidR="008D2C5F" w:rsidRPr="008D2C5F">
        <w:rPr>
          <w:rFonts w:ascii="Times New Roman" w:hAnsi="Times New Roman"/>
          <w:color w:val="000000"/>
          <w:sz w:val="24"/>
          <w:szCs w:val="24"/>
          <w:shd w:val="clear" w:color="auto" w:fill="FFFFFF"/>
        </w:rPr>
        <w:t>[2013]</w:t>
      </w:r>
      <w:r w:rsidR="008D2C5F">
        <w:rPr>
          <w:rFonts w:ascii="Times New Roman" w:hAnsi="Times New Roman"/>
          <w:color w:val="000000"/>
          <w:sz w:val="24"/>
          <w:szCs w:val="24"/>
          <w:shd w:val="clear" w:color="auto" w:fill="FFFFFF"/>
        </w:rPr>
        <w:t>:</w:t>
      </w:r>
      <w:r w:rsidR="008D2C5F" w:rsidRPr="008D2C5F">
        <w:rPr>
          <w:rFonts w:ascii="Times New Roman" w:hAnsi="Times New Roman"/>
          <w:color w:val="000000"/>
          <w:sz w:val="24"/>
          <w:szCs w:val="24"/>
          <w:shd w:val="clear" w:color="auto" w:fill="FFFFFF"/>
        </w:rPr>
        <w:t xml:space="preserve"> 3759G [71]</w:t>
      </w:r>
      <w:r w:rsidR="008D2C5F">
        <w:rPr>
          <w:rFonts w:ascii="Times New Roman" w:hAnsi="Times New Roman"/>
          <w:color w:val="000000"/>
          <w:sz w:val="24"/>
          <w:szCs w:val="24"/>
          <w:shd w:val="clear" w:color="auto" w:fill="FFFFFF"/>
        </w:rPr>
        <w:t>)</w:t>
      </w:r>
    </w:p>
    <w:p w:rsidR="00624974" w:rsidRDefault="00624974" w:rsidP="00680EC7">
      <w:pPr>
        <w:pStyle w:val="Default"/>
        <w:spacing w:line="480" w:lineRule="auto"/>
        <w:rPr>
          <w:shd w:val="clear" w:color="auto" w:fill="FFFFFF"/>
        </w:rPr>
      </w:pPr>
      <w:r w:rsidRPr="00065C01">
        <w:t xml:space="preserve">Lord Toulson takes the answer to this question to be </w:t>
      </w:r>
      <w:r w:rsidR="008D2C5F">
        <w:t>“</w:t>
      </w:r>
      <w:r w:rsidRPr="00065C01">
        <w:t>yes</w:t>
      </w:r>
      <w:r w:rsidR="008D2C5F">
        <w:t>”</w:t>
      </w:r>
      <w:r w:rsidR="00137061" w:rsidRPr="00065C01">
        <w:t xml:space="preserve">. But </w:t>
      </w:r>
      <w:r w:rsidR="00622133">
        <w:t>this is wrong</w:t>
      </w:r>
      <w:r w:rsidR="00415ED6" w:rsidRPr="00065C01">
        <w:t xml:space="preserve">: </w:t>
      </w:r>
      <w:r w:rsidR="00622133">
        <w:t>two men</w:t>
      </w:r>
      <w:r w:rsidR="00415ED6" w:rsidRPr="00065C01">
        <w:t xml:space="preserve"> not </w:t>
      </w:r>
      <w:r w:rsidR="00622133">
        <w:t>of</w:t>
      </w:r>
      <w:r w:rsidR="00415ED6" w:rsidRPr="00065C01">
        <w:t xml:space="preserve"> homosexual orientation </w:t>
      </w:r>
      <w:r w:rsidR="00A26720" w:rsidRPr="00065C01">
        <w:t xml:space="preserve">like the backpackers discussed </w:t>
      </w:r>
      <w:r w:rsidR="00557A51">
        <w:t>above</w:t>
      </w:r>
      <w:r w:rsidR="001F2494">
        <w:t xml:space="preserve"> </w:t>
      </w:r>
      <w:r w:rsidR="001F2494" w:rsidRPr="001F2494">
        <w:t>would still have been denied a double room</w:t>
      </w:r>
      <w:r w:rsidR="00415ED6" w:rsidRPr="00065C01">
        <w:t xml:space="preserve">. It seems to me that a better </w:t>
      </w:r>
      <w:r w:rsidR="00C229FD">
        <w:t xml:space="preserve">way </w:t>
      </w:r>
      <w:r w:rsidR="007616D5" w:rsidRPr="00065C01">
        <w:t>for Lord Toulson to have a</w:t>
      </w:r>
      <w:r w:rsidR="00C229FD">
        <w:t>ppli</w:t>
      </w:r>
      <w:r w:rsidR="007616D5" w:rsidRPr="00065C01">
        <w:t>ed</w:t>
      </w:r>
      <w:r w:rsidR="00C229FD">
        <w:t xml:space="preserve"> the </w:t>
      </w:r>
      <w:r w:rsidR="008D2C5F">
        <w:t>“</w:t>
      </w:r>
      <w:r w:rsidR="00C229FD">
        <w:t>but for</w:t>
      </w:r>
      <w:r w:rsidR="008D2C5F">
        <w:t>”</w:t>
      </w:r>
      <w:r w:rsidR="00C229FD">
        <w:t xml:space="preserve"> test</w:t>
      </w:r>
      <w:r w:rsidR="007616D5" w:rsidRPr="00065C01">
        <w:t xml:space="preserve"> </w:t>
      </w:r>
      <w:r w:rsidR="00415ED6" w:rsidRPr="00065C01">
        <w:t>would have been</w:t>
      </w:r>
      <w:r w:rsidR="00C229FD">
        <w:t>:</w:t>
      </w:r>
      <w:r w:rsidR="00415ED6" w:rsidRPr="00065C01">
        <w:t xml:space="preserve"> </w:t>
      </w:r>
      <w:r w:rsidR="008D2C5F">
        <w:t>“</w:t>
      </w:r>
      <w:r w:rsidR="00415ED6" w:rsidRPr="00065C01">
        <w:rPr>
          <w:shd w:val="clear" w:color="auto" w:fill="FFFFFF"/>
        </w:rPr>
        <w:t>would the claimants have received the same treatment as an opposite-sex couple but for their being of the same sex?</w:t>
      </w:r>
      <w:r w:rsidR="008D2C5F">
        <w:rPr>
          <w:shd w:val="clear" w:color="auto" w:fill="FFFFFF"/>
        </w:rPr>
        <w:t>”</w:t>
      </w:r>
      <w:r w:rsidR="00415ED6" w:rsidRPr="00065C01">
        <w:rPr>
          <w:shd w:val="clear" w:color="auto" w:fill="FFFFFF"/>
        </w:rPr>
        <w:t>. It seems to me that the answ</w:t>
      </w:r>
      <w:r w:rsidR="00A37063">
        <w:rPr>
          <w:shd w:val="clear" w:color="auto" w:fill="FFFFFF"/>
        </w:rPr>
        <w:t xml:space="preserve">er to this question is clearly </w:t>
      </w:r>
      <w:r w:rsidR="008D2C5F">
        <w:rPr>
          <w:shd w:val="clear" w:color="auto" w:fill="FFFFFF"/>
        </w:rPr>
        <w:t>“</w:t>
      </w:r>
      <w:r w:rsidR="00415ED6" w:rsidRPr="00065C01">
        <w:rPr>
          <w:shd w:val="clear" w:color="auto" w:fill="FFFFFF"/>
        </w:rPr>
        <w:t>yes</w:t>
      </w:r>
      <w:r w:rsidR="008D2C5F">
        <w:rPr>
          <w:shd w:val="clear" w:color="auto" w:fill="FFFFFF"/>
        </w:rPr>
        <w:t>”</w:t>
      </w:r>
      <w:r w:rsidR="00415ED6" w:rsidRPr="00065C01">
        <w:rPr>
          <w:shd w:val="clear" w:color="auto" w:fill="FFFFFF"/>
        </w:rPr>
        <w:t xml:space="preserve">, since the relevant comparator to a couple in a civil partnership is established in </w:t>
      </w:r>
      <w:r w:rsidR="0010419D">
        <w:rPr>
          <w:shd w:val="clear" w:color="auto" w:fill="FFFFFF"/>
        </w:rPr>
        <w:t xml:space="preserve">section 3(4) of </w:t>
      </w:r>
      <w:r w:rsidR="00415ED6" w:rsidRPr="00065C01">
        <w:rPr>
          <w:shd w:val="clear" w:color="auto" w:fill="FFFFFF"/>
        </w:rPr>
        <w:t xml:space="preserve">the Sexual Orientation Regulations </w:t>
      </w:r>
      <w:r w:rsidR="00E719CF" w:rsidRPr="00065C01">
        <w:rPr>
          <w:shd w:val="clear" w:color="auto" w:fill="FFFFFF"/>
        </w:rPr>
        <w:t>2007</w:t>
      </w:r>
      <w:r w:rsidR="00415ED6" w:rsidRPr="00065C01">
        <w:rPr>
          <w:shd w:val="clear" w:color="auto" w:fill="FFFFFF"/>
        </w:rPr>
        <w:t xml:space="preserve"> to be a married couple.</w:t>
      </w:r>
      <w:r w:rsidR="007616D5" w:rsidRPr="00065C01">
        <w:rPr>
          <w:shd w:val="clear" w:color="auto" w:fill="FFFFFF"/>
        </w:rPr>
        <w:t xml:space="preserve"> </w:t>
      </w:r>
      <w:r w:rsidR="007616D5" w:rsidRPr="00065C01">
        <w:rPr>
          <w:shd w:val="clear" w:color="auto" w:fill="FFFFFF"/>
        </w:rPr>
        <w:lastRenderedPageBreak/>
        <w:t xml:space="preserve">But all this presupposes that the </w:t>
      </w:r>
      <w:r w:rsidR="0010419D">
        <w:rPr>
          <w:shd w:val="clear" w:color="auto" w:fill="FFFFFF"/>
        </w:rPr>
        <w:t>“</w:t>
      </w:r>
      <w:r w:rsidR="007616D5" w:rsidRPr="00065C01">
        <w:rPr>
          <w:shd w:val="clear" w:color="auto" w:fill="FFFFFF"/>
        </w:rPr>
        <w:t>but fo</w:t>
      </w:r>
      <w:r w:rsidR="00C919AE">
        <w:rPr>
          <w:shd w:val="clear" w:color="auto" w:fill="FFFFFF"/>
        </w:rPr>
        <w:t>r</w:t>
      </w:r>
      <w:r w:rsidR="0010419D">
        <w:rPr>
          <w:shd w:val="clear" w:color="auto" w:fill="FFFFFF"/>
        </w:rPr>
        <w:t>”</w:t>
      </w:r>
      <w:r w:rsidR="007616D5" w:rsidRPr="00065C01">
        <w:rPr>
          <w:shd w:val="clear" w:color="auto" w:fill="FFFFFF"/>
        </w:rPr>
        <w:t xml:space="preserve"> test is a good test, and I have already argued at length that it is not to be relied upon.</w:t>
      </w:r>
    </w:p>
    <w:p w:rsidR="00AB338C" w:rsidRDefault="00AB338C" w:rsidP="00B57048">
      <w:pPr>
        <w:pStyle w:val="Default"/>
        <w:spacing w:line="480" w:lineRule="auto"/>
        <w:rPr>
          <w:shd w:val="clear" w:color="auto" w:fill="FFFFFF"/>
        </w:rPr>
      </w:pPr>
    </w:p>
    <w:p w:rsidR="001B6A95" w:rsidRDefault="00474B36" w:rsidP="00B57048">
      <w:pPr>
        <w:pStyle w:val="Default"/>
        <w:spacing w:line="480" w:lineRule="auto"/>
      </w:pPr>
      <w:r w:rsidRPr="00065C01">
        <w:t>So</w:t>
      </w:r>
      <w:r w:rsidR="00B4027C">
        <w:t>,</w:t>
      </w:r>
      <w:r w:rsidR="006C176D" w:rsidRPr="00065C01">
        <w:t xml:space="preserve"> if the</w:t>
      </w:r>
      <w:r w:rsidR="00FA339A" w:rsidRPr="00065C01">
        <w:t xml:space="preserve"> </w:t>
      </w:r>
      <w:r w:rsidR="0010419D">
        <w:t>“</w:t>
      </w:r>
      <w:r w:rsidR="00FA339A" w:rsidRPr="00065C01">
        <w:t>but for</w:t>
      </w:r>
      <w:r w:rsidR="0010419D">
        <w:t>”</w:t>
      </w:r>
      <w:r w:rsidR="00FA339A" w:rsidRPr="00065C01">
        <w:t xml:space="preserve"> </w:t>
      </w:r>
      <w:r w:rsidR="006C176D" w:rsidRPr="00065C01">
        <w:t xml:space="preserve">test is not to be relied upon, how is one to decide </w:t>
      </w:r>
      <w:r w:rsidR="0030323A">
        <w:rPr>
          <w:iCs/>
        </w:rPr>
        <w:t>cases like this</w:t>
      </w:r>
      <w:r w:rsidR="006C176D" w:rsidRPr="00065C01">
        <w:t>?</w:t>
      </w:r>
      <w:r w:rsidR="007616D5" w:rsidRPr="00065C01">
        <w:t xml:space="preserve"> Whil</w:t>
      </w:r>
      <w:r w:rsidR="00D06DE8">
        <w:t xml:space="preserve">e it seems clear </w:t>
      </w:r>
      <w:r w:rsidR="00AF1C45">
        <w:t>from the foregoing</w:t>
      </w:r>
      <w:r w:rsidR="00D06DE8">
        <w:t xml:space="preserve"> that </w:t>
      </w:r>
      <w:r w:rsidR="007616D5" w:rsidRPr="00065C01">
        <w:t xml:space="preserve">sexual orientation </w:t>
      </w:r>
      <w:r w:rsidR="00445812" w:rsidRPr="00065C01">
        <w:t>was</w:t>
      </w:r>
      <w:r w:rsidR="007616D5" w:rsidRPr="00065C01">
        <w:t xml:space="preserve"> not </w:t>
      </w:r>
      <w:r w:rsidR="00445812" w:rsidRPr="00065C01">
        <w:t xml:space="preserve">a ground of </w:t>
      </w:r>
      <w:r w:rsidR="007616D5" w:rsidRPr="00065C01">
        <w:t xml:space="preserve">the Bulls’ </w:t>
      </w:r>
      <w:r w:rsidR="00445812" w:rsidRPr="00065C01">
        <w:t xml:space="preserve">less favourable treatment of Hall and </w:t>
      </w:r>
      <w:proofErr w:type="spellStart"/>
      <w:r w:rsidR="00445812" w:rsidRPr="00065C01">
        <w:t>Preddy</w:t>
      </w:r>
      <w:proofErr w:type="spellEnd"/>
      <w:r w:rsidR="007616D5" w:rsidRPr="00065C01">
        <w:t>, t</w:t>
      </w:r>
      <w:r w:rsidR="002F1C2F" w:rsidRPr="00065C01">
        <w:t xml:space="preserve">he </w:t>
      </w:r>
      <w:r w:rsidR="00FE1E5E" w:rsidRPr="00065C01">
        <w:t>curious</w:t>
      </w:r>
      <w:r w:rsidR="002F1C2F" w:rsidRPr="00065C01">
        <w:t xml:space="preserve"> thing</w:t>
      </w:r>
      <w:r w:rsidR="00FE1E5E" w:rsidRPr="00065C01">
        <w:t xml:space="preserve"> is that it looks as though</w:t>
      </w:r>
      <w:r w:rsidR="00FA339A" w:rsidRPr="00065C01">
        <w:t xml:space="preserve"> </w:t>
      </w:r>
      <w:r w:rsidR="00FE1E5E" w:rsidRPr="00065C01">
        <w:t xml:space="preserve">the </w:t>
      </w:r>
      <w:r w:rsidR="006C176D" w:rsidRPr="00065C01">
        <w:t xml:space="preserve">very words of the </w:t>
      </w:r>
      <w:r w:rsidR="00FE1E5E" w:rsidRPr="00065C01">
        <w:t>Bulls’ actual criterion</w:t>
      </w:r>
      <w:r w:rsidR="002F1C2F" w:rsidRPr="00065C01">
        <w:t xml:space="preserve"> </w:t>
      </w:r>
      <w:r w:rsidR="00FA339A" w:rsidRPr="00065C01">
        <w:t>show that the Bulls</w:t>
      </w:r>
      <w:r w:rsidR="00445812" w:rsidRPr="00065C01">
        <w:t>, in applying it,</w:t>
      </w:r>
      <w:r w:rsidR="00FE1E5E" w:rsidRPr="00065C01">
        <w:t xml:space="preserve"> </w:t>
      </w:r>
      <w:r w:rsidR="00FA339A" w:rsidRPr="00065C01">
        <w:t xml:space="preserve">directly discriminated against Hall and </w:t>
      </w:r>
      <w:proofErr w:type="spellStart"/>
      <w:r w:rsidR="00FA339A" w:rsidRPr="00065C01">
        <w:t>Preddy</w:t>
      </w:r>
      <w:proofErr w:type="spellEnd"/>
      <w:r w:rsidR="00FA339A" w:rsidRPr="00065C01">
        <w:t xml:space="preserve"> </w:t>
      </w:r>
      <w:r w:rsidR="00776D6D">
        <w:t xml:space="preserve">because of, or </w:t>
      </w:r>
      <w:r w:rsidR="00FE1E5E" w:rsidRPr="00065C01">
        <w:t>on ground</w:t>
      </w:r>
      <w:r w:rsidR="00A546E8">
        <w:t>s</w:t>
      </w:r>
      <w:r w:rsidR="00FE1E5E" w:rsidRPr="00065C01">
        <w:t xml:space="preserve"> of</w:t>
      </w:r>
      <w:r w:rsidR="00776D6D">
        <w:t>,</w:t>
      </w:r>
      <w:r w:rsidR="00FE1E5E" w:rsidRPr="00065C01">
        <w:t xml:space="preserve"> </w:t>
      </w:r>
      <w:r w:rsidR="00FE1E5E" w:rsidRPr="00065C01">
        <w:rPr>
          <w:i/>
        </w:rPr>
        <w:t>sex</w:t>
      </w:r>
      <w:r w:rsidR="002F1C2F" w:rsidRPr="00065C01">
        <w:t xml:space="preserve">, not </w:t>
      </w:r>
      <w:r w:rsidR="003B2841" w:rsidRPr="00065C01">
        <w:t xml:space="preserve">on </w:t>
      </w:r>
      <w:r w:rsidR="002F1C2F" w:rsidRPr="00065C01">
        <w:t>ground</w:t>
      </w:r>
      <w:r w:rsidR="00A546E8">
        <w:t>s</w:t>
      </w:r>
      <w:r w:rsidR="002F1C2F" w:rsidRPr="00065C01">
        <w:t xml:space="preserve"> of </w:t>
      </w:r>
      <w:r w:rsidR="002F1C2F" w:rsidRPr="00065C01">
        <w:rPr>
          <w:i/>
        </w:rPr>
        <w:t>sexual orientation</w:t>
      </w:r>
      <w:r w:rsidR="007616D5" w:rsidRPr="00065C01">
        <w:t>.</w:t>
      </w:r>
      <w:r w:rsidR="000F677A">
        <w:rPr>
          <w:rStyle w:val="FootnoteReference"/>
        </w:rPr>
        <w:footnoteReference w:id="9"/>
      </w:r>
      <w:r w:rsidR="007616D5" w:rsidRPr="00065C01">
        <w:t xml:space="preserve"> T</w:t>
      </w:r>
      <w:r w:rsidR="00FE1E5E" w:rsidRPr="00065C01">
        <w:t xml:space="preserve">he criterion does not say just </w:t>
      </w:r>
      <w:r w:rsidR="0093793B">
        <w:t>“</w:t>
      </w:r>
      <w:r w:rsidR="00FE1E5E" w:rsidRPr="00065C01">
        <w:t>married couples only</w:t>
      </w:r>
      <w:r w:rsidR="0093793B">
        <w:t>”</w:t>
      </w:r>
      <w:r w:rsidR="00FE1E5E" w:rsidRPr="00065C01">
        <w:t xml:space="preserve"> but </w:t>
      </w:r>
      <w:r w:rsidR="0093793B">
        <w:rPr>
          <w:rFonts w:eastAsia="Helvetica"/>
        </w:rPr>
        <w:t>“</w:t>
      </w:r>
      <w:r w:rsidR="00FE1E5E" w:rsidRPr="00065C01">
        <w:rPr>
          <w:rFonts w:eastAsia="Helvetica"/>
        </w:rPr>
        <w:t>heterosexual married couples only</w:t>
      </w:r>
      <w:r w:rsidR="0093793B">
        <w:rPr>
          <w:rFonts w:eastAsia="Helvetica"/>
        </w:rPr>
        <w:t>”</w:t>
      </w:r>
      <w:r w:rsidR="00F675F3">
        <w:rPr>
          <w:rFonts w:eastAsia="Helvetica"/>
        </w:rPr>
        <w:t>;</w:t>
      </w:r>
      <w:r w:rsidR="00FE1E5E" w:rsidRPr="00065C01">
        <w:t xml:space="preserve"> the addition of the word </w:t>
      </w:r>
      <w:r w:rsidR="0093793B">
        <w:t>“</w:t>
      </w:r>
      <w:r w:rsidR="00720A8C" w:rsidRPr="00065C01">
        <w:t>heterosexual</w:t>
      </w:r>
      <w:r w:rsidR="0093793B">
        <w:t>”</w:t>
      </w:r>
      <w:r w:rsidR="00FE1E5E" w:rsidRPr="00065C01">
        <w:t xml:space="preserve"> to </w:t>
      </w:r>
      <w:r w:rsidR="0093793B">
        <w:t>“</w:t>
      </w:r>
      <w:r w:rsidR="00720A8C" w:rsidRPr="00065C01">
        <w:t>married couples</w:t>
      </w:r>
      <w:r w:rsidR="0093793B">
        <w:t>”</w:t>
      </w:r>
      <w:r w:rsidR="00720A8C" w:rsidRPr="00065C01">
        <w:t xml:space="preserve"> to produce</w:t>
      </w:r>
      <w:r w:rsidR="00FE1E5E" w:rsidRPr="00065C01">
        <w:t xml:space="preserve"> the actual criterion the</w:t>
      </w:r>
      <w:r w:rsidR="00720A8C" w:rsidRPr="00065C01">
        <w:t xml:space="preserve"> Bulls</w:t>
      </w:r>
      <w:r w:rsidR="00FE1E5E" w:rsidRPr="00065C01">
        <w:t xml:space="preserve"> used seems to me significant</w:t>
      </w:r>
      <w:r w:rsidR="006C176D" w:rsidRPr="00065C01">
        <w:t>.</w:t>
      </w:r>
      <w:r w:rsidR="00FE1E5E" w:rsidRPr="00065C01">
        <w:t xml:space="preserve"> </w:t>
      </w:r>
      <w:r w:rsidR="001B6A95" w:rsidRPr="00065C01">
        <w:t>As stated</w:t>
      </w:r>
      <w:r w:rsidR="00557A51">
        <w:t xml:space="preserve"> above</w:t>
      </w:r>
      <w:r w:rsidR="001B6A95" w:rsidRPr="00065C01">
        <w:t>, the Bulls did not use</w:t>
      </w:r>
      <w:r w:rsidR="00FE1E5E" w:rsidRPr="00065C01">
        <w:t xml:space="preserve"> </w:t>
      </w:r>
      <w:r w:rsidR="0093793B">
        <w:t>“</w:t>
      </w:r>
      <w:r w:rsidR="00720A8C" w:rsidRPr="00065C01">
        <w:t>heterosexual married couples</w:t>
      </w:r>
      <w:r w:rsidR="0093793B">
        <w:t>”</w:t>
      </w:r>
      <w:r w:rsidR="001B6A95" w:rsidRPr="00065C01">
        <w:t xml:space="preserve"> to mean</w:t>
      </w:r>
      <w:r w:rsidR="00720A8C" w:rsidRPr="00065C01">
        <w:t xml:space="preserve"> </w:t>
      </w:r>
      <w:r w:rsidR="0093793B">
        <w:t>“</w:t>
      </w:r>
      <w:r w:rsidR="0005373D">
        <w:t>people</w:t>
      </w:r>
      <w:r w:rsidR="00FE1E5E" w:rsidRPr="00065C01">
        <w:t xml:space="preserve"> of heterosexual orientation married to each other</w:t>
      </w:r>
      <w:r w:rsidR="0093793B">
        <w:t>”</w:t>
      </w:r>
      <w:r w:rsidR="00B12163">
        <w:t>.</w:t>
      </w:r>
      <w:r w:rsidR="00910D43">
        <w:rPr>
          <w:rStyle w:val="FootnoteReference"/>
        </w:rPr>
        <w:footnoteReference w:id="10"/>
      </w:r>
      <w:r w:rsidR="00FE1E5E" w:rsidRPr="00065C01">
        <w:t xml:space="preserve"> </w:t>
      </w:r>
      <w:r w:rsidR="001B6A95" w:rsidRPr="00065C01">
        <w:t>They used it to mean</w:t>
      </w:r>
      <w:r w:rsidR="00FE1E5E" w:rsidRPr="00065C01">
        <w:t xml:space="preserve"> simply </w:t>
      </w:r>
      <w:r w:rsidR="0093793B">
        <w:t>“</w:t>
      </w:r>
      <w:r w:rsidR="00FE1E5E" w:rsidRPr="00065C01">
        <w:t>different-sex married couples</w:t>
      </w:r>
      <w:r w:rsidR="0093793B">
        <w:t>”</w:t>
      </w:r>
      <w:r w:rsidR="00FE1E5E" w:rsidRPr="00065C01">
        <w:t xml:space="preserve">. </w:t>
      </w:r>
      <w:r w:rsidR="001B6A95" w:rsidRPr="00065C01">
        <w:t>N</w:t>
      </w:r>
      <w:r w:rsidR="00FE1E5E" w:rsidRPr="00065C01">
        <w:t xml:space="preserve">ow the discrimination is plain to </w:t>
      </w:r>
      <w:proofErr w:type="gramStart"/>
      <w:r w:rsidR="00FE1E5E" w:rsidRPr="00065C01">
        <w:t>see:</w:t>
      </w:r>
      <w:proofErr w:type="gramEnd"/>
      <w:r w:rsidR="00FE1E5E" w:rsidRPr="00065C01">
        <w:t xml:space="preserve"> it is </w:t>
      </w:r>
      <w:r w:rsidR="009D7E1B" w:rsidRPr="00065C01">
        <w:t xml:space="preserve">direct </w:t>
      </w:r>
      <w:r w:rsidR="00FE1E5E" w:rsidRPr="00065C01">
        <w:t xml:space="preserve">discrimination </w:t>
      </w:r>
      <w:r w:rsidR="00776D6D">
        <w:t>because</w:t>
      </w:r>
      <w:r w:rsidR="00FE1E5E" w:rsidRPr="00065C01">
        <w:t xml:space="preserve"> of sex</w:t>
      </w:r>
      <w:r w:rsidR="00776D6D">
        <w:t>, to use the phrase of the Equality Act 2010</w:t>
      </w:r>
      <w:r w:rsidR="00FE1E5E" w:rsidRPr="00065C01">
        <w:t xml:space="preserve">. The Bulls are saying that they will </w:t>
      </w:r>
      <w:r w:rsidR="00842A5E">
        <w:t>refuse</w:t>
      </w:r>
      <w:r w:rsidR="00FE1E5E" w:rsidRPr="00065C01">
        <w:t xml:space="preserve"> double rooms </w:t>
      </w:r>
      <w:r w:rsidR="00842A5E">
        <w:t xml:space="preserve">to </w:t>
      </w:r>
      <w:r w:rsidR="00FE1E5E" w:rsidRPr="00065C01">
        <w:t>any couples of the same sex</w:t>
      </w:r>
      <w:r w:rsidR="00021A03">
        <w:t xml:space="preserve"> (as well as some, unmarried, couples of different sexes)</w:t>
      </w:r>
      <w:r w:rsidR="00FE1E5E" w:rsidRPr="00065C01">
        <w:t>.</w:t>
      </w:r>
      <w:r w:rsidR="001B6A95" w:rsidRPr="00065C01">
        <w:t xml:space="preserve"> </w:t>
      </w:r>
      <w:r w:rsidR="0071224E">
        <w:t>In other words</w:t>
      </w:r>
      <w:r w:rsidR="001B6A95" w:rsidRPr="00065C01">
        <w:t>,</w:t>
      </w:r>
      <w:r w:rsidR="005505EE">
        <w:t xml:space="preserve"> while they w</w:t>
      </w:r>
      <w:r w:rsidR="0057547E">
        <w:t>ill</w:t>
      </w:r>
      <w:r w:rsidR="005505EE">
        <w:t xml:space="preserve"> let</w:t>
      </w:r>
      <w:r w:rsidR="0071224E">
        <w:t xml:space="preserve"> </w:t>
      </w:r>
      <w:proofErr w:type="spellStart"/>
      <w:r w:rsidR="0071224E">
        <w:t>Preddy</w:t>
      </w:r>
      <w:proofErr w:type="spellEnd"/>
      <w:r w:rsidR="0071224E">
        <w:t xml:space="preserve"> have a double room to himself</w:t>
      </w:r>
      <w:r w:rsidR="0057547E">
        <w:t>,</w:t>
      </w:r>
      <w:r w:rsidR="005505EE">
        <w:t xml:space="preserve"> </w:t>
      </w:r>
      <w:r w:rsidR="0057547E">
        <w:t xml:space="preserve">they will not </w:t>
      </w:r>
      <w:r w:rsidR="00A8227C">
        <w:t xml:space="preserve">allow </w:t>
      </w:r>
      <w:r w:rsidR="0057547E">
        <w:t xml:space="preserve">another man, whatever his relationship to </w:t>
      </w:r>
      <w:proofErr w:type="spellStart"/>
      <w:r w:rsidR="0057547E">
        <w:t>Preddy</w:t>
      </w:r>
      <w:proofErr w:type="spellEnd"/>
      <w:r w:rsidR="0057547E">
        <w:t xml:space="preserve">, </w:t>
      </w:r>
      <w:r w:rsidR="00A8227C" w:rsidRPr="00A8227C">
        <w:t>to stay in the room with him</w:t>
      </w:r>
      <w:r w:rsidR="00A8227C">
        <w:t>,</w:t>
      </w:r>
      <w:r w:rsidR="00A8227C" w:rsidRPr="00A8227C">
        <w:t xml:space="preserve"> </w:t>
      </w:r>
      <w:r w:rsidR="0005373D">
        <w:t xml:space="preserve">and that because </w:t>
      </w:r>
      <w:r w:rsidR="00D150DC">
        <w:t xml:space="preserve">of </w:t>
      </w:r>
      <w:r w:rsidR="0005373D">
        <w:t>h</w:t>
      </w:r>
      <w:r w:rsidR="00D150DC">
        <w:t xml:space="preserve">is </w:t>
      </w:r>
      <w:r w:rsidR="00D150DC">
        <w:lastRenderedPageBreak/>
        <w:t xml:space="preserve">being the same sex as </w:t>
      </w:r>
      <w:proofErr w:type="spellStart"/>
      <w:r w:rsidR="00D150DC">
        <w:t>Preddy</w:t>
      </w:r>
      <w:proofErr w:type="spellEnd"/>
      <w:r w:rsidR="00D150DC">
        <w:t>.</w:t>
      </w:r>
      <w:r w:rsidR="0005373D">
        <w:t xml:space="preserve"> </w:t>
      </w:r>
      <w:r w:rsidR="00FE1E5E" w:rsidRPr="00065C01">
        <w:t xml:space="preserve">And that is direct discrimination </w:t>
      </w:r>
      <w:r w:rsidR="00D06DE8">
        <w:t>because</w:t>
      </w:r>
      <w:r w:rsidR="00FE1E5E" w:rsidRPr="00065C01">
        <w:t xml:space="preserve"> of sex, just as </w:t>
      </w:r>
      <w:r w:rsidR="00C33984">
        <w:t>refusing</w:t>
      </w:r>
      <w:r w:rsidR="00FE1E5E" w:rsidRPr="00065C01">
        <w:t xml:space="preserve"> </w:t>
      </w:r>
      <w:r w:rsidR="003B5966">
        <w:t xml:space="preserve">to </w:t>
      </w:r>
      <w:r w:rsidR="00A8227C">
        <w:t xml:space="preserve">allow </w:t>
      </w:r>
      <w:r w:rsidR="003B5966">
        <w:t xml:space="preserve">someone else of the same race </w:t>
      </w:r>
      <w:r w:rsidR="00A8227C">
        <w:t>to stay in</w:t>
      </w:r>
      <w:r w:rsidR="00A8227C" w:rsidRPr="00A8227C">
        <w:t xml:space="preserve"> the room with him</w:t>
      </w:r>
      <w:r w:rsidR="00840982">
        <w:t xml:space="preserve"> for that reason</w:t>
      </w:r>
      <w:r w:rsidR="00A8227C" w:rsidRPr="00A8227C">
        <w:t xml:space="preserve"> </w:t>
      </w:r>
      <w:r w:rsidR="003B5966">
        <w:t>would be direct discrimination because of race</w:t>
      </w:r>
      <w:r w:rsidR="00FE1E5E" w:rsidRPr="00065C01">
        <w:t>. O</w:t>
      </w:r>
      <w:r w:rsidR="00D41078" w:rsidRPr="00065C01">
        <w:t>r,</w:t>
      </w:r>
      <w:r w:rsidR="00FE1E5E" w:rsidRPr="00065C01">
        <w:t xml:space="preserve"> to give an example of more historical plausibility</w:t>
      </w:r>
      <w:r w:rsidR="00D41078" w:rsidRPr="00065C01">
        <w:t>,</w:t>
      </w:r>
      <w:r w:rsidR="00FE1E5E" w:rsidRPr="00065C01">
        <w:t xml:space="preserve"> </w:t>
      </w:r>
      <w:r w:rsidR="00C33984">
        <w:t xml:space="preserve">just as </w:t>
      </w:r>
      <w:r w:rsidR="00C33984" w:rsidRPr="00C33984">
        <w:t>refusing to allow someone else of</w:t>
      </w:r>
      <w:r w:rsidR="003B5966">
        <w:t xml:space="preserve"> a different race</w:t>
      </w:r>
      <w:r w:rsidR="00C33984">
        <w:t xml:space="preserve"> </w:t>
      </w:r>
      <w:r w:rsidR="00C33984" w:rsidRPr="00C33984">
        <w:t xml:space="preserve">to </w:t>
      </w:r>
      <w:r w:rsidR="00C33984">
        <w:t>stay</w:t>
      </w:r>
      <w:r w:rsidR="00C33984" w:rsidRPr="00C33984">
        <w:t xml:space="preserve"> in the room with him</w:t>
      </w:r>
      <w:r w:rsidR="003B5966">
        <w:t xml:space="preserve"> </w:t>
      </w:r>
      <w:r w:rsidR="00840982" w:rsidRPr="00840982">
        <w:t xml:space="preserve">for that reason </w:t>
      </w:r>
      <w:r w:rsidR="003B5966">
        <w:t>would be direct discrimination because of race</w:t>
      </w:r>
      <w:r w:rsidR="00FE1E5E" w:rsidRPr="00065C01">
        <w:t xml:space="preserve">. </w:t>
      </w:r>
      <w:r w:rsidR="003B5966">
        <w:t>I</w:t>
      </w:r>
      <w:r w:rsidR="00FE1E5E" w:rsidRPr="00065C01">
        <w:t xml:space="preserve">t would be no answer </w:t>
      </w:r>
      <w:r w:rsidR="001B6A95" w:rsidRPr="00065C01">
        <w:t>to say that th</w:t>
      </w:r>
      <w:r w:rsidR="0023431B">
        <w:t>is</w:t>
      </w:r>
      <w:r w:rsidR="001B6A95" w:rsidRPr="00065C01">
        <w:t xml:space="preserve"> criterion hit</w:t>
      </w:r>
      <w:r w:rsidR="00FE1E5E" w:rsidRPr="00065C01">
        <w:t xml:space="preserve"> all races equally hard</w:t>
      </w:r>
      <w:r w:rsidR="001B6A95" w:rsidRPr="00065C01">
        <w:t>,</w:t>
      </w:r>
      <w:r w:rsidR="00FE1E5E" w:rsidRPr="00065C01">
        <w:t xml:space="preserve"> that whites were equally prevented from </w:t>
      </w:r>
      <w:r w:rsidR="00973578">
        <w:t>s</w:t>
      </w:r>
      <w:r w:rsidR="00842A5E">
        <w:t>har</w:t>
      </w:r>
      <w:r w:rsidR="00FE1E5E" w:rsidRPr="00065C01">
        <w:t xml:space="preserve">ing </w:t>
      </w:r>
      <w:r w:rsidR="00973578">
        <w:t xml:space="preserve">with </w:t>
      </w:r>
      <w:r w:rsidR="00FE1E5E" w:rsidRPr="00065C01">
        <w:t>blacks as the corollary of blacks</w:t>
      </w:r>
      <w:r w:rsidR="001B6A95" w:rsidRPr="00065C01">
        <w:t>’</w:t>
      </w:r>
      <w:r w:rsidR="00FE1E5E" w:rsidRPr="00065C01">
        <w:t xml:space="preserve"> being prevented from </w:t>
      </w:r>
      <w:r w:rsidR="00973578">
        <w:t>s</w:t>
      </w:r>
      <w:r w:rsidR="00842A5E">
        <w:t>har</w:t>
      </w:r>
      <w:r w:rsidR="00FE1E5E" w:rsidRPr="00065C01">
        <w:t xml:space="preserve">ing </w:t>
      </w:r>
      <w:r w:rsidR="00973578">
        <w:t xml:space="preserve">with </w:t>
      </w:r>
      <w:r w:rsidR="00FE1E5E" w:rsidRPr="00065C01">
        <w:t>whites.</w:t>
      </w:r>
      <w:r w:rsidR="00FE1E5E" w:rsidRPr="00065C01">
        <w:rPr>
          <w:rStyle w:val="FootnoteReference"/>
        </w:rPr>
        <w:footnoteReference w:id="11"/>
      </w:r>
      <w:r w:rsidR="00FE1E5E" w:rsidRPr="00065C01">
        <w:t xml:space="preserve"> And it follows by pa</w:t>
      </w:r>
      <w:r w:rsidR="00720A8C" w:rsidRPr="00065C01">
        <w:t>rity of reasoning that it is no</w:t>
      </w:r>
      <w:r w:rsidR="00FE1E5E" w:rsidRPr="00065C01">
        <w:t xml:space="preserve"> answer to a charge of discrimination </w:t>
      </w:r>
      <w:r w:rsidR="00D06DE8">
        <w:t>because</w:t>
      </w:r>
      <w:r w:rsidR="00FE1E5E" w:rsidRPr="00065C01">
        <w:t xml:space="preserve"> of sex to say that,</w:t>
      </w:r>
      <w:r w:rsidR="00D41078" w:rsidRPr="00065C01">
        <w:t xml:space="preserve"> since</w:t>
      </w:r>
      <w:r w:rsidR="00FE1E5E" w:rsidRPr="00065C01">
        <w:t xml:space="preserve"> men</w:t>
      </w:r>
      <w:r w:rsidR="00D41078" w:rsidRPr="00065C01">
        <w:t xml:space="preserve"> are</w:t>
      </w:r>
      <w:r w:rsidR="006E5A0F" w:rsidRPr="00065C01">
        <w:t xml:space="preserve"> </w:t>
      </w:r>
      <w:r w:rsidR="00FE1E5E" w:rsidRPr="00065C01">
        <w:t xml:space="preserve">prevented from </w:t>
      </w:r>
      <w:r w:rsidR="00842A5E">
        <w:t>shar</w:t>
      </w:r>
      <w:r w:rsidR="00FE1E5E" w:rsidRPr="00065C01">
        <w:t>ing</w:t>
      </w:r>
      <w:r w:rsidR="00842A5E">
        <w:t xml:space="preserve"> with</w:t>
      </w:r>
      <w:r w:rsidR="00FE1E5E" w:rsidRPr="00065C01">
        <w:t xml:space="preserve"> other men and women</w:t>
      </w:r>
      <w:r w:rsidR="00D41078" w:rsidRPr="00065C01">
        <w:t xml:space="preserve"> are</w:t>
      </w:r>
      <w:r w:rsidR="00FE1E5E" w:rsidRPr="00065C01">
        <w:t xml:space="preserve"> prevented from </w:t>
      </w:r>
      <w:r w:rsidR="00842A5E">
        <w:t>shar</w:t>
      </w:r>
      <w:r w:rsidR="00FE1E5E" w:rsidRPr="00065C01">
        <w:t>ing</w:t>
      </w:r>
      <w:r w:rsidR="00842A5E">
        <w:t xml:space="preserve"> with</w:t>
      </w:r>
      <w:r w:rsidR="00FE1E5E" w:rsidRPr="00065C01">
        <w:t xml:space="preserve"> other women</w:t>
      </w:r>
      <w:r w:rsidR="00D8547C">
        <w:t xml:space="preserve">, </w:t>
      </w:r>
      <w:r w:rsidR="00D8547C" w:rsidRPr="00D8547C">
        <w:t>the criterion that only different-sex couples may share a double room hits both sexes equally hard</w:t>
      </w:r>
      <w:r w:rsidR="00FE1E5E" w:rsidRPr="00065C01">
        <w:t>.</w:t>
      </w:r>
    </w:p>
    <w:p w:rsidR="00B12163" w:rsidRDefault="00B12163" w:rsidP="00B57048">
      <w:pPr>
        <w:pStyle w:val="Default"/>
        <w:spacing w:line="480" w:lineRule="auto"/>
      </w:pPr>
    </w:p>
    <w:p w:rsidR="005225E3" w:rsidRPr="005225E3" w:rsidRDefault="00A21FAC" w:rsidP="005225E3">
      <w:pPr>
        <w:pStyle w:val="Default"/>
        <w:spacing w:line="480" w:lineRule="auto"/>
        <w:jc w:val="center"/>
      </w:pPr>
      <w:r>
        <w:t xml:space="preserve">V. </w:t>
      </w:r>
      <w:r w:rsidR="005225E3" w:rsidRPr="005225E3">
        <w:t>CONFIRMING PRECEDENTS</w:t>
      </w:r>
    </w:p>
    <w:p w:rsidR="005225E3" w:rsidRPr="005225E3" w:rsidRDefault="005225E3" w:rsidP="005225E3">
      <w:pPr>
        <w:spacing w:before="120" w:after="120" w:line="480" w:lineRule="auto"/>
        <w:rPr>
          <w:rFonts w:ascii="Times New Roman" w:hAnsi="Times New Roman"/>
          <w:sz w:val="24"/>
          <w:szCs w:val="24"/>
        </w:rPr>
      </w:pPr>
    </w:p>
    <w:p w:rsidR="005225E3" w:rsidRPr="005225E3" w:rsidRDefault="005225E3" w:rsidP="005225E3">
      <w:pPr>
        <w:spacing w:before="120" w:after="120" w:line="480" w:lineRule="auto"/>
        <w:rPr>
          <w:rFonts w:ascii="Times New Roman" w:hAnsi="Times New Roman"/>
          <w:sz w:val="24"/>
          <w:szCs w:val="24"/>
        </w:rPr>
      </w:pPr>
      <w:r w:rsidRPr="005225E3">
        <w:rPr>
          <w:rFonts w:ascii="Times New Roman" w:hAnsi="Times New Roman"/>
          <w:sz w:val="24"/>
          <w:szCs w:val="24"/>
        </w:rPr>
        <w:t xml:space="preserve">The reader may wonder whether there be any precedent in the UK for finding direct discrimination </w:t>
      </w:r>
      <w:r w:rsidR="00AE1219">
        <w:rPr>
          <w:rFonts w:ascii="Times New Roman" w:hAnsi="Times New Roman"/>
          <w:sz w:val="24"/>
          <w:szCs w:val="24"/>
        </w:rPr>
        <w:t>because</w:t>
      </w:r>
      <w:r w:rsidRPr="005225E3">
        <w:rPr>
          <w:rFonts w:ascii="Times New Roman" w:hAnsi="Times New Roman"/>
          <w:sz w:val="24"/>
          <w:szCs w:val="24"/>
        </w:rPr>
        <w:t xml:space="preserve"> of sex along these lines. In </w:t>
      </w:r>
      <w:r w:rsidRPr="005225E3">
        <w:rPr>
          <w:rFonts w:ascii="Times New Roman" w:hAnsi="Times New Roman"/>
          <w:i/>
          <w:sz w:val="24"/>
          <w:szCs w:val="24"/>
        </w:rPr>
        <w:t xml:space="preserve">Grieg v Community Industry </w:t>
      </w:r>
      <w:r w:rsidR="00CA24FD">
        <w:rPr>
          <w:rFonts w:ascii="Times New Roman" w:hAnsi="Times New Roman"/>
          <w:iCs/>
          <w:sz w:val="24"/>
          <w:szCs w:val="24"/>
        </w:rPr>
        <w:t>[</w:t>
      </w:r>
      <w:r w:rsidRPr="005225E3">
        <w:rPr>
          <w:rFonts w:ascii="Times New Roman" w:hAnsi="Times New Roman"/>
          <w:sz w:val="24"/>
          <w:szCs w:val="24"/>
        </w:rPr>
        <w:t>1979</w:t>
      </w:r>
      <w:r w:rsidR="00CA24FD">
        <w:rPr>
          <w:rFonts w:ascii="Times New Roman" w:hAnsi="Times New Roman"/>
          <w:sz w:val="24"/>
          <w:szCs w:val="24"/>
        </w:rPr>
        <w:t>]</w:t>
      </w:r>
      <w:r w:rsidRPr="005225E3">
        <w:rPr>
          <w:rFonts w:ascii="Times New Roman" w:hAnsi="Times New Roman"/>
          <w:sz w:val="24"/>
          <w:szCs w:val="24"/>
        </w:rPr>
        <w:t xml:space="preserve"> Ann Grieg was refused team employment with Community Industry on the grounds that “there would only have been one girl member of the team [which would have] created an imbalance in the composition of the team which was wholly unacceptable” (</w:t>
      </w:r>
      <w:r w:rsidRPr="005225E3">
        <w:rPr>
          <w:rFonts w:ascii="Times New Roman" w:hAnsi="Times New Roman"/>
          <w:i/>
          <w:sz w:val="24"/>
          <w:szCs w:val="24"/>
        </w:rPr>
        <w:t>Grieg</w:t>
      </w:r>
      <w:r w:rsidR="0041215B">
        <w:rPr>
          <w:rFonts w:ascii="Times New Roman" w:hAnsi="Times New Roman"/>
          <w:i/>
          <w:sz w:val="24"/>
          <w:szCs w:val="24"/>
        </w:rPr>
        <w:t xml:space="preserve"> </w:t>
      </w:r>
      <w:r w:rsidR="0041215B" w:rsidRPr="0041215B">
        <w:rPr>
          <w:rFonts w:ascii="Times New Roman" w:hAnsi="Times New Roman"/>
          <w:i/>
          <w:sz w:val="24"/>
          <w:szCs w:val="24"/>
        </w:rPr>
        <w:t>v Community Industry</w:t>
      </w:r>
      <w:r w:rsidRPr="005225E3">
        <w:rPr>
          <w:rFonts w:ascii="Times New Roman" w:hAnsi="Times New Roman"/>
          <w:sz w:val="24"/>
          <w:szCs w:val="24"/>
        </w:rPr>
        <w:t xml:space="preserve"> </w:t>
      </w:r>
      <w:r w:rsidR="00CA24FD">
        <w:rPr>
          <w:rFonts w:ascii="Times New Roman" w:hAnsi="Times New Roman"/>
          <w:sz w:val="24"/>
          <w:szCs w:val="24"/>
        </w:rPr>
        <w:t>[</w:t>
      </w:r>
      <w:r w:rsidRPr="005225E3">
        <w:rPr>
          <w:rFonts w:ascii="Times New Roman" w:hAnsi="Times New Roman"/>
          <w:sz w:val="24"/>
          <w:szCs w:val="24"/>
        </w:rPr>
        <w:t>1979</w:t>
      </w:r>
      <w:r w:rsidR="00CA24FD">
        <w:rPr>
          <w:rFonts w:ascii="Times New Roman" w:hAnsi="Times New Roman"/>
          <w:sz w:val="24"/>
          <w:szCs w:val="24"/>
        </w:rPr>
        <w:t>]</w:t>
      </w:r>
      <w:r w:rsidRPr="005225E3">
        <w:rPr>
          <w:rFonts w:ascii="Times New Roman" w:hAnsi="Times New Roman"/>
          <w:sz w:val="24"/>
          <w:szCs w:val="24"/>
        </w:rPr>
        <w:t xml:space="preserve">: 358E). Counsel for Community Industry argued that there was no direct </w:t>
      </w:r>
      <w:r w:rsidRPr="005225E3">
        <w:rPr>
          <w:rFonts w:ascii="Times New Roman" w:hAnsi="Times New Roman"/>
          <w:sz w:val="24"/>
          <w:szCs w:val="24"/>
        </w:rPr>
        <w:lastRenderedPageBreak/>
        <w:t>discrimination on grounds of sex because Community Industry would have turned down one man applying for a vacancy in an otherwise all-female team (</w:t>
      </w:r>
      <w:r w:rsidRPr="005225E3">
        <w:rPr>
          <w:rFonts w:ascii="Times New Roman" w:hAnsi="Times New Roman"/>
          <w:i/>
          <w:sz w:val="24"/>
          <w:szCs w:val="24"/>
        </w:rPr>
        <w:t>Grieg</w:t>
      </w:r>
      <w:r w:rsidR="0041215B">
        <w:rPr>
          <w:rFonts w:ascii="Times New Roman" w:hAnsi="Times New Roman"/>
          <w:i/>
          <w:sz w:val="24"/>
          <w:szCs w:val="24"/>
        </w:rPr>
        <w:t xml:space="preserve"> </w:t>
      </w:r>
      <w:r w:rsidR="0041215B" w:rsidRPr="0041215B">
        <w:rPr>
          <w:rFonts w:ascii="Times New Roman" w:hAnsi="Times New Roman"/>
          <w:i/>
          <w:sz w:val="24"/>
          <w:szCs w:val="24"/>
        </w:rPr>
        <w:t>v Community Industry</w:t>
      </w:r>
      <w:r w:rsidRPr="005225E3">
        <w:rPr>
          <w:rFonts w:ascii="Times New Roman" w:hAnsi="Times New Roman"/>
          <w:sz w:val="24"/>
          <w:szCs w:val="24"/>
        </w:rPr>
        <w:t xml:space="preserve"> </w:t>
      </w:r>
      <w:r w:rsidR="00CA24FD">
        <w:rPr>
          <w:rFonts w:ascii="Times New Roman" w:hAnsi="Times New Roman"/>
          <w:sz w:val="24"/>
          <w:szCs w:val="24"/>
        </w:rPr>
        <w:t>[</w:t>
      </w:r>
      <w:r w:rsidRPr="005225E3">
        <w:rPr>
          <w:rFonts w:ascii="Times New Roman" w:hAnsi="Times New Roman"/>
          <w:sz w:val="24"/>
          <w:szCs w:val="24"/>
        </w:rPr>
        <w:t>1979</w:t>
      </w:r>
      <w:r w:rsidR="00CA24FD">
        <w:rPr>
          <w:rFonts w:ascii="Times New Roman" w:hAnsi="Times New Roman"/>
          <w:sz w:val="24"/>
          <w:szCs w:val="24"/>
        </w:rPr>
        <w:t>]</w:t>
      </w:r>
      <w:r w:rsidRPr="005225E3">
        <w:rPr>
          <w:rFonts w:ascii="Times New Roman" w:hAnsi="Times New Roman"/>
          <w:sz w:val="24"/>
          <w:szCs w:val="24"/>
        </w:rPr>
        <w:t>: 360F–H). This argument was rejected by the Employment Appeal Tribunal (</w:t>
      </w:r>
      <w:r w:rsidRPr="005225E3">
        <w:rPr>
          <w:rFonts w:ascii="Times New Roman" w:hAnsi="Times New Roman"/>
          <w:i/>
          <w:sz w:val="24"/>
          <w:szCs w:val="24"/>
        </w:rPr>
        <w:t>Grieg</w:t>
      </w:r>
      <w:r w:rsidR="0041215B" w:rsidRPr="0041215B">
        <w:rPr>
          <w:rFonts w:ascii="Times New Roman" w:hAnsi="Times New Roman"/>
          <w:i/>
          <w:sz w:val="24"/>
          <w:szCs w:val="24"/>
        </w:rPr>
        <w:t xml:space="preserve"> v Community Industry</w:t>
      </w:r>
      <w:r w:rsidRPr="005225E3">
        <w:rPr>
          <w:rFonts w:ascii="Times New Roman" w:hAnsi="Times New Roman"/>
          <w:sz w:val="24"/>
          <w:szCs w:val="24"/>
        </w:rPr>
        <w:t xml:space="preserve"> </w:t>
      </w:r>
      <w:r w:rsidR="00CA24FD">
        <w:rPr>
          <w:rFonts w:ascii="Times New Roman" w:hAnsi="Times New Roman"/>
          <w:sz w:val="24"/>
          <w:szCs w:val="24"/>
        </w:rPr>
        <w:t>[</w:t>
      </w:r>
      <w:r w:rsidRPr="005225E3">
        <w:rPr>
          <w:rFonts w:ascii="Times New Roman" w:hAnsi="Times New Roman"/>
          <w:sz w:val="24"/>
          <w:szCs w:val="24"/>
        </w:rPr>
        <w:t>1979</w:t>
      </w:r>
      <w:r w:rsidR="00CA24FD">
        <w:rPr>
          <w:rFonts w:ascii="Times New Roman" w:hAnsi="Times New Roman"/>
          <w:sz w:val="24"/>
          <w:szCs w:val="24"/>
        </w:rPr>
        <w:t>]</w:t>
      </w:r>
      <w:r w:rsidRPr="005225E3">
        <w:rPr>
          <w:rFonts w:ascii="Times New Roman" w:hAnsi="Times New Roman"/>
          <w:sz w:val="24"/>
          <w:szCs w:val="24"/>
        </w:rPr>
        <w:t>: 361A–D), which found that Community Industry had directly discriminated against Grieg, stating that “the applicant was refused because she was a girl and had a man applied he would, had he been otherwise suitable, have been taken into the team” (</w:t>
      </w:r>
      <w:r w:rsidRPr="005225E3">
        <w:rPr>
          <w:rFonts w:ascii="Times New Roman" w:hAnsi="Times New Roman"/>
          <w:i/>
          <w:sz w:val="24"/>
          <w:szCs w:val="24"/>
        </w:rPr>
        <w:t>Grieg</w:t>
      </w:r>
      <w:r w:rsidRPr="005225E3">
        <w:rPr>
          <w:rFonts w:ascii="Times New Roman" w:hAnsi="Times New Roman"/>
          <w:sz w:val="24"/>
          <w:szCs w:val="24"/>
        </w:rPr>
        <w:t xml:space="preserve"> </w:t>
      </w:r>
      <w:r w:rsidR="0041215B" w:rsidRPr="0041215B">
        <w:rPr>
          <w:rFonts w:ascii="Times New Roman" w:hAnsi="Times New Roman"/>
          <w:i/>
          <w:sz w:val="24"/>
          <w:szCs w:val="24"/>
        </w:rPr>
        <w:t>v Community Industry</w:t>
      </w:r>
      <w:r w:rsidR="0041215B" w:rsidRPr="0041215B">
        <w:rPr>
          <w:rFonts w:ascii="Times New Roman" w:hAnsi="Times New Roman"/>
          <w:sz w:val="24"/>
          <w:szCs w:val="24"/>
        </w:rPr>
        <w:t xml:space="preserve"> </w:t>
      </w:r>
      <w:r w:rsidR="00CA24FD">
        <w:rPr>
          <w:rFonts w:ascii="Times New Roman" w:hAnsi="Times New Roman"/>
          <w:sz w:val="24"/>
          <w:szCs w:val="24"/>
        </w:rPr>
        <w:t>[</w:t>
      </w:r>
      <w:r w:rsidRPr="005225E3">
        <w:rPr>
          <w:rFonts w:ascii="Times New Roman" w:hAnsi="Times New Roman"/>
          <w:sz w:val="24"/>
          <w:szCs w:val="24"/>
        </w:rPr>
        <w:t>1979</w:t>
      </w:r>
      <w:r w:rsidR="00CA24FD">
        <w:rPr>
          <w:rFonts w:ascii="Times New Roman" w:hAnsi="Times New Roman"/>
          <w:sz w:val="24"/>
          <w:szCs w:val="24"/>
        </w:rPr>
        <w:t>]</w:t>
      </w:r>
      <w:r w:rsidRPr="005225E3">
        <w:rPr>
          <w:rFonts w:ascii="Times New Roman" w:hAnsi="Times New Roman"/>
          <w:sz w:val="24"/>
          <w:szCs w:val="24"/>
        </w:rPr>
        <w:t>: 361G). What is particularly interesting about this is tha</w:t>
      </w:r>
      <w:r w:rsidR="00E0256F">
        <w:rPr>
          <w:rFonts w:ascii="Times New Roman" w:hAnsi="Times New Roman"/>
          <w:sz w:val="24"/>
          <w:szCs w:val="24"/>
        </w:rPr>
        <w:t xml:space="preserve">t the </w:t>
      </w:r>
      <w:r w:rsidR="00E0256F" w:rsidRPr="005225E3">
        <w:rPr>
          <w:rFonts w:ascii="Times New Roman" w:hAnsi="Times New Roman"/>
          <w:sz w:val="24"/>
          <w:szCs w:val="24"/>
        </w:rPr>
        <w:t>Employment Appeal Tribunal</w:t>
      </w:r>
      <w:r w:rsidR="00E0256F">
        <w:rPr>
          <w:rFonts w:ascii="Times New Roman" w:hAnsi="Times New Roman"/>
          <w:sz w:val="24"/>
          <w:szCs w:val="24"/>
        </w:rPr>
        <w:t xml:space="preserve"> did not reject</w:t>
      </w:r>
      <w:r w:rsidR="00BF24BF">
        <w:rPr>
          <w:rFonts w:ascii="Times New Roman" w:hAnsi="Times New Roman"/>
          <w:sz w:val="24"/>
          <w:szCs w:val="24"/>
        </w:rPr>
        <w:t xml:space="preserve"> Grieg’s argument on the basis that the discrimination was </w:t>
      </w:r>
      <w:r w:rsidR="00173A50">
        <w:rPr>
          <w:rFonts w:ascii="Times New Roman" w:hAnsi="Times New Roman"/>
          <w:sz w:val="24"/>
          <w:szCs w:val="24"/>
        </w:rPr>
        <w:t>on</w:t>
      </w:r>
      <w:r w:rsidR="007F7A2F">
        <w:rPr>
          <w:rFonts w:ascii="Times New Roman" w:hAnsi="Times New Roman"/>
          <w:sz w:val="24"/>
          <w:szCs w:val="24"/>
        </w:rPr>
        <w:t xml:space="preserve"> the</w:t>
      </w:r>
      <w:r w:rsidR="00173A50">
        <w:rPr>
          <w:rFonts w:ascii="Times New Roman" w:hAnsi="Times New Roman"/>
          <w:sz w:val="24"/>
          <w:szCs w:val="24"/>
        </w:rPr>
        <w:t xml:space="preserve"> ground </w:t>
      </w:r>
      <w:r w:rsidR="00BF24BF">
        <w:rPr>
          <w:rFonts w:ascii="Times New Roman" w:hAnsi="Times New Roman"/>
          <w:sz w:val="24"/>
          <w:szCs w:val="24"/>
        </w:rPr>
        <w:t xml:space="preserve">of </w:t>
      </w:r>
      <w:r w:rsidR="00AF0940">
        <w:rPr>
          <w:rFonts w:ascii="Times New Roman" w:hAnsi="Times New Roman"/>
          <w:sz w:val="24"/>
          <w:szCs w:val="24"/>
        </w:rPr>
        <w:t>“</w:t>
      </w:r>
      <w:r w:rsidR="00BF24BF">
        <w:rPr>
          <w:rFonts w:ascii="Times New Roman" w:hAnsi="Times New Roman"/>
          <w:sz w:val="24"/>
          <w:szCs w:val="24"/>
        </w:rPr>
        <w:t>sexual imbalance</w:t>
      </w:r>
      <w:r w:rsidR="00AF0940">
        <w:rPr>
          <w:rFonts w:ascii="Times New Roman" w:hAnsi="Times New Roman"/>
          <w:sz w:val="24"/>
          <w:szCs w:val="24"/>
        </w:rPr>
        <w:t>”</w:t>
      </w:r>
      <w:r w:rsidR="00BF24BF">
        <w:rPr>
          <w:rFonts w:ascii="Times New Roman" w:hAnsi="Times New Roman"/>
          <w:sz w:val="24"/>
          <w:szCs w:val="24"/>
        </w:rPr>
        <w:t xml:space="preserve"> rather than </w:t>
      </w:r>
      <w:r w:rsidR="00173A50">
        <w:rPr>
          <w:rFonts w:ascii="Times New Roman" w:hAnsi="Times New Roman"/>
          <w:sz w:val="24"/>
          <w:szCs w:val="24"/>
        </w:rPr>
        <w:t xml:space="preserve">of </w:t>
      </w:r>
      <w:r w:rsidR="00AF0940">
        <w:rPr>
          <w:rFonts w:ascii="Times New Roman" w:hAnsi="Times New Roman"/>
          <w:sz w:val="24"/>
          <w:szCs w:val="24"/>
        </w:rPr>
        <w:t>“</w:t>
      </w:r>
      <w:r w:rsidR="00BF24BF">
        <w:rPr>
          <w:rFonts w:ascii="Times New Roman" w:hAnsi="Times New Roman"/>
          <w:sz w:val="24"/>
          <w:szCs w:val="24"/>
        </w:rPr>
        <w:t>sex</w:t>
      </w:r>
      <w:r w:rsidR="00AF0940">
        <w:rPr>
          <w:rFonts w:ascii="Times New Roman" w:hAnsi="Times New Roman"/>
          <w:sz w:val="24"/>
          <w:szCs w:val="24"/>
        </w:rPr>
        <w:t>”</w:t>
      </w:r>
      <w:r w:rsidRPr="005225E3">
        <w:rPr>
          <w:rFonts w:ascii="Times New Roman" w:hAnsi="Times New Roman"/>
          <w:sz w:val="24"/>
          <w:szCs w:val="24"/>
        </w:rPr>
        <w:t>.</w:t>
      </w:r>
    </w:p>
    <w:p w:rsidR="005225E3" w:rsidRPr="005225E3" w:rsidRDefault="005225E3" w:rsidP="005225E3">
      <w:pPr>
        <w:spacing w:before="120" w:after="120" w:line="480" w:lineRule="auto"/>
        <w:rPr>
          <w:rFonts w:ascii="Times New Roman" w:hAnsi="Times New Roman"/>
          <w:sz w:val="24"/>
          <w:szCs w:val="24"/>
        </w:rPr>
      </w:pPr>
    </w:p>
    <w:p w:rsidR="005225E3" w:rsidRPr="005225E3" w:rsidRDefault="005225E3" w:rsidP="005225E3">
      <w:pPr>
        <w:spacing w:before="120" w:after="120" w:line="480" w:lineRule="auto"/>
        <w:rPr>
          <w:rFonts w:ascii="Times New Roman" w:hAnsi="Times New Roman"/>
          <w:sz w:val="24"/>
          <w:szCs w:val="24"/>
        </w:rPr>
      </w:pPr>
      <w:r w:rsidRPr="005225E3">
        <w:rPr>
          <w:rFonts w:ascii="Times New Roman" w:hAnsi="Times New Roman"/>
          <w:sz w:val="24"/>
          <w:szCs w:val="24"/>
        </w:rPr>
        <w:t xml:space="preserve">The parallel with </w:t>
      </w:r>
      <w:r w:rsidRPr="005225E3">
        <w:rPr>
          <w:rFonts w:ascii="Times New Roman" w:hAnsi="Times New Roman"/>
          <w:i/>
          <w:sz w:val="24"/>
          <w:szCs w:val="24"/>
        </w:rPr>
        <w:t>Bull</w:t>
      </w:r>
      <w:r w:rsidRPr="005225E3">
        <w:rPr>
          <w:rFonts w:ascii="Times New Roman" w:hAnsi="Times New Roman"/>
          <w:sz w:val="24"/>
          <w:szCs w:val="24"/>
        </w:rPr>
        <w:t xml:space="preserve"> is instructive: the Bulls think that there being two people of the same sex creates “an imbalance” in the composition of the occupancy of a double room that is wholly unacceptable, and, had a woman applied for the position of room-sharer with </w:t>
      </w:r>
      <w:proofErr w:type="spellStart"/>
      <w:r w:rsidRPr="005225E3">
        <w:rPr>
          <w:rFonts w:ascii="Times New Roman" w:hAnsi="Times New Roman"/>
          <w:sz w:val="24"/>
          <w:szCs w:val="24"/>
        </w:rPr>
        <w:t>Preddy</w:t>
      </w:r>
      <w:proofErr w:type="spellEnd"/>
      <w:r w:rsidRPr="005225E3">
        <w:rPr>
          <w:rFonts w:ascii="Times New Roman" w:hAnsi="Times New Roman"/>
          <w:sz w:val="24"/>
          <w:szCs w:val="24"/>
        </w:rPr>
        <w:t xml:space="preserve">, she would, unlike Hall, have been allowed in, had she been “otherwise suitable” (i.e. married to </w:t>
      </w:r>
      <w:proofErr w:type="spellStart"/>
      <w:r w:rsidRPr="005225E3">
        <w:rPr>
          <w:rFonts w:ascii="Times New Roman" w:hAnsi="Times New Roman"/>
          <w:sz w:val="24"/>
          <w:szCs w:val="24"/>
        </w:rPr>
        <w:t>Preddy</w:t>
      </w:r>
      <w:proofErr w:type="spellEnd"/>
      <w:r w:rsidRPr="005225E3">
        <w:rPr>
          <w:rFonts w:ascii="Times New Roman" w:hAnsi="Times New Roman"/>
          <w:sz w:val="24"/>
          <w:szCs w:val="24"/>
        </w:rPr>
        <w:t>).</w:t>
      </w:r>
    </w:p>
    <w:p w:rsidR="005225E3" w:rsidRPr="005225E3" w:rsidRDefault="005225E3" w:rsidP="005225E3">
      <w:pPr>
        <w:spacing w:before="120" w:after="120" w:line="480" w:lineRule="auto"/>
        <w:rPr>
          <w:rFonts w:ascii="Times New Roman" w:hAnsi="Times New Roman"/>
          <w:sz w:val="24"/>
          <w:szCs w:val="24"/>
        </w:rPr>
      </w:pPr>
    </w:p>
    <w:p w:rsidR="005225E3" w:rsidRPr="005225E3" w:rsidRDefault="005225E3" w:rsidP="005225E3">
      <w:pPr>
        <w:spacing w:before="120" w:after="120" w:line="480" w:lineRule="auto"/>
        <w:rPr>
          <w:rFonts w:ascii="Times New Roman" w:hAnsi="Times New Roman"/>
          <w:sz w:val="24"/>
          <w:szCs w:val="24"/>
        </w:rPr>
      </w:pPr>
      <w:r w:rsidRPr="005225E3">
        <w:rPr>
          <w:rFonts w:ascii="Times New Roman" w:hAnsi="Times New Roman"/>
          <w:sz w:val="24"/>
          <w:szCs w:val="24"/>
        </w:rPr>
        <w:t xml:space="preserve">A somewhat similar case is </w:t>
      </w:r>
      <w:r w:rsidRPr="005225E3">
        <w:rPr>
          <w:rFonts w:ascii="Times New Roman" w:hAnsi="Times New Roman"/>
          <w:i/>
          <w:sz w:val="24"/>
          <w:szCs w:val="24"/>
        </w:rPr>
        <w:t xml:space="preserve">Bain v Bowles </w:t>
      </w:r>
      <w:r w:rsidRPr="005225E3">
        <w:rPr>
          <w:rFonts w:ascii="Times New Roman" w:hAnsi="Times New Roman"/>
          <w:iCs/>
          <w:sz w:val="24"/>
          <w:szCs w:val="24"/>
        </w:rPr>
        <w:t>[1991]</w:t>
      </w:r>
      <w:r w:rsidRPr="005225E3">
        <w:rPr>
          <w:rFonts w:ascii="Times New Roman" w:hAnsi="Times New Roman"/>
          <w:sz w:val="24"/>
          <w:szCs w:val="24"/>
        </w:rPr>
        <w:t xml:space="preserve">. Here Bowles refused to allow Bain, a man, to place an advert in </w:t>
      </w:r>
      <w:r w:rsidRPr="005225E3">
        <w:rPr>
          <w:rFonts w:ascii="Times New Roman" w:hAnsi="Times New Roman"/>
          <w:i/>
          <w:sz w:val="24"/>
          <w:szCs w:val="24"/>
        </w:rPr>
        <w:t xml:space="preserve">The Lady </w:t>
      </w:r>
      <w:r w:rsidRPr="005225E3">
        <w:rPr>
          <w:rFonts w:ascii="Times New Roman" w:hAnsi="Times New Roman"/>
          <w:sz w:val="24"/>
          <w:szCs w:val="24"/>
        </w:rPr>
        <w:t>for a “working housekeeper cook” (</w:t>
      </w:r>
      <w:r w:rsidRPr="005225E3">
        <w:rPr>
          <w:rFonts w:ascii="Times New Roman" w:hAnsi="Times New Roman"/>
          <w:i/>
          <w:sz w:val="24"/>
          <w:szCs w:val="24"/>
        </w:rPr>
        <w:t xml:space="preserve">Bain v Bowles </w:t>
      </w:r>
      <w:r w:rsidRPr="005225E3">
        <w:rPr>
          <w:rFonts w:ascii="Times New Roman" w:hAnsi="Times New Roman"/>
          <w:iCs/>
          <w:sz w:val="24"/>
          <w:szCs w:val="24"/>
        </w:rPr>
        <w:t xml:space="preserve">[1991]: </w:t>
      </w:r>
      <w:r w:rsidRPr="005225E3">
        <w:rPr>
          <w:rFonts w:ascii="Times New Roman" w:hAnsi="Times New Roman"/>
          <w:sz w:val="24"/>
          <w:szCs w:val="24"/>
        </w:rPr>
        <w:t xml:space="preserve">357 [3]). </w:t>
      </w:r>
      <w:r w:rsidR="00630044">
        <w:rPr>
          <w:rFonts w:ascii="Times New Roman" w:hAnsi="Times New Roman"/>
          <w:sz w:val="24"/>
          <w:szCs w:val="24"/>
        </w:rPr>
        <w:t>Bowles attempted to justify t</w:t>
      </w:r>
      <w:r w:rsidRPr="005225E3">
        <w:rPr>
          <w:rFonts w:ascii="Times New Roman" w:hAnsi="Times New Roman"/>
          <w:sz w:val="24"/>
          <w:szCs w:val="24"/>
        </w:rPr>
        <w:t>he refusal by reference to th</w:t>
      </w:r>
      <w:r w:rsidR="00630044">
        <w:rPr>
          <w:rFonts w:ascii="Times New Roman" w:hAnsi="Times New Roman"/>
          <w:sz w:val="24"/>
          <w:szCs w:val="24"/>
        </w:rPr>
        <w:t>is</w:t>
      </w:r>
      <w:r w:rsidRPr="005225E3">
        <w:rPr>
          <w:rFonts w:ascii="Times New Roman" w:hAnsi="Times New Roman"/>
          <w:sz w:val="24"/>
          <w:szCs w:val="24"/>
        </w:rPr>
        <w:t xml:space="preserve"> policy:</w:t>
      </w:r>
    </w:p>
    <w:p w:rsidR="005225E3" w:rsidRPr="005225E3" w:rsidRDefault="005225E3" w:rsidP="001C2244">
      <w:pPr>
        <w:spacing w:before="120" w:after="120" w:line="480" w:lineRule="auto"/>
        <w:ind w:left="709"/>
        <w:rPr>
          <w:rFonts w:ascii="Times New Roman" w:hAnsi="Times New Roman"/>
          <w:sz w:val="24"/>
          <w:szCs w:val="24"/>
        </w:rPr>
      </w:pPr>
      <w:r w:rsidRPr="005225E3">
        <w:rPr>
          <w:rFonts w:ascii="Times New Roman" w:hAnsi="Times New Roman"/>
          <w:sz w:val="24"/>
          <w:szCs w:val="24"/>
        </w:rPr>
        <w:t>We only include advertisements for female employees outside the United Kingdom when the employer is a woman and resident in the household concerned. (</w:t>
      </w:r>
      <w:r w:rsidRPr="005225E3">
        <w:rPr>
          <w:rFonts w:ascii="Times New Roman" w:hAnsi="Times New Roman"/>
          <w:i/>
          <w:sz w:val="24"/>
          <w:szCs w:val="24"/>
        </w:rPr>
        <w:t xml:space="preserve">Bain v Bowles </w:t>
      </w:r>
      <w:r w:rsidRPr="005225E3">
        <w:rPr>
          <w:rFonts w:ascii="Times New Roman" w:hAnsi="Times New Roman"/>
          <w:iCs/>
          <w:sz w:val="24"/>
          <w:szCs w:val="24"/>
        </w:rPr>
        <w:t xml:space="preserve">[1991]: </w:t>
      </w:r>
      <w:r w:rsidRPr="005225E3">
        <w:rPr>
          <w:rFonts w:ascii="Times New Roman" w:hAnsi="Times New Roman"/>
          <w:sz w:val="24"/>
          <w:szCs w:val="24"/>
        </w:rPr>
        <w:t>357 [3]).</w:t>
      </w:r>
      <w:r w:rsidRPr="005225E3">
        <w:rPr>
          <w:rFonts w:ascii="Times New Roman" w:hAnsi="Times New Roman"/>
          <w:sz w:val="24"/>
          <w:szCs w:val="24"/>
        </w:rPr>
        <w:tab/>
      </w:r>
    </w:p>
    <w:p w:rsidR="005225E3" w:rsidRPr="005225E3" w:rsidRDefault="005225E3" w:rsidP="005225E3">
      <w:pPr>
        <w:spacing w:before="120" w:after="120" w:line="480" w:lineRule="auto"/>
        <w:rPr>
          <w:rFonts w:ascii="Times New Roman" w:hAnsi="Times New Roman"/>
          <w:sz w:val="24"/>
          <w:szCs w:val="24"/>
        </w:rPr>
      </w:pPr>
      <w:r w:rsidRPr="005225E3">
        <w:rPr>
          <w:rFonts w:ascii="Times New Roman" w:hAnsi="Times New Roman"/>
          <w:sz w:val="24"/>
          <w:szCs w:val="24"/>
        </w:rPr>
        <w:lastRenderedPageBreak/>
        <w:t xml:space="preserve">Here Bowles might argue that </w:t>
      </w:r>
      <w:r w:rsidRPr="005225E3">
        <w:rPr>
          <w:rFonts w:ascii="Times New Roman" w:hAnsi="Times New Roman"/>
          <w:i/>
          <w:sz w:val="24"/>
          <w:szCs w:val="24"/>
        </w:rPr>
        <w:t>The Lady</w:t>
      </w:r>
      <w:r w:rsidRPr="005225E3">
        <w:rPr>
          <w:rFonts w:ascii="Times New Roman" w:hAnsi="Times New Roman"/>
          <w:sz w:val="24"/>
          <w:szCs w:val="24"/>
        </w:rPr>
        <w:t xml:space="preserve"> did not discriminate against Bain because of </w:t>
      </w:r>
      <w:r w:rsidRPr="005225E3">
        <w:rPr>
          <w:rFonts w:ascii="Times New Roman" w:hAnsi="Times New Roman"/>
          <w:i/>
          <w:sz w:val="24"/>
          <w:szCs w:val="24"/>
        </w:rPr>
        <w:t>sex</w:t>
      </w:r>
      <w:r w:rsidRPr="005225E3">
        <w:rPr>
          <w:rFonts w:ascii="Times New Roman" w:hAnsi="Times New Roman"/>
          <w:sz w:val="24"/>
          <w:szCs w:val="24"/>
        </w:rPr>
        <w:t xml:space="preserve">, but only because of </w:t>
      </w:r>
      <w:r w:rsidRPr="005225E3">
        <w:rPr>
          <w:rFonts w:ascii="Times New Roman" w:hAnsi="Times New Roman"/>
          <w:i/>
          <w:sz w:val="24"/>
          <w:szCs w:val="24"/>
        </w:rPr>
        <w:t>oppositeness of sex of employer and employee</w:t>
      </w:r>
      <w:r w:rsidRPr="005225E3">
        <w:rPr>
          <w:rFonts w:ascii="Times New Roman" w:hAnsi="Times New Roman"/>
          <w:sz w:val="24"/>
          <w:szCs w:val="24"/>
        </w:rPr>
        <w:t>, i.e. because of the fact that Bain’s sex happened to be opposite to that of the employee sought.</w:t>
      </w:r>
      <w:r w:rsidR="000E737E">
        <w:rPr>
          <w:rStyle w:val="FootnoteReference"/>
          <w:rFonts w:ascii="Times New Roman" w:hAnsi="Times New Roman"/>
          <w:sz w:val="24"/>
          <w:szCs w:val="24"/>
        </w:rPr>
        <w:footnoteReference w:id="12"/>
      </w:r>
      <w:r w:rsidRPr="005225E3">
        <w:rPr>
          <w:rFonts w:ascii="Times New Roman" w:hAnsi="Times New Roman"/>
          <w:sz w:val="24"/>
          <w:szCs w:val="24"/>
        </w:rPr>
        <w:t xml:space="preserve"> </w:t>
      </w:r>
      <w:r w:rsidR="000E737E">
        <w:rPr>
          <w:rFonts w:ascii="Times New Roman" w:hAnsi="Times New Roman"/>
          <w:sz w:val="24"/>
          <w:szCs w:val="24"/>
        </w:rPr>
        <w:t>The Court of Appeal, however,</w:t>
      </w:r>
      <w:r w:rsidR="006F2009">
        <w:rPr>
          <w:rFonts w:ascii="Times New Roman" w:hAnsi="Times New Roman"/>
          <w:sz w:val="24"/>
          <w:szCs w:val="24"/>
        </w:rPr>
        <w:t xml:space="preserve"> found direct discrimination</w:t>
      </w:r>
      <w:r w:rsidR="00173A50">
        <w:rPr>
          <w:rFonts w:ascii="Times New Roman" w:hAnsi="Times New Roman"/>
          <w:sz w:val="24"/>
          <w:szCs w:val="24"/>
        </w:rPr>
        <w:t xml:space="preserve"> on </w:t>
      </w:r>
      <w:r w:rsidR="00FD3DEA">
        <w:rPr>
          <w:rFonts w:ascii="Times New Roman" w:hAnsi="Times New Roman"/>
          <w:sz w:val="24"/>
          <w:szCs w:val="24"/>
        </w:rPr>
        <w:t xml:space="preserve">the </w:t>
      </w:r>
      <w:r w:rsidR="00173A50">
        <w:rPr>
          <w:rFonts w:ascii="Times New Roman" w:hAnsi="Times New Roman"/>
          <w:sz w:val="24"/>
          <w:szCs w:val="24"/>
        </w:rPr>
        <w:t xml:space="preserve">ground of </w:t>
      </w:r>
      <w:r w:rsidR="00FD3DEA">
        <w:rPr>
          <w:rFonts w:ascii="Times New Roman" w:hAnsi="Times New Roman"/>
          <w:sz w:val="24"/>
          <w:szCs w:val="24"/>
        </w:rPr>
        <w:t xml:space="preserve">Bain’s </w:t>
      </w:r>
      <w:r w:rsidR="00173A50">
        <w:rPr>
          <w:rFonts w:ascii="Times New Roman" w:hAnsi="Times New Roman"/>
          <w:sz w:val="24"/>
          <w:szCs w:val="24"/>
        </w:rPr>
        <w:t>sex</w:t>
      </w:r>
      <w:r w:rsidR="006F2009">
        <w:rPr>
          <w:rFonts w:ascii="Times New Roman" w:hAnsi="Times New Roman"/>
          <w:sz w:val="24"/>
          <w:szCs w:val="24"/>
        </w:rPr>
        <w:t>.</w:t>
      </w:r>
    </w:p>
    <w:p w:rsidR="005225E3" w:rsidRPr="005225E3" w:rsidRDefault="005225E3" w:rsidP="005225E3">
      <w:pPr>
        <w:spacing w:before="120" w:after="120" w:line="480" w:lineRule="auto"/>
        <w:rPr>
          <w:rFonts w:ascii="Times New Roman" w:hAnsi="Times New Roman"/>
          <w:b/>
          <w:sz w:val="24"/>
          <w:szCs w:val="24"/>
        </w:rPr>
      </w:pPr>
    </w:p>
    <w:p w:rsidR="005225E3" w:rsidRPr="005225E3" w:rsidRDefault="005225E3" w:rsidP="005225E3">
      <w:pPr>
        <w:spacing w:before="120" w:after="120" w:line="480" w:lineRule="auto"/>
        <w:rPr>
          <w:rFonts w:ascii="Times New Roman" w:hAnsi="Times New Roman"/>
          <w:sz w:val="24"/>
          <w:szCs w:val="24"/>
        </w:rPr>
      </w:pPr>
      <w:r w:rsidRPr="005225E3">
        <w:rPr>
          <w:rFonts w:ascii="Times New Roman" w:hAnsi="Times New Roman"/>
          <w:sz w:val="24"/>
          <w:szCs w:val="24"/>
        </w:rPr>
        <w:t xml:space="preserve">It is racial cases in which the defectiveness of the putative defence that the Bulls discriminated not because of sex, but because of sameness of sex, is most obvious. The US case </w:t>
      </w:r>
      <w:r w:rsidRPr="005225E3">
        <w:rPr>
          <w:rFonts w:ascii="Times New Roman" w:hAnsi="Times New Roman"/>
          <w:i/>
          <w:sz w:val="24"/>
          <w:szCs w:val="24"/>
        </w:rPr>
        <w:t>Loving v Virginia</w:t>
      </w:r>
      <w:r w:rsidRPr="005225E3">
        <w:rPr>
          <w:rFonts w:ascii="Times New Roman" w:hAnsi="Times New Roman"/>
          <w:sz w:val="24"/>
          <w:szCs w:val="24"/>
        </w:rPr>
        <w:t xml:space="preserve"> is a clear example of this: the US Supreme Court held that Virginia’s ban on mixed-race marriages rested “solely upon distinctions drawn according to race” and on “racial classifications” (1967: 11). By parity of reasoning, a ban on same-sex couples or mixed-sex couples must rest on “distinctions drawn according to sex”. Although there does not seem to have been a precisely similar English case, Lord Simon did remark </w:t>
      </w:r>
      <w:r w:rsidRPr="005225E3">
        <w:rPr>
          <w:rFonts w:ascii="Times New Roman" w:hAnsi="Times New Roman"/>
          <w:i/>
          <w:sz w:val="24"/>
          <w:szCs w:val="24"/>
        </w:rPr>
        <w:t>obiter</w:t>
      </w:r>
      <w:r w:rsidRPr="005225E3">
        <w:rPr>
          <w:rFonts w:ascii="Times New Roman" w:hAnsi="Times New Roman"/>
          <w:sz w:val="24"/>
          <w:szCs w:val="24"/>
        </w:rPr>
        <w:t xml:space="preserve"> in the House of Lords that “discriminating against a white woman on the ground that she had married a coloured man” would fall within the purview of the Race Relations Act 1968 (</w:t>
      </w:r>
      <w:proofErr w:type="spellStart"/>
      <w:r w:rsidRPr="005225E3">
        <w:rPr>
          <w:rFonts w:ascii="Times New Roman" w:hAnsi="Times New Roman"/>
          <w:i/>
          <w:sz w:val="24"/>
          <w:szCs w:val="24"/>
        </w:rPr>
        <w:t>Applin</w:t>
      </w:r>
      <w:proofErr w:type="spellEnd"/>
      <w:r w:rsidRPr="005225E3">
        <w:rPr>
          <w:rFonts w:ascii="Times New Roman" w:hAnsi="Times New Roman"/>
          <w:i/>
          <w:sz w:val="24"/>
          <w:szCs w:val="24"/>
        </w:rPr>
        <w:t xml:space="preserve"> v Race Relations Board </w:t>
      </w:r>
      <w:r w:rsidRPr="005225E3">
        <w:rPr>
          <w:rFonts w:ascii="Times New Roman" w:hAnsi="Times New Roman"/>
          <w:iCs/>
          <w:sz w:val="24"/>
          <w:szCs w:val="24"/>
        </w:rPr>
        <w:t>[1974</w:t>
      </w:r>
      <w:r w:rsidR="00695937">
        <w:rPr>
          <w:rFonts w:ascii="Times New Roman" w:hAnsi="Times New Roman"/>
          <w:iCs/>
          <w:sz w:val="24"/>
          <w:szCs w:val="24"/>
        </w:rPr>
        <w:t>]</w:t>
      </w:r>
      <w:r w:rsidRPr="005225E3">
        <w:rPr>
          <w:rFonts w:ascii="Times New Roman" w:hAnsi="Times New Roman"/>
          <w:iCs/>
          <w:sz w:val="24"/>
          <w:szCs w:val="24"/>
        </w:rPr>
        <w:t>: 290A)</w:t>
      </w:r>
      <w:r w:rsidRPr="005225E3">
        <w:rPr>
          <w:rFonts w:ascii="Times New Roman" w:hAnsi="Times New Roman"/>
          <w:sz w:val="24"/>
          <w:szCs w:val="24"/>
        </w:rPr>
        <w:t xml:space="preserve">, and Lord Denning said </w:t>
      </w:r>
      <w:r w:rsidRPr="005225E3">
        <w:rPr>
          <w:rFonts w:ascii="Times New Roman" w:hAnsi="Times New Roman"/>
          <w:i/>
          <w:sz w:val="24"/>
          <w:szCs w:val="24"/>
        </w:rPr>
        <w:t>obiter</w:t>
      </w:r>
      <w:r w:rsidRPr="005225E3">
        <w:rPr>
          <w:rFonts w:ascii="Times New Roman" w:hAnsi="Times New Roman"/>
          <w:sz w:val="24"/>
          <w:szCs w:val="24"/>
        </w:rPr>
        <w:t xml:space="preserve"> in the Court of Appeal in the same case that a hypothetical case of a publican’s barring white women that came in with black men would be direct discrimination “on the ground of colour” (</w:t>
      </w:r>
      <w:r w:rsidRPr="005225E3">
        <w:rPr>
          <w:rFonts w:ascii="Times New Roman" w:hAnsi="Times New Roman"/>
          <w:i/>
          <w:sz w:val="24"/>
          <w:szCs w:val="24"/>
        </w:rPr>
        <w:t xml:space="preserve">Race Relations Board v </w:t>
      </w:r>
      <w:proofErr w:type="spellStart"/>
      <w:r w:rsidRPr="005225E3">
        <w:rPr>
          <w:rFonts w:ascii="Times New Roman" w:hAnsi="Times New Roman"/>
          <w:i/>
          <w:sz w:val="24"/>
          <w:szCs w:val="24"/>
        </w:rPr>
        <w:t>Applin</w:t>
      </w:r>
      <w:proofErr w:type="spellEnd"/>
      <w:r w:rsidRPr="005225E3">
        <w:rPr>
          <w:rFonts w:ascii="Times New Roman" w:hAnsi="Times New Roman"/>
          <w:i/>
          <w:sz w:val="24"/>
          <w:szCs w:val="24"/>
        </w:rPr>
        <w:t xml:space="preserve"> </w:t>
      </w:r>
      <w:r w:rsidRPr="005225E3">
        <w:rPr>
          <w:rFonts w:ascii="Times New Roman" w:hAnsi="Times New Roman"/>
          <w:sz w:val="24"/>
          <w:szCs w:val="24"/>
        </w:rPr>
        <w:t>[1973</w:t>
      </w:r>
      <w:r w:rsidR="00695937">
        <w:rPr>
          <w:rFonts w:ascii="Times New Roman" w:hAnsi="Times New Roman"/>
          <w:sz w:val="24"/>
          <w:szCs w:val="24"/>
        </w:rPr>
        <w:t>]</w:t>
      </w:r>
      <w:r w:rsidRPr="005225E3">
        <w:rPr>
          <w:rFonts w:ascii="Times New Roman" w:hAnsi="Times New Roman"/>
          <w:sz w:val="24"/>
          <w:szCs w:val="24"/>
        </w:rPr>
        <w:t>: 828C). The parallel is clear: if a ban on mixed-race or same-race couples is direct discrimination because of race, then a ban on mixed-sex or same-sex couples is direct discrimination because of sex.</w:t>
      </w:r>
    </w:p>
    <w:p w:rsidR="005225E3" w:rsidRPr="005225E3" w:rsidRDefault="005225E3" w:rsidP="005225E3">
      <w:pPr>
        <w:spacing w:before="120" w:after="120" w:line="480" w:lineRule="auto"/>
        <w:rPr>
          <w:rFonts w:ascii="Times New Roman" w:hAnsi="Times New Roman"/>
          <w:sz w:val="24"/>
          <w:szCs w:val="24"/>
        </w:rPr>
      </w:pPr>
    </w:p>
    <w:p w:rsidR="00A30433" w:rsidRDefault="005225E3" w:rsidP="005225E3">
      <w:pPr>
        <w:spacing w:before="120" w:after="120" w:line="480" w:lineRule="auto"/>
        <w:rPr>
          <w:rFonts w:ascii="Times New Roman" w:hAnsi="Times New Roman"/>
          <w:sz w:val="24"/>
          <w:szCs w:val="24"/>
        </w:rPr>
      </w:pPr>
      <w:r w:rsidRPr="005225E3">
        <w:rPr>
          <w:rFonts w:ascii="Times New Roman" w:hAnsi="Times New Roman"/>
          <w:sz w:val="24"/>
          <w:szCs w:val="24"/>
        </w:rPr>
        <w:lastRenderedPageBreak/>
        <w:t xml:space="preserve">These precedents reinforce my conclusion that, while the UK Supreme Court erred in finding </w:t>
      </w:r>
      <w:r w:rsidRPr="005225E3">
        <w:rPr>
          <w:rFonts w:ascii="Times New Roman" w:hAnsi="Times New Roman"/>
          <w:i/>
          <w:sz w:val="24"/>
          <w:szCs w:val="24"/>
        </w:rPr>
        <w:t>Bull</w:t>
      </w:r>
      <w:r w:rsidRPr="005225E3">
        <w:rPr>
          <w:rFonts w:ascii="Times New Roman" w:hAnsi="Times New Roman"/>
          <w:sz w:val="24"/>
          <w:szCs w:val="24"/>
        </w:rPr>
        <w:t xml:space="preserve"> a case of direct discrimination on grounds of sexual orientation, had the case been heard under the Equality Act 2010, the correct decision would have been that the Bulls had directly discriminated because of sex.</w:t>
      </w:r>
    </w:p>
    <w:p w:rsidR="007E7F06" w:rsidRDefault="007E7F06" w:rsidP="005225E3">
      <w:pPr>
        <w:spacing w:before="120" w:after="120" w:line="480" w:lineRule="auto"/>
        <w:rPr>
          <w:rFonts w:ascii="Times New Roman" w:hAnsi="Times New Roman"/>
          <w:sz w:val="24"/>
          <w:szCs w:val="24"/>
        </w:rPr>
      </w:pPr>
    </w:p>
    <w:p w:rsidR="005225E3" w:rsidRPr="005225E3" w:rsidRDefault="005225E3" w:rsidP="005225E3">
      <w:pPr>
        <w:pStyle w:val="ListParagraph"/>
        <w:numPr>
          <w:ilvl w:val="0"/>
          <w:numId w:val="17"/>
        </w:numPr>
        <w:spacing w:before="120" w:after="120" w:line="480" w:lineRule="auto"/>
        <w:jc w:val="center"/>
      </w:pPr>
      <w:r w:rsidRPr="005225E3">
        <w:t>OBJECTIONS</w:t>
      </w:r>
    </w:p>
    <w:p w:rsidR="00166A21" w:rsidRPr="00065C01" w:rsidRDefault="00166A21" w:rsidP="00A546E8">
      <w:pPr>
        <w:spacing w:before="120" w:after="120" w:line="480" w:lineRule="auto"/>
        <w:rPr>
          <w:rFonts w:ascii="Times New Roman" w:hAnsi="Times New Roman"/>
          <w:sz w:val="24"/>
          <w:szCs w:val="24"/>
        </w:rPr>
      </w:pPr>
      <w:r w:rsidRPr="00065C01">
        <w:rPr>
          <w:rFonts w:ascii="Times New Roman" w:hAnsi="Times New Roman"/>
          <w:sz w:val="24"/>
          <w:szCs w:val="24"/>
        </w:rPr>
        <w:t xml:space="preserve">It might be objected that this line of argument, while </w:t>
      </w:r>
      <w:r w:rsidR="00A214A6">
        <w:rPr>
          <w:rFonts w:ascii="Times New Roman" w:hAnsi="Times New Roman"/>
          <w:sz w:val="24"/>
          <w:szCs w:val="24"/>
        </w:rPr>
        <w:t xml:space="preserve">it may have been established </w:t>
      </w:r>
      <w:r w:rsidR="00A214A6" w:rsidRPr="00A214A6">
        <w:rPr>
          <w:rFonts w:ascii="Times New Roman" w:hAnsi="Times New Roman"/>
          <w:sz w:val="24"/>
          <w:szCs w:val="24"/>
        </w:rPr>
        <w:t>for the United States</w:t>
      </w:r>
      <w:r w:rsidR="00A214A6">
        <w:rPr>
          <w:rFonts w:ascii="Times New Roman" w:hAnsi="Times New Roman"/>
          <w:sz w:val="24"/>
          <w:szCs w:val="24"/>
        </w:rPr>
        <w:t xml:space="preserve"> by </w:t>
      </w:r>
      <w:r w:rsidR="008A7575">
        <w:rPr>
          <w:rFonts w:ascii="Times New Roman" w:hAnsi="Times New Roman"/>
          <w:i/>
          <w:iCs/>
          <w:sz w:val="24"/>
          <w:szCs w:val="24"/>
        </w:rPr>
        <w:t>Bostock v Clayton County</w:t>
      </w:r>
      <w:r w:rsidR="008A7575">
        <w:rPr>
          <w:rFonts w:ascii="Times New Roman" w:hAnsi="Times New Roman"/>
          <w:sz w:val="24"/>
          <w:szCs w:val="24"/>
        </w:rPr>
        <w:t xml:space="preserve"> (2020)</w:t>
      </w:r>
      <w:r w:rsidRPr="00065C01">
        <w:rPr>
          <w:rFonts w:ascii="Times New Roman" w:hAnsi="Times New Roman"/>
          <w:sz w:val="24"/>
          <w:szCs w:val="24"/>
        </w:rPr>
        <w:t xml:space="preserve">, has already been decisively rejected in the </w:t>
      </w:r>
      <w:r w:rsidR="00886FFB">
        <w:rPr>
          <w:rFonts w:ascii="Times New Roman" w:hAnsi="Times New Roman"/>
          <w:sz w:val="24"/>
          <w:szCs w:val="24"/>
        </w:rPr>
        <w:t xml:space="preserve">UK </w:t>
      </w:r>
      <w:r w:rsidRPr="00065C01">
        <w:rPr>
          <w:rFonts w:ascii="Times New Roman" w:hAnsi="Times New Roman"/>
          <w:sz w:val="24"/>
          <w:szCs w:val="24"/>
        </w:rPr>
        <w:t>courts, most famously</w:t>
      </w:r>
      <w:r w:rsidR="00F741ED">
        <w:rPr>
          <w:rFonts w:ascii="Times New Roman" w:hAnsi="Times New Roman"/>
          <w:sz w:val="24"/>
          <w:szCs w:val="24"/>
        </w:rPr>
        <w:t xml:space="preserve"> by the House of Lords</w:t>
      </w:r>
      <w:r w:rsidRPr="00065C01">
        <w:rPr>
          <w:rFonts w:ascii="Times New Roman" w:hAnsi="Times New Roman"/>
          <w:sz w:val="24"/>
          <w:szCs w:val="24"/>
        </w:rPr>
        <w:t xml:space="preserve"> in </w:t>
      </w:r>
      <w:r w:rsidRPr="00065C01">
        <w:rPr>
          <w:rFonts w:ascii="Times New Roman" w:hAnsi="Times New Roman"/>
          <w:bCs/>
          <w:i/>
          <w:sz w:val="24"/>
          <w:szCs w:val="24"/>
        </w:rPr>
        <w:t>Advocate General v MacDonald</w:t>
      </w:r>
      <w:r w:rsidR="008B238A">
        <w:rPr>
          <w:rFonts w:ascii="Times New Roman" w:hAnsi="Times New Roman"/>
          <w:bCs/>
          <w:i/>
          <w:sz w:val="24"/>
          <w:szCs w:val="24"/>
        </w:rPr>
        <w:t xml:space="preserve"> </w:t>
      </w:r>
      <w:r w:rsidR="008B238A" w:rsidRPr="004855B9">
        <w:rPr>
          <w:rFonts w:ascii="Times New Roman" w:hAnsi="Times New Roman"/>
          <w:bCs/>
          <w:iCs/>
          <w:sz w:val="24"/>
          <w:szCs w:val="24"/>
        </w:rPr>
        <w:t>[2003]</w:t>
      </w:r>
      <w:r w:rsidRPr="00065C01">
        <w:rPr>
          <w:rFonts w:ascii="Times New Roman" w:hAnsi="Times New Roman"/>
          <w:bCs/>
          <w:sz w:val="24"/>
          <w:szCs w:val="24"/>
        </w:rPr>
        <w:t xml:space="preserve">. </w:t>
      </w:r>
      <w:r w:rsidR="004855B9">
        <w:rPr>
          <w:rFonts w:ascii="Times New Roman" w:hAnsi="Times New Roman"/>
          <w:bCs/>
          <w:sz w:val="24"/>
          <w:szCs w:val="24"/>
        </w:rPr>
        <w:t>(</w:t>
      </w:r>
      <w:r w:rsidR="004855B9" w:rsidRPr="004855B9">
        <w:rPr>
          <w:rFonts w:ascii="Times New Roman" w:hAnsi="Times New Roman"/>
          <w:bCs/>
          <w:sz w:val="24"/>
          <w:szCs w:val="24"/>
        </w:rPr>
        <w:t xml:space="preserve">Lord Prosser’s dissenting judgment </w:t>
      </w:r>
      <w:r w:rsidR="00F741ED">
        <w:rPr>
          <w:rFonts w:ascii="Times New Roman" w:hAnsi="Times New Roman"/>
          <w:bCs/>
          <w:sz w:val="24"/>
          <w:szCs w:val="24"/>
        </w:rPr>
        <w:t xml:space="preserve">at the earlier stage </w:t>
      </w:r>
      <w:r w:rsidR="004855B9" w:rsidRPr="004855B9">
        <w:rPr>
          <w:rFonts w:ascii="Times New Roman" w:hAnsi="Times New Roman"/>
          <w:bCs/>
          <w:sz w:val="24"/>
          <w:szCs w:val="24"/>
        </w:rPr>
        <w:t>in the Inner House had embraced the argument</w:t>
      </w:r>
      <w:r w:rsidR="00CE2D0C">
        <w:rPr>
          <w:rFonts w:ascii="Times New Roman" w:hAnsi="Times New Roman"/>
          <w:bCs/>
          <w:sz w:val="24"/>
          <w:szCs w:val="24"/>
        </w:rPr>
        <w:t xml:space="preserve"> I have put forward</w:t>
      </w:r>
      <w:r w:rsidR="004855B9" w:rsidRPr="004855B9">
        <w:rPr>
          <w:rFonts w:ascii="Times New Roman" w:hAnsi="Times New Roman"/>
          <w:bCs/>
          <w:sz w:val="24"/>
          <w:szCs w:val="24"/>
        </w:rPr>
        <w:t xml:space="preserve">: </w:t>
      </w:r>
      <w:r w:rsidR="004855B9" w:rsidRPr="004855B9">
        <w:rPr>
          <w:rFonts w:ascii="Times New Roman" w:hAnsi="Times New Roman"/>
          <w:bCs/>
          <w:i/>
          <w:sz w:val="24"/>
          <w:szCs w:val="24"/>
        </w:rPr>
        <w:t>Advocate General v MacDonald</w:t>
      </w:r>
      <w:r w:rsidR="004855B9" w:rsidRPr="004855B9">
        <w:rPr>
          <w:rFonts w:ascii="Times New Roman" w:hAnsi="Times New Roman"/>
          <w:bCs/>
          <w:sz w:val="24"/>
          <w:szCs w:val="24"/>
        </w:rPr>
        <w:t xml:space="preserve"> [2001</w:t>
      </w:r>
      <w:r w:rsidR="00203F86">
        <w:rPr>
          <w:rFonts w:ascii="Times New Roman" w:hAnsi="Times New Roman"/>
          <w:bCs/>
          <w:sz w:val="24"/>
          <w:szCs w:val="24"/>
        </w:rPr>
        <w:t>]:</w:t>
      </w:r>
      <w:r w:rsidR="004855B9" w:rsidRPr="004855B9">
        <w:rPr>
          <w:rFonts w:ascii="Times New Roman" w:hAnsi="Times New Roman"/>
          <w:bCs/>
          <w:sz w:val="24"/>
          <w:szCs w:val="24"/>
        </w:rPr>
        <w:t xml:space="preserve"> 9–15 [21]</w:t>
      </w:r>
      <w:proofErr w:type="gramStart"/>
      <w:r w:rsidR="004855B9" w:rsidRPr="004855B9">
        <w:rPr>
          <w:rFonts w:ascii="Times New Roman" w:hAnsi="Times New Roman"/>
          <w:bCs/>
          <w:sz w:val="24"/>
          <w:szCs w:val="24"/>
        </w:rPr>
        <w:t>–[</w:t>
      </w:r>
      <w:proofErr w:type="gramEnd"/>
      <w:r w:rsidR="004855B9" w:rsidRPr="004855B9">
        <w:rPr>
          <w:rFonts w:ascii="Times New Roman" w:hAnsi="Times New Roman"/>
          <w:bCs/>
          <w:sz w:val="24"/>
          <w:szCs w:val="24"/>
        </w:rPr>
        <w:t>40].</w:t>
      </w:r>
      <w:r w:rsidR="004855B9">
        <w:rPr>
          <w:rFonts w:ascii="Times New Roman" w:hAnsi="Times New Roman"/>
          <w:bCs/>
          <w:sz w:val="24"/>
          <w:szCs w:val="24"/>
        </w:rPr>
        <w:t xml:space="preserve">) </w:t>
      </w:r>
      <w:r w:rsidRPr="00065C01">
        <w:rPr>
          <w:rFonts w:ascii="Times New Roman" w:hAnsi="Times New Roman"/>
          <w:sz w:val="24"/>
          <w:szCs w:val="24"/>
        </w:rPr>
        <w:t>I quote from the leading judgment</w:t>
      </w:r>
      <w:r w:rsidR="00F741ED">
        <w:rPr>
          <w:rFonts w:ascii="Times New Roman" w:hAnsi="Times New Roman"/>
          <w:sz w:val="24"/>
          <w:szCs w:val="24"/>
        </w:rPr>
        <w:t xml:space="preserve"> in the House of Lords</w:t>
      </w:r>
      <w:r w:rsidRPr="00065C01">
        <w:rPr>
          <w:rFonts w:ascii="Times New Roman" w:hAnsi="Times New Roman"/>
          <w:sz w:val="24"/>
          <w:szCs w:val="24"/>
        </w:rPr>
        <w:t>, given by Lord Nicholls:</w:t>
      </w:r>
    </w:p>
    <w:p w:rsidR="00166A21" w:rsidRPr="00065C01" w:rsidRDefault="00166A21" w:rsidP="00A546E8">
      <w:pPr>
        <w:autoSpaceDE w:val="0"/>
        <w:autoSpaceDN w:val="0"/>
        <w:adjustRightInd w:val="0"/>
        <w:spacing w:before="120" w:after="120" w:line="480" w:lineRule="auto"/>
        <w:ind w:left="709"/>
        <w:rPr>
          <w:rFonts w:ascii="Times New Roman" w:hAnsi="Times New Roman"/>
          <w:sz w:val="24"/>
          <w:szCs w:val="24"/>
        </w:rPr>
      </w:pPr>
      <w:r w:rsidRPr="00065C01">
        <w:rPr>
          <w:rFonts w:ascii="Times New Roman" w:hAnsi="Times New Roman"/>
          <w:sz w:val="24"/>
          <w:szCs w:val="24"/>
        </w:rPr>
        <w:t>10 I should also mention an argument based on the Race Relations Act 1976 (cap 74). The</w:t>
      </w:r>
      <w:r w:rsidR="00A546E8">
        <w:rPr>
          <w:rFonts w:ascii="Times New Roman" w:hAnsi="Times New Roman"/>
          <w:sz w:val="24"/>
          <w:szCs w:val="24"/>
        </w:rPr>
        <w:t xml:space="preserve"> </w:t>
      </w:r>
      <w:r w:rsidRPr="00065C01">
        <w:rPr>
          <w:rFonts w:ascii="Times New Roman" w:hAnsi="Times New Roman"/>
          <w:sz w:val="24"/>
          <w:szCs w:val="24"/>
        </w:rPr>
        <w:t>appellants sought to rely on the analogy of the restaurateur who refuses to serve mixed race</w:t>
      </w:r>
      <w:r w:rsidR="00A546E8">
        <w:rPr>
          <w:rFonts w:ascii="Times New Roman" w:hAnsi="Times New Roman"/>
          <w:sz w:val="24"/>
          <w:szCs w:val="24"/>
        </w:rPr>
        <w:t xml:space="preserve"> </w:t>
      </w:r>
      <w:r w:rsidRPr="00065C01">
        <w:rPr>
          <w:rFonts w:ascii="Times New Roman" w:hAnsi="Times New Roman"/>
          <w:sz w:val="24"/>
          <w:szCs w:val="24"/>
        </w:rPr>
        <w:t>couples. He will not admit a black man accompanied by a white woman, or a white man</w:t>
      </w:r>
      <w:r w:rsidR="00A546E8">
        <w:rPr>
          <w:rFonts w:ascii="Times New Roman" w:hAnsi="Times New Roman"/>
          <w:sz w:val="24"/>
          <w:szCs w:val="24"/>
        </w:rPr>
        <w:t xml:space="preserve"> </w:t>
      </w:r>
      <w:r w:rsidRPr="00065C01">
        <w:rPr>
          <w:rFonts w:ascii="Times New Roman" w:hAnsi="Times New Roman"/>
          <w:sz w:val="24"/>
          <w:szCs w:val="24"/>
        </w:rPr>
        <w:t>accompanied by a black woman. This, it was said, would be racial discrimination. It would be</w:t>
      </w:r>
      <w:r w:rsidR="00A546E8">
        <w:rPr>
          <w:rFonts w:ascii="Times New Roman" w:hAnsi="Times New Roman"/>
          <w:sz w:val="24"/>
          <w:szCs w:val="24"/>
        </w:rPr>
        <w:t xml:space="preserve"> </w:t>
      </w:r>
      <w:r w:rsidRPr="00065C01">
        <w:rPr>
          <w:rFonts w:ascii="Times New Roman" w:hAnsi="Times New Roman"/>
          <w:sz w:val="24"/>
          <w:szCs w:val="24"/>
        </w:rPr>
        <w:t>racial discrimination even though the restaurateur</w:t>
      </w:r>
      <w:r w:rsidR="00170B49" w:rsidRPr="00065C01">
        <w:rPr>
          <w:rFonts w:ascii="Times New Roman" w:hAnsi="Times New Roman"/>
          <w:sz w:val="24"/>
          <w:szCs w:val="24"/>
        </w:rPr>
        <w:t>’s</w:t>
      </w:r>
      <w:r w:rsidRPr="00065C01">
        <w:rPr>
          <w:rFonts w:ascii="Times New Roman" w:hAnsi="Times New Roman"/>
          <w:sz w:val="24"/>
          <w:szCs w:val="24"/>
        </w:rPr>
        <w:t xml:space="preserve"> policy applied equally to men of all races.</w:t>
      </w:r>
    </w:p>
    <w:p w:rsidR="00166A21" w:rsidRPr="00065C01" w:rsidRDefault="00166A21" w:rsidP="00680EC7">
      <w:pPr>
        <w:autoSpaceDE w:val="0"/>
        <w:autoSpaceDN w:val="0"/>
        <w:adjustRightInd w:val="0"/>
        <w:spacing w:after="0" w:line="480" w:lineRule="auto"/>
        <w:ind w:left="709"/>
        <w:rPr>
          <w:rFonts w:ascii="Times New Roman" w:hAnsi="Times New Roman"/>
          <w:sz w:val="24"/>
          <w:szCs w:val="24"/>
        </w:rPr>
      </w:pPr>
      <w:r w:rsidRPr="00065C01">
        <w:rPr>
          <w:rFonts w:ascii="Times New Roman" w:hAnsi="Times New Roman"/>
          <w:sz w:val="24"/>
          <w:szCs w:val="24"/>
        </w:rPr>
        <w:t>11 I agree. That would be racial discrimination. But the analogy sought to be drawn with the</w:t>
      </w:r>
      <w:r w:rsidR="00A546E8">
        <w:rPr>
          <w:rFonts w:ascii="Times New Roman" w:hAnsi="Times New Roman"/>
          <w:sz w:val="24"/>
          <w:szCs w:val="24"/>
        </w:rPr>
        <w:t xml:space="preserve"> </w:t>
      </w:r>
      <w:r w:rsidRPr="00065C01">
        <w:rPr>
          <w:rFonts w:ascii="Times New Roman" w:hAnsi="Times New Roman"/>
          <w:sz w:val="24"/>
          <w:szCs w:val="24"/>
        </w:rPr>
        <w:t>present cases is unsound. A restaurateur who refuses to serve a black man because he is</w:t>
      </w:r>
      <w:r w:rsidR="00A546E8">
        <w:rPr>
          <w:rFonts w:ascii="Times New Roman" w:hAnsi="Times New Roman"/>
          <w:sz w:val="24"/>
          <w:szCs w:val="24"/>
        </w:rPr>
        <w:t xml:space="preserve"> </w:t>
      </w:r>
      <w:r w:rsidRPr="00065C01">
        <w:rPr>
          <w:rFonts w:ascii="Times New Roman" w:hAnsi="Times New Roman"/>
          <w:sz w:val="24"/>
          <w:szCs w:val="24"/>
        </w:rPr>
        <w:t xml:space="preserve">accompanied by a white woman would thereby be discriminating on </w:t>
      </w:r>
      <w:r w:rsidR="00AB338C">
        <w:rPr>
          <w:rFonts w:ascii="Times New Roman" w:hAnsi="Times New Roman"/>
          <w:sz w:val="24"/>
          <w:szCs w:val="24"/>
        </w:rPr>
        <w:t>“</w:t>
      </w:r>
      <w:r w:rsidRPr="00065C01">
        <w:rPr>
          <w:rFonts w:ascii="Times New Roman" w:hAnsi="Times New Roman"/>
          <w:sz w:val="24"/>
          <w:szCs w:val="24"/>
        </w:rPr>
        <w:t>racial grounds</w:t>
      </w:r>
      <w:r w:rsidR="00AB338C">
        <w:rPr>
          <w:rFonts w:ascii="Times New Roman" w:hAnsi="Times New Roman"/>
          <w:sz w:val="24"/>
          <w:szCs w:val="24"/>
        </w:rPr>
        <w:t>”</w:t>
      </w:r>
      <w:r w:rsidRPr="00065C01">
        <w:rPr>
          <w:rFonts w:ascii="Times New Roman" w:hAnsi="Times New Roman"/>
          <w:sz w:val="24"/>
          <w:szCs w:val="24"/>
        </w:rPr>
        <w:t>. That phrase is amply wide enough to include such a case. This treatment would not cease to be</w:t>
      </w:r>
      <w:r w:rsidR="00A546E8">
        <w:rPr>
          <w:rFonts w:ascii="Times New Roman" w:hAnsi="Times New Roman"/>
          <w:sz w:val="24"/>
          <w:szCs w:val="24"/>
        </w:rPr>
        <w:t xml:space="preserve"> </w:t>
      </w:r>
      <w:r w:rsidRPr="00065C01">
        <w:rPr>
          <w:rFonts w:ascii="Times New Roman" w:hAnsi="Times New Roman"/>
          <w:sz w:val="24"/>
          <w:szCs w:val="24"/>
        </w:rPr>
        <w:t xml:space="preserve">discrimination on racial grounds because the </w:t>
      </w:r>
      <w:r w:rsidRPr="00065C01">
        <w:rPr>
          <w:rFonts w:ascii="Times New Roman" w:hAnsi="Times New Roman"/>
          <w:sz w:val="24"/>
          <w:szCs w:val="24"/>
        </w:rPr>
        <w:lastRenderedPageBreak/>
        <w:t>restaurateur would equally discriminate on racial grounds in the converse situation of a white man and a black woman.</w:t>
      </w:r>
    </w:p>
    <w:p w:rsidR="00166A21" w:rsidRPr="00842A5E" w:rsidRDefault="00166A21" w:rsidP="00842A5E">
      <w:pPr>
        <w:autoSpaceDE w:val="0"/>
        <w:autoSpaceDN w:val="0"/>
        <w:adjustRightInd w:val="0"/>
        <w:spacing w:after="0" w:line="480" w:lineRule="auto"/>
        <w:ind w:left="709"/>
        <w:rPr>
          <w:rFonts w:ascii="Times New Roman" w:hAnsi="Times New Roman"/>
          <w:sz w:val="24"/>
          <w:szCs w:val="24"/>
        </w:rPr>
      </w:pPr>
      <w:r w:rsidRPr="00065C01">
        <w:rPr>
          <w:rFonts w:ascii="Times New Roman" w:hAnsi="Times New Roman"/>
          <w:sz w:val="24"/>
          <w:szCs w:val="24"/>
        </w:rPr>
        <w:t>12 This is to be contrasted with the present cases. An employer who dismisses a male employee because of his sexual orientation is not discriminating again</w:t>
      </w:r>
      <w:r w:rsidR="00F82AE8">
        <w:rPr>
          <w:rFonts w:ascii="Times New Roman" w:hAnsi="Times New Roman"/>
          <w:sz w:val="24"/>
          <w:szCs w:val="24"/>
        </w:rPr>
        <w:t>st him on the ground of his sex</w:t>
      </w:r>
      <w:r w:rsidRPr="00065C01">
        <w:rPr>
          <w:rFonts w:ascii="Times New Roman" w:hAnsi="Times New Roman"/>
          <w:sz w:val="24"/>
          <w:szCs w:val="24"/>
        </w:rPr>
        <w:t xml:space="preserve">. </w:t>
      </w:r>
      <w:r w:rsidR="00203F86">
        <w:rPr>
          <w:rFonts w:ascii="Times New Roman" w:hAnsi="Times New Roman"/>
          <w:sz w:val="24"/>
          <w:szCs w:val="24"/>
        </w:rPr>
        <w:t>(</w:t>
      </w:r>
      <w:r w:rsidR="00203F86" w:rsidRPr="00203F86">
        <w:rPr>
          <w:rFonts w:ascii="Times New Roman" w:hAnsi="Times New Roman"/>
          <w:bCs/>
          <w:i/>
          <w:sz w:val="24"/>
          <w:szCs w:val="24"/>
        </w:rPr>
        <w:t xml:space="preserve">Advocate General v MacDonald </w:t>
      </w:r>
      <w:r w:rsidR="00203F86" w:rsidRPr="00203F86">
        <w:rPr>
          <w:rFonts w:ascii="Times New Roman" w:hAnsi="Times New Roman"/>
          <w:bCs/>
          <w:iCs/>
          <w:sz w:val="24"/>
          <w:szCs w:val="24"/>
        </w:rPr>
        <w:t>[2003]</w:t>
      </w:r>
      <w:r w:rsidR="00203F86">
        <w:rPr>
          <w:rFonts w:ascii="Times New Roman" w:hAnsi="Times New Roman"/>
          <w:bCs/>
          <w:iCs/>
          <w:sz w:val="24"/>
          <w:szCs w:val="24"/>
        </w:rPr>
        <w:t xml:space="preserve">: </w:t>
      </w:r>
      <w:r w:rsidR="00203F86" w:rsidRPr="00203F86">
        <w:rPr>
          <w:rFonts w:ascii="Times New Roman" w:hAnsi="Times New Roman"/>
          <w:sz w:val="24"/>
          <w:szCs w:val="24"/>
        </w:rPr>
        <w:t>40, [10]</w:t>
      </w:r>
      <w:proofErr w:type="gramStart"/>
      <w:r w:rsidR="00203F86" w:rsidRPr="00203F86">
        <w:rPr>
          <w:rFonts w:ascii="Times New Roman" w:hAnsi="Times New Roman"/>
          <w:sz w:val="24"/>
          <w:szCs w:val="24"/>
        </w:rPr>
        <w:t>–[</w:t>
      </w:r>
      <w:proofErr w:type="gramEnd"/>
      <w:r w:rsidR="00203F86" w:rsidRPr="00203F86">
        <w:rPr>
          <w:rFonts w:ascii="Times New Roman" w:hAnsi="Times New Roman"/>
          <w:sz w:val="24"/>
          <w:szCs w:val="24"/>
        </w:rPr>
        <w:t>12]</w:t>
      </w:r>
      <w:r w:rsidR="00203F86">
        <w:rPr>
          <w:rFonts w:ascii="Times New Roman" w:hAnsi="Times New Roman"/>
          <w:sz w:val="24"/>
          <w:szCs w:val="24"/>
        </w:rPr>
        <w:t>)</w:t>
      </w:r>
    </w:p>
    <w:p w:rsidR="003058AF" w:rsidRDefault="00170B49" w:rsidP="00A546E8">
      <w:pPr>
        <w:spacing w:before="120" w:after="120" w:line="480" w:lineRule="auto"/>
        <w:rPr>
          <w:rFonts w:ascii="Times New Roman" w:hAnsi="Times New Roman"/>
          <w:sz w:val="24"/>
          <w:szCs w:val="24"/>
        </w:rPr>
      </w:pPr>
      <w:r w:rsidRPr="00065C01">
        <w:rPr>
          <w:rFonts w:ascii="Times New Roman" w:hAnsi="Times New Roman"/>
          <w:sz w:val="24"/>
          <w:szCs w:val="24"/>
        </w:rPr>
        <w:t>Th</w:t>
      </w:r>
      <w:r w:rsidR="00C36AD3">
        <w:rPr>
          <w:rFonts w:ascii="Times New Roman" w:hAnsi="Times New Roman"/>
          <w:sz w:val="24"/>
          <w:szCs w:val="24"/>
        </w:rPr>
        <w:t>e</w:t>
      </w:r>
      <w:r w:rsidR="00894599">
        <w:rPr>
          <w:rFonts w:ascii="Times New Roman" w:hAnsi="Times New Roman"/>
          <w:sz w:val="24"/>
          <w:szCs w:val="24"/>
        </w:rPr>
        <w:t xml:space="preserve"> first</w:t>
      </w:r>
      <w:r w:rsidR="00C36AD3">
        <w:rPr>
          <w:rFonts w:ascii="Times New Roman" w:hAnsi="Times New Roman"/>
          <w:sz w:val="24"/>
          <w:szCs w:val="24"/>
        </w:rPr>
        <w:t xml:space="preserve"> thing to</w:t>
      </w:r>
      <w:r w:rsidR="00894599">
        <w:rPr>
          <w:rFonts w:ascii="Times New Roman" w:hAnsi="Times New Roman"/>
          <w:sz w:val="24"/>
          <w:szCs w:val="24"/>
        </w:rPr>
        <w:t xml:space="preserve"> note</w:t>
      </w:r>
      <w:r w:rsidR="00166A21" w:rsidRPr="00065C01">
        <w:rPr>
          <w:rFonts w:ascii="Times New Roman" w:hAnsi="Times New Roman"/>
          <w:sz w:val="24"/>
          <w:szCs w:val="24"/>
        </w:rPr>
        <w:t xml:space="preserve"> </w:t>
      </w:r>
      <w:r w:rsidR="00C36AD3">
        <w:rPr>
          <w:rFonts w:ascii="Times New Roman" w:hAnsi="Times New Roman"/>
          <w:sz w:val="24"/>
          <w:szCs w:val="24"/>
        </w:rPr>
        <w:t xml:space="preserve">here is </w:t>
      </w:r>
      <w:r w:rsidR="00166A21" w:rsidRPr="00065C01">
        <w:rPr>
          <w:rFonts w:ascii="Times New Roman" w:hAnsi="Times New Roman"/>
          <w:sz w:val="24"/>
          <w:szCs w:val="24"/>
        </w:rPr>
        <w:t>that since the Equality Act 2010 broadened the grounds of direct discrimination</w:t>
      </w:r>
      <w:r w:rsidR="000021ED" w:rsidRPr="00065C01">
        <w:rPr>
          <w:rFonts w:ascii="Times New Roman" w:hAnsi="Times New Roman"/>
          <w:sz w:val="24"/>
          <w:szCs w:val="24"/>
        </w:rPr>
        <w:t xml:space="preserve"> in this respect</w:t>
      </w:r>
      <w:r w:rsidR="00166A21" w:rsidRPr="00065C01">
        <w:rPr>
          <w:rFonts w:ascii="Times New Roman" w:hAnsi="Times New Roman"/>
          <w:sz w:val="24"/>
          <w:szCs w:val="24"/>
        </w:rPr>
        <w:t xml:space="preserve"> from</w:t>
      </w:r>
      <w:r w:rsidR="009C446F" w:rsidRPr="00065C01">
        <w:rPr>
          <w:rFonts w:ascii="Times New Roman" w:hAnsi="Times New Roman"/>
          <w:sz w:val="24"/>
          <w:szCs w:val="24"/>
        </w:rPr>
        <w:t xml:space="preserve"> </w:t>
      </w:r>
      <w:r w:rsidR="00AB338C">
        <w:rPr>
          <w:rFonts w:ascii="Times New Roman" w:hAnsi="Times New Roman"/>
          <w:sz w:val="24"/>
          <w:szCs w:val="24"/>
        </w:rPr>
        <w:t>“</w:t>
      </w:r>
      <w:r w:rsidR="00166A21" w:rsidRPr="00065C01">
        <w:rPr>
          <w:rFonts w:ascii="Times New Roman" w:hAnsi="Times New Roman"/>
          <w:sz w:val="24"/>
          <w:szCs w:val="24"/>
        </w:rPr>
        <w:t xml:space="preserve">on the ground of her </w:t>
      </w:r>
      <w:r w:rsidR="009D7E1B" w:rsidRPr="00065C01">
        <w:rPr>
          <w:rFonts w:ascii="Times New Roman" w:hAnsi="Times New Roman"/>
          <w:sz w:val="24"/>
          <w:szCs w:val="24"/>
        </w:rPr>
        <w:t>[</w:t>
      </w:r>
      <w:r w:rsidR="00166A21" w:rsidRPr="00065C01">
        <w:rPr>
          <w:rFonts w:ascii="Times New Roman" w:hAnsi="Times New Roman"/>
          <w:sz w:val="24"/>
          <w:szCs w:val="24"/>
        </w:rPr>
        <w:t>or his</w:t>
      </w:r>
      <w:r w:rsidR="009D7E1B" w:rsidRPr="00065C01">
        <w:rPr>
          <w:rFonts w:ascii="Times New Roman" w:hAnsi="Times New Roman"/>
          <w:sz w:val="24"/>
          <w:szCs w:val="24"/>
        </w:rPr>
        <w:t>]</w:t>
      </w:r>
      <w:r w:rsidR="00A37063">
        <w:rPr>
          <w:rFonts w:ascii="Times New Roman" w:hAnsi="Times New Roman"/>
          <w:sz w:val="24"/>
          <w:szCs w:val="24"/>
        </w:rPr>
        <w:t xml:space="preserve"> sex</w:t>
      </w:r>
      <w:r w:rsidR="00AB338C">
        <w:rPr>
          <w:rFonts w:ascii="Times New Roman" w:hAnsi="Times New Roman"/>
          <w:sz w:val="24"/>
          <w:szCs w:val="24"/>
        </w:rPr>
        <w:t>”</w:t>
      </w:r>
      <w:r w:rsidR="009C446F" w:rsidRPr="00065C01">
        <w:rPr>
          <w:rFonts w:ascii="Times New Roman" w:hAnsi="Times New Roman"/>
          <w:sz w:val="24"/>
          <w:szCs w:val="24"/>
        </w:rPr>
        <w:t>, as</w:t>
      </w:r>
      <w:r w:rsidR="00166A21" w:rsidRPr="00065C01">
        <w:rPr>
          <w:rFonts w:ascii="Times New Roman" w:hAnsi="Times New Roman"/>
          <w:sz w:val="24"/>
          <w:szCs w:val="24"/>
        </w:rPr>
        <w:t xml:space="preserve"> </w:t>
      </w:r>
      <w:r w:rsidR="000021ED" w:rsidRPr="00065C01">
        <w:rPr>
          <w:rFonts w:ascii="Times New Roman" w:hAnsi="Times New Roman"/>
          <w:sz w:val="24"/>
          <w:szCs w:val="24"/>
        </w:rPr>
        <w:t>found in</w:t>
      </w:r>
      <w:r w:rsidR="008114BA">
        <w:rPr>
          <w:rFonts w:ascii="Times New Roman" w:hAnsi="Times New Roman"/>
          <w:sz w:val="24"/>
          <w:szCs w:val="24"/>
        </w:rPr>
        <w:t xml:space="preserve"> sections </w:t>
      </w:r>
      <w:r w:rsidR="008114BA" w:rsidRPr="008114BA">
        <w:rPr>
          <w:rFonts w:ascii="Times New Roman" w:hAnsi="Times New Roman"/>
          <w:sz w:val="24"/>
          <w:szCs w:val="24"/>
        </w:rPr>
        <w:t>1(1)(a) and 1(2)(a)</w:t>
      </w:r>
      <w:r w:rsidR="008114BA">
        <w:rPr>
          <w:rFonts w:ascii="Times New Roman" w:hAnsi="Times New Roman"/>
          <w:sz w:val="24"/>
          <w:szCs w:val="24"/>
        </w:rPr>
        <w:t xml:space="preserve"> of</w:t>
      </w:r>
      <w:r w:rsidR="000021ED" w:rsidRPr="00065C01">
        <w:rPr>
          <w:rFonts w:ascii="Times New Roman" w:hAnsi="Times New Roman"/>
          <w:sz w:val="24"/>
          <w:szCs w:val="24"/>
        </w:rPr>
        <w:t xml:space="preserve"> </w:t>
      </w:r>
      <w:r w:rsidR="00346E6A" w:rsidRPr="00065C01">
        <w:rPr>
          <w:rFonts w:ascii="Times New Roman" w:hAnsi="Times New Roman"/>
          <w:sz w:val="24"/>
          <w:szCs w:val="24"/>
        </w:rPr>
        <w:t xml:space="preserve">the </w:t>
      </w:r>
      <w:r w:rsidR="000021ED" w:rsidRPr="00065C01">
        <w:rPr>
          <w:rFonts w:ascii="Times New Roman" w:hAnsi="Times New Roman"/>
          <w:sz w:val="24"/>
          <w:szCs w:val="24"/>
        </w:rPr>
        <w:t>Sex Discrimination Act 1975</w:t>
      </w:r>
      <w:r w:rsidR="009C446F" w:rsidRPr="00065C01">
        <w:rPr>
          <w:rFonts w:ascii="Times New Roman" w:hAnsi="Times New Roman"/>
          <w:sz w:val="24"/>
          <w:szCs w:val="24"/>
        </w:rPr>
        <w:t>,</w:t>
      </w:r>
      <w:r w:rsidR="008114BA">
        <w:rPr>
          <w:rStyle w:val="FootnoteReference"/>
          <w:rFonts w:ascii="Times New Roman" w:hAnsi="Times New Roman"/>
          <w:sz w:val="24"/>
          <w:szCs w:val="24"/>
        </w:rPr>
        <w:t xml:space="preserve"> </w:t>
      </w:r>
      <w:r w:rsidR="00166A21" w:rsidRPr="00065C01">
        <w:rPr>
          <w:rFonts w:ascii="Times New Roman" w:hAnsi="Times New Roman"/>
          <w:sz w:val="24"/>
          <w:szCs w:val="24"/>
        </w:rPr>
        <w:t xml:space="preserve">to </w:t>
      </w:r>
      <w:r w:rsidR="008114BA">
        <w:rPr>
          <w:rFonts w:ascii="Times New Roman" w:hAnsi="Times New Roman"/>
          <w:sz w:val="24"/>
          <w:szCs w:val="24"/>
        </w:rPr>
        <w:t>the Equality Act 2010’s phrase “</w:t>
      </w:r>
      <w:r w:rsidR="00166A21" w:rsidRPr="00065C01">
        <w:rPr>
          <w:rFonts w:ascii="Times New Roman" w:hAnsi="Times New Roman"/>
          <w:sz w:val="24"/>
          <w:szCs w:val="24"/>
        </w:rPr>
        <w:t>because of sex</w:t>
      </w:r>
      <w:r w:rsidR="008114BA">
        <w:rPr>
          <w:rFonts w:ascii="Times New Roman" w:hAnsi="Times New Roman"/>
          <w:sz w:val="24"/>
          <w:szCs w:val="24"/>
        </w:rPr>
        <w:t>”</w:t>
      </w:r>
      <w:r w:rsidR="00346E6A" w:rsidRPr="00065C01">
        <w:rPr>
          <w:rFonts w:ascii="Times New Roman" w:hAnsi="Times New Roman"/>
          <w:sz w:val="24"/>
          <w:szCs w:val="24"/>
        </w:rPr>
        <w:t>, Lord Nicholls’s</w:t>
      </w:r>
      <w:r w:rsidR="00166A21" w:rsidRPr="00065C01">
        <w:rPr>
          <w:rFonts w:ascii="Times New Roman" w:hAnsi="Times New Roman"/>
          <w:sz w:val="24"/>
          <w:szCs w:val="24"/>
        </w:rPr>
        <w:t xml:space="preserve"> </w:t>
      </w:r>
      <w:r w:rsidR="00346E6A" w:rsidRPr="00065C01">
        <w:rPr>
          <w:rFonts w:ascii="Times New Roman" w:hAnsi="Times New Roman"/>
          <w:sz w:val="24"/>
          <w:szCs w:val="24"/>
        </w:rPr>
        <w:t>contrast drawn above</w:t>
      </w:r>
      <w:r w:rsidR="00166A21" w:rsidRPr="00065C01">
        <w:rPr>
          <w:rFonts w:ascii="Times New Roman" w:hAnsi="Times New Roman"/>
          <w:sz w:val="24"/>
          <w:szCs w:val="24"/>
        </w:rPr>
        <w:t xml:space="preserve"> falls away.</w:t>
      </w:r>
    </w:p>
    <w:p w:rsidR="00AB338C" w:rsidRDefault="00AB338C" w:rsidP="008542DE">
      <w:pPr>
        <w:spacing w:before="120" w:after="120" w:line="480" w:lineRule="auto"/>
        <w:rPr>
          <w:rFonts w:ascii="Times New Roman" w:hAnsi="Times New Roman"/>
          <w:sz w:val="24"/>
          <w:szCs w:val="24"/>
        </w:rPr>
      </w:pPr>
    </w:p>
    <w:p w:rsidR="005326A8" w:rsidRDefault="00B80BE4" w:rsidP="008542DE">
      <w:pPr>
        <w:spacing w:before="120" w:after="120" w:line="480" w:lineRule="auto"/>
        <w:rPr>
          <w:rFonts w:ascii="Times New Roman" w:hAnsi="Times New Roman"/>
          <w:sz w:val="24"/>
          <w:szCs w:val="24"/>
        </w:rPr>
      </w:pPr>
      <w:r>
        <w:rPr>
          <w:rFonts w:ascii="Times New Roman" w:hAnsi="Times New Roman"/>
          <w:sz w:val="24"/>
          <w:szCs w:val="24"/>
        </w:rPr>
        <w:t xml:space="preserve">At this point </w:t>
      </w:r>
      <w:r w:rsidR="00894599">
        <w:rPr>
          <w:rFonts w:ascii="Times New Roman" w:hAnsi="Times New Roman"/>
          <w:sz w:val="24"/>
          <w:szCs w:val="24"/>
        </w:rPr>
        <w:t xml:space="preserve">a supporter of </w:t>
      </w:r>
      <w:r w:rsidR="00493C4A">
        <w:rPr>
          <w:rFonts w:ascii="Times New Roman" w:hAnsi="Times New Roman"/>
          <w:sz w:val="24"/>
          <w:szCs w:val="24"/>
        </w:rPr>
        <w:t xml:space="preserve">the </w:t>
      </w:r>
      <w:r w:rsidR="00894599">
        <w:rPr>
          <w:rFonts w:ascii="Times New Roman" w:hAnsi="Times New Roman"/>
          <w:sz w:val="24"/>
          <w:szCs w:val="24"/>
        </w:rPr>
        <w:t>lin</w:t>
      </w:r>
      <w:r>
        <w:rPr>
          <w:rFonts w:ascii="Times New Roman" w:hAnsi="Times New Roman"/>
          <w:sz w:val="24"/>
          <w:szCs w:val="24"/>
        </w:rPr>
        <w:t>e</w:t>
      </w:r>
      <w:r w:rsidR="00493C4A">
        <w:rPr>
          <w:rFonts w:ascii="Times New Roman" w:hAnsi="Times New Roman"/>
          <w:sz w:val="24"/>
          <w:szCs w:val="24"/>
        </w:rPr>
        <w:t xml:space="preserve"> taken by </w:t>
      </w:r>
      <w:r w:rsidR="00493C4A" w:rsidRPr="00493C4A">
        <w:rPr>
          <w:rFonts w:ascii="Times New Roman" w:hAnsi="Times New Roman"/>
          <w:sz w:val="24"/>
          <w:szCs w:val="24"/>
        </w:rPr>
        <w:t>Lord Nicholl</w:t>
      </w:r>
      <w:r w:rsidR="00493C4A">
        <w:rPr>
          <w:rFonts w:ascii="Times New Roman" w:hAnsi="Times New Roman"/>
          <w:sz w:val="24"/>
          <w:szCs w:val="24"/>
        </w:rPr>
        <w:t>s in 2003</w:t>
      </w:r>
      <w:r>
        <w:rPr>
          <w:rFonts w:ascii="Times New Roman" w:hAnsi="Times New Roman"/>
          <w:sz w:val="24"/>
          <w:szCs w:val="24"/>
        </w:rPr>
        <w:t xml:space="preserve"> might recur to an o</w:t>
      </w:r>
      <w:r w:rsidR="008C4567">
        <w:rPr>
          <w:rFonts w:ascii="Times New Roman" w:hAnsi="Times New Roman"/>
          <w:sz w:val="24"/>
          <w:szCs w:val="24"/>
        </w:rPr>
        <w:t>bject</w:t>
      </w:r>
      <w:r>
        <w:rPr>
          <w:rFonts w:ascii="Times New Roman" w:hAnsi="Times New Roman"/>
          <w:sz w:val="24"/>
          <w:szCs w:val="24"/>
        </w:rPr>
        <w:t>ion I mentioned near the start</w:t>
      </w:r>
      <w:r w:rsidR="005326A8">
        <w:rPr>
          <w:rFonts w:ascii="Times New Roman" w:hAnsi="Times New Roman"/>
          <w:sz w:val="24"/>
          <w:szCs w:val="24"/>
        </w:rPr>
        <w:t xml:space="preserve"> </w:t>
      </w:r>
      <w:r>
        <w:rPr>
          <w:rFonts w:ascii="Times New Roman" w:hAnsi="Times New Roman"/>
          <w:sz w:val="24"/>
          <w:szCs w:val="24"/>
        </w:rPr>
        <w:t xml:space="preserve">based on </w:t>
      </w:r>
      <w:r w:rsidR="005326A8">
        <w:rPr>
          <w:rFonts w:ascii="Times New Roman" w:hAnsi="Times New Roman"/>
          <w:sz w:val="24"/>
          <w:szCs w:val="24"/>
        </w:rPr>
        <w:t>the</w:t>
      </w:r>
      <w:r w:rsidR="009113FA">
        <w:rPr>
          <w:rFonts w:ascii="Times New Roman" w:hAnsi="Times New Roman"/>
          <w:sz w:val="24"/>
          <w:szCs w:val="24"/>
        </w:rPr>
        <w:t xml:space="preserve"> Explanatory Notes to the</w:t>
      </w:r>
      <w:r w:rsidR="00FE56F1">
        <w:rPr>
          <w:rFonts w:ascii="Times New Roman" w:hAnsi="Times New Roman"/>
          <w:sz w:val="24"/>
          <w:szCs w:val="24"/>
        </w:rPr>
        <w:t xml:space="preserve"> Equality</w:t>
      </w:r>
      <w:r w:rsidR="005326A8">
        <w:rPr>
          <w:rFonts w:ascii="Times New Roman" w:hAnsi="Times New Roman"/>
          <w:sz w:val="24"/>
          <w:szCs w:val="24"/>
        </w:rPr>
        <w:t xml:space="preserve"> Act</w:t>
      </w:r>
      <w:r w:rsidR="00FE56F1">
        <w:rPr>
          <w:rFonts w:ascii="Times New Roman" w:hAnsi="Times New Roman"/>
          <w:sz w:val="24"/>
          <w:szCs w:val="24"/>
        </w:rPr>
        <w:t xml:space="preserve"> 2010</w:t>
      </w:r>
      <w:r w:rsidR="005D4427">
        <w:rPr>
          <w:rFonts w:ascii="Times New Roman" w:hAnsi="Times New Roman"/>
          <w:sz w:val="24"/>
          <w:szCs w:val="24"/>
        </w:rPr>
        <w:t>, which</w:t>
      </w:r>
      <w:r w:rsidR="005326A8">
        <w:rPr>
          <w:rFonts w:ascii="Times New Roman" w:hAnsi="Times New Roman"/>
          <w:sz w:val="24"/>
          <w:szCs w:val="24"/>
        </w:rPr>
        <w:t xml:space="preserve"> </w:t>
      </w:r>
      <w:r w:rsidR="009113FA">
        <w:rPr>
          <w:rFonts w:ascii="Times New Roman" w:hAnsi="Times New Roman"/>
          <w:sz w:val="24"/>
          <w:szCs w:val="24"/>
        </w:rPr>
        <w:t xml:space="preserve">state, in commenting on </w:t>
      </w:r>
      <w:r w:rsidR="00FE56F1">
        <w:rPr>
          <w:rFonts w:ascii="Times New Roman" w:hAnsi="Times New Roman"/>
          <w:sz w:val="24"/>
          <w:szCs w:val="24"/>
        </w:rPr>
        <w:t xml:space="preserve">the Act’s definition of </w:t>
      </w:r>
      <w:r w:rsidR="002142F8">
        <w:rPr>
          <w:rFonts w:ascii="Times New Roman" w:hAnsi="Times New Roman"/>
          <w:sz w:val="24"/>
          <w:szCs w:val="24"/>
        </w:rPr>
        <w:t>“</w:t>
      </w:r>
      <w:r w:rsidR="00FE56F1">
        <w:rPr>
          <w:rFonts w:ascii="Times New Roman" w:hAnsi="Times New Roman"/>
          <w:sz w:val="24"/>
          <w:szCs w:val="24"/>
        </w:rPr>
        <w:t>because of sex</w:t>
      </w:r>
      <w:r w:rsidR="002142F8">
        <w:rPr>
          <w:rFonts w:ascii="Times New Roman" w:hAnsi="Times New Roman"/>
          <w:sz w:val="24"/>
          <w:szCs w:val="24"/>
        </w:rPr>
        <w:t>”</w:t>
      </w:r>
      <w:r w:rsidR="009113FA">
        <w:rPr>
          <w:rFonts w:ascii="Times New Roman" w:hAnsi="Times New Roman"/>
          <w:sz w:val="24"/>
          <w:szCs w:val="24"/>
        </w:rPr>
        <w:t>:</w:t>
      </w:r>
    </w:p>
    <w:p w:rsidR="009113FA" w:rsidRPr="009113FA" w:rsidRDefault="009113FA" w:rsidP="009113FA">
      <w:pPr>
        <w:spacing w:before="120" w:after="120" w:line="480" w:lineRule="auto"/>
        <w:ind w:left="709"/>
        <w:rPr>
          <w:rFonts w:ascii="Times New Roman" w:hAnsi="Times New Roman"/>
          <w:sz w:val="24"/>
          <w:szCs w:val="24"/>
        </w:rPr>
      </w:pPr>
      <w:r w:rsidRPr="009113FA">
        <w:rPr>
          <w:rFonts w:ascii="Times New Roman" w:hAnsi="Times New Roman"/>
          <w:sz w:val="24"/>
          <w:szCs w:val="24"/>
        </w:rPr>
        <w:t>This section is a new provision which explains that references in the Act to people having the protected characteristic of sex are to mean being a man or a woman, and that men share this characteristic with other men, and women with other women</w:t>
      </w:r>
      <w:r w:rsidR="008114BA">
        <w:rPr>
          <w:rFonts w:ascii="Times New Roman" w:hAnsi="Times New Roman"/>
          <w:sz w:val="24"/>
          <w:szCs w:val="24"/>
        </w:rPr>
        <w:t>.</w:t>
      </w:r>
    </w:p>
    <w:p w:rsidR="00A95AA5" w:rsidRDefault="008C4567" w:rsidP="00A95AA5">
      <w:pPr>
        <w:spacing w:before="120" w:after="120" w:line="480" w:lineRule="auto"/>
        <w:rPr>
          <w:rFonts w:ascii="Times New Roman" w:hAnsi="Times New Roman"/>
          <w:sz w:val="24"/>
          <w:szCs w:val="24"/>
        </w:rPr>
      </w:pPr>
      <w:r>
        <w:rPr>
          <w:rFonts w:ascii="Times New Roman" w:hAnsi="Times New Roman"/>
          <w:sz w:val="24"/>
          <w:szCs w:val="24"/>
        </w:rPr>
        <w:t xml:space="preserve">The objection goes that neither Hall nor </w:t>
      </w:r>
      <w:proofErr w:type="spellStart"/>
      <w:r>
        <w:rPr>
          <w:rFonts w:ascii="Times New Roman" w:hAnsi="Times New Roman"/>
          <w:sz w:val="24"/>
          <w:szCs w:val="24"/>
        </w:rPr>
        <w:t>Preddy</w:t>
      </w:r>
      <w:proofErr w:type="spellEnd"/>
      <w:r>
        <w:rPr>
          <w:rFonts w:ascii="Times New Roman" w:hAnsi="Times New Roman"/>
          <w:sz w:val="24"/>
          <w:szCs w:val="24"/>
        </w:rPr>
        <w:t xml:space="preserve"> was discriminated against because he was a man</w:t>
      </w:r>
      <w:r w:rsidR="002A2A08">
        <w:rPr>
          <w:rFonts w:ascii="Times New Roman" w:hAnsi="Times New Roman"/>
          <w:sz w:val="24"/>
          <w:szCs w:val="24"/>
        </w:rPr>
        <w:t xml:space="preserve"> (or, obviously, because he was mistakenly thought to be a woman)</w:t>
      </w:r>
      <w:r>
        <w:rPr>
          <w:rFonts w:ascii="Times New Roman" w:hAnsi="Times New Roman"/>
          <w:sz w:val="24"/>
          <w:szCs w:val="24"/>
        </w:rPr>
        <w:t>, so there is no direct discrimination because of sex</w:t>
      </w:r>
      <w:r w:rsidR="00954FA1">
        <w:rPr>
          <w:rFonts w:ascii="Times New Roman" w:hAnsi="Times New Roman"/>
          <w:sz w:val="24"/>
          <w:szCs w:val="24"/>
        </w:rPr>
        <w:t xml:space="preserve"> (c</w:t>
      </w:r>
      <w:r w:rsidR="00954FA1" w:rsidRPr="00954FA1">
        <w:rPr>
          <w:rFonts w:ascii="Times New Roman" w:hAnsi="Times New Roman"/>
          <w:sz w:val="24"/>
          <w:szCs w:val="24"/>
        </w:rPr>
        <w:t xml:space="preserve">ompare the dissenting opinion of Circuit Judge Sykes in </w:t>
      </w:r>
      <w:bookmarkStart w:id="21" w:name="_Hlk44512485"/>
      <w:r w:rsidR="00954FA1" w:rsidRPr="00954FA1">
        <w:rPr>
          <w:rFonts w:ascii="Times New Roman" w:hAnsi="Times New Roman"/>
          <w:i/>
          <w:sz w:val="24"/>
          <w:szCs w:val="24"/>
        </w:rPr>
        <w:t xml:space="preserve">Hively v Ivy Tech Community College </w:t>
      </w:r>
      <w:r w:rsidR="005B47C7">
        <w:rPr>
          <w:rFonts w:ascii="Times New Roman" w:hAnsi="Times New Roman"/>
          <w:iCs/>
          <w:sz w:val="24"/>
          <w:szCs w:val="24"/>
        </w:rPr>
        <w:t>(</w:t>
      </w:r>
      <w:r w:rsidR="00954FA1" w:rsidRPr="00954FA1">
        <w:rPr>
          <w:rFonts w:ascii="Times New Roman" w:hAnsi="Times New Roman"/>
          <w:sz w:val="24"/>
          <w:szCs w:val="24"/>
        </w:rPr>
        <w:t>2017</w:t>
      </w:r>
      <w:r w:rsidR="005B47C7">
        <w:rPr>
          <w:rFonts w:ascii="Times New Roman" w:hAnsi="Times New Roman"/>
          <w:sz w:val="24"/>
          <w:szCs w:val="24"/>
        </w:rPr>
        <w:t>)</w:t>
      </w:r>
      <w:r w:rsidR="00954FA1" w:rsidRPr="00954FA1">
        <w:rPr>
          <w:rFonts w:ascii="Times New Roman" w:hAnsi="Times New Roman"/>
          <w:sz w:val="24"/>
          <w:szCs w:val="24"/>
        </w:rPr>
        <w:t>: 52</w:t>
      </w:r>
      <w:bookmarkEnd w:id="21"/>
      <w:r w:rsidR="002142F8">
        <w:rPr>
          <w:rFonts w:ascii="Times New Roman" w:hAnsi="Times New Roman"/>
          <w:sz w:val="24"/>
          <w:szCs w:val="24"/>
        </w:rPr>
        <w:t xml:space="preserve">, and the dissenting opinion of </w:t>
      </w:r>
      <w:r w:rsidR="007046F9">
        <w:rPr>
          <w:rFonts w:ascii="Times New Roman" w:hAnsi="Times New Roman"/>
          <w:sz w:val="24"/>
          <w:szCs w:val="24"/>
        </w:rPr>
        <w:t>Alito</w:t>
      </w:r>
      <w:r w:rsidR="008518E8">
        <w:rPr>
          <w:rFonts w:ascii="Times New Roman" w:hAnsi="Times New Roman"/>
          <w:sz w:val="24"/>
          <w:szCs w:val="24"/>
        </w:rPr>
        <w:t xml:space="preserve"> J</w:t>
      </w:r>
      <w:r w:rsidR="007046F9">
        <w:rPr>
          <w:rFonts w:ascii="Times New Roman" w:hAnsi="Times New Roman"/>
          <w:sz w:val="24"/>
          <w:szCs w:val="24"/>
        </w:rPr>
        <w:t xml:space="preserve"> in </w:t>
      </w:r>
      <w:r w:rsidR="007046F9">
        <w:rPr>
          <w:rFonts w:ascii="Times New Roman" w:hAnsi="Times New Roman"/>
          <w:i/>
          <w:iCs/>
          <w:sz w:val="24"/>
          <w:szCs w:val="24"/>
        </w:rPr>
        <w:t>Bostock v Clayton County</w:t>
      </w:r>
      <w:r w:rsidR="007046F9">
        <w:rPr>
          <w:rFonts w:ascii="Times New Roman" w:hAnsi="Times New Roman"/>
          <w:sz w:val="24"/>
          <w:szCs w:val="24"/>
        </w:rPr>
        <w:t xml:space="preserve"> </w:t>
      </w:r>
      <w:r w:rsidR="005B47C7">
        <w:rPr>
          <w:rFonts w:ascii="Times New Roman" w:hAnsi="Times New Roman"/>
          <w:sz w:val="24"/>
          <w:szCs w:val="24"/>
        </w:rPr>
        <w:t>(</w:t>
      </w:r>
      <w:r w:rsidR="007046F9">
        <w:rPr>
          <w:rFonts w:ascii="Times New Roman" w:hAnsi="Times New Roman"/>
          <w:sz w:val="24"/>
          <w:szCs w:val="24"/>
        </w:rPr>
        <w:t>2020</w:t>
      </w:r>
      <w:r w:rsidR="00954FA1">
        <w:rPr>
          <w:rFonts w:ascii="Times New Roman" w:hAnsi="Times New Roman"/>
          <w:sz w:val="24"/>
          <w:szCs w:val="24"/>
        </w:rPr>
        <w:t>)</w:t>
      </w:r>
      <w:r w:rsidR="005B47C7">
        <w:rPr>
          <w:rFonts w:ascii="Times New Roman" w:hAnsi="Times New Roman"/>
          <w:sz w:val="24"/>
          <w:szCs w:val="24"/>
        </w:rPr>
        <w:t>)</w:t>
      </w:r>
      <w:r>
        <w:rPr>
          <w:rFonts w:ascii="Times New Roman" w:hAnsi="Times New Roman"/>
          <w:sz w:val="24"/>
          <w:szCs w:val="24"/>
        </w:rPr>
        <w:t xml:space="preserve">. </w:t>
      </w:r>
      <w:r w:rsidR="005D2B92">
        <w:rPr>
          <w:rFonts w:ascii="Times New Roman" w:hAnsi="Times New Roman"/>
          <w:sz w:val="24"/>
          <w:szCs w:val="24"/>
        </w:rPr>
        <w:t xml:space="preserve">A related objection from Julian Rivers </w:t>
      </w:r>
      <w:r w:rsidR="005D2B92" w:rsidRPr="005D2B92">
        <w:rPr>
          <w:rFonts w:ascii="Times New Roman" w:hAnsi="Times New Roman"/>
          <w:sz w:val="24"/>
          <w:szCs w:val="24"/>
        </w:rPr>
        <w:t>(2017, personal communication, 18 July)</w:t>
      </w:r>
      <w:r w:rsidR="005D2B92">
        <w:rPr>
          <w:rFonts w:ascii="Times New Roman" w:hAnsi="Times New Roman"/>
          <w:sz w:val="24"/>
          <w:szCs w:val="24"/>
        </w:rPr>
        <w:t xml:space="preserve"> is that the Bulls discriminated not because of </w:t>
      </w:r>
      <w:r w:rsidR="005D2B92" w:rsidRPr="00D51478">
        <w:rPr>
          <w:rFonts w:ascii="Times New Roman" w:hAnsi="Times New Roman"/>
          <w:i/>
          <w:iCs/>
          <w:sz w:val="24"/>
          <w:szCs w:val="24"/>
        </w:rPr>
        <w:t>sex</w:t>
      </w:r>
      <w:r w:rsidR="005D2B92">
        <w:rPr>
          <w:rFonts w:ascii="Times New Roman" w:hAnsi="Times New Roman"/>
          <w:sz w:val="24"/>
          <w:szCs w:val="24"/>
        </w:rPr>
        <w:t xml:space="preserve">, but because of </w:t>
      </w:r>
      <w:r w:rsidR="005D2B92">
        <w:rPr>
          <w:rFonts w:ascii="Times New Roman" w:hAnsi="Times New Roman"/>
          <w:i/>
          <w:iCs/>
          <w:sz w:val="24"/>
          <w:szCs w:val="24"/>
        </w:rPr>
        <w:t>sameness of sex</w:t>
      </w:r>
      <w:r w:rsidR="00B83184">
        <w:rPr>
          <w:rFonts w:ascii="Times New Roman" w:hAnsi="Times New Roman"/>
          <w:i/>
          <w:iCs/>
          <w:sz w:val="24"/>
          <w:szCs w:val="24"/>
        </w:rPr>
        <w:t xml:space="preserve"> </w:t>
      </w:r>
      <w:r w:rsidR="00B83184">
        <w:rPr>
          <w:rFonts w:ascii="Times New Roman" w:hAnsi="Times New Roman"/>
          <w:sz w:val="24"/>
          <w:szCs w:val="24"/>
        </w:rPr>
        <w:t>(</w:t>
      </w:r>
      <w:r w:rsidR="00B83184" w:rsidRPr="00B83184">
        <w:rPr>
          <w:rFonts w:ascii="Times New Roman" w:hAnsi="Times New Roman"/>
          <w:sz w:val="24"/>
          <w:szCs w:val="24"/>
        </w:rPr>
        <w:t>two women in a civil partnership would also have been refused a double room)</w:t>
      </w:r>
      <w:r w:rsidR="00D51478">
        <w:rPr>
          <w:rFonts w:ascii="Times New Roman" w:hAnsi="Times New Roman"/>
          <w:sz w:val="24"/>
          <w:szCs w:val="24"/>
        </w:rPr>
        <w:t>.</w:t>
      </w:r>
      <w:r w:rsidR="0082160B">
        <w:rPr>
          <w:rFonts w:ascii="Times New Roman" w:hAnsi="Times New Roman"/>
          <w:sz w:val="24"/>
          <w:szCs w:val="24"/>
        </w:rPr>
        <w:t xml:space="preserve"> Rivers adds that while Hall and </w:t>
      </w:r>
      <w:proofErr w:type="spellStart"/>
      <w:r w:rsidR="0082160B">
        <w:rPr>
          <w:rFonts w:ascii="Times New Roman" w:hAnsi="Times New Roman"/>
          <w:sz w:val="24"/>
          <w:szCs w:val="24"/>
        </w:rPr>
        <w:t>Preddy</w:t>
      </w:r>
      <w:proofErr w:type="spellEnd"/>
      <w:r w:rsidR="0082160B">
        <w:rPr>
          <w:rFonts w:ascii="Times New Roman" w:hAnsi="Times New Roman"/>
          <w:sz w:val="24"/>
          <w:szCs w:val="24"/>
        </w:rPr>
        <w:t xml:space="preserve"> each have a sex, </w:t>
      </w:r>
      <w:r w:rsidR="0082160B" w:rsidRPr="0082160B">
        <w:rPr>
          <w:rFonts w:ascii="Times New Roman" w:hAnsi="Times New Roman"/>
          <w:i/>
          <w:iCs/>
          <w:sz w:val="24"/>
          <w:szCs w:val="24"/>
        </w:rPr>
        <w:t>the couple</w:t>
      </w:r>
      <w:r w:rsidR="0082160B">
        <w:rPr>
          <w:rFonts w:ascii="Times New Roman" w:hAnsi="Times New Roman"/>
          <w:sz w:val="24"/>
          <w:szCs w:val="24"/>
        </w:rPr>
        <w:t xml:space="preserve"> does not have a </w:t>
      </w:r>
      <w:r w:rsidR="0082160B">
        <w:rPr>
          <w:rFonts w:ascii="Times New Roman" w:hAnsi="Times New Roman"/>
          <w:sz w:val="24"/>
          <w:szCs w:val="24"/>
        </w:rPr>
        <w:lastRenderedPageBreak/>
        <w:t>sex</w:t>
      </w:r>
      <w:r w:rsidR="00AF40BC">
        <w:rPr>
          <w:rFonts w:ascii="Times New Roman" w:hAnsi="Times New Roman"/>
          <w:sz w:val="24"/>
          <w:szCs w:val="24"/>
        </w:rPr>
        <w:t>, so one cannot say that it is the couple that is discriminated against</w:t>
      </w:r>
      <w:r w:rsidR="004015DB">
        <w:rPr>
          <w:rFonts w:ascii="Times New Roman" w:hAnsi="Times New Roman"/>
          <w:sz w:val="24"/>
          <w:szCs w:val="24"/>
        </w:rPr>
        <w:t>.</w:t>
      </w:r>
      <w:r w:rsidR="00FE16C4">
        <w:rPr>
          <w:rFonts w:ascii="Times New Roman" w:hAnsi="Times New Roman"/>
          <w:sz w:val="24"/>
          <w:szCs w:val="24"/>
        </w:rPr>
        <w:t xml:space="preserve"> </w:t>
      </w:r>
      <w:r w:rsidR="00A95AA5">
        <w:rPr>
          <w:rFonts w:ascii="Times New Roman" w:hAnsi="Times New Roman"/>
          <w:sz w:val="24"/>
          <w:szCs w:val="24"/>
        </w:rPr>
        <w:t xml:space="preserve">Finally, it is objected that if the meaning of “because of sex” were as broad as I am suggesting then there would be no need for the drafter to have included section 14 of the Equality Act 2010 to deal with </w:t>
      </w:r>
      <w:r w:rsidR="00A74760">
        <w:rPr>
          <w:rFonts w:ascii="Times New Roman" w:hAnsi="Times New Roman"/>
          <w:sz w:val="24"/>
          <w:szCs w:val="24"/>
        </w:rPr>
        <w:t>“</w:t>
      </w:r>
      <w:r w:rsidR="00A95AA5">
        <w:rPr>
          <w:rFonts w:ascii="Times New Roman" w:hAnsi="Times New Roman"/>
          <w:sz w:val="24"/>
          <w:szCs w:val="24"/>
        </w:rPr>
        <w:t>combined</w:t>
      </w:r>
      <w:r w:rsidR="00A74760">
        <w:rPr>
          <w:rFonts w:ascii="Times New Roman" w:hAnsi="Times New Roman"/>
          <w:sz w:val="24"/>
          <w:szCs w:val="24"/>
        </w:rPr>
        <w:t>”, also known as “</w:t>
      </w:r>
      <w:r w:rsidR="00A95AA5">
        <w:rPr>
          <w:rFonts w:ascii="Times New Roman" w:hAnsi="Times New Roman"/>
          <w:sz w:val="24"/>
          <w:szCs w:val="24"/>
        </w:rPr>
        <w:t>intersectional</w:t>
      </w:r>
      <w:r w:rsidR="00A74760">
        <w:rPr>
          <w:rFonts w:ascii="Times New Roman" w:hAnsi="Times New Roman"/>
          <w:sz w:val="24"/>
          <w:szCs w:val="24"/>
        </w:rPr>
        <w:t>”,</w:t>
      </w:r>
      <w:r w:rsidR="00A95AA5">
        <w:rPr>
          <w:rFonts w:ascii="Times New Roman" w:hAnsi="Times New Roman"/>
          <w:sz w:val="24"/>
          <w:szCs w:val="24"/>
        </w:rPr>
        <w:t xml:space="preserve"> discrimination:</w:t>
      </w:r>
    </w:p>
    <w:p w:rsidR="00A95AA5" w:rsidRPr="00FE16C4" w:rsidRDefault="00A95AA5" w:rsidP="00A95AA5">
      <w:pPr>
        <w:spacing w:before="120" w:after="120" w:line="480" w:lineRule="auto"/>
        <w:ind w:left="993"/>
        <w:rPr>
          <w:rFonts w:ascii="Times New Roman" w:hAnsi="Times New Roman"/>
          <w:sz w:val="24"/>
          <w:szCs w:val="24"/>
        </w:rPr>
      </w:pPr>
      <w:r w:rsidRPr="00FE16C4">
        <w:rPr>
          <w:rFonts w:ascii="Times New Roman" w:hAnsi="Times New Roman"/>
          <w:sz w:val="24"/>
          <w:szCs w:val="24"/>
        </w:rPr>
        <w:t>A person (A) discriminates against another (B) if, because of a combination of two relevant protected characteristics, A treats B less favourably than A treats or would treat a person who does not share either of those characteristics</w:t>
      </w:r>
      <w:r>
        <w:rPr>
          <w:rFonts w:ascii="Times New Roman" w:hAnsi="Times New Roman"/>
          <w:sz w:val="24"/>
          <w:szCs w:val="24"/>
        </w:rPr>
        <w:t>.</w:t>
      </w:r>
      <w:r>
        <w:rPr>
          <w:rStyle w:val="FootnoteReference"/>
          <w:rFonts w:ascii="Times New Roman" w:hAnsi="Times New Roman"/>
          <w:sz w:val="24"/>
          <w:szCs w:val="24"/>
        </w:rPr>
        <w:footnoteReference w:id="13"/>
      </w:r>
    </w:p>
    <w:p w:rsidR="00A95AA5" w:rsidRDefault="00A95AA5" w:rsidP="009113FA">
      <w:pPr>
        <w:spacing w:before="120" w:after="120" w:line="480" w:lineRule="auto"/>
        <w:rPr>
          <w:rFonts w:ascii="Times New Roman" w:hAnsi="Times New Roman"/>
          <w:sz w:val="24"/>
          <w:szCs w:val="24"/>
        </w:rPr>
      </w:pPr>
    </w:p>
    <w:p w:rsidR="003777B4" w:rsidRDefault="00D51478" w:rsidP="009113FA">
      <w:pPr>
        <w:spacing w:before="120" w:after="120" w:line="480" w:lineRule="auto"/>
        <w:rPr>
          <w:rFonts w:ascii="Times New Roman" w:hAnsi="Times New Roman"/>
          <w:sz w:val="24"/>
          <w:szCs w:val="24"/>
        </w:rPr>
      </w:pPr>
      <w:r>
        <w:rPr>
          <w:rFonts w:ascii="Times New Roman" w:hAnsi="Times New Roman"/>
          <w:sz w:val="24"/>
          <w:szCs w:val="24"/>
        </w:rPr>
        <w:t>It should first be noted that, on the face of it, these objections</w:t>
      </w:r>
      <w:r w:rsidR="001302E1">
        <w:rPr>
          <w:rFonts w:ascii="Times New Roman" w:hAnsi="Times New Roman"/>
          <w:sz w:val="24"/>
          <w:szCs w:val="24"/>
        </w:rPr>
        <w:t>, if they were successful,</w:t>
      </w:r>
      <w:r>
        <w:rPr>
          <w:rFonts w:ascii="Times New Roman" w:hAnsi="Times New Roman"/>
          <w:sz w:val="24"/>
          <w:szCs w:val="24"/>
        </w:rPr>
        <w:t xml:space="preserve"> would tell against forbidding a mixed-race couple a double room</w:t>
      </w:r>
      <w:r w:rsidR="003777B4">
        <w:rPr>
          <w:rFonts w:ascii="Times New Roman" w:hAnsi="Times New Roman"/>
          <w:sz w:val="24"/>
          <w:szCs w:val="24"/>
        </w:rPr>
        <w:t xml:space="preserve">. Suppose that A is a black man and B a white woman, and that C refuses them a double room on the grounds that A and B are not of the same race. C could, by the objection before us at the moment, argue that A is not being discriminated against because of his race (as he would have been admitted had B been black too), and </w:t>
      </w:r>
      <w:r w:rsidR="001302E1">
        <w:rPr>
          <w:rFonts w:ascii="Times New Roman" w:hAnsi="Times New Roman"/>
          <w:sz w:val="24"/>
          <w:szCs w:val="24"/>
        </w:rPr>
        <w:t>that B</w:t>
      </w:r>
      <w:r w:rsidR="001302E1" w:rsidRPr="001302E1">
        <w:rPr>
          <w:rFonts w:ascii="Times New Roman" w:hAnsi="Times New Roman"/>
          <w:sz w:val="24"/>
          <w:szCs w:val="24"/>
        </w:rPr>
        <w:t xml:space="preserve"> is not being discriminated against because of h</w:t>
      </w:r>
      <w:r w:rsidR="001302E1">
        <w:rPr>
          <w:rFonts w:ascii="Times New Roman" w:hAnsi="Times New Roman"/>
          <w:sz w:val="24"/>
          <w:szCs w:val="24"/>
        </w:rPr>
        <w:t>er</w:t>
      </w:r>
      <w:r w:rsidR="001302E1" w:rsidRPr="001302E1">
        <w:rPr>
          <w:rFonts w:ascii="Times New Roman" w:hAnsi="Times New Roman"/>
          <w:sz w:val="24"/>
          <w:szCs w:val="24"/>
        </w:rPr>
        <w:t xml:space="preserve"> race (as </w:t>
      </w:r>
      <w:r w:rsidR="001302E1">
        <w:rPr>
          <w:rFonts w:ascii="Times New Roman" w:hAnsi="Times New Roman"/>
          <w:sz w:val="24"/>
          <w:szCs w:val="24"/>
        </w:rPr>
        <w:t>s</w:t>
      </w:r>
      <w:r w:rsidR="001302E1" w:rsidRPr="001302E1">
        <w:rPr>
          <w:rFonts w:ascii="Times New Roman" w:hAnsi="Times New Roman"/>
          <w:sz w:val="24"/>
          <w:szCs w:val="24"/>
        </w:rPr>
        <w:t xml:space="preserve">he would have been admitted had </w:t>
      </w:r>
      <w:r w:rsidR="001302E1">
        <w:rPr>
          <w:rFonts w:ascii="Times New Roman" w:hAnsi="Times New Roman"/>
          <w:sz w:val="24"/>
          <w:szCs w:val="24"/>
        </w:rPr>
        <w:t xml:space="preserve">A </w:t>
      </w:r>
      <w:r w:rsidR="001302E1" w:rsidRPr="001302E1">
        <w:rPr>
          <w:rFonts w:ascii="Times New Roman" w:hAnsi="Times New Roman"/>
          <w:sz w:val="24"/>
          <w:szCs w:val="24"/>
        </w:rPr>
        <w:t xml:space="preserve">been </w:t>
      </w:r>
      <w:r w:rsidR="001302E1">
        <w:rPr>
          <w:rFonts w:ascii="Times New Roman" w:hAnsi="Times New Roman"/>
          <w:sz w:val="24"/>
          <w:szCs w:val="24"/>
        </w:rPr>
        <w:t>white</w:t>
      </w:r>
      <w:r w:rsidR="001302E1" w:rsidRPr="001302E1">
        <w:rPr>
          <w:rFonts w:ascii="Times New Roman" w:hAnsi="Times New Roman"/>
          <w:sz w:val="24"/>
          <w:szCs w:val="24"/>
        </w:rPr>
        <w:t xml:space="preserve"> too</w:t>
      </w:r>
      <w:r w:rsidR="001302E1">
        <w:rPr>
          <w:rFonts w:ascii="Times New Roman" w:hAnsi="Times New Roman"/>
          <w:sz w:val="24"/>
          <w:szCs w:val="24"/>
        </w:rPr>
        <w:t xml:space="preserve">). Further, </w:t>
      </w:r>
      <w:r w:rsidR="00D0791D">
        <w:rPr>
          <w:rFonts w:ascii="Times New Roman" w:hAnsi="Times New Roman"/>
          <w:sz w:val="24"/>
          <w:szCs w:val="24"/>
        </w:rPr>
        <w:t xml:space="preserve">C could insist that </w:t>
      </w:r>
      <w:r w:rsidR="006F2AF5">
        <w:rPr>
          <w:rFonts w:ascii="Times New Roman" w:hAnsi="Times New Roman"/>
          <w:sz w:val="24"/>
          <w:szCs w:val="24"/>
        </w:rPr>
        <w:t xml:space="preserve">there was no discrimination because of </w:t>
      </w:r>
      <w:r w:rsidR="006F2AF5">
        <w:rPr>
          <w:rFonts w:ascii="Times New Roman" w:hAnsi="Times New Roman"/>
          <w:i/>
          <w:iCs/>
          <w:sz w:val="24"/>
          <w:szCs w:val="24"/>
        </w:rPr>
        <w:t>race</w:t>
      </w:r>
      <w:r w:rsidR="006F2AF5">
        <w:rPr>
          <w:rFonts w:ascii="Times New Roman" w:hAnsi="Times New Roman"/>
          <w:sz w:val="24"/>
          <w:szCs w:val="24"/>
        </w:rPr>
        <w:t xml:space="preserve">, but just because of </w:t>
      </w:r>
      <w:r w:rsidR="006F2AF5">
        <w:rPr>
          <w:rFonts w:ascii="Times New Roman" w:hAnsi="Times New Roman"/>
          <w:i/>
          <w:iCs/>
          <w:sz w:val="24"/>
          <w:szCs w:val="24"/>
        </w:rPr>
        <w:t>sameness of race</w:t>
      </w:r>
      <w:r w:rsidR="00E17AB2">
        <w:rPr>
          <w:rFonts w:ascii="Times New Roman" w:hAnsi="Times New Roman"/>
          <w:sz w:val="24"/>
          <w:szCs w:val="24"/>
        </w:rPr>
        <w:t xml:space="preserve">, and that, in any case, neither A nor B, but only </w:t>
      </w:r>
      <w:r w:rsidR="00E17AB2" w:rsidRPr="00E51086">
        <w:rPr>
          <w:rFonts w:ascii="Times New Roman" w:hAnsi="Times New Roman"/>
          <w:i/>
          <w:iCs/>
          <w:sz w:val="24"/>
          <w:szCs w:val="24"/>
        </w:rPr>
        <w:t>the couple of A and B</w:t>
      </w:r>
      <w:r w:rsidR="00E17AB2">
        <w:rPr>
          <w:rFonts w:ascii="Times New Roman" w:hAnsi="Times New Roman"/>
          <w:sz w:val="24"/>
          <w:szCs w:val="24"/>
        </w:rPr>
        <w:t>, has been discriminated against.</w:t>
      </w:r>
      <w:r w:rsidR="0098385A">
        <w:rPr>
          <w:rFonts w:ascii="Times New Roman" w:hAnsi="Times New Roman"/>
          <w:sz w:val="24"/>
          <w:szCs w:val="24"/>
        </w:rPr>
        <w:t xml:space="preserve"> It should be remembered that the Equality Act 2010 treats sex, race, and the other </w:t>
      </w:r>
      <w:r w:rsidR="00BC6C03">
        <w:rPr>
          <w:rFonts w:ascii="Times New Roman" w:hAnsi="Times New Roman"/>
          <w:sz w:val="24"/>
          <w:szCs w:val="24"/>
        </w:rPr>
        <w:t>protected</w:t>
      </w:r>
      <w:r w:rsidR="0098385A">
        <w:rPr>
          <w:rFonts w:ascii="Times New Roman" w:hAnsi="Times New Roman"/>
          <w:sz w:val="24"/>
          <w:szCs w:val="24"/>
        </w:rPr>
        <w:t xml:space="preserve"> characteristics alike in this respect (direct discrimination).</w:t>
      </w:r>
    </w:p>
    <w:p w:rsidR="00F97E3A" w:rsidRDefault="00F97E3A" w:rsidP="009113FA">
      <w:pPr>
        <w:spacing w:before="120" w:after="120" w:line="480" w:lineRule="auto"/>
        <w:rPr>
          <w:rFonts w:ascii="Times New Roman" w:hAnsi="Times New Roman"/>
          <w:sz w:val="24"/>
          <w:szCs w:val="24"/>
        </w:rPr>
      </w:pPr>
    </w:p>
    <w:p w:rsidR="009113FA" w:rsidRDefault="005674A0" w:rsidP="009113FA">
      <w:pPr>
        <w:spacing w:before="120" w:after="120" w:line="480" w:lineRule="auto"/>
        <w:rPr>
          <w:rFonts w:ascii="Times New Roman" w:hAnsi="Times New Roman"/>
          <w:sz w:val="24"/>
          <w:szCs w:val="24"/>
        </w:rPr>
      </w:pPr>
      <w:r>
        <w:rPr>
          <w:rFonts w:ascii="Times New Roman" w:hAnsi="Times New Roman"/>
          <w:sz w:val="24"/>
          <w:szCs w:val="24"/>
        </w:rPr>
        <w:lastRenderedPageBreak/>
        <w:t xml:space="preserve">It </w:t>
      </w:r>
      <w:r w:rsidR="00CD02B7">
        <w:rPr>
          <w:rFonts w:ascii="Times New Roman" w:hAnsi="Times New Roman"/>
          <w:sz w:val="24"/>
          <w:szCs w:val="24"/>
        </w:rPr>
        <w:t>seem</w:t>
      </w:r>
      <w:r w:rsidR="00140FAC">
        <w:rPr>
          <w:rFonts w:ascii="Times New Roman" w:hAnsi="Times New Roman"/>
          <w:sz w:val="24"/>
          <w:szCs w:val="24"/>
        </w:rPr>
        <w:t>s</w:t>
      </w:r>
      <w:r w:rsidR="00CD02B7">
        <w:rPr>
          <w:rFonts w:ascii="Times New Roman" w:hAnsi="Times New Roman"/>
          <w:sz w:val="24"/>
          <w:szCs w:val="24"/>
        </w:rPr>
        <w:t xml:space="preserve"> to me</w:t>
      </w:r>
      <w:r w:rsidR="00140FAC">
        <w:rPr>
          <w:rFonts w:ascii="Times New Roman" w:hAnsi="Times New Roman"/>
          <w:sz w:val="24"/>
          <w:szCs w:val="24"/>
        </w:rPr>
        <w:t xml:space="preserve">, in any case, </w:t>
      </w:r>
      <w:r w:rsidR="00CD02B7">
        <w:rPr>
          <w:rFonts w:ascii="Times New Roman" w:hAnsi="Times New Roman"/>
          <w:sz w:val="24"/>
          <w:szCs w:val="24"/>
        </w:rPr>
        <w:t xml:space="preserve">that there is a strong argument against the contention </w:t>
      </w:r>
      <w:r w:rsidR="00140FAC">
        <w:rPr>
          <w:rFonts w:ascii="Times New Roman" w:hAnsi="Times New Roman"/>
          <w:sz w:val="24"/>
          <w:szCs w:val="24"/>
        </w:rPr>
        <w:t>that</w:t>
      </w:r>
      <w:r w:rsidR="00140FAC" w:rsidRPr="00140FAC">
        <w:rPr>
          <w:rFonts w:ascii="Times New Roman" w:hAnsi="Times New Roman"/>
          <w:sz w:val="24"/>
          <w:szCs w:val="24"/>
        </w:rPr>
        <w:t xml:space="preserve"> neither Hall nor </w:t>
      </w:r>
      <w:proofErr w:type="spellStart"/>
      <w:r w:rsidR="00140FAC" w:rsidRPr="00140FAC">
        <w:rPr>
          <w:rFonts w:ascii="Times New Roman" w:hAnsi="Times New Roman"/>
          <w:sz w:val="24"/>
          <w:szCs w:val="24"/>
        </w:rPr>
        <w:t>Preddy</w:t>
      </w:r>
      <w:proofErr w:type="spellEnd"/>
      <w:r w:rsidR="00140FAC" w:rsidRPr="00140FAC">
        <w:rPr>
          <w:rFonts w:ascii="Times New Roman" w:hAnsi="Times New Roman"/>
          <w:sz w:val="24"/>
          <w:szCs w:val="24"/>
        </w:rPr>
        <w:t xml:space="preserve"> was discriminated against because he was a man</w:t>
      </w:r>
      <w:r w:rsidR="007076D5">
        <w:rPr>
          <w:rFonts w:ascii="Times New Roman" w:hAnsi="Times New Roman"/>
          <w:sz w:val="24"/>
          <w:szCs w:val="24"/>
        </w:rPr>
        <w:t xml:space="preserve">: </w:t>
      </w:r>
      <w:r w:rsidR="001F6293">
        <w:rPr>
          <w:rFonts w:ascii="Times New Roman" w:hAnsi="Times New Roman"/>
          <w:sz w:val="24"/>
          <w:szCs w:val="24"/>
        </w:rPr>
        <w:t xml:space="preserve">when </w:t>
      </w:r>
      <w:proofErr w:type="spellStart"/>
      <w:r w:rsidR="001F6293">
        <w:rPr>
          <w:rFonts w:ascii="Times New Roman" w:hAnsi="Times New Roman"/>
          <w:sz w:val="24"/>
          <w:szCs w:val="24"/>
        </w:rPr>
        <w:t>Preddy</w:t>
      </w:r>
      <w:proofErr w:type="spellEnd"/>
      <w:r w:rsidR="001F6293">
        <w:rPr>
          <w:rFonts w:ascii="Times New Roman" w:hAnsi="Times New Roman"/>
          <w:sz w:val="24"/>
          <w:szCs w:val="24"/>
        </w:rPr>
        <w:t xml:space="preserve"> booked a double room by telephone on 4 September 2008</w:t>
      </w:r>
      <w:r w:rsidR="00732F4A">
        <w:rPr>
          <w:rFonts w:ascii="Times New Roman" w:hAnsi="Times New Roman"/>
          <w:sz w:val="24"/>
          <w:szCs w:val="24"/>
        </w:rPr>
        <w:t xml:space="preserve"> the Bulls thought that he was booking it for </w:t>
      </w:r>
      <w:r w:rsidR="00216C00">
        <w:rPr>
          <w:rFonts w:ascii="Times New Roman" w:hAnsi="Times New Roman"/>
          <w:sz w:val="24"/>
          <w:szCs w:val="24"/>
        </w:rPr>
        <w:t>himself</w:t>
      </w:r>
      <w:r w:rsidR="00732F4A">
        <w:rPr>
          <w:rFonts w:ascii="Times New Roman" w:hAnsi="Times New Roman"/>
          <w:sz w:val="24"/>
          <w:szCs w:val="24"/>
        </w:rPr>
        <w:t xml:space="preserve"> and a woman</w:t>
      </w:r>
      <w:r w:rsidR="00497EF5">
        <w:rPr>
          <w:rFonts w:ascii="Times New Roman" w:hAnsi="Times New Roman"/>
          <w:sz w:val="24"/>
          <w:szCs w:val="24"/>
        </w:rPr>
        <w:t>,</w:t>
      </w:r>
      <w:r w:rsidR="00732F4A">
        <w:rPr>
          <w:rFonts w:ascii="Times New Roman" w:hAnsi="Times New Roman"/>
          <w:sz w:val="24"/>
          <w:szCs w:val="24"/>
        </w:rPr>
        <w:t xml:space="preserve"> whom they assumed to be his wife</w:t>
      </w:r>
      <w:r w:rsidR="00497EF5">
        <w:rPr>
          <w:rFonts w:ascii="Times New Roman" w:hAnsi="Times New Roman"/>
          <w:sz w:val="24"/>
          <w:szCs w:val="24"/>
        </w:rPr>
        <w:t xml:space="preserve"> (</w:t>
      </w:r>
      <w:r w:rsidR="00497EF5" w:rsidRPr="00497EF5">
        <w:rPr>
          <w:rFonts w:ascii="Times New Roman" w:hAnsi="Times New Roman"/>
          <w:i/>
          <w:sz w:val="24"/>
          <w:szCs w:val="24"/>
        </w:rPr>
        <w:t xml:space="preserve">Hall and </w:t>
      </w:r>
      <w:proofErr w:type="spellStart"/>
      <w:r w:rsidR="00497EF5" w:rsidRPr="00497EF5">
        <w:rPr>
          <w:rFonts w:ascii="Times New Roman" w:hAnsi="Times New Roman"/>
          <w:i/>
          <w:sz w:val="24"/>
          <w:szCs w:val="24"/>
        </w:rPr>
        <w:t>Preddy</w:t>
      </w:r>
      <w:proofErr w:type="spellEnd"/>
      <w:r w:rsidR="00497EF5" w:rsidRPr="00497EF5">
        <w:rPr>
          <w:rFonts w:ascii="Times New Roman" w:hAnsi="Times New Roman"/>
          <w:i/>
          <w:sz w:val="24"/>
          <w:szCs w:val="24"/>
        </w:rPr>
        <w:t xml:space="preserve"> v Bull and Bull </w:t>
      </w:r>
      <w:r w:rsidR="005703EE">
        <w:rPr>
          <w:rFonts w:ascii="Times New Roman" w:hAnsi="Times New Roman"/>
          <w:iCs/>
          <w:sz w:val="24"/>
          <w:szCs w:val="24"/>
        </w:rPr>
        <w:t>[</w:t>
      </w:r>
      <w:r w:rsidR="00497EF5" w:rsidRPr="00497EF5">
        <w:rPr>
          <w:rFonts w:ascii="Times New Roman" w:hAnsi="Times New Roman"/>
          <w:sz w:val="24"/>
          <w:szCs w:val="24"/>
        </w:rPr>
        <w:t>2011</w:t>
      </w:r>
      <w:r w:rsidR="005703EE">
        <w:rPr>
          <w:rFonts w:ascii="Times New Roman" w:hAnsi="Times New Roman"/>
          <w:sz w:val="24"/>
          <w:szCs w:val="24"/>
        </w:rPr>
        <w:t>]</w:t>
      </w:r>
      <w:r w:rsidR="00497EF5">
        <w:rPr>
          <w:rFonts w:ascii="Times New Roman" w:hAnsi="Times New Roman"/>
          <w:sz w:val="24"/>
          <w:szCs w:val="24"/>
        </w:rPr>
        <w:t xml:space="preserve">: </w:t>
      </w:r>
      <w:r w:rsidR="00497EF5" w:rsidRPr="00497EF5">
        <w:rPr>
          <w:rFonts w:ascii="Times New Roman" w:hAnsi="Times New Roman"/>
          <w:sz w:val="24"/>
          <w:szCs w:val="24"/>
        </w:rPr>
        <w:t>[11]–[12]</w:t>
      </w:r>
      <w:r w:rsidR="00497EF5">
        <w:rPr>
          <w:rFonts w:ascii="Times New Roman" w:hAnsi="Times New Roman"/>
          <w:sz w:val="24"/>
          <w:szCs w:val="24"/>
        </w:rPr>
        <w:t>)</w:t>
      </w:r>
      <w:r w:rsidR="00732F4A">
        <w:rPr>
          <w:rFonts w:ascii="Times New Roman" w:hAnsi="Times New Roman"/>
          <w:sz w:val="24"/>
          <w:szCs w:val="24"/>
        </w:rPr>
        <w:t>.</w:t>
      </w:r>
      <w:r w:rsidR="00497EF5">
        <w:rPr>
          <w:rStyle w:val="FootnoteReference"/>
          <w:rFonts w:ascii="Times New Roman" w:hAnsi="Times New Roman"/>
          <w:sz w:val="24"/>
          <w:szCs w:val="24"/>
        </w:rPr>
        <w:t xml:space="preserve"> </w:t>
      </w:r>
      <w:r w:rsidR="00004E89">
        <w:rPr>
          <w:rFonts w:ascii="Times New Roman" w:hAnsi="Times New Roman"/>
          <w:sz w:val="24"/>
          <w:szCs w:val="24"/>
        </w:rPr>
        <w:t xml:space="preserve">Now imagine </w:t>
      </w:r>
      <w:proofErr w:type="spellStart"/>
      <w:r w:rsidR="00004E89">
        <w:rPr>
          <w:rFonts w:ascii="Times New Roman" w:hAnsi="Times New Roman"/>
          <w:sz w:val="24"/>
          <w:szCs w:val="24"/>
        </w:rPr>
        <w:t>Preddy’s</w:t>
      </w:r>
      <w:proofErr w:type="spellEnd"/>
      <w:r w:rsidR="00004E89">
        <w:rPr>
          <w:rFonts w:ascii="Times New Roman" w:hAnsi="Times New Roman"/>
          <w:sz w:val="24"/>
          <w:szCs w:val="24"/>
        </w:rPr>
        <w:t xml:space="preserve"> coming into the hotel</w:t>
      </w:r>
      <w:r w:rsidR="00216C00">
        <w:rPr>
          <w:rFonts w:ascii="Times New Roman" w:hAnsi="Times New Roman"/>
          <w:sz w:val="24"/>
          <w:szCs w:val="24"/>
        </w:rPr>
        <w:t xml:space="preserve"> the next day</w:t>
      </w:r>
      <w:r w:rsidR="00954FA1">
        <w:rPr>
          <w:rFonts w:ascii="Times New Roman" w:hAnsi="Times New Roman"/>
          <w:sz w:val="24"/>
          <w:szCs w:val="24"/>
        </w:rPr>
        <w:t xml:space="preserve"> (</w:t>
      </w:r>
      <w:r w:rsidR="00954FA1" w:rsidRPr="00954FA1">
        <w:rPr>
          <w:rFonts w:ascii="Times New Roman" w:hAnsi="Times New Roman"/>
          <w:i/>
          <w:sz w:val="24"/>
          <w:szCs w:val="24"/>
        </w:rPr>
        <w:t xml:space="preserve">Hall and </w:t>
      </w:r>
      <w:proofErr w:type="spellStart"/>
      <w:r w:rsidR="00954FA1" w:rsidRPr="00954FA1">
        <w:rPr>
          <w:rFonts w:ascii="Times New Roman" w:hAnsi="Times New Roman"/>
          <w:i/>
          <w:sz w:val="24"/>
          <w:szCs w:val="24"/>
        </w:rPr>
        <w:t>Preddy</w:t>
      </w:r>
      <w:proofErr w:type="spellEnd"/>
      <w:r w:rsidR="00954FA1" w:rsidRPr="00954FA1">
        <w:rPr>
          <w:rFonts w:ascii="Times New Roman" w:hAnsi="Times New Roman"/>
          <w:i/>
          <w:sz w:val="24"/>
          <w:szCs w:val="24"/>
        </w:rPr>
        <w:t xml:space="preserve"> v Bull and Bull </w:t>
      </w:r>
      <w:r w:rsidR="005703EE" w:rsidRPr="005703EE">
        <w:rPr>
          <w:rFonts w:ascii="Times New Roman" w:hAnsi="Times New Roman"/>
          <w:iCs/>
          <w:sz w:val="24"/>
          <w:szCs w:val="24"/>
        </w:rPr>
        <w:t>[</w:t>
      </w:r>
      <w:r w:rsidR="005703EE" w:rsidRPr="005703EE">
        <w:rPr>
          <w:rFonts w:ascii="Times New Roman" w:hAnsi="Times New Roman"/>
          <w:sz w:val="24"/>
          <w:szCs w:val="24"/>
        </w:rPr>
        <w:t>2011]</w:t>
      </w:r>
      <w:r w:rsidR="00954FA1" w:rsidRPr="00954FA1">
        <w:rPr>
          <w:rFonts w:ascii="Times New Roman" w:hAnsi="Times New Roman"/>
          <w:sz w:val="24"/>
          <w:szCs w:val="24"/>
        </w:rPr>
        <w:t>: [1</w:t>
      </w:r>
      <w:r w:rsidR="00954FA1">
        <w:rPr>
          <w:rFonts w:ascii="Times New Roman" w:hAnsi="Times New Roman"/>
          <w:sz w:val="24"/>
          <w:szCs w:val="24"/>
        </w:rPr>
        <w:t>3</w:t>
      </w:r>
      <w:r w:rsidR="00954FA1" w:rsidRPr="00954FA1">
        <w:rPr>
          <w:rFonts w:ascii="Times New Roman" w:hAnsi="Times New Roman"/>
          <w:sz w:val="24"/>
          <w:szCs w:val="24"/>
        </w:rPr>
        <w:t>]</w:t>
      </w:r>
      <w:r w:rsidR="002076FC">
        <w:rPr>
          <w:rFonts w:ascii="Times New Roman" w:hAnsi="Times New Roman"/>
          <w:sz w:val="24"/>
          <w:szCs w:val="24"/>
        </w:rPr>
        <w:t>)</w:t>
      </w:r>
      <w:r w:rsidR="00004E89">
        <w:rPr>
          <w:rFonts w:ascii="Times New Roman" w:hAnsi="Times New Roman"/>
          <w:sz w:val="24"/>
          <w:szCs w:val="24"/>
        </w:rPr>
        <w:t xml:space="preserve">: he is initially welcomed in, </w:t>
      </w:r>
      <w:r w:rsidR="00256C65">
        <w:rPr>
          <w:rFonts w:ascii="Times New Roman" w:hAnsi="Times New Roman"/>
          <w:sz w:val="24"/>
          <w:szCs w:val="24"/>
        </w:rPr>
        <w:t>but</w:t>
      </w:r>
      <w:r w:rsidR="00004E89">
        <w:rPr>
          <w:rFonts w:ascii="Times New Roman" w:hAnsi="Times New Roman"/>
          <w:sz w:val="24"/>
          <w:szCs w:val="24"/>
        </w:rPr>
        <w:t xml:space="preserve"> when the Bulls see the sex of the person </w:t>
      </w:r>
      <w:r w:rsidR="00720778">
        <w:rPr>
          <w:rFonts w:ascii="Times New Roman" w:hAnsi="Times New Roman"/>
          <w:sz w:val="24"/>
          <w:szCs w:val="24"/>
        </w:rPr>
        <w:t>entering the hotel</w:t>
      </w:r>
      <w:r w:rsidR="00004E89">
        <w:rPr>
          <w:rFonts w:ascii="Times New Roman" w:hAnsi="Times New Roman"/>
          <w:sz w:val="24"/>
          <w:szCs w:val="24"/>
        </w:rPr>
        <w:t xml:space="preserve"> </w:t>
      </w:r>
      <w:r w:rsidR="000D2282">
        <w:rPr>
          <w:rFonts w:ascii="Times New Roman" w:hAnsi="Times New Roman"/>
          <w:sz w:val="24"/>
          <w:szCs w:val="24"/>
        </w:rPr>
        <w:t>with</w:t>
      </w:r>
      <w:r w:rsidR="00004E89">
        <w:rPr>
          <w:rFonts w:ascii="Times New Roman" w:hAnsi="Times New Roman"/>
          <w:sz w:val="24"/>
          <w:szCs w:val="24"/>
        </w:rPr>
        <w:t xml:space="preserve"> him, everything changes. </w:t>
      </w:r>
      <w:proofErr w:type="gramStart"/>
      <w:r w:rsidR="00004E89">
        <w:rPr>
          <w:rFonts w:ascii="Times New Roman" w:hAnsi="Times New Roman"/>
          <w:sz w:val="24"/>
          <w:szCs w:val="24"/>
        </w:rPr>
        <w:t>It is clear that the</w:t>
      </w:r>
      <w:proofErr w:type="gramEnd"/>
      <w:r w:rsidR="00004E89">
        <w:rPr>
          <w:rFonts w:ascii="Times New Roman" w:hAnsi="Times New Roman"/>
          <w:sz w:val="24"/>
          <w:szCs w:val="24"/>
        </w:rPr>
        <w:t xml:space="preserve"> Bulls will let </w:t>
      </w:r>
      <w:proofErr w:type="spellStart"/>
      <w:r w:rsidR="00004E89">
        <w:rPr>
          <w:rFonts w:ascii="Times New Roman" w:hAnsi="Times New Roman"/>
          <w:sz w:val="24"/>
          <w:szCs w:val="24"/>
        </w:rPr>
        <w:t>Preddy</w:t>
      </w:r>
      <w:proofErr w:type="spellEnd"/>
      <w:r w:rsidR="00004E89">
        <w:rPr>
          <w:rFonts w:ascii="Times New Roman" w:hAnsi="Times New Roman"/>
          <w:sz w:val="24"/>
          <w:szCs w:val="24"/>
        </w:rPr>
        <w:t xml:space="preserve"> stay on his own in the double room, but will not let </w:t>
      </w:r>
      <w:r w:rsidR="00216C00">
        <w:rPr>
          <w:rFonts w:ascii="Times New Roman" w:hAnsi="Times New Roman"/>
          <w:sz w:val="24"/>
          <w:szCs w:val="24"/>
        </w:rPr>
        <w:t xml:space="preserve">Hall in </w:t>
      </w:r>
      <w:r w:rsidR="000D2282">
        <w:rPr>
          <w:rFonts w:ascii="Times New Roman" w:hAnsi="Times New Roman"/>
          <w:sz w:val="24"/>
          <w:szCs w:val="24"/>
        </w:rPr>
        <w:t>with</w:t>
      </w:r>
      <w:r w:rsidR="00216C00">
        <w:rPr>
          <w:rFonts w:ascii="Times New Roman" w:hAnsi="Times New Roman"/>
          <w:sz w:val="24"/>
          <w:szCs w:val="24"/>
        </w:rPr>
        <w:t xml:space="preserve"> him</w:t>
      </w:r>
      <w:r w:rsidR="00720778">
        <w:rPr>
          <w:rFonts w:ascii="Times New Roman" w:hAnsi="Times New Roman"/>
          <w:sz w:val="24"/>
          <w:szCs w:val="24"/>
        </w:rPr>
        <w:t>,</w:t>
      </w:r>
      <w:r w:rsidR="004E794B">
        <w:rPr>
          <w:rFonts w:ascii="Times New Roman" w:hAnsi="Times New Roman"/>
          <w:sz w:val="24"/>
          <w:szCs w:val="24"/>
        </w:rPr>
        <w:t xml:space="preserve"> </w:t>
      </w:r>
      <w:r w:rsidR="00216C00">
        <w:rPr>
          <w:rFonts w:ascii="Times New Roman" w:hAnsi="Times New Roman"/>
          <w:sz w:val="24"/>
          <w:szCs w:val="24"/>
        </w:rPr>
        <w:t xml:space="preserve">because he is a man. Had </w:t>
      </w:r>
      <w:r w:rsidR="00FA315F">
        <w:rPr>
          <w:rFonts w:ascii="Times New Roman" w:hAnsi="Times New Roman"/>
          <w:sz w:val="24"/>
          <w:szCs w:val="24"/>
        </w:rPr>
        <w:t>Hall</w:t>
      </w:r>
      <w:r w:rsidR="00216C00">
        <w:rPr>
          <w:rFonts w:ascii="Times New Roman" w:hAnsi="Times New Roman"/>
          <w:sz w:val="24"/>
          <w:szCs w:val="24"/>
        </w:rPr>
        <w:t xml:space="preserve"> been a woman, and married to </w:t>
      </w:r>
      <w:proofErr w:type="spellStart"/>
      <w:r w:rsidR="00216C00">
        <w:rPr>
          <w:rFonts w:ascii="Times New Roman" w:hAnsi="Times New Roman"/>
          <w:sz w:val="24"/>
          <w:szCs w:val="24"/>
        </w:rPr>
        <w:t>Preddy</w:t>
      </w:r>
      <w:proofErr w:type="spellEnd"/>
      <w:r w:rsidR="00216C00">
        <w:rPr>
          <w:rFonts w:ascii="Times New Roman" w:hAnsi="Times New Roman"/>
          <w:sz w:val="24"/>
          <w:szCs w:val="24"/>
        </w:rPr>
        <w:t xml:space="preserve">, they would have </w:t>
      </w:r>
      <w:r w:rsidR="00F7775E">
        <w:rPr>
          <w:rFonts w:ascii="Times New Roman" w:hAnsi="Times New Roman"/>
          <w:sz w:val="24"/>
          <w:szCs w:val="24"/>
        </w:rPr>
        <w:t>let him in</w:t>
      </w:r>
      <w:r w:rsidR="004E794B">
        <w:rPr>
          <w:rFonts w:ascii="Times New Roman" w:hAnsi="Times New Roman"/>
          <w:sz w:val="24"/>
          <w:szCs w:val="24"/>
        </w:rPr>
        <w:t>, as they would</w:t>
      </w:r>
      <w:r w:rsidR="007E3961">
        <w:rPr>
          <w:rFonts w:ascii="Times New Roman" w:hAnsi="Times New Roman"/>
          <w:sz w:val="24"/>
          <w:szCs w:val="24"/>
        </w:rPr>
        <w:t xml:space="preserve"> have done</w:t>
      </w:r>
      <w:r w:rsidR="004E794B">
        <w:rPr>
          <w:rFonts w:ascii="Times New Roman" w:hAnsi="Times New Roman"/>
          <w:sz w:val="24"/>
          <w:szCs w:val="24"/>
        </w:rPr>
        <w:t xml:space="preserve"> had </w:t>
      </w:r>
      <w:proofErr w:type="spellStart"/>
      <w:r w:rsidR="001F282E">
        <w:rPr>
          <w:rFonts w:ascii="Times New Roman" w:hAnsi="Times New Roman"/>
          <w:sz w:val="24"/>
          <w:szCs w:val="24"/>
        </w:rPr>
        <w:t>Preddy</w:t>
      </w:r>
      <w:proofErr w:type="spellEnd"/>
      <w:r w:rsidR="001F282E">
        <w:rPr>
          <w:rFonts w:ascii="Times New Roman" w:hAnsi="Times New Roman"/>
          <w:sz w:val="24"/>
          <w:szCs w:val="24"/>
        </w:rPr>
        <w:t xml:space="preserve"> been a woman married to Hall</w:t>
      </w:r>
      <w:r w:rsidR="00216C00">
        <w:rPr>
          <w:rFonts w:ascii="Times New Roman" w:hAnsi="Times New Roman"/>
          <w:sz w:val="24"/>
          <w:szCs w:val="24"/>
        </w:rPr>
        <w:t>.</w:t>
      </w:r>
      <w:r w:rsidR="00720778">
        <w:rPr>
          <w:rFonts w:ascii="Times New Roman" w:hAnsi="Times New Roman"/>
          <w:sz w:val="24"/>
          <w:szCs w:val="24"/>
        </w:rPr>
        <w:t xml:space="preserve"> Hence it is clear that</w:t>
      </w:r>
      <w:r w:rsidR="008A15FB">
        <w:rPr>
          <w:rFonts w:ascii="Times New Roman" w:hAnsi="Times New Roman"/>
          <w:sz w:val="24"/>
          <w:szCs w:val="24"/>
        </w:rPr>
        <w:t xml:space="preserve"> </w:t>
      </w:r>
      <w:r w:rsidR="00C70EE5">
        <w:rPr>
          <w:rFonts w:ascii="Times New Roman" w:hAnsi="Times New Roman"/>
          <w:sz w:val="24"/>
          <w:szCs w:val="24"/>
        </w:rPr>
        <w:t xml:space="preserve">Hall </w:t>
      </w:r>
      <w:r w:rsidR="007F3DA4">
        <w:rPr>
          <w:rFonts w:ascii="Times New Roman" w:hAnsi="Times New Roman"/>
          <w:sz w:val="24"/>
          <w:szCs w:val="24"/>
        </w:rPr>
        <w:t xml:space="preserve">is refused entry because he is not a woman married to </w:t>
      </w:r>
      <w:proofErr w:type="spellStart"/>
      <w:r w:rsidR="007F3DA4">
        <w:rPr>
          <w:rFonts w:ascii="Times New Roman" w:hAnsi="Times New Roman"/>
          <w:sz w:val="24"/>
          <w:szCs w:val="24"/>
        </w:rPr>
        <w:t>Preddy</w:t>
      </w:r>
      <w:proofErr w:type="spellEnd"/>
      <w:r w:rsidR="007F3DA4">
        <w:rPr>
          <w:rFonts w:ascii="Times New Roman" w:hAnsi="Times New Roman"/>
          <w:sz w:val="24"/>
          <w:szCs w:val="24"/>
        </w:rPr>
        <w:t>.</w:t>
      </w:r>
      <w:r w:rsidR="0001179E">
        <w:rPr>
          <w:rFonts w:ascii="Times New Roman" w:hAnsi="Times New Roman"/>
          <w:sz w:val="24"/>
          <w:szCs w:val="24"/>
        </w:rPr>
        <w:t xml:space="preserve"> And this is discrimination because of sex (as well as marital status)</w:t>
      </w:r>
      <w:r w:rsidR="00A91765">
        <w:rPr>
          <w:rFonts w:ascii="Times New Roman" w:hAnsi="Times New Roman"/>
          <w:sz w:val="24"/>
          <w:szCs w:val="24"/>
        </w:rPr>
        <w:t>,</w:t>
      </w:r>
      <w:r w:rsidR="0001179E">
        <w:rPr>
          <w:rFonts w:ascii="Times New Roman" w:hAnsi="Times New Roman"/>
          <w:sz w:val="24"/>
          <w:szCs w:val="24"/>
        </w:rPr>
        <w:t xml:space="preserve"> just as refusing him entrance because he was not a white married to </w:t>
      </w:r>
      <w:proofErr w:type="spellStart"/>
      <w:r w:rsidR="0001179E">
        <w:rPr>
          <w:rFonts w:ascii="Times New Roman" w:hAnsi="Times New Roman"/>
          <w:sz w:val="24"/>
          <w:szCs w:val="24"/>
        </w:rPr>
        <w:t>Preddy</w:t>
      </w:r>
      <w:proofErr w:type="spellEnd"/>
      <w:r w:rsidR="0001179E">
        <w:rPr>
          <w:rFonts w:ascii="Times New Roman" w:hAnsi="Times New Roman"/>
          <w:sz w:val="24"/>
          <w:szCs w:val="24"/>
        </w:rPr>
        <w:t xml:space="preserve"> would have been discrimination because of race (as well as marital status).</w:t>
      </w:r>
      <w:r w:rsidR="00383D91">
        <w:rPr>
          <w:rFonts w:ascii="Times New Roman" w:hAnsi="Times New Roman"/>
          <w:sz w:val="24"/>
          <w:szCs w:val="24"/>
        </w:rPr>
        <w:t xml:space="preserve"> And there is discrimination against </w:t>
      </w:r>
      <w:proofErr w:type="spellStart"/>
      <w:r w:rsidR="00383D91">
        <w:rPr>
          <w:rFonts w:ascii="Times New Roman" w:hAnsi="Times New Roman"/>
          <w:sz w:val="24"/>
          <w:szCs w:val="24"/>
        </w:rPr>
        <w:t>Preddy</w:t>
      </w:r>
      <w:proofErr w:type="spellEnd"/>
      <w:r w:rsidR="00383D91">
        <w:rPr>
          <w:rFonts w:ascii="Times New Roman" w:hAnsi="Times New Roman"/>
          <w:sz w:val="24"/>
          <w:szCs w:val="24"/>
        </w:rPr>
        <w:t xml:space="preserve"> too:</w:t>
      </w:r>
      <w:r w:rsidR="006730C3">
        <w:rPr>
          <w:rFonts w:ascii="Times New Roman" w:hAnsi="Times New Roman"/>
          <w:sz w:val="24"/>
          <w:szCs w:val="24"/>
        </w:rPr>
        <w:t xml:space="preserve"> </w:t>
      </w:r>
      <w:r w:rsidR="006730C3" w:rsidRPr="006730C3">
        <w:rPr>
          <w:rFonts w:ascii="Times New Roman" w:hAnsi="Times New Roman"/>
          <w:sz w:val="24"/>
          <w:szCs w:val="24"/>
        </w:rPr>
        <w:t>in being denied Hall’s company</w:t>
      </w:r>
      <w:r w:rsidR="006730C3">
        <w:rPr>
          <w:rFonts w:ascii="Times New Roman" w:hAnsi="Times New Roman"/>
          <w:sz w:val="24"/>
          <w:szCs w:val="24"/>
        </w:rPr>
        <w:t xml:space="preserve"> in the double room</w:t>
      </w:r>
      <w:r w:rsidR="00383D91">
        <w:rPr>
          <w:rFonts w:ascii="Times New Roman" w:hAnsi="Times New Roman"/>
          <w:sz w:val="24"/>
          <w:szCs w:val="24"/>
        </w:rPr>
        <w:t xml:space="preserve"> he is treated less favourably because he is a man</w:t>
      </w:r>
      <w:r w:rsidR="006730C3">
        <w:rPr>
          <w:rFonts w:ascii="Times New Roman" w:hAnsi="Times New Roman"/>
          <w:sz w:val="24"/>
          <w:szCs w:val="24"/>
        </w:rPr>
        <w:t xml:space="preserve"> than he would have been had he been a woman married to Hall.</w:t>
      </w:r>
    </w:p>
    <w:p w:rsidR="00D35D99" w:rsidRDefault="00D35D99" w:rsidP="009113FA">
      <w:pPr>
        <w:spacing w:before="120" w:after="120" w:line="480" w:lineRule="auto"/>
        <w:rPr>
          <w:rFonts w:ascii="Times New Roman" w:hAnsi="Times New Roman"/>
          <w:sz w:val="24"/>
          <w:szCs w:val="24"/>
        </w:rPr>
      </w:pPr>
    </w:p>
    <w:p w:rsidR="00046112" w:rsidRPr="00046112" w:rsidRDefault="00DD6055" w:rsidP="00046112">
      <w:pPr>
        <w:spacing w:before="120" w:after="120" w:line="480" w:lineRule="auto"/>
        <w:rPr>
          <w:rFonts w:ascii="Times New Roman" w:hAnsi="Times New Roman"/>
          <w:sz w:val="24"/>
          <w:szCs w:val="24"/>
        </w:rPr>
      </w:pPr>
      <w:r>
        <w:rPr>
          <w:rFonts w:ascii="Times New Roman" w:hAnsi="Times New Roman"/>
          <w:sz w:val="24"/>
          <w:szCs w:val="24"/>
        </w:rPr>
        <w:t xml:space="preserve">It may still be objected that refusing Hall because he does not meet the compound condition </w:t>
      </w:r>
      <w:r w:rsidRPr="00CC116F">
        <w:rPr>
          <w:rFonts w:ascii="Times New Roman" w:hAnsi="Times New Roman"/>
          <w:i/>
          <w:sz w:val="24"/>
          <w:szCs w:val="24"/>
        </w:rPr>
        <w:t>woman-not-married-to-</w:t>
      </w:r>
      <w:proofErr w:type="spellStart"/>
      <w:r w:rsidRPr="00CC116F">
        <w:rPr>
          <w:rFonts w:ascii="Times New Roman" w:hAnsi="Times New Roman"/>
          <w:i/>
          <w:sz w:val="24"/>
          <w:szCs w:val="24"/>
        </w:rPr>
        <w:t>Preddy</w:t>
      </w:r>
      <w:proofErr w:type="spellEnd"/>
      <w:r w:rsidR="00F938BD" w:rsidRPr="00CC116F">
        <w:rPr>
          <w:rFonts w:ascii="Times New Roman" w:hAnsi="Times New Roman"/>
          <w:i/>
          <w:sz w:val="24"/>
          <w:szCs w:val="24"/>
        </w:rPr>
        <w:t xml:space="preserve"> </w:t>
      </w:r>
      <w:r w:rsidR="00F938BD">
        <w:rPr>
          <w:rFonts w:ascii="Times New Roman" w:hAnsi="Times New Roman"/>
          <w:sz w:val="24"/>
          <w:szCs w:val="24"/>
        </w:rPr>
        <w:t>is not the same as refusing Hall because he meet</w:t>
      </w:r>
      <w:r w:rsidR="00575276">
        <w:rPr>
          <w:rFonts w:ascii="Times New Roman" w:hAnsi="Times New Roman"/>
          <w:sz w:val="24"/>
          <w:szCs w:val="24"/>
        </w:rPr>
        <w:t>s</w:t>
      </w:r>
      <w:r w:rsidR="00F938BD">
        <w:rPr>
          <w:rFonts w:ascii="Times New Roman" w:hAnsi="Times New Roman"/>
          <w:sz w:val="24"/>
          <w:szCs w:val="24"/>
        </w:rPr>
        <w:t xml:space="preserve"> the simple condition </w:t>
      </w:r>
      <w:r w:rsidR="00CC116F">
        <w:rPr>
          <w:rFonts w:ascii="Times New Roman" w:hAnsi="Times New Roman"/>
          <w:i/>
          <w:sz w:val="24"/>
          <w:szCs w:val="24"/>
        </w:rPr>
        <w:t>being a man</w:t>
      </w:r>
      <w:r w:rsidR="00CC116F">
        <w:rPr>
          <w:rFonts w:ascii="Times New Roman" w:hAnsi="Times New Roman"/>
          <w:sz w:val="24"/>
          <w:szCs w:val="24"/>
        </w:rPr>
        <w:t xml:space="preserve">. </w:t>
      </w:r>
      <w:r w:rsidR="00367E91">
        <w:rPr>
          <w:rFonts w:ascii="Times New Roman" w:hAnsi="Times New Roman"/>
          <w:sz w:val="24"/>
          <w:szCs w:val="24"/>
        </w:rPr>
        <w:t>(</w:t>
      </w:r>
      <w:r w:rsidR="00367E91" w:rsidRPr="00367E91">
        <w:rPr>
          <w:rFonts w:ascii="Times New Roman" w:hAnsi="Times New Roman"/>
          <w:sz w:val="24"/>
          <w:szCs w:val="24"/>
        </w:rPr>
        <w:t>Compare Alito</w:t>
      </w:r>
      <w:r w:rsidR="004B60B6">
        <w:rPr>
          <w:rFonts w:ascii="Times New Roman" w:hAnsi="Times New Roman"/>
          <w:sz w:val="24"/>
          <w:szCs w:val="24"/>
        </w:rPr>
        <w:t xml:space="preserve"> J</w:t>
      </w:r>
      <w:r w:rsidR="009F0FB8">
        <w:rPr>
          <w:rFonts w:ascii="Times New Roman" w:hAnsi="Times New Roman"/>
          <w:sz w:val="24"/>
          <w:szCs w:val="24"/>
        </w:rPr>
        <w:t>:</w:t>
      </w:r>
      <w:r w:rsidR="00367E91" w:rsidRPr="00367E91">
        <w:rPr>
          <w:rFonts w:ascii="Times New Roman" w:hAnsi="Times New Roman"/>
          <w:sz w:val="24"/>
          <w:szCs w:val="24"/>
        </w:rPr>
        <w:t xml:space="preserve"> “Title VII prohibits discrimination because of </w:t>
      </w:r>
      <w:r w:rsidR="00367E91" w:rsidRPr="00367E91">
        <w:rPr>
          <w:rFonts w:ascii="Times New Roman" w:hAnsi="Times New Roman"/>
          <w:i/>
          <w:iCs/>
          <w:sz w:val="24"/>
          <w:szCs w:val="24"/>
        </w:rPr>
        <w:t xml:space="preserve">sex itself, </w:t>
      </w:r>
      <w:r w:rsidR="00367E91" w:rsidRPr="00367E91">
        <w:rPr>
          <w:rFonts w:ascii="Times New Roman" w:hAnsi="Times New Roman"/>
          <w:sz w:val="24"/>
          <w:szCs w:val="24"/>
        </w:rPr>
        <w:t>not everything that is related to, based on, or defined with ref</w:t>
      </w:r>
      <w:r w:rsidR="00367E91" w:rsidRPr="00367E91">
        <w:rPr>
          <w:rFonts w:ascii="Times New Roman" w:hAnsi="Times New Roman"/>
          <w:sz w:val="24"/>
          <w:szCs w:val="24"/>
        </w:rPr>
        <w:softHyphen/>
        <w:t>erence to,</w:t>
      </w:r>
      <w:r w:rsidR="00367E91">
        <w:rPr>
          <w:rFonts w:ascii="Times New Roman" w:hAnsi="Times New Roman"/>
          <w:sz w:val="24"/>
          <w:szCs w:val="24"/>
        </w:rPr>
        <w:t xml:space="preserve"> ‘</w:t>
      </w:r>
      <w:r w:rsidR="00367E91" w:rsidRPr="00367E91">
        <w:rPr>
          <w:rFonts w:ascii="Times New Roman" w:hAnsi="Times New Roman"/>
          <w:sz w:val="24"/>
          <w:szCs w:val="24"/>
        </w:rPr>
        <w:t>sex</w:t>
      </w:r>
      <w:r w:rsidR="00367E91">
        <w:rPr>
          <w:rFonts w:ascii="Times New Roman" w:hAnsi="Times New Roman"/>
          <w:sz w:val="24"/>
          <w:szCs w:val="24"/>
        </w:rPr>
        <w:t>’</w:t>
      </w:r>
      <w:r w:rsidR="009F0FB8">
        <w:rPr>
          <w:rFonts w:ascii="Times New Roman" w:hAnsi="Times New Roman"/>
          <w:sz w:val="24"/>
          <w:szCs w:val="24"/>
        </w:rPr>
        <w:t xml:space="preserve">”: </w:t>
      </w:r>
      <w:r w:rsidR="009F0FB8">
        <w:rPr>
          <w:rFonts w:ascii="Times New Roman" w:hAnsi="Times New Roman"/>
          <w:i/>
          <w:iCs/>
          <w:sz w:val="24"/>
          <w:szCs w:val="24"/>
        </w:rPr>
        <w:t>Bostock v Clay</w:t>
      </w:r>
      <w:r w:rsidR="00D84CF7">
        <w:rPr>
          <w:rFonts w:ascii="Times New Roman" w:hAnsi="Times New Roman"/>
          <w:i/>
          <w:iCs/>
          <w:sz w:val="24"/>
          <w:szCs w:val="24"/>
        </w:rPr>
        <w:t>t</w:t>
      </w:r>
      <w:r w:rsidR="009F0FB8">
        <w:rPr>
          <w:rFonts w:ascii="Times New Roman" w:hAnsi="Times New Roman"/>
          <w:i/>
          <w:iCs/>
          <w:sz w:val="24"/>
          <w:szCs w:val="24"/>
        </w:rPr>
        <w:t>on County</w:t>
      </w:r>
      <w:r w:rsidR="009F0FB8">
        <w:rPr>
          <w:rFonts w:ascii="Times New Roman" w:hAnsi="Times New Roman"/>
          <w:sz w:val="24"/>
          <w:szCs w:val="24"/>
        </w:rPr>
        <w:t xml:space="preserve"> </w:t>
      </w:r>
      <w:r w:rsidR="00CE19AD">
        <w:rPr>
          <w:rFonts w:ascii="Times New Roman" w:hAnsi="Times New Roman"/>
          <w:sz w:val="24"/>
          <w:szCs w:val="24"/>
        </w:rPr>
        <w:t>(</w:t>
      </w:r>
      <w:r w:rsidR="009F0FB8">
        <w:rPr>
          <w:rFonts w:ascii="Times New Roman" w:hAnsi="Times New Roman"/>
          <w:sz w:val="24"/>
          <w:szCs w:val="24"/>
        </w:rPr>
        <w:t>2020</w:t>
      </w:r>
      <w:r w:rsidR="00CE19AD">
        <w:rPr>
          <w:rFonts w:ascii="Times New Roman" w:hAnsi="Times New Roman"/>
          <w:sz w:val="24"/>
          <w:szCs w:val="24"/>
        </w:rPr>
        <w:t>)</w:t>
      </w:r>
      <w:r w:rsidR="009F0FB8">
        <w:rPr>
          <w:rFonts w:ascii="Times New Roman" w:hAnsi="Times New Roman"/>
          <w:sz w:val="24"/>
          <w:szCs w:val="24"/>
        </w:rPr>
        <w:t xml:space="preserve">: dissent, </w:t>
      </w:r>
      <w:proofErr w:type="spellStart"/>
      <w:r w:rsidR="009F0FB8">
        <w:rPr>
          <w:rFonts w:ascii="Times New Roman" w:hAnsi="Times New Roman"/>
          <w:sz w:val="24"/>
          <w:szCs w:val="24"/>
        </w:rPr>
        <w:t>fn</w:t>
      </w:r>
      <w:proofErr w:type="spellEnd"/>
      <w:r w:rsidR="009F0FB8">
        <w:rPr>
          <w:rFonts w:ascii="Times New Roman" w:hAnsi="Times New Roman"/>
          <w:sz w:val="24"/>
          <w:szCs w:val="24"/>
        </w:rPr>
        <w:t xml:space="preserve"> 5</w:t>
      </w:r>
      <w:r w:rsidR="002A1EFB">
        <w:rPr>
          <w:rFonts w:ascii="Times New Roman" w:hAnsi="Times New Roman"/>
          <w:sz w:val="24"/>
          <w:szCs w:val="24"/>
        </w:rPr>
        <w:t>.</w:t>
      </w:r>
      <w:r w:rsidR="009F0FB8">
        <w:rPr>
          <w:rFonts w:ascii="Times New Roman" w:hAnsi="Times New Roman"/>
          <w:sz w:val="24"/>
          <w:szCs w:val="24"/>
        </w:rPr>
        <w:t>)</w:t>
      </w:r>
      <w:r w:rsidR="002A1EFB">
        <w:rPr>
          <w:rFonts w:ascii="Times New Roman" w:hAnsi="Times New Roman"/>
          <w:sz w:val="24"/>
          <w:szCs w:val="24"/>
        </w:rPr>
        <w:t xml:space="preserve"> </w:t>
      </w:r>
      <w:r w:rsidR="00CC116F">
        <w:rPr>
          <w:rFonts w:ascii="Times New Roman" w:hAnsi="Times New Roman"/>
          <w:sz w:val="24"/>
          <w:szCs w:val="24"/>
        </w:rPr>
        <w:t>But</w:t>
      </w:r>
      <w:r w:rsidR="0037270F">
        <w:rPr>
          <w:rFonts w:ascii="Times New Roman" w:hAnsi="Times New Roman"/>
          <w:sz w:val="24"/>
          <w:szCs w:val="24"/>
        </w:rPr>
        <w:t xml:space="preserve"> the legal equivalence between marriage and a civil partnership</w:t>
      </w:r>
      <w:r w:rsidR="0095503C">
        <w:rPr>
          <w:rFonts w:ascii="Times New Roman" w:hAnsi="Times New Roman"/>
          <w:sz w:val="24"/>
          <w:szCs w:val="24"/>
        </w:rPr>
        <w:t xml:space="preserve"> means that</w:t>
      </w:r>
      <w:r w:rsidR="0037270F">
        <w:rPr>
          <w:rFonts w:ascii="Times New Roman" w:hAnsi="Times New Roman"/>
          <w:sz w:val="24"/>
          <w:szCs w:val="24"/>
        </w:rPr>
        <w:t xml:space="preserve"> the only part of the compound condition that </w:t>
      </w:r>
      <w:r w:rsidR="0095503C">
        <w:rPr>
          <w:rFonts w:ascii="Times New Roman" w:hAnsi="Times New Roman"/>
          <w:sz w:val="24"/>
          <w:szCs w:val="24"/>
        </w:rPr>
        <w:t xml:space="preserve">Hall fails to meet is </w:t>
      </w:r>
      <w:r w:rsidR="0095503C">
        <w:rPr>
          <w:rFonts w:ascii="Times New Roman" w:hAnsi="Times New Roman"/>
          <w:i/>
          <w:sz w:val="24"/>
          <w:szCs w:val="24"/>
        </w:rPr>
        <w:t>being a woman</w:t>
      </w:r>
      <w:r w:rsidR="00D35D99">
        <w:rPr>
          <w:rFonts w:ascii="Times New Roman" w:hAnsi="Times New Roman"/>
          <w:sz w:val="24"/>
          <w:szCs w:val="24"/>
        </w:rPr>
        <w:t xml:space="preserve"> (</w:t>
      </w:r>
      <w:r w:rsidR="00D35D99" w:rsidRPr="00D35D99">
        <w:rPr>
          <w:rFonts w:ascii="Times New Roman" w:hAnsi="Times New Roman"/>
          <w:sz w:val="24"/>
          <w:szCs w:val="24"/>
        </w:rPr>
        <w:t>see s</w:t>
      </w:r>
      <w:r w:rsidR="00D35D99">
        <w:rPr>
          <w:rFonts w:ascii="Times New Roman" w:hAnsi="Times New Roman"/>
          <w:sz w:val="24"/>
          <w:szCs w:val="24"/>
        </w:rPr>
        <w:t>ection</w:t>
      </w:r>
      <w:r w:rsidR="00D35D99" w:rsidRPr="00D35D99">
        <w:rPr>
          <w:rFonts w:ascii="Times New Roman" w:hAnsi="Times New Roman"/>
          <w:sz w:val="24"/>
          <w:szCs w:val="24"/>
        </w:rPr>
        <w:t xml:space="preserve"> 3(4)</w:t>
      </w:r>
      <w:r w:rsidR="00D35D99">
        <w:rPr>
          <w:rFonts w:ascii="Times New Roman" w:hAnsi="Times New Roman"/>
          <w:sz w:val="24"/>
          <w:szCs w:val="24"/>
        </w:rPr>
        <w:t xml:space="preserve"> of </w:t>
      </w:r>
      <w:r w:rsidR="00D35D99" w:rsidRPr="00D35D99">
        <w:rPr>
          <w:rFonts w:ascii="Times New Roman" w:hAnsi="Times New Roman"/>
          <w:sz w:val="24"/>
          <w:szCs w:val="24"/>
        </w:rPr>
        <w:t xml:space="preserve"> The Equality Act (Sexual Orientation) Regulations </w:t>
      </w:r>
      <w:r w:rsidR="00D35D99" w:rsidRPr="00D35D99">
        <w:rPr>
          <w:rFonts w:ascii="Times New Roman" w:hAnsi="Times New Roman"/>
          <w:sz w:val="24"/>
          <w:szCs w:val="24"/>
        </w:rPr>
        <w:lastRenderedPageBreak/>
        <w:t>2007</w:t>
      </w:r>
      <w:r w:rsidR="00D35D99">
        <w:rPr>
          <w:rFonts w:ascii="Times New Roman" w:hAnsi="Times New Roman"/>
          <w:sz w:val="24"/>
          <w:szCs w:val="24"/>
        </w:rPr>
        <w:t>)</w:t>
      </w:r>
      <w:r w:rsidR="00D84CF7">
        <w:rPr>
          <w:rFonts w:ascii="Times New Roman" w:hAnsi="Times New Roman"/>
          <w:sz w:val="24"/>
          <w:szCs w:val="24"/>
        </w:rPr>
        <w:t>,</w:t>
      </w:r>
      <w:r w:rsidR="0095503C">
        <w:rPr>
          <w:rFonts w:ascii="Times New Roman" w:hAnsi="Times New Roman"/>
          <w:sz w:val="24"/>
          <w:szCs w:val="24"/>
        </w:rPr>
        <w:t xml:space="preserve"> and </w:t>
      </w:r>
      <w:r w:rsidR="000A4EB0">
        <w:rPr>
          <w:rFonts w:ascii="Times New Roman" w:hAnsi="Times New Roman"/>
          <w:sz w:val="24"/>
          <w:szCs w:val="24"/>
        </w:rPr>
        <w:t xml:space="preserve">the Bulls not only knew this, but based their rejection of Hall on their knowledge that he was a man (they did not, of course, inquire whether he was married to </w:t>
      </w:r>
      <w:proofErr w:type="spellStart"/>
      <w:r w:rsidR="000A4EB0">
        <w:rPr>
          <w:rFonts w:ascii="Times New Roman" w:hAnsi="Times New Roman"/>
          <w:sz w:val="24"/>
          <w:szCs w:val="24"/>
        </w:rPr>
        <w:t>Preddy</w:t>
      </w:r>
      <w:proofErr w:type="spellEnd"/>
      <w:r w:rsidR="000A4EB0">
        <w:rPr>
          <w:rFonts w:ascii="Times New Roman" w:hAnsi="Times New Roman"/>
          <w:sz w:val="24"/>
          <w:szCs w:val="24"/>
        </w:rPr>
        <w:t>).</w:t>
      </w:r>
      <w:r w:rsidR="003832B8">
        <w:rPr>
          <w:rFonts w:ascii="Times New Roman" w:hAnsi="Times New Roman"/>
          <w:sz w:val="24"/>
          <w:szCs w:val="24"/>
        </w:rPr>
        <w:t xml:space="preserve"> So,</w:t>
      </w:r>
      <w:r w:rsidR="00671583">
        <w:rPr>
          <w:rFonts w:ascii="Times New Roman" w:hAnsi="Times New Roman"/>
          <w:sz w:val="24"/>
          <w:szCs w:val="24"/>
        </w:rPr>
        <w:t xml:space="preserve"> while out of the set of potential room-sharers for </w:t>
      </w:r>
      <w:proofErr w:type="spellStart"/>
      <w:r w:rsidR="00671583">
        <w:rPr>
          <w:rFonts w:ascii="Times New Roman" w:hAnsi="Times New Roman"/>
          <w:sz w:val="24"/>
          <w:szCs w:val="24"/>
        </w:rPr>
        <w:t>Preddy</w:t>
      </w:r>
      <w:proofErr w:type="spellEnd"/>
      <w:r w:rsidR="00E767FE">
        <w:rPr>
          <w:rFonts w:ascii="Times New Roman" w:hAnsi="Times New Roman"/>
          <w:sz w:val="24"/>
          <w:szCs w:val="24"/>
        </w:rPr>
        <w:t xml:space="preserve"> the Bulls </w:t>
      </w:r>
      <w:r w:rsidR="00245D7B">
        <w:rPr>
          <w:rFonts w:ascii="Times New Roman" w:hAnsi="Times New Roman"/>
          <w:sz w:val="24"/>
          <w:szCs w:val="24"/>
        </w:rPr>
        <w:t xml:space="preserve">rejected all men, even ones that might be just sharing a bed to save money rather than </w:t>
      </w:r>
      <w:r w:rsidR="00671583">
        <w:rPr>
          <w:rFonts w:ascii="Times New Roman" w:hAnsi="Times New Roman"/>
          <w:sz w:val="24"/>
          <w:szCs w:val="24"/>
        </w:rPr>
        <w:t>out of</w:t>
      </w:r>
      <w:r w:rsidR="00245D7B">
        <w:rPr>
          <w:rFonts w:ascii="Times New Roman" w:hAnsi="Times New Roman"/>
          <w:sz w:val="24"/>
          <w:szCs w:val="24"/>
        </w:rPr>
        <w:t xml:space="preserve"> any relationship </w:t>
      </w:r>
      <w:r w:rsidR="00245D7B" w:rsidRPr="00245D7B">
        <w:rPr>
          <w:rFonts w:ascii="Times New Roman" w:hAnsi="Times New Roman"/>
          <w:sz w:val="24"/>
          <w:szCs w:val="24"/>
        </w:rPr>
        <w:t>(</w:t>
      </w:r>
      <w:r w:rsidR="00245D7B" w:rsidRPr="00245D7B">
        <w:rPr>
          <w:rFonts w:ascii="Times New Roman" w:hAnsi="Times New Roman"/>
          <w:i/>
          <w:iCs/>
          <w:sz w:val="24"/>
          <w:szCs w:val="24"/>
        </w:rPr>
        <w:t xml:space="preserve">Hall and </w:t>
      </w:r>
      <w:proofErr w:type="spellStart"/>
      <w:r w:rsidR="00245D7B" w:rsidRPr="00245D7B">
        <w:rPr>
          <w:rFonts w:ascii="Times New Roman" w:hAnsi="Times New Roman"/>
          <w:i/>
          <w:iCs/>
          <w:sz w:val="24"/>
          <w:szCs w:val="24"/>
        </w:rPr>
        <w:t>Preddy</w:t>
      </w:r>
      <w:proofErr w:type="spellEnd"/>
      <w:r w:rsidR="00245D7B" w:rsidRPr="00245D7B">
        <w:rPr>
          <w:rFonts w:ascii="Times New Roman" w:hAnsi="Times New Roman"/>
          <w:i/>
          <w:iCs/>
          <w:sz w:val="24"/>
          <w:szCs w:val="24"/>
        </w:rPr>
        <w:t xml:space="preserve"> v Bull and Bull </w:t>
      </w:r>
      <w:r w:rsidR="00245D7B" w:rsidRPr="00245D7B">
        <w:rPr>
          <w:rFonts w:ascii="Times New Roman" w:hAnsi="Times New Roman"/>
          <w:sz w:val="24"/>
          <w:szCs w:val="24"/>
        </w:rPr>
        <w:t>[2011]: [33])</w:t>
      </w:r>
      <w:r w:rsidR="00671583">
        <w:rPr>
          <w:rFonts w:ascii="Times New Roman" w:hAnsi="Times New Roman"/>
          <w:sz w:val="24"/>
          <w:szCs w:val="24"/>
        </w:rPr>
        <w:t xml:space="preserve">, out of </w:t>
      </w:r>
      <w:r w:rsidR="00671583" w:rsidRPr="00671583">
        <w:rPr>
          <w:rFonts w:ascii="Times New Roman" w:hAnsi="Times New Roman"/>
          <w:sz w:val="24"/>
          <w:szCs w:val="24"/>
        </w:rPr>
        <w:t>the set of p</w:t>
      </w:r>
      <w:r w:rsidR="00743D75">
        <w:rPr>
          <w:rFonts w:ascii="Times New Roman" w:hAnsi="Times New Roman"/>
          <w:sz w:val="24"/>
          <w:szCs w:val="24"/>
        </w:rPr>
        <w:t>otential room-sharers</w:t>
      </w:r>
      <w:r w:rsidR="00671583" w:rsidRPr="00671583">
        <w:rPr>
          <w:rFonts w:ascii="Times New Roman" w:hAnsi="Times New Roman"/>
          <w:sz w:val="24"/>
          <w:szCs w:val="24"/>
        </w:rPr>
        <w:t xml:space="preserve"> either married to or in a civil partnership with </w:t>
      </w:r>
      <w:proofErr w:type="spellStart"/>
      <w:r w:rsidR="00671583" w:rsidRPr="00671583">
        <w:rPr>
          <w:rFonts w:ascii="Times New Roman" w:hAnsi="Times New Roman"/>
          <w:sz w:val="24"/>
          <w:szCs w:val="24"/>
        </w:rPr>
        <w:t>Preddy</w:t>
      </w:r>
      <w:proofErr w:type="spellEnd"/>
      <w:r w:rsidR="00671583" w:rsidRPr="00671583">
        <w:rPr>
          <w:rFonts w:ascii="Times New Roman" w:hAnsi="Times New Roman"/>
          <w:sz w:val="24"/>
          <w:szCs w:val="24"/>
        </w:rPr>
        <w:t>, the Bulls would have rejected</w:t>
      </w:r>
      <w:r w:rsidR="00671583" w:rsidRPr="00982FB3">
        <w:rPr>
          <w:rFonts w:ascii="Times New Roman" w:hAnsi="Times New Roman"/>
          <w:i/>
          <w:iCs/>
          <w:sz w:val="24"/>
          <w:szCs w:val="24"/>
        </w:rPr>
        <w:t xml:space="preserve"> all</w:t>
      </w:r>
      <w:r w:rsidR="00671583" w:rsidRPr="00671583">
        <w:rPr>
          <w:rFonts w:ascii="Times New Roman" w:hAnsi="Times New Roman"/>
          <w:sz w:val="24"/>
          <w:szCs w:val="24"/>
        </w:rPr>
        <w:t xml:space="preserve"> </w:t>
      </w:r>
      <w:r w:rsidR="00671583" w:rsidRPr="00671583">
        <w:rPr>
          <w:rFonts w:ascii="Times New Roman" w:hAnsi="Times New Roman"/>
          <w:i/>
          <w:iCs/>
          <w:sz w:val="24"/>
          <w:szCs w:val="24"/>
        </w:rPr>
        <w:t xml:space="preserve">and only </w:t>
      </w:r>
      <w:r w:rsidR="00671583" w:rsidRPr="00671583">
        <w:rPr>
          <w:rFonts w:ascii="Times New Roman" w:hAnsi="Times New Roman"/>
          <w:sz w:val="24"/>
          <w:szCs w:val="24"/>
        </w:rPr>
        <w:t>men</w:t>
      </w:r>
      <w:r w:rsidR="00671583">
        <w:rPr>
          <w:rFonts w:ascii="Times New Roman" w:hAnsi="Times New Roman"/>
          <w:sz w:val="24"/>
          <w:szCs w:val="24"/>
        </w:rPr>
        <w:t>.</w:t>
      </w:r>
      <w:r w:rsidR="004C1152">
        <w:rPr>
          <w:rStyle w:val="FootnoteReference"/>
          <w:rFonts w:ascii="Times New Roman" w:hAnsi="Times New Roman"/>
          <w:sz w:val="24"/>
          <w:szCs w:val="24"/>
        </w:rPr>
        <w:footnoteReference w:id="14"/>
      </w:r>
      <w:r w:rsidR="000432E4">
        <w:rPr>
          <w:rFonts w:ascii="Times New Roman" w:hAnsi="Times New Roman"/>
          <w:sz w:val="24"/>
          <w:szCs w:val="24"/>
        </w:rPr>
        <w:t xml:space="preserve"> </w:t>
      </w:r>
      <w:r w:rsidR="00454066">
        <w:rPr>
          <w:rFonts w:ascii="Times New Roman" w:hAnsi="Times New Roman"/>
          <w:sz w:val="24"/>
          <w:szCs w:val="24"/>
        </w:rPr>
        <w:t xml:space="preserve">It might be further objected that the fact that the Bulls </w:t>
      </w:r>
      <w:r w:rsidR="00454066" w:rsidRPr="00454066">
        <w:rPr>
          <w:rFonts w:ascii="Times New Roman" w:hAnsi="Times New Roman"/>
          <w:sz w:val="24"/>
          <w:szCs w:val="24"/>
        </w:rPr>
        <w:t>would have rejected all and only</w:t>
      </w:r>
      <w:r w:rsidR="00454066" w:rsidRPr="00454066">
        <w:rPr>
          <w:rFonts w:ascii="Times New Roman" w:hAnsi="Times New Roman"/>
          <w:i/>
          <w:iCs/>
          <w:sz w:val="24"/>
          <w:szCs w:val="24"/>
        </w:rPr>
        <w:t xml:space="preserve"> </w:t>
      </w:r>
      <w:r w:rsidR="00454066">
        <w:rPr>
          <w:rFonts w:ascii="Times New Roman" w:hAnsi="Times New Roman"/>
          <w:sz w:val="24"/>
          <w:szCs w:val="24"/>
        </w:rPr>
        <w:t xml:space="preserve">the </w:t>
      </w:r>
      <w:r w:rsidR="00454066" w:rsidRPr="00454066">
        <w:rPr>
          <w:rFonts w:ascii="Times New Roman" w:hAnsi="Times New Roman"/>
          <w:sz w:val="24"/>
          <w:szCs w:val="24"/>
        </w:rPr>
        <w:t>men</w:t>
      </w:r>
      <w:r w:rsidR="00454066">
        <w:rPr>
          <w:rFonts w:ascii="Times New Roman" w:hAnsi="Times New Roman"/>
          <w:sz w:val="24"/>
          <w:szCs w:val="24"/>
        </w:rPr>
        <w:t xml:space="preserve"> from this set does not show that they rejected them </w:t>
      </w:r>
      <w:r w:rsidR="00454066">
        <w:rPr>
          <w:rFonts w:ascii="Times New Roman" w:hAnsi="Times New Roman"/>
          <w:i/>
          <w:iCs/>
          <w:sz w:val="24"/>
          <w:szCs w:val="24"/>
        </w:rPr>
        <w:t>because</w:t>
      </w:r>
      <w:r w:rsidR="00454066">
        <w:rPr>
          <w:rFonts w:ascii="Times New Roman" w:hAnsi="Times New Roman"/>
          <w:sz w:val="24"/>
          <w:szCs w:val="24"/>
        </w:rPr>
        <w:t xml:space="preserve"> they were men</w:t>
      </w:r>
      <w:r w:rsidR="000432E4">
        <w:rPr>
          <w:rFonts w:ascii="Times New Roman" w:hAnsi="Times New Roman"/>
          <w:sz w:val="24"/>
          <w:szCs w:val="24"/>
        </w:rPr>
        <w:t>.</w:t>
      </w:r>
      <w:r w:rsidR="00454066">
        <w:rPr>
          <w:rFonts w:ascii="Times New Roman" w:hAnsi="Times New Roman"/>
          <w:sz w:val="24"/>
          <w:szCs w:val="24"/>
        </w:rPr>
        <w:t xml:space="preserve"> But </w:t>
      </w:r>
      <w:r w:rsidR="00046112">
        <w:rPr>
          <w:rFonts w:ascii="Times New Roman" w:hAnsi="Times New Roman"/>
          <w:sz w:val="24"/>
          <w:szCs w:val="24"/>
        </w:rPr>
        <w:t>this is the description of what happened at the Bulls’ hotel on that day:</w:t>
      </w:r>
    </w:p>
    <w:p w:rsidR="00162720" w:rsidRPr="00162720" w:rsidRDefault="00046112" w:rsidP="00162720">
      <w:pPr>
        <w:spacing w:before="120" w:after="120" w:line="480" w:lineRule="auto"/>
        <w:ind w:left="709"/>
        <w:rPr>
          <w:rFonts w:ascii="Times New Roman" w:hAnsi="Times New Roman"/>
          <w:sz w:val="24"/>
          <w:szCs w:val="24"/>
        </w:rPr>
      </w:pPr>
      <w:r>
        <w:rPr>
          <w:rFonts w:ascii="Times New Roman" w:hAnsi="Times New Roman"/>
          <w:sz w:val="24"/>
          <w:szCs w:val="24"/>
        </w:rPr>
        <w:t xml:space="preserve">[Hall and </w:t>
      </w:r>
      <w:proofErr w:type="spellStart"/>
      <w:r>
        <w:rPr>
          <w:rFonts w:ascii="Times New Roman" w:hAnsi="Times New Roman"/>
          <w:sz w:val="24"/>
          <w:szCs w:val="24"/>
        </w:rPr>
        <w:t>Preddy</w:t>
      </w:r>
      <w:proofErr w:type="spellEnd"/>
      <w:r>
        <w:rPr>
          <w:rFonts w:ascii="Times New Roman" w:hAnsi="Times New Roman"/>
          <w:sz w:val="24"/>
          <w:szCs w:val="24"/>
        </w:rPr>
        <w:t>]</w:t>
      </w:r>
      <w:r w:rsidRPr="00046112">
        <w:rPr>
          <w:rFonts w:ascii="Times New Roman" w:hAnsi="Times New Roman"/>
          <w:sz w:val="24"/>
          <w:szCs w:val="24"/>
        </w:rPr>
        <w:t xml:space="preserve"> drove from Bristol to Cornwall and presented themselves at the hotel to be met by Mr Quinn who informed them of the hotel’s policy </w:t>
      </w:r>
      <w:proofErr w:type="gramStart"/>
      <w:r w:rsidRPr="00046112">
        <w:rPr>
          <w:rFonts w:ascii="Times New Roman" w:hAnsi="Times New Roman"/>
          <w:sz w:val="24"/>
          <w:szCs w:val="24"/>
        </w:rPr>
        <w:t>with regard to</w:t>
      </w:r>
      <w:proofErr w:type="gramEnd"/>
      <w:r w:rsidRPr="00046112">
        <w:rPr>
          <w:rFonts w:ascii="Times New Roman" w:hAnsi="Times New Roman"/>
          <w:sz w:val="24"/>
          <w:szCs w:val="24"/>
        </w:rPr>
        <w:t xml:space="preserve"> double rooms. </w:t>
      </w:r>
      <w:r w:rsidR="00162720">
        <w:rPr>
          <w:rFonts w:ascii="Times New Roman" w:hAnsi="Times New Roman"/>
          <w:sz w:val="24"/>
          <w:szCs w:val="24"/>
        </w:rPr>
        <w:t xml:space="preserve">[Hall and </w:t>
      </w:r>
      <w:proofErr w:type="spellStart"/>
      <w:r w:rsidR="00162720">
        <w:rPr>
          <w:rFonts w:ascii="Times New Roman" w:hAnsi="Times New Roman"/>
          <w:sz w:val="24"/>
          <w:szCs w:val="24"/>
        </w:rPr>
        <w:t>Preddy</w:t>
      </w:r>
      <w:proofErr w:type="spellEnd"/>
      <w:r w:rsidR="00162720">
        <w:rPr>
          <w:rFonts w:ascii="Times New Roman" w:hAnsi="Times New Roman"/>
          <w:sz w:val="24"/>
          <w:szCs w:val="24"/>
        </w:rPr>
        <w:t>]</w:t>
      </w:r>
      <w:r w:rsidR="00162720" w:rsidRPr="00162720">
        <w:rPr>
          <w:rFonts w:ascii="Times New Roman" w:hAnsi="Times New Roman"/>
          <w:sz w:val="24"/>
          <w:szCs w:val="24"/>
        </w:rPr>
        <w:t xml:space="preserve"> explained that they were in a civil partnership but were told by Mr Quinn that only mixed sex married couples could have double rooms. </w:t>
      </w:r>
    </w:p>
    <w:p w:rsidR="00046112" w:rsidRPr="00046112" w:rsidRDefault="00162720" w:rsidP="00162720">
      <w:pPr>
        <w:spacing w:before="120" w:after="120" w:line="480" w:lineRule="auto"/>
        <w:ind w:left="709"/>
        <w:rPr>
          <w:rFonts w:ascii="Times New Roman" w:hAnsi="Times New Roman"/>
          <w:sz w:val="24"/>
          <w:szCs w:val="24"/>
        </w:rPr>
      </w:pPr>
      <w:r w:rsidRPr="00162720">
        <w:rPr>
          <w:rFonts w:ascii="Times New Roman" w:hAnsi="Times New Roman"/>
          <w:sz w:val="24"/>
          <w:szCs w:val="24"/>
        </w:rPr>
        <w:t xml:space="preserve"> </w:t>
      </w:r>
      <w:r w:rsidR="00046112">
        <w:rPr>
          <w:rFonts w:ascii="Times New Roman" w:hAnsi="Times New Roman"/>
          <w:sz w:val="24"/>
          <w:szCs w:val="24"/>
        </w:rPr>
        <w:t>(</w:t>
      </w:r>
      <w:r w:rsidR="00046112">
        <w:rPr>
          <w:rFonts w:ascii="Times New Roman" w:hAnsi="Times New Roman"/>
          <w:i/>
          <w:iCs/>
          <w:sz w:val="24"/>
          <w:szCs w:val="24"/>
        </w:rPr>
        <w:t xml:space="preserve">Hall and </w:t>
      </w:r>
      <w:proofErr w:type="spellStart"/>
      <w:r w:rsidR="00046112">
        <w:rPr>
          <w:rFonts w:ascii="Times New Roman" w:hAnsi="Times New Roman"/>
          <w:i/>
          <w:iCs/>
          <w:sz w:val="24"/>
          <w:szCs w:val="24"/>
        </w:rPr>
        <w:t>Preddy</w:t>
      </w:r>
      <w:proofErr w:type="spellEnd"/>
      <w:r w:rsidR="00046112">
        <w:rPr>
          <w:rFonts w:ascii="Times New Roman" w:hAnsi="Times New Roman"/>
          <w:i/>
          <w:iCs/>
          <w:sz w:val="24"/>
          <w:szCs w:val="24"/>
        </w:rPr>
        <w:t xml:space="preserve"> v Bull and Bull</w:t>
      </w:r>
      <w:r w:rsidR="00046112">
        <w:rPr>
          <w:rFonts w:ascii="Times New Roman" w:hAnsi="Times New Roman"/>
          <w:sz w:val="24"/>
          <w:szCs w:val="24"/>
        </w:rPr>
        <w:t xml:space="preserve"> [</w:t>
      </w:r>
      <w:r w:rsidR="002E7536">
        <w:rPr>
          <w:rFonts w:ascii="Times New Roman" w:hAnsi="Times New Roman"/>
          <w:sz w:val="24"/>
          <w:szCs w:val="24"/>
        </w:rPr>
        <w:t>2011]: 13)</w:t>
      </w:r>
    </w:p>
    <w:p w:rsidR="00057D78" w:rsidRDefault="002E7536" w:rsidP="009113FA">
      <w:pPr>
        <w:spacing w:before="120" w:after="120" w:line="480" w:lineRule="auto"/>
        <w:rPr>
          <w:rFonts w:ascii="Times New Roman" w:hAnsi="Times New Roman"/>
          <w:sz w:val="24"/>
          <w:szCs w:val="24"/>
        </w:rPr>
      </w:pPr>
      <w:r>
        <w:rPr>
          <w:rFonts w:ascii="Times New Roman" w:hAnsi="Times New Roman"/>
          <w:sz w:val="24"/>
          <w:szCs w:val="24"/>
        </w:rPr>
        <w:t xml:space="preserve">Why did Quinn inform them of this policy? The answer is obvious: </w:t>
      </w:r>
      <w:r>
        <w:rPr>
          <w:rFonts w:ascii="Times New Roman" w:hAnsi="Times New Roman"/>
          <w:i/>
          <w:iCs/>
          <w:sz w:val="24"/>
          <w:szCs w:val="24"/>
        </w:rPr>
        <w:t>he could see that they were both men</w:t>
      </w:r>
      <w:r>
        <w:rPr>
          <w:rFonts w:ascii="Times New Roman" w:hAnsi="Times New Roman"/>
          <w:sz w:val="24"/>
          <w:szCs w:val="24"/>
        </w:rPr>
        <w:t xml:space="preserve">. </w:t>
      </w:r>
      <w:r w:rsidR="00B33A16">
        <w:rPr>
          <w:rFonts w:ascii="Times New Roman" w:hAnsi="Times New Roman"/>
          <w:sz w:val="24"/>
          <w:szCs w:val="24"/>
        </w:rPr>
        <w:t xml:space="preserve">He </w:t>
      </w:r>
      <w:r w:rsidR="00F74466">
        <w:rPr>
          <w:rFonts w:ascii="Times New Roman" w:hAnsi="Times New Roman"/>
          <w:sz w:val="24"/>
          <w:szCs w:val="24"/>
        </w:rPr>
        <w:t>seem</w:t>
      </w:r>
      <w:r w:rsidR="00B33A16">
        <w:rPr>
          <w:rFonts w:ascii="Times New Roman" w:hAnsi="Times New Roman"/>
          <w:sz w:val="24"/>
          <w:szCs w:val="24"/>
        </w:rPr>
        <w:t xml:space="preserve">s already </w:t>
      </w:r>
      <w:r w:rsidR="00F74466">
        <w:rPr>
          <w:rFonts w:ascii="Times New Roman" w:hAnsi="Times New Roman"/>
          <w:sz w:val="24"/>
          <w:szCs w:val="24"/>
        </w:rPr>
        <w:t xml:space="preserve">to have </w:t>
      </w:r>
      <w:r w:rsidR="00B33A16">
        <w:rPr>
          <w:rFonts w:ascii="Times New Roman" w:hAnsi="Times New Roman"/>
          <w:sz w:val="24"/>
          <w:szCs w:val="24"/>
        </w:rPr>
        <w:t>kn</w:t>
      </w:r>
      <w:r w:rsidR="00F74466">
        <w:rPr>
          <w:rFonts w:ascii="Times New Roman" w:hAnsi="Times New Roman"/>
          <w:sz w:val="24"/>
          <w:szCs w:val="24"/>
        </w:rPr>
        <w:t>own</w:t>
      </w:r>
      <w:r w:rsidR="00B33A16">
        <w:rPr>
          <w:rFonts w:ascii="Times New Roman" w:hAnsi="Times New Roman"/>
          <w:sz w:val="24"/>
          <w:szCs w:val="24"/>
        </w:rPr>
        <w:t xml:space="preserve"> that </w:t>
      </w:r>
      <w:proofErr w:type="spellStart"/>
      <w:r w:rsidR="00B33A16">
        <w:rPr>
          <w:rFonts w:ascii="Times New Roman" w:hAnsi="Times New Roman"/>
          <w:sz w:val="24"/>
          <w:szCs w:val="24"/>
        </w:rPr>
        <w:t>Preddy</w:t>
      </w:r>
      <w:proofErr w:type="spellEnd"/>
      <w:r w:rsidR="00B33A16">
        <w:rPr>
          <w:rFonts w:ascii="Times New Roman" w:hAnsi="Times New Roman"/>
          <w:sz w:val="24"/>
          <w:szCs w:val="24"/>
        </w:rPr>
        <w:t xml:space="preserve"> was a man from the telephone booking (</w:t>
      </w:r>
      <w:r w:rsidR="00B33A16" w:rsidRPr="00B33A16">
        <w:rPr>
          <w:rFonts w:ascii="Times New Roman" w:hAnsi="Times New Roman"/>
          <w:i/>
          <w:iCs/>
          <w:sz w:val="24"/>
          <w:szCs w:val="24"/>
        </w:rPr>
        <w:t xml:space="preserve">Hall and </w:t>
      </w:r>
      <w:proofErr w:type="spellStart"/>
      <w:r w:rsidR="00B33A16" w:rsidRPr="00B33A16">
        <w:rPr>
          <w:rFonts w:ascii="Times New Roman" w:hAnsi="Times New Roman"/>
          <w:i/>
          <w:iCs/>
          <w:sz w:val="24"/>
          <w:szCs w:val="24"/>
        </w:rPr>
        <w:t>Preddy</w:t>
      </w:r>
      <w:proofErr w:type="spellEnd"/>
      <w:r w:rsidR="00B33A16" w:rsidRPr="00B33A16">
        <w:rPr>
          <w:rFonts w:ascii="Times New Roman" w:hAnsi="Times New Roman"/>
          <w:i/>
          <w:iCs/>
          <w:sz w:val="24"/>
          <w:szCs w:val="24"/>
        </w:rPr>
        <w:t xml:space="preserve"> v Bull and Bull</w:t>
      </w:r>
      <w:r w:rsidR="00B33A16" w:rsidRPr="00B33A16">
        <w:rPr>
          <w:rFonts w:ascii="Times New Roman" w:hAnsi="Times New Roman"/>
          <w:sz w:val="24"/>
          <w:szCs w:val="24"/>
        </w:rPr>
        <w:t xml:space="preserve"> [2011]: 1</w:t>
      </w:r>
      <w:r w:rsidR="00B33A16">
        <w:rPr>
          <w:rFonts w:ascii="Times New Roman" w:hAnsi="Times New Roman"/>
          <w:sz w:val="24"/>
          <w:szCs w:val="24"/>
        </w:rPr>
        <w:t xml:space="preserve">2), but he did not know that the person wanting to share the double room with </w:t>
      </w:r>
      <w:proofErr w:type="spellStart"/>
      <w:r w:rsidR="00B33A16">
        <w:rPr>
          <w:rFonts w:ascii="Times New Roman" w:hAnsi="Times New Roman"/>
          <w:sz w:val="24"/>
          <w:szCs w:val="24"/>
        </w:rPr>
        <w:t>Preddy</w:t>
      </w:r>
      <w:proofErr w:type="spellEnd"/>
      <w:r w:rsidR="00B33A16">
        <w:rPr>
          <w:rFonts w:ascii="Times New Roman" w:hAnsi="Times New Roman"/>
          <w:sz w:val="24"/>
          <w:szCs w:val="24"/>
        </w:rPr>
        <w:t xml:space="preserve"> was also a man.</w:t>
      </w:r>
      <w:bookmarkStart w:id="22" w:name="_Hlk45185238"/>
      <w:r w:rsidR="00057D78">
        <w:rPr>
          <w:rFonts w:ascii="Times New Roman" w:hAnsi="Times New Roman"/>
          <w:sz w:val="24"/>
          <w:szCs w:val="24"/>
        </w:rPr>
        <w:t xml:space="preserve"> Quinn’s reasoning, on behalf of the Bulls, evidently went like this:</w:t>
      </w:r>
    </w:p>
    <w:p w:rsidR="00057D78" w:rsidRDefault="00057D78" w:rsidP="00057D78">
      <w:pPr>
        <w:pStyle w:val="ListParagraph"/>
        <w:numPr>
          <w:ilvl w:val="0"/>
          <w:numId w:val="18"/>
        </w:numPr>
        <w:spacing w:before="120" w:after="120" w:line="480" w:lineRule="auto"/>
      </w:pPr>
      <w:bookmarkStart w:id="23" w:name="_Hlk45185949"/>
      <w:proofErr w:type="spellStart"/>
      <w:r>
        <w:t>Preddy</w:t>
      </w:r>
      <w:proofErr w:type="spellEnd"/>
      <w:r>
        <w:t xml:space="preserve"> is a man.</w:t>
      </w:r>
    </w:p>
    <w:p w:rsidR="00057D78" w:rsidRDefault="00DE7381" w:rsidP="00057D78">
      <w:pPr>
        <w:pStyle w:val="ListParagraph"/>
        <w:numPr>
          <w:ilvl w:val="0"/>
          <w:numId w:val="18"/>
        </w:numPr>
        <w:spacing w:before="120" w:after="120" w:line="480" w:lineRule="auto"/>
      </w:pPr>
      <w:r>
        <w:t>Hall</w:t>
      </w:r>
      <w:r w:rsidR="00057D78">
        <w:t xml:space="preserve"> is a man.</w:t>
      </w:r>
    </w:p>
    <w:p w:rsidR="00A75716" w:rsidRDefault="00A75716" w:rsidP="00057D78">
      <w:pPr>
        <w:pStyle w:val="ListParagraph"/>
        <w:numPr>
          <w:ilvl w:val="0"/>
          <w:numId w:val="18"/>
        </w:numPr>
        <w:spacing w:before="120" w:after="120" w:line="480" w:lineRule="auto"/>
      </w:pPr>
      <w:r>
        <w:lastRenderedPageBreak/>
        <w:t xml:space="preserve">Two men </w:t>
      </w:r>
      <w:r w:rsidR="00C44DA4">
        <w:t>do not</w:t>
      </w:r>
      <w:r>
        <w:t xml:space="preserve"> make an opposite-sex married couple.</w:t>
      </w:r>
    </w:p>
    <w:p w:rsidR="00A75716" w:rsidRDefault="00A75716" w:rsidP="00057D78">
      <w:pPr>
        <w:pStyle w:val="ListParagraph"/>
        <w:numPr>
          <w:ilvl w:val="0"/>
          <w:numId w:val="18"/>
        </w:numPr>
        <w:spacing w:before="120" w:after="120" w:line="480" w:lineRule="auto"/>
      </w:pPr>
      <w:r w:rsidRPr="00A75716">
        <w:t xml:space="preserve">Therefore, Hall and </w:t>
      </w:r>
      <w:proofErr w:type="spellStart"/>
      <w:r w:rsidRPr="00A75716">
        <w:t>Preddy</w:t>
      </w:r>
      <w:proofErr w:type="spellEnd"/>
      <w:r>
        <w:t xml:space="preserve"> do </w:t>
      </w:r>
      <w:r w:rsidRPr="00A75716">
        <w:t>not make an opposite-sex married couple</w:t>
      </w:r>
      <w:r>
        <w:t>.</w:t>
      </w:r>
    </w:p>
    <w:p w:rsidR="00057D78" w:rsidRDefault="00C44DA4" w:rsidP="00057D78">
      <w:pPr>
        <w:pStyle w:val="ListParagraph"/>
        <w:numPr>
          <w:ilvl w:val="0"/>
          <w:numId w:val="18"/>
        </w:numPr>
        <w:spacing w:before="120" w:after="120" w:line="480" w:lineRule="auto"/>
      </w:pPr>
      <w:r>
        <w:t>T</w:t>
      </w:r>
      <w:r w:rsidR="00A75716">
        <w:t xml:space="preserve">hose that </w:t>
      </w:r>
      <w:r>
        <w:t xml:space="preserve">do </w:t>
      </w:r>
      <w:r w:rsidR="00A75716" w:rsidRPr="00A75716">
        <w:t>not make an opposite-sex married couple</w:t>
      </w:r>
      <w:r w:rsidR="00DE7381">
        <w:t xml:space="preserve"> </w:t>
      </w:r>
      <w:r w:rsidR="008441BF">
        <w:t>should</w:t>
      </w:r>
      <w:r w:rsidR="00DE7381">
        <w:t xml:space="preserve"> not </w:t>
      </w:r>
      <w:r w:rsidR="008441BF">
        <w:t xml:space="preserve">be </w:t>
      </w:r>
      <w:r w:rsidR="00DE7381">
        <w:t>allowed to share a double room.</w:t>
      </w:r>
    </w:p>
    <w:p w:rsidR="00DE7381" w:rsidRPr="00057D78" w:rsidRDefault="00DE7381" w:rsidP="00057D78">
      <w:pPr>
        <w:pStyle w:val="ListParagraph"/>
        <w:numPr>
          <w:ilvl w:val="0"/>
          <w:numId w:val="18"/>
        </w:numPr>
        <w:spacing w:before="120" w:after="120" w:line="480" w:lineRule="auto"/>
      </w:pPr>
      <w:r>
        <w:t>Therefore,</w:t>
      </w:r>
      <w:r w:rsidR="008441BF">
        <w:t xml:space="preserve"> Hall and </w:t>
      </w:r>
      <w:proofErr w:type="spellStart"/>
      <w:r w:rsidR="008441BF">
        <w:t>Preddy</w:t>
      </w:r>
      <w:proofErr w:type="spellEnd"/>
      <w:r w:rsidR="008441BF">
        <w:t xml:space="preserve"> </w:t>
      </w:r>
      <w:r w:rsidR="008441BF" w:rsidRPr="008441BF">
        <w:t>should not be allowed to share a double room</w:t>
      </w:r>
      <w:r w:rsidR="008441BF">
        <w:t>.</w:t>
      </w:r>
      <w:r>
        <w:t xml:space="preserve"> </w:t>
      </w:r>
    </w:p>
    <w:bookmarkEnd w:id="23"/>
    <w:p w:rsidR="00057D78" w:rsidRDefault="008441BF" w:rsidP="009113FA">
      <w:pPr>
        <w:spacing w:before="120" w:after="120" w:line="480" w:lineRule="auto"/>
        <w:rPr>
          <w:rFonts w:ascii="Times New Roman" w:hAnsi="Times New Roman"/>
          <w:sz w:val="24"/>
          <w:szCs w:val="24"/>
        </w:rPr>
      </w:pPr>
      <w:proofErr w:type="gramStart"/>
      <w:r>
        <w:rPr>
          <w:rFonts w:ascii="Times New Roman" w:hAnsi="Times New Roman"/>
          <w:sz w:val="24"/>
          <w:szCs w:val="24"/>
        </w:rPr>
        <w:t xml:space="preserve">It is clear that </w:t>
      </w:r>
      <w:r w:rsidR="002A3834">
        <w:rPr>
          <w:rFonts w:ascii="Times New Roman" w:hAnsi="Times New Roman"/>
          <w:sz w:val="24"/>
          <w:szCs w:val="24"/>
        </w:rPr>
        <w:t>Hall’s</w:t>
      </w:r>
      <w:proofErr w:type="gramEnd"/>
      <w:r w:rsidR="002A3834">
        <w:rPr>
          <w:rFonts w:ascii="Times New Roman" w:hAnsi="Times New Roman"/>
          <w:sz w:val="24"/>
          <w:szCs w:val="24"/>
        </w:rPr>
        <w:t xml:space="preserve"> sex, and </w:t>
      </w:r>
      <w:proofErr w:type="spellStart"/>
      <w:r w:rsidR="002A3834">
        <w:rPr>
          <w:rFonts w:ascii="Times New Roman" w:hAnsi="Times New Roman"/>
          <w:sz w:val="24"/>
          <w:szCs w:val="24"/>
        </w:rPr>
        <w:t>Preddy’s</w:t>
      </w:r>
      <w:proofErr w:type="spellEnd"/>
      <w:r w:rsidR="002A3834">
        <w:rPr>
          <w:rFonts w:ascii="Times New Roman" w:hAnsi="Times New Roman"/>
          <w:sz w:val="24"/>
          <w:szCs w:val="24"/>
        </w:rPr>
        <w:t xml:space="preserve"> sex, played an essential role in this chain of reasoning. Had Quinn not </w:t>
      </w:r>
      <w:r w:rsidR="00E40D8F">
        <w:rPr>
          <w:rFonts w:ascii="Times New Roman" w:hAnsi="Times New Roman"/>
          <w:sz w:val="24"/>
          <w:szCs w:val="24"/>
        </w:rPr>
        <w:t>realized</w:t>
      </w:r>
      <w:r w:rsidR="002A3834">
        <w:rPr>
          <w:rFonts w:ascii="Times New Roman" w:hAnsi="Times New Roman"/>
          <w:sz w:val="24"/>
          <w:szCs w:val="24"/>
        </w:rPr>
        <w:t xml:space="preserve"> that Hall was a man, or that </w:t>
      </w:r>
      <w:proofErr w:type="spellStart"/>
      <w:r w:rsidR="002A3834">
        <w:rPr>
          <w:rFonts w:ascii="Times New Roman" w:hAnsi="Times New Roman"/>
          <w:sz w:val="24"/>
          <w:szCs w:val="24"/>
        </w:rPr>
        <w:t>Preddy</w:t>
      </w:r>
      <w:proofErr w:type="spellEnd"/>
      <w:r w:rsidR="002A3834">
        <w:rPr>
          <w:rFonts w:ascii="Times New Roman" w:hAnsi="Times New Roman"/>
          <w:sz w:val="24"/>
          <w:szCs w:val="24"/>
        </w:rPr>
        <w:t xml:space="preserve"> was a man, he would not have </w:t>
      </w:r>
      <w:proofErr w:type="gramStart"/>
      <w:r w:rsidR="002A3834">
        <w:rPr>
          <w:rFonts w:ascii="Times New Roman" w:hAnsi="Times New Roman"/>
          <w:sz w:val="24"/>
          <w:szCs w:val="24"/>
        </w:rPr>
        <w:t>come to the conclusion</w:t>
      </w:r>
      <w:proofErr w:type="gramEnd"/>
      <w:r w:rsidR="002A3834">
        <w:rPr>
          <w:rFonts w:ascii="Times New Roman" w:hAnsi="Times New Roman"/>
          <w:sz w:val="24"/>
          <w:szCs w:val="24"/>
        </w:rPr>
        <w:t xml:space="preserve"> that he did.</w:t>
      </w:r>
      <w:r w:rsidR="00E40D8F">
        <w:rPr>
          <w:rFonts w:ascii="Times New Roman" w:hAnsi="Times New Roman"/>
          <w:sz w:val="24"/>
          <w:szCs w:val="24"/>
        </w:rPr>
        <w:t xml:space="preserve"> Therefore, the decision to refuse the double-room was taken in part because Hall was a man, and in part because </w:t>
      </w:r>
      <w:proofErr w:type="spellStart"/>
      <w:r w:rsidR="00E40D8F">
        <w:rPr>
          <w:rFonts w:ascii="Times New Roman" w:hAnsi="Times New Roman"/>
          <w:sz w:val="24"/>
          <w:szCs w:val="24"/>
        </w:rPr>
        <w:t>Preddy</w:t>
      </w:r>
      <w:proofErr w:type="spellEnd"/>
      <w:r w:rsidR="00E40D8F">
        <w:rPr>
          <w:rFonts w:ascii="Times New Roman" w:hAnsi="Times New Roman"/>
          <w:sz w:val="24"/>
          <w:szCs w:val="24"/>
        </w:rPr>
        <w:t xml:space="preserve"> was a man</w:t>
      </w:r>
      <w:r w:rsidR="00872789">
        <w:rPr>
          <w:rFonts w:ascii="Times New Roman" w:hAnsi="Times New Roman"/>
          <w:sz w:val="24"/>
          <w:szCs w:val="24"/>
        </w:rPr>
        <w:t>,</w:t>
      </w:r>
      <w:r w:rsidR="00E40D8F">
        <w:rPr>
          <w:rFonts w:ascii="Times New Roman" w:hAnsi="Times New Roman"/>
          <w:sz w:val="24"/>
          <w:szCs w:val="24"/>
        </w:rPr>
        <w:t xml:space="preserve"> as well as in part because of the belief that it was wrong to allow </w:t>
      </w:r>
      <w:r w:rsidR="00872789">
        <w:rPr>
          <w:rFonts w:ascii="Times New Roman" w:hAnsi="Times New Roman"/>
          <w:sz w:val="24"/>
          <w:szCs w:val="24"/>
        </w:rPr>
        <w:t>a same-sex couple</w:t>
      </w:r>
      <w:r w:rsidR="00E40D8F">
        <w:rPr>
          <w:rFonts w:ascii="Times New Roman" w:hAnsi="Times New Roman"/>
          <w:sz w:val="24"/>
          <w:szCs w:val="24"/>
        </w:rPr>
        <w:t xml:space="preserve"> to share a double room.</w:t>
      </w:r>
      <w:r w:rsidR="00872789">
        <w:rPr>
          <w:rFonts w:ascii="Times New Roman" w:hAnsi="Times New Roman"/>
          <w:sz w:val="24"/>
          <w:szCs w:val="24"/>
        </w:rPr>
        <w:t xml:space="preserve"> Therefore, the decision was in part because of sex, contrary to the provisions of the Equality Act 2010.</w:t>
      </w:r>
      <w:r w:rsidR="00A816C5">
        <w:rPr>
          <w:rStyle w:val="FootnoteReference"/>
          <w:rFonts w:ascii="Times New Roman" w:hAnsi="Times New Roman"/>
          <w:sz w:val="24"/>
          <w:szCs w:val="24"/>
        </w:rPr>
        <w:footnoteReference w:id="15"/>
      </w:r>
    </w:p>
    <w:bookmarkEnd w:id="22"/>
    <w:p w:rsidR="00F723E6" w:rsidRDefault="00F723E6" w:rsidP="009113FA">
      <w:pPr>
        <w:spacing w:before="120" w:after="120" w:line="480" w:lineRule="auto"/>
        <w:rPr>
          <w:rFonts w:ascii="Times New Roman" w:hAnsi="Times New Roman"/>
          <w:sz w:val="24"/>
          <w:szCs w:val="24"/>
        </w:rPr>
      </w:pPr>
    </w:p>
    <w:p w:rsidR="008A7575" w:rsidRDefault="008A7575" w:rsidP="008A7575">
      <w:pPr>
        <w:spacing w:before="120" w:after="120" w:line="480" w:lineRule="auto"/>
        <w:rPr>
          <w:rFonts w:ascii="Times New Roman" w:hAnsi="Times New Roman"/>
          <w:sz w:val="24"/>
          <w:szCs w:val="24"/>
        </w:rPr>
      </w:pPr>
      <w:r w:rsidRPr="008A7575">
        <w:rPr>
          <w:rFonts w:ascii="Times New Roman" w:hAnsi="Times New Roman"/>
          <w:sz w:val="24"/>
          <w:szCs w:val="24"/>
        </w:rPr>
        <w:t>Th</w:t>
      </w:r>
      <w:r w:rsidR="00F723E6">
        <w:rPr>
          <w:rFonts w:ascii="Times New Roman" w:hAnsi="Times New Roman"/>
          <w:sz w:val="24"/>
          <w:szCs w:val="24"/>
        </w:rPr>
        <w:t xml:space="preserve">e </w:t>
      </w:r>
      <w:r w:rsidR="00DC6C2A">
        <w:rPr>
          <w:rFonts w:ascii="Times New Roman" w:hAnsi="Times New Roman"/>
          <w:sz w:val="24"/>
          <w:szCs w:val="24"/>
        </w:rPr>
        <w:t>fact that the decision was only in part because of sex does not show that it was not direct discrimination because of sex</w:t>
      </w:r>
      <w:r w:rsidRPr="008A7575">
        <w:rPr>
          <w:rFonts w:ascii="Times New Roman" w:hAnsi="Times New Roman"/>
          <w:sz w:val="24"/>
          <w:szCs w:val="24"/>
        </w:rPr>
        <w:t xml:space="preserve">. If the criterion had been “no black couples and no unmarried couples” it would have been clearly direct discrimination because of race; if it had been “no couples over 60 and no unmarried couples” it would have been clearly direct discrimination because of age. So, by parity of reasoning, the Bulls’ criterion “no same-sex couples and no unmarried opposite-sex couples” clearly constitutes direct discrimination because of sex. The addition of a new criterion does not in any way nullify an existing criterion. </w:t>
      </w:r>
      <w:r w:rsidR="00796FAC">
        <w:rPr>
          <w:rFonts w:ascii="Times New Roman" w:hAnsi="Times New Roman"/>
          <w:sz w:val="24"/>
          <w:szCs w:val="24"/>
        </w:rPr>
        <w:t xml:space="preserve">Compare also the </w:t>
      </w:r>
      <w:r w:rsidR="00796FAC">
        <w:rPr>
          <w:rFonts w:ascii="Times New Roman" w:hAnsi="Times New Roman"/>
          <w:sz w:val="24"/>
          <w:szCs w:val="24"/>
        </w:rPr>
        <w:lastRenderedPageBreak/>
        <w:t>pronouncement of the</w:t>
      </w:r>
      <w:r w:rsidRPr="008A7575">
        <w:rPr>
          <w:rFonts w:ascii="Times New Roman" w:hAnsi="Times New Roman"/>
          <w:sz w:val="24"/>
          <w:szCs w:val="24"/>
        </w:rPr>
        <w:t xml:space="preserve"> Court of Appeal </w:t>
      </w:r>
      <w:r w:rsidR="006970C4">
        <w:rPr>
          <w:rFonts w:ascii="Times New Roman" w:hAnsi="Times New Roman"/>
          <w:sz w:val="24"/>
          <w:szCs w:val="24"/>
        </w:rPr>
        <w:t>(</w:t>
      </w:r>
      <w:r w:rsidRPr="008A7575">
        <w:rPr>
          <w:rFonts w:ascii="Times New Roman" w:hAnsi="Times New Roman"/>
          <w:i/>
          <w:sz w:val="24"/>
          <w:szCs w:val="24"/>
        </w:rPr>
        <w:t>Owen and Briggs v James</w:t>
      </w:r>
      <w:r w:rsidRPr="008A7575">
        <w:rPr>
          <w:rFonts w:ascii="Times New Roman" w:hAnsi="Times New Roman"/>
          <w:sz w:val="24"/>
          <w:szCs w:val="24"/>
        </w:rPr>
        <w:t xml:space="preserve"> [1982</w:t>
      </w:r>
      <w:r w:rsidR="006970C4">
        <w:rPr>
          <w:rFonts w:ascii="Times New Roman" w:hAnsi="Times New Roman"/>
          <w:sz w:val="24"/>
          <w:szCs w:val="24"/>
        </w:rPr>
        <w:t>]</w:t>
      </w:r>
      <w:r w:rsidRPr="008A7575">
        <w:rPr>
          <w:rFonts w:ascii="Times New Roman" w:hAnsi="Times New Roman"/>
          <w:sz w:val="24"/>
          <w:szCs w:val="24"/>
        </w:rPr>
        <w:t>: 623E</w:t>
      </w:r>
      <w:r w:rsidR="006970C4">
        <w:rPr>
          <w:rFonts w:ascii="Times New Roman" w:hAnsi="Times New Roman"/>
          <w:sz w:val="24"/>
          <w:szCs w:val="24"/>
        </w:rPr>
        <w:t>)</w:t>
      </w:r>
      <w:r w:rsidRPr="008A7575">
        <w:rPr>
          <w:rFonts w:ascii="Times New Roman" w:hAnsi="Times New Roman"/>
          <w:sz w:val="24"/>
          <w:szCs w:val="24"/>
        </w:rPr>
        <w:t xml:space="preserve"> that discriminatory conduct does not have to be animated </w:t>
      </w:r>
      <w:r w:rsidRPr="008A7575">
        <w:rPr>
          <w:rFonts w:ascii="Times New Roman" w:hAnsi="Times New Roman"/>
          <w:i/>
          <w:sz w:val="24"/>
          <w:szCs w:val="24"/>
        </w:rPr>
        <w:t>solely</w:t>
      </w:r>
      <w:r w:rsidRPr="008A7575">
        <w:rPr>
          <w:rFonts w:ascii="Times New Roman" w:hAnsi="Times New Roman"/>
          <w:sz w:val="24"/>
          <w:szCs w:val="24"/>
        </w:rPr>
        <w:t xml:space="preserve"> by the discriminatory ground.</w:t>
      </w:r>
    </w:p>
    <w:p w:rsidR="00207706" w:rsidRDefault="00207706" w:rsidP="009113FA">
      <w:pPr>
        <w:spacing w:before="120" w:after="120" w:line="480" w:lineRule="auto"/>
        <w:rPr>
          <w:rFonts w:ascii="Times New Roman" w:hAnsi="Times New Roman"/>
          <w:sz w:val="24"/>
          <w:szCs w:val="24"/>
        </w:rPr>
      </w:pPr>
    </w:p>
    <w:p w:rsidR="00A95AA5" w:rsidRPr="00E469DF" w:rsidRDefault="00A95AA5" w:rsidP="009113FA">
      <w:pPr>
        <w:spacing w:before="120" w:after="120" w:line="480" w:lineRule="auto"/>
        <w:rPr>
          <w:rFonts w:ascii="Times New Roman" w:hAnsi="Times New Roman"/>
          <w:sz w:val="24"/>
          <w:szCs w:val="24"/>
        </w:rPr>
      </w:pPr>
      <w:r>
        <w:rPr>
          <w:rFonts w:ascii="Times New Roman" w:hAnsi="Times New Roman"/>
          <w:sz w:val="24"/>
          <w:szCs w:val="24"/>
        </w:rPr>
        <w:t xml:space="preserve">Finally, it should be noted that </w:t>
      </w:r>
      <w:r w:rsidR="003C1DD9">
        <w:rPr>
          <w:rFonts w:ascii="Times New Roman" w:hAnsi="Times New Roman"/>
          <w:sz w:val="24"/>
          <w:szCs w:val="24"/>
        </w:rPr>
        <w:t xml:space="preserve">even if intersectional discrimination is not covered by the Equality Act 2010 that does not tell against the argument that I have been deploying. </w:t>
      </w:r>
      <w:r w:rsidR="006A4551">
        <w:rPr>
          <w:rFonts w:ascii="Times New Roman" w:hAnsi="Times New Roman"/>
          <w:sz w:val="24"/>
          <w:szCs w:val="24"/>
        </w:rPr>
        <w:t xml:space="preserve">Intersectional discrimination occurs when someone is discriminated </w:t>
      </w:r>
      <w:r w:rsidR="00FA50B1">
        <w:rPr>
          <w:rFonts w:ascii="Times New Roman" w:hAnsi="Times New Roman"/>
          <w:sz w:val="24"/>
          <w:szCs w:val="24"/>
        </w:rPr>
        <w:t>against because they combine two protected characteristics. For example, it may be that A discriminates against black women but not against black men, and not against white women. I</w:t>
      </w:r>
      <w:r w:rsidR="00E1049A">
        <w:rPr>
          <w:rFonts w:ascii="Times New Roman" w:hAnsi="Times New Roman"/>
          <w:sz w:val="24"/>
          <w:szCs w:val="24"/>
        </w:rPr>
        <w:t>t</w:t>
      </w:r>
      <w:r w:rsidR="005E2316">
        <w:rPr>
          <w:rFonts w:ascii="Times New Roman" w:hAnsi="Times New Roman"/>
          <w:sz w:val="24"/>
          <w:szCs w:val="24"/>
        </w:rPr>
        <w:t xml:space="preserve"> is disputed (cf. Hand 2011)</w:t>
      </w:r>
      <w:r w:rsidR="00E1049A">
        <w:rPr>
          <w:rFonts w:ascii="Times New Roman" w:hAnsi="Times New Roman"/>
          <w:sz w:val="24"/>
          <w:szCs w:val="24"/>
        </w:rPr>
        <w:t xml:space="preserve"> whether in this case </w:t>
      </w:r>
      <w:r w:rsidR="00FA50B1">
        <w:rPr>
          <w:rFonts w:ascii="Times New Roman" w:hAnsi="Times New Roman"/>
          <w:sz w:val="24"/>
          <w:szCs w:val="24"/>
        </w:rPr>
        <w:t xml:space="preserve">there </w:t>
      </w:r>
      <w:r w:rsidR="00E1049A">
        <w:rPr>
          <w:rFonts w:ascii="Times New Roman" w:hAnsi="Times New Roman"/>
          <w:sz w:val="24"/>
          <w:szCs w:val="24"/>
        </w:rPr>
        <w:t>would be</w:t>
      </w:r>
      <w:r w:rsidR="00FA50B1">
        <w:rPr>
          <w:rFonts w:ascii="Times New Roman" w:hAnsi="Times New Roman"/>
          <w:sz w:val="24"/>
          <w:szCs w:val="24"/>
        </w:rPr>
        <w:t xml:space="preserve"> no discrimination because of sex and no discriminat</w:t>
      </w:r>
      <w:r w:rsidR="005E2316">
        <w:rPr>
          <w:rFonts w:ascii="Times New Roman" w:hAnsi="Times New Roman"/>
          <w:sz w:val="24"/>
          <w:szCs w:val="24"/>
        </w:rPr>
        <w:t>i</w:t>
      </w:r>
      <w:r w:rsidR="00FA50B1">
        <w:rPr>
          <w:rFonts w:ascii="Times New Roman" w:hAnsi="Times New Roman"/>
          <w:sz w:val="24"/>
          <w:szCs w:val="24"/>
        </w:rPr>
        <w:t>on because of race</w:t>
      </w:r>
      <w:r w:rsidR="00E1049A">
        <w:rPr>
          <w:rFonts w:ascii="Times New Roman" w:hAnsi="Times New Roman"/>
          <w:sz w:val="24"/>
          <w:szCs w:val="24"/>
        </w:rPr>
        <w:t>, b</w:t>
      </w:r>
      <w:r w:rsidR="00F227DC">
        <w:rPr>
          <w:rFonts w:ascii="Times New Roman" w:hAnsi="Times New Roman"/>
          <w:sz w:val="24"/>
          <w:szCs w:val="24"/>
        </w:rPr>
        <w:t xml:space="preserve">ut in the case of the Bulls </w:t>
      </w:r>
      <w:r w:rsidR="00F227DC">
        <w:rPr>
          <w:rFonts w:ascii="Times New Roman" w:hAnsi="Times New Roman"/>
          <w:i/>
          <w:iCs/>
          <w:sz w:val="24"/>
          <w:szCs w:val="24"/>
        </w:rPr>
        <w:t>all</w:t>
      </w:r>
      <w:r w:rsidR="00E469DF">
        <w:rPr>
          <w:rFonts w:ascii="Times New Roman" w:hAnsi="Times New Roman"/>
          <w:sz w:val="24"/>
          <w:szCs w:val="24"/>
        </w:rPr>
        <w:t xml:space="preserve"> men are discriminated against when it comes to the position of room-sharer with </w:t>
      </w:r>
      <w:proofErr w:type="spellStart"/>
      <w:r w:rsidR="00EF1E4E">
        <w:rPr>
          <w:rFonts w:ascii="Times New Roman" w:hAnsi="Times New Roman"/>
          <w:sz w:val="24"/>
          <w:szCs w:val="24"/>
        </w:rPr>
        <w:t>Preddy</w:t>
      </w:r>
      <w:proofErr w:type="spellEnd"/>
      <w:r w:rsidR="00EF1E4E">
        <w:rPr>
          <w:rFonts w:ascii="Times New Roman" w:hAnsi="Times New Roman"/>
          <w:sz w:val="24"/>
          <w:szCs w:val="24"/>
        </w:rPr>
        <w:t xml:space="preserve">. </w:t>
      </w:r>
      <w:r w:rsidR="001D4492">
        <w:rPr>
          <w:rFonts w:ascii="Times New Roman" w:hAnsi="Times New Roman"/>
          <w:sz w:val="24"/>
          <w:szCs w:val="24"/>
        </w:rPr>
        <w:t xml:space="preserve">It is not the intersection of the characteristic of being a man with another characteristic that rules out Hall from sharing a room with </w:t>
      </w:r>
      <w:proofErr w:type="spellStart"/>
      <w:r w:rsidR="001D4492">
        <w:rPr>
          <w:rFonts w:ascii="Times New Roman" w:hAnsi="Times New Roman"/>
          <w:sz w:val="24"/>
          <w:szCs w:val="24"/>
        </w:rPr>
        <w:t>Preddy</w:t>
      </w:r>
      <w:proofErr w:type="spellEnd"/>
      <w:r w:rsidR="001D4492">
        <w:rPr>
          <w:rFonts w:ascii="Times New Roman" w:hAnsi="Times New Roman"/>
          <w:sz w:val="24"/>
          <w:szCs w:val="24"/>
        </w:rPr>
        <w:t xml:space="preserve">. Rather, being a man suffices all by itself to </w:t>
      </w:r>
      <w:r w:rsidR="00A94790">
        <w:rPr>
          <w:rFonts w:ascii="Times New Roman" w:hAnsi="Times New Roman"/>
          <w:sz w:val="24"/>
          <w:szCs w:val="24"/>
        </w:rPr>
        <w:t>rule Hall out for that position.</w:t>
      </w:r>
    </w:p>
    <w:p w:rsidR="00E91CC3" w:rsidRPr="00BD182F" w:rsidRDefault="00206D18" w:rsidP="00680EC7">
      <w:pPr>
        <w:spacing w:line="480" w:lineRule="auto"/>
        <w:rPr>
          <w:rFonts w:ascii="Times New Roman" w:hAnsi="Times New Roman"/>
          <w:b/>
          <w:bCs/>
          <w:sz w:val="24"/>
          <w:szCs w:val="24"/>
        </w:rPr>
      </w:pPr>
      <w:r w:rsidRPr="00065C01">
        <w:rPr>
          <w:rFonts w:ascii="Times New Roman" w:hAnsi="Times New Roman"/>
          <w:sz w:val="24"/>
          <w:szCs w:val="24"/>
        </w:rPr>
        <w:t xml:space="preserve"> </w:t>
      </w:r>
    </w:p>
    <w:p w:rsidR="00230AE3" w:rsidRPr="00BD182F" w:rsidRDefault="00D4235F" w:rsidP="00BD182F">
      <w:pPr>
        <w:pStyle w:val="Heading2"/>
        <w:numPr>
          <w:ilvl w:val="0"/>
          <w:numId w:val="17"/>
        </w:numPr>
        <w:spacing w:line="480" w:lineRule="auto"/>
        <w:jc w:val="center"/>
        <w:rPr>
          <w:rFonts w:ascii="Times New Roman" w:hAnsi="Times New Roman"/>
          <w:b w:val="0"/>
          <w:bCs w:val="0"/>
          <w:i w:val="0"/>
          <w:iCs w:val="0"/>
        </w:rPr>
      </w:pPr>
      <w:r w:rsidRPr="00BD182F">
        <w:rPr>
          <w:rFonts w:ascii="Times New Roman" w:hAnsi="Times New Roman"/>
          <w:b w:val="0"/>
          <w:bCs w:val="0"/>
          <w:i w:val="0"/>
          <w:iCs w:val="0"/>
          <w:sz w:val="24"/>
          <w:szCs w:val="24"/>
        </w:rPr>
        <w:t xml:space="preserve">THE </w:t>
      </w:r>
      <w:r w:rsidR="007D27F6">
        <w:rPr>
          <w:rFonts w:ascii="Times New Roman" w:hAnsi="Times New Roman"/>
          <w:b w:val="0"/>
          <w:bCs w:val="0"/>
          <w:i w:val="0"/>
          <w:iCs w:val="0"/>
          <w:sz w:val="24"/>
          <w:szCs w:val="24"/>
        </w:rPr>
        <w:t xml:space="preserve">EUROPEAN </w:t>
      </w:r>
      <w:r w:rsidRPr="00BD182F">
        <w:rPr>
          <w:rFonts w:ascii="Times New Roman" w:hAnsi="Times New Roman"/>
          <w:b w:val="0"/>
          <w:bCs w:val="0"/>
          <w:i w:val="0"/>
          <w:iCs w:val="0"/>
          <w:sz w:val="24"/>
          <w:szCs w:val="24"/>
        </w:rPr>
        <w:t>COURT OF JUSTICE</w:t>
      </w:r>
    </w:p>
    <w:p w:rsidR="00DD4404" w:rsidRDefault="00DD4404" w:rsidP="00DD4404">
      <w:pPr>
        <w:spacing w:line="480" w:lineRule="auto"/>
        <w:rPr>
          <w:rFonts w:ascii="Times New Roman" w:hAnsi="Times New Roman"/>
          <w:sz w:val="24"/>
          <w:szCs w:val="24"/>
        </w:rPr>
      </w:pPr>
    </w:p>
    <w:p w:rsidR="00777875" w:rsidRPr="00777875" w:rsidRDefault="007C2D24" w:rsidP="00DD4404">
      <w:pPr>
        <w:spacing w:line="480" w:lineRule="auto"/>
        <w:rPr>
          <w:rFonts w:ascii="Times New Roman" w:hAnsi="Times New Roman"/>
          <w:sz w:val="24"/>
          <w:szCs w:val="24"/>
        </w:rPr>
      </w:pPr>
      <w:r>
        <w:rPr>
          <w:rFonts w:ascii="Times New Roman" w:hAnsi="Times New Roman"/>
          <w:sz w:val="24"/>
          <w:szCs w:val="24"/>
        </w:rPr>
        <w:t xml:space="preserve">The argument </w:t>
      </w:r>
      <w:r w:rsidR="00777875" w:rsidRPr="00777875">
        <w:rPr>
          <w:rFonts w:ascii="Times New Roman" w:hAnsi="Times New Roman"/>
          <w:sz w:val="24"/>
          <w:szCs w:val="24"/>
        </w:rPr>
        <w:t xml:space="preserve">deployed here that most cases commonly thought to be direct discrimination because of sexual orientation are </w:t>
      </w:r>
      <w:proofErr w:type="gramStart"/>
      <w:r w:rsidR="00777875" w:rsidRPr="00777875">
        <w:rPr>
          <w:rFonts w:ascii="Times New Roman" w:hAnsi="Times New Roman"/>
          <w:sz w:val="24"/>
          <w:szCs w:val="24"/>
        </w:rPr>
        <w:t>actually cases</w:t>
      </w:r>
      <w:proofErr w:type="gramEnd"/>
      <w:r w:rsidR="00777875" w:rsidRPr="00777875">
        <w:rPr>
          <w:rFonts w:ascii="Times New Roman" w:hAnsi="Times New Roman"/>
          <w:sz w:val="24"/>
          <w:szCs w:val="24"/>
        </w:rPr>
        <w:t xml:space="preserve"> of direct discrimination because of sex </w:t>
      </w:r>
      <w:r w:rsidR="00B009E7">
        <w:rPr>
          <w:rFonts w:ascii="Times New Roman" w:hAnsi="Times New Roman"/>
          <w:sz w:val="24"/>
          <w:szCs w:val="24"/>
        </w:rPr>
        <w:t xml:space="preserve">was </w:t>
      </w:r>
      <w:r w:rsidR="005576D3">
        <w:rPr>
          <w:rFonts w:ascii="Times New Roman" w:hAnsi="Times New Roman"/>
          <w:sz w:val="24"/>
          <w:szCs w:val="24"/>
        </w:rPr>
        <w:t>discussed in</w:t>
      </w:r>
      <w:r w:rsidR="00777875" w:rsidRPr="00777875">
        <w:rPr>
          <w:rFonts w:ascii="Times New Roman" w:hAnsi="Times New Roman"/>
          <w:sz w:val="24"/>
          <w:szCs w:val="24"/>
        </w:rPr>
        <w:t xml:space="preserve"> the E</w:t>
      </w:r>
      <w:r w:rsidR="00524FE6">
        <w:rPr>
          <w:rFonts w:ascii="Times New Roman" w:hAnsi="Times New Roman"/>
          <w:sz w:val="24"/>
          <w:szCs w:val="24"/>
        </w:rPr>
        <w:t>uropean</w:t>
      </w:r>
      <w:r w:rsidR="00777875" w:rsidRPr="00777875">
        <w:rPr>
          <w:rFonts w:ascii="Times New Roman" w:hAnsi="Times New Roman"/>
          <w:sz w:val="24"/>
          <w:szCs w:val="24"/>
        </w:rPr>
        <w:t xml:space="preserve"> case </w:t>
      </w:r>
      <w:r w:rsidR="00777875" w:rsidRPr="00777875">
        <w:rPr>
          <w:rFonts w:ascii="Times New Roman" w:hAnsi="Times New Roman"/>
          <w:i/>
          <w:sz w:val="24"/>
          <w:szCs w:val="24"/>
        </w:rPr>
        <w:t xml:space="preserve">Grant v South-West Trains </w:t>
      </w:r>
      <w:r w:rsidR="00B26D34">
        <w:rPr>
          <w:rFonts w:ascii="Times New Roman" w:hAnsi="Times New Roman"/>
          <w:iCs/>
          <w:sz w:val="24"/>
          <w:szCs w:val="24"/>
        </w:rPr>
        <w:t>[1998]</w:t>
      </w:r>
      <w:r w:rsidR="00777875" w:rsidRPr="00777875">
        <w:rPr>
          <w:rFonts w:ascii="Times New Roman" w:hAnsi="Times New Roman"/>
          <w:sz w:val="24"/>
          <w:szCs w:val="24"/>
        </w:rPr>
        <w:t>. In this case Lisa Grant complained that South-West Trains had discrimin</w:t>
      </w:r>
      <w:r w:rsidR="007D27F6">
        <w:rPr>
          <w:rFonts w:ascii="Times New Roman" w:hAnsi="Times New Roman"/>
          <w:sz w:val="24"/>
          <w:szCs w:val="24"/>
        </w:rPr>
        <w:t>ated</w:t>
      </w:r>
      <w:r w:rsidR="00777875" w:rsidRPr="00777875">
        <w:rPr>
          <w:rFonts w:ascii="Times New Roman" w:hAnsi="Times New Roman"/>
          <w:sz w:val="24"/>
          <w:szCs w:val="24"/>
        </w:rPr>
        <w:t xml:space="preserve"> based on sex contrary to Article 119 of the Treaty establishing the European Community in offering travel concessions to her predecessor’s, opposite-sex, partner but refusing them to her own, same-sex, partner</w:t>
      </w:r>
      <w:r w:rsidR="00FF1CB4">
        <w:rPr>
          <w:rFonts w:ascii="Times New Roman" w:hAnsi="Times New Roman"/>
          <w:sz w:val="24"/>
          <w:szCs w:val="24"/>
        </w:rPr>
        <w:t xml:space="preserve"> (</w:t>
      </w:r>
      <w:r w:rsidR="00FF1CB4" w:rsidRPr="00FF1CB4">
        <w:rPr>
          <w:rFonts w:ascii="Times New Roman" w:hAnsi="Times New Roman"/>
          <w:i/>
          <w:sz w:val="24"/>
          <w:szCs w:val="24"/>
        </w:rPr>
        <w:t xml:space="preserve">Grant v </w:t>
      </w:r>
      <w:r w:rsidR="00FF1CB4" w:rsidRPr="00FF1CB4">
        <w:rPr>
          <w:rFonts w:ascii="Times New Roman" w:hAnsi="Times New Roman"/>
          <w:i/>
          <w:sz w:val="24"/>
          <w:szCs w:val="24"/>
        </w:rPr>
        <w:lastRenderedPageBreak/>
        <w:t xml:space="preserve">South-West Trains </w:t>
      </w:r>
      <w:r w:rsidR="00FF1CB4" w:rsidRPr="00FF1CB4">
        <w:rPr>
          <w:rFonts w:ascii="Times New Roman" w:hAnsi="Times New Roman"/>
          <w:iCs/>
          <w:sz w:val="24"/>
          <w:szCs w:val="24"/>
        </w:rPr>
        <w:t>[1998</w:t>
      </w:r>
      <w:r w:rsidR="004D303E">
        <w:rPr>
          <w:rFonts w:ascii="Times New Roman" w:hAnsi="Times New Roman"/>
          <w:iCs/>
          <w:sz w:val="24"/>
          <w:szCs w:val="24"/>
        </w:rPr>
        <w:t>]</w:t>
      </w:r>
      <w:r w:rsidR="00DD4404">
        <w:rPr>
          <w:rFonts w:ascii="Times New Roman" w:hAnsi="Times New Roman"/>
          <w:iCs/>
          <w:sz w:val="24"/>
          <w:szCs w:val="24"/>
        </w:rPr>
        <w:t xml:space="preserve">: </w:t>
      </w:r>
      <w:r w:rsidR="00FF1CB4" w:rsidRPr="00FF1CB4">
        <w:rPr>
          <w:rFonts w:ascii="Times New Roman" w:hAnsi="Times New Roman"/>
          <w:sz w:val="24"/>
          <w:szCs w:val="24"/>
        </w:rPr>
        <w:t>1007 [7]–[10], 1009 [16]</w:t>
      </w:r>
      <w:r w:rsidR="00FF1CB4">
        <w:rPr>
          <w:rFonts w:ascii="Times New Roman" w:hAnsi="Times New Roman"/>
          <w:sz w:val="24"/>
          <w:szCs w:val="24"/>
        </w:rPr>
        <w:t>)</w:t>
      </w:r>
      <w:r w:rsidR="00777875" w:rsidRPr="00777875">
        <w:rPr>
          <w:rFonts w:ascii="Times New Roman" w:hAnsi="Times New Roman"/>
          <w:sz w:val="24"/>
          <w:szCs w:val="24"/>
        </w:rPr>
        <w:t>. Here the C</w:t>
      </w:r>
      <w:r w:rsidR="004D303E">
        <w:rPr>
          <w:rFonts w:ascii="Times New Roman" w:hAnsi="Times New Roman"/>
          <w:sz w:val="24"/>
          <w:szCs w:val="24"/>
        </w:rPr>
        <w:t>ourt of Justice</w:t>
      </w:r>
      <w:r w:rsidR="00777875" w:rsidRPr="00777875">
        <w:rPr>
          <w:rFonts w:ascii="Times New Roman" w:hAnsi="Times New Roman"/>
          <w:sz w:val="24"/>
          <w:szCs w:val="24"/>
        </w:rPr>
        <w:t xml:space="preserve"> stated in its judgment:</w:t>
      </w:r>
    </w:p>
    <w:p w:rsidR="00777875" w:rsidRPr="00777875" w:rsidRDefault="00777875" w:rsidP="00F7775E">
      <w:pPr>
        <w:spacing w:line="480" w:lineRule="auto"/>
        <w:ind w:left="851"/>
        <w:rPr>
          <w:rFonts w:ascii="Times New Roman" w:hAnsi="Times New Roman"/>
          <w:sz w:val="24"/>
          <w:szCs w:val="24"/>
        </w:rPr>
      </w:pPr>
      <w:r w:rsidRPr="00777875">
        <w:rPr>
          <w:rFonts w:ascii="Times New Roman" w:hAnsi="Times New Roman"/>
          <w:sz w:val="24"/>
          <w:szCs w:val="24"/>
        </w:rPr>
        <w:t xml:space="preserve">[The argument that </w:t>
      </w:r>
      <w:r w:rsidR="00DD4404">
        <w:rPr>
          <w:rFonts w:ascii="Times New Roman" w:hAnsi="Times New Roman"/>
          <w:sz w:val="24"/>
          <w:szCs w:val="24"/>
        </w:rPr>
        <w:t>“</w:t>
      </w:r>
      <w:r w:rsidRPr="00777875">
        <w:rPr>
          <w:rFonts w:ascii="Times New Roman" w:hAnsi="Times New Roman"/>
          <w:sz w:val="24"/>
          <w:szCs w:val="24"/>
        </w:rPr>
        <w:t>sex</w:t>
      </w:r>
      <w:r w:rsidR="00DD4404">
        <w:rPr>
          <w:rFonts w:ascii="Times New Roman" w:hAnsi="Times New Roman"/>
          <w:sz w:val="24"/>
          <w:szCs w:val="24"/>
        </w:rPr>
        <w:t>”</w:t>
      </w:r>
      <w:r w:rsidRPr="00777875">
        <w:rPr>
          <w:rFonts w:ascii="Times New Roman" w:hAnsi="Times New Roman"/>
          <w:sz w:val="24"/>
          <w:szCs w:val="24"/>
        </w:rPr>
        <w:t xml:space="preserve"> includes sexual orientation], which does not in any event appear to reflect the interpretation so far generally accepted of the concept of discrimination based on sex which appears in various international instruments concerning the protection of fundamental rights, cannot in any case constitute a basis for the Court to extend the scope of </w:t>
      </w:r>
      <w:r w:rsidRPr="00777875">
        <w:rPr>
          <w:rFonts w:ascii="Times New Roman" w:hAnsi="Times New Roman"/>
          <w:bCs/>
          <w:sz w:val="24"/>
          <w:szCs w:val="24"/>
        </w:rPr>
        <w:t>Article 119</w:t>
      </w:r>
      <w:r w:rsidRPr="00777875">
        <w:rPr>
          <w:rFonts w:ascii="Times New Roman" w:hAnsi="Times New Roman"/>
          <w:sz w:val="24"/>
          <w:szCs w:val="24"/>
        </w:rPr>
        <w:t> of the Treaty. That being so, the scope of that article, as of any provision of Community law, is to be determined only by having regard to its wording and purpose, its place in the scheme of the Treaty and its legal context. It follows from the considerations set out above that Community law as it stands at present does not cover discrimination based on sexual orientation[.]</w:t>
      </w:r>
      <w:r w:rsidR="009D5C37">
        <w:rPr>
          <w:rFonts w:ascii="Times New Roman" w:hAnsi="Times New Roman"/>
          <w:sz w:val="24"/>
          <w:szCs w:val="24"/>
        </w:rPr>
        <w:t xml:space="preserve"> </w:t>
      </w:r>
      <w:r w:rsidR="00DD4404">
        <w:rPr>
          <w:rFonts w:ascii="Times New Roman" w:hAnsi="Times New Roman"/>
          <w:sz w:val="24"/>
          <w:szCs w:val="24"/>
        </w:rPr>
        <w:t>(</w:t>
      </w:r>
      <w:r w:rsidR="00DD4404" w:rsidRPr="00DD4404">
        <w:rPr>
          <w:rFonts w:ascii="Times New Roman" w:hAnsi="Times New Roman"/>
          <w:i/>
          <w:sz w:val="24"/>
          <w:szCs w:val="24"/>
        </w:rPr>
        <w:t xml:space="preserve">Grant v South-West Trains </w:t>
      </w:r>
      <w:r w:rsidR="00DD4404" w:rsidRPr="00DD4404">
        <w:rPr>
          <w:rFonts w:ascii="Times New Roman" w:hAnsi="Times New Roman"/>
          <w:iCs/>
          <w:sz w:val="24"/>
          <w:szCs w:val="24"/>
        </w:rPr>
        <w:t>[1998</w:t>
      </w:r>
      <w:r w:rsidR="004D303E">
        <w:rPr>
          <w:rFonts w:ascii="Times New Roman" w:hAnsi="Times New Roman"/>
          <w:iCs/>
          <w:sz w:val="24"/>
          <w:szCs w:val="24"/>
        </w:rPr>
        <w:t>]</w:t>
      </w:r>
      <w:r w:rsidR="00DD4404" w:rsidRPr="00DD4404">
        <w:rPr>
          <w:rFonts w:ascii="Times New Roman" w:hAnsi="Times New Roman"/>
          <w:iCs/>
          <w:sz w:val="24"/>
          <w:szCs w:val="24"/>
        </w:rPr>
        <w:t xml:space="preserve">: </w:t>
      </w:r>
      <w:r w:rsidR="00DD4404" w:rsidRPr="00DD4404">
        <w:rPr>
          <w:rFonts w:ascii="Times New Roman" w:hAnsi="Times New Roman"/>
          <w:sz w:val="24"/>
          <w:szCs w:val="24"/>
        </w:rPr>
        <w:t>1013 [47]</w:t>
      </w:r>
      <w:r w:rsidR="00DD4404">
        <w:rPr>
          <w:rFonts w:ascii="Times New Roman" w:hAnsi="Times New Roman"/>
          <w:sz w:val="24"/>
          <w:szCs w:val="24"/>
        </w:rPr>
        <w:t>)</w:t>
      </w:r>
    </w:p>
    <w:p w:rsidR="00777875" w:rsidRPr="00777875" w:rsidRDefault="00777875" w:rsidP="00777875">
      <w:pPr>
        <w:spacing w:line="480" w:lineRule="auto"/>
        <w:rPr>
          <w:rFonts w:ascii="Times New Roman" w:hAnsi="Times New Roman"/>
          <w:sz w:val="24"/>
          <w:szCs w:val="24"/>
        </w:rPr>
      </w:pPr>
      <w:r w:rsidRPr="00777875">
        <w:rPr>
          <w:rFonts w:ascii="Times New Roman" w:hAnsi="Times New Roman"/>
          <w:sz w:val="24"/>
          <w:szCs w:val="24"/>
        </w:rPr>
        <w:t>This precedent, which</w:t>
      </w:r>
      <w:r w:rsidR="00D577EF">
        <w:rPr>
          <w:rFonts w:ascii="Times New Roman" w:hAnsi="Times New Roman"/>
          <w:sz w:val="24"/>
          <w:szCs w:val="24"/>
        </w:rPr>
        <w:t>,</w:t>
      </w:r>
      <w:r w:rsidRPr="00777875">
        <w:rPr>
          <w:rFonts w:ascii="Times New Roman" w:hAnsi="Times New Roman"/>
          <w:sz w:val="24"/>
          <w:szCs w:val="24"/>
        </w:rPr>
        <w:t xml:space="preserve"> in any case</w:t>
      </w:r>
      <w:r w:rsidR="00D577EF">
        <w:rPr>
          <w:rFonts w:ascii="Times New Roman" w:hAnsi="Times New Roman"/>
          <w:sz w:val="24"/>
          <w:szCs w:val="24"/>
        </w:rPr>
        <w:t>,</w:t>
      </w:r>
      <w:r w:rsidRPr="00777875">
        <w:rPr>
          <w:rFonts w:ascii="Times New Roman" w:hAnsi="Times New Roman"/>
          <w:sz w:val="24"/>
          <w:szCs w:val="24"/>
        </w:rPr>
        <w:t xml:space="preserve"> is concerned solely with Article 119, concerning equality of pay, of the Treaty Establishing the European Community, is predominantly addressed to a different argument from the one that I am putting forward. The argument that the CJEU here rejects is a linguistic one, that the word </w:t>
      </w:r>
      <w:r w:rsidR="009D5C37">
        <w:rPr>
          <w:rFonts w:ascii="Times New Roman" w:hAnsi="Times New Roman"/>
          <w:sz w:val="24"/>
          <w:szCs w:val="24"/>
        </w:rPr>
        <w:t>“</w:t>
      </w:r>
      <w:r w:rsidRPr="00777875">
        <w:rPr>
          <w:rFonts w:ascii="Times New Roman" w:hAnsi="Times New Roman"/>
          <w:sz w:val="24"/>
          <w:szCs w:val="24"/>
        </w:rPr>
        <w:t>sex</w:t>
      </w:r>
      <w:r w:rsidR="009D5C37">
        <w:rPr>
          <w:rFonts w:ascii="Times New Roman" w:hAnsi="Times New Roman"/>
          <w:sz w:val="24"/>
          <w:szCs w:val="24"/>
        </w:rPr>
        <w:t>”</w:t>
      </w:r>
      <w:r w:rsidRPr="00777875">
        <w:rPr>
          <w:rFonts w:ascii="Times New Roman" w:hAnsi="Times New Roman"/>
          <w:sz w:val="24"/>
          <w:szCs w:val="24"/>
        </w:rPr>
        <w:t xml:space="preserve"> should be construed </w:t>
      </w:r>
      <w:proofErr w:type="gramStart"/>
      <w:r w:rsidRPr="00777875">
        <w:rPr>
          <w:rFonts w:ascii="Times New Roman" w:hAnsi="Times New Roman"/>
          <w:sz w:val="24"/>
          <w:szCs w:val="24"/>
        </w:rPr>
        <w:t>so as to</w:t>
      </w:r>
      <w:proofErr w:type="gramEnd"/>
      <w:r w:rsidRPr="00777875">
        <w:rPr>
          <w:rFonts w:ascii="Times New Roman" w:hAnsi="Times New Roman"/>
          <w:sz w:val="24"/>
          <w:szCs w:val="24"/>
        </w:rPr>
        <w:t xml:space="preserve"> include sexual orientation</w:t>
      </w:r>
      <w:r w:rsidR="009D5C37">
        <w:rPr>
          <w:rFonts w:ascii="Times New Roman" w:hAnsi="Times New Roman"/>
          <w:sz w:val="24"/>
          <w:szCs w:val="24"/>
        </w:rPr>
        <w:t xml:space="preserve"> (</w:t>
      </w:r>
      <w:r w:rsidR="009D5C37" w:rsidRPr="009D5C37">
        <w:rPr>
          <w:rFonts w:ascii="Times New Roman" w:hAnsi="Times New Roman"/>
          <w:i/>
          <w:sz w:val="24"/>
          <w:szCs w:val="24"/>
        </w:rPr>
        <w:t xml:space="preserve">Grant v South-West Trains </w:t>
      </w:r>
      <w:r w:rsidR="009D5C37" w:rsidRPr="009D5C37">
        <w:rPr>
          <w:rFonts w:ascii="Times New Roman" w:hAnsi="Times New Roman"/>
          <w:iCs/>
          <w:sz w:val="24"/>
          <w:szCs w:val="24"/>
        </w:rPr>
        <w:t>[1998</w:t>
      </w:r>
      <w:r w:rsidR="0018507F">
        <w:rPr>
          <w:rFonts w:ascii="Times New Roman" w:hAnsi="Times New Roman"/>
          <w:iCs/>
          <w:sz w:val="24"/>
          <w:szCs w:val="24"/>
        </w:rPr>
        <w:t>]</w:t>
      </w:r>
      <w:r w:rsidR="009D5C37" w:rsidRPr="009D5C37">
        <w:rPr>
          <w:rFonts w:ascii="Times New Roman" w:hAnsi="Times New Roman"/>
          <w:iCs/>
          <w:sz w:val="24"/>
          <w:szCs w:val="24"/>
        </w:rPr>
        <w:t>:</w:t>
      </w:r>
      <w:r w:rsidR="009D5C37">
        <w:rPr>
          <w:rFonts w:ascii="Times New Roman" w:hAnsi="Times New Roman"/>
          <w:iCs/>
          <w:sz w:val="24"/>
          <w:szCs w:val="24"/>
        </w:rPr>
        <w:t xml:space="preserve"> </w:t>
      </w:r>
      <w:r w:rsidR="009D5C37" w:rsidRPr="009D5C37">
        <w:rPr>
          <w:rFonts w:ascii="Times New Roman" w:hAnsi="Times New Roman"/>
          <w:iCs/>
          <w:sz w:val="24"/>
          <w:szCs w:val="24"/>
        </w:rPr>
        <w:t>1013 [43]</w:t>
      </w:r>
      <w:r w:rsidR="009D5C37">
        <w:rPr>
          <w:rFonts w:ascii="Times New Roman" w:hAnsi="Times New Roman"/>
          <w:iCs/>
          <w:sz w:val="24"/>
          <w:szCs w:val="24"/>
        </w:rPr>
        <w:t>)</w:t>
      </w:r>
      <w:r w:rsidRPr="00777875">
        <w:rPr>
          <w:rFonts w:ascii="Times New Roman" w:hAnsi="Times New Roman"/>
          <w:sz w:val="24"/>
          <w:szCs w:val="24"/>
        </w:rPr>
        <w:t>. My argument is, by contrast, that, on a proper analysis, there is no need at all to invoke the concept of sexual orientation in establishing direct discrimination because of sex.</w:t>
      </w:r>
      <w:r w:rsidR="003704BD">
        <w:rPr>
          <w:rFonts w:ascii="Times New Roman" w:hAnsi="Times New Roman"/>
          <w:sz w:val="24"/>
          <w:szCs w:val="24"/>
        </w:rPr>
        <w:t xml:space="preserve"> (Compare</w:t>
      </w:r>
      <w:r w:rsidR="003704BD" w:rsidRPr="003704BD">
        <w:rPr>
          <w:rFonts w:ascii="Times New Roman" w:hAnsi="Times New Roman"/>
          <w:sz w:val="24"/>
          <w:szCs w:val="24"/>
        </w:rPr>
        <w:t xml:space="preserve"> the example given </w:t>
      </w:r>
      <w:r w:rsidR="003704BD">
        <w:rPr>
          <w:rFonts w:ascii="Times New Roman" w:hAnsi="Times New Roman"/>
          <w:sz w:val="24"/>
          <w:szCs w:val="24"/>
        </w:rPr>
        <w:t xml:space="preserve">in his opinion </w:t>
      </w:r>
      <w:r w:rsidR="003704BD" w:rsidRPr="003704BD">
        <w:rPr>
          <w:rFonts w:ascii="Times New Roman" w:hAnsi="Times New Roman"/>
          <w:sz w:val="24"/>
          <w:szCs w:val="24"/>
        </w:rPr>
        <w:t>by Advocate General</w:t>
      </w:r>
      <w:r w:rsidR="003704BD">
        <w:rPr>
          <w:rFonts w:ascii="Times New Roman" w:hAnsi="Times New Roman"/>
          <w:sz w:val="24"/>
          <w:szCs w:val="24"/>
        </w:rPr>
        <w:t xml:space="preserve"> Elmer</w:t>
      </w:r>
      <w:r w:rsidR="003704BD" w:rsidRPr="003704BD">
        <w:rPr>
          <w:rFonts w:ascii="Times New Roman" w:hAnsi="Times New Roman"/>
          <w:sz w:val="24"/>
          <w:szCs w:val="24"/>
        </w:rPr>
        <w:t xml:space="preserve">: </w:t>
      </w:r>
      <w:r w:rsidR="00AF2C89">
        <w:rPr>
          <w:rFonts w:ascii="Times New Roman" w:hAnsi="Times New Roman"/>
          <w:sz w:val="24"/>
          <w:szCs w:val="24"/>
        </w:rPr>
        <w:t>“[t]</w:t>
      </w:r>
      <w:r w:rsidR="003704BD" w:rsidRPr="003704BD">
        <w:rPr>
          <w:rFonts w:ascii="Times New Roman" w:hAnsi="Times New Roman"/>
          <w:sz w:val="24"/>
          <w:szCs w:val="24"/>
        </w:rPr>
        <w:t>he provision must therefore also be regarded as precluding an employer from, for instance, denying a household allowance to an employee for sons under 18 living at home when such an allowance in otherwise equivalent circumstances was given for daughters living at home</w:t>
      </w:r>
      <w:r w:rsidR="00AF2C89">
        <w:rPr>
          <w:rFonts w:ascii="Times New Roman" w:hAnsi="Times New Roman"/>
          <w:sz w:val="24"/>
          <w:szCs w:val="24"/>
        </w:rPr>
        <w:t>”</w:t>
      </w:r>
      <w:r w:rsidR="003704BD" w:rsidRPr="003704BD">
        <w:rPr>
          <w:rFonts w:ascii="Times New Roman" w:hAnsi="Times New Roman"/>
          <w:sz w:val="24"/>
          <w:szCs w:val="24"/>
        </w:rPr>
        <w:t xml:space="preserve"> </w:t>
      </w:r>
      <w:r w:rsidR="00AF2C89">
        <w:rPr>
          <w:rFonts w:ascii="Times New Roman" w:hAnsi="Times New Roman"/>
          <w:sz w:val="24"/>
          <w:szCs w:val="24"/>
        </w:rPr>
        <w:t>(</w:t>
      </w:r>
      <w:r w:rsidR="00AF2C89" w:rsidRPr="00AF2C89">
        <w:rPr>
          <w:rFonts w:ascii="Times New Roman" w:hAnsi="Times New Roman"/>
          <w:i/>
          <w:sz w:val="24"/>
          <w:szCs w:val="24"/>
        </w:rPr>
        <w:t xml:space="preserve">Grant v South-West Trains </w:t>
      </w:r>
      <w:r w:rsidR="00AF2C89" w:rsidRPr="00AF2C89">
        <w:rPr>
          <w:rFonts w:ascii="Times New Roman" w:hAnsi="Times New Roman"/>
          <w:iCs/>
          <w:sz w:val="24"/>
          <w:szCs w:val="24"/>
        </w:rPr>
        <w:t>[1998</w:t>
      </w:r>
      <w:r w:rsidR="0018507F">
        <w:rPr>
          <w:rFonts w:ascii="Times New Roman" w:hAnsi="Times New Roman"/>
          <w:iCs/>
          <w:sz w:val="24"/>
          <w:szCs w:val="24"/>
        </w:rPr>
        <w:t>]</w:t>
      </w:r>
      <w:r w:rsidR="00AF2C89" w:rsidRPr="00AF2C89">
        <w:rPr>
          <w:rFonts w:ascii="Times New Roman" w:hAnsi="Times New Roman"/>
          <w:iCs/>
          <w:sz w:val="24"/>
          <w:szCs w:val="24"/>
        </w:rPr>
        <w:t xml:space="preserve">: </w:t>
      </w:r>
      <w:r w:rsidR="003704BD" w:rsidRPr="003704BD">
        <w:rPr>
          <w:rFonts w:ascii="Times New Roman" w:hAnsi="Times New Roman"/>
          <w:sz w:val="24"/>
          <w:szCs w:val="24"/>
        </w:rPr>
        <w:t>999 [16]</w:t>
      </w:r>
      <w:r w:rsidR="00AF2C89">
        <w:rPr>
          <w:rFonts w:ascii="Times New Roman" w:hAnsi="Times New Roman"/>
          <w:sz w:val="24"/>
          <w:szCs w:val="24"/>
        </w:rPr>
        <w:t>; cf. also</w:t>
      </w:r>
      <w:r w:rsidR="003704BD" w:rsidRPr="003704BD">
        <w:rPr>
          <w:rFonts w:ascii="Times New Roman" w:hAnsi="Times New Roman"/>
          <w:sz w:val="24"/>
          <w:szCs w:val="24"/>
        </w:rPr>
        <w:t xml:space="preserve"> </w:t>
      </w:r>
      <w:r w:rsidR="003704BD" w:rsidRPr="003704BD">
        <w:rPr>
          <w:rFonts w:ascii="Times New Roman" w:hAnsi="Times New Roman"/>
          <w:sz w:val="24"/>
          <w:szCs w:val="24"/>
        </w:rPr>
        <w:lastRenderedPageBreak/>
        <w:t>1000–1001, [21] and [22</w:t>
      </w:r>
      <w:r w:rsidR="00AF2C89">
        <w:rPr>
          <w:rFonts w:ascii="Times New Roman" w:hAnsi="Times New Roman"/>
          <w:sz w:val="24"/>
          <w:szCs w:val="24"/>
        </w:rPr>
        <w:t>])</w:t>
      </w:r>
      <w:r w:rsidR="003704BD" w:rsidRPr="003704BD">
        <w:rPr>
          <w:rFonts w:ascii="Times New Roman" w:hAnsi="Times New Roman"/>
          <w:sz w:val="24"/>
          <w:szCs w:val="24"/>
        </w:rPr>
        <w:t>.</w:t>
      </w:r>
      <w:r w:rsidR="00A96640">
        <w:rPr>
          <w:rFonts w:ascii="Times New Roman" w:hAnsi="Times New Roman"/>
          <w:sz w:val="24"/>
          <w:szCs w:val="24"/>
        </w:rPr>
        <w:t xml:space="preserve"> This makes it clear that sexual orientation </w:t>
      </w:r>
      <w:r w:rsidR="001A09C4">
        <w:rPr>
          <w:rFonts w:ascii="Times New Roman" w:hAnsi="Times New Roman"/>
          <w:sz w:val="24"/>
          <w:szCs w:val="24"/>
        </w:rPr>
        <w:t>does not have to be</w:t>
      </w:r>
      <w:r w:rsidR="00A96640">
        <w:rPr>
          <w:rFonts w:ascii="Times New Roman" w:hAnsi="Times New Roman"/>
          <w:sz w:val="24"/>
          <w:szCs w:val="24"/>
        </w:rPr>
        <w:t xml:space="preserve"> in view.)</w:t>
      </w:r>
      <w:r w:rsidR="003704BD" w:rsidRPr="003704BD">
        <w:rPr>
          <w:rFonts w:ascii="Times New Roman" w:hAnsi="Times New Roman"/>
          <w:sz w:val="24"/>
          <w:szCs w:val="24"/>
        </w:rPr>
        <w:t xml:space="preserve"> </w:t>
      </w:r>
      <w:r w:rsidRPr="00777875">
        <w:rPr>
          <w:rFonts w:ascii="Times New Roman" w:hAnsi="Times New Roman"/>
          <w:sz w:val="24"/>
          <w:szCs w:val="24"/>
        </w:rPr>
        <w:t xml:space="preserve">The </w:t>
      </w:r>
      <w:r w:rsidR="00455C60">
        <w:rPr>
          <w:rFonts w:ascii="Times New Roman" w:hAnsi="Times New Roman"/>
          <w:sz w:val="24"/>
          <w:szCs w:val="24"/>
        </w:rPr>
        <w:t>c</w:t>
      </w:r>
      <w:r w:rsidRPr="00777875">
        <w:rPr>
          <w:rFonts w:ascii="Times New Roman" w:hAnsi="Times New Roman"/>
          <w:sz w:val="24"/>
          <w:szCs w:val="24"/>
        </w:rPr>
        <w:t xml:space="preserve">ourt also stated </w:t>
      </w:r>
      <w:r w:rsidR="00AF2C89">
        <w:rPr>
          <w:rFonts w:ascii="Times New Roman" w:hAnsi="Times New Roman"/>
          <w:sz w:val="24"/>
          <w:szCs w:val="24"/>
        </w:rPr>
        <w:t>t</w:t>
      </w:r>
      <w:r w:rsidRPr="00777875">
        <w:rPr>
          <w:rFonts w:ascii="Times New Roman" w:hAnsi="Times New Roman"/>
          <w:sz w:val="24"/>
          <w:szCs w:val="24"/>
        </w:rPr>
        <w:t>hat the allegedly discriminatory travel concessions:</w:t>
      </w:r>
    </w:p>
    <w:p w:rsidR="00777875" w:rsidRPr="00777875" w:rsidRDefault="00777875" w:rsidP="00C06F0E">
      <w:pPr>
        <w:spacing w:line="480" w:lineRule="auto"/>
        <w:ind w:left="851"/>
        <w:rPr>
          <w:rFonts w:ascii="Times New Roman" w:hAnsi="Times New Roman"/>
          <w:sz w:val="24"/>
          <w:szCs w:val="24"/>
        </w:rPr>
      </w:pPr>
      <w:r w:rsidRPr="00777875">
        <w:rPr>
          <w:rFonts w:ascii="Times New Roman" w:hAnsi="Times New Roman"/>
          <w:sz w:val="24"/>
          <w:szCs w:val="24"/>
        </w:rPr>
        <w:t xml:space="preserve">applied regardless of the sex of the worker concerned. </w:t>
      </w:r>
      <w:proofErr w:type="gramStart"/>
      <w:r w:rsidRPr="00777875">
        <w:rPr>
          <w:rFonts w:ascii="Times New Roman" w:hAnsi="Times New Roman"/>
          <w:sz w:val="24"/>
          <w:szCs w:val="24"/>
        </w:rPr>
        <w:t>Thus</w:t>
      </w:r>
      <w:proofErr w:type="gramEnd"/>
      <w:r w:rsidRPr="00777875">
        <w:rPr>
          <w:rFonts w:ascii="Times New Roman" w:hAnsi="Times New Roman"/>
          <w:sz w:val="24"/>
          <w:szCs w:val="24"/>
        </w:rPr>
        <w:t xml:space="preserve"> travel concessions are refused to a male worker if he is living with a person of the same sex, just as they are to a female worker if she is living with a person of the same sex.</w:t>
      </w:r>
      <w:r w:rsidR="0074259B">
        <w:rPr>
          <w:rFonts w:ascii="Times New Roman" w:hAnsi="Times New Roman"/>
          <w:sz w:val="24"/>
          <w:szCs w:val="24"/>
        </w:rPr>
        <w:t xml:space="preserve"> (</w:t>
      </w:r>
      <w:r w:rsidR="0074259B" w:rsidRPr="0074259B">
        <w:rPr>
          <w:rFonts w:ascii="Times New Roman" w:hAnsi="Times New Roman"/>
          <w:i/>
          <w:sz w:val="24"/>
          <w:szCs w:val="24"/>
        </w:rPr>
        <w:t xml:space="preserve">Grant v South-West Trains </w:t>
      </w:r>
      <w:r w:rsidR="0074259B" w:rsidRPr="0074259B">
        <w:rPr>
          <w:rFonts w:ascii="Times New Roman" w:hAnsi="Times New Roman"/>
          <w:iCs/>
          <w:sz w:val="24"/>
          <w:szCs w:val="24"/>
        </w:rPr>
        <w:t>[1998: 1001 [27]</w:t>
      </w:r>
      <w:r w:rsidR="0074259B">
        <w:rPr>
          <w:rFonts w:ascii="Times New Roman" w:hAnsi="Times New Roman"/>
          <w:iCs/>
          <w:sz w:val="24"/>
          <w:szCs w:val="24"/>
        </w:rPr>
        <w:t>])</w:t>
      </w:r>
    </w:p>
    <w:p w:rsidR="00777875" w:rsidRDefault="00777875" w:rsidP="00777875">
      <w:pPr>
        <w:spacing w:line="480" w:lineRule="auto"/>
        <w:rPr>
          <w:rFonts w:ascii="Times New Roman" w:hAnsi="Times New Roman"/>
          <w:sz w:val="24"/>
          <w:szCs w:val="24"/>
        </w:rPr>
      </w:pPr>
      <w:r w:rsidRPr="00777875">
        <w:rPr>
          <w:rFonts w:ascii="Times New Roman" w:hAnsi="Times New Roman"/>
          <w:sz w:val="24"/>
          <w:szCs w:val="24"/>
        </w:rPr>
        <w:t xml:space="preserve">But this is just another example of the </w:t>
      </w:r>
      <w:r w:rsidR="00BB7ADC">
        <w:rPr>
          <w:rFonts w:ascii="Times New Roman" w:hAnsi="Times New Roman"/>
          <w:sz w:val="24"/>
          <w:szCs w:val="24"/>
        </w:rPr>
        <w:t>“</w:t>
      </w:r>
      <w:r w:rsidRPr="00777875">
        <w:rPr>
          <w:rFonts w:ascii="Times New Roman" w:hAnsi="Times New Roman"/>
          <w:sz w:val="24"/>
          <w:szCs w:val="24"/>
        </w:rPr>
        <w:t>hits both sexes equally hard</w:t>
      </w:r>
      <w:r w:rsidR="00BB7ADC">
        <w:rPr>
          <w:rFonts w:ascii="Times New Roman" w:hAnsi="Times New Roman"/>
          <w:sz w:val="24"/>
          <w:szCs w:val="24"/>
        </w:rPr>
        <w:t>”</w:t>
      </w:r>
      <w:r w:rsidRPr="00777875">
        <w:rPr>
          <w:rFonts w:ascii="Times New Roman" w:hAnsi="Times New Roman"/>
          <w:sz w:val="24"/>
          <w:szCs w:val="24"/>
        </w:rPr>
        <w:t xml:space="preserve"> fallacy discussed above—the reason why the person is being turned away is because he or she is accompanied by someone of the same </w:t>
      </w:r>
      <w:r w:rsidRPr="00777875">
        <w:rPr>
          <w:rFonts w:ascii="Times New Roman" w:hAnsi="Times New Roman"/>
          <w:i/>
          <w:sz w:val="24"/>
          <w:szCs w:val="24"/>
        </w:rPr>
        <w:t>sex</w:t>
      </w:r>
      <w:r w:rsidRPr="00777875">
        <w:rPr>
          <w:rFonts w:ascii="Times New Roman" w:hAnsi="Times New Roman"/>
          <w:sz w:val="24"/>
          <w:szCs w:val="24"/>
        </w:rPr>
        <w:t xml:space="preserve">, rather than someone of the opposite </w:t>
      </w:r>
      <w:r w:rsidRPr="00777875">
        <w:rPr>
          <w:rFonts w:ascii="Times New Roman" w:hAnsi="Times New Roman"/>
          <w:i/>
          <w:sz w:val="24"/>
          <w:szCs w:val="24"/>
        </w:rPr>
        <w:t>sex</w:t>
      </w:r>
      <w:r w:rsidRPr="00777875">
        <w:rPr>
          <w:rFonts w:ascii="Times New Roman" w:hAnsi="Times New Roman"/>
          <w:sz w:val="24"/>
          <w:szCs w:val="24"/>
        </w:rPr>
        <w:t xml:space="preserve">. So, the </w:t>
      </w:r>
      <w:r w:rsidR="001A09C4">
        <w:rPr>
          <w:rFonts w:ascii="Times New Roman" w:hAnsi="Times New Roman"/>
          <w:sz w:val="24"/>
          <w:szCs w:val="24"/>
        </w:rPr>
        <w:t>Court of Justice’</w:t>
      </w:r>
      <w:r w:rsidRPr="00777875">
        <w:rPr>
          <w:rFonts w:ascii="Times New Roman" w:hAnsi="Times New Roman"/>
          <w:sz w:val="24"/>
          <w:szCs w:val="24"/>
        </w:rPr>
        <w:t xml:space="preserve">s </w:t>
      </w:r>
      <w:r w:rsidR="00BB7ADC">
        <w:rPr>
          <w:rFonts w:ascii="Times New Roman" w:hAnsi="Times New Roman"/>
          <w:sz w:val="24"/>
          <w:szCs w:val="24"/>
        </w:rPr>
        <w:t>argument</w:t>
      </w:r>
      <w:r w:rsidRPr="00777875">
        <w:rPr>
          <w:rFonts w:ascii="Times New Roman" w:hAnsi="Times New Roman"/>
          <w:sz w:val="24"/>
          <w:szCs w:val="24"/>
        </w:rPr>
        <w:t xml:space="preserve"> in this paragraph is also unpersuasive.</w:t>
      </w:r>
    </w:p>
    <w:p w:rsidR="00515E59" w:rsidRDefault="00515E59" w:rsidP="00515E59">
      <w:pPr>
        <w:spacing w:line="480" w:lineRule="auto"/>
        <w:rPr>
          <w:rFonts w:ascii="Times New Roman" w:hAnsi="Times New Roman"/>
          <w:sz w:val="24"/>
          <w:szCs w:val="24"/>
        </w:rPr>
      </w:pPr>
    </w:p>
    <w:p w:rsidR="004659FA" w:rsidRPr="004659FA" w:rsidRDefault="007B1746" w:rsidP="00515E59">
      <w:pPr>
        <w:spacing w:line="480" w:lineRule="auto"/>
        <w:rPr>
          <w:rFonts w:ascii="Times New Roman" w:hAnsi="Times New Roman"/>
          <w:bCs/>
          <w:sz w:val="24"/>
          <w:szCs w:val="24"/>
        </w:rPr>
      </w:pPr>
      <w:r>
        <w:rPr>
          <w:rFonts w:ascii="Times New Roman" w:hAnsi="Times New Roman"/>
          <w:sz w:val="24"/>
          <w:szCs w:val="24"/>
        </w:rPr>
        <w:t xml:space="preserve">There are several cases where the </w:t>
      </w:r>
      <w:r w:rsidR="001A09C4">
        <w:rPr>
          <w:rFonts w:ascii="Times New Roman" w:hAnsi="Times New Roman"/>
          <w:sz w:val="24"/>
          <w:szCs w:val="24"/>
        </w:rPr>
        <w:t>Court of Justice</w:t>
      </w:r>
      <w:r>
        <w:rPr>
          <w:rFonts w:ascii="Times New Roman" w:hAnsi="Times New Roman"/>
          <w:sz w:val="24"/>
          <w:szCs w:val="24"/>
        </w:rPr>
        <w:t xml:space="preserve"> has found </w:t>
      </w:r>
      <w:r w:rsidR="004659FA" w:rsidRPr="004659FA">
        <w:rPr>
          <w:rFonts w:ascii="Times New Roman" w:hAnsi="Times New Roman"/>
          <w:sz w:val="24"/>
          <w:szCs w:val="24"/>
        </w:rPr>
        <w:t xml:space="preserve">direct discrimination </w:t>
      </w:r>
      <w:r>
        <w:rPr>
          <w:rFonts w:ascii="Times New Roman" w:hAnsi="Times New Roman"/>
          <w:sz w:val="24"/>
          <w:szCs w:val="24"/>
        </w:rPr>
        <w:t>on grounds</w:t>
      </w:r>
      <w:r w:rsidR="004659FA" w:rsidRPr="004659FA">
        <w:rPr>
          <w:rFonts w:ascii="Times New Roman" w:hAnsi="Times New Roman"/>
          <w:sz w:val="24"/>
          <w:szCs w:val="24"/>
        </w:rPr>
        <w:t xml:space="preserve"> of sexual orientation that would have been better judged as </w:t>
      </w:r>
      <w:r>
        <w:rPr>
          <w:rFonts w:ascii="Times New Roman" w:hAnsi="Times New Roman"/>
          <w:sz w:val="24"/>
          <w:szCs w:val="24"/>
        </w:rPr>
        <w:t>examples</w:t>
      </w:r>
      <w:r w:rsidR="004659FA" w:rsidRPr="004659FA">
        <w:rPr>
          <w:rFonts w:ascii="Times New Roman" w:hAnsi="Times New Roman"/>
          <w:sz w:val="24"/>
          <w:szCs w:val="24"/>
        </w:rPr>
        <w:t xml:space="preserve"> of direct discrimination </w:t>
      </w:r>
      <w:r w:rsidR="000D1C8C">
        <w:rPr>
          <w:rFonts w:ascii="Times New Roman" w:hAnsi="Times New Roman"/>
          <w:sz w:val="24"/>
          <w:szCs w:val="24"/>
        </w:rPr>
        <w:t>on grounds</w:t>
      </w:r>
      <w:r w:rsidR="004659FA" w:rsidRPr="004659FA">
        <w:rPr>
          <w:rFonts w:ascii="Times New Roman" w:hAnsi="Times New Roman"/>
          <w:sz w:val="24"/>
          <w:szCs w:val="24"/>
        </w:rPr>
        <w:t xml:space="preserve"> of sex</w:t>
      </w:r>
      <w:r>
        <w:rPr>
          <w:rFonts w:ascii="Times New Roman" w:hAnsi="Times New Roman"/>
          <w:sz w:val="24"/>
          <w:szCs w:val="24"/>
        </w:rPr>
        <w:t>.</w:t>
      </w:r>
      <w:r>
        <w:rPr>
          <w:rStyle w:val="FootnoteReference"/>
          <w:rFonts w:ascii="Times New Roman" w:hAnsi="Times New Roman"/>
          <w:sz w:val="24"/>
          <w:szCs w:val="24"/>
        </w:rPr>
        <w:footnoteReference w:id="16"/>
      </w:r>
      <w:r>
        <w:rPr>
          <w:rFonts w:ascii="Times New Roman" w:hAnsi="Times New Roman"/>
          <w:sz w:val="24"/>
          <w:szCs w:val="24"/>
        </w:rPr>
        <w:t xml:space="preserve"> One such</w:t>
      </w:r>
      <w:r w:rsidR="004659FA" w:rsidRPr="004659FA">
        <w:rPr>
          <w:rFonts w:ascii="Times New Roman" w:hAnsi="Times New Roman"/>
          <w:sz w:val="24"/>
          <w:szCs w:val="24"/>
        </w:rPr>
        <w:t xml:space="preserve"> is the case</w:t>
      </w:r>
      <w:r w:rsidR="004263F7">
        <w:rPr>
          <w:rFonts w:ascii="Times New Roman" w:hAnsi="Times New Roman"/>
          <w:sz w:val="24"/>
          <w:szCs w:val="24"/>
        </w:rPr>
        <w:t xml:space="preserve"> previously mentioned as</w:t>
      </w:r>
      <w:r w:rsidR="004659FA" w:rsidRPr="004659FA">
        <w:rPr>
          <w:rFonts w:ascii="Times New Roman" w:hAnsi="Times New Roman"/>
          <w:sz w:val="24"/>
          <w:szCs w:val="24"/>
        </w:rPr>
        <w:t xml:space="preserve"> cited by Lady Hale as precedent for deciding </w:t>
      </w:r>
      <w:bookmarkStart w:id="27" w:name="_Hlk44535208"/>
      <w:r w:rsidR="003B3F69" w:rsidRPr="003B3F69">
        <w:rPr>
          <w:rFonts w:ascii="Times New Roman" w:hAnsi="Times New Roman"/>
          <w:i/>
          <w:iCs/>
          <w:sz w:val="24"/>
          <w:szCs w:val="24"/>
        </w:rPr>
        <w:t xml:space="preserve">Bull and Bull v Hall and </w:t>
      </w:r>
      <w:proofErr w:type="spellStart"/>
      <w:r w:rsidR="003B3F69" w:rsidRPr="003B3F69">
        <w:rPr>
          <w:rFonts w:ascii="Times New Roman" w:hAnsi="Times New Roman"/>
          <w:i/>
          <w:iCs/>
          <w:sz w:val="24"/>
          <w:szCs w:val="24"/>
        </w:rPr>
        <w:t>Preddy</w:t>
      </w:r>
      <w:proofErr w:type="spellEnd"/>
      <w:r w:rsidR="003B3F69" w:rsidRPr="003B3F69">
        <w:rPr>
          <w:rFonts w:ascii="Times New Roman" w:hAnsi="Times New Roman"/>
          <w:sz w:val="24"/>
          <w:szCs w:val="24"/>
        </w:rPr>
        <w:t xml:space="preserve"> [2013]</w:t>
      </w:r>
      <w:bookmarkEnd w:id="27"/>
      <w:r w:rsidR="004659FA" w:rsidRPr="004659FA">
        <w:rPr>
          <w:rFonts w:ascii="Times New Roman" w:hAnsi="Times New Roman"/>
          <w:sz w:val="24"/>
          <w:szCs w:val="24"/>
        </w:rPr>
        <w:t>,</w:t>
      </w:r>
      <w:r w:rsidR="003B3F69">
        <w:rPr>
          <w:rFonts w:ascii="Times New Roman" w:hAnsi="Times New Roman"/>
          <w:sz w:val="24"/>
          <w:szCs w:val="24"/>
        </w:rPr>
        <w:t xml:space="preserve"> viz.</w:t>
      </w:r>
      <w:r w:rsidR="004659FA" w:rsidRPr="004659FA">
        <w:rPr>
          <w:rFonts w:ascii="Times New Roman" w:hAnsi="Times New Roman"/>
          <w:sz w:val="24"/>
          <w:szCs w:val="24"/>
        </w:rPr>
        <w:t xml:space="preserve"> </w:t>
      </w:r>
      <w:r w:rsidR="004659FA" w:rsidRPr="004659FA">
        <w:rPr>
          <w:rFonts w:ascii="Times New Roman" w:hAnsi="Times New Roman"/>
          <w:i/>
          <w:sz w:val="24"/>
          <w:szCs w:val="24"/>
        </w:rPr>
        <w:t xml:space="preserve">Maruko v </w:t>
      </w:r>
      <w:proofErr w:type="spellStart"/>
      <w:r w:rsidR="004659FA" w:rsidRPr="004659FA">
        <w:rPr>
          <w:rFonts w:ascii="Times New Roman" w:hAnsi="Times New Roman"/>
          <w:bCs/>
          <w:i/>
          <w:sz w:val="24"/>
          <w:szCs w:val="24"/>
        </w:rPr>
        <w:t>Versorgungsanstalt</w:t>
      </w:r>
      <w:proofErr w:type="spellEnd"/>
      <w:r w:rsidR="004659FA" w:rsidRPr="004659FA">
        <w:rPr>
          <w:rFonts w:ascii="Times New Roman" w:hAnsi="Times New Roman"/>
          <w:bCs/>
          <w:i/>
          <w:sz w:val="24"/>
          <w:szCs w:val="24"/>
        </w:rPr>
        <w:t xml:space="preserve"> der </w:t>
      </w:r>
      <w:proofErr w:type="spellStart"/>
      <w:r w:rsidR="004659FA" w:rsidRPr="004659FA">
        <w:rPr>
          <w:rFonts w:ascii="Times New Roman" w:hAnsi="Times New Roman"/>
          <w:bCs/>
          <w:i/>
          <w:sz w:val="24"/>
          <w:szCs w:val="24"/>
        </w:rPr>
        <w:t>Deutschen</w:t>
      </w:r>
      <w:proofErr w:type="spellEnd"/>
      <w:r w:rsidR="004659FA" w:rsidRPr="004659FA">
        <w:rPr>
          <w:rFonts w:ascii="Times New Roman" w:hAnsi="Times New Roman"/>
          <w:bCs/>
          <w:i/>
          <w:sz w:val="24"/>
          <w:szCs w:val="24"/>
        </w:rPr>
        <w:t xml:space="preserve"> </w:t>
      </w:r>
      <w:proofErr w:type="spellStart"/>
      <w:r w:rsidR="004659FA" w:rsidRPr="004659FA">
        <w:rPr>
          <w:rFonts w:ascii="Times New Roman" w:hAnsi="Times New Roman"/>
          <w:bCs/>
          <w:i/>
          <w:sz w:val="24"/>
          <w:szCs w:val="24"/>
        </w:rPr>
        <w:t>Bühnen</w:t>
      </w:r>
      <w:proofErr w:type="spellEnd"/>
      <w:r w:rsidR="00B52D73" w:rsidRPr="00B52D73">
        <w:rPr>
          <w:rFonts w:ascii="Times New Roman" w:hAnsi="Times New Roman"/>
          <w:bCs/>
          <w:iCs/>
          <w:sz w:val="24"/>
          <w:szCs w:val="24"/>
        </w:rPr>
        <w:t xml:space="preserve"> [2008]</w:t>
      </w:r>
      <w:r w:rsidR="004659FA" w:rsidRPr="004659FA">
        <w:rPr>
          <w:rFonts w:ascii="Times New Roman" w:hAnsi="Times New Roman"/>
          <w:bCs/>
          <w:sz w:val="24"/>
          <w:szCs w:val="24"/>
        </w:rPr>
        <w:t xml:space="preserve">. </w:t>
      </w:r>
      <w:r w:rsidR="00075F59">
        <w:rPr>
          <w:rFonts w:ascii="Times New Roman" w:hAnsi="Times New Roman"/>
          <w:bCs/>
          <w:sz w:val="24"/>
          <w:szCs w:val="24"/>
        </w:rPr>
        <w:t>Here</w:t>
      </w:r>
      <w:r w:rsidR="004659FA" w:rsidRPr="004659FA">
        <w:rPr>
          <w:rFonts w:ascii="Times New Roman" w:hAnsi="Times New Roman"/>
          <w:bCs/>
          <w:sz w:val="24"/>
          <w:szCs w:val="24"/>
        </w:rPr>
        <w:t xml:space="preserve"> </w:t>
      </w:r>
      <w:proofErr w:type="spellStart"/>
      <w:r w:rsidR="00312F85">
        <w:rPr>
          <w:rFonts w:ascii="Times New Roman" w:hAnsi="Times New Roman"/>
          <w:bCs/>
          <w:sz w:val="24"/>
          <w:szCs w:val="24"/>
        </w:rPr>
        <w:t>Tadao</w:t>
      </w:r>
      <w:proofErr w:type="spellEnd"/>
      <w:r w:rsidR="00312F85">
        <w:rPr>
          <w:rFonts w:ascii="Times New Roman" w:hAnsi="Times New Roman"/>
          <w:bCs/>
          <w:sz w:val="24"/>
          <w:szCs w:val="24"/>
        </w:rPr>
        <w:t xml:space="preserve"> </w:t>
      </w:r>
      <w:r w:rsidR="004659FA" w:rsidRPr="004659FA">
        <w:rPr>
          <w:rFonts w:ascii="Times New Roman" w:hAnsi="Times New Roman"/>
          <w:bCs/>
          <w:sz w:val="24"/>
          <w:szCs w:val="24"/>
        </w:rPr>
        <w:t xml:space="preserve">Maruko complained to the court that he had been denied a widower’s pension on the death of his life partner, who had been a member of the German Theatre Pension Institution. The </w:t>
      </w:r>
      <w:r w:rsidR="003455CF" w:rsidRPr="003455CF">
        <w:rPr>
          <w:rFonts w:ascii="Times New Roman" w:hAnsi="Times New Roman"/>
          <w:bCs/>
          <w:sz w:val="24"/>
          <w:szCs w:val="24"/>
        </w:rPr>
        <w:t xml:space="preserve">Court of Justice </w:t>
      </w:r>
      <w:r w:rsidR="004659FA" w:rsidRPr="004659FA">
        <w:rPr>
          <w:rFonts w:ascii="Times New Roman" w:hAnsi="Times New Roman"/>
          <w:bCs/>
          <w:sz w:val="24"/>
          <w:szCs w:val="24"/>
        </w:rPr>
        <w:t>held that:</w:t>
      </w:r>
    </w:p>
    <w:p w:rsidR="004659FA" w:rsidRPr="004659FA" w:rsidRDefault="004659FA" w:rsidP="007B1746">
      <w:pPr>
        <w:spacing w:line="480" w:lineRule="auto"/>
        <w:ind w:left="709"/>
        <w:rPr>
          <w:rFonts w:ascii="Times New Roman" w:hAnsi="Times New Roman"/>
          <w:sz w:val="24"/>
          <w:szCs w:val="24"/>
        </w:rPr>
      </w:pPr>
      <w:r w:rsidRPr="004659FA">
        <w:rPr>
          <w:rFonts w:ascii="Times New Roman" w:hAnsi="Times New Roman"/>
          <w:bCs/>
          <w:sz w:val="24"/>
          <w:szCs w:val="24"/>
        </w:rPr>
        <w:lastRenderedPageBreak/>
        <w:t xml:space="preserve">If the referring court decides that surviving spouses and surviving life partners are in a comparable situation so far as concerns that survivor’s benefit, legislation such as that at issue in the main proceedings must, </w:t>
      </w:r>
      <w:proofErr w:type="gramStart"/>
      <w:r w:rsidRPr="004659FA">
        <w:rPr>
          <w:rFonts w:ascii="Times New Roman" w:hAnsi="Times New Roman"/>
          <w:bCs/>
          <w:sz w:val="24"/>
          <w:szCs w:val="24"/>
        </w:rPr>
        <w:t>as a consequence</w:t>
      </w:r>
      <w:proofErr w:type="gramEnd"/>
      <w:r w:rsidRPr="004659FA">
        <w:rPr>
          <w:rFonts w:ascii="Times New Roman" w:hAnsi="Times New Roman"/>
          <w:bCs/>
          <w:sz w:val="24"/>
          <w:szCs w:val="24"/>
        </w:rPr>
        <w:t>, be considered to constitute direct discrimination on grounds of sexual orientation.</w:t>
      </w:r>
      <w:r w:rsidR="00F71E2C">
        <w:rPr>
          <w:rFonts w:ascii="Times New Roman" w:hAnsi="Times New Roman"/>
          <w:bCs/>
          <w:sz w:val="24"/>
          <w:szCs w:val="24"/>
        </w:rPr>
        <w:t xml:space="preserve"> (</w:t>
      </w:r>
      <w:r w:rsidR="00F71E2C" w:rsidRPr="00F71E2C">
        <w:rPr>
          <w:rFonts w:ascii="Times New Roman" w:hAnsi="Times New Roman"/>
          <w:bCs/>
          <w:i/>
          <w:sz w:val="24"/>
          <w:szCs w:val="24"/>
        </w:rPr>
        <w:t xml:space="preserve">Maruko v </w:t>
      </w:r>
      <w:proofErr w:type="spellStart"/>
      <w:r w:rsidR="00F71E2C" w:rsidRPr="00F71E2C">
        <w:rPr>
          <w:rFonts w:ascii="Times New Roman" w:hAnsi="Times New Roman"/>
          <w:bCs/>
          <w:i/>
          <w:sz w:val="24"/>
          <w:szCs w:val="24"/>
        </w:rPr>
        <w:t>Versorgungsanstalt</w:t>
      </w:r>
      <w:proofErr w:type="spellEnd"/>
      <w:r w:rsidR="00F71E2C" w:rsidRPr="00F71E2C">
        <w:rPr>
          <w:rFonts w:ascii="Times New Roman" w:hAnsi="Times New Roman"/>
          <w:bCs/>
          <w:i/>
          <w:sz w:val="24"/>
          <w:szCs w:val="24"/>
        </w:rPr>
        <w:t xml:space="preserve"> der </w:t>
      </w:r>
      <w:proofErr w:type="spellStart"/>
      <w:r w:rsidR="00F71E2C" w:rsidRPr="00F71E2C">
        <w:rPr>
          <w:rFonts w:ascii="Times New Roman" w:hAnsi="Times New Roman"/>
          <w:bCs/>
          <w:i/>
          <w:sz w:val="24"/>
          <w:szCs w:val="24"/>
        </w:rPr>
        <w:t>Deutschen</w:t>
      </w:r>
      <w:proofErr w:type="spellEnd"/>
      <w:r w:rsidR="00F71E2C" w:rsidRPr="00F71E2C">
        <w:rPr>
          <w:rFonts w:ascii="Times New Roman" w:hAnsi="Times New Roman"/>
          <w:bCs/>
          <w:i/>
          <w:sz w:val="24"/>
          <w:szCs w:val="24"/>
        </w:rPr>
        <w:t xml:space="preserve"> </w:t>
      </w:r>
      <w:proofErr w:type="spellStart"/>
      <w:r w:rsidR="00F71E2C" w:rsidRPr="00F71E2C">
        <w:rPr>
          <w:rFonts w:ascii="Times New Roman" w:hAnsi="Times New Roman"/>
          <w:bCs/>
          <w:i/>
          <w:sz w:val="24"/>
          <w:szCs w:val="24"/>
        </w:rPr>
        <w:t>Bühnen</w:t>
      </w:r>
      <w:proofErr w:type="spellEnd"/>
      <w:r w:rsidR="00F71E2C" w:rsidRPr="00F71E2C">
        <w:rPr>
          <w:rFonts w:ascii="Times New Roman" w:hAnsi="Times New Roman"/>
          <w:bCs/>
          <w:iCs/>
          <w:sz w:val="24"/>
          <w:szCs w:val="24"/>
        </w:rPr>
        <w:t xml:space="preserve"> [2008</w:t>
      </w:r>
      <w:r w:rsidR="003455CF">
        <w:rPr>
          <w:rFonts w:ascii="Times New Roman" w:hAnsi="Times New Roman"/>
          <w:bCs/>
          <w:iCs/>
          <w:sz w:val="24"/>
          <w:szCs w:val="24"/>
        </w:rPr>
        <w:t>]</w:t>
      </w:r>
      <w:r w:rsidR="00F71E2C">
        <w:rPr>
          <w:rFonts w:ascii="Times New Roman" w:hAnsi="Times New Roman"/>
          <w:bCs/>
          <w:iCs/>
          <w:sz w:val="24"/>
          <w:szCs w:val="24"/>
        </w:rPr>
        <w:t xml:space="preserve">: </w:t>
      </w:r>
      <w:r w:rsidR="00F71E2C" w:rsidRPr="00F71E2C">
        <w:rPr>
          <w:rFonts w:ascii="Times New Roman" w:hAnsi="Times New Roman"/>
          <w:bCs/>
          <w:sz w:val="24"/>
          <w:szCs w:val="24"/>
        </w:rPr>
        <w:t>955 [72]</w:t>
      </w:r>
      <w:r w:rsidR="003455CF">
        <w:rPr>
          <w:rFonts w:ascii="Times New Roman" w:hAnsi="Times New Roman"/>
          <w:bCs/>
          <w:sz w:val="24"/>
          <w:szCs w:val="24"/>
        </w:rPr>
        <w:t>)</w:t>
      </w:r>
    </w:p>
    <w:p w:rsidR="004659FA" w:rsidRPr="004659FA" w:rsidRDefault="004659FA" w:rsidP="004659FA">
      <w:pPr>
        <w:spacing w:line="480" w:lineRule="auto"/>
        <w:rPr>
          <w:rFonts w:ascii="Times New Roman" w:hAnsi="Times New Roman"/>
          <w:sz w:val="24"/>
          <w:szCs w:val="24"/>
        </w:rPr>
      </w:pPr>
      <w:r w:rsidRPr="004659FA">
        <w:rPr>
          <w:rFonts w:ascii="Times New Roman" w:hAnsi="Times New Roman"/>
          <w:sz w:val="24"/>
          <w:szCs w:val="24"/>
        </w:rPr>
        <w:t>The answer to the implicit question here had, in fact, already been given by the court three paragraphs earlier:</w:t>
      </w:r>
    </w:p>
    <w:p w:rsidR="004659FA" w:rsidRPr="004659FA" w:rsidRDefault="004659FA" w:rsidP="00E601C1">
      <w:pPr>
        <w:spacing w:line="480" w:lineRule="auto"/>
        <w:ind w:left="709"/>
        <w:rPr>
          <w:rFonts w:ascii="Times New Roman" w:hAnsi="Times New Roman"/>
          <w:sz w:val="24"/>
          <w:szCs w:val="24"/>
        </w:rPr>
      </w:pPr>
      <w:r w:rsidRPr="004659FA">
        <w:rPr>
          <w:rFonts w:ascii="Times New Roman" w:hAnsi="Times New Roman"/>
          <w:sz w:val="24"/>
          <w:szCs w:val="24"/>
        </w:rPr>
        <w:t>The referring court considers that, in view of the harmonisation between marriage and life partnership […] a life partnership, while not identical to marriage, places persons of the same sex in a situation comparable to that of spouses so far as concerns the survivor’s benefit at issue in the main proceedings.</w:t>
      </w:r>
      <w:r w:rsidR="00F71E2C">
        <w:rPr>
          <w:rFonts w:ascii="Times New Roman" w:hAnsi="Times New Roman"/>
          <w:sz w:val="24"/>
          <w:szCs w:val="24"/>
        </w:rPr>
        <w:t xml:space="preserve"> (</w:t>
      </w:r>
      <w:r w:rsidR="00F71E2C" w:rsidRPr="00F71E2C">
        <w:rPr>
          <w:rFonts w:ascii="Times New Roman" w:hAnsi="Times New Roman"/>
          <w:i/>
          <w:sz w:val="24"/>
          <w:szCs w:val="24"/>
        </w:rPr>
        <w:t xml:space="preserve">Maruko v </w:t>
      </w:r>
      <w:proofErr w:type="spellStart"/>
      <w:r w:rsidR="00F71E2C" w:rsidRPr="00F71E2C">
        <w:rPr>
          <w:rFonts w:ascii="Times New Roman" w:hAnsi="Times New Roman"/>
          <w:bCs/>
          <w:i/>
          <w:sz w:val="24"/>
          <w:szCs w:val="24"/>
        </w:rPr>
        <w:t>Versorgungsanstalt</w:t>
      </w:r>
      <w:proofErr w:type="spellEnd"/>
      <w:r w:rsidR="00F71E2C" w:rsidRPr="00F71E2C">
        <w:rPr>
          <w:rFonts w:ascii="Times New Roman" w:hAnsi="Times New Roman"/>
          <w:bCs/>
          <w:i/>
          <w:sz w:val="24"/>
          <w:szCs w:val="24"/>
        </w:rPr>
        <w:t xml:space="preserve"> der </w:t>
      </w:r>
      <w:proofErr w:type="spellStart"/>
      <w:r w:rsidR="00F71E2C" w:rsidRPr="00F71E2C">
        <w:rPr>
          <w:rFonts w:ascii="Times New Roman" w:hAnsi="Times New Roman"/>
          <w:bCs/>
          <w:i/>
          <w:sz w:val="24"/>
          <w:szCs w:val="24"/>
        </w:rPr>
        <w:t>Deutschen</w:t>
      </w:r>
      <w:proofErr w:type="spellEnd"/>
      <w:r w:rsidR="00F71E2C" w:rsidRPr="00F71E2C">
        <w:rPr>
          <w:rFonts w:ascii="Times New Roman" w:hAnsi="Times New Roman"/>
          <w:bCs/>
          <w:i/>
          <w:sz w:val="24"/>
          <w:szCs w:val="24"/>
        </w:rPr>
        <w:t xml:space="preserve"> </w:t>
      </w:r>
      <w:proofErr w:type="spellStart"/>
      <w:r w:rsidR="00F71E2C" w:rsidRPr="00F71E2C">
        <w:rPr>
          <w:rFonts w:ascii="Times New Roman" w:hAnsi="Times New Roman"/>
          <w:bCs/>
          <w:i/>
          <w:sz w:val="24"/>
          <w:szCs w:val="24"/>
        </w:rPr>
        <w:t>Bühnen</w:t>
      </w:r>
      <w:proofErr w:type="spellEnd"/>
      <w:r w:rsidR="00F71E2C" w:rsidRPr="00F71E2C">
        <w:rPr>
          <w:rFonts w:ascii="Times New Roman" w:hAnsi="Times New Roman"/>
          <w:bCs/>
          <w:iCs/>
          <w:sz w:val="24"/>
          <w:szCs w:val="24"/>
        </w:rPr>
        <w:t xml:space="preserve"> [2008</w:t>
      </w:r>
      <w:r w:rsidR="00F75F9D">
        <w:rPr>
          <w:rFonts w:ascii="Times New Roman" w:hAnsi="Times New Roman"/>
          <w:bCs/>
          <w:iCs/>
          <w:sz w:val="24"/>
          <w:szCs w:val="24"/>
        </w:rPr>
        <w:t>]</w:t>
      </w:r>
      <w:r w:rsidR="00F71E2C">
        <w:rPr>
          <w:rFonts w:ascii="Times New Roman" w:hAnsi="Times New Roman"/>
          <w:bCs/>
          <w:iCs/>
          <w:sz w:val="24"/>
          <w:szCs w:val="24"/>
        </w:rPr>
        <w:t xml:space="preserve">: </w:t>
      </w:r>
      <w:r w:rsidR="00F71E2C" w:rsidRPr="00F71E2C">
        <w:rPr>
          <w:rFonts w:ascii="Times New Roman" w:hAnsi="Times New Roman"/>
          <w:bCs/>
          <w:iCs/>
          <w:sz w:val="24"/>
          <w:szCs w:val="24"/>
        </w:rPr>
        <w:t>955 [69]</w:t>
      </w:r>
      <w:r w:rsidR="00F71E2C">
        <w:rPr>
          <w:rFonts w:ascii="Times New Roman" w:hAnsi="Times New Roman"/>
          <w:bCs/>
          <w:iCs/>
          <w:sz w:val="24"/>
          <w:szCs w:val="24"/>
        </w:rPr>
        <w:t>)</w:t>
      </w:r>
    </w:p>
    <w:p w:rsidR="006948B8" w:rsidRDefault="004659FA" w:rsidP="00955099">
      <w:pPr>
        <w:spacing w:line="480" w:lineRule="auto"/>
        <w:rPr>
          <w:rFonts w:ascii="Times New Roman" w:hAnsi="Times New Roman"/>
          <w:sz w:val="24"/>
          <w:szCs w:val="24"/>
        </w:rPr>
      </w:pPr>
      <w:r w:rsidRPr="004659FA">
        <w:rPr>
          <w:rFonts w:ascii="Times New Roman" w:hAnsi="Times New Roman"/>
          <w:sz w:val="24"/>
          <w:szCs w:val="24"/>
        </w:rPr>
        <w:t>I</w:t>
      </w:r>
      <w:r w:rsidR="00F75F9D">
        <w:rPr>
          <w:rFonts w:ascii="Times New Roman" w:hAnsi="Times New Roman"/>
          <w:sz w:val="24"/>
          <w:szCs w:val="24"/>
        </w:rPr>
        <w:t xml:space="preserve"> suggest</w:t>
      </w:r>
      <w:r w:rsidRPr="004659FA">
        <w:rPr>
          <w:rFonts w:ascii="Times New Roman" w:hAnsi="Times New Roman"/>
          <w:sz w:val="24"/>
          <w:szCs w:val="24"/>
        </w:rPr>
        <w:t xml:space="preserve"> that once again this is not so much a case of direct discrimination because of sexual orientation, since the law governing life partnerships made no mention of either sexual orientation or sexual practice</w:t>
      </w:r>
      <w:r w:rsidR="00180A06">
        <w:rPr>
          <w:rFonts w:ascii="Times New Roman" w:hAnsi="Times New Roman"/>
          <w:sz w:val="24"/>
          <w:szCs w:val="24"/>
        </w:rPr>
        <w:t xml:space="preserve"> (s</w:t>
      </w:r>
      <w:r w:rsidR="00180A06" w:rsidRPr="00180A06">
        <w:rPr>
          <w:rFonts w:ascii="Times New Roman" w:hAnsi="Times New Roman"/>
          <w:sz w:val="24"/>
          <w:szCs w:val="24"/>
        </w:rPr>
        <w:t xml:space="preserve">ee the </w:t>
      </w:r>
      <w:proofErr w:type="spellStart"/>
      <w:r w:rsidR="00180A06" w:rsidRPr="00180A06">
        <w:rPr>
          <w:rFonts w:ascii="Times New Roman" w:hAnsi="Times New Roman"/>
          <w:i/>
          <w:iCs/>
          <w:sz w:val="24"/>
          <w:szCs w:val="24"/>
        </w:rPr>
        <w:t>Gesetz</w:t>
      </w:r>
      <w:proofErr w:type="spellEnd"/>
      <w:r w:rsidR="00180A06" w:rsidRPr="00180A06">
        <w:rPr>
          <w:rFonts w:ascii="Times New Roman" w:hAnsi="Times New Roman"/>
          <w:i/>
          <w:iCs/>
          <w:sz w:val="24"/>
          <w:szCs w:val="24"/>
        </w:rPr>
        <w:t xml:space="preserve"> </w:t>
      </w:r>
      <w:proofErr w:type="spellStart"/>
      <w:r w:rsidR="00180A06" w:rsidRPr="00180A06">
        <w:rPr>
          <w:rFonts w:ascii="Times New Roman" w:hAnsi="Times New Roman"/>
          <w:i/>
          <w:iCs/>
          <w:sz w:val="24"/>
          <w:szCs w:val="24"/>
        </w:rPr>
        <w:t>Über</w:t>
      </w:r>
      <w:proofErr w:type="spellEnd"/>
      <w:r w:rsidR="00180A06" w:rsidRPr="00180A06">
        <w:rPr>
          <w:rFonts w:ascii="Times New Roman" w:hAnsi="Times New Roman"/>
          <w:i/>
          <w:iCs/>
          <w:sz w:val="24"/>
          <w:szCs w:val="24"/>
        </w:rPr>
        <w:t xml:space="preserve"> die </w:t>
      </w:r>
      <w:proofErr w:type="spellStart"/>
      <w:r w:rsidR="00180A06" w:rsidRPr="00180A06">
        <w:rPr>
          <w:rFonts w:ascii="Times New Roman" w:hAnsi="Times New Roman"/>
          <w:i/>
          <w:iCs/>
          <w:sz w:val="24"/>
          <w:szCs w:val="24"/>
        </w:rPr>
        <w:t>Eingetragene</w:t>
      </w:r>
      <w:proofErr w:type="spellEnd"/>
      <w:r w:rsidR="00180A06" w:rsidRPr="00180A06">
        <w:rPr>
          <w:rFonts w:ascii="Times New Roman" w:hAnsi="Times New Roman"/>
          <w:i/>
          <w:iCs/>
          <w:sz w:val="24"/>
          <w:szCs w:val="24"/>
        </w:rPr>
        <w:t xml:space="preserve"> </w:t>
      </w:r>
      <w:proofErr w:type="spellStart"/>
      <w:r w:rsidR="00180A06" w:rsidRPr="00180A06">
        <w:rPr>
          <w:rFonts w:ascii="Times New Roman" w:hAnsi="Times New Roman"/>
          <w:i/>
          <w:iCs/>
          <w:sz w:val="24"/>
          <w:szCs w:val="24"/>
        </w:rPr>
        <w:t>Lebenspartnerschaft</w:t>
      </w:r>
      <w:proofErr w:type="spellEnd"/>
      <w:r w:rsidR="00180A06" w:rsidRPr="00180A06">
        <w:rPr>
          <w:rFonts w:ascii="Times New Roman" w:hAnsi="Times New Roman"/>
          <w:sz w:val="24"/>
          <w:szCs w:val="24"/>
        </w:rPr>
        <w:t xml:space="preserve"> quoted in part in </w:t>
      </w:r>
      <w:r w:rsidR="00180A06" w:rsidRPr="00180A06">
        <w:rPr>
          <w:rFonts w:ascii="Times New Roman" w:hAnsi="Times New Roman"/>
          <w:i/>
          <w:sz w:val="24"/>
          <w:szCs w:val="24"/>
        </w:rPr>
        <w:t>Maruko</w:t>
      </w:r>
      <w:r w:rsidR="00180A06">
        <w:rPr>
          <w:rFonts w:ascii="Times New Roman" w:hAnsi="Times New Roman"/>
          <w:i/>
          <w:sz w:val="24"/>
          <w:szCs w:val="24"/>
        </w:rPr>
        <w:t xml:space="preserve"> </w:t>
      </w:r>
      <w:r w:rsidR="00180A06" w:rsidRPr="00180A06">
        <w:rPr>
          <w:rFonts w:ascii="Times New Roman" w:hAnsi="Times New Roman"/>
          <w:i/>
          <w:sz w:val="24"/>
          <w:szCs w:val="24"/>
        </w:rPr>
        <w:t xml:space="preserve">v </w:t>
      </w:r>
      <w:proofErr w:type="spellStart"/>
      <w:r w:rsidR="00180A06" w:rsidRPr="00180A06">
        <w:rPr>
          <w:rFonts w:ascii="Times New Roman" w:hAnsi="Times New Roman"/>
          <w:bCs/>
          <w:i/>
          <w:sz w:val="24"/>
          <w:szCs w:val="24"/>
        </w:rPr>
        <w:t>Versorgungsanstalt</w:t>
      </w:r>
      <w:proofErr w:type="spellEnd"/>
      <w:r w:rsidR="00180A06" w:rsidRPr="00180A06">
        <w:rPr>
          <w:rFonts w:ascii="Times New Roman" w:hAnsi="Times New Roman"/>
          <w:bCs/>
          <w:i/>
          <w:sz w:val="24"/>
          <w:szCs w:val="24"/>
        </w:rPr>
        <w:t xml:space="preserve"> der </w:t>
      </w:r>
      <w:proofErr w:type="spellStart"/>
      <w:r w:rsidR="00180A06" w:rsidRPr="00180A06">
        <w:rPr>
          <w:rFonts w:ascii="Times New Roman" w:hAnsi="Times New Roman"/>
          <w:bCs/>
          <w:i/>
          <w:sz w:val="24"/>
          <w:szCs w:val="24"/>
        </w:rPr>
        <w:t>Deutschen</w:t>
      </w:r>
      <w:proofErr w:type="spellEnd"/>
      <w:r w:rsidR="00180A06" w:rsidRPr="00180A06">
        <w:rPr>
          <w:rFonts w:ascii="Times New Roman" w:hAnsi="Times New Roman"/>
          <w:bCs/>
          <w:i/>
          <w:sz w:val="24"/>
          <w:szCs w:val="24"/>
        </w:rPr>
        <w:t xml:space="preserve"> </w:t>
      </w:r>
      <w:proofErr w:type="spellStart"/>
      <w:r w:rsidR="00180A06" w:rsidRPr="00180A06">
        <w:rPr>
          <w:rFonts w:ascii="Times New Roman" w:hAnsi="Times New Roman"/>
          <w:bCs/>
          <w:i/>
          <w:sz w:val="24"/>
          <w:szCs w:val="24"/>
        </w:rPr>
        <w:t>Bühnen</w:t>
      </w:r>
      <w:proofErr w:type="spellEnd"/>
      <w:r w:rsidR="00180A06" w:rsidRPr="00180A06">
        <w:rPr>
          <w:rFonts w:ascii="Times New Roman" w:hAnsi="Times New Roman"/>
          <w:bCs/>
          <w:sz w:val="24"/>
          <w:szCs w:val="24"/>
        </w:rPr>
        <w:t xml:space="preserve"> [2008</w:t>
      </w:r>
      <w:r w:rsidR="00F75F9D">
        <w:rPr>
          <w:rFonts w:ascii="Times New Roman" w:hAnsi="Times New Roman"/>
          <w:bCs/>
          <w:sz w:val="24"/>
          <w:szCs w:val="24"/>
        </w:rPr>
        <w:t>]</w:t>
      </w:r>
      <w:r w:rsidR="00180A06" w:rsidRPr="00180A06">
        <w:rPr>
          <w:rFonts w:ascii="Times New Roman" w:hAnsi="Times New Roman"/>
          <w:bCs/>
          <w:sz w:val="24"/>
          <w:szCs w:val="24"/>
        </w:rPr>
        <w:t>:</w:t>
      </w:r>
      <w:r w:rsidR="00180A06" w:rsidRPr="00180A06">
        <w:rPr>
          <w:rFonts w:ascii="Times New Roman" w:hAnsi="Times New Roman"/>
          <w:sz w:val="24"/>
          <w:szCs w:val="24"/>
        </w:rPr>
        <w:t xml:space="preserve"> 945–946, [8]–[11</w:t>
      </w:r>
      <w:r w:rsidR="00180A06">
        <w:rPr>
          <w:rFonts w:ascii="Times New Roman" w:hAnsi="Times New Roman"/>
          <w:sz w:val="24"/>
          <w:szCs w:val="24"/>
        </w:rPr>
        <w:t>]</w:t>
      </w:r>
      <w:r w:rsidR="00F75F9D">
        <w:rPr>
          <w:rFonts w:ascii="Times New Roman" w:hAnsi="Times New Roman"/>
          <w:sz w:val="24"/>
          <w:szCs w:val="24"/>
        </w:rPr>
        <w:t>,</w:t>
      </w:r>
      <w:r w:rsidR="00180A06" w:rsidRPr="00180A06">
        <w:rPr>
          <w:rFonts w:ascii="Times New Roman" w:hAnsi="Times New Roman"/>
          <w:sz w:val="24"/>
          <w:szCs w:val="24"/>
        </w:rPr>
        <w:t xml:space="preserve"> also on-line at</w:t>
      </w:r>
      <w:r w:rsidR="00180A06" w:rsidRPr="00180A06">
        <w:rPr>
          <w:rFonts w:ascii="Times New Roman" w:hAnsi="Times New Roman"/>
          <w:i/>
          <w:sz w:val="24"/>
          <w:szCs w:val="24"/>
        </w:rPr>
        <w:t xml:space="preserve"> </w:t>
      </w:r>
      <w:hyperlink r:id="rId9" w:history="1">
        <w:r w:rsidR="00180A06" w:rsidRPr="00180A06">
          <w:rPr>
            <w:rStyle w:val="Hyperlink"/>
            <w:rFonts w:ascii="Times New Roman" w:hAnsi="Times New Roman"/>
            <w:sz w:val="24"/>
            <w:szCs w:val="24"/>
          </w:rPr>
          <w:t>https://www.gesetze-im-internet.de/lpartg/BJNR026610001.html</w:t>
        </w:r>
      </w:hyperlink>
      <w:r w:rsidR="00180A06" w:rsidRPr="00180A06">
        <w:rPr>
          <w:rFonts w:ascii="Times New Roman" w:hAnsi="Times New Roman"/>
          <w:sz w:val="24"/>
          <w:szCs w:val="24"/>
        </w:rPr>
        <w:t>, accessed 7 December 2019</w:t>
      </w:r>
      <w:r w:rsidR="00180A06">
        <w:rPr>
          <w:rFonts w:ascii="Times New Roman" w:hAnsi="Times New Roman"/>
          <w:sz w:val="24"/>
          <w:szCs w:val="24"/>
        </w:rPr>
        <w:t>)</w:t>
      </w:r>
      <w:r w:rsidRPr="004659FA">
        <w:rPr>
          <w:rFonts w:ascii="Times New Roman" w:hAnsi="Times New Roman"/>
          <w:sz w:val="24"/>
          <w:szCs w:val="24"/>
        </w:rPr>
        <w:t xml:space="preserve">, but of direct discrimination because of sex, since it was a requirement of a life partnership that the two parties be of the same sex. </w:t>
      </w:r>
    </w:p>
    <w:p w:rsidR="006948B8" w:rsidRDefault="006948B8" w:rsidP="00955099">
      <w:pPr>
        <w:spacing w:line="480" w:lineRule="auto"/>
        <w:rPr>
          <w:rFonts w:ascii="Times New Roman" w:hAnsi="Times New Roman"/>
          <w:sz w:val="24"/>
          <w:szCs w:val="24"/>
        </w:rPr>
      </w:pPr>
    </w:p>
    <w:p w:rsidR="000C1253" w:rsidRDefault="004659FA" w:rsidP="00955099">
      <w:pPr>
        <w:spacing w:line="480" w:lineRule="auto"/>
        <w:rPr>
          <w:rFonts w:ascii="Times New Roman" w:hAnsi="Times New Roman"/>
          <w:sz w:val="24"/>
          <w:szCs w:val="24"/>
        </w:rPr>
      </w:pPr>
      <w:r w:rsidRPr="004659FA">
        <w:rPr>
          <w:rFonts w:ascii="Times New Roman" w:hAnsi="Times New Roman"/>
          <w:sz w:val="24"/>
          <w:szCs w:val="24"/>
        </w:rPr>
        <w:t xml:space="preserve">Similar comments apply to </w:t>
      </w:r>
      <w:proofErr w:type="spellStart"/>
      <w:r w:rsidRPr="004659FA">
        <w:rPr>
          <w:rFonts w:ascii="Times New Roman" w:hAnsi="Times New Roman"/>
          <w:i/>
          <w:sz w:val="24"/>
          <w:szCs w:val="24"/>
        </w:rPr>
        <w:t>Römer</w:t>
      </w:r>
      <w:proofErr w:type="spellEnd"/>
      <w:r w:rsidRPr="004659FA">
        <w:rPr>
          <w:rFonts w:ascii="Times New Roman" w:hAnsi="Times New Roman"/>
          <w:i/>
          <w:sz w:val="24"/>
          <w:szCs w:val="24"/>
        </w:rPr>
        <w:t xml:space="preserve"> v </w:t>
      </w:r>
      <w:proofErr w:type="spellStart"/>
      <w:r w:rsidRPr="004659FA">
        <w:rPr>
          <w:rFonts w:ascii="Times New Roman" w:hAnsi="Times New Roman"/>
          <w:i/>
          <w:sz w:val="24"/>
          <w:szCs w:val="24"/>
        </w:rPr>
        <w:t>Freie</w:t>
      </w:r>
      <w:proofErr w:type="spellEnd"/>
      <w:r w:rsidRPr="004659FA">
        <w:rPr>
          <w:rFonts w:ascii="Times New Roman" w:hAnsi="Times New Roman"/>
          <w:i/>
          <w:sz w:val="24"/>
          <w:szCs w:val="24"/>
        </w:rPr>
        <w:t xml:space="preserve"> und </w:t>
      </w:r>
      <w:proofErr w:type="spellStart"/>
      <w:r w:rsidRPr="004659FA">
        <w:rPr>
          <w:rFonts w:ascii="Times New Roman" w:hAnsi="Times New Roman"/>
          <w:i/>
          <w:sz w:val="24"/>
          <w:szCs w:val="24"/>
        </w:rPr>
        <w:t>Hansestadt</w:t>
      </w:r>
      <w:proofErr w:type="spellEnd"/>
      <w:r w:rsidRPr="004659FA">
        <w:rPr>
          <w:rFonts w:ascii="Times New Roman" w:hAnsi="Times New Roman"/>
          <w:i/>
          <w:sz w:val="24"/>
          <w:szCs w:val="24"/>
        </w:rPr>
        <w:t xml:space="preserve"> Hamburg</w:t>
      </w:r>
      <w:r w:rsidR="00F37C62">
        <w:rPr>
          <w:rFonts w:ascii="Times New Roman" w:hAnsi="Times New Roman"/>
          <w:i/>
          <w:sz w:val="24"/>
          <w:szCs w:val="24"/>
        </w:rPr>
        <w:t xml:space="preserve"> </w:t>
      </w:r>
      <w:r w:rsidR="00F37C62">
        <w:rPr>
          <w:rFonts w:ascii="Times New Roman" w:hAnsi="Times New Roman"/>
          <w:iCs/>
          <w:sz w:val="24"/>
          <w:szCs w:val="24"/>
        </w:rPr>
        <w:t>[2011]</w:t>
      </w:r>
      <w:r w:rsidRPr="004659FA">
        <w:rPr>
          <w:rFonts w:ascii="Times New Roman" w:hAnsi="Times New Roman"/>
          <w:sz w:val="24"/>
          <w:szCs w:val="24"/>
        </w:rPr>
        <w:t xml:space="preserve">: </w:t>
      </w:r>
      <w:r w:rsidR="00F6595F" w:rsidRPr="00F6595F">
        <w:rPr>
          <w:rFonts w:ascii="Times New Roman" w:hAnsi="Times New Roman"/>
          <w:sz w:val="24"/>
          <w:szCs w:val="24"/>
        </w:rPr>
        <w:t>Jürgen</w:t>
      </w:r>
      <w:r w:rsidR="00F6595F">
        <w:rPr>
          <w:rFonts w:ascii="Times New Roman" w:hAnsi="Times New Roman"/>
          <w:sz w:val="24"/>
          <w:szCs w:val="24"/>
        </w:rPr>
        <w:t xml:space="preserve"> </w:t>
      </w:r>
      <w:proofErr w:type="spellStart"/>
      <w:r w:rsidRPr="004659FA">
        <w:rPr>
          <w:rFonts w:ascii="Times New Roman" w:hAnsi="Times New Roman"/>
          <w:sz w:val="24"/>
          <w:szCs w:val="24"/>
        </w:rPr>
        <w:t>Römer</w:t>
      </w:r>
      <w:proofErr w:type="spellEnd"/>
      <w:r w:rsidRPr="004659FA">
        <w:rPr>
          <w:rFonts w:ascii="Times New Roman" w:hAnsi="Times New Roman"/>
          <w:sz w:val="24"/>
          <w:szCs w:val="24"/>
        </w:rPr>
        <w:t xml:space="preserve"> was held to have been the victim of direct discrimination on the ground of sexual orientation when he was denied a request to have his pension increased to recogn</w:t>
      </w:r>
      <w:r w:rsidR="00221A5B">
        <w:rPr>
          <w:rFonts w:ascii="Times New Roman" w:hAnsi="Times New Roman"/>
          <w:sz w:val="24"/>
          <w:szCs w:val="24"/>
        </w:rPr>
        <w:t>iz</w:t>
      </w:r>
      <w:r w:rsidRPr="004659FA">
        <w:rPr>
          <w:rFonts w:ascii="Times New Roman" w:hAnsi="Times New Roman"/>
          <w:sz w:val="24"/>
          <w:szCs w:val="24"/>
        </w:rPr>
        <w:t>e his life partner</w:t>
      </w:r>
      <w:r w:rsidR="002B530E">
        <w:rPr>
          <w:rFonts w:ascii="Times New Roman" w:hAnsi="Times New Roman"/>
          <w:sz w:val="24"/>
          <w:szCs w:val="24"/>
        </w:rPr>
        <w:t xml:space="preserve">, </w:t>
      </w:r>
      <w:r w:rsidR="002B530E">
        <w:rPr>
          <w:rFonts w:ascii="Times New Roman" w:hAnsi="Times New Roman"/>
          <w:sz w:val="24"/>
          <w:szCs w:val="24"/>
        </w:rPr>
        <w:lastRenderedPageBreak/>
        <w:t>since he</w:t>
      </w:r>
      <w:r w:rsidRPr="004659FA">
        <w:rPr>
          <w:rFonts w:ascii="Times New Roman" w:hAnsi="Times New Roman"/>
          <w:sz w:val="24"/>
          <w:szCs w:val="24"/>
        </w:rPr>
        <w:t xml:space="preserve"> would have been granted </w:t>
      </w:r>
      <w:r w:rsidR="002B530E">
        <w:rPr>
          <w:rFonts w:ascii="Times New Roman" w:hAnsi="Times New Roman"/>
          <w:sz w:val="24"/>
          <w:szCs w:val="24"/>
        </w:rPr>
        <w:t xml:space="preserve">such an increase </w:t>
      </w:r>
      <w:r w:rsidRPr="004659FA">
        <w:rPr>
          <w:rFonts w:ascii="Times New Roman" w:hAnsi="Times New Roman"/>
          <w:sz w:val="24"/>
          <w:szCs w:val="24"/>
        </w:rPr>
        <w:t xml:space="preserve">had he been married to someone of the opposite sex, on the assumption that </w:t>
      </w:r>
      <w:r w:rsidR="00F37C62">
        <w:rPr>
          <w:rFonts w:ascii="Times New Roman" w:hAnsi="Times New Roman"/>
          <w:sz w:val="24"/>
          <w:szCs w:val="24"/>
        </w:rPr>
        <w:t>“</w:t>
      </w:r>
      <w:r w:rsidRPr="004659FA">
        <w:rPr>
          <w:rFonts w:ascii="Times New Roman" w:hAnsi="Times New Roman"/>
          <w:sz w:val="24"/>
          <w:szCs w:val="24"/>
        </w:rPr>
        <w:t>under national law, that life partner is in a legal and factual situation comparable to that of a married person as regards that pension</w:t>
      </w:r>
      <w:r w:rsidR="00F37C62">
        <w:rPr>
          <w:rFonts w:ascii="Times New Roman" w:hAnsi="Times New Roman"/>
          <w:sz w:val="24"/>
          <w:szCs w:val="24"/>
        </w:rPr>
        <w:t>”</w:t>
      </w:r>
      <w:r w:rsidR="0031715E">
        <w:rPr>
          <w:rFonts w:ascii="Times New Roman" w:hAnsi="Times New Roman"/>
          <w:sz w:val="24"/>
          <w:szCs w:val="24"/>
        </w:rPr>
        <w:t xml:space="preserve"> (</w:t>
      </w:r>
      <w:proofErr w:type="spellStart"/>
      <w:r w:rsidR="0031715E" w:rsidRPr="0031715E">
        <w:rPr>
          <w:rFonts w:ascii="Times New Roman" w:hAnsi="Times New Roman"/>
          <w:i/>
          <w:sz w:val="24"/>
          <w:szCs w:val="24"/>
        </w:rPr>
        <w:t>Römer</w:t>
      </w:r>
      <w:proofErr w:type="spellEnd"/>
      <w:r w:rsidR="0031715E" w:rsidRPr="0031715E">
        <w:rPr>
          <w:rFonts w:ascii="Times New Roman" w:hAnsi="Times New Roman"/>
          <w:i/>
          <w:sz w:val="24"/>
          <w:szCs w:val="24"/>
        </w:rPr>
        <w:t xml:space="preserve"> v </w:t>
      </w:r>
      <w:proofErr w:type="spellStart"/>
      <w:r w:rsidR="0031715E" w:rsidRPr="0031715E">
        <w:rPr>
          <w:rFonts w:ascii="Times New Roman" w:hAnsi="Times New Roman"/>
          <w:i/>
          <w:sz w:val="24"/>
          <w:szCs w:val="24"/>
        </w:rPr>
        <w:t>Freie</w:t>
      </w:r>
      <w:proofErr w:type="spellEnd"/>
      <w:r w:rsidR="0031715E" w:rsidRPr="0031715E">
        <w:rPr>
          <w:rFonts w:ascii="Times New Roman" w:hAnsi="Times New Roman"/>
          <w:i/>
          <w:sz w:val="24"/>
          <w:szCs w:val="24"/>
        </w:rPr>
        <w:t xml:space="preserve"> und </w:t>
      </w:r>
      <w:proofErr w:type="spellStart"/>
      <w:r w:rsidR="0031715E" w:rsidRPr="0031715E">
        <w:rPr>
          <w:rFonts w:ascii="Times New Roman" w:hAnsi="Times New Roman"/>
          <w:i/>
          <w:sz w:val="24"/>
          <w:szCs w:val="24"/>
        </w:rPr>
        <w:t>Hansestadt</w:t>
      </w:r>
      <w:proofErr w:type="spellEnd"/>
      <w:r w:rsidR="0031715E" w:rsidRPr="0031715E">
        <w:rPr>
          <w:rFonts w:ascii="Times New Roman" w:hAnsi="Times New Roman"/>
          <w:i/>
          <w:sz w:val="24"/>
          <w:szCs w:val="24"/>
        </w:rPr>
        <w:t xml:space="preserve"> Hamburg </w:t>
      </w:r>
      <w:r w:rsidR="0031715E" w:rsidRPr="0031715E">
        <w:rPr>
          <w:rFonts w:ascii="Times New Roman" w:hAnsi="Times New Roman"/>
          <w:iCs/>
          <w:sz w:val="24"/>
          <w:szCs w:val="24"/>
        </w:rPr>
        <w:t>[2011</w:t>
      </w:r>
      <w:r w:rsidR="00BD182F">
        <w:rPr>
          <w:rFonts w:ascii="Times New Roman" w:hAnsi="Times New Roman"/>
          <w:iCs/>
          <w:sz w:val="24"/>
          <w:szCs w:val="24"/>
        </w:rPr>
        <w:t>]</w:t>
      </w:r>
      <w:r w:rsidR="0031715E">
        <w:rPr>
          <w:rFonts w:ascii="Times New Roman" w:hAnsi="Times New Roman"/>
          <w:iCs/>
          <w:sz w:val="24"/>
          <w:szCs w:val="24"/>
        </w:rPr>
        <w:t xml:space="preserve">: </w:t>
      </w:r>
      <w:r w:rsidR="0031715E" w:rsidRPr="0031715E">
        <w:rPr>
          <w:rFonts w:ascii="Times New Roman" w:hAnsi="Times New Roman"/>
          <w:iCs/>
          <w:sz w:val="24"/>
          <w:szCs w:val="24"/>
        </w:rPr>
        <w:t>308 [52</w:t>
      </w:r>
      <w:r w:rsidR="0031715E">
        <w:rPr>
          <w:rFonts w:ascii="Times New Roman" w:hAnsi="Times New Roman"/>
          <w:iCs/>
          <w:sz w:val="24"/>
          <w:szCs w:val="24"/>
        </w:rPr>
        <w:t>])</w:t>
      </w:r>
      <w:r w:rsidR="00221A5B">
        <w:rPr>
          <w:rFonts w:ascii="Times New Roman" w:hAnsi="Times New Roman"/>
          <w:iCs/>
          <w:sz w:val="24"/>
          <w:szCs w:val="24"/>
        </w:rPr>
        <w:t>.</w:t>
      </w:r>
      <w:r w:rsidRPr="004659FA">
        <w:rPr>
          <w:rFonts w:ascii="Times New Roman" w:hAnsi="Times New Roman"/>
          <w:sz w:val="24"/>
          <w:szCs w:val="24"/>
          <w:vertAlign w:val="superscript"/>
        </w:rPr>
        <w:footnoteReference w:id="17"/>
      </w:r>
      <w:r w:rsidRPr="004659FA">
        <w:rPr>
          <w:rFonts w:ascii="Times New Roman" w:hAnsi="Times New Roman"/>
          <w:sz w:val="24"/>
          <w:szCs w:val="24"/>
        </w:rPr>
        <w:t xml:space="preserve"> Again, direct discrimination </w:t>
      </w:r>
      <w:r w:rsidR="00E50F13">
        <w:rPr>
          <w:rFonts w:ascii="Times New Roman" w:hAnsi="Times New Roman"/>
          <w:sz w:val="24"/>
          <w:szCs w:val="24"/>
        </w:rPr>
        <w:t>on the ground</w:t>
      </w:r>
      <w:r w:rsidRPr="004659FA">
        <w:rPr>
          <w:rFonts w:ascii="Times New Roman" w:hAnsi="Times New Roman"/>
          <w:sz w:val="24"/>
          <w:szCs w:val="24"/>
        </w:rPr>
        <w:t xml:space="preserve"> of sex </w:t>
      </w:r>
      <w:r w:rsidR="00E50F13">
        <w:rPr>
          <w:rFonts w:ascii="Times New Roman" w:hAnsi="Times New Roman"/>
          <w:sz w:val="24"/>
          <w:szCs w:val="24"/>
        </w:rPr>
        <w:t>would seem to have been the correct judgment here</w:t>
      </w:r>
      <w:r w:rsidRPr="004659FA">
        <w:rPr>
          <w:rFonts w:ascii="Times New Roman" w:hAnsi="Times New Roman"/>
          <w:sz w:val="24"/>
          <w:szCs w:val="24"/>
        </w:rPr>
        <w:t>.</w:t>
      </w:r>
    </w:p>
    <w:p w:rsidR="00537B0A" w:rsidRPr="003E688C" w:rsidRDefault="00537B0A" w:rsidP="00955099">
      <w:pPr>
        <w:spacing w:line="480" w:lineRule="auto"/>
        <w:rPr>
          <w:rFonts w:ascii="Times New Roman" w:hAnsi="Times New Roman"/>
          <w:sz w:val="24"/>
          <w:szCs w:val="24"/>
        </w:rPr>
      </w:pPr>
    </w:p>
    <w:p w:rsidR="00EF64B1" w:rsidRPr="00BD182F" w:rsidRDefault="00BA4CE7" w:rsidP="00BA4CE7">
      <w:pPr>
        <w:jc w:val="center"/>
        <w:rPr>
          <w:rFonts w:ascii="Times New Roman" w:hAnsi="Times New Roman"/>
          <w:bCs/>
          <w:iCs/>
          <w:sz w:val="24"/>
          <w:szCs w:val="24"/>
        </w:rPr>
      </w:pPr>
      <w:r w:rsidRPr="00BD182F">
        <w:rPr>
          <w:rFonts w:ascii="Times New Roman" w:hAnsi="Times New Roman"/>
          <w:bCs/>
          <w:iCs/>
          <w:sz w:val="24"/>
          <w:szCs w:val="24"/>
        </w:rPr>
        <w:t>V</w:t>
      </w:r>
      <w:r w:rsidR="00120DA4" w:rsidRPr="00BD182F">
        <w:rPr>
          <w:rFonts w:ascii="Times New Roman" w:hAnsi="Times New Roman"/>
          <w:bCs/>
          <w:iCs/>
          <w:sz w:val="24"/>
          <w:szCs w:val="24"/>
        </w:rPr>
        <w:t>II</w:t>
      </w:r>
      <w:r w:rsidRPr="00BD182F">
        <w:rPr>
          <w:rFonts w:ascii="Times New Roman" w:hAnsi="Times New Roman"/>
          <w:bCs/>
          <w:iCs/>
          <w:sz w:val="24"/>
          <w:szCs w:val="24"/>
        </w:rPr>
        <w:t xml:space="preserve">I. </w:t>
      </w:r>
      <w:r w:rsidR="009A04B4" w:rsidRPr="00BD182F">
        <w:rPr>
          <w:rFonts w:ascii="Times New Roman" w:hAnsi="Times New Roman"/>
          <w:bCs/>
          <w:iCs/>
          <w:sz w:val="24"/>
          <w:szCs w:val="24"/>
        </w:rPr>
        <w:t>FURTHER IMPLICATIONS</w:t>
      </w:r>
    </w:p>
    <w:p w:rsidR="0068406E" w:rsidRDefault="0068406E" w:rsidP="007856A6">
      <w:pPr>
        <w:pStyle w:val="Default"/>
        <w:spacing w:before="120" w:after="120" w:line="480" w:lineRule="auto"/>
      </w:pPr>
    </w:p>
    <w:p w:rsidR="00E318AE" w:rsidRPr="00B718F7" w:rsidRDefault="00E91CC3" w:rsidP="007856A6">
      <w:pPr>
        <w:pStyle w:val="Default"/>
        <w:spacing w:before="120" w:after="120" w:line="480" w:lineRule="auto"/>
      </w:pPr>
      <w:r w:rsidRPr="00065C01">
        <w:t xml:space="preserve">Would this </w:t>
      </w:r>
      <w:r w:rsidR="00206D18" w:rsidRPr="00065C01">
        <w:t>reasoning hold for</w:t>
      </w:r>
      <w:r w:rsidRPr="00065C01">
        <w:t xml:space="preserve"> other cases? Consider the similar case of</w:t>
      </w:r>
      <w:r w:rsidR="00206D18" w:rsidRPr="00065C01">
        <w:t xml:space="preserve"> </w:t>
      </w:r>
      <w:r w:rsidR="00206D18" w:rsidRPr="00065C01">
        <w:rPr>
          <w:i/>
        </w:rPr>
        <w:t>Black and Morgan v Wilkinson</w:t>
      </w:r>
      <w:r w:rsidR="00E67AE8">
        <w:rPr>
          <w:i/>
        </w:rPr>
        <w:t xml:space="preserve"> </w:t>
      </w:r>
      <w:r w:rsidR="00E67AE8">
        <w:rPr>
          <w:iCs/>
        </w:rPr>
        <w:t>[2013]</w:t>
      </w:r>
      <w:r w:rsidRPr="00065C01">
        <w:t>.</w:t>
      </w:r>
      <w:r w:rsidR="00206D18" w:rsidRPr="00065C01">
        <w:t xml:space="preserve"> </w:t>
      </w:r>
      <w:r w:rsidR="00D3369B" w:rsidRPr="00065C01">
        <w:t xml:space="preserve">This case was listed for a joint hearing with </w:t>
      </w:r>
      <w:r w:rsidR="00BD0D99" w:rsidRPr="00BD0D99">
        <w:rPr>
          <w:i/>
          <w:iCs/>
        </w:rPr>
        <w:t xml:space="preserve">Bull and Bull v Hall and </w:t>
      </w:r>
      <w:proofErr w:type="spellStart"/>
      <w:r w:rsidR="00BD0D99" w:rsidRPr="00BD0D99">
        <w:rPr>
          <w:i/>
          <w:iCs/>
        </w:rPr>
        <w:t>Preddy</w:t>
      </w:r>
      <w:proofErr w:type="spellEnd"/>
      <w:r w:rsidR="00BD0D99" w:rsidRPr="00BD0D99">
        <w:rPr>
          <w:i/>
        </w:rPr>
        <w:t xml:space="preserve"> </w:t>
      </w:r>
      <w:r w:rsidR="00BD0D99" w:rsidRPr="00BD0D99">
        <w:rPr>
          <w:iCs/>
        </w:rPr>
        <w:t>[2013]</w:t>
      </w:r>
      <w:r w:rsidR="00BD0D99">
        <w:t xml:space="preserve"> </w:t>
      </w:r>
      <w:r w:rsidR="00D3369B" w:rsidRPr="00065C01">
        <w:t>at the Supreme Court, but was withdrawn by the appellant</w:t>
      </w:r>
      <w:r w:rsidR="006E5A0F" w:rsidRPr="00065C01">
        <w:t xml:space="preserve">, </w:t>
      </w:r>
      <w:r w:rsidR="000106F9">
        <w:t xml:space="preserve">Susanne </w:t>
      </w:r>
      <w:r w:rsidR="006E5A0F" w:rsidRPr="00065C01">
        <w:t>Wilkinson,</w:t>
      </w:r>
      <w:r w:rsidR="00D3369B" w:rsidRPr="00065C01">
        <w:t xml:space="preserve"> at the last minute. Th</w:t>
      </w:r>
      <w:r w:rsidR="00252913" w:rsidRPr="00065C01">
        <w:t>e</w:t>
      </w:r>
      <w:r w:rsidR="00D3369B" w:rsidRPr="00065C01">
        <w:t xml:space="preserve"> case was very similar to </w:t>
      </w:r>
      <w:r w:rsidR="00E67AE8" w:rsidRPr="00E67AE8">
        <w:rPr>
          <w:i/>
          <w:iCs/>
        </w:rPr>
        <w:t xml:space="preserve">Bull and Bull v Hall and </w:t>
      </w:r>
      <w:proofErr w:type="spellStart"/>
      <w:r w:rsidR="00E67AE8" w:rsidRPr="00E67AE8">
        <w:rPr>
          <w:i/>
          <w:iCs/>
        </w:rPr>
        <w:t>Preddy</w:t>
      </w:r>
      <w:proofErr w:type="spellEnd"/>
      <w:r w:rsidR="00E67AE8" w:rsidRPr="00E67AE8">
        <w:t xml:space="preserve"> [2013]</w:t>
      </w:r>
      <w:r w:rsidR="00D3369B" w:rsidRPr="00065C01">
        <w:t>, except that Black and Morgan were not in a civil partnership. Th</w:t>
      </w:r>
      <w:r w:rsidR="002078F9">
        <w:t>e</w:t>
      </w:r>
      <w:r w:rsidR="00D3369B" w:rsidRPr="00065C01">
        <w:t xml:space="preserve"> fact that Hall and </w:t>
      </w:r>
      <w:proofErr w:type="spellStart"/>
      <w:r w:rsidR="00D3369B" w:rsidRPr="00065C01">
        <w:t>Preddy</w:t>
      </w:r>
      <w:proofErr w:type="spellEnd"/>
      <w:r w:rsidR="00D3369B" w:rsidRPr="00065C01">
        <w:t xml:space="preserve"> were in a civil partnership was </w:t>
      </w:r>
      <w:r w:rsidR="00BD0D99">
        <w:t>taken</w:t>
      </w:r>
      <w:r w:rsidR="00D3369B" w:rsidRPr="00065C01">
        <w:t xml:space="preserve"> </w:t>
      </w:r>
      <w:r w:rsidR="00FE210C">
        <w:t>as</w:t>
      </w:r>
      <w:r w:rsidR="00D3369B" w:rsidRPr="00065C01">
        <w:t xml:space="preserve"> </w:t>
      </w:r>
      <w:r w:rsidR="00252913" w:rsidRPr="00065C01">
        <w:t>one of the bases of</w:t>
      </w:r>
      <w:r w:rsidR="00D3369B" w:rsidRPr="00065C01">
        <w:t xml:space="preserve"> the finding by Lady Hale and Lords Kerr and Toulson that there was direct discrimination</w:t>
      </w:r>
      <w:r w:rsidR="00D06DE8">
        <w:t xml:space="preserve"> on grounds of sexual orientation</w:t>
      </w:r>
      <w:r w:rsidR="00BD0D99">
        <w:t xml:space="preserve"> (</w:t>
      </w:r>
      <w:r w:rsidR="00BD0D99" w:rsidRPr="00BD0D99">
        <w:rPr>
          <w:i/>
          <w:iCs/>
        </w:rPr>
        <w:t xml:space="preserve">Bull and Bull v Hall and </w:t>
      </w:r>
      <w:proofErr w:type="spellStart"/>
      <w:r w:rsidR="00BD0D99" w:rsidRPr="00BD0D99">
        <w:rPr>
          <w:i/>
          <w:iCs/>
        </w:rPr>
        <w:t>Preddy</w:t>
      </w:r>
      <w:proofErr w:type="spellEnd"/>
      <w:r w:rsidR="00BD0D99" w:rsidRPr="00BD0D99">
        <w:t xml:space="preserve"> [2013]: 3759B [68]</w:t>
      </w:r>
      <w:r w:rsidR="00BD0D99">
        <w:t>)</w:t>
      </w:r>
      <w:r w:rsidR="00D3369B" w:rsidRPr="00065C01">
        <w:t>. Lord Kerr</w:t>
      </w:r>
      <w:r w:rsidR="0034466A" w:rsidRPr="00065C01">
        <w:t xml:space="preserve"> explicitly</w:t>
      </w:r>
      <w:r w:rsidR="00D3369B" w:rsidRPr="00065C01">
        <w:t xml:space="preserve"> suggest</w:t>
      </w:r>
      <w:r w:rsidR="00BD0D99">
        <w:t>ed</w:t>
      </w:r>
      <w:r w:rsidR="00D3369B" w:rsidRPr="00065C01">
        <w:t xml:space="preserve"> that</w:t>
      </w:r>
      <w:r w:rsidR="001B745D">
        <w:t>,</w:t>
      </w:r>
      <w:r w:rsidR="00D3369B" w:rsidRPr="00065C01">
        <w:t xml:space="preserve"> had Hall and </w:t>
      </w:r>
      <w:proofErr w:type="spellStart"/>
      <w:r w:rsidR="00D3369B" w:rsidRPr="00065C01">
        <w:t>Preddy</w:t>
      </w:r>
      <w:proofErr w:type="spellEnd"/>
      <w:r w:rsidR="00D3369B" w:rsidRPr="00065C01">
        <w:t xml:space="preserve"> not been in a civil partnership</w:t>
      </w:r>
      <w:r w:rsidR="001B745D">
        <w:t>,</w:t>
      </w:r>
      <w:r w:rsidR="00D3369B" w:rsidRPr="00065C01">
        <w:t xml:space="preserve"> the</w:t>
      </w:r>
      <w:r w:rsidR="0034466A" w:rsidRPr="00065C01">
        <w:t>re</w:t>
      </w:r>
      <w:r w:rsidR="00D3369B" w:rsidRPr="00065C01">
        <w:t xml:space="preserve"> would have </w:t>
      </w:r>
      <w:r w:rsidR="0034466A" w:rsidRPr="00065C01">
        <w:t>been only indirect discrimination</w:t>
      </w:r>
      <w:r w:rsidR="00D2222A">
        <w:t xml:space="preserve"> (</w:t>
      </w:r>
      <w:r w:rsidR="00C45E42" w:rsidRPr="00C45E42">
        <w:rPr>
          <w:i/>
          <w:iCs/>
        </w:rPr>
        <w:t xml:space="preserve">Bull and Bull v Hall and </w:t>
      </w:r>
      <w:proofErr w:type="spellStart"/>
      <w:r w:rsidR="00C45E42" w:rsidRPr="00C45E42">
        <w:rPr>
          <w:i/>
          <w:iCs/>
        </w:rPr>
        <w:t>Preddy</w:t>
      </w:r>
      <w:proofErr w:type="spellEnd"/>
      <w:r w:rsidR="00C45E42" w:rsidRPr="00C45E42">
        <w:t xml:space="preserve"> [2013</w:t>
      </w:r>
      <w:r w:rsidR="007C3038">
        <w:t>]</w:t>
      </w:r>
      <w:r w:rsidR="00C45E42" w:rsidRPr="00C45E42">
        <w:t>:</w:t>
      </w:r>
      <w:r w:rsidR="00C45E42" w:rsidRPr="00C45E42">
        <w:rPr>
          <w:color w:val="auto"/>
          <w:sz w:val="22"/>
          <w:szCs w:val="22"/>
          <w:lang w:eastAsia="en-US"/>
        </w:rPr>
        <w:t xml:space="preserve"> </w:t>
      </w:r>
      <w:r w:rsidR="00C45E42" w:rsidRPr="00C45E42">
        <w:t>3758B [62]</w:t>
      </w:r>
      <w:r w:rsidR="00D2222A">
        <w:t>)</w:t>
      </w:r>
      <w:r w:rsidR="0034466A" w:rsidRPr="00065C01">
        <w:t>.</w:t>
      </w:r>
      <w:r w:rsidR="00B71284" w:rsidRPr="00065C01">
        <w:t xml:space="preserve"> So</w:t>
      </w:r>
      <w:r w:rsidR="003E61EF">
        <w:t>,</w:t>
      </w:r>
      <w:r w:rsidR="00B71284" w:rsidRPr="00065C01">
        <w:t xml:space="preserve"> it seems certain that, had </w:t>
      </w:r>
      <w:r w:rsidR="003E61EF" w:rsidRPr="003E61EF">
        <w:rPr>
          <w:i/>
        </w:rPr>
        <w:t>Black and Morgan v Wilkinson</w:t>
      </w:r>
      <w:r w:rsidR="003E61EF" w:rsidRPr="003E61EF">
        <w:t xml:space="preserve"> [2013]</w:t>
      </w:r>
      <w:r w:rsidR="00B71284" w:rsidRPr="00065C01">
        <w:t xml:space="preserve"> been </w:t>
      </w:r>
      <w:r w:rsidR="005E25AC">
        <w:t>hear</w:t>
      </w:r>
      <w:r w:rsidR="00B71284" w:rsidRPr="00065C01">
        <w:t xml:space="preserve">d at the Supreme Court, the </w:t>
      </w:r>
      <w:r w:rsidR="00455C60">
        <w:t>c</w:t>
      </w:r>
      <w:r w:rsidR="00B71284" w:rsidRPr="00065C01">
        <w:t>ourt would have found that Wilkinson only indirectly discriminated against Black and Morgan</w:t>
      </w:r>
      <w:r w:rsidR="00207D37">
        <w:t>.</w:t>
      </w:r>
    </w:p>
    <w:p w:rsidR="0068406E" w:rsidRDefault="0068406E" w:rsidP="0068406E">
      <w:pPr>
        <w:pStyle w:val="Default"/>
        <w:spacing w:before="120" w:after="120" w:line="480" w:lineRule="auto"/>
      </w:pPr>
    </w:p>
    <w:p w:rsidR="000D5E9A" w:rsidRPr="00065C01" w:rsidRDefault="0014679B" w:rsidP="0068406E">
      <w:pPr>
        <w:pStyle w:val="Default"/>
        <w:spacing w:before="120" w:after="120" w:line="480" w:lineRule="auto"/>
      </w:pPr>
      <w:r w:rsidRPr="00065C01">
        <w:lastRenderedPageBreak/>
        <w:t xml:space="preserve">Nevertheless, I want to argue, in the light of </w:t>
      </w:r>
      <w:r w:rsidR="00B71284" w:rsidRPr="00065C01">
        <w:t>the foregoing considerations</w:t>
      </w:r>
      <w:r w:rsidRPr="00065C01">
        <w:t>,</w:t>
      </w:r>
      <w:r w:rsidR="00B71284" w:rsidRPr="00065C01">
        <w:t xml:space="preserve"> that</w:t>
      </w:r>
      <w:r w:rsidR="007856A6">
        <w:t xml:space="preserve">, had </w:t>
      </w:r>
      <w:r w:rsidR="009827AF" w:rsidRPr="009827AF">
        <w:rPr>
          <w:i/>
        </w:rPr>
        <w:t xml:space="preserve">Black and Morgan v Wilkinson </w:t>
      </w:r>
      <w:r w:rsidR="009827AF" w:rsidRPr="009827AF">
        <w:rPr>
          <w:iCs/>
        </w:rPr>
        <w:t xml:space="preserve">[2013] </w:t>
      </w:r>
      <w:r w:rsidR="007856A6">
        <w:t>been heard under the Equality Act 2010,</w:t>
      </w:r>
      <w:r w:rsidR="00B71284" w:rsidRPr="00065C01">
        <w:t xml:space="preserve"> </w:t>
      </w:r>
      <w:r w:rsidR="00C774AF">
        <w:t>there would have been a well-founded case</w:t>
      </w:r>
      <w:r w:rsidR="00076333">
        <w:t xml:space="preserve"> </w:t>
      </w:r>
      <w:r w:rsidR="007856A6">
        <w:t xml:space="preserve">that </w:t>
      </w:r>
      <w:r w:rsidR="00B71284" w:rsidRPr="00065C01">
        <w:t xml:space="preserve">Wilkinson directly discriminated against </w:t>
      </w:r>
      <w:r w:rsidR="00252913" w:rsidRPr="00065C01">
        <w:t xml:space="preserve">Black and Morgan </w:t>
      </w:r>
      <w:r w:rsidR="00D06DE8">
        <w:t>because</w:t>
      </w:r>
      <w:r w:rsidR="00252913" w:rsidRPr="00065C01">
        <w:t xml:space="preserve"> of sex. The reason is that </w:t>
      </w:r>
      <w:r w:rsidR="007856A6">
        <w:t xml:space="preserve">the </w:t>
      </w:r>
      <w:r w:rsidR="00252913" w:rsidRPr="00065C01">
        <w:t>criterion</w:t>
      </w:r>
      <w:r w:rsidR="007856A6">
        <w:t xml:space="preserve"> </w:t>
      </w:r>
      <w:r w:rsidR="005E25AC">
        <w:t>because</w:t>
      </w:r>
      <w:r w:rsidR="00242D74">
        <w:t xml:space="preserve"> of which</w:t>
      </w:r>
      <w:r w:rsidR="007856A6">
        <w:t xml:space="preserve"> Wilkinson turned away Black and Morgan</w:t>
      </w:r>
      <w:r w:rsidR="00252913" w:rsidRPr="00065C01">
        <w:t xml:space="preserve"> was very similar to </w:t>
      </w:r>
      <w:r w:rsidR="006E5A0F" w:rsidRPr="00065C01">
        <w:t xml:space="preserve">that of the </w:t>
      </w:r>
      <w:r w:rsidR="00252913" w:rsidRPr="00065C01">
        <w:t>Bulls</w:t>
      </w:r>
      <w:r w:rsidR="000D5E9A" w:rsidRPr="00065C01">
        <w:t xml:space="preserve">: </w:t>
      </w:r>
      <w:r w:rsidR="00C45E42">
        <w:t>“</w:t>
      </w:r>
      <w:r w:rsidR="001A3FE1" w:rsidRPr="00065C01">
        <w:rPr>
          <w:spacing w:val="-3"/>
          <w:kern w:val="1"/>
        </w:rPr>
        <w:t>I have sought to restrict the sharing of the double rooms to heterosexual, preferably married couples</w:t>
      </w:r>
      <w:r w:rsidR="00C45E42">
        <w:t>” (</w:t>
      </w:r>
      <w:r w:rsidR="003E61EF" w:rsidRPr="003E61EF">
        <w:rPr>
          <w:i/>
        </w:rPr>
        <w:t xml:space="preserve">Black and Morgan v Wilkinson </w:t>
      </w:r>
      <w:r w:rsidR="003E61EF" w:rsidRPr="003E61EF">
        <w:rPr>
          <w:iCs/>
        </w:rPr>
        <w:t>[2013</w:t>
      </w:r>
      <w:r w:rsidR="007C3038">
        <w:rPr>
          <w:iCs/>
        </w:rPr>
        <w:t>]</w:t>
      </w:r>
      <w:r w:rsidR="003E61EF">
        <w:rPr>
          <w:iCs/>
        </w:rPr>
        <w:t xml:space="preserve">: </w:t>
      </w:r>
      <w:r w:rsidR="00C45E42" w:rsidRPr="00C45E42">
        <w:t>2494E [3]</w:t>
      </w:r>
      <w:r w:rsidR="00C45E42">
        <w:t>)</w:t>
      </w:r>
      <w:r w:rsidR="009F37AF" w:rsidRPr="00065C01">
        <w:t>.</w:t>
      </w:r>
      <w:r w:rsidR="000D5E9A" w:rsidRPr="00065C01">
        <w:t xml:space="preserve"> </w:t>
      </w:r>
      <w:r w:rsidR="006E5A0F" w:rsidRPr="00065C01">
        <w:t>(</w:t>
      </w:r>
      <w:r w:rsidR="009F37AF" w:rsidRPr="00065C01">
        <w:t>Note</w:t>
      </w:r>
      <w:r w:rsidR="00E06347">
        <w:t xml:space="preserve"> that</w:t>
      </w:r>
      <w:r w:rsidR="009F37AF" w:rsidRPr="00065C01">
        <w:t xml:space="preserve">, as with the Bulls’ criterion, the word </w:t>
      </w:r>
      <w:r w:rsidR="003E61EF">
        <w:t>“</w:t>
      </w:r>
      <w:r w:rsidR="009F37AF" w:rsidRPr="00065C01">
        <w:t>heterosexual</w:t>
      </w:r>
      <w:r w:rsidR="003E61EF">
        <w:t>”</w:t>
      </w:r>
      <w:r w:rsidR="009F37AF" w:rsidRPr="00065C01">
        <w:t xml:space="preserve"> is added</w:t>
      </w:r>
      <w:r w:rsidR="00A050F5">
        <w:t>,</w:t>
      </w:r>
      <w:r w:rsidR="009F37AF" w:rsidRPr="00065C01">
        <w:t xml:space="preserve"> even though at that point same-sex marriages were not </w:t>
      </w:r>
      <w:r w:rsidR="00A050F5">
        <w:t xml:space="preserve">legally </w:t>
      </w:r>
      <w:r w:rsidR="009F37AF" w:rsidRPr="00065C01">
        <w:t>recogni</w:t>
      </w:r>
      <w:r w:rsidR="007C3038">
        <w:t>z</w:t>
      </w:r>
      <w:r w:rsidR="009F37AF" w:rsidRPr="00065C01">
        <w:t>ed in England and Wales.</w:t>
      </w:r>
      <w:r w:rsidR="006E5A0F" w:rsidRPr="00065C01">
        <w:t>)</w:t>
      </w:r>
      <w:r w:rsidR="009F37AF" w:rsidRPr="00065C01">
        <w:t xml:space="preserve"> This is the description of what happened when Black and Morgan turned up to occupy the double room that </w:t>
      </w:r>
      <w:r w:rsidR="00E75D77">
        <w:t>Black</w:t>
      </w:r>
      <w:r w:rsidR="009F37AF" w:rsidRPr="00065C01">
        <w:t xml:space="preserve"> had booked</w:t>
      </w:r>
      <w:r w:rsidR="00E75D77">
        <w:t xml:space="preserve"> by e-mail</w:t>
      </w:r>
      <w:r w:rsidR="0029116B">
        <w:t>,</w:t>
      </w:r>
      <w:r w:rsidR="00E75D77">
        <w:t xml:space="preserve"> without mentioning Morgan</w:t>
      </w:r>
      <w:r w:rsidR="0029116B">
        <w:t xml:space="preserve"> (</w:t>
      </w:r>
      <w:bookmarkStart w:id="28" w:name="_Hlk44780172"/>
      <w:r w:rsidR="007749A3">
        <w:rPr>
          <w:i/>
          <w:iCs/>
        </w:rPr>
        <w:t>B</w:t>
      </w:r>
      <w:r w:rsidR="007749A3" w:rsidRPr="007749A3">
        <w:rPr>
          <w:bCs/>
          <w:i/>
          <w:iCs/>
        </w:rPr>
        <w:t>lack and Morgan v Wilkinson</w:t>
      </w:r>
      <w:r w:rsidR="007749A3" w:rsidRPr="007749A3">
        <w:rPr>
          <w:bCs/>
          <w:iCs/>
        </w:rPr>
        <w:t xml:space="preserve"> [2012]</w:t>
      </w:r>
      <w:r w:rsidR="00C8098C">
        <w:t>:</w:t>
      </w:r>
      <w:r w:rsidR="0029116B" w:rsidRPr="0029116B">
        <w:rPr>
          <w:bCs/>
        </w:rPr>
        <w:t xml:space="preserve"> </w:t>
      </w:r>
      <w:r w:rsidR="0029116B" w:rsidRPr="0029116B">
        <w:t>[3] and [22.6]</w:t>
      </w:r>
      <w:bookmarkEnd w:id="28"/>
      <w:r w:rsidR="0029116B">
        <w:t>)</w:t>
      </w:r>
      <w:r w:rsidR="009F37AF" w:rsidRPr="00065C01">
        <w:t>:</w:t>
      </w:r>
    </w:p>
    <w:p w:rsidR="00252913" w:rsidRPr="00065C01" w:rsidRDefault="009F37AF" w:rsidP="007856A6">
      <w:pPr>
        <w:spacing w:before="120" w:after="120" w:line="480" w:lineRule="auto"/>
        <w:ind w:left="709"/>
        <w:rPr>
          <w:rFonts w:ascii="Times New Roman" w:hAnsi="Times New Roman"/>
          <w:sz w:val="24"/>
          <w:szCs w:val="24"/>
        </w:rPr>
      </w:pPr>
      <w:r w:rsidRPr="00065C01">
        <w:rPr>
          <w:rFonts w:ascii="Times New Roman" w:hAnsi="Times New Roman"/>
          <w:sz w:val="24"/>
          <w:szCs w:val="24"/>
        </w:rPr>
        <w:t>On seeing that they were both men, the defendant said that there was a problem as they had booked a double room. She made it clear that she would not accommodate them because she did not like the idea of two men sharing a bed.</w:t>
      </w:r>
      <w:r w:rsidR="00E06347">
        <w:rPr>
          <w:rFonts w:ascii="Times New Roman" w:hAnsi="Times New Roman"/>
          <w:sz w:val="24"/>
          <w:szCs w:val="24"/>
        </w:rPr>
        <w:t xml:space="preserve"> (</w:t>
      </w:r>
      <w:r w:rsidR="00E06347" w:rsidRPr="00E06347">
        <w:rPr>
          <w:rFonts w:ascii="Times New Roman" w:hAnsi="Times New Roman"/>
          <w:i/>
          <w:sz w:val="24"/>
          <w:szCs w:val="24"/>
        </w:rPr>
        <w:t>Black and Morgan v Wilkinson</w:t>
      </w:r>
      <w:r w:rsidR="00E06347" w:rsidRPr="00E06347">
        <w:rPr>
          <w:rFonts w:ascii="Times New Roman" w:hAnsi="Times New Roman"/>
          <w:sz w:val="24"/>
          <w:szCs w:val="24"/>
        </w:rPr>
        <w:t xml:space="preserve"> [2013</w:t>
      </w:r>
      <w:r w:rsidR="007749A3">
        <w:rPr>
          <w:rFonts w:ascii="Times New Roman" w:hAnsi="Times New Roman"/>
          <w:sz w:val="24"/>
          <w:szCs w:val="24"/>
        </w:rPr>
        <w:t>]</w:t>
      </w:r>
      <w:r w:rsidR="00E06347">
        <w:rPr>
          <w:rFonts w:ascii="Times New Roman" w:hAnsi="Times New Roman"/>
          <w:sz w:val="24"/>
          <w:szCs w:val="24"/>
        </w:rPr>
        <w:t xml:space="preserve">: </w:t>
      </w:r>
      <w:r w:rsidR="00E06347" w:rsidRPr="00E06347">
        <w:rPr>
          <w:rFonts w:ascii="Times New Roman" w:hAnsi="Times New Roman"/>
          <w:sz w:val="24"/>
          <w:szCs w:val="24"/>
        </w:rPr>
        <w:t>2495C [6]</w:t>
      </w:r>
      <w:r w:rsidR="00E06347">
        <w:rPr>
          <w:rFonts w:ascii="Times New Roman" w:hAnsi="Times New Roman"/>
          <w:sz w:val="24"/>
          <w:szCs w:val="24"/>
        </w:rPr>
        <w:t>)</w:t>
      </w:r>
      <w:r w:rsidRPr="00065C01">
        <w:rPr>
          <w:rFonts w:ascii="Times New Roman" w:hAnsi="Times New Roman"/>
          <w:sz w:val="24"/>
          <w:szCs w:val="24"/>
        </w:rPr>
        <w:t xml:space="preserve"> </w:t>
      </w:r>
    </w:p>
    <w:p w:rsidR="00D20C0F" w:rsidRPr="005E4A50" w:rsidRDefault="009F37AF" w:rsidP="00E70B89">
      <w:pPr>
        <w:spacing w:before="120" w:after="120" w:line="480" w:lineRule="auto"/>
        <w:rPr>
          <w:rFonts w:ascii="Times New Roman" w:hAnsi="Times New Roman"/>
          <w:sz w:val="24"/>
          <w:szCs w:val="24"/>
        </w:rPr>
      </w:pPr>
      <w:r w:rsidRPr="00065C01">
        <w:rPr>
          <w:rFonts w:ascii="Times New Roman" w:hAnsi="Times New Roman"/>
          <w:sz w:val="24"/>
          <w:szCs w:val="24"/>
        </w:rPr>
        <w:t>The arguments</w:t>
      </w:r>
      <w:r w:rsidR="007708C7">
        <w:rPr>
          <w:rFonts w:ascii="Times New Roman" w:hAnsi="Times New Roman"/>
          <w:sz w:val="24"/>
          <w:szCs w:val="24"/>
        </w:rPr>
        <w:t xml:space="preserve"> above</w:t>
      </w:r>
      <w:r w:rsidRPr="00065C01">
        <w:rPr>
          <w:rFonts w:ascii="Times New Roman" w:hAnsi="Times New Roman"/>
          <w:sz w:val="24"/>
          <w:szCs w:val="24"/>
        </w:rPr>
        <w:t>, rehearsed in connection with the Bulls, suffice to show that there was no direct discrimination on grounds of sexual</w:t>
      </w:r>
      <w:r w:rsidR="007856A6">
        <w:rPr>
          <w:rFonts w:ascii="Times New Roman" w:hAnsi="Times New Roman"/>
          <w:sz w:val="24"/>
          <w:szCs w:val="24"/>
        </w:rPr>
        <w:t xml:space="preserve"> orientation</w:t>
      </w:r>
      <w:r w:rsidRPr="00065C01">
        <w:rPr>
          <w:rFonts w:ascii="Times New Roman" w:hAnsi="Times New Roman"/>
          <w:sz w:val="24"/>
          <w:szCs w:val="24"/>
        </w:rPr>
        <w:t xml:space="preserve">: </w:t>
      </w:r>
      <w:r w:rsidR="007366DB">
        <w:rPr>
          <w:rFonts w:ascii="Times New Roman" w:hAnsi="Times New Roman"/>
          <w:sz w:val="24"/>
          <w:szCs w:val="24"/>
        </w:rPr>
        <w:t>Black and Morgan</w:t>
      </w:r>
      <w:r w:rsidRPr="00065C01">
        <w:rPr>
          <w:rFonts w:ascii="Times New Roman" w:hAnsi="Times New Roman"/>
          <w:sz w:val="24"/>
          <w:szCs w:val="24"/>
        </w:rPr>
        <w:t xml:space="preserve"> would not have been allowed to share a double room even if just good friends, unmarried opposite-</w:t>
      </w:r>
      <w:r w:rsidR="005C7856" w:rsidRPr="00065C01">
        <w:rPr>
          <w:rFonts w:ascii="Times New Roman" w:hAnsi="Times New Roman"/>
          <w:sz w:val="24"/>
          <w:szCs w:val="24"/>
        </w:rPr>
        <w:t xml:space="preserve">sex </w:t>
      </w:r>
      <w:r w:rsidRPr="00065C01">
        <w:rPr>
          <w:rFonts w:ascii="Times New Roman" w:hAnsi="Times New Roman"/>
          <w:sz w:val="24"/>
          <w:szCs w:val="24"/>
        </w:rPr>
        <w:t>couples of heterosexual orientation were not allowed to share double rooms, and a man of homosexual orientation married to a woman of homosexual orientation would have been welcome to share a doubl</w:t>
      </w:r>
      <w:r w:rsidR="005E25AC">
        <w:rPr>
          <w:rFonts w:ascii="Times New Roman" w:hAnsi="Times New Roman"/>
          <w:sz w:val="24"/>
          <w:szCs w:val="24"/>
        </w:rPr>
        <w:t xml:space="preserve">e room. </w:t>
      </w:r>
      <w:r w:rsidR="006E5A0F" w:rsidRPr="00065C01">
        <w:rPr>
          <w:rFonts w:ascii="Times New Roman" w:hAnsi="Times New Roman"/>
          <w:sz w:val="24"/>
          <w:szCs w:val="24"/>
        </w:rPr>
        <w:t>It seems to me</w:t>
      </w:r>
      <w:r w:rsidR="005E25AC">
        <w:rPr>
          <w:rFonts w:ascii="Times New Roman" w:hAnsi="Times New Roman"/>
          <w:sz w:val="24"/>
          <w:szCs w:val="24"/>
        </w:rPr>
        <w:t>, though,</w:t>
      </w:r>
      <w:r w:rsidR="006E5A0F" w:rsidRPr="00065C01">
        <w:rPr>
          <w:rFonts w:ascii="Times New Roman" w:hAnsi="Times New Roman"/>
          <w:sz w:val="24"/>
          <w:szCs w:val="24"/>
        </w:rPr>
        <w:t xml:space="preserve"> that there w</w:t>
      </w:r>
      <w:r w:rsidR="007856A6">
        <w:rPr>
          <w:rFonts w:ascii="Times New Roman" w:hAnsi="Times New Roman"/>
          <w:sz w:val="24"/>
          <w:szCs w:val="24"/>
        </w:rPr>
        <w:t>ould have been</w:t>
      </w:r>
      <w:r w:rsidR="005E25AC">
        <w:rPr>
          <w:rFonts w:ascii="Times New Roman" w:hAnsi="Times New Roman"/>
          <w:sz w:val="24"/>
          <w:szCs w:val="24"/>
        </w:rPr>
        <w:t xml:space="preserve"> </w:t>
      </w:r>
      <w:r w:rsidR="005E25AC" w:rsidRPr="00065C01">
        <w:rPr>
          <w:rFonts w:ascii="Times New Roman" w:hAnsi="Times New Roman"/>
          <w:sz w:val="24"/>
          <w:szCs w:val="24"/>
        </w:rPr>
        <w:t xml:space="preserve">direct discrimination </w:t>
      </w:r>
      <w:r w:rsidR="005E25AC">
        <w:rPr>
          <w:rFonts w:ascii="Times New Roman" w:hAnsi="Times New Roman"/>
          <w:sz w:val="24"/>
          <w:szCs w:val="24"/>
        </w:rPr>
        <w:t xml:space="preserve">because </w:t>
      </w:r>
      <w:r w:rsidR="005E25AC" w:rsidRPr="00065C01">
        <w:rPr>
          <w:rFonts w:ascii="Times New Roman" w:hAnsi="Times New Roman"/>
          <w:sz w:val="24"/>
          <w:szCs w:val="24"/>
        </w:rPr>
        <w:t>of sex</w:t>
      </w:r>
      <w:r w:rsidR="005E25AC">
        <w:rPr>
          <w:rFonts w:ascii="Times New Roman" w:hAnsi="Times New Roman"/>
          <w:sz w:val="24"/>
          <w:szCs w:val="24"/>
        </w:rPr>
        <w:t xml:space="preserve"> under the Equality Act 2010</w:t>
      </w:r>
      <w:r w:rsidR="006E5A0F" w:rsidRPr="00065C01">
        <w:rPr>
          <w:rFonts w:ascii="Times New Roman" w:hAnsi="Times New Roman"/>
          <w:sz w:val="24"/>
          <w:szCs w:val="24"/>
        </w:rPr>
        <w:t xml:space="preserve">. </w:t>
      </w:r>
      <w:r w:rsidR="006D5154" w:rsidRPr="00065C01">
        <w:rPr>
          <w:rFonts w:ascii="Times New Roman" w:hAnsi="Times New Roman"/>
          <w:sz w:val="24"/>
          <w:szCs w:val="24"/>
        </w:rPr>
        <w:t>If one looks again at the description of what happened</w:t>
      </w:r>
      <w:r w:rsidR="00E1789E">
        <w:rPr>
          <w:rFonts w:ascii="Times New Roman" w:hAnsi="Times New Roman"/>
          <w:sz w:val="24"/>
          <w:szCs w:val="24"/>
        </w:rPr>
        <w:t>,</w:t>
      </w:r>
      <w:r w:rsidR="006D5154" w:rsidRPr="00065C01">
        <w:rPr>
          <w:rFonts w:ascii="Times New Roman" w:hAnsi="Times New Roman"/>
          <w:sz w:val="24"/>
          <w:szCs w:val="24"/>
        </w:rPr>
        <w:t xml:space="preserve"> </w:t>
      </w:r>
      <w:r w:rsidR="00E1789E">
        <w:rPr>
          <w:rFonts w:ascii="Times New Roman" w:hAnsi="Times New Roman"/>
          <w:sz w:val="24"/>
          <w:szCs w:val="24"/>
        </w:rPr>
        <w:t>on</w:t>
      </w:r>
      <w:r w:rsidR="006D5154" w:rsidRPr="00065C01">
        <w:rPr>
          <w:rFonts w:ascii="Times New Roman" w:hAnsi="Times New Roman"/>
          <w:sz w:val="24"/>
          <w:szCs w:val="24"/>
        </w:rPr>
        <w:t xml:space="preserve">e can see that Wilkinson did not wait to find out whether Black and Morgan were in a civil partnership. Her reason is clear: </w:t>
      </w:r>
      <w:r w:rsidR="00967667">
        <w:rPr>
          <w:rFonts w:ascii="Times New Roman" w:hAnsi="Times New Roman"/>
          <w:sz w:val="24"/>
          <w:szCs w:val="24"/>
        </w:rPr>
        <w:t>“</w:t>
      </w:r>
      <w:r w:rsidR="006D5154" w:rsidRPr="00065C01">
        <w:rPr>
          <w:rFonts w:ascii="Times New Roman" w:hAnsi="Times New Roman"/>
          <w:sz w:val="24"/>
          <w:szCs w:val="24"/>
        </w:rPr>
        <w:t xml:space="preserve">she did not like the idea </w:t>
      </w:r>
      <w:r w:rsidR="006D5154" w:rsidRPr="00065C01">
        <w:rPr>
          <w:rFonts w:ascii="Times New Roman" w:hAnsi="Times New Roman"/>
          <w:sz w:val="24"/>
          <w:szCs w:val="24"/>
        </w:rPr>
        <w:lastRenderedPageBreak/>
        <w:t>of two men sharing a bed</w:t>
      </w:r>
      <w:r w:rsidR="00967667">
        <w:rPr>
          <w:rFonts w:ascii="Times New Roman" w:hAnsi="Times New Roman"/>
          <w:sz w:val="24"/>
          <w:szCs w:val="24"/>
        </w:rPr>
        <w:t xml:space="preserve">” </w:t>
      </w:r>
      <w:r w:rsidR="00967667" w:rsidRPr="00967667">
        <w:rPr>
          <w:rFonts w:ascii="Times New Roman" w:hAnsi="Times New Roman"/>
          <w:sz w:val="24"/>
          <w:szCs w:val="24"/>
        </w:rPr>
        <w:t>[2013</w:t>
      </w:r>
      <w:r w:rsidR="007366DB">
        <w:rPr>
          <w:rFonts w:ascii="Times New Roman" w:hAnsi="Times New Roman"/>
          <w:sz w:val="24"/>
          <w:szCs w:val="24"/>
        </w:rPr>
        <w:t>]</w:t>
      </w:r>
      <w:r w:rsidR="00967667" w:rsidRPr="00967667">
        <w:rPr>
          <w:rFonts w:ascii="Times New Roman" w:hAnsi="Times New Roman"/>
          <w:sz w:val="24"/>
          <w:szCs w:val="24"/>
        </w:rPr>
        <w:t>: 2495C [6]</w:t>
      </w:r>
      <w:r w:rsidR="006D5154" w:rsidRPr="00065C01">
        <w:rPr>
          <w:rFonts w:ascii="Times New Roman" w:hAnsi="Times New Roman"/>
          <w:sz w:val="24"/>
          <w:szCs w:val="24"/>
        </w:rPr>
        <w:t xml:space="preserve">. It is </w:t>
      </w:r>
      <w:proofErr w:type="gramStart"/>
      <w:r w:rsidR="006D5154" w:rsidRPr="00065C01">
        <w:rPr>
          <w:rFonts w:ascii="Times New Roman" w:hAnsi="Times New Roman"/>
          <w:sz w:val="24"/>
          <w:szCs w:val="24"/>
        </w:rPr>
        <w:t>absolutely clear</w:t>
      </w:r>
      <w:proofErr w:type="gramEnd"/>
      <w:r w:rsidR="006D5154" w:rsidRPr="00065C01">
        <w:rPr>
          <w:rFonts w:ascii="Times New Roman" w:hAnsi="Times New Roman"/>
          <w:sz w:val="24"/>
          <w:szCs w:val="24"/>
        </w:rPr>
        <w:t xml:space="preserve"> that the </w:t>
      </w:r>
      <w:r w:rsidR="002B46BF" w:rsidRPr="00065C01">
        <w:rPr>
          <w:rFonts w:ascii="Times New Roman" w:hAnsi="Times New Roman"/>
          <w:sz w:val="24"/>
          <w:szCs w:val="24"/>
        </w:rPr>
        <w:t>motivating</w:t>
      </w:r>
      <w:r w:rsidR="006D5154" w:rsidRPr="00065C01">
        <w:rPr>
          <w:rFonts w:ascii="Times New Roman" w:hAnsi="Times New Roman"/>
          <w:sz w:val="24"/>
          <w:szCs w:val="24"/>
        </w:rPr>
        <w:t xml:space="preserve"> </w:t>
      </w:r>
      <w:proofErr w:type="spellStart"/>
      <w:r w:rsidR="006D5154" w:rsidRPr="00065C01">
        <w:rPr>
          <w:rFonts w:ascii="Times New Roman" w:hAnsi="Times New Roman"/>
          <w:sz w:val="24"/>
          <w:szCs w:val="24"/>
        </w:rPr>
        <w:t>premiss</w:t>
      </w:r>
      <w:proofErr w:type="spellEnd"/>
      <w:r w:rsidR="002B46BF" w:rsidRPr="00065C01">
        <w:rPr>
          <w:rFonts w:ascii="Times New Roman" w:hAnsi="Times New Roman"/>
          <w:sz w:val="24"/>
          <w:szCs w:val="24"/>
        </w:rPr>
        <w:t>, the ground,</w:t>
      </w:r>
      <w:r w:rsidR="006D5154" w:rsidRPr="00065C01">
        <w:rPr>
          <w:rFonts w:ascii="Times New Roman" w:hAnsi="Times New Roman"/>
          <w:sz w:val="24"/>
          <w:szCs w:val="24"/>
        </w:rPr>
        <w:t xml:space="preserve"> here makes reference to sex </w:t>
      </w:r>
      <w:r w:rsidR="00207D37">
        <w:rPr>
          <w:rFonts w:ascii="Times New Roman" w:hAnsi="Times New Roman"/>
          <w:sz w:val="24"/>
          <w:szCs w:val="24"/>
        </w:rPr>
        <w:t>(</w:t>
      </w:r>
      <w:r w:rsidR="0068406E">
        <w:rPr>
          <w:rFonts w:ascii="Times New Roman" w:hAnsi="Times New Roman"/>
          <w:sz w:val="24"/>
          <w:szCs w:val="24"/>
        </w:rPr>
        <w:t>“</w:t>
      </w:r>
      <w:r w:rsidR="006D5154" w:rsidRPr="00065C01">
        <w:rPr>
          <w:rFonts w:ascii="Times New Roman" w:hAnsi="Times New Roman"/>
          <w:sz w:val="24"/>
          <w:szCs w:val="24"/>
        </w:rPr>
        <w:t>men</w:t>
      </w:r>
      <w:r w:rsidR="0068406E">
        <w:rPr>
          <w:rFonts w:ascii="Times New Roman" w:hAnsi="Times New Roman"/>
          <w:sz w:val="24"/>
          <w:szCs w:val="24"/>
        </w:rPr>
        <w:t>”</w:t>
      </w:r>
      <w:r w:rsidR="006D5154" w:rsidRPr="00065C01">
        <w:rPr>
          <w:rFonts w:ascii="Times New Roman" w:hAnsi="Times New Roman"/>
          <w:sz w:val="24"/>
          <w:szCs w:val="24"/>
        </w:rPr>
        <w:t>)</w:t>
      </w:r>
      <w:r w:rsidR="006E5A0F" w:rsidRPr="00065C01">
        <w:rPr>
          <w:rFonts w:ascii="Times New Roman" w:hAnsi="Times New Roman"/>
          <w:sz w:val="24"/>
          <w:szCs w:val="24"/>
        </w:rPr>
        <w:t>,</w:t>
      </w:r>
      <w:r w:rsidR="006D5154" w:rsidRPr="00065C01">
        <w:rPr>
          <w:rFonts w:ascii="Times New Roman" w:hAnsi="Times New Roman"/>
          <w:sz w:val="24"/>
          <w:szCs w:val="24"/>
        </w:rPr>
        <w:t xml:space="preserve"> </w:t>
      </w:r>
      <w:r w:rsidR="0014679B" w:rsidRPr="00065C01">
        <w:rPr>
          <w:rFonts w:ascii="Times New Roman" w:hAnsi="Times New Roman"/>
          <w:sz w:val="24"/>
          <w:szCs w:val="24"/>
        </w:rPr>
        <w:t>and not to</w:t>
      </w:r>
      <w:r w:rsidR="003873AE">
        <w:rPr>
          <w:rFonts w:ascii="Times New Roman" w:hAnsi="Times New Roman"/>
          <w:sz w:val="24"/>
          <w:szCs w:val="24"/>
        </w:rPr>
        <w:t xml:space="preserve"> sexual orientation,</w:t>
      </w:r>
      <w:r w:rsidR="0014679B" w:rsidRPr="00065C01">
        <w:rPr>
          <w:rFonts w:ascii="Times New Roman" w:hAnsi="Times New Roman"/>
          <w:sz w:val="24"/>
          <w:szCs w:val="24"/>
        </w:rPr>
        <w:t xml:space="preserve"> civil partnership</w:t>
      </w:r>
      <w:r w:rsidR="006E5A0F" w:rsidRPr="00065C01">
        <w:rPr>
          <w:rFonts w:ascii="Times New Roman" w:hAnsi="Times New Roman"/>
          <w:sz w:val="24"/>
          <w:szCs w:val="24"/>
        </w:rPr>
        <w:t>,</w:t>
      </w:r>
      <w:r w:rsidR="0014679B" w:rsidRPr="00065C01">
        <w:rPr>
          <w:rFonts w:ascii="Times New Roman" w:hAnsi="Times New Roman"/>
          <w:sz w:val="24"/>
          <w:szCs w:val="24"/>
        </w:rPr>
        <w:t xml:space="preserve"> or even </w:t>
      </w:r>
      <w:r w:rsidR="006E5A0F" w:rsidRPr="00065C01">
        <w:rPr>
          <w:rFonts w:ascii="Times New Roman" w:hAnsi="Times New Roman"/>
          <w:sz w:val="24"/>
          <w:szCs w:val="24"/>
        </w:rPr>
        <w:t xml:space="preserve">to </w:t>
      </w:r>
      <w:r w:rsidR="00C774AF">
        <w:rPr>
          <w:rFonts w:ascii="Times New Roman" w:hAnsi="Times New Roman"/>
          <w:sz w:val="24"/>
          <w:szCs w:val="24"/>
        </w:rPr>
        <w:t>marriage. So</w:t>
      </w:r>
      <w:r w:rsidR="00E1789E">
        <w:rPr>
          <w:rFonts w:ascii="Times New Roman" w:hAnsi="Times New Roman"/>
          <w:sz w:val="24"/>
          <w:szCs w:val="24"/>
        </w:rPr>
        <w:t>,</w:t>
      </w:r>
      <w:r w:rsidR="00C774AF">
        <w:rPr>
          <w:rFonts w:ascii="Times New Roman" w:hAnsi="Times New Roman"/>
          <w:sz w:val="24"/>
          <w:szCs w:val="24"/>
        </w:rPr>
        <w:t xml:space="preserve"> under the provisions of the</w:t>
      </w:r>
      <w:r w:rsidR="003873AE">
        <w:rPr>
          <w:rFonts w:ascii="Times New Roman" w:hAnsi="Times New Roman"/>
          <w:sz w:val="24"/>
          <w:szCs w:val="24"/>
        </w:rPr>
        <w:t xml:space="preserve"> Equality</w:t>
      </w:r>
      <w:r w:rsidR="00C774AF">
        <w:rPr>
          <w:rFonts w:ascii="Times New Roman" w:hAnsi="Times New Roman"/>
          <w:sz w:val="24"/>
          <w:szCs w:val="24"/>
        </w:rPr>
        <w:t xml:space="preserve"> Act</w:t>
      </w:r>
      <w:r w:rsidR="003873AE">
        <w:rPr>
          <w:rFonts w:ascii="Times New Roman" w:hAnsi="Times New Roman"/>
          <w:sz w:val="24"/>
          <w:szCs w:val="24"/>
        </w:rPr>
        <w:t xml:space="preserve"> 2010</w:t>
      </w:r>
      <w:r w:rsidR="006A139F">
        <w:rPr>
          <w:rFonts w:ascii="Times New Roman" w:hAnsi="Times New Roman"/>
          <w:sz w:val="24"/>
          <w:szCs w:val="24"/>
        </w:rPr>
        <w:t>,</w:t>
      </w:r>
      <w:r w:rsidR="00C774AF">
        <w:rPr>
          <w:rFonts w:ascii="Times New Roman" w:hAnsi="Times New Roman"/>
          <w:sz w:val="24"/>
          <w:szCs w:val="24"/>
        </w:rPr>
        <w:t xml:space="preserve"> Wilkinson must be adjudged to have </w:t>
      </w:r>
      <w:r w:rsidR="0014679B" w:rsidRPr="00065C01">
        <w:rPr>
          <w:rFonts w:ascii="Times New Roman" w:hAnsi="Times New Roman"/>
          <w:sz w:val="24"/>
          <w:szCs w:val="24"/>
        </w:rPr>
        <w:t xml:space="preserve">directly discriminated against Black and Morgan </w:t>
      </w:r>
      <w:r w:rsidR="007856A6">
        <w:rPr>
          <w:rFonts w:ascii="Times New Roman" w:hAnsi="Times New Roman"/>
          <w:sz w:val="24"/>
          <w:szCs w:val="24"/>
        </w:rPr>
        <w:t xml:space="preserve">because </w:t>
      </w:r>
      <w:r w:rsidR="0014679B" w:rsidRPr="00065C01">
        <w:rPr>
          <w:rFonts w:ascii="Times New Roman" w:hAnsi="Times New Roman"/>
          <w:sz w:val="24"/>
          <w:szCs w:val="24"/>
        </w:rPr>
        <w:t>of sex.</w:t>
      </w:r>
    </w:p>
    <w:p w:rsidR="00AC0156" w:rsidRPr="00AC0156" w:rsidRDefault="00AC0156" w:rsidP="00AC0156">
      <w:pPr>
        <w:spacing w:line="480" w:lineRule="auto"/>
        <w:rPr>
          <w:rFonts w:ascii="Times New Roman" w:hAnsi="Times New Roman"/>
          <w:sz w:val="24"/>
          <w:szCs w:val="24"/>
        </w:rPr>
      </w:pPr>
    </w:p>
    <w:p w:rsidR="00AC0156" w:rsidRPr="00AC0156" w:rsidRDefault="00AC0156" w:rsidP="00AC0156">
      <w:pPr>
        <w:spacing w:line="480" w:lineRule="auto"/>
        <w:rPr>
          <w:rFonts w:ascii="Times New Roman" w:hAnsi="Times New Roman"/>
          <w:sz w:val="24"/>
          <w:szCs w:val="24"/>
        </w:rPr>
      </w:pPr>
      <w:r>
        <w:rPr>
          <w:rFonts w:ascii="Times New Roman" w:hAnsi="Times New Roman"/>
          <w:sz w:val="24"/>
          <w:szCs w:val="24"/>
        </w:rPr>
        <w:t xml:space="preserve">Here is another </w:t>
      </w:r>
      <w:r w:rsidRPr="00AC0156">
        <w:rPr>
          <w:rFonts w:ascii="Times New Roman" w:hAnsi="Times New Roman"/>
          <w:sz w:val="24"/>
          <w:szCs w:val="24"/>
        </w:rPr>
        <w:t>case in which the analysis presented of direct discrimination because of sex is clearly more accurate than the analysis of direct discrimination because of sexual orientation. Suppose</w:t>
      </w:r>
      <w:r w:rsidR="00537422">
        <w:rPr>
          <w:rFonts w:ascii="Times New Roman" w:hAnsi="Times New Roman"/>
          <w:sz w:val="24"/>
          <w:szCs w:val="24"/>
        </w:rPr>
        <w:t xml:space="preserve"> </w:t>
      </w:r>
      <w:r w:rsidRPr="00AC0156">
        <w:rPr>
          <w:rFonts w:ascii="Times New Roman" w:hAnsi="Times New Roman"/>
          <w:sz w:val="24"/>
          <w:szCs w:val="24"/>
        </w:rPr>
        <w:t>that B and C are both employed by A, and are both bisexual, but that B is a man and C is a woman. Each of them is attracted to a man, D, and this is known to A. A dismisses B on the grounds that he cannot stand the “unnaturalness” of B’s being attracted to a man. A doesn’t dismiss C, as he regards her attraction to D as “natural”. It seems to me that the right thing to say here is not that A has directly discriminated against B because of sexual orientation (since B and C have the same orientation, as “orientation” is defined in section 12(1) of the Equality Act 2010); rather, it is that A has directly discriminated against B because of sex (since each of B and C is attracted to D, but only B gets dismissed, and that because he is a man). The underlying point here is that “being attracted to men” is not a sexual orientation known to the Equality Act 2010, while “being homosexual”, “being heterosexual”, and “being bisexual” are.</w:t>
      </w:r>
    </w:p>
    <w:p w:rsidR="0068406E" w:rsidRDefault="0068406E" w:rsidP="0068406E">
      <w:pPr>
        <w:spacing w:line="480" w:lineRule="auto"/>
        <w:rPr>
          <w:rFonts w:ascii="Times New Roman" w:hAnsi="Times New Roman"/>
          <w:sz w:val="24"/>
          <w:szCs w:val="24"/>
        </w:rPr>
      </w:pPr>
    </w:p>
    <w:p w:rsidR="0057071D" w:rsidRPr="0057071D" w:rsidRDefault="0057071D" w:rsidP="0057071D">
      <w:pPr>
        <w:spacing w:line="480" w:lineRule="auto"/>
        <w:rPr>
          <w:rFonts w:ascii="Times New Roman" w:hAnsi="Times New Roman"/>
          <w:sz w:val="24"/>
          <w:szCs w:val="24"/>
        </w:rPr>
      </w:pPr>
      <w:r w:rsidRPr="0057071D">
        <w:rPr>
          <w:rFonts w:ascii="Times New Roman" w:hAnsi="Times New Roman"/>
          <w:sz w:val="24"/>
          <w:szCs w:val="24"/>
        </w:rPr>
        <w:t xml:space="preserve">Also, legislation invalidating or forbidding same-sex marriage itself will be a case of direct discrimination because of sex. It has always been the case in England and Wales, and, as far as I know, in every jurisdiction, that someone of homosexual orientation has had the same </w:t>
      </w:r>
      <w:r w:rsidRPr="0057071D">
        <w:rPr>
          <w:rFonts w:ascii="Times New Roman" w:hAnsi="Times New Roman"/>
          <w:sz w:val="24"/>
          <w:szCs w:val="24"/>
        </w:rPr>
        <w:lastRenderedPageBreak/>
        <w:t xml:space="preserve">right to get married as someone of heterosexual orientation, and to marry someone of the same or different orientation—as long, historically, as they were of the opposite </w:t>
      </w:r>
      <w:r w:rsidRPr="0057071D">
        <w:rPr>
          <w:rFonts w:ascii="Times New Roman" w:hAnsi="Times New Roman"/>
          <w:i/>
          <w:sz w:val="24"/>
          <w:szCs w:val="24"/>
        </w:rPr>
        <w:t>sex</w:t>
      </w:r>
      <w:r w:rsidRPr="0057071D">
        <w:rPr>
          <w:rFonts w:ascii="Times New Roman" w:hAnsi="Times New Roman"/>
          <w:sz w:val="24"/>
          <w:szCs w:val="24"/>
        </w:rPr>
        <w:t>. So, while a law invalidating same-sex marriage is indirectly discriminatory against those of homosexual orientation, it does not directly discriminate against them because of sexual orientation. It does, however, directly discriminate against same-sex couples because of sex, since the invalidation of same-sex marriage, as the name suggests, features sex as the ground of the less favourable treatment (the invalidation of the attempted union with the person in question, which would have been valid had one of the parties been of the opposite sex). This was the judgment of the Supreme Court of Hawai’i in a 1993 case eventually disposed of by constitutional amendment:</w:t>
      </w:r>
    </w:p>
    <w:p w:rsidR="0057071D" w:rsidRPr="0057071D" w:rsidRDefault="0057071D" w:rsidP="0057071D">
      <w:pPr>
        <w:spacing w:line="480" w:lineRule="auto"/>
        <w:ind w:left="709"/>
        <w:rPr>
          <w:rFonts w:ascii="Times New Roman" w:hAnsi="Times New Roman"/>
          <w:sz w:val="24"/>
          <w:szCs w:val="24"/>
        </w:rPr>
      </w:pPr>
      <w:r w:rsidRPr="0057071D">
        <w:rPr>
          <w:rFonts w:ascii="Times New Roman" w:hAnsi="Times New Roman"/>
          <w:sz w:val="24"/>
          <w:szCs w:val="24"/>
        </w:rPr>
        <w:t xml:space="preserve">It is the state’s regulation of access to the status of married persons, </w:t>
      </w:r>
      <w:proofErr w:type="gramStart"/>
      <w:r w:rsidRPr="0057071D">
        <w:rPr>
          <w:rFonts w:ascii="Times New Roman" w:hAnsi="Times New Roman"/>
          <w:sz w:val="24"/>
          <w:szCs w:val="24"/>
        </w:rPr>
        <w:t>on the basis of</w:t>
      </w:r>
      <w:proofErr w:type="gramEnd"/>
      <w:r w:rsidRPr="0057071D">
        <w:rPr>
          <w:rFonts w:ascii="Times New Roman" w:hAnsi="Times New Roman"/>
          <w:sz w:val="24"/>
          <w:szCs w:val="24"/>
        </w:rPr>
        <w:t xml:space="preserve"> the applicants’ sex, that gives rise to the question whether the applicant couples have been denied the equal protection of the laws. (</w:t>
      </w:r>
      <w:bookmarkStart w:id="29" w:name="_Hlk44780848"/>
      <w:proofErr w:type="spellStart"/>
      <w:r w:rsidRPr="0057071D">
        <w:rPr>
          <w:rFonts w:ascii="Times New Roman" w:hAnsi="Times New Roman"/>
          <w:i/>
          <w:sz w:val="24"/>
          <w:szCs w:val="24"/>
        </w:rPr>
        <w:t>Baehr</w:t>
      </w:r>
      <w:proofErr w:type="spellEnd"/>
      <w:r w:rsidRPr="0057071D">
        <w:rPr>
          <w:rFonts w:ascii="Times New Roman" w:hAnsi="Times New Roman"/>
          <w:i/>
          <w:sz w:val="24"/>
          <w:szCs w:val="24"/>
        </w:rPr>
        <w:t xml:space="preserve"> v Lewin</w:t>
      </w:r>
      <w:r w:rsidRPr="0057071D">
        <w:rPr>
          <w:rFonts w:ascii="Times New Roman" w:hAnsi="Times New Roman"/>
          <w:iCs/>
          <w:sz w:val="24"/>
          <w:szCs w:val="24"/>
        </w:rPr>
        <w:t xml:space="preserve"> (1993</w:t>
      </w:r>
      <w:bookmarkEnd w:id="29"/>
      <w:r w:rsidRPr="0057071D">
        <w:rPr>
          <w:rFonts w:ascii="Times New Roman" w:hAnsi="Times New Roman"/>
          <w:iCs/>
          <w:sz w:val="24"/>
          <w:szCs w:val="24"/>
        </w:rPr>
        <w:t>)</w:t>
      </w:r>
      <w:r w:rsidRPr="0057071D">
        <w:rPr>
          <w:rFonts w:ascii="Times New Roman" w:hAnsi="Times New Roman"/>
          <w:sz w:val="24"/>
          <w:szCs w:val="24"/>
        </w:rPr>
        <w:t>: 564</w:t>
      </w:r>
      <w:r w:rsidRPr="0057071D">
        <w:rPr>
          <w:rFonts w:ascii="Times New Roman" w:hAnsi="Times New Roman"/>
          <w:iCs/>
          <w:sz w:val="24"/>
          <w:szCs w:val="24"/>
        </w:rPr>
        <w:t>)</w:t>
      </w:r>
      <w:r w:rsidRPr="0057071D">
        <w:rPr>
          <w:rFonts w:ascii="Times New Roman" w:hAnsi="Times New Roman"/>
          <w:sz w:val="24"/>
          <w:szCs w:val="24"/>
        </w:rPr>
        <w:t xml:space="preserve"> </w:t>
      </w:r>
    </w:p>
    <w:p w:rsidR="0057071D" w:rsidRPr="0057071D" w:rsidRDefault="0057071D" w:rsidP="0057071D">
      <w:pPr>
        <w:spacing w:line="480" w:lineRule="auto"/>
        <w:rPr>
          <w:rFonts w:ascii="Times New Roman" w:hAnsi="Times New Roman"/>
          <w:sz w:val="24"/>
          <w:szCs w:val="24"/>
        </w:rPr>
      </w:pPr>
    </w:p>
    <w:p w:rsidR="009B218B" w:rsidRDefault="0014679B" w:rsidP="001F30B2">
      <w:pPr>
        <w:spacing w:line="480" w:lineRule="auto"/>
        <w:rPr>
          <w:rFonts w:ascii="Times New Roman" w:hAnsi="Times New Roman"/>
          <w:sz w:val="24"/>
          <w:szCs w:val="24"/>
        </w:rPr>
      </w:pPr>
      <w:bookmarkStart w:id="30" w:name="_Hlk45291760"/>
      <w:r w:rsidRPr="00065C01">
        <w:rPr>
          <w:rFonts w:ascii="Times New Roman" w:hAnsi="Times New Roman"/>
          <w:sz w:val="24"/>
          <w:szCs w:val="24"/>
        </w:rPr>
        <w:t>It should be clear that the reasoning outlined w</w:t>
      </w:r>
      <w:r w:rsidR="00770291">
        <w:rPr>
          <w:rFonts w:ascii="Times New Roman" w:hAnsi="Times New Roman"/>
          <w:sz w:val="24"/>
          <w:szCs w:val="24"/>
        </w:rPr>
        <w:t>ill</w:t>
      </w:r>
      <w:r w:rsidRPr="00065C01">
        <w:rPr>
          <w:rFonts w:ascii="Times New Roman" w:hAnsi="Times New Roman"/>
          <w:sz w:val="24"/>
          <w:szCs w:val="24"/>
        </w:rPr>
        <w:t xml:space="preserve"> also be applicable to many other</w:t>
      </w:r>
      <w:r w:rsidR="00206D18" w:rsidRPr="00065C01">
        <w:rPr>
          <w:rFonts w:ascii="Times New Roman" w:hAnsi="Times New Roman"/>
          <w:sz w:val="24"/>
          <w:szCs w:val="24"/>
        </w:rPr>
        <w:t xml:space="preserve"> cases in which there is an allegation of direct discrimination </w:t>
      </w:r>
      <w:r w:rsidR="007856A6">
        <w:rPr>
          <w:rFonts w:ascii="Times New Roman" w:hAnsi="Times New Roman"/>
          <w:sz w:val="24"/>
          <w:szCs w:val="24"/>
        </w:rPr>
        <w:t>because</w:t>
      </w:r>
      <w:r w:rsidR="00206D18" w:rsidRPr="00065C01">
        <w:rPr>
          <w:rFonts w:ascii="Times New Roman" w:hAnsi="Times New Roman"/>
          <w:sz w:val="24"/>
          <w:szCs w:val="24"/>
        </w:rPr>
        <w:t xml:space="preserve"> of sexual orientation</w:t>
      </w:r>
      <w:r w:rsidR="00C774AF">
        <w:rPr>
          <w:sz w:val="24"/>
          <w:szCs w:val="24"/>
        </w:rPr>
        <w:t>—</w:t>
      </w:r>
      <w:r w:rsidRPr="00065C01">
        <w:rPr>
          <w:rFonts w:ascii="Times New Roman" w:hAnsi="Times New Roman"/>
          <w:sz w:val="24"/>
          <w:szCs w:val="24"/>
        </w:rPr>
        <w:t xml:space="preserve">many of these will turn out to be cases of direct discrimination </w:t>
      </w:r>
      <w:r w:rsidR="007856A6">
        <w:rPr>
          <w:rFonts w:ascii="Times New Roman" w:hAnsi="Times New Roman"/>
          <w:sz w:val="24"/>
          <w:szCs w:val="24"/>
        </w:rPr>
        <w:t>because</w:t>
      </w:r>
      <w:r w:rsidRPr="00065C01">
        <w:rPr>
          <w:rFonts w:ascii="Times New Roman" w:hAnsi="Times New Roman"/>
          <w:sz w:val="24"/>
          <w:szCs w:val="24"/>
        </w:rPr>
        <w:t xml:space="preserve"> of sex</w:t>
      </w:r>
      <w:r w:rsidR="0007271F">
        <w:rPr>
          <w:rFonts w:ascii="Times New Roman" w:hAnsi="Times New Roman"/>
          <w:sz w:val="24"/>
          <w:szCs w:val="24"/>
        </w:rPr>
        <w:t xml:space="preserve"> instead</w:t>
      </w:r>
      <w:r w:rsidRPr="00065C01">
        <w:rPr>
          <w:rFonts w:ascii="Times New Roman" w:hAnsi="Times New Roman"/>
          <w:sz w:val="24"/>
          <w:szCs w:val="24"/>
        </w:rPr>
        <w:t>.</w:t>
      </w:r>
      <w:r w:rsidR="0007271F">
        <w:rPr>
          <w:rFonts w:ascii="Times New Roman" w:hAnsi="Times New Roman"/>
          <w:sz w:val="24"/>
          <w:szCs w:val="24"/>
        </w:rPr>
        <w:t xml:space="preserve"> </w:t>
      </w:r>
      <w:r w:rsidR="0007271F" w:rsidRPr="0007271F">
        <w:rPr>
          <w:rFonts w:ascii="Times New Roman" w:hAnsi="Times New Roman"/>
          <w:sz w:val="24"/>
          <w:szCs w:val="24"/>
        </w:rPr>
        <w:t>One might wonder, in</w:t>
      </w:r>
      <w:r w:rsidR="0007271F">
        <w:rPr>
          <w:rFonts w:ascii="Times New Roman" w:hAnsi="Times New Roman"/>
          <w:sz w:val="24"/>
          <w:szCs w:val="24"/>
        </w:rPr>
        <w:t xml:space="preserve"> fact, in</w:t>
      </w:r>
      <w:r w:rsidR="0007271F" w:rsidRPr="0007271F">
        <w:rPr>
          <w:rFonts w:ascii="Times New Roman" w:hAnsi="Times New Roman"/>
          <w:sz w:val="24"/>
          <w:szCs w:val="24"/>
        </w:rPr>
        <w:t xml:space="preserve"> the light of the arguments advanced, whether the</w:t>
      </w:r>
      <w:r w:rsidR="0007271F">
        <w:rPr>
          <w:rFonts w:ascii="Times New Roman" w:hAnsi="Times New Roman"/>
          <w:sz w:val="24"/>
          <w:szCs w:val="24"/>
        </w:rPr>
        <w:t>y w</w:t>
      </w:r>
      <w:r w:rsidR="00770291">
        <w:rPr>
          <w:rFonts w:ascii="Times New Roman" w:hAnsi="Times New Roman"/>
          <w:sz w:val="24"/>
          <w:szCs w:val="24"/>
        </w:rPr>
        <w:t>ill</w:t>
      </w:r>
      <w:r w:rsidR="0007271F">
        <w:rPr>
          <w:rFonts w:ascii="Times New Roman" w:hAnsi="Times New Roman"/>
          <w:sz w:val="24"/>
          <w:szCs w:val="24"/>
        </w:rPr>
        <w:t xml:space="preserve"> </w:t>
      </w:r>
      <w:r w:rsidR="0007271F" w:rsidRPr="00770291">
        <w:rPr>
          <w:rFonts w:ascii="Times New Roman" w:hAnsi="Times New Roman"/>
          <w:i/>
          <w:iCs/>
          <w:sz w:val="24"/>
          <w:szCs w:val="24"/>
        </w:rPr>
        <w:t>all</w:t>
      </w:r>
      <w:r w:rsidR="0007271F">
        <w:rPr>
          <w:rFonts w:ascii="Times New Roman" w:hAnsi="Times New Roman"/>
          <w:sz w:val="24"/>
          <w:szCs w:val="24"/>
        </w:rPr>
        <w:t xml:space="preserve"> turn out</w:t>
      </w:r>
      <w:r w:rsidR="00DF69BC">
        <w:rPr>
          <w:rFonts w:ascii="Times New Roman" w:hAnsi="Times New Roman"/>
          <w:sz w:val="24"/>
          <w:szCs w:val="24"/>
        </w:rPr>
        <w:t xml:space="preserve"> </w:t>
      </w:r>
      <w:r w:rsidR="00DF69BC" w:rsidRPr="00DF69BC">
        <w:rPr>
          <w:rFonts w:ascii="Times New Roman" w:hAnsi="Times New Roman"/>
          <w:sz w:val="24"/>
          <w:szCs w:val="24"/>
        </w:rPr>
        <w:t>to be cases of direct discrimination because of sex instead</w:t>
      </w:r>
      <w:r w:rsidR="00DF69BC">
        <w:rPr>
          <w:rFonts w:cs="Calibri"/>
          <w:sz w:val="24"/>
          <w:szCs w:val="24"/>
        </w:rPr>
        <w:t>—</w:t>
      </w:r>
      <w:r w:rsidR="00DF69BC">
        <w:rPr>
          <w:rFonts w:ascii="Times New Roman" w:hAnsi="Times New Roman"/>
          <w:sz w:val="24"/>
          <w:szCs w:val="24"/>
        </w:rPr>
        <w:t xml:space="preserve">does my analysis rule out there being </w:t>
      </w:r>
      <w:r w:rsidR="00DF69BC" w:rsidRPr="00770291">
        <w:rPr>
          <w:rFonts w:ascii="Times New Roman" w:hAnsi="Times New Roman"/>
          <w:i/>
          <w:iCs/>
          <w:sz w:val="24"/>
          <w:szCs w:val="24"/>
        </w:rPr>
        <w:t>a</w:t>
      </w:r>
      <w:r w:rsidR="00770291" w:rsidRPr="00770291">
        <w:rPr>
          <w:rFonts w:ascii="Times New Roman" w:hAnsi="Times New Roman"/>
          <w:i/>
          <w:iCs/>
          <w:sz w:val="24"/>
          <w:szCs w:val="24"/>
        </w:rPr>
        <w:t>ny</w:t>
      </w:r>
      <w:r w:rsidR="00DF69BC">
        <w:rPr>
          <w:rFonts w:ascii="Times New Roman" w:hAnsi="Times New Roman"/>
          <w:sz w:val="24"/>
          <w:szCs w:val="24"/>
        </w:rPr>
        <w:t xml:space="preserve"> case of direct discrimination because of sexual orientation?</w:t>
      </w:r>
      <w:r w:rsidR="0007271F" w:rsidRPr="0007271F">
        <w:rPr>
          <w:rFonts w:ascii="Times New Roman" w:hAnsi="Times New Roman"/>
          <w:sz w:val="24"/>
          <w:szCs w:val="24"/>
        </w:rPr>
        <w:t xml:space="preserve"> </w:t>
      </w:r>
      <w:r w:rsidR="00DF69BC">
        <w:rPr>
          <w:rFonts w:ascii="Times New Roman" w:hAnsi="Times New Roman"/>
          <w:sz w:val="24"/>
          <w:szCs w:val="24"/>
        </w:rPr>
        <w:t>No</w:t>
      </w:r>
      <w:r w:rsidR="0007271F" w:rsidRPr="0007271F">
        <w:rPr>
          <w:rFonts w:ascii="Times New Roman" w:hAnsi="Times New Roman"/>
          <w:sz w:val="24"/>
          <w:szCs w:val="24"/>
        </w:rPr>
        <w:t xml:space="preserve">: suppose that a hotel put up a sign saying </w:t>
      </w:r>
      <w:r w:rsidR="00D949E1">
        <w:rPr>
          <w:rFonts w:ascii="Times New Roman" w:hAnsi="Times New Roman"/>
          <w:sz w:val="24"/>
          <w:szCs w:val="24"/>
        </w:rPr>
        <w:t>“</w:t>
      </w:r>
      <w:r w:rsidR="0007271F" w:rsidRPr="0007271F">
        <w:rPr>
          <w:rFonts w:ascii="Times New Roman" w:hAnsi="Times New Roman"/>
          <w:sz w:val="24"/>
          <w:szCs w:val="24"/>
        </w:rPr>
        <w:t>no people of bisexual orientation in any rooms</w:t>
      </w:r>
      <w:r w:rsidR="00D949E1">
        <w:rPr>
          <w:rFonts w:ascii="Times New Roman" w:hAnsi="Times New Roman"/>
          <w:sz w:val="24"/>
          <w:szCs w:val="24"/>
        </w:rPr>
        <w:t>”</w:t>
      </w:r>
      <w:r w:rsidR="00B41E43">
        <w:rPr>
          <w:rFonts w:ascii="Times New Roman" w:hAnsi="Times New Roman"/>
          <w:sz w:val="24"/>
          <w:szCs w:val="24"/>
        </w:rPr>
        <w:t>; this refusal would constitute direct discrimination because of sexual orientation.</w:t>
      </w:r>
      <w:r w:rsidR="0007271F" w:rsidRPr="0007271F">
        <w:rPr>
          <w:rFonts w:ascii="Times New Roman" w:hAnsi="Times New Roman"/>
          <w:sz w:val="24"/>
          <w:szCs w:val="24"/>
          <w:vertAlign w:val="superscript"/>
        </w:rPr>
        <w:footnoteReference w:id="18"/>
      </w:r>
      <w:r w:rsidR="0007271F" w:rsidRPr="0007271F">
        <w:rPr>
          <w:rFonts w:ascii="Times New Roman" w:hAnsi="Times New Roman"/>
          <w:sz w:val="24"/>
          <w:szCs w:val="24"/>
        </w:rPr>
        <w:t xml:space="preserve"> </w:t>
      </w:r>
      <w:r w:rsidR="00B41E43">
        <w:rPr>
          <w:rFonts w:ascii="Times New Roman" w:hAnsi="Times New Roman"/>
          <w:sz w:val="24"/>
          <w:szCs w:val="24"/>
        </w:rPr>
        <w:t>Would it</w:t>
      </w:r>
      <w:r w:rsidR="00B41E43" w:rsidRPr="00C45516">
        <w:rPr>
          <w:rFonts w:ascii="Times New Roman" w:hAnsi="Times New Roman"/>
          <w:i/>
          <w:iCs/>
          <w:sz w:val="24"/>
          <w:szCs w:val="24"/>
        </w:rPr>
        <w:t xml:space="preserve"> also</w:t>
      </w:r>
      <w:r w:rsidR="00B41E43">
        <w:rPr>
          <w:rFonts w:ascii="Times New Roman" w:hAnsi="Times New Roman"/>
          <w:sz w:val="24"/>
          <w:szCs w:val="24"/>
        </w:rPr>
        <w:t xml:space="preserve"> constitute </w:t>
      </w:r>
      <w:r w:rsidR="00B41E43" w:rsidRPr="00B41E43">
        <w:rPr>
          <w:rFonts w:ascii="Times New Roman" w:hAnsi="Times New Roman"/>
          <w:sz w:val="24"/>
          <w:szCs w:val="24"/>
        </w:rPr>
        <w:t xml:space="preserve">direct </w:t>
      </w:r>
      <w:r w:rsidR="00B41E43" w:rsidRPr="00B41E43">
        <w:rPr>
          <w:rFonts w:ascii="Times New Roman" w:hAnsi="Times New Roman"/>
          <w:sz w:val="24"/>
          <w:szCs w:val="24"/>
        </w:rPr>
        <w:lastRenderedPageBreak/>
        <w:t>discrimination because of sex</w:t>
      </w:r>
      <w:r w:rsidR="00B41E43">
        <w:rPr>
          <w:rFonts w:ascii="Times New Roman" w:hAnsi="Times New Roman"/>
          <w:sz w:val="24"/>
          <w:szCs w:val="24"/>
        </w:rPr>
        <w:t>?</w:t>
      </w:r>
      <w:r w:rsidR="001F30B2">
        <w:rPr>
          <w:rFonts w:ascii="Times New Roman" w:hAnsi="Times New Roman"/>
          <w:sz w:val="24"/>
          <w:szCs w:val="24"/>
        </w:rPr>
        <w:t xml:space="preserve"> Suppose that the hotel</w:t>
      </w:r>
      <w:r w:rsidR="0007271F" w:rsidRPr="0007271F">
        <w:rPr>
          <w:rFonts w:ascii="Times New Roman" w:hAnsi="Times New Roman"/>
          <w:sz w:val="24"/>
          <w:szCs w:val="24"/>
        </w:rPr>
        <w:t xml:space="preserve"> </w:t>
      </w:r>
      <w:r w:rsidR="00D510E7">
        <w:rPr>
          <w:rFonts w:ascii="Times New Roman" w:hAnsi="Times New Roman"/>
          <w:sz w:val="24"/>
          <w:szCs w:val="24"/>
        </w:rPr>
        <w:t>receive</w:t>
      </w:r>
      <w:r w:rsidR="0007271F" w:rsidRPr="0007271F">
        <w:rPr>
          <w:rFonts w:ascii="Times New Roman" w:hAnsi="Times New Roman"/>
          <w:sz w:val="24"/>
          <w:szCs w:val="24"/>
        </w:rPr>
        <w:t xml:space="preserve">s an e-mail from someone </w:t>
      </w:r>
      <w:proofErr w:type="gramStart"/>
      <w:r w:rsidR="0007271F" w:rsidRPr="0007271F">
        <w:rPr>
          <w:rFonts w:ascii="Times New Roman" w:hAnsi="Times New Roman"/>
          <w:sz w:val="24"/>
          <w:szCs w:val="24"/>
        </w:rPr>
        <w:t>saying</w:t>
      </w:r>
      <w:proofErr w:type="gramEnd"/>
      <w:r w:rsidR="0007271F" w:rsidRPr="0007271F">
        <w:rPr>
          <w:rFonts w:ascii="Times New Roman" w:hAnsi="Times New Roman"/>
          <w:sz w:val="24"/>
          <w:szCs w:val="24"/>
        </w:rPr>
        <w:t xml:space="preserve"> </w:t>
      </w:r>
      <w:r w:rsidR="001F30B2">
        <w:rPr>
          <w:rFonts w:ascii="Times New Roman" w:hAnsi="Times New Roman"/>
          <w:sz w:val="24"/>
          <w:szCs w:val="24"/>
        </w:rPr>
        <w:t>“</w:t>
      </w:r>
      <w:r w:rsidR="0007271F" w:rsidRPr="0007271F">
        <w:rPr>
          <w:rFonts w:ascii="Times New Roman" w:hAnsi="Times New Roman"/>
          <w:sz w:val="24"/>
          <w:szCs w:val="24"/>
        </w:rPr>
        <w:t>I am bisexual, but I have n</w:t>
      </w:r>
      <w:r w:rsidR="00EA2A4D">
        <w:rPr>
          <w:rFonts w:ascii="Times New Roman" w:hAnsi="Times New Roman"/>
          <w:sz w:val="24"/>
          <w:szCs w:val="24"/>
        </w:rPr>
        <w:t>ever had a</w:t>
      </w:r>
      <w:r w:rsidR="0007271F" w:rsidRPr="0007271F">
        <w:rPr>
          <w:rFonts w:ascii="Times New Roman" w:hAnsi="Times New Roman"/>
          <w:sz w:val="24"/>
          <w:szCs w:val="24"/>
        </w:rPr>
        <w:t xml:space="preserve"> partner—may I, then, stay at your hotel in a single room?</w:t>
      </w:r>
      <w:r w:rsidR="001F30B2">
        <w:rPr>
          <w:rFonts w:ascii="Times New Roman" w:hAnsi="Times New Roman"/>
          <w:sz w:val="24"/>
          <w:szCs w:val="24"/>
        </w:rPr>
        <w:t>”</w:t>
      </w:r>
      <w:r w:rsidR="0007271F" w:rsidRPr="0007271F">
        <w:rPr>
          <w:rFonts w:ascii="Times New Roman" w:hAnsi="Times New Roman"/>
          <w:sz w:val="24"/>
          <w:szCs w:val="24"/>
        </w:rPr>
        <w:t>, sign</w:t>
      </w:r>
      <w:r w:rsidR="00C45516">
        <w:rPr>
          <w:rFonts w:ascii="Times New Roman" w:hAnsi="Times New Roman"/>
          <w:sz w:val="24"/>
          <w:szCs w:val="24"/>
        </w:rPr>
        <w:t>ed</w:t>
      </w:r>
      <w:r w:rsidR="0007271F" w:rsidRPr="0007271F">
        <w:rPr>
          <w:rFonts w:ascii="Times New Roman" w:hAnsi="Times New Roman"/>
          <w:sz w:val="24"/>
          <w:szCs w:val="24"/>
        </w:rPr>
        <w:t xml:space="preserve"> simply </w:t>
      </w:r>
      <w:r w:rsidR="00C45516">
        <w:rPr>
          <w:rFonts w:ascii="Times New Roman" w:hAnsi="Times New Roman"/>
          <w:sz w:val="24"/>
          <w:szCs w:val="24"/>
        </w:rPr>
        <w:t>with</w:t>
      </w:r>
      <w:r w:rsidR="0007271F" w:rsidRPr="0007271F">
        <w:rPr>
          <w:rFonts w:ascii="Times New Roman" w:hAnsi="Times New Roman"/>
          <w:sz w:val="24"/>
          <w:szCs w:val="24"/>
        </w:rPr>
        <w:t xml:space="preserve"> </w:t>
      </w:r>
      <w:r w:rsidR="001F30B2">
        <w:rPr>
          <w:rFonts w:ascii="Times New Roman" w:hAnsi="Times New Roman"/>
          <w:sz w:val="24"/>
          <w:szCs w:val="24"/>
        </w:rPr>
        <w:t>“</w:t>
      </w:r>
      <w:r w:rsidR="0007271F" w:rsidRPr="0007271F">
        <w:rPr>
          <w:rFonts w:ascii="Times New Roman" w:hAnsi="Times New Roman"/>
          <w:sz w:val="24"/>
          <w:szCs w:val="24"/>
        </w:rPr>
        <w:t>Kim</w:t>
      </w:r>
      <w:r w:rsidR="001F30B2">
        <w:rPr>
          <w:rFonts w:ascii="Times New Roman" w:hAnsi="Times New Roman"/>
          <w:sz w:val="24"/>
          <w:szCs w:val="24"/>
        </w:rPr>
        <w:t>”</w:t>
      </w:r>
      <w:r w:rsidR="0007271F" w:rsidRPr="0007271F">
        <w:rPr>
          <w:rFonts w:ascii="Times New Roman" w:hAnsi="Times New Roman"/>
          <w:sz w:val="24"/>
          <w:szCs w:val="24"/>
        </w:rPr>
        <w:t xml:space="preserve">. In refusing Kim, the hotel would not be </w:t>
      </w:r>
      <w:r w:rsidR="005F0B31" w:rsidRPr="005F0B31">
        <w:rPr>
          <w:rFonts w:ascii="Times New Roman" w:hAnsi="Times New Roman"/>
          <w:sz w:val="24"/>
          <w:szCs w:val="24"/>
        </w:rPr>
        <w:t>direct</w:t>
      </w:r>
      <w:r w:rsidR="005F0B31">
        <w:rPr>
          <w:rFonts w:ascii="Times New Roman" w:hAnsi="Times New Roman"/>
          <w:sz w:val="24"/>
          <w:szCs w:val="24"/>
        </w:rPr>
        <w:t xml:space="preserve">ly </w:t>
      </w:r>
      <w:r w:rsidR="0007271F" w:rsidRPr="0007271F">
        <w:rPr>
          <w:rFonts w:ascii="Times New Roman" w:hAnsi="Times New Roman"/>
          <w:sz w:val="24"/>
          <w:szCs w:val="24"/>
        </w:rPr>
        <w:t xml:space="preserve">discriminating against Kim because of Kim’s being a woman attracted to women (as well as men) or because of Kim’s being a man attracted to men (as well as women), because the hotel would not know which was the case. Nor would the hotel be </w:t>
      </w:r>
      <w:r w:rsidR="005F0B31" w:rsidRPr="005F0B31">
        <w:rPr>
          <w:rFonts w:ascii="Times New Roman" w:hAnsi="Times New Roman"/>
          <w:sz w:val="24"/>
          <w:szCs w:val="24"/>
        </w:rPr>
        <w:t>direct</w:t>
      </w:r>
      <w:r w:rsidR="005F0B31">
        <w:rPr>
          <w:rFonts w:ascii="Times New Roman" w:hAnsi="Times New Roman"/>
          <w:sz w:val="24"/>
          <w:szCs w:val="24"/>
        </w:rPr>
        <w:t xml:space="preserve">ly </w:t>
      </w:r>
      <w:r w:rsidR="0007271F" w:rsidRPr="0007271F">
        <w:rPr>
          <w:rFonts w:ascii="Times New Roman" w:hAnsi="Times New Roman"/>
          <w:sz w:val="24"/>
          <w:szCs w:val="24"/>
        </w:rPr>
        <w:t>discriminating against Kim because of</w:t>
      </w:r>
      <w:r w:rsidR="00EA2A4D">
        <w:rPr>
          <w:rFonts w:ascii="Times New Roman" w:hAnsi="Times New Roman"/>
          <w:sz w:val="24"/>
          <w:szCs w:val="24"/>
        </w:rPr>
        <w:t xml:space="preserve"> </w:t>
      </w:r>
      <w:r w:rsidR="0007271F" w:rsidRPr="0007271F">
        <w:rPr>
          <w:rFonts w:ascii="Times New Roman" w:hAnsi="Times New Roman"/>
          <w:sz w:val="24"/>
          <w:szCs w:val="24"/>
        </w:rPr>
        <w:t>actual association</w:t>
      </w:r>
      <w:r w:rsidR="00EA2A4D">
        <w:rPr>
          <w:rFonts w:ascii="Times New Roman" w:hAnsi="Times New Roman"/>
          <w:sz w:val="24"/>
          <w:szCs w:val="24"/>
        </w:rPr>
        <w:t>s</w:t>
      </w:r>
      <w:r w:rsidR="0007271F" w:rsidRPr="0007271F">
        <w:rPr>
          <w:rFonts w:ascii="Times New Roman" w:hAnsi="Times New Roman"/>
          <w:sz w:val="24"/>
          <w:szCs w:val="24"/>
        </w:rPr>
        <w:t xml:space="preserve"> with any</w:t>
      </w:r>
      <w:r w:rsidR="00EA2A4D">
        <w:rPr>
          <w:rFonts w:ascii="Times New Roman" w:hAnsi="Times New Roman"/>
          <w:sz w:val="24"/>
          <w:szCs w:val="24"/>
        </w:rPr>
        <w:t xml:space="preserve"> person or persons</w:t>
      </w:r>
      <w:r w:rsidR="0007271F" w:rsidRPr="0007271F">
        <w:rPr>
          <w:rFonts w:ascii="Times New Roman" w:hAnsi="Times New Roman"/>
          <w:sz w:val="24"/>
          <w:szCs w:val="24"/>
        </w:rPr>
        <w:t xml:space="preserve"> of the same</w:t>
      </w:r>
      <w:r w:rsidR="00EA2A4D">
        <w:rPr>
          <w:rFonts w:ascii="Times New Roman" w:hAnsi="Times New Roman"/>
          <w:sz w:val="24"/>
          <w:szCs w:val="24"/>
        </w:rPr>
        <w:t xml:space="preserve"> or the opposite</w:t>
      </w:r>
      <w:r w:rsidR="0007271F" w:rsidRPr="0007271F">
        <w:rPr>
          <w:rFonts w:ascii="Times New Roman" w:hAnsi="Times New Roman"/>
          <w:sz w:val="24"/>
          <w:szCs w:val="24"/>
        </w:rPr>
        <w:t xml:space="preserve"> sex, since Kim has</w:t>
      </w:r>
      <w:r w:rsidR="00EA2A4D">
        <w:rPr>
          <w:rFonts w:ascii="Times New Roman" w:hAnsi="Times New Roman"/>
          <w:sz w:val="24"/>
          <w:szCs w:val="24"/>
        </w:rPr>
        <w:t xml:space="preserve"> never had a</w:t>
      </w:r>
      <w:r w:rsidR="0007271F" w:rsidRPr="0007271F">
        <w:rPr>
          <w:rFonts w:ascii="Times New Roman" w:hAnsi="Times New Roman"/>
          <w:sz w:val="24"/>
          <w:szCs w:val="24"/>
        </w:rPr>
        <w:t xml:space="preserve"> partner. </w:t>
      </w:r>
      <w:r w:rsidR="009B218B">
        <w:rPr>
          <w:rFonts w:ascii="Times New Roman" w:hAnsi="Times New Roman"/>
          <w:sz w:val="24"/>
          <w:szCs w:val="24"/>
        </w:rPr>
        <w:t xml:space="preserve">Does this mean, then, that we have here a case of </w:t>
      </w:r>
      <w:r w:rsidR="00A14C68">
        <w:rPr>
          <w:rFonts w:ascii="Times New Roman" w:hAnsi="Times New Roman"/>
          <w:sz w:val="24"/>
          <w:szCs w:val="24"/>
        </w:rPr>
        <w:t xml:space="preserve">direct </w:t>
      </w:r>
      <w:r w:rsidR="009B218B">
        <w:rPr>
          <w:rFonts w:ascii="Times New Roman" w:hAnsi="Times New Roman"/>
          <w:sz w:val="24"/>
          <w:szCs w:val="24"/>
        </w:rPr>
        <w:t xml:space="preserve">discrimination because of sexual orientation </w:t>
      </w:r>
      <w:r w:rsidR="00A14C68">
        <w:rPr>
          <w:rFonts w:ascii="Times New Roman" w:hAnsi="Times New Roman"/>
          <w:sz w:val="24"/>
          <w:szCs w:val="24"/>
        </w:rPr>
        <w:t xml:space="preserve">that is not also a case of </w:t>
      </w:r>
      <w:r w:rsidR="00A14C68" w:rsidRPr="00A14C68">
        <w:rPr>
          <w:rFonts w:ascii="Times New Roman" w:hAnsi="Times New Roman"/>
          <w:sz w:val="24"/>
          <w:szCs w:val="24"/>
        </w:rPr>
        <w:t xml:space="preserve">direct </w:t>
      </w:r>
      <w:r w:rsidR="00A14C68">
        <w:rPr>
          <w:rFonts w:ascii="Times New Roman" w:hAnsi="Times New Roman"/>
          <w:sz w:val="24"/>
          <w:szCs w:val="24"/>
        </w:rPr>
        <w:t>discrimination because of sex?</w:t>
      </w:r>
      <w:r w:rsidR="009B218B">
        <w:rPr>
          <w:rFonts w:ascii="Times New Roman" w:hAnsi="Times New Roman"/>
          <w:sz w:val="24"/>
          <w:szCs w:val="24"/>
        </w:rPr>
        <w:t xml:space="preserve"> </w:t>
      </w:r>
    </w:p>
    <w:p w:rsidR="009B218B" w:rsidRDefault="009B218B" w:rsidP="001F30B2">
      <w:pPr>
        <w:spacing w:line="480" w:lineRule="auto"/>
        <w:rPr>
          <w:rFonts w:ascii="Times New Roman" w:hAnsi="Times New Roman"/>
          <w:sz w:val="24"/>
          <w:szCs w:val="24"/>
        </w:rPr>
      </w:pPr>
    </w:p>
    <w:p w:rsidR="006D3FE9" w:rsidRDefault="0057071D" w:rsidP="0057071D">
      <w:pPr>
        <w:spacing w:line="480" w:lineRule="auto"/>
        <w:rPr>
          <w:rFonts w:ascii="Times New Roman" w:hAnsi="Times New Roman"/>
          <w:sz w:val="24"/>
          <w:szCs w:val="24"/>
        </w:rPr>
      </w:pPr>
      <w:r w:rsidRPr="0057071D">
        <w:rPr>
          <w:rFonts w:ascii="Times New Roman" w:hAnsi="Times New Roman"/>
          <w:sz w:val="24"/>
          <w:szCs w:val="24"/>
        </w:rPr>
        <w:t>It seems to me that this is still a case of direct discrimination because of sex, since the role of sex is crucial in the reasoning that leads to the refusal.</w:t>
      </w:r>
      <w:r w:rsidR="006D3FE9">
        <w:rPr>
          <w:rFonts w:ascii="Times New Roman" w:hAnsi="Times New Roman"/>
          <w:sz w:val="24"/>
          <w:szCs w:val="24"/>
        </w:rPr>
        <w:t xml:space="preserve"> Recall the words quoted from Advocate General Maduro above:</w:t>
      </w:r>
    </w:p>
    <w:p w:rsidR="006D3FE9" w:rsidRPr="006D3FE9" w:rsidRDefault="006D3FE9" w:rsidP="006D3FE9">
      <w:pPr>
        <w:spacing w:line="480" w:lineRule="auto"/>
        <w:ind w:left="709"/>
        <w:rPr>
          <w:rFonts w:ascii="Times New Roman" w:hAnsi="Times New Roman"/>
          <w:b/>
          <w:bCs/>
          <w:sz w:val="24"/>
          <w:szCs w:val="24"/>
        </w:rPr>
      </w:pPr>
      <w:r w:rsidRPr="006D3FE9">
        <w:rPr>
          <w:rFonts w:ascii="Times New Roman" w:hAnsi="Times New Roman"/>
          <w:sz w:val="24"/>
          <w:szCs w:val="24"/>
        </w:rPr>
        <w:t xml:space="preserve">The discriminator relies on a suspect classification in order to act in a certain way. The classification is not a mere contingency but serves as an essential premise of his reasoning </w:t>
      </w:r>
      <w:r w:rsidR="00FF37D5">
        <w:rPr>
          <w:rFonts w:ascii="Times New Roman" w:hAnsi="Times New Roman"/>
          <w:sz w:val="24"/>
          <w:szCs w:val="24"/>
        </w:rPr>
        <w:t xml:space="preserve">[…] </w:t>
      </w:r>
      <w:r w:rsidR="00D510E7">
        <w:rPr>
          <w:rFonts w:ascii="Times New Roman" w:hAnsi="Times New Roman"/>
          <w:sz w:val="24"/>
          <w:szCs w:val="24"/>
        </w:rPr>
        <w:t>[R]</w:t>
      </w:r>
      <w:proofErr w:type="spellStart"/>
      <w:r w:rsidRPr="006D3FE9">
        <w:rPr>
          <w:rFonts w:ascii="Times New Roman" w:hAnsi="Times New Roman"/>
          <w:sz w:val="24"/>
          <w:szCs w:val="24"/>
        </w:rPr>
        <w:t>eliance</w:t>
      </w:r>
      <w:proofErr w:type="spellEnd"/>
      <w:r w:rsidRPr="006D3FE9">
        <w:rPr>
          <w:rFonts w:ascii="Times New Roman" w:hAnsi="Times New Roman"/>
          <w:sz w:val="24"/>
          <w:szCs w:val="24"/>
        </w:rPr>
        <w:t xml:space="preserve"> on those suspect grounds is seen by the Community legal order as an evil which must be eradicated. Therefore, the Directive prohibits the use of those classifications as grounds upon which </w:t>
      </w:r>
      <w:r w:rsidR="00FF37D5">
        <w:rPr>
          <w:rFonts w:ascii="Times New Roman" w:hAnsi="Times New Roman"/>
          <w:sz w:val="24"/>
          <w:szCs w:val="24"/>
        </w:rPr>
        <w:t>[…]</w:t>
      </w:r>
      <w:r w:rsidRPr="006D3FE9">
        <w:rPr>
          <w:rFonts w:ascii="Times New Roman" w:hAnsi="Times New Roman"/>
          <w:sz w:val="24"/>
          <w:szCs w:val="24"/>
        </w:rPr>
        <w:t xml:space="preserve"> reasoning may be based. In this way, […] the prohibition of direct discrimination […] operates as an exclusionary mechanism [.] (</w:t>
      </w:r>
      <w:r w:rsidRPr="006D3FE9">
        <w:rPr>
          <w:rFonts w:ascii="Times New Roman" w:hAnsi="Times New Roman"/>
          <w:i/>
          <w:iCs/>
          <w:sz w:val="24"/>
          <w:szCs w:val="24"/>
        </w:rPr>
        <w:t xml:space="preserve">Coleman v </w:t>
      </w:r>
      <w:proofErr w:type="spellStart"/>
      <w:r w:rsidRPr="006D3FE9">
        <w:rPr>
          <w:rFonts w:ascii="Times New Roman" w:hAnsi="Times New Roman"/>
          <w:i/>
          <w:iCs/>
          <w:sz w:val="24"/>
          <w:szCs w:val="24"/>
        </w:rPr>
        <w:t>Attridge</w:t>
      </w:r>
      <w:proofErr w:type="spellEnd"/>
      <w:r w:rsidRPr="006D3FE9">
        <w:rPr>
          <w:rFonts w:ascii="Times New Roman" w:hAnsi="Times New Roman"/>
          <w:i/>
          <w:iCs/>
          <w:sz w:val="24"/>
          <w:szCs w:val="24"/>
        </w:rPr>
        <w:t xml:space="preserve"> Law</w:t>
      </w:r>
      <w:r w:rsidRPr="006D3FE9">
        <w:rPr>
          <w:rFonts w:ascii="Times New Roman" w:hAnsi="Times New Roman"/>
          <w:sz w:val="24"/>
          <w:szCs w:val="24"/>
        </w:rPr>
        <w:t xml:space="preserve"> [2008]: 785–786 [19])</w:t>
      </w:r>
    </w:p>
    <w:p w:rsidR="0057071D" w:rsidRPr="0057071D" w:rsidRDefault="00E83238" w:rsidP="0057071D">
      <w:pPr>
        <w:spacing w:line="480" w:lineRule="auto"/>
        <w:rPr>
          <w:rFonts w:ascii="Times New Roman" w:hAnsi="Times New Roman"/>
          <w:sz w:val="24"/>
          <w:szCs w:val="24"/>
        </w:rPr>
      </w:pPr>
      <w:r>
        <w:rPr>
          <w:rFonts w:ascii="Times New Roman" w:hAnsi="Times New Roman"/>
          <w:sz w:val="24"/>
          <w:szCs w:val="24"/>
        </w:rPr>
        <w:t>It is clear that the classification of sex still features in the hotelier’s reasoning above</w:t>
      </w:r>
      <w:r w:rsidR="00001576">
        <w:rPr>
          <w:rFonts w:ascii="Times New Roman" w:hAnsi="Times New Roman"/>
          <w:sz w:val="24"/>
          <w:szCs w:val="24"/>
        </w:rPr>
        <w:t>: the</w:t>
      </w:r>
      <w:r>
        <w:rPr>
          <w:rFonts w:ascii="Times New Roman" w:hAnsi="Times New Roman"/>
          <w:sz w:val="24"/>
          <w:szCs w:val="24"/>
        </w:rPr>
        <w:t xml:space="preserve"> word “bisexual” means</w:t>
      </w:r>
      <w:r w:rsidR="00001576">
        <w:rPr>
          <w:rFonts w:ascii="Times New Roman" w:hAnsi="Times New Roman"/>
          <w:sz w:val="24"/>
          <w:szCs w:val="24"/>
        </w:rPr>
        <w:t xml:space="preserve"> “</w:t>
      </w:r>
      <w:r w:rsidR="003E4E3C">
        <w:rPr>
          <w:rFonts w:ascii="Times New Roman" w:hAnsi="Times New Roman"/>
          <w:sz w:val="24"/>
          <w:szCs w:val="24"/>
        </w:rPr>
        <w:t xml:space="preserve">being </w:t>
      </w:r>
      <w:r w:rsidR="00001576">
        <w:rPr>
          <w:rFonts w:ascii="Times New Roman" w:hAnsi="Times New Roman"/>
          <w:sz w:val="24"/>
          <w:szCs w:val="24"/>
        </w:rPr>
        <w:t>attracted to people of either sex”</w:t>
      </w:r>
      <w:r w:rsidR="00001576" w:rsidRPr="00001576">
        <w:rPr>
          <w:rFonts w:ascii="Times New Roman" w:hAnsi="Times New Roman"/>
          <w:sz w:val="24"/>
          <w:szCs w:val="24"/>
        </w:rPr>
        <w:t>,</w:t>
      </w:r>
      <w:r w:rsidR="00001576">
        <w:rPr>
          <w:rFonts w:ascii="Times New Roman" w:hAnsi="Times New Roman"/>
          <w:sz w:val="24"/>
          <w:szCs w:val="24"/>
        </w:rPr>
        <w:t xml:space="preserve"> so,</w:t>
      </w:r>
      <w:r w:rsidR="00001576" w:rsidRPr="00001576">
        <w:rPr>
          <w:rFonts w:ascii="Times New Roman" w:hAnsi="Times New Roman"/>
          <w:sz w:val="24"/>
          <w:szCs w:val="24"/>
        </w:rPr>
        <w:t xml:space="preserve"> on the assumption that </w:t>
      </w:r>
      <w:r w:rsidR="00001576" w:rsidRPr="00001576">
        <w:rPr>
          <w:rFonts w:ascii="Times New Roman" w:hAnsi="Times New Roman"/>
          <w:sz w:val="24"/>
          <w:szCs w:val="24"/>
        </w:rPr>
        <w:lastRenderedPageBreak/>
        <w:t>the hotelier knows what</w:t>
      </w:r>
      <w:r w:rsidR="00001576">
        <w:rPr>
          <w:rFonts w:ascii="Times New Roman" w:hAnsi="Times New Roman"/>
          <w:sz w:val="24"/>
          <w:szCs w:val="24"/>
        </w:rPr>
        <w:t xml:space="preserve"> the word means</w:t>
      </w:r>
      <w:r>
        <w:rPr>
          <w:rFonts w:ascii="Times New Roman" w:hAnsi="Times New Roman"/>
          <w:sz w:val="24"/>
          <w:szCs w:val="24"/>
        </w:rPr>
        <w:t>,</w:t>
      </w:r>
      <w:r w:rsidR="00BB277F">
        <w:rPr>
          <w:rStyle w:val="FootnoteReference"/>
          <w:rFonts w:ascii="Times New Roman" w:hAnsi="Times New Roman"/>
          <w:sz w:val="24"/>
          <w:szCs w:val="24"/>
        </w:rPr>
        <w:footnoteReference w:id="19"/>
      </w:r>
      <w:r>
        <w:rPr>
          <w:rFonts w:ascii="Times New Roman" w:hAnsi="Times New Roman"/>
          <w:sz w:val="24"/>
          <w:szCs w:val="24"/>
        </w:rPr>
        <w:t xml:space="preserve"> </w:t>
      </w:r>
      <w:r w:rsidR="00001576">
        <w:rPr>
          <w:rFonts w:ascii="Times New Roman" w:hAnsi="Times New Roman"/>
          <w:sz w:val="24"/>
          <w:szCs w:val="24"/>
        </w:rPr>
        <w:t xml:space="preserve">the concept of sex </w:t>
      </w:r>
      <w:r w:rsidR="00FC0331">
        <w:rPr>
          <w:rFonts w:ascii="Times New Roman" w:hAnsi="Times New Roman"/>
          <w:sz w:val="24"/>
          <w:szCs w:val="24"/>
        </w:rPr>
        <w:t>i</w:t>
      </w:r>
      <w:r w:rsidR="00001576">
        <w:rPr>
          <w:rFonts w:ascii="Times New Roman" w:hAnsi="Times New Roman"/>
          <w:sz w:val="24"/>
          <w:szCs w:val="24"/>
        </w:rPr>
        <w:t>s a crucial element in the</w:t>
      </w:r>
      <w:r w:rsidR="00FC0331">
        <w:rPr>
          <w:rFonts w:ascii="Times New Roman" w:hAnsi="Times New Roman"/>
          <w:sz w:val="24"/>
          <w:szCs w:val="24"/>
        </w:rPr>
        <w:t xml:space="preserve"> hotelier’s</w:t>
      </w:r>
      <w:r w:rsidR="00001576">
        <w:rPr>
          <w:rFonts w:ascii="Times New Roman" w:hAnsi="Times New Roman"/>
          <w:sz w:val="24"/>
          <w:szCs w:val="24"/>
        </w:rPr>
        <w:t xml:space="preserve"> </w:t>
      </w:r>
      <w:r w:rsidR="00687AB9" w:rsidRPr="006A60F8">
        <w:rPr>
          <w:rFonts w:ascii="Times New Roman" w:hAnsi="Times New Roman"/>
          <w:sz w:val="24"/>
          <w:szCs w:val="24"/>
        </w:rPr>
        <w:t>reasoning</w:t>
      </w:r>
      <w:r w:rsidR="006A60F8" w:rsidRPr="006A60F8">
        <w:rPr>
          <w:rFonts w:ascii="Times New Roman" w:hAnsi="Times New Roman"/>
          <w:sz w:val="24"/>
          <w:szCs w:val="24"/>
        </w:rPr>
        <w:t>, since if it</w:t>
      </w:r>
      <w:r w:rsidR="006A60F8">
        <w:rPr>
          <w:rFonts w:ascii="Times New Roman" w:hAnsi="Times New Roman"/>
          <w:sz w:val="24"/>
          <w:szCs w:val="24"/>
        </w:rPr>
        <w:t xml:space="preserve"> were the case that Kim were attracted to different eye colours</w:t>
      </w:r>
      <w:r w:rsidR="00AB1FA0">
        <w:rPr>
          <w:rFonts w:ascii="Times New Roman" w:hAnsi="Times New Roman"/>
          <w:sz w:val="24"/>
          <w:szCs w:val="24"/>
        </w:rPr>
        <w:t>,</w:t>
      </w:r>
      <w:r w:rsidR="006A60F8">
        <w:rPr>
          <w:rFonts w:ascii="Times New Roman" w:hAnsi="Times New Roman"/>
          <w:sz w:val="24"/>
          <w:szCs w:val="24"/>
        </w:rPr>
        <w:t xml:space="preserve"> rather than different sexes</w:t>
      </w:r>
      <w:r w:rsidR="00AB1FA0">
        <w:rPr>
          <w:rFonts w:ascii="Times New Roman" w:hAnsi="Times New Roman"/>
          <w:sz w:val="24"/>
          <w:szCs w:val="24"/>
        </w:rPr>
        <w:t>,</w:t>
      </w:r>
      <w:r w:rsidR="006A60F8">
        <w:rPr>
          <w:rFonts w:ascii="Times New Roman" w:hAnsi="Times New Roman"/>
          <w:sz w:val="24"/>
          <w:szCs w:val="24"/>
        </w:rPr>
        <w:t xml:space="preserve"> there would be no problem in the hotelier’s view.</w:t>
      </w:r>
      <w:r w:rsidR="00FC0331">
        <w:rPr>
          <w:rFonts w:ascii="Times New Roman" w:hAnsi="Times New Roman"/>
          <w:sz w:val="24"/>
          <w:szCs w:val="24"/>
        </w:rPr>
        <w:t xml:space="preserve"> The reader</w:t>
      </w:r>
      <w:r w:rsidR="00142AE7">
        <w:rPr>
          <w:rFonts w:ascii="Times New Roman" w:hAnsi="Times New Roman"/>
          <w:sz w:val="24"/>
          <w:szCs w:val="24"/>
        </w:rPr>
        <w:t xml:space="preserve"> might ask: </w:t>
      </w:r>
      <w:r w:rsidR="00FC0331">
        <w:rPr>
          <w:rFonts w:ascii="Times New Roman" w:hAnsi="Times New Roman"/>
          <w:sz w:val="24"/>
          <w:szCs w:val="24"/>
        </w:rPr>
        <w:t xml:space="preserve">but </w:t>
      </w:r>
      <w:r w:rsidR="00142AE7">
        <w:rPr>
          <w:rFonts w:ascii="Times New Roman" w:hAnsi="Times New Roman"/>
          <w:sz w:val="24"/>
          <w:szCs w:val="24"/>
        </w:rPr>
        <w:t>w</w:t>
      </w:r>
      <w:r w:rsidR="00271CE1">
        <w:rPr>
          <w:rFonts w:ascii="Times New Roman" w:hAnsi="Times New Roman"/>
          <w:sz w:val="24"/>
          <w:szCs w:val="24"/>
        </w:rPr>
        <w:t xml:space="preserve">ho </w:t>
      </w:r>
      <w:r w:rsidR="00FC0331">
        <w:rPr>
          <w:rFonts w:ascii="Times New Roman" w:hAnsi="Times New Roman"/>
          <w:sz w:val="24"/>
          <w:szCs w:val="24"/>
        </w:rPr>
        <w:t>is</w:t>
      </w:r>
      <w:r w:rsidR="00271CE1">
        <w:rPr>
          <w:rFonts w:ascii="Times New Roman" w:hAnsi="Times New Roman"/>
          <w:sz w:val="24"/>
          <w:szCs w:val="24"/>
        </w:rPr>
        <w:t xml:space="preserve"> Kim’s comparator?</w:t>
      </w:r>
      <w:r w:rsidR="0057071D" w:rsidRPr="0057071D">
        <w:rPr>
          <w:rFonts w:ascii="Times New Roman" w:hAnsi="Times New Roman"/>
          <w:sz w:val="24"/>
          <w:szCs w:val="24"/>
        </w:rPr>
        <w:t xml:space="preserve"> The</w:t>
      </w:r>
      <w:r w:rsidR="00271CE1">
        <w:rPr>
          <w:rFonts w:ascii="Times New Roman" w:hAnsi="Times New Roman"/>
          <w:sz w:val="24"/>
          <w:szCs w:val="24"/>
        </w:rPr>
        <w:t xml:space="preserve"> </w:t>
      </w:r>
      <w:r w:rsidR="0057071D" w:rsidRPr="0057071D">
        <w:rPr>
          <w:rFonts w:ascii="Times New Roman" w:hAnsi="Times New Roman"/>
          <w:sz w:val="24"/>
          <w:szCs w:val="24"/>
        </w:rPr>
        <w:t xml:space="preserve">comparator would be someone </w:t>
      </w:r>
      <w:r w:rsidR="0077161C">
        <w:rPr>
          <w:rFonts w:ascii="Times New Roman" w:hAnsi="Times New Roman"/>
          <w:sz w:val="24"/>
          <w:szCs w:val="24"/>
        </w:rPr>
        <w:t xml:space="preserve">otherwise </w:t>
      </w:r>
      <w:r w:rsidR="0057071D" w:rsidRPr="0057071D">
        <w:rPr>
          <w:rFonts w:ascii="Times New Roman" w:hAnsi="Times New Roman"/>
          <w:sz w:val="24"/>
          <w:szCs w:val="24"/>
        </w:rPr>
        <w:t xml:space="preserve">like </w:t>
      </w:r>
      <w:r w:rsidR="00271CE1">
        <w:rPr>
          <w:rFonts w:ascii="Times New Roman" w:hAnsi="Times New Roman"/>
          <w:sz w:val="24"/>
          <w:szCs w:val="24"/>
        </w:rPr>
        <w:t>Kim</w:t>
      </w:r>
      <w:r w:rsidR="0077161C">
        <w:rPr>
          <w:rFonts w:ascii="Times New Roman" w:hAnsi="Times New Roman"/>
          <w:sz w:val="24"/>
          <w:szCs w:val="24"/>
        </w:rPr>
        <w:t xml:space="preserve"> but</w:t>
      </w:r>
      <w:r w:rsidR="00271CE1">
        <w:rPr>
          <w:rFonts w:ascii="Times New Roman" w:hAnsi="Times New Roman"/>
          <w:sz w:val="24"/>
          <w:szCs w:val="24"/>
        </w:rPr>
        <w:t xml:space="preserve"> attracted</w:t>
      </w:r>
      <w:r w:rsidR="0077161C">
        <w:rPr>
          <w:rFonts w:ascii="Times New Roman" w:hAnsi="Times New Roman"/>
          <w:sz w:val="24"/>
          <w:szCs w:val="24"/>
        </w:rPr>
        <w:t xml:space="preserve"> only</w:t>
      </w:r>
      <w:r w:rsidR="00271CE1">
        <w:rPr>
          <w:rFonts w:ascii="Times New Roman" w:hAnsi="Times New Roman"/>
          <w:sz w:val="24"/>
          <w:szCs w:val="24"/>
        </w:rPr>
        <w:t xml:space="preserve"> to</w:t>
      </w:r>
      <w:r w:rsidR="0077161C">
        <w:rPr>
          <w:rFonts w:ascii="Times New Roman" w:hAnsi="Times New Roman"/>
          <w:sz w:val="24"/>
          <w:szCs w:val="24"/>
        </w:rPr>
        <w:t xml:space="preserve"> people of one sex</w:t>
      </w:r>
      <w:r w:rsidR="0057071D" w:rsidRPr="0057071D">
        <w:rPr>
          <w:rFonts w:ascii="Times New Roman" w:hAnsi="Times New Roman"/>
          <w:sz w:val="24"/>
          <w:szCs w:val="24"/>
        </w:rPr>
        <w:t xml:space="preserve">. </w:t>
      </w:r>
      <w:r w:rsidR="0077161C">
        <w:rPr>
          <w:rFonts w:ascii="Times New Roman" w:hAnsi="Times New Roman"/>
          <w:sz w:val="24"/>
          <w:szCs w:val="24"/>
        </w:rPr>
        <w:t>The hotelier would</w:t>
      </w:r>
      <w:r w:rsidR="00FC0331">
        <w:rPr>
          <w:rFonts w:ascii="Times New Roman" w:hAnsi="Times New Roman"/>
          <w:sz w:val="24"/>
          <w:szCs w:val="24"/>
        </w:rPr>
        <w:t xml:space="preserve"> have</w:t>
      </w:r>
      <w:r w:rsidR="0077161C">
        <w:rPr>
          <w:rFonts w:ascii="Times New Roman" w:hAnsi="Times New Roman"/>
          <w:sz w:val="24"/>
          <w:szCs w:val="24"/>
        </w:rPr>
        <w:t xml:space="preserve"> treat</w:t>
      </w:r>
      <w:r w:rsidR="00FC0331">
        <w:rPr>
          <w:rFonts w:ascii="Times New Roman" w:hAnsi="Times New Roman"/>
          <w:sz w:val="24"/>
          <w:szCs w:val="24"/>
        </w:rPr>
        <w:t>ed</w:t>
      </w:r>
      <w:r w:rsidR="0077161C">
        <w:rPr>
          <w:rFonts w:ascii="Times New Roman" w:hAnsi="Times New Roman"/>
          <w:sz w:val="24"/>
          <w:szCs w:val="24"/>
        </w:rPr>
        <w:t xml:space="preserve"> this person better than Kim, so direct discrimination because of sex</w:t>
      </w:r>
      <w:r w:rsidR="00142AE7">
        <w:rPr>
          <w:rFonts w:ascii="Times New Roman" w:hAnsi="Times New Roman"/>
          <w:sz w:val="24"/>
          <w:szCs w:val="24"/>
        </w:rPr>
        <w:t>, the sex of the people to whom Kim is attracted,</w:t>
      </w:r>
      <w:r w:rsidR="0077161C">
        <w:rPr>
          <w:rFonts w:ascii="Times New Roman" w:hAnsi="Times New Roman"/>
          <w:sz w:val="24"/>
          <w:szCs w:val="24"/>
        </w:rPr>
        <w:t xml:space="preserve"> is made out. </w:t>
      </w:r>
    </w:p>
    <w:p w:rsidR="0057071D" w:rsidRDefault="0057071D" w:rsidP="001F30B2">
      <w:pPr>
        <w:spacing w:line="480" w:lineRule="auto"/>
      </w:pPr>
    </w:p>
    <w:p w:rsidR="00CF284E" w:rsidRPr="00267F2B" w:rsidRDefault="00142AE7" w:rsidP="00EB56A9">
      <w:pPr>
        <w:spacing w:line="480" w:lineRule="auto"/>
        <w:rPr>
          <w:rFonts w:ascii="Times New Roman" w:hAnsi="Times New Roman"/>
          <w:sz w:val="24"/>
          <w:szCs w:val="24"/>
        </w:rPr>
      </w:pPr>
      <w:r w:rsidRPr="00142AE7">
        <w:rPr>
          <w:rFonts w:ascii="Times New Roman" w:hAnsi="Times New Roman"/>
          <w:sz w:val="24"/>
          <w:szCs w:val="24"/>
        </w:rPr>
        <w:t xml:space="preserve">It might be objected that </w:t>
      </w:r>
      <w:r>
        <w:rPr>
          <w:rFonts w:ascii="Times New Roman" w:hAnsi="Times New Roman"/>
          <w:sz w:val="24"/>
          <w:szCs w:val="24"/>
        </w:rPr>
        <w:t>this defines “because of sex” too widely. But consider a parallel example:</w:t>
      </w:r>
      <w:r w:rsidR="00321315">
        <w:rPr>
          <w:rFonts w:ascii="Times New Roman" w:hAnsi="Times New Roman"/>
          <w:sz w:val="24"/>
          <w:szCs w:val="24"/>
        </w:rPr>
        <w:t xml:space="preserve"> suppose that </w:t>
      </w:r>
      <w:r w:rsidR="00224995">
        <w:rPr>
          <w:rFonts w:ascii="Times New Roman" w:hAnsi="Times New Roman"/>
          <w:sz w:val="24"/>
          <w:szCs w:val="24"/>
        </w:rPr>
        <w:t xml:space="preserve">an employer </w:t>
      </w:r>
      <w:r w:rsidR="00224995" w:rsidRPr="00224995">
        <w:rPr>
          <w:rFonts w:ascii="Times New Roman" w:hAnsi="Times New Roman"/>
          <w:sz w:val="24"/>
          <w:szCs w:val="24"/>
        </w:rPr>
        <w:t xml:space="preserve">said to an employee </w:t>
      </w:r>
      <w:r w:rsidR="00224995">
        <w:rPr>
          <w:rFonts w:ascii="Times New Roman" w:hAnsi="Times New Roman"/>
          <w:sz w:val="24"/>
          <w:szCs w:val="24"/>
        </w:rPr>
        <w:t>“</w:t>
      </w:r>
      <w:r w:rsidR="00224995" w:rsidRPr="00224995">
        <w:rPr>
          <w:rFonts w:ascii="Times New Roman" w:hAnsi="Times New Roman"/>
          <w:sz w:val="24"/>
          <w:szCs w:val="24"/>
        </w:rPr>
        <w:t>you’re fired; I overheard you say that you would be happy to be friends with both blacks and whites; I</w:t>
      </w:r>
      <w:r w:rsidR="00B26EC8">
        <w:rPr>
          <w:rFonts w:ascii="Times New Roman" w:hAnsi="Times New Roman"/>
          <w:sz w:val="24"/>
          <w:szCs w:val="24"/>
        </w:rPr>
        <w:t xml:space="preserve"> </w:t>
      </w:r>
      <w:r w:rsidR="00224995" w:rsidRPr="00224995">
        <w:rPr>
          <w:rFonts w:ascii="Times New Roman" w:hAnsi="Times New Roman"/>
          <w:sz w:val="24"/>
          <w:szCs w:val="24"/>
        </w:rPr>
        <w:t>am not prepared to employ someone that would be happy to mix up the races like that</w:t>
      </w:r>
      <w:r w:rsidR="00DD7D5D">
        <w:rPr>
          <w:rFonts w:ascii="Times New Roman" w:hAnsi="Times New Roman"/>
          <w:sz w:val="24"/>
          <w:szCs w:val="24"/>
        </w:rPr>
        <w:t>”</w:t>
      </w:r>
      <w:r w:rsidR="00224995" w:rsidRPr="00224995">
        <w:rPr>
          <w:rFonts w:ascii="Times New Roman" w:hAnsi="Times New Roman"/>
          <w:sz w:val="24"/>
          <w:szCs w:val="24"/>
        </w:rPr>
        <w:t xml:space="preserve">. It seems to me clear that sacking someone because they would be happy to be friends with both blacks and whites would be </w:t>
      </w:r>
      <w:r w:rsidR="00B26EC8">
        <w:rPr>
          <w:rFonts w:ascii="Times New Roman" w:hAnsi="Times New Roman"/>
          <w:sz w:val="24"/>
          <w:szCs w:val="24"/>
        </w:rPr>
        <w:t xml:space="preserve">direct </w:t>
      </w:r>
      <w:r w:rsidR="00224995" w:rsidRPr="00224995">
        <w:rPr>
          <w:rFonts w:ascii="Times New Roman" w:hAnsi="Times New Roman"/>
          <w:sz w:val="24"/>
          <w:szCs w:val="24"/>
        </w:rPr>
        <w:t xml:space="preserve">discrimination </w:t>
      </w:r>
      <w:r w:rsidR="00B26EC8">
        <w:rPr>
          <w:rFonts w:ascii="Times New Roman" w:hAnsi="Times New Roman"/>
          <w:sz w:val="24"/>
          <w:szCs w:val="24"/>
        </w:rPr>
        <w:t>because of race</w:t>
      </w:r>
      <w:r w:rsidR="00CF284E">
        <w:rPr>
          <w:rFonts w:ascii="Times New Roman" w:hAnsi="Times New Roman"/>
          <w:sz w:val="24"/>
          <w:szCs w:val="24"/>
        </w:rPr>
        <w:t>. Compare</w:t>
      </w:r>
      <w:r w:rsidR="00267F2B">
        <w:rPr>
          <w:rFonts w:ascii="Times New Roman" w:hAnsi="Times New Roman"/>
          <w:sz w:val="24"/>
          <w:szCs w:val="24"/>
        </w:rPr>
        <w:t xml:space="preserve"> </w:t>
      </w:r>
      <w:r w:rsidR="006133BF">
        <w:rPr>
          <w:rFonts w:ascii="Times New Roman" w:hAnsi="Times New Roman"/>
          <w:sz w:val="24"/>
          <w:szCs w:val="24"/>
        </w:rPr>
        <w:t>here</w:t>
      </w:r>
      <w:r w:rsidR="00267F2B">
        <w:rPr>
          <w:rFonts w:ascii="Times New Roman" w:hAnsi="Times New Roman"/>
          <w:sz w:val="24"/>
          <w:szCs w:val="24"/>
        </w:rPr>
        <w:t xml:space="preserve"> the remarks of Lord Simon in </w:t>
      </w:r>
      <w:proofErr w:type="spellStart"/>
      <w:r w:rsidR="00267F2B">
        <w:rPr>
          <w:rFonts w:ascii="Times New Roman" w:hAnsi="Times New Roman"/>
          <w:i/>
          <w:iCs/>
          <w:sz w:val="24"/>
          <w:szCs w:val="24"/>
        </w:rPr>
        <w:t>Applin</w:t>
      </w:r>
      <w:proofErr w:type="spellEnd"/>
      <w:r w:rsidR="00267F2B">
        <w:rPr>
          <w:rFonts w:ascii="Times New Roman" w:hAnsi="Times New Roman"/>
          <w:i/>
          <w:iCs/>
          <w:sz w:val="24"/>
          <w:szCs w:val="24"/>
        </w:rPr>
        <w:t xml:space="preserve"> v Race Relations Board</w:t>
      </w:r>
      <w:r w:rsidR="00267F2B">
        <w:rPr>
          <w:rFonts w:ascii="Times New Roman" w:hAnsi="Times New Roman"/>
          <w:sz w:val="24"/>
          <w:szCs w:val="24"/>
        </w:rPr>
        <w:t xml:space="preserve"> [1974]:</w:t>
      </w:r>
    </w:p>
    <w:p w:rsidR="00CF284E" w:rsidRDefault="00CF284E" w:rsidP="00267F2B">
      <w:pPr>
        <w:spacing w:line="480" w:lineRule="auto"/>
        <w:ind w:left="709"/>
        <w:rPr>
          <w:rFonts w:ascii="Times New Roman" w:hAnsi="Times New Roman"/>
          <w:sz w:val="24"/>
          <w:szCs w:val="24"/>
        </w:rPr>
      </w:pPr>
      <w:r w:rsidRPr="00CF284E">
        <w:rPr>
          <w:rFonts w:ascii="Times New Roman" w:hAnsi="Times New Roman"/>
          <w:sz w:val="24"/>
          <w:szCs w:val="24"/>
        </w:rPr>
        <w:t xml:space="preserve">It is inadmissible to read section 1 (1) as if it read </w:t>
      </w:r>
      <w:r>
        <w:rPr>
          <w:rFonts w:ascii="Times New Roman" w:hAnsi="Times New Roman"/>
          <w:sz w:val="24"/>
          <w:szCs w:val="24"/>
        </w:rPr>
        <w:t>“</w:t>
      </w:r>
      <w:r w:rsidRPr="00CF284E">
        <w:rPr>
          <w:rFonts w:ascii="Times New Roman" w:hAnsi="Times New Roman"/>
          <w:sz w:val="24"/>
          <w:szCs w:val="24"/>
        </w:rPr>
        <w:t xml:space="preserve">on the ground of </w:t>
      </w:r>
      <w:r w:rsidRPr="00CF284E">
        <w:rPr>
          <w:rFonts w:ascii="Times New Roman" w:hAnsi="Times New Roman"/>
          <w:i/>
          <w:iCs/>
          <w:sz w:val="24"/>
          <w:szCs w:val="24"/>
        </w:rPr>
        <w:t xml:space="preserve">his </w:t>
      </w:r>
      <w:r w:rsidRPr="00CF284E">
        <w:rPr>
          <w:rFonts w:ascii="Times New Roman" w:hAnsi="Times New Roman"/>
          <w:sz w:val="24"/>
          <w:szCs w:val="24"/>
        </w:rPr>
        <w:t>colour.</w:t>
      </w:r>
      <w:r>
        <w:rPr>
          <w:rFonts w:ascii="Times New Roman" w:hAnsi="Times New Roman"/>
          <w:sz w:val="24"/>
          <w:szCs w:val="24"/>
        </w:rPr>
        <w:t>”</w:t>
      </w:r>
      <w:r w:rsidRPr="00CF284E">
        <w:rPr>
          <w:rFonts w:ascii="Times New Roman" w:hAnsi="Times New Roman"/>
          <w:sz w:val="24"/>
          <w:szCs w:val="24"/>
        </w:rPr>
        <w:t xml:space="preserve"> Not only would this involve reading into the subsection a word which is not there; it would also mean that some conduct which is plainly within the </w:t>
      </w:r>
      <w:r>
        <w:rPr>
          <w:rFonts w:ascii="Times New Roman" w:hAnsi="Times New Roman"/>
          <w:sz w:val="24"/>
          <w:szCs w:val="24"/>
        </w:rPr>
        <w:t>“</w:t>
      </w:r>
      <w:r w:rsidRPr="00CF284E">
        <w:rPr>
          <w:rFonts w:ascii="Times New Roman" w:hAnsi="Times New Roman"/>
          <w:sz w:val="24"/>
          <w:szCs w:val="24"/>
        </w:rPr>
        <w:t>mischief</w:t>
      </w:r>
      <w:r>
        <w:rPr>
          <w:rFonts w:ascii="Times New Roman" w:hAnsi="Times New Roman"/>
          <w:sz w:val="24"/>
          <w:szCs w:val="24"/>
        </w:rPr>
        <w:t xml:space="preserve">” </w:t>
      </w:r>
      <w:r w:rsidRPr="00CF284E">
        <w:rPr>
          <w:rFonts w:ascii="Times New Roman" w:hAnsi="Times New Roman"/>
          <w:sz w:val="24"/>
          <w:szCs w:val="24"/>
        </w:rPr>
        <w:t xml:space="preserve">would </w:t>
      </w:r>
      <w:r w:rsidRPr="00CF284E">
        <w:rPr>
          <w:rFonts w:ascii="Times New Roman" w:hAnsi="Times New Roman"/>
          <w:sz w:val="24"/>
          <w:szCs w:val="24"/>
        </w:rPr>
        <w:lastRenderedPageBreak/>
        <w:t xml:space="preserve">escape—for example, discriminating against a white woman on the ground that she had married a coloured man. It would therefore, in my view, be discrimination if the Watsons had treated local authorities seeking boarding-out facilities for coloured children less favourably than they </w:t>
      </w:r>
      <w:r w:rsidRPr="00CF284E">
        <w:rPr>
          <w:rFonts w:ascii="Times New Roman" w:hAnsi="Times New Roman"/>
          <w:i/>
          <w:iCs/>
          <w:sz w:val="24"/>
          <w:szCs w:val="24"/>
        </w:rPr>
        <w:t xml:space="preserve">would </w:t>
      </w:r>
      <w:r w:rsidRPr="00CF284E">
        <w:rPr>
          <w:rFonts w:ascii="Times New Roman" w:hAnsi="Times New Roman"/>
          <w:sz w:val="24"/>
          <w:szCs w:val="24"/>
        </w:rPr>
        <w:t>treat local authorities who either had no coloured children in care or who proffered none for boarding-out.</w:t>
      </w:r>
      <w:r w:rsidR="00D55795">
        <w:rPr>
          <w:rFonts w:ascii="Times New Roman" w:hAnsi="Times New Roman"/>
          <w:sz w:val="24"/>
          <w:szCs w:val="24"/>
        </w:rPr>
        <w:t xml:space="preserve"> (289H</w:t>
      </w:r>
      <w:r w:rsidR="00D55795">
        <w:rPr>
          <w:rFonts w:cs="Calibri"/>
          <w:sz w:val="24"/>
          <w:szCs w:val="24"/>
        </w:rPr>
        <w:t>–</w:t>
      </w:r>
      <w:r w:rsidR="00D55795">
        <w:rPr>
          <w:rFonts w:ascii="Times New Roman" w:hAnsi="Times New Roman"/>
          <w:sz w:val="24"/>
          <w:szCs w:val="24"/>
        </w:rPr>
        <w:t>290A</w:t>
      </w:r>
      <w:r w:rsidR="00F84E39">
        <w:rPr>
          <w:rFonts w:ascii="Times New Roman" w:hAnsi="Times New Roman"/>
          <w:sz w:val="24"/>
          <w:szCs w:val="24"/>
        </w:rPr>
        <w:t>)</w:t>
      </w:r>
    </w:p>
    <w:p w:rsidR="00CF284E" w:rsidRDefault="00F84E39" w:rsidP="00EB56A9">
      <w:pPr>
        <w:spacing w:line="480" w:lineRule="auto"/>
        <w:rPr>
          <w:rFonts w:ascii="Times New Roman" w:hAnsi="Times New Roman"/>
          <w:sz w:val="24"/>
          <w:szCs w:val="24"/>
        </w:rPr>
      </w:pPr>
      <w:r>
        <w:rPr>
          <w:rFonts w:ascii="Times New Roman" w:hAnsi="Times New Roman"/>
          <w:sz w:val="24"/>
          <w:szCs w:val="24"/>
        </w:rPr>
        <w:t xml:space="preserve">Other cases taking </w:t>
      </w:r>
      <w:r w:rsidR="00706CF3">
        <w:rPr>
          <w:rFonts w:ascii="Times New Roman" w:hAnsi="Times New Roman"/>
          <w:sz w:val="24"/>
          <w:szCs w:val="24"/>
        </w:rPr>
        <w:t>a similar</w:t>
      </w:r>
      <w:r>
        <w:rPr>
          <w:rFonts w:ascii="Times New Roman" w:hAnsi="Times New Roman"/>
          <w:sz w:val="24"/>
          <w:szCs w:val="24"/>
        </w:rPr>
        <w:t xml:space="preserve"> line are</w:t>
      </w:r>
      <w:r w:rsidR="00332576" w:rsidRPr="00841D2F">
        <w:rPr>
          <w:rFonts w:ascii="Times New Roman" w:hAnsi="Times New Roman"/>
          <w:i/>
          <w:iCs/>
          <w:sz w:val="24"/>
          <w:szCs w:val="24"/>
        </w:rPr>
        <w:t xml:space="preserve"> </w:t>
      </w:r>
      <w:proofErr w:type="spellStart"/>
      <w:r w:rsidR="00AE3943" w:rsidRPr="00AE3943">
        <w:rPr>
          <w:rFonts w:ascii="Times New Roman" w:hAnsi="Times New Roman"/>
          <w:i/>
          <w:iCs/>
          <w:sz w:val="24"/>
          <w:szCs w:val="24"/>
        </w:rPr>
        <w:t>Zarczynska</w:t>
      </w:r>
      <w:proofErr w:type="spellEnd"/>
      <w:r w:rsidR="00AE3943" w:rsidRPr="00AE3943">
        <w:rPr>
          <w:rFonts w:ascii="Times New Roman" w:hAnsi="Times New Roman"/>
          <w:i/>
          <w:iCs/>
          <w:sz w:val="24"/>
          <w:szCs w:val="24"/>
        </w:rPr>
        <w:t xml:space="preserve"> v Levy</w:t>
      </w:r>
      <w:r w:rsidR="00AE3943" w:rsidRPr="00AE3943">
        <w:rPr>
          <w:rFonts w:ascii="Times New Roman" w:hAnsi="Times New Roman"/>
          <w:sz w:val="24"/>
          <w:szCs w:val="24"/>
        </w:rPr>
        <w:t> </w:t>
      </w:r>
      <w:r w:rsidR="00AE3943">
        <w:rPr>
          <w:rFonts w:ascii="Times New Roman" w:hAnsi="Times New Roman"/>
          <w:sz w:val="24"/>
          <w:szCs w:val="24"/>
        </w:rPr>
        <w:t>[</w:t>
      </w:r>
      <w:r w:rsidR="00AE3943" w:rsidRPr="00AE3943">
        <w:rPr>
          <w:rFonts w:ascii="Times New Roman" w:hAnsi="Times New Roman"/>
          <w:sz w:val="24"/>
          <w:szCs w:val="24"/>
        </w:rPr>
        <w:t>1979</w:t>
      </w:r>
      <w:r w:rsidR="00AE3943">
        <w:rPr>
          <w:rFonts w:ascii="Times New Roman" w:hAnsi="Times New Roman"/>
          <w:sz w:val="24"/>
          <w:szCs w:val="24"/>
        </w:rPr>
        <w:t>],</w:t>
      </w:r>
      <w:r w:rsidR="00F84FBB" w:rsidRPr="00F84FBB">
        <w:rPr>
          <w:rFonts w:ascii="Times New Roman" w:hAnsi="Times New Roman"/>
          <w:sz w:val="24"/>
          <w:szCs w:val="24"/>
        </w:rPr>
        <w:t xml:space="preserve"> </w:t>
      </w:r>
      <w:r w:rsidR="00AE3943" w:rsidRPr="00AE3943">
        <w:rPr>
          <w:rFonts w:ascii="Times New Roman" w:hAnsi="Times New Roman"/>
          <w:i/>
          <w:iCs/>
          <w:sz w:val="24"/>
          <w:szCs w:val="24"/>
        </w:rPr>
        <w:t xml:space="preserve">Showboat Entertainment Centre v Owens </w:t>
      </w:r>
      <w:r w:rsidR="00AE3943" w:rsidRPr="00AE3943">
        <w:rPr>
          <w:rFonts w:ascii="Times New Roman" w:hAnsi="Times New Roman"/>
          <w:sz w:val="24"/>
          <w:szCs w:val="24"/>
        </w:rPr>
        <w:t>[1984]</w:t>
      </w:r>
      <w:r w:rsidR="00FA22F6">
        <w:rPr>
          <w:rFonts w:ascii="Times New Roman" w:hAnsi="Times New Roman"/>
          <w:sz w:val="24"/>
          <w:szCs w:val="24"/>
        </w:rPr>
        <w:t xml:space="preserve">, </w:t>
      </w:r>
      <w:proofErr w:type="spellStart"/>
      <w:r w:rsidR="00FA22F6" w:rsidRPr="00FA22F6">
        <w:rPr>
          <w:rFonts w:ascii="Times New Roman" w:hAnsi="Times New Roman"/>
          <w:i/>
          <w:iCs/>
          <w:sz w:val="24"/>
          <w:szCs w:val="24"/>
        </w:rPr>
        <w:t>Weathersfield</w:t>
      </w:r>
      <w:proofErr w:type="spellEnd"/>
      <w:r w:rsidR="00FA22F6" w:rsidRPr="00FA22F6">
        <w:rPr>
          <w:rFonts w:ascii="Times New Roman" w:hAnsi="Times New Roman"/>
          <w:i/>
          <w:iCs/>
          <w:sz w:val="24"/>
          <w:szCs w:val="24"/>
        </w:rPr>
        <w:t xml:space="preserve"> Ltd (t/a Van &amp; Truck Rentals) v Sargent </w:t>
      </w:r>
      <w:r w:rsidR="00FA22F6" w:rsidRPr="00FA22F6">
        <w:rPr>
          <w:rFonts w:ascii="Times New Roman" w:hAnsi="Times New Roman"/>
          <w:sz w:val="24"/>
          <w:szCs w:val="24"/>
        </w:rPr>
        <w:t>[1998]</w:t>
      </w:r>
      <w:r w:rsidR="00F84FBB">
        <w:rPr>
          <w:rFonts w:ascii="Times New Roman" w:hAnsi="Times New Roman"/>
          <w:sz w:val="24"/>
          <w:szCs w:val="24"/>
        </w:rPr>
        <w:t>.</w:t>
      </w:r>
      <w:r w:rsidR="003D2C4B">
        <w:rPr>
          <w:rFonts w:ascii="Times New Roman" w:hAnsi="Times New Roman"/>
          <w:sz w:val="24"/>
          <w:szCs w:val="24"/>
        </w:rPr>
        <w:t xml:space="preserve"> </w:t>
      </w:r>
      <w:r w:rsidR="00D279C5">
        <w:rPr>
          <w:rFonts w:ascii="Times New Roman" w:hAnsi="Times New Roman"/>
          <w:sz w:val="24"/>
          <w:szCs w:val="24"/>
        </w:rPr>
        <w:t>Each of t</w:t>
      </w:r>
      <w:r w:rsidR="003D2C4B">
        <w:rPr>
          <w:rFonts w:ascii="Times New Roman" w:hAnsi="Times New Roman"/>
          <w:sz w:val="24"/>
          <w:szCs w:val="24"/>
        </w:rPr>
        <w:t xml:space="preserve">hese cases </w:t>
      </w:r>
      <w:r w:rsidR="00D279C5">
        <w:rPr>
          <w:rFonts w:ascii="Times New Roman" w:hAnsi="Times New Roman"/>
          <w:sz w:val="24"/>
          <w:szCs w:val="24"/>
        </w:rPr>
        <w:t xml:space="preserve">features </w:t>
      </w:r>
      <w:r w:rsidR="004E0DAC">
        <w:rPr>
          <w:rFonts w:ascii="Times New Roman" w:hAnsi="Times New Roman"/>
          <w:sz w:val="24"/>
          <w:szCs w:val="24"/>
        </w:rPr>
        <w:t>an employee</w:t>
      </w:r>
      <w:r w:rsidR="00D279C5">
        <w:rPr>
          <w:rFonts w:ascii="Times New Roman" w:hAnsi="Times New Roman"/>
          <w:sz w:val="24"/>
          <w:szCs w:val="24"/>
        </w:rPr>
        <w:t xml:space="preserve"> losing or leaving their job in protest at being ordered to engage in</w:t>
      </w:r>
      <w:r w:rsidR="00194362">
        <w:rPr>
          <w:rFonts w:ascii="Times New Roman" w:hAnsi="Times New Roman"/>
          <w:sz w:val="24"/>
          <w:szCs w:val="24"/>
        </w:rPr>
        <w:t xml:space="preserve"> direct</w:t>
      </w:r>
      <w:r w:rsidR="00D279C5">
        <w:rPr>
          <w:rFonts w:ascii="Times New Roman" w:hAnsi="Times New Roman"/>
          <w:sz w:val="24"/>
          <w:szCs w:val="24"/>
        </w:rPr>
        <w:t xml:space="preserve"> </w:t>
      </w:r>
      <w:r w:rsidR="00194362">
        <w:rPr>
          <w:rFonts w:ascii="Times New Roman" w:hAnsi="Times New Roman"/>
          <w:sz w:val="24"/>
          <w:szCs w:val="24"/>
        </w:rPr>
        <w:t xml:space="preserve">discrimination because of race. In each case the court held that </w:t>
      </w:r>
      <w:r w:rsidR="004E0DAC">
        <w:rPr>
          <w:rFonts w:ascii="Times New Roman" w:hAnsi="Times New Roman"/>
          <w:sz w:val="24"/>
          <w:szCs w:val="24"/>
        </w:rPr>
        <w:t xml:space="preserve">the employee had been directly discriminated against because of race, not the employee’s race, but the race of the </w:t>
      </w:r>
      <w:r w:rsidR="00A71DB7">
        <w:rPr>
          <w:rFonts w:ascii="Times New Roman" w:hAnsi="Times New Roman"/>
          <w:sz w:val="24"/>
          <w:szCs w:val="24"/>
        </w:rPr>
        <w:t>third parties</w:t>
      </w:r>
      <w:r w:rsidR="004E0DAC">
        <w:rPr>
          <w:rFonts w:ascii="Times New Roman" w:hAnsi="Times New Roman"/>
          <w:sz w:val="24"/>
          <w:szCs w:val="24"/>
        </w:rPr>
        <w:t xml:space="preserve"> against whom the employee had been told to discriminate.</w:t>
      </w:r>
      <w:r w:rsidR="00B02FA5">
        <w:rPr>
          <w:rFonts w:ascii="Times New Roman" w:hAnsi="Times New Roman"/>
          <w:sz w:val="24"/>
          <w:szCs w:val="24"/>
        </w:rPr>
        <w:t xml:space="preserve"> The courts did not, however, require </w:t>
      </w:r>
      <w:r w:rsidR="00B23B98">
        <w:rPr>
          <w:rFonts w:ascii="Times New Roman" w:hAnsi="Times New Roman"/>
          <w:sz w:val="24"/>
          <w:szCs w:val="24"/>
        </w:rPr>
        <w:t xml:space="preserve">that there </w:t>
      </w:r>
      <w:proofErr w:type="gramStart"/>
      <w:r w:rsidR="00B23B98">
        <w:rPr>
          <w:rFonts w:ascii="Times New Roman" w:hAnsi="Times New Roman"/>
          <w:sz w:val="24"/>
          <w:szCs w:val="24"/>
        </w:rPr>
        <w:t>actually exist</w:t>
      </w:r>
      <w:proofErr w:type="gramEnd"/>
      <w:r w:rsidR="00B23B98">
        <w:rPr>
          <w:rFonts w:ascii="Times New Roman" w:hAnsi="Times New Roman"/>
          <w:sz w:val="24"/>
          <w:szCs w:val="24"/>
        </w:rPr>
        <w:t xml:space="preserve"> such </w:t>
      </w:r>
      <w:r w:rsidR="00B02FA5">
        <w:rPr>
          <w:rFonts w:ascii="Times New Roman" w:hAnsi="Times New Roman"/>
          <w:sz w:val="24"/>
          <w:szCs w:val="24"/>
        </w:rPr>
        <w:t xml:space="preserve">third parties </w:t>
      </w:r>
      <w:r w:rsidR="00B23B98">
        <w:rPr>
          <w:rFonts w:ascii="Times New Roman" w:hAnsi="Times New Roman"/>
          <w:sz w:val="24"/>
          <w:szCs w:val="24"/>
        </w:rPr>
        <w:t xml:space="preserve">that had </w:t>
      </w:r>
      <w:r w:rsidR="00B02FA5">
        <w:rPr>
          <w:rFonts w:ascii="Times New Roman" w:hAnsi="Times New Roman"/>
          <w:sz w:val="24"/>
          <w:szCs w:val="24"/>
        </w:rPr>
        <w:t>been discriminated against</w:t>
      </w:r>
      <w:r w:rsidR="000C1C1D">
        <w:rPr>
          <w:rFonts w:ascii="Times New Roman" w:hAnsi="Times New Roman"/>
          <w:sz w:val="24"/>
          <w:szCs w:val="24"/>
        </w:rPr>
        <w:t xml:space="preserve">: the mere giving of the order by the employer was enough, whether or not </w:t>
      </w:r>
      <w:r w:rsidR="00A71DB7">
        <w:rPr>
          <w:rFonts w:ascii="Times New Roman" w:hAnsi="Times New Roman"/>
          <w:sz w:val="24"/>
          <w:szCs w:val="24"/>
        </w:rPr>
        <w:t>it</w:t>
      </w:r>
      <w:r w:rsidR="000C1C1D">
        <w:rPr>
          <w:rFonts w:ascii="Times New Roman" w:hAnsi="Times New Roman"/>
          <w:sz w:val="24"/>
          <w:szCs w:val="24"/>
        </w:rPr>
        <w:t xml:space="preserve"> was carried out.</w:t>
      </w:r>
      <w:r w:rsidR="00A71DB7">
        <w:rPr>
          <w:rFonts w:ascii="Times New Roman" w:hAnsi="Times New Roman"/>
          <w:sz w:val="24"/>
          <w:szCs w:val="24"/>
        </w:rPr>
        <w:t xml:space="preserve"> This establishes that in cases of associational discrimination like this it </w:t>
      </w:r>
      <w:r w:rsidR="00A95F97">
        <w:rPr>
          <w:rFonts w:ascii="Times New Roman" w:hAnsi="Times New Roman"/>
          <w:sz w:val="24"/>
          <w:szCs w:val="24"/>
        </w:rPr>
        <w:t xml:space="preserve">suffices that there </w:t>
      </w:r>
      <w:r w:rsidR="00A95F97" w:rsidRPr="005A1E61">
        <w:rPr>
          <w:rFonts w:ascii="Times New Roman" w:hAnsi="Times New Roman"/>
          <w:i/>
          <w:iCs/>
          <w:sz w:val="24"/>
          <w:szCs w:val="24"/>
        </w:rPr>
        <w:t xml:space="preserve">potentially </w:t>
      </w:r>
      <w:r w:rsidR="00A95F97">
        <w:rPr>
          <w:rFonts w:ascii="Times New Roman" w:hAnsi="Times New Roman"/>
          <w:sz w:val="24"/>
          <w:szCs w:val="24"/>
        </w:rPr>
        <w:t xml:space="preserve">be third parties </w:t>
      </w:r>
      <w:r w:rsidR="00B23B98">
        <w:rPr>
          <w:rFonts w:ascii="Times New Roman" w:hAnsi="Times New Roman"/>
          <w:sz w:val="24"/>
          <w:szCs w:val="24"/>
        </w:rPr>
        <w:t xml:space="preserve">with the protected characteristic, it </w:t>
      </w:r>
      <w:r w:rsidR="00A71DB7">
        <w:rPr>
          <w:rFonts w:ascii="Times New Roman" w:hAnsi="Times New Roman"/>
          <w:sz w:val="24"/>
          <w:szCs w:val="24"/>
        </w:rPr>
        <w:t>is not necessary that the</w:t>
      </w:r>
      <w:r w:rsidR="00A95F97">
        <w:rPr>
          <w:rFonts w:ascii="Times New Roman" w:hAnsi="Times New Roman"/>
          <w:sz w:val="24"/>
          <w:szCs w:val="24"/>
        </w:rPr>
        <w:t xml:space="preserve">re </w:t>
      </w:r>
      <w:r w:rsidR="00A95F97" w:rsidRPr="005A1E61">
        <w:rPr>
          <w:rFonts w:ascii="Times New Roman" w:hAnsi="Times New Roman"/>
          <w:i/>
          <w:iCs/>
          <w:sz w:val="24"/>
          <w:szCs w:val="24"/>
        </w:rPr>
        <w:t>actually</w:t>
      </w:r>
      <w:r w:rsidR="00A95F97">
        <w:rPr>
          <w:rFonts w:ascii="Times New Roman" w:hAnsi="Times New Roman"/>
          <w:sz w:val="24"/>
          <w:szCs w:val="24"/>
        </w:rPr>
        <w:t xml:space="preserve"> be</w:t>
      </w:r>
      <w:r w:rsidR="00A71DB7">
        <w:rPr>
          <w:rFonts w:ascii="Times New Roman" w:hAnsi="Times New Roman"/>
          <w:sz w:val="24"/>
          <w:szCs w:val="24"/>
        </w:rPr>
        <w:t xml:space="preserve"> third parties</w:t>
      </w:r>
      <w:r w:rsidR="005A1E61">
        <w:rPr>
          <w:rFonts w:ascii="Times New Roman" w:hAnsi="Times New Roman"/>
          <w:sz w:val="24"/>
          <w:szCs w:val="24"/>
        </w:rPr>
        <w:t xml:space="preserve"> with it</w:t>
      </w:r>
      <w:r w:rsidR="00A95F97">
        <w:rPr>
          <w:rFonts w:ascii="Times New Roman" w:hAnsi="Times New Roman"/>
          <w:sz w:val="24"/>
          <w:szCs w:val="24"/>
        </w:rPr>
        <w:t xml:space="preserve"> in addition to the </w:t>
      </w:r>
      <w:r w:rsidR="005A1E61">
        <w:rPr>
          <w:rFonts w:ascii="Times New Roman" w:hAnsi="Times New Roman"/>
          <w:sz w:val="24"/>
          <w:szCs w:val="24"/>
        </w:rPr>
        <w:t>principal victim of discrimination</w:t>
      </w:r>
      <w:r w:rsidR="00A95F97">
        <w:rPr>
          <w:rFonts w:ascii="Times New Roman" w:hAnsi="Times New Roman"/>
          <w:sz w:val="24"/>
          <w:szCs w:val="24"/>
        </w:rPr>
        <w:t>.</w:t>
      </w:r>
      <w:r w:rsidR="00A227B7">
        <w:rPr>
          <w:rFonts w:ascii="Times New Roman" w:hAnsi="Times New Roman"/>
          <w:sz w:val="24"/>
          <w:szCs w:val="24"/>
        </w:rPr>
        <w:t xml:space="preserve"> </w:t>
      </w:r>
      <w:r w:rsidR="00A95F97">
        <w:rPr>
          <w:rFonts w:ascii="Times New Roman" w:hAnsi="Times New Roman"/>
          <w:sz w:val="24"/>
          <w:szCs w:val="24"/>
        </w:rPr>
        <w:t xml:space="preserve">In consequence, </w:t>
      </w:r>
      <w:r w:rsidR="005A1E61">
        <w:rPr>
          <w:rFonts w:ascii="Times New Roman" w:hAnsi="Times New Roman"/>
          <w:sz w:val="24"/>
          <w:szCs w:val="24"/>
        </w:rPr>
        <w:t>a bisexual</w:t>
      </w:r>
      <w:r w:rsidR="00A227B7">
        <w:rPr>
          <w:rFonts w:ascii="Times New Roman" w:hAnsi="Times New Roman"/>
          <w:sz w:val="24"/>
          <w:szCs w:val="24"/>
        </w:rPr>
        <w:t xml:space="preserve"> </w:t>
      </w:r>
      <w:r w:rsidR="003857A5">
        <w:rPr>
          <w:rFonts w:ascii="Times New Roman" w:hAnsi="Times New Roman"/>
          <w:sz w:val="24"/>
          <w:szCs w:val="24"/>
        </w:rPr>
        <w:t>person can be</w:t>
      </w:r>
      <w:r w:rsidR="00A227B7">
        <w:rPr>
          <w:rFonts w:ascii="Times New Roman" w:hAnsi="Times New Roman"/>
          <w:sz w:val="24"/>
          <w:szCs w:val="24"/>
        </w:rPr>
        <w:t xml:space="preserve"> discriminated against </w:t>
      </w:r>
      <w:r w:rsidR="00592C83">
        <w:rPr>
          <w:rFonts w:ascii="Times New Roman" w:hAnsi="Times New Roman"/>
          <w:sz w:val="24"/>
          <w:szCs w:val="24"/>
        </w:rPr>
        <w:t xml:space="preserve">because of sex </w:t>
      </w:r>
      <w:r w:rsidR="00420635">
        <w:rPr>
          <w:rFonts w:ascii="Times New Roman" w:hAnsi="Times New Roman"/>
          <w:sz w:val="24"/>
          <w:szCs w:val="24"/>
        </w:rPr>
        <w:t xml:space="preserve">for being </w:t>
      </w:r>
      <w:r w:rsidR="00592C83" w:rsidRPr="005A1E61">
        <w:rPr>
          <w:rFonts w:ascii="Times New Roman" w:hAnsi="Times New Roman"/>
          <w:i/>
          <w:iCs/>
          <w:sz w:val="24"/>
          <w:szCs w:val="24"/>
        </w:rPr>
        <w:t>potentially</w:t>
      </w:r>
      <w:r w:rsidR="00592C83">
        <w:rPr>
          <w:rFonts w:ascii="Times New Roman" w:hAnsi="Times New Roman"/>
          <w:sz w:val="24"/>
          <w:szCs w:val="24"/>
        </w:rPr>
        <w:t xml:space="preserve"> </w:t>
      </w:r>
      <w:r w:rsidR="00A227B7">
        <w:rPr>
          <w:rFonts w:ascii="Times New Roman" w:hAnsi="Times New Roman"/>
          <w:sz w:val="24"/>
          <w:szCs w:val="24"/>
        </w:rPr>
        <w:t>attracted to both sexes</w:t>
      </w:r>
      <w:r w:rsidR="00420635">
        <w:rPr>
          <w:rFonts w:ascii="Times New Roman" w:hAnsi="Times New Roman"/>
          <w:sz w:val="24"/>
          <w:szCs w:val="24"/>
        </w:rPr>
        <w:t xml:space="preserve"> </w:t>
      </w:r>
      <w:r w:rsidR="00592C83">
        <w:rPr>
          <w:rFonts w:ascii="Times New Roman" w:hAnsi="Times New Roman"/>
          <w:sz w:val="24"/>
          <w:szCs w:val="24"/>
        </w:rPr>
        <w:t xml:space="preserve">even if there are no </w:t>
      </w:r>
      <w:r w:rsidR="00592C83" w:rsidRPr="005A1E61">
        <w:rPr>
          <w:rFonts w:ascii="Times New Roman" w:hAnsi="Times New Roman"/>
          <w:i/>
          <w:iCs/>
          <w:sz w:val="24"/>
          <w:szCs w:val="24"/>
        </w:rPr>
        <w:t>actual</w:t>
      </w:r>
      <w:r w:rsidR="00592C83">
        <w:rPr>
          <w:rFonts w:ascii="Times New Roman" w:hAnsi="Times New Roman"/>
          <w:sz w:val="24"/>
          <w:szCs w:val="24"/>
        </w:rPr>
        <w:t xml:space="preserve"> persons to whom the</w:t>
      </w:r>
      <w:r w:rsidR="003857A5">
        <w:rPr>
          <w:rFonts w:ascii="Times New Roman" w:hAnsi="Times New Roman"/>
          <w:sz w:val="24"/>
          <w:szCs w:val="24"/>
        </w:rPr>
        <w:t xml:space="preserve">y are </w:t>
      </w:r>
      <w:r w:rsidR="00592C83">
        <w:rPr>
          <w:rFonts w:ascii="Times New Roman" w:hAnsi="Times New Roman"/>
          <w:sz w:val="24"/>
          <w:szCs w:val="24"/>
        </w:rPr>
        <w:t>in fact attracted.</w:t>
      </w:r>
    </w:p>
    <w:p w:rsidR="00D279C5" w:rsidRDefault="00D279C5" w:rsidP="00EB56A9">
      <w:pPr>
        <w:spacing w:line="480" w:lineRule="auto"/>
        <w:rPr>
          <w:rFonts w:ascii="Times New Roman" w:hAnsi="Times New Roman"/>
          <w:sz w:val="24"/>
          <w:szCs w:val="24"/>
        </w:rPr>
      </w:pPr>
    </w:p>
    <w:bookmarkEnd w:id="30"/>
    <w:p w:rsidR="009C38BA" w:rsidRPr="001213DF" w:rsidRDefault="009C38BA" w:rsidP="00290164">
      <w:pPr>
        <w:spacing w:line="480" w:lineRule="auto"/>
        <w:rPr>
          <w:rFonts w:ascii="Times New Roman" w:hAnsi="Times New Roman"/>
          <w:b/>
          <w:bCs/>
          <w:sz w:val="24"/>
          <w:szCs w:val="24"/>
        </w:rPr>
      </w:pPr>
      <w:r>
        <w:rPr>
          <w:rFonts w:ascii="Times New Roman" w:hAnsi="Times New Roman"/>
          <w:sz w:val="24"/>
          <w:szCs w:val="24"/>
        </w:rPr>
        <w:t>I should stress, however, that what has been argued above is that every case of direct discrimination because of sexual orientation is a case of direct discrimination because of sex</w:t>
      </w:r>
      <w:r w:rsidR="001C2A68">
        <w:rPr>
          <w:rFonts w:ascii="Times New Roman" w:hAnsi="Times New Roman"/>
          <w:sz w:val="24"/>
          <w:szCs w:val="24"/>
        </w:rPr>
        <w:t xml:space="preserve"> (</w:t>
      </w:r>
      <w:r>
        <w:rPr>
          <w:rFonts w:ascii="Times New Roman" w:hAnsi="Times New Roman"/>
          <w:sz w:val="24"/>
          <w:szCs w:val="24"/>
        </w:rPr>
        <w:t xml:space="preserve">provided that </w:t>
      </w:r>
      <w:r w:rsidR="00F01653">
        <w:rPr>
          <w:rFonts w:ascii="Times New Roman" w:hAnsi="Times New Roman"/>
          <w:sz w:val="24"/>
          <w:szCs w:val="24"/>
        </w:rPr>
        <w:t>the discriminator understands the concept</w:t>
      </w:r>
      <w:r w:rsidR="00C01838">
        <w:rPr>
          <w:rFonts w:ascii="Times New Roman" w:hAnsi="Times New Roman"/>
          <w:sz w:val="24"/>
          <w:szCs w:val="24"/>
        </w:rPr>
        <w:t xml:space="preserve"> with which they are working</w:t>
      </w:r>
      <w:r w:rsidR="001C2A68">
        <w:rPr>
          <w:rFonts w:ascii="Times New Roman" w:hAnsi="Times New Roman"/>
          <w:sz w:val="24"/>
          <w:szCs w:val="24"/>
        </w:rPr>
        <w:t>)</w:t>
      </w:r>
      <w:r w:rsidR="00F01653">
        <w:rPr>
          <w:rFonts w:ascii="Times New Roman" w:hAnsi="Times New Roman"/>
          <w:sz w:val="24"/>
          <w:szCs w:val="24"/>
        </w:rPr>
        <w:t xml:space="preserve">. It has not been argued that every single case in which someone is treated </w:t>
      </w:r>
      <w:r w:rsidR="002F4032">
        <w:rPr>
          <w:rFonts w:ascii="Times New Roman" w:hAnsi="Times New Roman"/>
          <w:sz w:val="24"/>
          <w:szCs w:val="24"/>
        </w:rPr>
        <w:t xml:space="preserve">less </w:t>
      </w:r>
      <w:proofErr w:type="gramStart"/>
      <w:r w:rsidR="002F4032">
        <w:rPr>
          <w:rFonts w:ascii="Times New Roman" w:hAnsi="Times New Roman"/>
          <w:sz w:val="24"/>
          <w:szCs w:val="24"/>
        </w:rPr>
        <w:t>favourably</w:t>
      </w:r>
      <w:proofErr w:type="gramEnd"/>
      <w:r w:rsidR="002F4032">
        <w:rPr>
          <w:rFonts w:ascii="Times New Roman" w:hAnsi="Times New Roman"/>
          <w:sz w:val="24"/>
          <w:szCs w:val="24"/>
        </w:rPr>
        <w:t xml:space="preserve"> and </w:t>
      </w:r>
      <w:r w:rsidR="00F01653">
        <w:rPr>
          <w:rFonts w:ascii="Times New Roman" w:hAnsi="Times New Roman"/>
          <w:sz w:val="24"/>
          <w:szCs w:val="24"/>
        </w:rPr>
        <w:t xml:space="preserve">the </w:t>
      </w:r>
      <w:r w:rsidR="00F01653">
        <w:rPr>
          <w:rFonts w:ascii="Times New Roman" w:hAnsi="Times New Roman"/>
          <w:sz w:val="24"/>
          <w:szCs w:val="24"/>
        </w:rPr>
        <w:lastRenderedPageBreak/>
        <w:t>concept of sex play</w:t>
      </w:r>
      <w:r w:rsidR="002F4032">
        <w:rPr>
          <w:rFonts w:ascii="Times New Roman" w:hAnsi="Times New Roman"/>
          <w:sz w:val="24"/>
          <w:szCs w:val="24"/>
        </w:rPr>
        <w:t>s</w:t>
      </w:r>
      <w:r w:rsidR="00F01653">
        <w:rPr>
          <w:rFonts w:ascii="Times New Roman" w:hAnsi="Times New Roman"/>
          <w:sz w:val="24"/>
          <w:szCs w:val="24"/>
        </w:rPr>
        <w:t xml:space="preserve"> a role</w:t>
      </w:r>
      <w:r w:rsidR="002F4032">
        <w:rPr>
          <w:rFonts w:ascii="Times New Roman" w:hAnsi="Times New Roman"/>
          <w:sz w:val="24"/>
          <w:szCs w:val="24"/>
        </w:rPr>
        <w:t xml:space="preserve"> in the </w:t>
      </w:r>
      <w:r w:rsidR="00461548">
        <w:rPr>
          <w:rFonts w:ascii="Times New Roman" w:hAnsi="Times New Roman"/>
          <w:sz w:val="24"/>
          <w:szCs w:val="24"/>
        </w:rPr>
        <w:t xml:space="preserve">reasoning </w:t>
      </w:r>
      <w:r w:rsidR="002F4032">
        <w:rPr>
          <w:rFonts w:ascii="Times New Roman" w:hAnsi="Times New Roman"/>
          <w:sz w:val="24"/>
          <w:szCs w:val="24"/>
        </w:rPr>
        <w:t>motivati</w:t>
      </w:r>
      <w:r w:rsidR="00461548">
        <w:rPr>
          <w:rFonts w:ascii="Times New Roman" w:hAnsi="Times New Roman"/>
          <w:sz w:val="24"/>
          <w:szCs w:val="24"/>
        </w:rPr>
        <w:t>ng</w:t>
      </w:r>
      <w:r w:rsidR="002F4032">
        <w:rPr>
          <w:rFonts w:ascii="Times New Roman" w:hAnsi="Times New Roman"/>
          <w:sz w:val="24"/>
          <w:szCs w:val="24"/>
        </w:rPr>
        <w:t xml:space="preserve"> the</w:t>
      </w:r>
      <w:r w:rsidR="00B40951">
        <w:rPr>
          <w:rFonts w:ascii="Times New Roman" w:hAnsi="Times New Roman"/>
          <w:sz w:val="24"/>
          <w:szCs w:val="24"/>
        </w:rPr>
        <w:t xml:space="preserve"> less-favourable</w:t>
      </w:r>
      <w:r w:rsidR="002F4032">
        <w:rPr>
          <w:rFonts w:ascii="Times New Roman" w:hAnsi="Times New Roman"/>
          <w:sz w:val="24"/>
          <w:szCs w:val="24"/>
        </w:rPr>
        <w:t xml:space="preserve"> treatment</w:t>
      </w:r>
      <w:r w:rsidR="00F01653">
        <w:rPr>
          <w:rFonts w:ascii="Times New Roman" w:hAnsi="Times New Roman"/>
          <w:sz w:val="24"/>
          <w:szCs w:val="24"/>
        </w:rPr>
        <w:t xml:space="preserve"> is a case of direct discrimination </w:t>
      </w:r>
      <w:r w:rsidR="002F4032">
        <w:rPr>
          <w:rFonts w:ascii="Times New Roman" w:hAnsi="Times New Roman"/>
          <w:sz w:val="24"/>
          <w:szCs w:val="24"/>
        </w:rPr>
        <w:t>because of sex.</w:t>
      </w:r>
      <w:r w:rsidR="00B40951">
        <w:rPr>
          <w:rFonts w:ascii="Times New Roman" w:hAnsi="Times New Roman"/>
          <w:sz w:val="24"/>
          <w:szCs w:val="24"/>
        </w:rPr>
        <w:t xml:space="preserve"> Suppose, for example, that an employee is sacked because they do not treat the sexes equally. In this case the concept of sex </w:t>
      </w:r>
      <w:r w:rsidR="00461548">
        <w:rPr>
          <w:rFonts w:ascii="Times New Roman" w:hAnsi="Times New Roman"/>
          <w:sz w:val="24"/>
          <w:szCs w:val="24"/>
        </w:rPr>
        <w:t xml:space="preserve">plays a role in the reasoning: if the employer had no concept of sex then they would not be able to sack the employee </w:t>
      </w:r>
      <w:r w:rsidR="001C2A68">
        <w:rPr>
          <w:rFonts w:ascii="Times New Roman" w:hAnsi="Times New Roman"/>
          <w:i/>
          <w:sz w:val="24"/>
          <w:szCs w:val="24"/>
        </w:rPr>
        <w:t>because</w:t>
      </w:r>
      <w:r w:rsidR="00D16F0F">
        <w:rPr>
          <w:rFonts w:ascii="Times New Roman" w:hAnsi="Times New Roman"/>
          <w:sz w:val="24"/>
          <w:szCs w:val="24"/>
        </w:rPr>
        <w:t xml:space="preserve"> </w:t>
      </w:r>
      <w:r w:rsidR="001C2A68">
        <w:rPr>
          <w:rFonts w:ascii="Times New Roman" w:hAnsi="Times New Roman"/>
          <w:sz w:val="24"/>
          <w:szCs w:val="24"/>
        </w:rPr>
        <w:t xml:space="preserve">they did </w:t>
      </w:r>
      <w:r w:rsidR="00D16F0F">
        <w:rPr>
          <w:rFonts w:ascii="Times New Roman" w:hAnsi="Times New Roman"/>
          <w:sz w:val="24"/>
          <w:szCs w:val="24"/>
        </w:rPr>
        <w:t xml:space="preserve">not treat the sexes equally. And the employee </w:t>
      </w:r>
      <w:r w:rsidR="006B0AB4">
        <w:rPr>
          <w:rFonts w:ascii="Times New Roman" w:hAnsi="Times New Roman"/>
          <w:sz w:val="24"/>
          <w:szCs w:val="24"/>
        </w:rPr>
        <w:t>is</w:t>
      </w:r>
      <w:r w:rsidR="00D16F0F">
        <w:rPr>
          <w:rFonts w:ascii="Times New Roman" w:hAnsi="Times New Roman"/>
          <w:sz w:val="24"/>
          <w:szCs w:val="24"/>
        </w:rPr>
        <w:t xml:space="preserve"> subjected to treatment less favourable than a comparator that did treat the sexes equally would have received. </w:t>
      </w:r>
      <w:r w:rsidR="006B0AB4">
        <w:rPr>
          <w:rFonts w:ascii="Times New Roman" w:hAnsi="Times New Roman"/>
          <w:sz w:val="24"/>
          <w:szCs w:val="24"/>
        </w:rPr>
        <w:t xml:space="preserve">But the employee would surely not have a case for direct discrimination because of sex under anti-discrimination law: </w:t>
      </w:r>
      <w:r w:rsidR="006B0AB4" w:rsidRPr="006B0AB4">
        <w:rPr>
          <w:rFonts w:ascii="Times New Roman" w:hAnsi="Times New Roman"/>
          <w:i/>
          <w:iCs/>
          <w:sz w:val="24"/>
          <w:szCs w:val="24"/>
        </w:rPr>
        <w:t>Redfearn v Serco Ltd</w:t>
      </w:r>
      <w:r w:rsidR="006B0AB4">
        <w:rPr>
          <w:rFonts w:ascii="Times New Roman" w:hAnsi="Times New Roman"/>
          <w:sz w:val="24"/>
          <w:szCs w:val="24"/>
        </w:rPr>
        <w:t xml:space="preserve"> [2006].</w:t>
      </w:r>
      <w:r w:rsidR="002D740D">
        <w:rPr>
          <w:rFonts w:ascii="Times New Roman" w:hAnsi="Times New Roman"/>
          <w:sz w:val="24"/>
          <w:szCs w:val="24"/>
        </w:rPr>
        <w:t xml:space="preserve"> At this point it may be asked quite what role the concept of sex does have to play for</w:t>
      </w:r>
      <w:r w:rsidR="00B54A27">
        <w:rPr>
          <w:rFonts w:ascii="Times New Roman" w:hAnsi="Times New Roman"/>
          <w:sz w:val="24"/>
          <w:szCs w:val="24"/>
        </w:rPr>
        <w:t xml:space="preserve"> a finding of</w:t>
      </w:r>
      <w:r w:rsidR="002D740D">
        <w:rPr>
          <w:rFonts w:ascii="Times New Roman" w:hAnsi="Times New Roman"/>
          <w:sz w:val="24"/>
          <w:szCs w:val="24"/>
        </w:rPr>
        <w:t xml:space="preserve"> direct discrimination because of sex.</w:t>
      </w:r>
      <w:r w:rsidR="00290164">
        <w:rPr>
          <w:rFonts w:ascii="Times New Roman" w:hAnsi="Times New Roman"/>
          <w:sz w:val="24"/>
          <w:szCs w:val="24"/>
        </w:rPr>
        <w:t xml:space="preserve"> A version of this question came before the UK Supreme Court in 2018, but Lady Hale commented</w:t>
      </w:r>
      <w:r w:rsidR="001213DF">
        <w:rPr>
          <w:rFonts w:ascii="Times New Roman" w:hAnsi="Times New Roman"/>
          <w:sz w:val="24"/>
          <w:szCs w:val="24"/>
        </w:rPr>
        <w:t xml:space="preserve"> “</w:t>
      </w:r>
      <w:r w:rsidR="00290164" w:rsidRPr="00290164">
        <w:rPr>
          <w:rFonts w:ascii="Times New Roman" w:hAnsi="Times New Roman"/>
          <w:sz w:val="24"/>
          <w:szCs w:val="24"/>
        </w:rPr>
        <w:t>It</w:t>
      </w:r>
      <w:r w:rsidR="00C01838">
        <w:rPr>
          <w:rFonts w:ascii="Times New Roman" w:hAnsi="Times New Roman"/>
          <w:sz w:val="24"/>
          <w:szCs w:val="24"/>
        </w:rPr>
        <w:t xml:space="preserve"> </w:t>
      </w:r>
      <w:r w:rsidR="00290164" w:rsidRPr="00290164">
        <w:rPr>
          <w:rFonts w:ascii="Times New Roman" w:hAnsi="Times New Roman"/>
          <w:sz w:val="24"/>
          <w:szCs w:val="24"/>
        </w:rPr>
        <w:t>would be unwise in the context of this particular case to attempt to de</w:t>
      </w:r>
      <w:r w:rsidR="00290164">
        <w:rPr>
          <w:rFonts w:ascii="Times New Roman" w:hAnsi="Times New Roman"/>
          <w:sz w:val="24"/>
          <w:szCs w:val="24"/>
        </w:rPr>
        <w:t>fi</w:t>
      </w:r>
      <w:r w:rsidR="00290164" w:rsidRPr="00290164">
        <w:rPr>
          <w:rFonts w:ascii="Times New Roman" w:hAnsi="Times New Roman"/>
          <w:sz w:val="24"/>
          <w:szCs w:val="24"/>
        </w:rPr>
        <w:t>ne the</w:t>
      </w:r>
      <w:r w:rsidR="00290164">
        <w:rPr>
          <w:rFonts w:ascii="Times New Roman" w:hAnsi="Times New Roman"/>
          <w:sz w:val="24"/>
          <w:szCs w:val="24"/>
        </w:rPr>
        <w:t xml:space="preserve"> </w:t>
      </w:r>
      <w:r w:rsidR="00290164" w:rsidRPr="00290164">
        <w:rPr>
          <w:rFonts w:ascii="Times New Roman" w:hAnsi="Times New Roman"/>
          <w:sz w:val="24"/>
          <w:szCs w:val="24"/>
        </w:rPr>
        <w:t>closeness of the association which justi</w:t>
      </w:r>
      <w:r w:rsidR="00290164">
        <w:rPr>
          <w:rFonts w:ascii="Times New Roman" w:hAnsi="Times New Roman"/>
          <w:sz w:val="24"/>
          <w:szCs w:val="24"/>
        </w:rPr>
        <w:t>fi</w:t>
      </w:r>
      <w:r w:rsidR="00290164" w:rsidRPr="00290164">
        <w:rPr>
          <w:rFonts w:ascii="Times New Roman" w:hAnsi="Times New Roman"/>
          <w:sz w:val="24"/>
          <w:szCs w:val="24"/>
        </w:rPr>
        <w:t xml:space="preserve">es such a </w:t>
      </w:r>
      <w:r w:rsidR="00290164">
        <w:rPr>
          <w:rFonts w:ascii="Times New Roman" w:hAnsi="Times New Roman"/>
          <w:sz w:val="24"/>
          <w:szCs w:val="24"/>
        </w:rPr>
        <w:t>fi</w:t>
      </w:r>
      <w:r w:rsidR="00290164" w:rsidRPr="00290164">
        <w:rPr>
          <w:rFonts w:ascii="Times New Roman" w:hAnsi="Times New Roman"/>
          <w:sz w:val="24"/>
          <w:szCs w:val="24"/>
        </w:rPr>
        <w:t>nding</w:t>
      </w:r>
      <w:r w:rsidR="001213DF">
        <w:rPr>
          <w:rFonts w:ascii="Times New Roman" w:hAnsi="Times New Roman"/>
          <w:sz w:val="24"/>
          <w:szCs w:val="24"/>
        </w:rPr>
        <w:t>”</w:t>
      </w:r>
      <w:r w:rsidR="00B54A27">
        <w:rPr>
          <w:rFonts w:ascii="Times New Roman" w:hAnsi="Times New Roman"/>
          <w:sz w:val="24"/>
          <w:szCs w:val="24"/>
        </w:rPr>
        <w:t xml:space="preserve"> (</w:t>
      </w:r>
      <w:r w:rsidR="001213DF">
        <w:rPr>
          <w:rFonts w:ascii="Times New Roman" w:hAnsi="Times New Roman"/>
          <w:i/>
          <w:iCs/>
          <w:sz w:val="24"/>
          <w:szCs w:val="24"/>
        </w:rPr>
        <w:t xml:space="preserve">Lee v </w:t>
      </w:r>
      <w:proofErr w:type="spellStart"/>
      <w:r w:rsidR="001213DF">
        <w:rPr>
          <w:rFonts w:ascii="Times New Roman" w:hAnsi="Times New Roman"/>
          <w:i/>
          <w:iCs/>
          <w:sz w:val="24"/>
          <w:szCs w:val="24"/>
        </w:rPr>
        <w:t>Ashers</w:t>
      </w:r>
      <w:proofErr w:type="spellEnd"/>
      <w:r w:rsidR="00444A24">
        <w:rPr>
          <w:rFonts w:ascii="Times New Roman" w:hAnsi="Times New Roman"/>
          <w:i/>
          <w:iCs/>
          <w:sz w:val="24"/>
          <w:szCs w:val="24"/>
        </w:rPr>
        <w:t xml:space="preserve"> Baking Co.</w:t>
      </w:r>
      <w:r w:rsidR="001213DF">
        <w:rPr>
          <w:rFonts w:ascii="Times New Roman" w:hAnsi="Times New Roman"/>
          <w:sz w:val="24"/>
          <w:szCs w:val="24"/>
        </w:rPr>
        <w:t xml:space="preserve"> [2018]: 433C [</w:t>
      </w:r>
      <w:r w:rsidR="009F6E2D">
        <w:rPr>
          <w:rFonts w:ascii="Times New Roman" w:hAnsi="Times New Roman"/>
          <w:sz w:val="24"/>
          <w:szCs w:val="24"/>
        </w:rPr>
        <w:t>33]). I do not intend to rush in here if the then President of the UK Supreme Court considered it unwise in the context of her case.</w:t>
      </w:r>
    </w:p>
    <w:p w:rsidR="00752F19" w:rsidRDefault="00752F19" w:rsidP="007F77EF">
      <w:pPr>
        <w:spacing w:line="480" w:lineRule="auto"/>
        <w:rPr>
          <w:rFonts w:ascii="Times New Roman" w:hAnsi="Times New Roman"/>
          <w:sz w:val="24"/>
          <w:szCs w:val="24"/>
        </w:rPr>
      </w:pPr>
    </w:p>
    <w:p w:rsidR="00083FDE" w:rsidRPr="00E05A95" w:rsidRDefault="00083FDE" w:rsidP="00083FDE">
      <w:pPr>
        <w:spacing w:line="480" w:lineRule="auto"/>
        <w:jc w:val="center"/>
        <w:rPr>
          <w:rFonts w:ascii="Times New Roman" w:hAnsi="Times New Roman"/>
          <w:sz w:val="24"/>
          <w:szCs w:val="24"/>
        </w:rPr>
      </w:pPr>
      <w:r w:rsidRPr="00E05A95">
        <w:rPr>
          <w:rFonts w:ascii="Times New Roman" w:hAnsi="Times New Roman"/>
          <w:sz w:val="24"/>
          <w:szCs w:val="24"/>
        </w:rPr>
        <w:t>IX CONCLUSION</w:t>
      </w:r>
    </w:p>
    <w:p w:rsidR="00083FDE" w:rsidRPr="00A55250" w:rsidRDefault="00807B47" w:rsidP="00083FDE">
      <w:pPr>
        <w:spacing w:line="480" w:lineRule="auto"/>
        <w:rPr>
          <w:rFonts w:ascii="Times New Roman" w:hAnsi="Times New Roman"/>
          <w:i/>
          <w:iCs/>
          <w:sz w:val="24"/>
          <w:szCs w:val="24"/>
          <w:u w:val="single"/>
        </w:rPr>
      </w:pPr>
      <w:r>
        <w:rPr>
          <w:rFonts w:ascii="Times New Roman" w:hAnsi="Times New Roman"/>
          <w:sz w:val="24"/>
          <w:szCs w:val="24"/>
        </w:rPr>
        <w:t xml:space="preserve">Gorsuch </w:t>
      </w:r>
      <w:r w:rsidR="00B83184">
        <w:rPr>
          <w:rFonts w:ascii="Times New Roman" w:hAnsi="Times New Roman"/>
          <w:sz w:val="24"/>
          <w:szCs w:val="24"/>
        </w:rPr>
        <w:t xml:space="preserve">J </w:t>
      </w:r>
      <w:r w:rsidR="003E01CD">
        <w:rPr>
          <w:rFonts w:ascii="Times New Roman" w:hAnsi="Times New Roman"/>
          <w:sz w:val="24"/>
          <w:szCs w:val="24"/>
        </w:rPr>
        <w:t>argued</w:t>
      </w:r>
      <w:r>
        <w:rPr>
          <w:rFonts w:ascii="Times New Roman" w:hAnsi="Times New Roman"/>
          <w:sz w:val="24"/>
          <w:szCs w:val="24"/>
        </w:rPr>
        <w:t xml:space="preserve"> in his judgment in </w:t>
      </w:r>
      <w:r>
        <w:rPr>
          <w:rFonts w:ascii="Times New Roman" w:hAnsi="Times New Roman"/>
          <w:i/>
          <w:iCs/>
          <w:sz w:val="24"/>
          <w:szCs w:val="24"/>
        </w:rPr>
        <w:t>Bostock v Clayton County</w:t>
      </w:r>
      <w:r>
        <w:rPr>
          <w:rFonts w:ascii="Times New Roman" w:hAnsi="Times New Roman"/>
          <w:sz w:val="24"/>
          <w:szCs w:val="24"/>
        </w:rPr>
        <w:t xml:space="preserve"> (2020)</w:t>
      </w:r>
      <w:r w:rsidR="003E01CD">
        <w:rPr>
          <w:rFonts w:ascii="Times New Roman" w:hAnsi="Times New Roman"/>
          <w:sz w:val="24"/>
          <w:szCs w:val="24"/>
        </w:rPr>
        <w:t xml:space="preserve"> that if one discriminated because of sexual orientation one </w:t>
      </w:r>
      <w:r w:rsidR="003E01CD">
        <w:rPr>
          <w:rFonts w:ascii="Times New Roman" w:hAnsi="Times New Roman"/>
          <w:i/>
          <w:iCs/>
          <w:sz w:val="24"/>
          <w:szCs w:val="24"/>
        </w:rPr>
        <w:t>ipso facto</w:t>
      </w:r>
      <w:r w:rsidR="003E01CD">
        <w:rPr>
          <w:rFonts w:ascii="Times New Roman" w:hAnsi="Times New Roman"/>
          <w:sz w:val="24"/>
          <w:szCs w:val="24"/>
        </w:rPr>
        <w:t xml:space="preserve"> discriminated because of sex. It has been argued that this </w:t>
      </w:r>
      <w:r w:rsidR="00EA51F0">
        <w:rPr>
          <w:rFonts w:ascii="Times New Roman" w:hAnsi="Times New Roman"/>
          <w:sz w:val="24"/>
          <w:szCs w:val="24"/>
        </w:rPr>
        <w:t>applies to the Equality Act 2010 too</w:t>
      </w:r>
      <w:r w:rsidR="00EB6E33">
        <w:rPr>
          <w:rFonts w:ascii="Times New Roman" w:hAnsi="Times New Roman"/>
          <w:sz w:val="24"/>
          <w:szCs w:val="24"/>
        </w:rPr>
        <w:t xml:space="preserve"> (provided one understands the concept of orientation with which one is working)</w:t>
      </w:r>
      <w:r w:rsidR="00EA51F0">
        <w:rPr>
          <w:rFonts w:ascii="Times New Roman" w:hAnsi="Times New Roman"/>
          <w:sz w:val="24"/>
          <w:szCs w:val="24"/>
        </w:rPr>
        <w:t xml:space="preserve">: cases of direct discrimination </w:t>
      </w:r>
      <w:r w:rsidR="00A55250" w:rsidRPr="00A55250">
        <w:rPr>
          <w:rFonts w:ascii="Times New Roman" w:hAnsi="Times New Roman"/>
          <w:sz w:val="24"/>
          <w:szCs w:val="24"/>
        </w:rPr>
        <w:t>because of sexual orientation</w:t>
      </w:r>
      <w:r w:rsidR="00A55250">
        <w:rPr>
          <w:rFonts w:ascii="Times New Roman" w:hAnsi="Times New Roman"/>
          <w:sz w:val="24"/>
          <w:szCs w:val="24"/>
        </w:rPr>
        <w:t xml:space="preserve"> are also cases of </w:t>
      </w:r>
      <w:r w:rsidR="00AE25E1" w:rsidRPr="00AE25E1">
        <w:rPr>
          <w:rFonts w:ascii="Times New Roman" w:hAnsi="Times New Roman"/>
          <w:sz w:val="24"/>
          <w:szCs w:val="24"/>
        </w:rPr>
        <w:t xml:space="preserve">direct </w:t>
      </w:r>
      <w:r w:rsidR="00A55250" w:rsidRPr="00A55250">
        <w:rPr>
          <w:rFonts w:ascii="Times New Roman" w:hAnsi="Times New Roman"/>
          <w:sz w:val="24"/>
          <w:szCs w:val="24"/>
        </w:rPr>
        <w:t>discriminat</w:t>
      </w:r>
      <w:r w:rsidR="00A55250">
        <w:rPr>
          <w:rFonts w:ascii="Times New Roman" w:hAnsi="Times New Roman"/>
          <w:sz w:val="24"/>
          <w:szCs w:val="24"/>
        </w:rPr>
        <w:t>ion</w:t>
      </w:r>
      <w:r w:rsidR="00A55250" w:rsidRPr="00A55250">
        <w:rPr>
          <w:rFonts w:ascii="Times New Roman" w:hAnsi="Times New Roman"/>
          <w:sz w:val="24"/>
          <w:szCs w:val="24"/>
        </w:rPr>
        <w:t xml:space="preserve"> because of sex</w:t>
      </w:r>
      <w:r w:rsidR="00A55250">
        <w:rPr>
          <w:rFonts w:ascii="Times New Roman" w:hAnsi="Times New Roman"/>
          <w:sz w:val="24"/>
          <w:szCs w:val="24"/>
        </w:rPr>
        <w:t xml:space="preserve">. It has been further argued that many cases, such as </w:t>
      </w:r>
      <w:r w:rsidR="00A55250" w:rsidRPr="00A55250">
        <w:rPr>
          <w:rFonts w:ascii="Times New Roman" w:hAnsi="Times New Roman"/>
          <w:i/>
          <w:iCs/>
          <w:sz w:val="24"/>
          <w:szCs w:val="24"/>
        </w:rPr>
        <w:t>Bull</w:t>
      </w:r>
      <w:r w:rsidR="00A55250">
        <w:rPr>
          <w:rFonts w:ascii="Times New Roman" w:hAnsi="Times New Roman"/>
          <w:i/>
          <w:iCs/>
          <w:sz w:val="24"/>
          <w:szCs w:val="24"/>
        </w:rPr>
        <w:t xml:space="preserve"> and Bull v Hall and </w:t>
      </w:r>
      <w:proofErr w:type="spellStart"/>
      <w:r w:rsidR="00A55250">
        <w:rPr>
          <w:rFonts w:ascii="Times New Roman" w:hAnsi="Times New Roman"/>
          <w:i/>
          <w:iCs/>
          <w:sz w:val="24"/>
          <w:szCs w:val="24"/>
        </w:rPr>
        <w:t>Preddy</w:t>
      </w:r>
      <w:proofErr w:type="spellEnd"/>
      <w:r w:rsidR="00A55250">
        <w:rPr>
          <w:rFonts w:ascii="Times New Roman" w:hAnsi="Times New Roman"/>
          <w:sz w:val="24"/>
          <w:szCs w:val="24"/>
        </w:rPr>
        <w:t xml:space="preserve"> </w:t>
      </w:r>
      <w:r w:rsidR="001314FD">
        <w:rPr>
          <w:rFonts w:ascii="Times New Roman" w:hAnsi="Times New Roman"/>
          <w:sz w:val="24"/>
          <w:szCs w:val="24"/>
        </w:rPr>
        <w:t>[</w:t>
      </w:r>
      <w:r w:rsidR="00A55250">
        <w:rPr>
          <w:rFonts w:ascii="Times New Roman" w:hAnsi="Times New Roman"/>
          <w:sz w:val="24"/>
          <w:szCs w:val="24"/>
        </w:rPr>
        <w:t>201</w:t>
      </w:r>
      <w:r w:rsidR="001314FD">
        <w:rPr>
          <w:rFonts w:ascii="Times New Roman" w:hAnsi="Times New Roman"/>
          <w:sz w:val="24"/>
          <w:szCs w:val="24"/>
        </w:rPr>
        <w:t xml:space="preserve">3], that have been held by the courts to be cases of </w:t>
      </w:r>
      <w:r w:rsidR="00AE25E1" w:rsidRPr="00AE25E1">
        <w:rPr>
          <w:rFonts w:ascii="Times New Roman" w:hAnsi="Times New Roman"/>
          <w:sz w:val="24"/>
          <w:szCs w:val="24"/>
        </w:rPr>
        <w:t xml:space="preserve">direct </w:t>
      </w:r>
      <w:r w:rsidR="001314FD" w:rsidRPr="001314FD">
        <w:rPr>
          <w:rFonts w:ascii="Times New Roman" w:hAnsi="Times New Roman"/>
          <w:sz w:val="24"/>
          <w:szCs w:val="24"/>
        </w:rPr>
        <w:t>discrimination because of sexual orientation</w:t>
      </w:r>
      <w:r w:rsidR="00411665">
        <w:rPr>
          <w:rFonts w:ascii="Times New Roman" w:hAnsi="Times New Roman"/>
          <w:sz w:val="24"/>
          <w:szCs w:val="24"/>
        </w:rPr>
        <w:t>,</w:t>
      </w:r>
      <w:r w:rsidR="001314FD" w:rsidRPr="001314FD">
        <w:rPr>
          <w:rFonts w:ascii="Times New Roman" w:hAnsi="Times New Roman"/>
          <w:sz w:val="24"/>
          <w:szCs w:val="24"/>
        </w:rPr>
        <w:t xml:space="preserve"> are </w:t>
      </w:r>
      <w:r w:rsidR="001314FD">
        <w:rPr>
          <w:rFonts w:ascii="Times New Roman" w:hAnsi="Times New Roman"/>
          <w:sz w:val="24"/>
          <w:szCs w:val="24"/>
        </w:rPr>
        <w:t>not</w:t>
      </w:r>
      <w:r w:rsidR="001314FD" w:rsidRPr="001314FD">
        <w:rPr>
          <w:rFonts w:ascii="Times New Roman" w:hAnsi="Times New Roman"/>
          <w:sz w:val="24"/>
          <w:szCs w:val="24"/>
        </w:rPr>
        <w:t xml:space="preserve"> cases of </w:t>
      </w:r>
      <w:r w:rsidR="00AE25E1" w:rsidRPr="00AE25E1">
        <w:rPr>
          <w:rFonts w:ascii="Times New Roman" w:hAnsi="Times New Roman"/>
          <w:sz w:val="24"/>
          <w:szCs w:val="24"/>
        </w:rPr>
        <w:t xml:space="preserve">direct </w:t>
      </w:r>
      <w:r w:rsidR="001314FD" w:rsidRPr="001314FD">
        <w:rPr>
          <w:rFonts w:ascii="Times New Roman" w:hAnsi="Times New Roman"/>
          <w:sz w:val="24"/>
          <w:szCs w:val="24"/>
        </w:rPr>
        <w:t>discrimination because of sexual orientation</w:t>
      </w:r>
      <w:r w:rsidR="001314FD">
        <w:rPr>
          <w:rFonts w:ascii="Times New Roman" w:hAnsi="Times New Roman"/>
          <w:sz w:val="24"/>
          <w:szCs w:val="24"/>
        </w:rPr>
        <w:t>, but</w:t>
      </w:r>
      <w:r w:rsidR="001314FD" w:rsidRPr="00023A55">
        <w:rPr>
          <w:rFonts w:ascii="Times New Roman" w:hAnsi="Times New Roman"/>
          <w:i/>
          <w:iCs/>
          <w:sz w:val="24"/>
          <w:szCs w:val="24"/>
        </w:rPr>
        <w:t xml:space="preserve"> </w:t>
      </w:r>
      <w:r w:rsidR="00EA51F0" w:rsidRPr="00023A55">
        <w:rPr>
          <w:rFonts w:ascii="Times New Roman" w:hAnsi="Times New Roman"/>
          <w:i/>
          <w:iCs/>
          <w:sz w:val="24"/>
          <w:szCs w:val="24"/>
        </w:rPr>
        <w:t>only</w:t>
      </w:r>
      <w:r w:rsidR="001314FD" w:rsidRPr="00023A55">
        <w:rPr>
          <w:rFonts w:ascii="Times New Roman" w:hAnsi="Times New Roman"/>
          <w:i/>
          <w:iCs/>
          <w:sz w:val="24"/>
          <w:szCs w:val="24"/>
        </w:rPr>
        <w:t xml:space="preserve"> </w:t>
      </w:r>
      <w:r w:rsidR="001314FD">
        <w:rPr>
          <w:rFonts w:ascii="Times New Roman" w:hAnsi="Times New Roman"/>
          <w:sz w:val="24"/>
          <w:szCs w:val="24"/>
        </w:rPr>
        <w:t>cases of</w:t>
      </w:r>
      <w:r w:rsidR="00AE25E1" w:rsidRPr="00AE25E1">
        <w:rPr>
          <w:rFonts w:ascii="Times New Roman" w:hAnsi="Times New Roman"/>
          <w:sz w:val="24"/>
          <w:szCs w:val="24"/>
        </w:rPr>
        <w:t xml:space="preserve"> direct</w:t>
      </w:r>
      <w:r w:rsidR="001314FD">
        <w:rPr>
          <w:rFonts w:ascii="Times New Roman" w:hAnsi="Times New Roman"/>
          <w:sz w:val="24"/>
          <w:szCs w:val="24"/>
        </w:rPr>
        <w:t xml:space="preserve"> discrimination </w:t>
      </w:r>
      <w:r w:rsidR="001314FD" w:rsidRPr="001314FD">
        <w:rPr>
          <w:rFonts w:ascii="Times New Roman" w:hAnsi="Times New Roman"/>
          <w:sz w:val="24"/>
          <w:szCs w:val="24"/>
        </w:rPr>
        <w:lastRenderedPageBreak/>
        <w:t>because of sex.</w:t>
      </w:r>
      <w:r w:rsidR="00411665">
        <w:rPr>
          <w:rFonts w:ascii="Times New Roman" w:hAnsi="Times New Roman"/>
          <w:sz w:val="24"/>
          <w:szCs w:val="24"/>
        </w:rPr>
        <w:t xml:space="preserve"> It may be urged that this does not matter because, on my analysi</w:t>
      </w:r>
      <w:r w:rsidR="00AE25E1">
        <w:rPr>
          <w:rFonts w:ascii="Times New Roman" w:hAnsi="Times New Roman"/>
          <w:sz w:val="24"/>
          <w:szCs w:val="24"/>
        </w:rPr>
        <w:t>s, direct discrimination is still made out.</w:t>
      </w:r>
      <w:r w:rsidR="00AE25E1">
        <w:rPr>
          <w:rStyle w:val="FootnoteReference"/>
          <w:rFonts w:ascii="Times New Roman" w:hAnsi="Times New Roman"/>
          <w:sz w:val="24"/>
          <w:szCs w:val="24"/>
        </w:rPr>
        <w:footnoteReference w:id="20"/>
      </w:r>
      <w:r w:rsidR="00AE25E1">
        <w:rPr>
          <w:rFonts w:ascii="Times New Roman" w:hAnsi="Times New Roman"/>
          <w:sz w:val="24"/>
          <w:szCs w:val="24"/>
        </w:rPr>
        <w:t xml:space="preserve"> Nevertheless, it is</w:t>
      </w:r>
      <w:r w:rsidR="00411665">
        <w:rPr>
          <w:rFonts w:ascii="Times New Roman" w:hAnsi="Times New Roman"/>
          <w:sz w:val="24"/>
          <w:szCs w:val="24"/>
        </w:rPr>
        <w:t xml:space="preserve"> </w:t>
      </w:r>
      <w:r w:rsidR="00DE6B6B">
        <w:rPr>
          <w:rFonts w:ascii="Times New Roman" w:hAnsi="Times New Roman"/>
          <w:sz w:val="24"/>
          <w:szCs w:val="24"/>
        </w:rPr>
        <w:t>both of interest to understand the proper foundations of a charge and also important that those against whom the law finds are not said to have done something that they have not in fact done.</w:t>
      </w:r>
      <w:r w:rsidR="005F0538">
        <w:rPr>
          <w:rStyle w:val="FootnoteReference"/>
          <w:rFonts w:ascii="Times New Roman" w:hAnsi="Times New Roman"/>
          <w:sz w:val="24"/>
          <w:szCs w:val="24"/>
        </w:rPr>
        <w:footnoteReference w:id="21"/>
      </w:r>
    </w:p>
    <w:p w:rsidR="00807B47" w:rsidRPr="00807B47" w:rsidRDefault="00807B47" w:rsidP="00083FDE">
      <w:pPr>
        <w:spacing w:line="480" w:lineRule="auto"/>
        <w:rPr>
          <w:rFonts w:ascii="Times New Roman" w:hAnsi="Times New Roman"/>
          <w:sz w:val="24"/>
          <w:szCs w:val="24"/>
        </w:rPr>
      </w:pPr>
    </w:p>
    <w:p w:rsidR="00046E77" w:rsidRDefault="00046E77" w:rsidP="00B35A7B">
      <w:pPr>
        <w:spacing w:line="480" w:lineRule="auto"/>
        <w:rPr>
          <w:rFonts w:ascii="Times New Roman" w:hAnsi="Times New Roman"/>
          <w:sz w:val="24"/>
          <w:szCs w:val="24"/>
          <w:u w:val="single"/>
        </w:rPr>
      </w:pPr>
      <w:r>
        <w:rPr>
          <w:rFonts w:ascii="Times New Roman" w:hAnsi="Times New Roman"/>
          <w:sz w:val="24"/>
          <w:szCs w:val="24"/>
          <w:u w:val="single"/>
        </w:rPr>
        <w:t>Conflict of Interest</w:t>
      </w:r>
    </w:p>
    <w:p w:rsidR="00046E77" w:rsidRPr="00046E77" w:rsidRDefault="00046E77" w:rsidP="00B35A7B">
      <w:pPr>
        <w:spacing w:line="480" w:lineRule="auto"/>
        <w:rPr>
          <w:rFonts w:ascii="Times New Roman" w:hAnsi="Times New Roman"/>
          <w:sz w:val="24"/>
          <w:szCs w:val="24"/>
        </w:rPr>
      </w:pPr>
      <w:r w:rsidRPr="00046E77">
        <w:rPr>
          <w:rFonts w:ascii="Times New Roman" w:hAnsi="Times New Roman"/>
          <w:sz w:val="24"/>
          <w:szCs w:val="24"/>
        </w:rPr>
        <w:t>There is</w:t>
      </w:r>
      <w:r>
        <w:rPr>
          <w:rFonts w:ascii="Times New Roman" w:hAnsi="Times New Roman"/>
          <w:sz w:val="24"/>
          <w:szCs w:val="24"/>
        </w:rPr>
        <w:t xml:space="preserve"> no conflict of interest.</w:t>
      </w:r>
      <w:r w:rsidRPr="00046E77">
        <w:rPr>
          <w:rFonts w:ascii="Times New Roman" w:hAnsi="Times New Roman"/>
          <w:sz w:val="24"/>
          <w:szCs w:val="24"/>
        </w:rPr>
        <w:t xml:space="preserve"> </w:t>
      </w:r>
    </w:p>
    <w:p w:rsidR="00046E77" w:rsidRDefault="00046E77" w:rsidP="00B35A7B">
      <w:pPr>
        <w:spacing w:line="480" w:lineRule="auto"/>
        <w:rPr>
          <w:rFonts w:ascii="Times New Roman" w:hAnsi="Times New Roman"/>
          <w:sz w:val="24"/>
          <w:szCs w:val="24"/>
          <w:u w:val="single"/>
        </w:rPr>
      </w:pPr>
    </w:p>
    <w:p w:rsidR="00500ACA" w:rsidRPr="00363CF4" w:rsidRDefault="00B35A7B" w:rsidP="00B35A7B">
      <w:pPr>
        <w:spacing w:line="480" w:lineRule="auto"/>
        <w:rPr>
          <w:rFonts w:ascii="Times New Roman" w:hAnsi="Times New Roman"/>
          <w:sz w:val="24"/>
          <w:szCs w:val="24"/>
          <w:u w:val="single"/>
        </w:rPr>
      </w:pPr>
      <w:r w:rsidRPr="00363CF4">
        <w:rPr>
          <w:rFonts w:ascii="Times New Roman" w:hAnsi="Times New Roman"/>
          <w:sz w:val="24"/>
          <w:szCs w:val="24"/>
          <w:u w:val="single"/>
        </w:rPr>
        <w:t>References</w:t>
      </w:r>
    </w:p>
    <w:p w:rsidR="0047369E" w:rsidRDefault="0047369E" w:rsidP="0096253D">
      <w:pPr>
        <w:spacing w:line="480" w:lineRule="auto"/>
        <w:rPr>
          <w:rFonts w:ascii="Times New Roman" w:hAnsi="Times New Roman"/>
          <w:sz w:val="24"/>
          <w:szCs w:val="24"/>
        </w:rPr>
      </w:pPr>
    </w:p>
    <w:p w:rsidR="0096253D" w:rsidRDefault="00B35A7B" w:rsidP="0096253D">
      <w:pPr>
        <w:spacing w:line="480" w:lineRule="auto"/>
        <w:rPr>
          <w:rFonts w:ascii="Times New Roman" w:hAnsi="Times New Roman"/>
          <w:sz w:val="24"/>
          <w:szCs w:val="24"/>
        </w:rPr>
      </w:pPr>
      <w:r w:rsidRPr="00B35A7B">
        <w:rPr>
          <w:rFonts w:ascii="Times New Roman" w:hAnsi="Times New Roman"/>
          <w:sz w:val="24"/>
          <w:szCs w:val="24"/>
        </w:rPr>
        <w:t>Finnis</w:t>
      </w:r>
      <w:r w:rsidR="0096253D" w:rsidRPr="0096253D">
        <w:rPr>
          <w:rFonts w:ascii="Times New Roman" w:hAnsi="Times New Roman"/>
          <w:sz w:val="24"/>
          <w:szCs w:val="24"/>
        </w:rPr>
        <w:t xml:space="preserve">, </w:t>
      </w:r>
      <w:r w:rsidR="0096253D" w:rsidRPr="00B35A7B">
        <w:rPr>
          <w:rFonts w:ascii="Times New Roman" w:hAnsi="Times New Roman"/>
          <w:sz w:val="24"/>
          <w:szCs w:val="24"/>
        </w:rPr>
        <w:t>John</w:t>
      </w:r>
      <w:r w:rsidR="0096253D">
        <w:rPr>
          <w:rFonts w:ascii="Times New Roman" w:hAnsi="Times New Roman"/>
          <w:sz w:val="24"/>
          <w:szCs w:val="24"/>
        </w:rPr>
        <w:t>. 2011.</w:t>
      </w:r>
      <w:r w:rsidR="0096253D" w:rsidRPr="0096253D">
        <w:rPr>
          <w:rFonts w:ascii="Times New Roman" w:hAnsi="Times New Roman"/>
          <w:sz w:val="24"/>
          <w:szCs w:val="24"/>
        </w:rPr>
        <w:t xml:space="preserve"> Intention in Direct Discrimination</w:t>
      </w:r>
      <w:r w:rsidR="0096253D">
        <w:rPr>
          <w:rFonts w:ascii="Times New Roman" w:hAnsi="Times New Roman"/>
          <w:sz w:val="24"/>
          <w:szCs w:val="24"/>
        </w:rPr>
        <w:t>. In</w:t>
      </w:r>
      <w:r w:rsidR="00064BF1">
        <w:rPr>
          <w:rFonts w:ascii="Times New Roman" w:hAnsi="Times New Roman"/>
          <w:sz w:val="24"/>
          <w:szCs w:val="24"/>
        </w:rPr>
        <w:t xml:space="preserve"> </w:t>
      </w:r>
      <w:hyperlink r:id="rId10" w:history="1">
        <w:r w:rsidR="00064BF1" w:rsidRPr="00064BF1">
          <w:rPr>
            <w:rStyle w:val="Hyperlink"/>
            <w:rFonts w:ascii="Times New Roman" w:hAnsi="Times New Roman"/>
            <w:color w:val="auto"/>
            <w:sz w:val="24"/>
            <w:szCs w:val="24"/>
            <w:u w:val="none"/>
          </w:rPr>
          <w:t>Intention and Identity: Collected Essays Volume II</w:t>
        </w:r>
      </w:hyperlink>
      <w:r w:rsidR="00064BF1">
        <w:rPr>
          <w:rFonts w:ascii="Times New Roman" w:hAnsi="Times New Roman"/>
          <w:sz w:val="24"/>
          <w:szCs w:val="24"/>
        </w:rPr>
        <w:t>, ed. John Finnis. Oxford</w:t>
      </w:r>
      <w:r w:rsidR="0023516D">
        <w:rPr>
          <w:rFonts w:ascii="Times New Roman" w:hAnsi="Times New Roman"/>
          <w:sz w:val="24"/>
          <w:szCs w:val="24"/>
        </w:rPr>
        <w:t>: Oxford</w:t>
      </w:r>
      <w:r w:rsidR="00064BF1">
        <w:rPr>
          <w:rFonts w:ascii="Times New Roman" w:hAnsi="Times New Roman"/>
          <w:sz w:val="24"/>
          <w:szCs w:val="24"/>
        </w:rPr>
        <w:t xml:space="preserve"> University Press.</w:t>
      </w:r>
    </w:p>
    <w:p w:rsidR="00C17DA6" w:rsidRDefault="00C17DA6" w:rsidP="0096253D">
      <w:pPr>
        <w:spacing w:line="480" w:lineRule="auto"/>
        <w:rPr>
          <w:rFonts w:ascii="Times New Roman" w:hAnsi="Times New Roman"/>
          <w:sz w:val="24"/>
          <w:szCs w:val="24"/>
        </w:rPr>
      </w:pPr>
      <w:r>
        <w:rPr>
          <w:rFonts w:ascii="Times New Roman" w:hAnsi="Times New Roman"/>
          <w:sz w:val="24"/>
          <w:szCs w:val="24"/>
        </w:rPr>
        <w:t>Gardner, John. 1998.</w:t>
      </w:r>
      <w:r w:rsidR="00A50B95">
        <w:rPr>
          <w:rFonts w:ascii="Times New Roman" w:hAnsi="Times New Roman"/>
          <w:sz w:val="24"/>
          <w:szCs w:val="24"/>
        </w:rPr>
        <w:t xml:space="preserve"> </w:t>
      </w:r>
      <w:r w:rsidR="00A50B95" w:rsidRPr="00A50B95">
        <w:rPr>
          <w:rFonts w:ascii="Times New Roman" w:hAnsi="Times New Roman"/>
          <w:sz w:val="24"/>
          <w:szCs w:val="24"/>
        </w:rPr>
        <w:t>On the Ground of Her Sex(</w:t>
      </w:r>
      <w:proofErr w:type="spellStart"/>
      <w:r w:rsidR="00A50B95" w:rsidRPr="00A50B95">
        <w:rPr>
          <w:rFonts w:ascii="Times New Roman" w:hAnsi="Times New Roman"/>
          <w:sz w:val="24"/>
          <w:szCs w:val="24"/>
        </w:rPr>
        <w:t>uality</w:t>
      </w:r>
      <w:proofErr w:type="spellEnd"/>
      <w:r w:rsidR="00A50B95" w:rsidRPr="00A50B95">
        <w:rPr>
          <w:rFonts w:ascii="Times New Roman" w:hAnsi="Times New Roman"/>
          <w:sz w:val="24"/>
          <w:szCs w:val="24"/>
        </w:rPr>
        <w:t>)</w:t>
      </w:r>
      <w:r w:rsidR="00A50B95">
        <w:rPr>
          <w:rFonts w:ascii="Times New Roman" w:hAnsi="Times New Roman"/>
          <w:sz w:val="24"/>
          <w:szCs w:val="24"/>
        </w:rPr>
        <w:t xml:space="preserve">. </w:t>
      </w:r>
      <w:r w:rsidRPr="00A50B95">
        <w:rPr>
          <w:rFonts w:ascii="Times New Roman" w:hAnsi="Times New Roman"/>
          <w:i/>
          <w:iCs/>
          <w:sz w:val="24"/>
          <w:szCs w:val="24"/>
        </w:rPr>
        <w:t>Oxford Journal of Legal Studies</w:t>
      </w:r>
      <w:r w:rsidRPr="00A50B95">
        <w:rPr>
          <w:rFonts w:ascii="Times New Roman" w:hAnsi="Times New Roman"/>
          <w:sz w:val="24"/>
          <w:szCs w:val="24"/>
        </w:rPr>
        <w:t xml:space="preserve"> </w:t>
      </w:r>
      <w:r w:rsidRPr="00C17DA6">
        <w:rPr>
          <w:rFonts w:ascii="Times New Roman" w:hAnsi="Times New Roman"/>
          <w:sz w:val="24"/>
          <w:szCs w:val="24"/>
        </w:rPr>
        <w:t>18</w:t>
      </w:r>
      <w:r w:rsidR="00A50B95">
        <w:rPr>
          <w:rFonts w:ascii="Times New Roman" w:hAnsi="Times New Roman"/>
          <w:sz w:val="24"/>
          <w:szCs w:val="24"/>
        </w:rPr>
        <w:t>(</w:t>
      </w:r>
      <w:r w:rsidRPr="00C17DA6">
        <w:rPr>
          <w:rFonts w:ascii="Times New Roman" w:hAnsi="Times New Roman"/>
          <w:sz w:val="24"/>
          <w:szCs w:val="24"/>
        </w:rPr>
        <w:t>1</w:t>
      </w:r>
      <w:r w:rsidR="00A50B95">
        <w:rPr>
          <w:rFonts w:ascii="Times New Roman" w:hAnsi="Times New Roman"/>
          <w:sz w:val="24"/>
          <w:szCs w:val="24"/>
        </w:rPr>
        <w:t xml:space="preserve">): </w:t>
      </w:r>
      <w:r w:rsidRPr="00C17DA6">
        <w:rPr>
          <w:rFonts w:ascii="Times New Roman" w:hAnsi="Times New Roman"/>
          <w:sz w:val="24"/>
          <w:szCs w:val="24"/>
        </w:rPr>
        <w:t>167–187</w:t>
      </w:r>
      <w:r w:rsidR="00A50B95">
        <w:rPr>
          <w:rFonts w:ascii="Times New Roman" w:hAnsi="Times New Roman"/>
          <w:sz w:val="24"/>
          <w:szCs w:val="24"/>
        </w:rPr>
        <w:t>.</w:t>
      </w:r>
    </w:p>
    <w:p w:rsidR="00341436" w:rsidRPr="00341436" w:rsidRDefault="00341436" w:rsidP="0096253D">
      <w:pPr>
        <w:spacing w:line="480" w:lineRule="auto"/>
        <w:rPr>
          <w:rFonts w:ascii="Times New Roman" w:hAnsi="Times New Roman"/>
          <w:sz w:val="24"/>
          <w:szCs w:val="24"/>
        </w:rPr>
      </w:pPr>
      <w:r>
        <w:rPr>
          <w:rFonts w:ascii="Times New Roman" w:hAnsi="Times New Roman"/>
          <w:sz w:val="24"/>
          <w:szCs w:val="24"/>
        </w:rPr>
        <w:t xml:space="preserve">Hand, Robert. 2011.  </w:t>
      </w:r>
      <w:r>
        <w:rPr>
          <w:rFonts w:ascii="Times New Roman" w:hAnsi="Times New Roman"/>
          <w:i/>
          <w:iCs/>
          <w:sz w:val="24"/>
          <w:szCs w:val="24"/>
        </w:rPr>
        <w:t>Public Law</w:t>
      </w:r>
      <w:r w:rsidR="00E05982">
        <w:rPr>
          <w:rFonts w:ascii="Times New Roman" w:hAnsi="Times New Roman"/>
          <w:i/>
          <w:iCs/>
          <w:sz w:val="24"/>
          <w:szCs w:val="24"/>
        </w:rPr>
        <w:t xml:space="preserve"> </w:t>
      </w:r>
      <w:r w:rsidR="00E05982">
        <w:rPr>
          <w:rFonts w:ascii="Times New Roman" w:hAnsi="Times New Roman"/>
          <w:sz w:val="24"/>
          <w:szCs w:val="24"/>
        </w:rPr>
        <w:t>2011</w:t>
      </w:r>
      <w:r w:rsidR="004B0E75">
        <w:rPr>
          <w:rFonts w:ascii="Times New Roman" w:hAnsi="Times New Roman"/>
          <w:sz w:val="24"/>
          <w:szCs w:val="24"/>
        </w:rPr>
        <w:t xml:space="preserve"> </w:t>
      </w:r>
      <w:r w:rsidR="00E05982">
        <w:rPr>
          <w:rFonts w:ascii="Times New Roman" w:hAnsi="Times New Roman"/>
          <w:sz w:val="24"/>
          <w:szCs w:val="24"/>
        </w:rPr>
        <w:t>(July)</w:t>
      </w:r>
      <w:r>
        <w:rPr>
          <w:rFonts w:ascii="Times New Roman" w:hAnsi="Times New Roman"/>
          <w:sz w:val="24"/>
          <w:szCs w:val="24"/>
        </w:rPr>
        <w:t>: 482</w:t>
      </w:r>
      <w:r>
        <w:rPr>
          <w:rFonts w:cs="Calibri"/>
          <w:sz w:val="24"/>
          <w:szCs w:val="24"/>
        </w:rPr>
        <w:t>–</w:t>
      </w:r>
      <w:r>
        <w:rPr>
          <w:rFonts w:ascii="Times New Roman" w:hAnsi="Times New Roman"/>
          <w:sz w:val="24"/>
          <w:szCs w:val="24"/>
        </w:rPr>
        <w:t>490.</w:t>
      </w:r>
    </w:p>
    <w:p w:rsidR="006511F2" w:rsidRDefault="006511F2" w:rsidP="006511F2">
      <w:pPr>
        <w:spacing w:line="480" w:lineRule="auto"/>
        <w:rPr>
          <w:rFonts w:ascii="Times New Roman" w:hAnsi="Times New Roman"/>
          <w:sz w:val="24"/>
          <w:szCs w:val="24"/>
        </w:rPr>
      </w:pPr>
      <w:r w:rsidRPr="006511F2">
        <w:rPr>
          <w:rFonts w:ascii="Times New Roman" w:hAnsi="Times New Roman"/>
          <w:sz w:val="24"/>
          <w:szCs w:val="24"/>
        </w:rPr>
        <w:lastRenderedPageBreak/>
        <w:t xml:space="preserve">Koppelman, Andrew. 1994. </w:t>
      </w:r>
      <w:hyperlink r:id="rId11" w:history="1">
        <w:r w:rsidRPr="006511F2">
          <w:rPr>
            <w:rStyle w:val="Hyperlink"/>
            <w:rFonts w:ascii="Times New Roman" w:hAnsi="Times New Roman"/>
            <w:iCs/>
            <w:color w:val="auto"/>
            <w:sz w:val="24"/>
            <w:szCs w:val="24"/>
            <w:u w:val="none"/>
          </w:rPr>
          <w:t>Why Discrimination against Lesbians and Gay Men is Sex Discrimination</w:t>
        </w:r>
      </w:hyperlink>
      <w:r w:rsidRPr="006511F2">
        <w:rPr>
          <w:rFonts w:ascii="Times New Roman" w:hAnsi="Times New Roman"/>
          <w:sz w:val="24"/>
          <w:szCs w:val="24"/>
        </w:rPr>
        <w:t xml:space="preserve">. </w:t>
      </w:r>
      <w:r w:rsidRPr="006511F2">
        <w:rPr>
          <w:rFonts w:ascii="Times New Roman" w:hAnsi="Times New Roman"/>
          <w:i/>
          <w:iCs/>
          <w:sz w:val="24"/>
          <w:szCs w:val="24"/>
        </w:rPr>
        <w:t>New York University Law Review</w:t>
      </w:r>
      <w:r w:rsidRPr="006511F2">
        <w:rPr>
          <w:rFonts w:ascii="Times New Roman" w:hAnsi="Times New Roman"/>
          <w:sz w:val="24"/>
          <w:szCs w:val="24"/>
        </w:rPr>
        <w:t> 69(2): 197–287.</w:t>
      </w:r>
    </w:p>
    <w:p w:rsidR="00830288" w:rsidRPr="00830288" w:rsidRDefault="00830288" w:rsidP="00830288">
      <w:pPr>
        <w:spacing w:line="480" w:lineRule="auto"/>
        <w:rPr>
          <w:rFonts w:ascii="Times New Roman" w:hAnsi="Times New Roman"/>
          <w:sz w:val="24"/>
          <w:szCs w:val="24"/>
        </w:rPr>
      </w:pPr>
      <w:r w:rsidRPr="00830288">
        <w:rPr>
          <w:rFonts w:ascii="Times New Roman" w:hAnsi="Times New Roman"/>
          <w:sz w:val="24"/>
          <w:szCs w:val="24"/>
        </w:rPr>
        <w:t xml:space="preserve">Koppelman, Andrew. 1996. </w:t>
      </w:r>
      <w:r w:rsidRPr="00830288">
        <w:rPr>
          <w:rFonts w:ascii="Times New Roman" w:hAnsi="Times New Roman"/>
          <w:i/>
          <w:sz w:val="24"/>
          <w:szCs w:val="24"/>
        </w:rPr>
        <w:t>Antidiscrimination Law and Social Equality</w:t>
      </w:r>
      <w:r w:rsidRPr="00830288">
        <w:rPr>
          <w:rFonts w:ascii="Times New Roman" w:hAnsi="Times New Roman"/>
          <w:sz w:val="24"/>
          <w:szCs w:val="24"/>
        </w:rPr>
        <w:t>. Yale: Yale University Press.</w:t>
      </w:r>
    </w:p>
    <w:p w:rsidR="006511F2" w:rsidRPr="006511F2" w:rsidRDefault="006511F2" w:rsidP="006511F2">
      <w:pPr>
        <w:spacing w:line="480" w:lineRule="auto"/>
        <w:rPr>
          <w:rFonts w:ascii="Times New Roman" w:hAnsi="Times New Roman"/>
          <w:sz w:val="24"/>
          <w:szCs w:val="24"/>
        </w:rPr>
      </w:pPr>
      <w:r w:rsidRPr="006511F2">
        <w:rPr>
          <w:rFonts w:ascii="Times New Roman" w:hAnsi="Times New Roman"/>
          <w:sz w:val="24"/>
          <w:szCs w:val="24"/>
        </w:rPr>
        <w:t xml:space="preserve">Koppelman, Andrew. 2001. </w:t>
      </w:r>
      <w:r w:rsidRPr="006511F2">
        <w:rPr>
          <w:rFonts w:ascii="Times New Roman" w:hAnsi="Times New Roman"/>
          <w:iCs/>
          <w:sz w:val="24"/>
          <w:szCs w:val="24"/>
        </w:rPr>
        <w:t>Defending the Sex Discrimination Argument for Lesbian and Gay Rights: A Reply to Edward Stein.</w:t>
      </w:r>
      <w:r w:rsidRPr="006511F2">
        <w:rPr>
          <w:rFonts w:ascii="Times New Roman" w:hAnsi="Times New Roman"/>
          <w:sz w:val="24"/>
          <w:szCs w:val="24"/>
        </w:rPr>
        <w:t> </w:t>
      </w:r>
      <w:r w:rsidRPr="006511F2">
        <w:rPr>
          <w:rFonts w:ascii="Times New Roman" w:hAnsi="Times New Roman"/>
          <w:i/>
          <w:iCs/>
          <w:sz w:val="24"/>
          <w:szCs w:val="24"/>
        </w:rPr>
        <w:t>UCLA Law Review</w:t>
      </w:r>
      <w:r w:rsidRPr="006511F2">
        <w:rPr>
          <w:rFonts w:ascii="Times New Roman" w:hAnsi="Times New Roman"/>
          <w:sz w:val="24"/>
          <w:szCs w:val="24"/>
        </w:rPr>
        <w:t xml:space="preserve"> 49(2): 519–538. </w:t>
      </w:r>
    </w:p>
    <w:p w:rsidR="00830288" w:rsidRPr="00830288" w:rsidRDefault="00830288" w:rsidP="00830288">
      <w:pPr>
        <w:spacing w:line="480" w:lineRule="auto"/>
        <w:rPr>
          <w:rFonts w:ascii="Times New Roman" w:hAnsi="Times New Roman"/>
          <w:sz w:val="24"/>
          <w:szCs w:val="24"/>
        </w:rPr>
      </w:pPr>
      <w:r w:rsidRPr="00830288">
        <w:rPr>
          <w:rFonts w:ascii="Times New Roman" w:hAnsi="Times New Roman"/>
          <w:sz w:val="24"/>
          <w:szCs w:val="24"/>
        </w:rPr>
        <w:t xml:space="preserve">Koppelman, Andrew. 2002. </w:t>
      </w:r>
      <w:r w:rsidRPr="00830288">
        <w:rPr>
          <w:rFonts w:ascii="Times New Roman" w:hAnsi="Times New Roman"/>
          <w:i/>
          <w:sz w:val="24"/>
          <w:szCs w:val="24"/>
        </w:rPr>
        <w:t>The Gay Rights Question in Contemporary American Law</w:t>
      </w:r>
      <w:r w:rsidRPr="00830288">
        <w:rPr>
          <w:rFonts w:ascii="Times New Roman" w:hAnsi="Times New Roman"/>
          <w:iCs/>
          <w:sz w:val="24"/>
          <w:szCs w:val="24"/>
        </w:rPr>
        <w:t>.</w:t>
      </w:r>
      <w:r w:rsidRPr="00830288">
        <w:rPr>
          <w:rFonts w:ascii="Times New Roman" w:hAnsi="Times New Roman"/>
          <w:sz w:val="24"/>
          <w:szCs w:val="24"/>
        </w:rPr>
        <w:t xml:space="preserve"> Chicago: University of Chicago Press.</w:t>
      </w:r>
    </w:p>
    <w:p w:rsidR="00B35A7B" w:rsidRDefault="00916E74" w:rsidP="007A6733">
      <w:pPr>
        <w:spacing w:line="480" w:lineRule="auto"/>
        <w:rPr>
          <w:rFonts w:ascii="Times New Roman" w:hAnsi="Times New Roman"/>
          <w:sz w:val="24"/>
          <w:szCs w:val="24"/>
        </w:rPr>
      </w:pPr>
      <w:proofErr w:type="spellStart"/>
      <w:r w:rsidRPr="00916E74">
        <w:rPr>
          <w:rFonts w:ascii="Times New Roman" w:hAnsi="Times New Roman"/>
          <w:sz w:val="24"/>
          <w:szCs w:val="24"/>
        </w:rPr>
        <w:t>Pannick</w:t>
      </w:r>
      <w:proofErr w:type="spellEnd"/>
      <w:r w:rsidRPr="00916E74">
        <w:rPr>
          <w:rFonts w:ascii="Times New Roman" w:hAnsi="Times New Roman"/>
          <w:sz w:val="24"/>
          <w:szCs w:val="24"/>
        </w:rPr>
        <w:t>,</w:t>
      </w:r>
      <w:r>
        <w:rPr>
          <w:rFonts w:ascii="Times New Roman" w:hAnsi="Times New Roman"/>
          <w:sz w:val="24"/>
          <w:szCs w:val="24"/>
        </w:rPr>
        <w:t xml:space="preserve"> David. 1983.</w:t>
      </w:r>
      <w:r w:rsidRPr="00916E74">
        <w:rPr>
          <w:rFonts w:ascii="Times New Roman" w:hAnsi="Times New Roman"/>
          <w:sz w:val="24"/>
          <w:szCs w:val="24"/>
        </w:rPr>
        <w:t xml:space="preserve"> Homosexuals, Transsexuals, and the Sex Discrimination Act</w:t>
      </w:r>
      <w:r>
        <w:rPr>
          <w:rFonts w:ascii="Times New Roman" w:hAnsi="Times New Roman"/>
          <w:sz w:val="24"/>
          <w:szCs w:val="24"/>
        </w:rPr>
        <w:t xml:space="preserve">. </w:t>
      </w:r>
      <w:r w:rsidRPr="00916E74">
        <w:rPr>
          <w:rFonts w:ascii="Times New Roman" w:hAnsi="Times New Roman"/>
          <w:i/>
          <w:iCs/>
          <w:sz w:val="24"/>
          <w:szCs w:val="24"/>
        </w:rPr>
        <w:t>Public Law</w:t>
      </w:r>
      <w:r w:rsidRPr="00916E74">
        <w:rPr>
          <w:rFonts w:ascii="Times New Roman" w:hAnsi="Times New Roman"/>
          <w:sz w:val="24"/>
          <w:szCs w:val="24"/>
        </w:rPr>
        <w:t xml:space="preserve"> </w:t>
      </w:r>
      <w:r w:rsidR="00C51ABD">
        <w:rPr>
          <w:rFonts w:ascii="Times New Roman" w:hAnsi="Times New Roman"/>
          <w:sz w:val="24"/>
          <w:szCs w:val="24"/>
        </w:rPr>
        <w:t xml:space="preserve">1983: </w:t>
      </w:r>
      <w:r w:rsidRPr="00916E74">
        <w:rPr>
          <w:rFonts w:ascii="Times New Roman" w:hAnsi="Times New Roman"/>
          <w:sz w:val="24"/>
          <w:szCs w:val="24"/>
        </w:rPr>
        <w:t>279</w:t>
      </w:r>
      <w:r>
        <w:rPr>
          <w:rFonts w:cs="Calibri"/>
          <w:sz w:val="24"/>
          <w:szCs w:val="24"/>
        </w:rPr>
        <w:t>–</w:t>
      </w:r>
      <w:r>
        <w:rPr>
          <w:rFonts w:ascii="Times New Roman" w:hAnsi="Times New Roman"/>
          <w:sz w:val="24"/>
          <w:szCs w:val="24"/>
        </w:rPr>
        <w:t>302.</w:t>
      </w:r>
    </w:p>
    <w:p w:rsidR="00B35A7B" w:rsidRDefault="00155ACB" w:rsidP="00155ACB">
      <w:pPr>
        <w:spacing w:line="480" w:lineRule="auto"/>
        <w:rPr>
          <w:rFonts w:ascii="Times New Roman" w:hAnsi="Times New Roman"/>
          <w:sz w:val="24"/>
          <w:szCs w:val="24"/>
        </w:rPr>
      </w:pPr>
      <w:proofErr w:type="spellStart"/>
      <w:r w:rsidRPr="00155ACB">
        <w:rPr>
          <w:rFonts w:ascii="Times New Roman" w:hAnsi="Times New Roman"/>
          <w:sz w:val="24"/>
          <w:szCs w:val="24"/>
        </w:rPr>
        <w:t>Pannick</w:t>
      </w:r>
      <w:proofErr w:type="spellEnd"/>
      <w:r w:rsidRPr="00155ACB">
        <w:rPr>
          <w:rFonts w:ascii="Times New Roman" w:hAnsi="Times New Roman"/>
          <w:sz w:val="24"/>
          <w:szCs w:val="24"/>
        </w:rPr>
        <w:t xml:space="preserve">, </w:t>
      </w:r>
      <w:r>
        <w:rPr>
          <w:rFonts w:ascii="Times New Roman" w:hAnsi="Times New Roman"/>
          <w:sz w:val="24"/>
          <w:szCs w:val="24"/>
        </w:rPr>
        <w:t xml:space="preserve">David. 1985. </w:t>
      </w:r>
      <w:r w:rsidRPr="00155ACB">
        <w:rPr>
          <w:rFonts w:ascii="Times New Roman" w:hAnsi="Times New Roman"/>
          <w:i/>
          <w:sz w:val="24"/>
          <w:szCs w:val="24"/>
        </w:rPr>
        <w:t>Sexual Discrimination Law</w:t>
      </w:r>
      <w:r>
        <w:rPr>
          <w:rFonts w:ascii="Times New Roman" w:hAnsi="Times New Roman"/>
          <w:iCs/>
          <w:sz w:val="24"/>
          <w:szCs w:val="24"/>
        </w:rPr>
        <w:t>.</w:t>
      </w:r>
      <w:r w:rsidRPr="00155ACB">
        <w:rPr>
          <w:rFonts w:ascii="Times New Roman" w:hAnsi="Times New Roman"/>
          <w:sz w:val="24"/>
          <w:szCs w:val="24"/>
        </w:rPr>
        <w:t xml:space="preserve"> </w:t>
      </w:r>
      <w:r>
        <w:rPr>
          <w:rFonts w:ascii="Times New Roman" w:hAnsi="Times New Roman"/>
          <w:sz w:val="24"/>
          <w:szCs w:val="24"/>
        </w:rPr>
        <w:t xml:space="preserve">Oxford: </w:t>
      </w:r>
      <w:r w:rsidRPr="00155ACB">
        <w:rPr>
          <w:rFonts w:ascii="Times New Roman" w:hAnsi="Times New Roman"/>
          <w:sz w:val="24"/>
          <w:szCs w:val="24"/>
        </w:rPr>
        <w:t>Oxford University Press.</w:t>
      </w:r>
    </w:p>
    <w:p w:rsidR="002439D0" w:rsidRDefault="002439D0" w:rsidP="00155ACB">
      <w:pPr>
        <w:spacing w:line="480" w:lineRule="auto"/>
        <w:rPr>
          <w:rFonts w:ascii="Times New Roman" w:hAnsi="Times New Roman"/>
          <w:sz w:val="24"/>
          <w:szCs w:val="24"/>
        </w:rPr>
      </w:pPr>
      <w:bookmarkStart w:id="32" w:name="_Hlk44495157"/>
      <w:proofErr w:type="spellStart"/>
      <w:r>
        <w:rPr>
          <w:rFonts w:ascii="Times New Roman" w:hAnsi="Times New Roman"/>
          <w:sz w:val="24"/>
          <w:szCs w:val="24"/>
        </w:rPr>
        <w:t>Trispiotis</w:t>
      </w:r>
      <w:proofErr w:type="spellEnd"/>
      <w:r>
        <w:rPr>
          <w:rFonts w:ascii="Times New Roman" w:hAnsi="Times New Roman"/>
          <w:sz w:val="24"/>
          <w:szCs w:val="24"/>
        </w:rPr>
        <w:t xml:space="preserve">, Ilias. 2014. </w:t>
      </w:r>
      <w:r w:rsidR="00131FEC">
        <w:rPr>
          <w:rFonts w:ascii="Times New Roman" w:hAnsi="Times New Roman"/>
          <w:sz w:val="24"/>
          <w:szCs w:val="24"/>
        </w:rPr>
        <w:t>“</w:t>
      </w:r>
      <w:r w:rsidRPr="002439D0">
        <w:rPr>
          <w:rFonts w:ascii="Times New Roman" w:hAnsi="Times New Roman"/>
          <w:sz w:val="24"/>
          <w:szCs w:val="24"/>
        </w:rPr>
        <w:t>Alternative lifestyles</w:t>
      </w:r>
      <w:r w:rsidR="00131FEC">
        <w:rPr>
          <w:rFonts w:ascii="Times New Roman" w:hAnsi="Times New Roman"/>
          <w:sz w:val="24"/>
          <w:szCs w:val="24"/>
        </w:rPr>
        <w:t>”</w:t>
      </w:r>
      <w:r w:rsidRPr="002439D0">
        <w:rPr>
          <w:rFonts w:ascii="Times New Roman" w:hAnsi="Times New Roman"/>
          <w:sz w:val="24"/>
          <w:szCs w:val="24"/>
        </w:rPr>
        <w:t xml:space="preserve"> and unlawful discrimination: the limits of religious freedom in </w:t>
      </w:r>
      <w:r w:rsidRPr="002439D0">
        <w:rPr>
          <w:rFonts w:ascii="Times New Roman" w:hAnsi="Times New Roman"/>
          <w:i/>
          <w:sz w:val="24"/>
          <w:szCs w:val="24"/>
        </w:rPr>
        <w:t>Bull v Hall</w:t>
      </w:r>
      <w:r w:rsidR="00131FEC">
        <w:rPr>
          <w:rFonts w:ascii="Times New Roman" w:hAnsi="Times New Roman"/>
          <w:iCs/>
          <w:sz w:val="24"/>
          <w:szCs w:val="24"/>
        </w:rPr>
        <w:t>.</w:t>
      </w:r>
      <w:r w:rsidRPr="002439D0">
        <w:rPr>
          <w:rFonts w:ascii="Times New Roman" w:hAnsi="Times New Roman"/>
          <w:sz w:val="24"/>
          <w:szCs w:val="24"/>
        </w:rPr>
        <w:t xml:space="preserve"> </w:t>
      </w:r>
      <w:r w:rsidRPr="00131FEC">
        <w:rPr>
          <w:rFonts w:ascii="Times New Roman" w:hAnsi="Times New Roman"/>
          <w:i/>
          <w:iCs/>
          <w:sz w:val="24"/>
          <w:szCs w:val="24"/>
        </w:rPr>
        <w:t>E</w:t>
      </w:r>
      <w:r w:rsidR="00131FEC" w:rsidRPr="00131FEC">
        <w:rPr>
          <w:rFonts w:ascii="Times New Roman" w:hAnsi="Times New Roman"/>
          <w:i/>
          <w:iCs/>
          <w:sz w:val="24"/>
          <w:szCs w:val="24"/>
        </w:rPr>
        <w:t xml:space="preserve">uropean </w:t>
      </w:r>
      <w:r w:rsidRPr="00131FEC">
        <w:rPr>
          <w:rFonts w:ascii="Times New Roman" w:hAnsi="Times New Roman"/>
          <w:i/>
          <w:iCs/>
          <w:sz w:val="24"/>
          <w:szCs w:val="24"/>
        </w:rPr>
        <w:t>H</w:t>
      </w:r>
      <w:r w:rsidR="00131FEC" w:rsidRPr="00131FEC">
        <w:rPr>
          <w:rFonts w:ascii="Times New Roman" w:hAnsi="Times New Roman"/>
          <w:i/>
          <w:iCs/>
          <w:sz w:val="24"/>
          <w:szCs w:val="24"/>
        </w:rPr>
        <w:t xml:space="preserve">uman </w:t>
      </w:r>
      <w:r w:rsidRPr="00131FEC">
        <w:rPr>
          <w:rFonts w:ascii="Times New Roman" w:hAnsi="Times New Roman"/>
          <w:i/>
          <w:iCs/>
          <w:sz w:val="24"/>
          <w:szCs w:val="24"/>
        </w:rPr>
        <w:t>R</w:t>
      </w:r>
      <w:r w:rsidR="00131FEC" w:rsidRPr="00131FEC">
        <w:rPr>
          <w:rFonts w:ascii="Times New Roman" w:hAnsi="Times New Roman"/>
          <w:i/>
          <w:iCs/>
          <w:sz w:val="24"/>
          <w:szCs w:val="24"/>
        </w:rPr>
        <w:t xml:space="preserve">ights </w:t>
      </w:r>
      <w:r w:rsidRPr="00131FEC">
        <w:rPr>
          <w:rFonts w:ascii="Times New Roman" w:hAnsi="Times New Roman"/>
          <w:i/>
          <w:iCs/>
          <w:sz w:val="24"/>
          <w:szCs w:val="24"/>
        </w:rPr>
        <w:t>L</w:t>
      </w:r>
      <w:r w:rsidR="00131FEC" w:rsidRPr="00131FEC">
        <w:rPr>
          <w:rFonts w:ascii="Times New Roman" w:hAnsi="Times New Roman"/>
          <w:i/>
          <w:iCs/>
          <w:sz w:val="24"/>
          <w:szCs w:val="24"/>
        </w:rPr>
        <w:t xml:space="preserve">aw </w:t>
      </w:r>
      <w:r w:rsidRPr="00131FEC">
        <w:rPr>
          <w:rFonts w:ascii="Times New Roman" w:hAnsi="Times New Roman"/>
          <w:i/>
          <w:iCs/>
          <w:sz w:val="24"/>
          <w:szCs w:val="24"/>
        </w:rPr>
        <w:t>R</w:t>
      </w:r>
      <w:r w:rsidR="00131FEC" w:rsidRPr="00131FEC">
        <w:rPr>
          <w:rFonts w:ascii="Times New Roman" w:hAnsi="Times New Roman"/>
          <w:i/>
          <w:iCs/>
          <w:sz w:val="24"/>
          <w:szCs w:val="24"/>
        </w:rPr>
        <w:t>eview</w:t>
      </w:r>
      <w:r w:rsidR="00131FEC">
        <w:rPr>
          <w:rFonts w:ascii="Times New Roman" w:hAnsi="Times New Roman"/>
          <w:sz w:val="24"/>
          <w:szCs w:val="24"/>
        </w:rPr>
        <w:t xml:space="preserve"> </w:t>
      </w:r>
      <w:r w:rsidRPr="002439D0">
        <w:rPr>
          <w:rFonts w:ascii="Times New Roman" w:hAnsi="Times New Roman"/>
          <w:sz w:val="24"/>
          <w:szCs w:val="24"/>
        </w:rPr>
        <w:t>2014</w:t>
      </w:r>
      <w:r w:rsidR="00131FEC">
        <w:rPr>
          <w:rFonts w:ascii="Times New Roman" w:hAnsi="Times New Roman"/>
          <w:sz w:val="24"/>
          <w:szCs w:val="24"/>
        </w:rPr>
        <w:t>(1</w:t>
      </w:r>
      <w:r w:rsidRPr="002439D0">
        <w:rPr>
          <w:rFonts w:ascii="Times New Roman" w:hAnsi="Times New Roman"/>
          <w:sz w:val="24"/>
          <w:szCs w:val="24"/>
        </w:rPr>
        <w:t>)</w:t>
      </w:r>
      <w:r w:rsidR="00131FEC">
        <w:rPr>
          <w:rFonts w:ascii="Times New Roman" w:hAnsi="Times New Roman"/>
          <w:sz w:val="24"/>
          <w:szCs w:val="24"/>
        </w:rPr>
        <w:t>:</w:t>
      </w:r>
      <w:r w:rsidRPr="002439D0">
        <w:rPr>
          <w:rFonts w:ascii="Times New Roman" w:hAnsi="Times New Roman"/>
          <w:sz w:val="24"/>
          <w:szCs w:val="24"/>
        </w:rPr>
        <w:t xml:space="preserve"> 39</w:t>
      </w:r>
      <w:r w:rsidR="00131FEC">
        <w:rPr>
          <w:rFonts w:cs="Calibri"/>
          <w:sz w:val="24"/>
          <w:szCs w:val="24"/>
        </w:rPr>
        <w:t>–</w:t>
      </w:r>
      <w:r w:rsidR="00131FEC">
        <w:rPr>
          <w:rFonts w:ascii="Times New Roman" w:hAnsi="Times New Roman"/>
          <w:sz w:val="24"/>
          <w:szCs w:val="24"/>
        </w:rPr>
        <w:t>48.</w:t>
      </w:r>
    </w:p>
    <w:bookmarkEnd w:id="32"/>
    <w:p w:rsidR="007C0D8B" w:rsidRDefault="00A90076" w:rsidP="00155ACB">
      <w:pPr>
        <w:spacing w:line="480" w:lineRule="auto"/>
        <w:rPr>
          <w:rFonts w:ascii="Times New Roman" w:hAnsi="Times New Roman"/>
          <w:bCs/>
          <w:sz w:val="24"/>
          <w:szCs w:val="24"/>
        </w:rPr>
      </w:pPr>
      <w:r w:rsidRPr="00A90076">
        <w:rPr>
          <w:rFonts w:ascii="Times New Roman" w:hAnsi="Times New Roman"/>
          <w:sz w:val="24"/>
          <w:szCs w:val="24"/>
        </w:rPr>
        <w:t>Wintemute,</w:t>
      </w:r>
      <w:r w:rsidR="006511F2">
        <w:rPr>
          <w:rFonts w:ascii="Times New Roman" w:hAnsi="Times New Roman"/>
          <w:sz w:val="24"/>
          <w:szCs w:val="24"/>
        </w:rPr>
        <w:t xml:space="preserve"> </w:t>
      </w:r>
      <w:r w:rsidR="006511F2" w:rsidRPr="006511F2">
        <w:rPr>
          <w:rFonts w:ascii="Times New Roman" w:hAnsi="Times New Roman"/>
          <w:sz w:val="24"/>
          <w:szCs w:val="24"/>
        </w:rPr>
        <w:t>Robert</w:t>
      </w:r>
      <w:r w:rsidR="006511F2">
        <w:rPr>
          <w:rFonts w:ascii="Times New Roman" w:hAnsi="Times New Roman"/>
          <w:sz w:val="24"/>
          <w:szCs w:val="24"/>
        </w:rPr>
        <w:t>. 1997</w:t>
      </w:r>
      <w:r w:rsidR="00830288">
        <w:rPr>
          <w:rFonts w:ascii="Times New Roman" w:hAnsi="Times New Roman"/>
          <w:sz w:val="24"/>
          <w:szCs w:val="24"/>
        </w:rPr>
        <w:t>a</w:t>
      </w:r>
      <w:r w:rsidR="006511F2">
        <w:rPr>
          <w:rFonts w:ascii="Times New Roman" w:hAnsi="Times New Roman"/>
          <w:sz w:val="24"/>
          <w:szCs w:val="24"/>
        </w:rPr>
        <w:t>.</w:t>
      </w:r>
      <w:r w:rsidRPr="00A90076">
        <w:rPr>
          <w:rFonts w:ascii="Times New Roman" w:hAnsi="Times New Roman"/>
          <w:sz w:val="24"/>
          <w:szCs w:val="24"/>
        </w:rPr>
        <w:t xml:space="preserve"> </w:t>
      </w:r>
      <w:r w:rsidRPr="00A90076">
        <w:rPr>
          <w:rFonts w:ascii="Times New Roman" w:hAnsi="Times New Roman"/>
          <w:bCs/>
          <w:sz w:val="24"/>
          <w:szCs w:val="24"/>
        </w:rPr>
        <w:t>Recognising New Kinds of Direct Sex Discrimination: Transsexualism, Sexual Orientation and Dress Codes</w:t>
      </w:r>
      <w:r w:rsidR="007C0D8B">
        <w:rPr>
          <w:rFonts w:ascii="Times New Roman" w:hAnsi="Times New Roman"/>
          <w:bCs/>
          <w:sz w:val="24"/>
          <w:szCs w:val="24"/>
        </w:rPr>
        <w:t>.</w:t>
      </w:r>
      <w:r w:rsidRPr="00A90076">
        <w:rPr>
          <w:rFonts w:ascii="Times New Roman" w:hAnsi="Times New Roman"/>
          <w:bCs/>
          <w:sz w:val="24"/>
          <w:szCs w:val="24"/>
        </w:rPr>
        <w:t xml:space="preserve"> </w:t>
      </w:r>
      <w:r w:rsidRPr="007C0D8B">
        <w:rPr>
          <w:rFonts w:ascii="Times New Roman" w:hAnsi="Times New Roman"/>
          <w:bCs/>
          <w:i/>
          <w:iCs/>
          <w:sz w:val="24"/>
          <w:szCs w:val="24"/>
        </w:rPr>
        <w:t>Modern Law Review</w:t>
      </w:r>
      <w:r w:rsidRPr="00A90076">
        <w:rPr>
          <w:rFonts w:ascii="Times New Roman" w:hAnsi="Times New Roman"/>
          <w:bCs/>
          <w:sz w:val="24"/>
          <w:szCs w:val="24"/>
        </w:rPr>
        <w:t xml:space="preserve"> </w:t>
      </w:r>
      <w:r w:rsidR="007C0D8B">
        <w:rPr>
          <w:rFonts w:ascii="Times New Roman" w:hAnsi="Times New Roman"/>
          <w:bCs/>
          <w:sz w:val="24"/>
          <w:szCs w:val="24"/>
        </w:rPr>
        <w:t>60</w:t>
      </w:r>
      <w:r w:rsidR="007C0D8B" w:rsidRPr="007C0D8B">
        <w:rPr>
          <w:rFonts w:ascii="Times New Roman" w:hAnsi="Times New Roman"/>
          <w:bCs/>
          <w:sz w:val="24"/>
          <w:szCs w:val="24"/>
        </w:rPr>
        <w:t>(3):</w:t>
      </w:r>
      <w:r w:rsidR="007C0D8B">
        <w:rPr>
          <w:rFonts w:ascii="Times New Roman" w:hAnsi="Times New Roman"/>
          <w:bCs/>
          <w:sz w:val="24"/>
          <w:szCs w:val="24"/>
        </w:rPr>
        <w:t xml:space="preserve"> </w:t>
      </w:r>
      <w:r w:rsidR="007C0D8B" w:rsidRPr="007C0D8B">
        <w:rPr>
          <w:rFonts w:ascii="Times New Roman" w:hAnsi="Times New Roman"/>
          <w:bCs/>
          <w:sz w:val="24"/>
          <w:szCs w:val="24"/>
        </w:rPr>
        <w:t>334</w:t>
      </w:r>
      <w:r w:rsidR="009E573E">
        <w:rPr>
          <w:rFonts w:cs="Calibri"/>
          <w:bCs/>
          <w:sz w:val="24"/>
          <w:szCs w:val="24"/>
        </w:rPr>
        <w:t>–</w:t>
      </w:r>
      <w:r w:rsidR="007C0D8B" w:rsidRPr="007C0D8B">
        <w:rPr>
          <w:rFonts w:ascii="Times New Roman" w:hAnsi="Times New Roman"/>
          <w:bCs/>
          <w:sz w:val="24"/>
          <w:szCs w:val="24"/>
        </w:rPr>
        <w:t>359</w:t>
      </w:r>
      <w:r w:rsidR="007C0D8B">
        <w:rPr>
          <w:rFonts w:ascii="Times New Roman" w:hAnsi="Times New Roman"/>
          <w:bCs/>
          <w:sz w:val="24"/>
          <w:szCs w:val="24"/>
        </w:rPr>
        <w:t>.</w:t>
      </w:r>
    </w:p>
    <w:p w:rsidR="00A90076" w:rsidRPr="007C0D8B" w:rsidRDefault="00A90076" w:rsidP="00155ACB">
      <w:pPr>
        <w:spacing w:line="480" w:lineRule="auto"/>
        <w:rPr>
          <w:rFonts w:ascii="Times New Roman" w:hAnsi="Times New Roman"/>
          <w:bCs/>
          <w:sz w:val="24"/>
          <w:szCs w:val="24"/>
        </w:rPr>
      </w:pPr>
      <w:r w:rsidRPr="00A90076">
        <w:rPr>
          <w:rFonts w:ascii="Times New Roman" w:hAnsi="Times New Roman"/>
          <w:bCs/>
          <w:sz w:val="24"/>
          <w:szCs w:val="24"/>
        </w:rPr>
        <w:t>Wintemute,</w:t>
      </w:r>
      <w:r w:rsidR="00830288">
        <w:rPr>
          <w:rFonts w:ascii="Times New Roman" w:hAnsi="Times New Roman"/>
          <w:bCs/>
          <w:sz w:val="24"/>
          <w:szCs w:val="24"/>
        </w:rPr>
        <w:t xml:space="preserve"> </w:t>
      </w:r>
      <w:r w:rsidR="00830288" w:rsidRPr="00830288">
        <w:rPr>
          <w:rFonts w:ascii="Times New Roman" w:hAnsi="Times New Roman"/>
          <w:bCs/>
          <w:sz w:val="24"/>
          <w:szCs w:val="24"/>
        </w:rPr>
        <w:t>Robert</w:t>
      </w:r>
      <w:r w:rsidR="00830288">
        <w:rPr>
          <w:rFonts w:ascii="Times New Roman" w:hAnsi="Times New Roman"/>
          <w:bCs/>
          <w:sz w:val="24"/>
          <w:szCs w:val="24"/>
        </w:rPr>
        <w:t>. 1997b.</w:t>
      </w:r>
      <w:r w:rsidRPr="00A90076">
        <w:rPr>
          <w:rFonts w:ascii="Times New Roman" w:hAnsi="Times New Roman"/>
          <w:bCs/>
          <w:sz w:val="24"/>
          <w:szCs w:val="24"/>
        </w:rPr>
        <w:t xml:space="preserve"> </w:t>
      </w:r>
      <w:r w:rsidRPr="00A90076">
        <w:rPr>
          <w:rFonts w:ascii="Times New Roman" w:hAnsi="Times New Roman"/>
          <w:bCs/>
          <w:i/>
          <w:sz w:val="24"/>
          <w:szCs w:val="24"/>
        </w:rPr>
        <w:t>Sexual Orientation and Human Rights</w:t>
      </w:r>
      <w:r w:rsidR="00830288">
        <w:rPr>
          <w:rFonts w:ascii="Times New Roman" w:hAnsi="Times New Roman"/>
          <w:sz w:val="24"/>
          <w:szCs w:val="24"/>
        </w:rPr>
        <w:t xml:space="preserve">. </w:t>
      </w:r>
      <w:r w:rsidR="00830288" w:rsidRPr="00830288">
        <w:rPr>
          <w:rFonts w:ascii="Times New Roman" w:hAnsi="Times New Roman"/>
          <w:bCs/>
          <w:sz w:val="24"/>
          <w:szCs w:val="24"/>
        </w:rPr>
        <w:t>Oxford: Oxford University Press.</w:t>
      </w:r>
    </w:p>
    <w:p w:rsidR="00830288" w:rsidRPr="00830288" w:rsidRDefault="00830288" w:rsidP="00830288">
      <w:pPr>
        <w:spacing w:line="480" w:lineRule="auto"/>
        <w:rPr>
          <w:rFonts w:ascii="Times New Roman" w:hAnsi="Times New Roman"/>
          <w:bCs/>
          <w:sz w:val="24"/>
          <w:szCs w:val="24"/>
        </w:rPr>
      </w:pPr>
      <w:r w:rsidRPr="00830288">
        <w:rPr>
          <w:rFonts w:ascii="Times New Roman" w:hAnsi="Times New Roman"/>
          <w:bCs/>
          <w:sz w:val="24"/>
          <w:szCs w:val="24"/>
        </w:rPr>
        <w:t xml:space="preserve">Wintemute, Robert. 2003. Sex Discrimination in </w:t>
      </w:r>
      <w:r w:rsidRPr="00830288">
        <w:rPr>
          <w:rFonts w:ascii="Times New Roman" w:hAnsi="Times New Roman"/>
          <w:bCs/>
          <w:i/>
          <w:sz w:val="24"/>
          <w:szCs w:val="24"/>
        </w:rPr>
        <w:t xml:space="preserve">MacDonald </w:t>
      </w:r>
      <w:r w:rsidRPr="00830288">
        <w:rPr>
          <w:rFonts w:ascii="Times New Roman" w:hAnsi="Times New Roman"/>
          <w:bCs/>
          <w:sz w:val="24"/>
          <w:szCs w:val="24"/>
        </w:rPr>
        <w:t>and</w:t>
      </w:r>
      <w:r w:rsidRPr="00830288">
        <w:rPr>
          <w:rFonts w:ascii="Times New Roman" w:hAnsi="Times New Roman"/>
          <w:bCs/>
          <w:i/>
          <w:sz w:val="24"/>
          <w:szCs w:val="24"/>
        </w:rPr>
        <w:t xml:space="preserve"> Pearce</w:t>
      </w:r>
      <w:r w:rsidRPr="00830288">
        <w:rPr>
          <w:rFonts w:ascii="Times New Roman" w:hAnsi="Times New Roman"/>
          <w:bCs/>
          <w:sz w:val="24"/>
          <w:szCs w:val="24"/>
        </w:rPr>
        <w:t xml:space="preserve">: Why the Law Lords Chose the Wrong Comparators. </w:t>
      </w:r>
      <w:r w:rsidRPr="00830288">
        <w:rPr>
          <w:rFonts w:ascii="Times New Roman" w:hAnsi="Times New Roman"/>
          <w:bCs/>
          <w:i/>
          <w:iCs/>
          <w:sz w:val="24"/>
          <w:szCs w:val="24"/>
        </w:rPr>
        <w:t>King’s College Law Journal</w:t>
      </w:r>
      <w:r w:rsidRPr="00830288">
        <w:rPr>
          <w:rFonts w:ascii="Times New Roman" w:hAnsi="Times New Roman"/>
          <w:bCs/>
          <w:sz w:val="24"/>
          <w:szCs w:val="24"/>
        </w:rPr>
        <w:t xml:space="preserve"> 14(2): 267–281; </w:t>
      </w:r>
    </w:p>
    <w:p w:rsidR="00A90076" w:rsidRDefault="00A90076" w:rsidP="00155ACB">
      <w:pPr>
        <w:spacing w:line="480" w:lineRule="auto"/>
        <w:rPr>
          <w:rFonts w:ascii="Times New Roman" w:hAnsi="Times New Roman"/>
          <w:sz w:val="24"/>
          <w:szCs w:val="24"/>
        </w:rPr>
      </w:pPr>
    </w:p>
    <w:p w:rsidR="00AC5334" w:rsidRDefault="00AC5334" w:rsidP="005F7A09">
      <w:pPr>
        <w:spacing w:line="480" w:lineRule="auto"/>
        <w:contextualSpacing/>
        <w:rPr>
          <w:rFonts w:ascii="Times New Roman" w:hAnsi="Times New Roman"/>
          <w:sz w:val="24"/>
          <w:szCs w:val="24"/>
          <w:u w:val="single"/>
        </w:rPr>
      </w:pPr>
      <w:bookmarkStart w:id="33" w:name="_Hlk44509014"/>
      <w:r w:rsidRPr="005F7A09">
        <w:rPr>
          <w:rFonts w:ascii="Times New Roman" w:hAnsi="Times New Roman"/>
          <w:sz w:val="24"/>
          <w:szCs w:val="24"/>
          <w:u w:val="single"/>
        </w:rPr>
        <w:t>List of Laws</w:t>
      </w:r>
    </w:p>
    <w:p w:rsidR="005F7A09" w:rsidRPr="005F7A09" w:rsidRDefault="005F7A09" w:rsidP="005F7A09">
      <w:pPr>
        <w:spacing w:line="480" w:lineRule="auto"/>
        <w:contextualSpacing/>
        <w:rPr>
          <w:rFonts w:ascii="Times New Roman" w:hAnsi="Times New Roman"/>
          <w:sz w:val="24"/>
          <w:szCs w:val="24"/>
          <w:u w:val="single"/>
        </w:rPr>
      </w:pPr>
      <w:r>
        <w:rPr>
          <w:rFonts w:ascii="Times New Roman" w:hAnsi="Times New Roman"/>
          <w:sz w:val="24"/>
          <w:szCs w:val="24"/>
          <w:u w:val="single"/>
        </w:rPr>
        <w:lastRenderedPageBreak/>
        <w:t>UK</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sz w:val="24"/>
          <w:szCs w:val="24"/>
        </w:rPr>
        <w:t>Sex Discrimination Act 1975</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sz w:val="24"/>
          <w:szCs w:val="24"/>
        </w:rPr>
        <w:t>Race Relations Act 1976</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sz w:val="24"/>
          <w:szCs w:val="24"/>
        </w:rPr>
        <w:t xml:space="preserve">Equality Act 2006 </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sz w:val="24"/>
          <w:szCs w:val="24"/>
        </w:rPr>
        <w:t xml:space="preserve">Equality Act (Sexual Orientation) Regulations 2007 </w:t>
      </w:r>
    </w:p>
    <w:p w:rsidR="00AC5334" w:rsidRDefault="00AC5334" w:rsidP="005F7A09">
      <w:pPr>
        <w:spacing w:line="480" w:lineRule="auto"/>
        <w:contextualSpacing/>
        <w:rPr>
          <w:rFonts w:ascii="Times New Roman" w:hAnsi="Times New Roman"/>
          <w:sz w:val="24"/>
          <w:szCs w:val="24"/>
        </w:rPr>
      </w:pPr>
      <w:r w:rsidRPr="005F7A09">
        <w:rPr>
          <w:rFonts w:ascii="Times New Roman" w:hAnsi="Times New Roman"/>
          <w:sz w:val="24"/>
          <w:szCs w:val="24"/>
        </w:rPr>
        <w:t>Equality Act 2010</w:t>
      </w:r>
    </w:p>
    <w:p w:rsidR="005F7A09" w:rsidRPr="005F7A09" w:rsidRDefault="005F7A09" w:rsidP="005F7A09">
      <w:pPr>
        <w:spacing w:line="480" w:lineRule="auto"/>
        <w:contextualSpacing/>
        <w:rPr>
          <w:rFonts w:ascii="Times New Roman" w:hAnsi="Times New Roman"/>
          <w:sz w:val="24"/>
          <w:szCs w:val="24"/>
        </w:rPr>
      </w:pPr>
      <w:r w:rsidRPr="005F7A09">
        <w:rPr>
          <w:rFonts w:ascii="Times New Roman" w:hAnsi="Times New Roman"/>
          <w:sz w:val="24"/>
          <w:szCs w:val="24"/>
        </w:rPr>
        <w:t>Marriage (Same-sex Couples) Act 2013</w:t>
      </w:r>
    </w:p>
    <w:p w:rsidR="005F7A09" w:rsidRPr="005F7A09" w:rsidRDefault="005F7A09" w:rsidP="005F7A09">
      <w:pPr>
        <w:spacing w:line="480" w:lineRule="auto"/>
        <w:contextualSpacing/>
        <w:rPr>
          <w:rFonts w:ascii="Times New Roman" w:hAnsi="Times New Roman"/>
          <w:sz w:val="24"/>
          <w:szCs w:val="24"/>
          <w:u w:val="single"/>
        </w:rPr>
      </w:pPr>
      <w:r w:rsidRPr="005F7A09">
        <w:rPr>
          <w:rFonts w:ascii="Times New Roman" w:hAnsi="Times New Roman"/>
          <w:sz w:val="24"/>
          <w:szCs w:val="24"/>
          <w:u w:val="single"/>
        </w:rPr>
        <w:t>Abroad</w:t>
      </w:r>
    </w:p>
    <w:p w:rsidR="005F7A09" w:rsidRPr="005F7A09" w:rsidRDefault="005F7A09" w:rsidP="005F7A09">
      <w:pPr>
        <w:spacing w:line="480" w:lineRule="auto"/>
        <w:contextualSpacing/>
        <w:rPr>
          <w:rFonts w:ascii="Times New Roman" w:hAnsi="Times New Roman"/>
          <w:sz w:val="24"/>
          <w:szCs w:val="24"/>
        </w:rPr>
      </w:pPr>
      <w:r w:rsidRPr="005F7A09">
        <w:rPr>
          <w:rFonts w:ascii="Times New Roman" w:hAnsi="Times New Roman"/>
          <w:sz w:val="24"/>
          <w:szCs w:val="24"/>
        </w:rPr>
        <w:t>Civil Rights Act 1964 (United States)</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sz w:val="24"/>
          <w:szCs w:val="24"/>
        </w:rPr>
        <w:t>Charter of Fundamental Rights of the European Union (2000/C 364/01), 18 December 2000</w:t>
      </w:r>
      <w:r w:rsidR="005F7A09">
        <w:rPr>
          <w:rFonts w:ascii="Times New Roman" w:hAnsi="Times New Roman"/>
          <w:sz w:val="24"/>
          <w:szCs w:val="24"/>
        </w:rPr>
        <w:t xml:space="preserve"> (EU)</w:t>
      </w:r>
    </w:p>
    <w:p w:rsidR="00657DF6" w:rsidRPr="00657DF6" w:rsidRDefault="00657DF6" w:rsidP="00657DF6">
      <w:pPr>
        <w:spacing w:line="480" w:lineRule="auto"/>
        <w:contextualSpacing/>
        <w:rPr>
          <w:rFonts w:ascii="Times New Roman" w:hAnsi="Times New Roman"/>
          <w:sz w:val="24"/>
          <w:szCs w:val="24"/>
        </w:rPr>
      </w:pPr>
      <w:r w:rsidRPr="00657DF6">
        <w:rPr>
          <w:rFonts w:ascii="Times New Roman" w:hAnsi="Times New Roman"/>
          <w:sz w:val="24"/>
          <w:szCs w:val="24"/>
        </w:rPr>
        <w:t>Directive 2006/54/EC of the European Parliament and of the Council of 5 July 2006 (OJ 2006 L 204) (EU)</w:t>
      </w:r>
    </w:p>
    <w:p w:rsidR="00AC5334" w:rsidRPr="005F7A09" w:rsidRDefault="00AC5334" w:rsidP="005F7A09">
      <w:pPr>
        <w:spacing w:line="480" w:lineRule="auto"/>
        <w:contextualSpacing/>
        <w:rPr>
          <w:rFonts w:ascii="Times New Roman" w:hAnsi="Times New Roman"/>
          <w:sz w:val="24"/>
          <w:szCs w:val="24"/>
        </w:rPr>
      </w:pPr>
    </w:p>
    <w:p w:rsidR="00AC5334" w:rsidRDefault="00AC5334" w:rsidP="005F7A09">
      <w:pPr>
        <w:spacing w:line="480" w:lineRule="auto"/>
        <w:contextualSpacing/>
        <w:rPr>
          <w:rFonts w:ascii="Times New Roman" w:hAnsi="Times New Roman"/>
          <w:sz w:val="24"/>
          <w:szCs w:val="24"/>
          <w:u w:val="single"/>
        </w:rPr>
      </w:pPr>
      <w:r w:rsidRPr="005F7A09">
        <w:rPr>
          <w:rFonts w:ascii="Times New Roman" w:hAnsi="Times New Roman"/>
          <w:sz w:val="24"/>
          <w:szCs w:val="24"/>
          <w:u w:val="single"/>
        </w:rPr>
        <w:t>List of Cases</w:t>
      </w:r>
    </w:p>
    <w:p w:rsidR="00BF4709" w:rsidRDefault="00BF4709" w:rsidP="005F7A09">
      <w:pPr>
        <w:spacing w:line="480" w:lineRule="auto"/>
        <w:contextualSpacing/>
        <w:rPr>
          <w:rFonts w:ascii="Times New Roman" w:hAnsi="Times New Roman"/>
          <w:sz w:val="24"/>
          <w:szCs w:val="24"/>
          <w:u w:val="single"/>
        </w:rPr>
      </w:pPr>
      <w:r>
        <w:rPr>
          <w:rFonts w:ascii="Times New Roman" w:hAnsi="Times New Roman"/>
          <w:sz w:val="24"/>
          <w:szCs w:val="24"/>
          <w:u w:val="single"/>
        </w:rPr>
        <w:t>UK</w:t>
      </w:r>
    </w:p>
    <w:p w:rsidR="00B31675" w:rsidRPr="00B31675" w:rsidRDefault="00B31675" w:rsidP="00B31675">
      <w:pPr>
        <w:spacing w:line="480" w:lineRule="auto"/>
        <w:contextualSpacing/>
        <w:rPr>
          <w:rFonts w:ascii="Times New Roman" w:hAnsi="Times New Roman"/>
          <w:bCs/>
          <w:sz w:val="24"/>
          <w:szCs w:val="24"/>
        </w:rPr>
      </w:pPr>
      <w:r w:rsidRPr="00B31675">
        <w:rPr>
          <w:rFonts w:ascii="Times New Roman" w:hAnsi="Times New Roman"/>
          <w:bCs/>
          <w:iCs/>
          <w:sz w:val="24"/>
          <w:szCs w:val="24"/>
        </w:rPr>
        <w:t xml:space="preserve">Bristol County Court. </w:t>
      </w:r>
      <w:r w:rsidRPr="00B31675">
        <w:rPr>
          <w:rFonts w:ascii="Times New Roman" w:hAnsi="Times New Roman"/>
          <w:bCs/>
          <w:sz w:val="24"/>
          <w:szCs w:val="24"/>
        </w:rPr>
        <w:t xml:space="preserve">Hall and </w:t>
      </w:r>
      <w:proofErr w:type="spellStart"/>
      <w:r w:rsidRPr="00B31675">
        <w:rPr>
          <w:rFonts w:ascii="Times New Roman" w:hAnsi="Times New Roman"/>
          <w:bCs/>
          <w:sz w:val="24"/>
          <w:szCs w:val="24"/>
        </w:rPr>
        <w:t>Preddy</w:t>
      </w:r>
      <w:proofErr w:type="spellEnd"/>
      <w:r w:rsidRPr="00B31675">
        <w:rPr>
          <w:rFonts w:ascii="Times New Roman" w:hAnsi="Times New Roman"/>
          <w:bCs/>
          <w:sz w:val="24"/>
          <w:szCs w:val="24"/>
        </w:rPr>
        <w:t xml:space="preserve"> v Bull and Bull</w:t>
      </w:r>
      <w:r w:rsidRPr="00B31675">
        <w:rPr>
          <w:rFonts w:ascii="Times New Roman" w:hAnsi="Times New Roman"/>
          <w:bCs/>
          <w:iCs/>
          <w:sz w:val="24"/>
          <w:szCs w:val="24"/>
        </w:rPr>
        <w:t xml:space="preserve">. </w:t>
      </w:r>
      <w:r w:rsidRPr="00B31675">
        <w:rPr>
          <w:rFonts w:ascii="Times New Roman" w:hAnsi="Times New Roman"/>
          <w:bCs/>
          <w:sz w:val="24"/>
          <w:szCs w:val="24"/>
        </w:rPr>
        <w:t xml:space="preserve">[2011] EW </w:t>
      </w:r>
      <w:proofErr w:type="spellStart"/>
      <w:r w:rsidRPr="00B31675">
        <w:rPr>
          <w:rFonts w:ascii="Times New Roman" w:hAnsi="Times New Roman"/>
          <w:bCs/>
          <w:sz w:val="24"/>
          <w:szCs w:val="24"/>
        </w:rPr>
        <w:t>Misc</w:t>
      </w:r>
      <w:proofErr w:type="spellEnd"/>
      <w:r w:rsidRPr="00B31675">
        <w:rPr>
          <w:rFonts w:ascii="Times New Roman" w:hAnsi="Times New Roman"/>
          <w:bCs/>
          <w:sz w:val="24"/>
          <w:szCs w:val="24"/>
        </w:rPr>
        <w:t xml:space="preserve"> 2 (CC), [2011] </w:t>
      </w:r>
      <w:proofErr w:type="spellStart"/>
      <w:r w:rsidRPr="00B31675">
        <w:rPr>
          <w:rFonts w:ascii="Times New Roman" w:hAnsi="Times New Roman"/>
          <w:bCs/>
          <w:sz w:val="24"/>
          <w:szCs w:val="24"/>
        </w:rPr>
        <w:t>EqLR</w:t>
      </w:r>
      <w:proofErr w:type="spellEnd"/>
      <w:r w:rsidRPr="00B31675">
        <w:rPr>
          <w:rFonts w:ascii="Times New Roman" w:hAnsi="Times New Roman"/>
          <w:bCs/>
          <w:sz w:val="24"/>
          <w:szCs w:val="24"/>
        </w:rPr>
        <w:t xml:space="preserve"> 283.</w:t>
      </w:r>
    </w:p>
    <w:p w:rsidR="00B31675" w:rsidRPr="00B31675" w:rsidRDefault="00B31675" w:rsidP="00B31675">
      <w:pPr>
        <w:spacing w:line="480" w:lineRule="auto"/>
        <w:contextualSpacing/>
        <w:rPr>
          <w:rFonts w:ascii="Times New Roman" w:hAnsi="Times New Roman"/>
          <w:bCs/>
          <w:sz w:val="24"/>
          <w:szCs w:val="24"/>
        </w:rPr>
      </w:pPr>
      <w:r w:rsidRPr="00B31675">
        <w:rPr>
          <w:rFonts w:ascii="Times New Roman" w:hAnsi="Times New Roman"/>
          <w:bCs/>
          <w:iCs/>
          <w:sz w:val="24"/>
          <w:szCs w:val="24"/>
        </w:rPr>
        <w:t xml:space="preserve">Slough County Court. Black and Morgan v Wilkinson. </w:t>
      </w:r>
      <w:r w:rsidRPr="00B31675">
        <w:rPr>
          <w:rFonts w:ascii="Times New Roman" w:hAnsi="Times New Roman"/>
          <w:bCs/>
          <w:sz w:val="24"/>
          <w:szCs w:val="24"/>
        </w:rPr>
        <w:t xml:space="preserve">[2012] EW </w:t>
      </w:r>
      <w:proofErr w:type="spellStart"/>
      <w:r w:rsidRPr="00B31675">
        <w:rPr>
          <w:rFonts w:ascii="Times New Roman" w:hAnsi="Times New Roman"/>
          <w:bCs/>
          <w:sz w:val="24"/>
          <w:szCs w:val="24"/>
        </w:rPr>
        <w:t>Misc</w:t>
      </w:r>
      <w:proofErr w:type="spellEnd"/>
      <w:r w:rsidRPr="00B31675">
        <w:rPr>
          <w:rFonts w:ascii="Times New Roman" w:hAnsi="Times New Roman"/>
          <w:bCs/>
          <w:sz w:val="24"/>
          <w:szCs w:val="24"/>
        </w:rPr>
        <w:t xml:space="preserve"> (CC), Claim No. 0UD02282 (unreported), 18 October 2012, Judgment of Ms Recorder Moulder.</w:t>
      </w:r>
    </w:p>
    <w:p w:rsidR="00BF4709" w:rsidRPr="00BF4709" w:rsidRDefault="00BF4709" w:rsidP="00BF4709">
      <w:pPr>
        <w:spacing w:line="480" w:lineRule="auto"/>
        <w:contextualSpacing/>
        <w:rPr>
          <w:rFonts w:ascii="Times New Roman" w:hAnsi="Times New Roman"/>
          <w:bCs/>
          <w:iCs/>
          <w:sz w:val="24"/>
          <w:szCs w:val="24"/>
        </w:rPr>
      </w:pPr>
      <w:r w:rsidRPr="00BF4709">
        <w:rPr>
          <w:rFonts w:ascii="Times New Roman" w:hAnsi="Times New Roman"/>
          <w:bCs/>
          <w:sz w:val="24"/>
          <w:szCs w:val="24"/>
        </w:rPr>
        <w:t>Scotland, Court of Session. Advocate General for Scotland v MacDonald</w:t>
      </w:r>
      <w:r w:rsidRPr="00BF4709">
        <w:rPr>
          <w:rFonts w:ascii="Times New Roman" w:hAnsi="Times New Roman"/>
          <w:bCs/>
          <w:iCs/>
          <w:sz w:val="24"/>
          <w:szCs w:val="24"/>
        </w:rPr>
        <w:t>, also sub nom</w:t>
      </w:r>
      <w:r w:rsidRPr="00BF4709">
        <w:rPr>
          <w:rFonts w:ascii="Times New Roman" w:hAnsi="Times New Roman"/>
          <w:bCs/>
          <w:sz w:val="24"/>
          <w:szCs w:val="24"/>
        </w:rPr>
        <w:t xml:space="preserve"> Secretary of State for Defence v MacDonald</w:t>
      </w:r>
      <w:r w:rsidRPr="00BF4709">
        <w:rPr>
          <w:rFonts w:ascii="Times New Roman" w:hAnsi="Times New Roman"/>
          <w:bCs/>
          <w:iCs/>
          <w:sz w:val="24"/>
          <w:szCs w:val="24"/>
        </w:rPr>
        <w:t xml:space="preserve">. [2001] </w:t>
      </w:r>
      <w:proofErr w:type="spellStart"/>
      <w:r w:rsidRPr="00BF4709">
        <w:rPr>
          <w:rFonts w:ascii="Times New Roman" w:hAnsi="Times New Roman"/>
          <w:bCs/>
          <w:iCs/>
          <w:sz w:val="24"/>
          <w:szCs w:val="24"/>
        </w:rPr>
        <w:t>ScotCS</w:t>
      </w:r>
      <w:proofErr w:type="spellEnd"/>
      <w:r w:rsidRPr="00BF4709">
        <w:rPr>
          <w:rFonts w:ascii="Times New Roman" w:hAnsi="Times New Roman"/>
          <w:bCs/>
          <w:iCs/>
          <w:sz w:val="24"/>
          <w:szCs w:val="24"/>
        </w:rPr>
        <w:t xml:space="preserve"> 140, 2002 SC 1.</w:t>
      </w:r>
    </w:p>
    <w:p w:rsidR="00AE16D3" w:rsidRDefault="00AE16D3" w:rsidP="00BF4709">
      <w:pPr>
        <w:spacing w:line="480" w:lineRule="auto"/>
        <w:contextualSpacing/>
        <w:rPr>
          <w:rFonts w:ascii="Times New Roman" w:hAnsi="Times New Roman"/>
          <w:bCs/>
          <w:iCs/>
          <w:sz w:val="24"/>
          <w:szCs w:val="24"/>
        </w:rPr>
      </w:pPr>
      <w:r w:rsidRPr="00AE16D3">
        <w:rPr>
          <w:rFonts w:ascii="Times New Roman" w:hAnsi="Times New Roman"/>
          <w:bCs/>
          <w:iCs/>
          <w:sz w:val="24"/>
          <w:szCs w:val="24"/>
        </w:rPr>
        <w:t>Great Britain, Employment Appeal Tribunal.</w:t>
      </w:r>
      <w:r>
        <w:rPr>
          <w:rFonts w:ascii="Times New Roman" w:hAnsi="Times New Roman"/>
          <w:bCs/>
          <w:iCs/>
          <w:sz w:val="24"/>
          <w:szCs w:val="24"/>
        </w:rPr>
        <w:t xml:space="preserve"> </w:t>
      </w:r>
      <w:proofErr w:type="spellStart"/>
      <w:r w:rsidRPr="00AE16D3">
        <w:rPr>
          <w:rFonts w:ascii="Times New Roman" w:hAnsi="Times New Roman"/>
          <w:bCs/>
          <w:sz w:val="24"/>
          <w:szCs w:val="24"/>
        </w:rPr>
        <w:t>Zarczynska</w:t>
      </w:r>
      <w:proofErr w:type="spellEnd"/>
      <w:r w:rsidRPr="00AE16D3">
        <w:rPr>
          <w:rFonts w:ascii="Times New Roman" w:hAnsi="Times New Roman"/>
          <w:bCs/>
          <w:sz w:val="24"/>
          <w:szCs w:val="24"/>
        </w:rPr>
        <w:t xml:space="preserve"> v Levy</w:t>
      </w:r>
      <w:r>
        <w:rPr>
          <w:rFonts w:ascii="Times New Roman" w:hAnsi="Times New Roman"/>
          <w:bCs/>
          <w:sz w:val="24"/>
          <w:szCs w:val="24"/>
        </w:rPr>
        <w:t>.</w:t>
      </w:r>
      <w:r w:rsidRPr="00AE16D3">
        <w:rPr>
          <w:rFonts w:ascii="Times New Roman" w:hAnsi="Times New Roman"/>
          <w:bCs/>
          <w:sz w:val="24"/>
          <w:szCs w:val="24"/>
        </w:rPr>
        <w:t> </w:t>
      </w:r>
      <w:r w:rsidRPr="00AE16D3">
        <w:rPr>
          <w:rFonts w:ascii="Times New Roman" w:hAnsi="Times New Roman"/>
          <w:bCs/>
          <w:iCs/>
          <w:sz w:val="24"/>
          <w:szCs w:val="24"/>
        </w:rPr>
        <w:t>[1979]</w:t>
      </w:r>
      <w:r w:rsidR="00600C4B">
        <w:rPr>
          <w:rFonts w:ascii="Times New Roman" w:hAnsi="Times New Roman"/>
          <w:bCs/>
          <w:iCs/>
          <w:sz w:val="24"/>
          <w:szCs w:val="24"/>
        </w:rPr>
        <w:t xml:space="preserve"> </w:t>
      </w:r>
      <w:r w:rsidR="00600C4B" w:rsidRPr="00600C4B">
        <w:rPr>
          <w:rFonts w:ascii="Times New Roman" w:hAnsi="Times New Roman"/>
          <w:bCs/>
          <w:iCs/>
          <w:sz w:val="24"/>
          <w:szCs w:val="24"/>
        </w:rPr>
        <w:t>ICR 184</w:t>
      </w:r>
      <w:r w:rsidR="00600C4B">
        <w:rPr>
          <w:rFonts w:ascii="Times New Roman" w:hAnsi="Times New Roman"/>
          <w:bCs/>
          <w:iCs/>
          <w:sz w:val="24"/>
          <w:szCs w:val="24"/>
        </w:rPr>
        <w:t>.</w:t>
      </w:r>
    </w:p>
    <w:p w:rsidR="00BF4709" w:rsidRDefault="00C030BB" w:rsidP="00BF4709">
      <w:pPr>
        <w:spacing w:line="480" w:lineRule="auto"/>
        <w:contextualSpacing/>
        <w:rPr>
          <w:rFonts w:ascii="Times New Roman" w:hAnsi="Times New Roman"/>
          <w:bCs/>
          <w:iCs/>
          <w:sz w:val="24"/>
          <w:szCs w:val="24"/>
        </w:rPr>
      </w:pPr>
      <w:r>
        <w:rPr>
          <w:rFonts w:ascii="Times New Roman" w:hAnsi="Times New Roman"/>
          <w:bCs/>
          <w:iCs/>
          <w:sz w:val="24"/>
          <w:szCs w:val="24"/>
        </w:rPr>
        <w:t>Great Britain</w:t>
      </w:r>
      <w:r w:rsidR="00BF4709" w:rsidRPr="00BF4709">
        <w:rPr>
          <w:rFonts w:ascii="Times New Roman" w:hAnsi="Times New Roman"/>
          <w:bCs/>
          <w:iCs/>
          <w:sz w:val="24"/>
          <w:szCs w:val="24"/>
        </w:rPr>
        <w:t xml:space="preserve">, Employment Appeal Tribunal. </w:t>
      </w:r>
      <w:r w:rsidR="00BF4709" w:rsidRPr="00BF4709">
        <w:rPr>
          <w:rFonts w:ascii="Times New Roman" w:hAnsi="Times New Roman"/>
          <w:bCs/>
          <w:sz w:val="24"/>
          <w:szCs w:val="24"/>
        </w:rPr>
        <w:t>Grieg v Community Industry.</w:t>
      </w:r>
      <w:r w:rsidR="00BF4709" w:rsidRPr="00BF4709">
        <w:rPr>
          <w:rFonts w:ascii="Times New Roman" w:hAnsi="Times New Roman"/>
          <w:bCs/>
          <w:iCs/>
          <w:sz w:val="24"/>
          <w:szCs w:val="24"/>
        </w:rPr>
        <w:t xml:space="preserve"> [1979] ICR 356.</w:t>
      </w:r>
    </w:p>
    <w:p w:rsidR="00B126B0" w:rsidRDefault="00B126B0" w:rsidP="00BF4709">
      <w:pPr>
        <w:spacing w:line="480" w:lineRule="auto"/>
        <w:contextualSpacing/>
        <w:rPr>
          <w:rFonts w:ascii="Times New Roman" w:hAnsi="Times New Roman"/>
          <w:iCs/>
          <w:sz w:val="24"/>
          <w:szCs w:val="24"/>
        </w:rPr>
      </w:pPr>
      <w:r w:rsidRPr="00B126B0">
        <w:rPr>
          <w:rFonts w:ascii="Times New Roman" w:hAnsi="Times New Roman"/>
          <w:iCs/>
          <w:sz w:val="24"/>
          <w:szCs w:val="24"/>
        </w:rPr>
        <w:lastRenderedPageBreak/>
        <w:t>Great Britain, Employment Appeal Tribunal.</w:t>
      </w:r>
      <w:r>
        <w:rPr>
          <w:rFonts w:ascii="Times New Roman" w:hAnsi="Times New Roman"/>
          <w:iCs/>
          <w:sz w:val="24"/>
          <w:szCs w:val="24"/>
        </w:rPr>
        <w:t xml:space="preserve"> S</w:t>
      </w:r>
      <w:r w:rsidRPr="00B126B0">
        <w:rPr>
          <w:rFonts w:ascii="Times New Roman" w:hAnsi="Times New Roman"/>
          <w:sz w:val="24"/>
          <w:szCs w:val="24"/>
        </w:rPr>
        <w:t>howboat Entertainment Centre v Owens</w:t>
      </w:r>
      <w:r w:rsidR="00634037">
        <w:rPr>
          <w:rFonts w:ascii="Times New Roman" w:hAnsi="Times New Roman"/>
          <w:sz w:val="24"/>
          <w:szCs w:val="24"/>
        </w:rPr>
        <w:t>.</w:t>
      </w:r>
      <w:r w:rsidRPr="00B126B0">
        <w:rPr>
          <w:rFonts w:ascii="Times New Roman" w:hAnsi="Times New Roman"/>
          <w:sz w:val="24"/>
          <w:szCs w:val="24"/>
        </w:rPr>
        <w:t> </w:t>
      </w:r>
      <w:r w:rsidRPr="00B126B0">
        <w:rPr>
          <w:rFonts w:ascii="Times New Roman" w:hAnsi="Times New Roman"/>
          <w:iCs/>
          <w:sz w:val="24"/>
          <w:szCs w:val="24"/>
        </w:rPr>
        <w:t>[1983] UKEAT 29_83_2810</w:t>
      </w:r>
      <w:r w:rsidR="000429D1">
        <w:rPr>
          <w:rFonts w:ascii="Times New Roman" w:hAnsi="Times New Roman"/>
          <w:iCs/>
          <w:sz w:val="24"/>
          <w:szCs w:val="24"/>
        </w:rPr>
        <w:t xml:space="preserve">, </w:t>
      </w:r>
      <w:r w:rsidR="00841E3B" w:rsidRPr="00841E3B">
        <w:rPr>
          <w:rFonts w:ascii="Times New Roman" w:hAnsi="Times New Roman"/>
          <w:iCs/>
          <w:sz w:val="24"/>
          <w:szCs w:val="24"/>
        </w:rPr>
        <w:t>[1984] 1 WLR 384</w:t>
      </w:r>
      <w:r w:rsidR="000429D1">
        <w:rPr>
          <w:rFonts w:ascii="Times New Roman" w:hAnsi="Times New Roman"/>
          <w:iCs/>
          <w:sz w:val="24"/>
          <w:szCs w:val="24"/>
        </w:rPr>
        <w:t>.</w:t>
      </w:r>
    </w:p>
    <w:p w:rsidR="00063E58" w:rsidRDefault="00063E58" w:rsidP="00063E58">
      <w:pPr>
        <w:spacing w:line="480" w:lineRule="auto"/>
        <w:contextualSpacing/>
        <w:rPr>
          <w:rFonts w:ascii="Times New Roman" w:hAnsi="Times New Roman"/>
          <w:iCs/>
          <w:sz w:val="24"/>
          <w:szCs w:val="24"/>
        </w:rPr>
      </w:pPr>
      <w:r w:rsidRPr="00063E58">
        <w:rPr>
          <w:rFonts w:ascii="Times New Roman" w:hAnsi="Times New Roman"/>
          <w:sz w:val="24"/>
          <w:szCs w:val="24"/>
        </w:rPr>
        <w:t xml:space="preserve">Court of Appeal of England and Wales. Race Relations Board v </w:t>
      </w:r>
      <w:proofErr w:type="spellStart"/>
      <w:r w:rsidRPr="00063E58">
        <w:rPr>
          <w:rFonts w:ascii="Times New Roman" w:hAnsi="Times New Roman"/>
          <w:sz w:val="24"/>
          <w:szCs w:val="24"/>
        </w:rPr>
        <w:t>Applin</w:t>
      </w:r>
      <w:proofErr w:type="spellEnd"/>
      <w:r w:rsidRPr="00063E58">
        <w:rPr>
          <w:rFonts w:ascii="Times New Roman" w:hAnsi="Times New Roman"/>
          <w:i/>
          <w:iCs/>
          <w:sz w:val="24"/>
          <w:szCs w:val="24"/>
        </w:rPr>
        <w:t xml:space="preserve"> </w:t>
      </w:r>
      <w:r w:rsidRPr="00063E58">
        <w:rPr>
          <w:rFonts w:ascii="Times New Roman" w:hAnsi="Times New Roman"/>
          <w:iCs/>
          <w:sz w:val="24"/>
          <w:szCs w:val="24"/>
        </w:rPr>
        <w:t>[1973] 1 QB 815</w:t>
      </w:r>
      <w:r w:rsidR="000429D1">
        <w:rPr>
          <w:rFonts w:ascii="Times New Roman" w:hAnsi="Times New Roman"/>
          <w:iCs/>
          <w:sz w:val="24"/>
          <w:szCs w:val="24"/>
        </w:rPr>
        <w:t>.</w:t>
      </w:r>
    </w:p>
    <w:p w:rsidR="00063E58" w:rsidRPr="00063E58" w:rsidRDefault="00063E58" w:rsidP="00063E58">
      <w:pPr>
        <w:spacing w:line="480" w:lineRule="auto"/>
        <w:contextualSpacing/>
        <w:rPr>
          <w:rFonts w:ascii="Times New Roman" w:hAnsi="Times New Roman"/>
          <w:sz w:val="24"/>
          <w:szCs w:val="24"/>
        </w:rPr>
      </w:pPr>
      <w:r w:rsidRPr="00063E58">
        <w:rPr>
          <w:rFonts w:ascii="Times New Roman" w:hAnsi="Times New Roman"/>
          <w:iCs/>
          <w:sz w:val="24"/>
          <w:szCs w:val="24"/>
        </w:rPr>
        <w:t>Court of Appeal of England and Wales. Owen and Briggs v James</w:t>
      </w:r>
      <w:r w:rsidRPr="00063E58">
        <w:rPr>
          <w:rFonts w:ascii="Times New Roman" w:hAnsi="Times New Roman"/>
          <w:sz w:val="24"/>
          <w:szCs w:val="24"/>
        </w:rPr>
        <w:t>. [1982] ICR 618.</w:t>
      </w:r>
    </w:p>
    <w:p w:rsidR="00063E58" w:rsidRPr="00063E58" w:rsidRDefault="00063E58" w:rsidP="00063E58">
      <w:pPr>
        <w:spacing w:line="480" w:lineRule="auto"/>
        <w:contextualSpacing/>
        <w:rPr>
          <w:rFonts w:ascii="Times New Roman" w:hAnsi="Times New Roman"/>
          <w:sz w:val="24"/>
          <w:szCs w:val="24"/>
        </w:rPr>
      </w:pPr>
      <w:r w:rsidRPr="00063E58">
        <w:rPr>
          <w:rFonts w:ascii="Times New Roman" w:hAnsi="Times New Roman"/>
          <w:sz w:val="24"/>
          <w:szCs w:val="24"/>
        </w:rPr>
        <w:t xml:space="preserve">Court of Appeal of England and Wales. </w:t>
      </w:r>
      <w:r w:rsidRPr="00063E58">
        <w:rPr>
          <w:rFonts w:ascii="Times New Roman" w:hAnsi="Times New Roman"/>
          <w:iCs/>
          <w:sz w:val="24"/>
          <w:szCs w:val="24"/>
        </w:rPr>
        <w:t xml:space="preserve">James v Eastleigh Borough Council. </w:t>
      </w:r>
      <w:r w:rsidRPr="00063E58">
        <w:rPr>
          <w:rFonts w:ascii="Times New Roman" w:hAnsi="Times New Roman"/>
          <w:sz w:val="24"/>
          <w:szCs w:val="24"/>
        </w:rPr>
        <w:t>[1990] 1 QB 61.</w:t>
      </w:r>
    </w:p>
    <w:p w:rsidR="00063E58" w:rsidRDefault="00063E58" w:rsidP="00063E58">
      <w:pPr>
        <w:spacing w:line="480" w:lineRule="auto"/>
        <w:contextualSpacing/>
        <w:rPr>
          <w:rFonts w:ascii="Times New Roman" w:hAnsi="Times New Roman"/>
          <w:sz w:val="24"/>
          <w:szCs w:val="24"/>
        </w:rPr>
      </w:pPr>
      <w:r w:rsidRPr="00063E58">
        <w:rPr>
          <w:rFonts w:ascii="Times New Roman" w:hAnsi="Times New Roman"/>
          <w:sz w:val="24"/>
          <w:szCs w:val="24"/>
        </w:rPr>
        <w:t>Court of Appeal of England and Wales. Bain v Bowle</w:t>
      </w:r>
      <w:r w:rsidRPr="00063E58">
        <w:rPr>
          <w:rFonts w:ascii="Times New Roman" w:hAnsi="Times New Roman"/>
          <w:iCs/>
          <w:sz w:val="24"/>
          <w:szCs w:val="24"/>
        </w:rPr>
        <w:t>s</w:t>
      </w:r>
      <w:r w:rsidRPr="00063E58">
        <w:rPr>
          <w:rFonts w:ascii="Times New Roman" w:hAnsi="Times New Roman"/>
          <w:sz w:val="24"/>
          <w:szCs w:val="24"/>
        </w:rPr>
        <w:t xml:space="preserve"> [1991] IRLR 356</w:t>
      </w:r>
      <w:r w:rsidR="00FA22F6">
        <w:rPr>
          <w:rFonts w:ascii="Times New Roman" w:hAnsi="Times New Roman"/>
          <w:sz w:val="24"/>
          <w:szCs w:val="24"/>
        </w:rPr>
        <w:t>.</w:t>
      </w:r>
    </w:p>
    <w:p w:rsidR="00FA22F6" w:rsidRPr="00FA22F6" w:rsidRDefault="00FA22F6" w:rsidP="00FA22F6">
      <w:pPr>
        <w:spacing w:line="480" w:lineRule="auto"/>
        <w:contextualSpacing/>
        <w:rPr>
          <w:rFonts w:ascii="Times New Roman" w:hAnsi="Times New Roman"/>
          <w:sz w:val="24"/>
          <w:szCs w:val="24"/>
        </w:rPr>
      </w:pPr>
      <w:r w:rsidRPr="00FA22F6">
        <w:rPr>
          <w:rFonts w:ascii="Times New Roman" w:hAnsi="Times New Roman"/>
          <w:iCs/>
          <w:sz w:val="24"/>
          <w:szCs w:val="24"/>
        </w:rPr>
        <w:t>Court of Appeal of England and Wales.</w:t>
      </w:r>
      <w:r w:rsidRPr="00FA22F6">
        <w:rPr>
          <w:rFonts w:ascii="Times New Roman" w:hAnsi="Times New Roman"/>
          <w:i/>
          <w:iCs/>
          <w:sz w:val="24"/>
          <w:szCs w:val="24"/>
        </w:rPr>
        <w:t xml:space="preserve"> </w:t>
      </w:r>
      <w:proofErr w:type="spellStart"/>
      <w:r w:rsidRPr="00FA22F6">
        <w:rPr>
          <w:rFonts w:ascii="Times New Roman" w:hAnsi="Times New Roman"/>
          <w:sz w:val="24"/>
          <w:szCs w:val="24"/>
        </w:rPr>
        <w:t>Weathersfield</w:t>
      </w:r>
      <w:proofErr w:type="spellEnd"/>
      <w:r w:rsidRPr="00FA22F6">
        <w:rPr>
          <w:rFonts w:ascii="Times New Roman" w:hAnsi="Times New Roman"/>
          <w:sz w:val="24"/>
          <w:szCs w:val="24"/>
        </w:rPr>
        <w:t xml:space="preserve"> Ltd (t/a Van &amp; Truck Rentals) v Sargent. [1998] EWCA Civ 193, [1999] ICR 425.</w:t>
      </w:r>
    </w:p>
    <w:p w:rsidR="00BC31F0" w:rsidRPr="00BC31F0" w:rsidRDefault="00BC31F0" w:rsidP="00BC31F0">
      <w:pPr>
        <w:spacing w:line="480" w:lineRule="auto"/>
        <w:contextualSpacing/>
        <w:rPr>
          <w:rFonts w:ascii="Times New Roman" w:hAnsi="Times New Roman"/>
          <w:sz w:val="24"/>
          <w:szCs w:val="24"/>
        </w:rPr>
      </w:pPr>
      <w:r w:rsidRPr="00FA22F6">
        <w:rPr>
          <w:rFonts w:ascii="Times New Roman" w:hAnsi="Times New Roman"/>
          <w:sz w:val="24"/>
          <w:szCs w:val="24"/>
        </w:rPr>
        <w:t>Court of Appeal of England and Wales.</w:t>
      </w:r>
      <w:r>
        <w:rPr>
          <w:rFonts w:ascii="Times New Roman" w:hAnsi="Times New Roman"/>
          <w:i/>
          <w:iCs/>
          <w:sz w:val="24"/>
          <w:szCs w:val="24"/>
        </w:rPr>
        <w:t xml:space="preserve"> </w:t>
      </w:r>
      <w:r w:rsidRPr="00BC31F0">
        <w:rPr>
          <w:rFonts w:ascii="Times New Roman" w:hAnsi="Times New Roman"/>
          <w:sz w:val="24"/>
          <w:szCs w:val="24"/>
        </w:rPr>
        <w:t>Redfearn v Serco Ltd</w:t>
      </w:r>
      <w:r>
        <w:rPr>
          <w:rFonts w:ascii="Times New Roman" w:hAnsi="Times New Roman"/>
          <w:sz w:val="24"/>
          <w:szCs w:val="24"/>
        </w:rPr>
        <w:t>.</w:t>
      </w:r>
      <w:r w:rsidRPr="00BC31F0">
        <w:rPr>
          <w:rFonts w:ascii="Times New Roman" w:hAnsi="Times New Roman"/>
          <w:sz w:val="24"/>
          <w:szCs w:val="24"/>
        </w:rPr>
        <w:t xml:space="preserve"> [2006]</w:t>
      </w:r>
      <w:r>
        <w:rPr>
          <w:rFonts w:ascii="Times New Roman" w:hAnsi="Times New Roman"/>
          <w:sz w:val="24"/>
          <w:szCs w:val="24"/>
        </w:rPr>
        <w:t xml:space="preserve"> </w:t>
      </w:r>
      <w:r w:rsidRPr="00BC31F0">
        <w:rPr>
          <w:rFonts w:ascii="Times New Roman" w:hAnsi="Times New Roman"/>
          <w:sz w:val="24"/>
          <w:szCs w:val="24"/>
        </w:rPr>
        <w:t>EWCA Civ 659</w:t>
      </w:r>
      <w:r>
        <w:rPr>
          <w:rFonts w:ascii="Times New Roman" w:hAnsi="Times New Roman"/>
          <w:sz w:val="24"/>
          <w:szCs w:val="24"/>
        </w:rPr>
        <w:t>,</w:t>
      </w:r>
    </w:p>
    <w:p w:rsidR="00BC31F0" w:rsidRDefault="00BC31F0" w:rsidP="00BC31F0">
      <w:pPr>
        <w:spacing w:line="480" w:lineRule="auto"/>
        <w:contextualSpacing/>
        <w:rPr>
          <w:rFonts w:ascii="Times New Roman" w:hAnsi="Times New Roman"/>
          <w:sz w:val="24"/>
          <w:szCs w:val="24"/>
        </w:rPr>
      </w:pPr>
      <w:r w:rsidRPr="00BC31F0">
        <w:rPr>
          <w:rFonts w:ascii="Times New Roman" w:hAnsi="Times New Roman"/>
          <w:sz w:val="24"/>
          <w:szCs w:val="24"/>
        </w:rPr>
        <w:t>[2006] ICR 1367</w:t>
      </w:r>
      <w:r>
        <w:rPr>
          <w:rFonts w:ascii="Times New Roman" w:hAnsi="Times New Roman"/>
          <w:sz w:val="24"/>
          <w:szCs w:val="24"/>
        </w:rPr>
        <w:t>.</w:t>
      </w:r>
    </w:p>
    <w:p w:rsidR="00063E58" w:rsidRPr="00063E58" w:rsidRDefault="00063E58" w:rsidP="00063E58">
      <w:pPr>
        <w:spacing w:line="480" w:lineRule="auto"/>
        <w:contextualSpacing/>
        <w:rPr>
          <w:rFonts w:ascii="Times New Roman" w:hAnsi="Times New Roman"/>
          <w:sz w:val="24"/>
          <w:szCs w:val="24"/>
        </w:rPr>
      </w:pPr>
      <w:r w:rsidRPr="00063E58">
        <w:rPr>
          <w:rFonts w:ascii="Times New Roman" w:hAnsi="Times New Roman"/>
          <w:sz w:val="24"/>
          <w:szCs w:val="24"/>
        </w:rPr>
        <w:t xml:space="preserve">Court of Appeal of England and Wales. </w:t>
      </w:r>
      <w:r w:rsidRPr="00063E58">
        <w:rPr>
          <w:rFonts w:ascii="Times New Roman" w:hAnsi="Times New Roman"/>
          <w:iCs/>
          <w:sz w:val="24"/>
          <w:szCs w:val="24"/>
        </w:rPr>
        <w:t>Bull and Bull v</w:t>
      </w:r>
      <w:r w:rsidRPr="00063E58">
        <w:rPr>
          <w:rFonts w:ascii="Times New Roman" w:hAnsi="Times New Roman"/>
          <w:sz w:val="24"/>
          <w:szCs w:val="24"/>
        </w:rPr>
        <w:t xml:space="preserve"> </w:t>
      </w:r>
      <w:r w:rsidRPr="00063E58">
        <w:rPr>
          <w:rFonts w:ascii="Times New Roman" w:hAnsi="Times New Roman"/>
          <w:iCs/>
          <w:sz w:val="24"/>
          <w:szCs w:val="24"/>
        </w:rPr>
        <w:t xml:space="preserve">Hall and </w:t>
      </w:r>
      <w:proofErr w:type="spellStart"/>
      <w:r w:rsidRPr="00063E58">
        <w:rPr>
          <w:rFonts w:ascii="Times New Roman" w:hAnsi="Times New Roman"/>
          <w:iCs/>
          <w:sz w:val="24"/>
          <w:szCs w:val="24"/>
        </w:rPr>
        <w:t>Preddy</w:t>
      </w:r>
      <w:proofErr w:type="spellEnd"/>
      <w:r w:rsidRPr="00063E58">
        <w:rPr>
          <w:rFonts w:ascii="Times New Roman" w:hAnsi="Times New Roman"/>
          <w:iCs/>
          <w:sz w:val="24"/>
          <w:szCs w:val="24"/>
        </w:rPr>
        <w:t>.</w:t>
      </w:r>
      <w:r w:rsidRPr="00063E58">
        <w:rPr>
          <w:rFonts w:ascii="Times New Roman" w:hAnsi="Times New Roman"/>
          <w:i/>
          <w:sz w:val="24"/>
          <w:szCs w:val="24"/>
        </w:rPr>
        <w:t xml:space="preserve"> </w:t>
      </w:r>
      <w:r w:rsidRPr="00063E58">
        <w:rPr>
          <w:rFonts w:ascii="Times New Roman" w:hAnsi="Times New Roman"/>
          <w:sz w:val="24"/>
          <w:szCs w:val="24"/>
        </w:rPr>
        <w:t>[2012] EWCA Civ 83, [2012] 1 WLR 2514.</w:t>
      </w:r>
    </w:p>
    <w:p w:rsidR="00B126B0" w:rsidRDefault="00063E58" w:rsidP="00BF4709">
      <w:pPr>
        <w:spacing w:line="480" w:lineRule="auto"/>
        <w:contextualSpacing/>
        <w:rPr>
          <w:rFonts w:ascii="Times New Roman" w:hAnsi="Times New Roman"/>
          <w:sz w:val="24"/>
          <w:szCs w:val="24"/>
        </w:rPr>
      </w:pPr>
      <w:r w:rsidRPr="00063E58">
        <w:rPr>
          <w:rFonts w:ascii="Times New Roman" w:hAnsi="Times New Roman"/>
          <w:iCs/>
          <w:sz w:val="24"/>
          <w:szCs w:val="24"/>
        </w:rPr>
        <w:t xml:space="preserve">Court of Appeal of England and Wales. Black and Morgan v Wilkinson. </w:t>
      </w:r>
      <w:r w:rsidRPr="00063E58">
        <w:rPr>
          <w:rFonts w:ascii="Times New Roman" w:hAnsi="Times New Roman"/>
          <w:sz w:val="24"/>
          <w:szCs w:val="24"/>
        </w:rPr>
        <w:t>[2013] EWCA Civ 820, [2013] 1 WLR 2490.</w:t>
      </w:r>
    </w:p>
    <w:p w:rsidR="00BF4709" w:rsidRPr="00BF4709" w:rsidRDefault="00BF4709" w:rsidP="00BF4709">
      <w:pPr>
        <w:spacing w:line="480" w:lineRule="auto"/>
        <w:contextualSpacing/>
        <w:rPr>
          <w:rFonts w:ascii="Times New Roman" w:hAnsi="Times New Roman"/>
          <w:iCs/>
          <w:sz w:val="24"/>
          <w:szCs w:val="24"/>
        </w:rPr>
      </w:pPr>
      <w:r w:rsidRPr="00BF4709">
        <w:rPr>
          <w:rFonts w:ascii="Times New Roman" w:hAnsi="Times New Roman"/>
          <w:sz w:val="24"/>
          <w:szCs w:val="24"/>
        </w:rPr>
        <w:t xml:space="preserve">UK House of Lords. </w:t>
      </w:r>
      <w:proofErr w:type="spellStart"/>
      <w:r w:rsidRPr="00BF4709">
        <w:rPr>
          <w:rFonts w:ascii="Times New Roman" w:hAnsi="Times New Roman"/>
          <w:sz w:val="24"/>
          <w:szCs w:val="24"/>
        </w:rPr>
        <w:t>Applin</w:t>
      </w:r>
      <w:proofErr w:type="spellEnd"/>
      <w:r w:rsidRPr="00BF4709">
        <w:rPr>
          <w:rFonts w:ascii="Times New Roman" w:hAnsi="Times New Roman"/>
          <w:sz w:val="24"/>
          <w:szCs w:val="24"/>
        </w:rPr>
        <w:t xml:space="preserve"> v Race Relations Board</w:t>
      </w:r>
      <w:r w:rsidR="00F2317A">
        <w:rPr>
          <w:rFonts w:ascii="Times New Roman" w:hAnsi="Times New Roman"/>
          <w:sz w:val="24"/>
          <w:szCs w:val="24"/>
        </w:rPr>
        <w:t>.</w:t>
      </w:r>
      <w:r w:rsidRPr="00BF4709">
        <w:rPr>
          <w:rFonts w:ascii="Times New Roman" w:hAnsi="Times New Roman"/>
          <w:iCs/>
          <w:sz w:val="24"/>
          <w:szCs w:val="24"/>
        </w:rPr>
        <w:t xml:space="preserve"> [1974] UKHL 3 [1975] AC 259.</w:t>
      </w:r>
    </w:p>
    <w:p w:rsidR="00F93277" w:rsidRPr="00F93277" w:rsidRDefault="00F93277" w:rsidP="00F93277">
      <w:pPr>
        <w:spacing w:line="480" w:lineRule="auto"/>
        <w:contextualSpacing/>
        <w:rPr>
          <w:rFonts w:ascii="Times New Roman" w:hAnsi="Times New Roman"/>
          <w:iCs/>
          <w:sz w:val="24"/>
          <w:szCs w:val="24"/>
        </w:rPr>
      </w:pPr>
      <w:r w:rsidRPr="00F93277">
        <w:rPr>
          <w:rFonts w:ascii="Times New Roman" w:hAnsi="Times New Roman"/>
          <w:iCs/>
          <w:sz w:val="24"/>
          <w:szCs w:val="24"/>
        </w:rPr>
        <w:t>UK House of Lords. R v Birmingham City Council. [1989] UKHL 8, [1989] AC 1155.</w:t>
      </w:r>
    </w:p>
    <w:p w:rsidR="00063E58" w:rsidRPr="00063E58" w:rsidRDefault="00063E58" w:rsidP="00063E58">
      <w:pPr>
        <w:spacing w:line="480" w:lineRule="auto"/>
        <w:contextualSpacing/>
        <w:rPr>
          <w:rFonts w:ascii="Times New Roman" w:hAnsi="Times New Roman"/>
          <w:iCs/>
          <w:sz w:val="24"/>
          <w:szCs w:val="24"/>
        </w:rPr>
      </w:pPr>
      <w:r w:rsidRPr="00063E58">
        <w:rPr>
          <w:rFonts w:ascii="Times New Roman" w:hAnsi="Times New Roman"/>
          <w:iCs/>
          <w:sz w:val="24"/>
          <w:szCs w:val="24"/>
        </w:rPr>
        <w:t>UK House of Lords. James v Eastleigh Borough Council. [1990] UKHL 6, [1990] 2 AC 751.</w:t>
      </w:r>
    </w:p>
    <w:p w:rsidR="00BF4709" w:rsidRPr="00BF4709" w:rsidRDefault="00BF4709" w:rsidP="00BF4709">
      <w:pPr>
        <w:spacing w:line="480" w:lineRule="auto"/>
        <w:contextualSpacing/>
        <w:rPr>
          <w:rFonts w:ascii="Times New Roman" w:hAnsi="Times New Roman"/>
          <w:iCs/>
          <w:sz w:val="24"/>
          <w:szCs w:val="24"/>
        </w:rPr>
      </w:pPr>
      <w:r w:rsidRPr="00BF4709">
        <w:rPr>
          <w:rFonts w:ascii="Times New Roman" w:hAnsi="Times New Roman"/>
          <w:iCs/>
          <w:sz w:val="24"/>
          <w:szCs w:val="24"/>
        </w:rPr>
        <w:t>UK House of Lords. Nagarajan v London Regional Transport. [1999] UKHL 36, [2000] 1 AC 501.</w:t>
      </w:r>
    </w:p>
    <w:p w:rsidR="00BF4709" w:rsidRPr="00BF4709" w:rsidRDefault="00BF4709" w:rsidP="00BF4709">
      <w:pPr>
        <w:spacing w:line="480" w:lineRule="auto"/>
        <w:contextualSpacing/>
        <w:rPr>
          <w:rFonts w:ascii="Times New Roman" w:hAnsi="Times New Roman"/>
          <w:iCs/>
          <w:sz w:val="24"/>
          <w:szCs w:val="24"/>
        </w:rPr>
      </w:pPr>
      <w:r w:rsidRPr="00BF4709">
        <w:rPr>
          <w:rFonts w:ascii="Times New Roman" w:hAnsi="Times New Roman"/>
          <w:iCs/>
          <w:sz w:val="24"/>
          <w:szCs w:val="24"/>
        </w:rPr>
        <w:t xml:space="preserve">UK House of Lords. </w:t>
      </w:r>
      <w:r w:rsidRPr="00BF4709">
        <w:rPr>
          <w:rFonts w:ascii="Times New Roman" w:hAnsi="Times New Roman"/>
          <w:sz w:val="24"/>
          <w:szCs w:val="24"/>
        </w:rPr>
        <w:t>Chief Constable of the West Yorkshire Police v Khan.</w:t>
      </w:r>
      <w:r w:rsidRPr="00BF4709">
        <w:rPr>
          <w:rFonts w:ascii="Times New Roman" w:hAnsi="Times New Roman"/>
          <w:iCs/>
          <w:sz w:val="24"/>
          <w:szCs w:val="24"/>
        </w:rPr>
        <w:t xml:space="preserve"> [2001] UKHL 48, [2001] 1 WLR 1947.</w:t>
      </w:r>
    </w:p>
    <w:p w:rsidR="00BF4709" w:rsidRPr="00BF4709" w:rsidRDefault="00BF4709" w:rsidP="00BF4709">
      <w:pPr>
        <w:spacing w:line="480" w:lineRule="auto"/>
        <w:contextualSpacing/>
        <w:rPr>
          <w:rFonts w:ascii="Times New Roman" w:hAnsi="Times New Roman"/>
          <w:bCs/>
          <w:iCs/>
          <w:sz w:val="24"/>
          <w:szCs w:val="24"/>
        </w:rPr>
      </w:pPr>
      <w:r w:rsidRPr="00BF4709">
        <w:rPr>
          <w:rFonts w:ascii="Times New Roman" w:hAnsi="Times New Roman"/>
          <w:bCs/>
          <w:sz w:val="24"/>
          <w:szCs w:val="24"/>
        </w:rPr>
        <w:t>UK House of Lords. Advocate General v MacDonald</w:t>
      </w:r>
      <w:r w:rsidRPr="00BF4709">
        <w:rPr>
          <w:rFonts w:ascii="Times New Roman" w:hAnsi="Times New Roman"/>
          <w:bCs/>
          <w:iCs/>
          <w:sz w:val="24"/>
          <w:szCs w:val="24"/>
        </w:rPr>
        <w:t>,</w:t>
      </w:r>
      <w:r w:rsidRPr="00BF4709">
        <w:rPr>
          <w:rFonts w:ascii="Times New Roman" w:hAnsi="Times New Roman"/>
          <w:iCs/>
          <w:sz w:val="24"/>
          <w:szCs w:val="24"/>
        </w:rPr>
        <w:t xml:space="preserve"> also sub nom </w:t>
      </w:r>
      <w:r w:rsidRPr="00BF4709">
        <w:rPr>
          <w:rFonts w:ascii="Times New Roman" w:hAnsi="Times New Roman"/>
          <w:sz w:val="24"/>
          <w:szCs w:val="24"/>
        </w:rPr>
        <w:t xml:space="preserve">MacDonald v Advocate General for Scotland. </w:t>
      </w:r>
      <w:r w:rsidRPr="00BF4709">
        <w:rPr>
          <w:rFonts w:ascii="Times New Roman" w:hAnsi="Times New Roman"/>
          <w:iCs/>
          <w:sz w:val="24"/>
          <w:szCs w:val="24"/>
        </w:rPr>
        <w:t>[2003] UKHL 34,</w:t>
      </w:r>
      <w:r w:rsidRPr="00BF4709">
        <w:rPr>
          <w:rFonts w:ascii="Times New Roman" w:hAnsi="Times New Roman"/>
          <w:bCs/>
          <w:iCs/>
          <w:sz w:val="24"/>
          <w:szCs w:val="24"/>
        </w:rPr>
        <w:t xml:space="preserve"> 2003 SC (HL) 35.</w:t>
      </w:r>
    </w:p>
    <w:p w:rsidR="00063E58" w:rsidRPr="00063E58" w:rsidRDefault="00063E58" w:rsidP="00063E58">
      <w:pPr>
        <w:spacing w:line="480" w:lineRule="auto"/>
        <w:contextualSpacing/>
        <w:rPr>
          <w:rFonts w:ascii="Times New Roman" w:hAnsi="Times New Roman"/>
          <w:sz w:val="24"/>
          <w:szCs w:val="24"/>
        </w:rPr>
      </w:pPr>
      <w:r w:rsidRPr="00063E58">
        <w:rPr>
          <w:rFonts w:ascii="Times New Roman" w:hAnsi="Times New Roman"/>
          <w:sz w:val="24"/>
          <w:szCs w:val="24"/>
        </w:rPr>
        <w:t xml:space="preserve">UK Supreme Court. </w:t>
      </w:r>
      <w:r w:rsidRPr="00063E58">
        <w:rPr>
          <w:rFonts w:ascii="Times New Roman" w:hAnsi="Times New Roman"/>
          <w:iCs/>
          <w:sz w:val="24"/>
          <w:szCs w:val="24"/>
        </w:rPr>
        <w:t>R (E) v Governing Body of JFS.</w:t>
      </w:r>
      <w:r w:rsidRPr="00063E58">
        <w:rPr>
          <w:rFonts w:ascii="Times New Roman" w:hAnsi="Times New Roman"/>
          <w:i/>
          <w:sz w:val="24"/>
          <w:szCs w:val="24"/>
        </w:rPr>
        <w:t xml:space="preserve"> </w:t>
      </w:r>
      <w:r w:rsidRPr="00063E58">
        <w:rPr>
          <w:rFonts w:ascii="Times New Roman" w:hAnsi="Times New Roman"/>
          <w:sz w:val="24"/>
          <w:szCs w:val="24"/>
        </w:rPr>
        <w:t>[2009] UKSC 15, [2010] 2 AC.</w:t>
      </w:r>
    </w:p>
    <w:p w:rsidR="00063E58" w:rsidRDefault="00063E58" w:rsidP="00063E58">
      <w:pPr>
        <w:spacing w:line="480" w:lineRule="auto"/>
        <w:contextualSpacing/>
        <w:rPr>
          <w:rFonts w:ascii="Times New Roman" w:hAnsi="Times New Roman"/>
          <w:iCs/>
          <w:sz w:val="24"/>
          <w:szCs w:val="24"/>
        </w:rPr>
      </w:pPr>
      <w:r w:rsidRPr="00063E58">
        <w:rPr>
          <w:rFonts w:ascii="Times New Roman" w:hAnsi="Times New Roman"/>
          <w:iCs/>
          <w:sz w:val="24"/>
          <w:szCs w:val="24"/>
        </w:rPr>
        <w:t xml:space="preserve">UK Supreme Court. Bull and Bull v Hall and </w:t>
      </w:r>
      <w:proofErr w:type="spellStart"/>
      <w:r w:rsidRPr="00063E58">
        <w:rPr>
          <w:rFonts w:ascii="Times New Roman" w:hAnsi="Times New Roman"/>
          <w:iCs/>
          <w:sz w:val="24"/>
          <w:szCs w:val="24"/>
        </w:rPr>
        <w:t>Preddy</w:t>
      </w:r>
      <w:proofErr w:type="spellEnd"/>
      <w:r w:rsidRPr="00063E58">
        <w:rPr>
          <w:rFonts w:ascii="Times New Roman" w:hAnsi="Times New Roman"/>
          <w:iCs/>
          <w:sz w:val="24"/>
          <w:szCs w:val="24"/>
        </w:rPr>
        <w:t>.</w:t>
      </w:r>
      <w:r w:rsidRPr="00063E58">
        <w:rPr>
          <w:rFonts w:ascii="Times New Roman" w:hAnsi="Times New Roman"/>
          <w:i/>
          <w:sz w:val="24"/>
          <w:szCs w:val="24"/>
        </w:rPr>
        <w:t xml:space="preserve"> </w:t>
      </w:r>
      <w:r w:rsidRPr="00063E58">
        <w:rPr>
          <w:rFonts w:ascii="Times New Roman" w:hAnsi="Times New Roman"/>
          <w:iCs/>
          <w:sz w:val="24"/>
          <w:szCs w:val="24"/>
        </w:rPr>
        <w:t>[2013] UKSC 73, [2013] 1 WLR.</w:t>
      </w:r>
    </w:p>
    <w:p w:rsidR="00444A24" w:rsidRPr="00063E58" w:rsidRDefault="00444A24" w:rsidP="00063E58">
      <w:pPr>
        <w:spacing w:line="480" w:lineRule="auto"/>
        <w:contextualSpacing/>
        <w:rPr>
          <w:rFonts w:ascii="Times New Roman" w:hAnsi="Times New Roman"/>
          <w:sz w:val="24"/>
          <w:szCs w:val="24"/>
        </w:rPr>
      </w:pPr>
      <w:r w:rsidRPr="00444A24">
        <w:rPr>
          <w:rFonts w:ascii="Times New Roman" w:hAnsi="Times New Roman"/>
          <w:iCs/>
          <w:sz w:val="24"/>
          <w:szCs w:val="24"/>
        </w:rPr>
        <w:lastRenderedPageBreak/>
        <w:t>UK Supreme Court.</w:t>
      </w:r>
      <w:r>
        <w:rPr>
          <w:rFonts w:ascii="Times New Roman" w:hAnsi="Times New Roman"/>
          <w:iCs/>
          <w:sz w:val="24"/>
          <w:szCs w:val="24"/>
        </w:rPr>
        <w:t xml:space="preserve"> Lee v </w:t>
      </w:r>
      <w:proofErr w:type="spellStart"/>
      <w:r>
        <w:rPr>
          <w:rFonts w:ascii="Times New Roman" w:hAnsi="Times New Roman"/>
          <w:iCs/>
          <w:sz w:val="24"/>
          <w:szCs w:val="24"/>
        </w:rPr>
        <w:t>Ashers</w:t>
      </w:r>
      <w:proofErr w:type="spellEnd"/>
      <w:r>
        <w:rPr>
          <w:rFonts w:ascii="Times New Roman" w:hAnsi="Times New Roman"/>
          <w:iCs/>
          <w:sz w:val="24"/>
          <w:szCs w:val="24"/>
        </w:rPr>
        <w:t xml:space="preserve"> Baking Co. [2018]</w:t>
      </w:r>
      <w:r w:rsidRPr="00444A24">
        <w:rPr>
          <w:rFonts w:ascii="Times New Roman" w:hAnsi="Times New Roman"/>
          <w:iCs/>
          <w:sz w:val="24"/>
          <w:szCs w:val="24"/>
        </w:rPr>
        <w:t xml:space="preserve"> UKSC 49</w:t>
      </w:r>
      <w:r>
        <w:rPr>
          <w:rFonts w:ascii="Times New Roman" w:hAnsi="Times New Roman"/>
          <w:iCs/>
          <w:sz w:val="24"/>
          <w:szCs w:val="24"/>
        </w:rPr>
        <w:t>, [2</w:t>
      </w:r>
      <w:r w:rsidR="00494ECD">
        <w:rPr>
          <w:rFonts w:ascii="Times New Roman" w:hAnsi="Times New Roman"/>
          <w:iCs/>
          <w:sz w:val="24"/>
          <w:szCs w:val="24"/>
        </w:rPr>
        <w:t>020</w:t>
      </w:r>
      <w:r>
        <w:rPr>
          <w:rFonts w:ascii="Times New Roman" w:hAnsi="Times New Roman"/>
          <w:iCs/>
          <w:sz w:val="24"/>
          <w:szCs w:val="24"/>
        </w:rPr>
        <w:t>]</w:t>
      </w:r>
      <w:r w:rsidR="00494ECD">
        <w:rPr>
          <w:rFonts w:ascii="Times New Roman" w:hAnsi="Times New Roman"/>
          <w:iCs/>
          <w:sz w:val="24"/>
          <w:szCs w:val="24"/>
        </w:rPr>
        <w:t xml:space="preserve"> AC 413.</w:t>
      </w:r>
    </w:p>
    <w:p w:rsidR="00BF4709" w:rsidRDefault="00BF4709" w:rsidP="005F7A09">
      <w:pPr>
        <w:spacing w:line="480" w:lineRule="auto"/>
        <w:contextualSpacing/>
        <w:rPr>
          <w:rFonts w:ascii="Times New Roman" w:hAnsi="Times New Roman"/>
          <w:sz w:val="24"/>
          <w:szCs w:val="24"/>
          <w:u w:val="single"/>
        </w:rPr>
      </w:pPr>
    </w:p>
    <w:p w:rsidR="00585A2F" w:rsidRDefault="00585A2F" w:rsidP="005F7A09">
      <w:pPr>
        <w:spacing w:line="480" w:lineRule="auto"/>
        <w:contextualSpacing/>
        <w:rPr>
          <w:rFonts w:ascii="Times New Roman" w:hAnsi="Times New Roman"/>
          <w:sz w:val="24"/>
          <w:szCs w:val="24"/>
          <w:u w:val="single"/>
        </w:rPr>
      </w:pPr>
      <w:r>
        <w:rPr>
          <w:rFonts w:ascii="Times New Roman" w:hAnsi="Times New Roman"/>
          <w:sz w:val="24"/>
          <w:szCs w:val="24"/>
          <w:u w:val="single"/>
        </w:rPr>
        <w:t>Europe</w:t>
      </w:r>
    </w:p>
    <w:p w:rsidR="00BF4709" w:rsidRPr="005F7A09" w:rsidRDefault="00BF4709" w:rsidP="005F7A09">
      <w:pPr>
        <w:spacing w:line="480" w:lineRule="auto"/>
        <w:contextualSpacing/>
        <w:rPr>
          <w:rFonts w:ascii="Times New Roman" w:hAnsi="Times New Roman"/>
          <w:sz w:val="24"/>
          <w:szCs w:val="24"/>
          <w:u w:val="single"/>
        </w:rPr>
      </w:pPr>
    </w:p>
    <w:p w:rsidR="00585A2F" w:rsidRDefault="00585A2F" w:rsidP="00585A2F">
      <w:pPr>
        <w:spacing w:line="480" w:lineRule="auto"/>
        <w:contextualSpacing/>
        <w:rPr>
          <w:rFonts w:ascii="Times New Roman" w:hAnsi="Times New Roman"/>
          <w:iCs/>
          <w:sz w:val="24"/>
          <w:szCs w:val="24"/>
        </w:rPr>
      </w:pPr>
      <w:r w:rsidRPr="00585A2F">
        <w:rPr>
          <w:rFonts w:ascii="Times New Roman" w:hAnsi="Times New Roman"/>
          <w:iCs/>
          <w:sz w:val="24"/>
          <w:szCs w:val="24"/>
        </w:rPr>
        <w:t>Court of Justice of the European Communities</w:t>
      </w:r>
      <w:r w:rsidR="00F2317A">
        <w:rPr>
          <w:rFonts w:ascii="Times New Roman" w:hAnsi="Times New Roman"/>
          <w:iCs/>
          <w:sz w:val="24"/>
          <w:szCs w:val="24"/>
        </w:rPr>
        <w:t>.</w:t>
      </w:r>
      <w:r w:rsidRPr="00585A2F">
        <w:rPr>
          <w:rFonts w:ascii="Times New Roman" w:hAnsi="Times New Roman"/>
          <w:iCs/>
          <w:sz w:val="24"/>
          <w:szCs w:val="24"/>
        </w:rPr>
        <w:t xml:space="preserve"> Grant v South-West Trains</w:t>
      </w:r>
      <w:r w:rsidR="003D4E30">
        <w:rPr>
          <w:rFonts w:ascii="Times New Roman" w:hAnsi="Times New Roman"/>
          <w:iCs/>
          <w:sz w:val="24"/>
          <w:szCs w:val="24"/>
        </w:rPr>
        <w:t>.</w:t>
      </w:r>
      <w:r w:rsidRPr="00585A2F">
        <w:rPr>
          <w:rFonts w:ascii="Times New Roman" w:hAnsi="Times New Roman"/>
          <w:iCs/>
          <w:sz w:val="24"/>
          <w:szCs w:val="24"/>
        </w:rPr>
        <w:t xml:space="preserve"> [1998] EUECJ C-249/96, [1998] 1 CMLR 993. 17 February.</w:t>
      </w:r>
    </w:p>
    <w:p w:rsidR="00585A2F" w:rsidRDefault="00585A2F" w:rsidP="00585A2F">
      <w:pPr>
        <w:spacing w:line="480" w:lineRule="auto"/>
        <w:contextualSpacing/>
        <w:rPr>
          <w:rFonts w:ascii="Times New Roman" w:hAnsi="Times New Roman"/>
          <w:iCs/>
          <w:sz w:val="24"/>
          <w:szCs w:val="24"/>
        </w:rPr>
      </w:pPr>
      <w:r w:rsidRPr="00585A2F">
        <w:rPr>
          <w:rFonts w:ascii="Times New Roman" w:hAnsi="Times New Roman"/>
          <w:iCs/>
          <w:sz w:val="24"/>
          <w:szCs w:val="24"/>
        </w:rPr>
        <w:t xml:space="preserve">Court of Justice of the European Communities. Maruko v </w:t>
      </w:r>
      <w:proofErr w:type="spellStart"/>
      <w:r w:rsidRPr="00585A2F">
        <w:rPr>
          <w:rFonts w:ascii="Times New Roman" w:hAnsi="Times New Roman"/>
          <w:bCs/>
          <w:iCs/>
          <w:sz w:val="24"/>
          <w:szCs w:val="24"/>
        </w:rPr>
        <w:t>Versorgungsanstalt</w:t>
      </w:r>
      <w:proofErr w:type="spellEnd"/>
      <w:r w:rsidRPr="00585A2F">
        <w:rPr>
          <w:rFonts w:ascii="Times New Roman" w:hAnsi="Times New Roman"/>
          <w:bCs/>
          <w:iCs/>
          <w:sz w:val="24"/>
          <w:szCs w:val="24"/>
        </w:rPr>
        <w:t xml:space="preserve"> der </w:t>
      </w:r>
      <w:proofErr w:type="spellStart"/>
      <w:r w:rsidRPr="00585A2F">
        <w:rPr>
          <w:rFonts w:ascii="Times New Roman" w:hAnsi="Times New Roman"/>
          <w:bCs/>
          <w:iCs/>
          <w:sz w:val="24"/>
          <w:szCs w:val="24"/>
        </w:rPr>
        <w:t>Deutschen</w:t>
      </w:r>
      <w:proofErr w:type="spellEnd"/>
      <w:r w:rsidRPr="00585A2F">
        <w:rPr>
          <w:rFonts w:ascii="Times New Roman" w:hAnsi="Times New Roman"/>
          <w:bCs/>
          <w:iCs/>
          <w:sz w:val="24"/>
          <w:szCs w:val="24"/>
        </w:rPr>
        <w:t xml:space="preserve"> </w:t>
      </w:r>
      <w:proofErr w:type="spellStart"/>
      <w:r w:rsidRPr="00585A2F">
        <w:rPr>
          <w:rFonts w:ascii="Times New Roman" w:hAnsi="Times New Roman"/>
          <w:bCs/>
          <w:iCs/>
          <w:sz w:val="24"/>
          <w:szCs w:val="24"/>
        </w:rPr>
        <w:t>Bühnen</w:t>
      </w:r>
      <w:proofErr w:type="spellEnd"/>
      <w:r w:rsidRPr="00585A2F">
        <w:rPr>
          <w:rFonts w:ascii="Times New Roman" w:hAnsi="Times New Roman"/>
          <w:bCs/>
          <w:iCs/>
          <w:sz w:val="24"/>
          <w:szCs w:val="24"/>
        </w:rPr>
        <w:t>.</w:t>
      </w:r>
      <w:r w:rsidRPr="00585A2F">
        <w:rPr>
          <w:rFonts w:ascii="Times New Roman" w:hAnsi="Times New Roman"/>
          <w:bCs/>
          <w:i/>
          <w:iCs/>
          <w:sz w:val="24"/>
          <w:szCs w:val="24"/>
        </w:rPr>
        <w:t xml:space="preserve"> </w:t>
      </w:r>
      <w:r w:rsidRPr="00585A2F">
        <w:rPr>
          <w:rFonts w:ascii="Times New Roman" w:hAnsi="Times New Roman"/>
          <w:bCs/>
          <w:iCs/>
          <w:sz w:val="24"/>
          <w:szCs w:val="24"/>
        </w:rPr>
        <w:t xml:space="preserve">[2008] EUECJ C-267/06, </w:t>
      </w:r>
      <w:r w:rsidRPr="00585A2F">
        <w:rPr>
          <w:rFonts w:ascii="Times New Roman" w:hAnsi="Times New Roman"/>
          <w:iCs/>
          <w:sz w:val="24"/>
          <w:szCs w:val="24"/>
        </w:rPr>
        <w:t>C:2008:179, [2008] 2 CMLR 32. 1 April.</w:t>
      </w:r>
    </w:p>
    <w:p w:rsidR="00E23E40" w:rsidRPr="00E23E40" w:rsidRDefault="00E23E40" w:rsidP="00E23E40">
      <w:pPr>
        <w:spacing w:line="480" w:lineRule="auto"/>
        <w:contextualSpacing/>
        <w:rPr>
          <w:rFonts w:ascii="Times New Roman" w:hAnsi="Times New Roman"/>
          <w:iCs/>
          <w:sz w:val="24"/>
          <w:szCs w:val="24"/>
        </w:rPr>
      </w:pPr>
      <w:r w:rsidRPr="00E23E40">
        <w:rPr>
          <w:rFonts w:ascii="Times New Roman" w:hAnsi="Times New Roman"/>
          <w:sz w:val="24"/>
          <w:szCs w:val="24"/>
        </w:rPr>
        <w:t xml:space="preserve">Court of Justice of the European Communities. Coleman v </w:t>
      </w:r>
      <w:proofErr w:type="spellStart"/>
      <w:r w:rsidRPr="00E23E40">
        <w:rPr>
          <w:rFonts w:ascii="Times New Roman" w:hAnsi="Times New Roman"/>
          <w:sz w:val="24"/>
          <w:szCs w:val="24"/>
        </w:rPr>
        <w:t>Attridge</w:t>
      </w:r>
      <w:proofErr w:type="spellEnd"/>
      <w:r w:rsidRPr="00E23E40">
        <w:rPr>
          <w:rFonts w:ascii="Times New Roman" w:hAnsi="Times New Roman"/>
          <w:sz w:val="24"/>
          <w:szCs w:val="24"/>
        </w:rPr>
        <w:t xml:space="preserve"> Law</w:t>
      </w:r>
      <w:r>
        <w:rPr>
          <w:rFonts w:ascii="Times New Roman" w:hAnsi="Times New Roman"/>
          <w:iCs/>
          <w:sz w:val="24"/>
          <w:szCs w:val="24"/>
        </w:rPr>
        <w:t>.</w:t>
      </w:r>
      <w:r w:rsidRPr="00E23E40">
        <w:rPr>
          <w:rFonts w:ascii="Times New Roman" w:hAnsi="Times New Roman"/>
          <w:iCs/>
          <w:sz w:val="24"/>
          <w:szCs w:val="24"/>
        </w:rPr>
        <w:t xml:space="preserve"> [2008]</w:t>
      </w:r>
      <w:r w:rsidR="009B701A">
        <w:rPr>
          <w:rFonts w:ascii="Times New Roman" w:hAnsi="Times New Roman"/>
          <w:iCs/>
          <w:sz w:val="24"/>
          <w:szCs w:val="24"/>
        </w:rPr>
        <w:t xml:space="preserve"> </w:t>
      </w:r>
      <w:r w:rsidR="009B701A" w:rsidRPr="009B701A">
        <w:rPr>
          <w:rFonts w:ascii="Times New Roman" w:hAnsi="Times New Roman"/>
          <w:iCs/>
          <w:sz w:val="24"/>
          <w:szCs w:val="24"/>
        </w:rPr>
        <w:t>EUECJ C-303/06, C:2008:415</w:t>
      </w:r>
      <w:r w:rsidR="009B701A">
        <w:rPr>
          <w:rFonts w:ascii="Times New Roman" w:hAnsi="Times New Roman"/>
          <w:iCs/>
          <w:sz w:val="24"/>
          <w:szCs w:val="24"/>
        </w:rPr>
        <w:t xml:space="preserve">, </w:t>
      </w:r>
      <w:r w:rsidR="009B701A" w:rsidRPr="009B701A">
        <w:rPr>
          <w:rFonts w:ascii="Times New Roman" w:hAnsi="Times New Roman"/>
          <w:iCs/>
          <w:sz w:val="24"/>
          <w:szCs w:val="24"/>
        </w:rPr>
        <w:t>[2008] 3 CMLR 27</w:t>
      </w:r>
      <w:r w:rsidR="009B701A">
        <w:rPr>
          <w:rFonts w:ascii="Times New Roman" w:hAnsi="Times New Roman"/>
          <w:iCs/>
          <w:sz w:val="24"/>
          <w:szCs w:val="24"/>
        </w:rPr>
        <w:t xml:space="preserve">. </w:t>
      </w:r>
      <w:r w:rsidRPr="00E23E40">
        <w:rPr>
          <w:rFonts w:ascii="Times New Roman" w:hAnsi="Times New Roman"/>
          <w:iCs/>
          <w:sz w:val="24"/>
          <w:szCs w:val="24"/>
        </w:rPr>
        <w:t>17 July</w:t>
      </w:r>
      <w:r w:rsidR="009B701A">
        <w:rPr>
          <w:rFonts w:ascii="Times New Roman" w:hAnsi="Times New Roman"/>
          <w:iCs/>
          <w:sz w:val="24"/>
          <w:szCs w:val="24"/>
        </w:rPr>
        <w:t>.</w:t>
      </w:r>
    </w:p>
    <w:p w:rsidR="00585A2F" w:rsidRPr="00585A2F" w:rsidRDefault="00585A2F" w:rsidP="00585A2F">
      <w:pPr>
        <w:spacing w:line="480" w:lineRule="auto"/>
        <w:contextualSpacing/>
        <w:rPr>
          <w:rFonts w:ascii="Times New Roman" w:hAnsi="Times New Roman"/>
          <w:iCs/>
          <w:sz w:val="24"/>
          <w:szCs w:val="24"/>
        </w:rPr>
      </w:pPr>
      <w:r w:rsidRPr="00585A2F">
        <w:rPr>
          <w:rFonts w:ascii="Times New Roman" w:hAnsi="Times New Roman"/>
          <w:iCs/>
          <w:sz w:val="24"/>
          <w:szCs w:val="24"/>
        </w:rPr>
        <w:t xml:space="preserve">European Court of Justice. </w:t>
      </w:r>
      <w:proofErr w:type="spellStart"/>
      <w:r w:rsidRPr="00585A2F">
        <w:rPr>
          <w:rFonts w:ascii="Times New Roman" w:hAnsi="Times New Roman"/>
          <w:iCs/>
          <w:sz w:val="24"/>
          <w:szCs w:val="24"/>
        </w:rPr>
        <w:t>Römer</w:t>
      </w:r>
      <w:proofErr w:type="spellEnd"/>
      <w:r w:rsidRPr="00585A2F">
        <w:rPr>
          <w:rFonts w:ascii="Times New Roman" w:hAnsi="Times New Roman"/>
          <w:iCs/>
          <w:sz w:val="24"/>
          <w:szCs w:val="24"/>
        </w:rPr>
        <w:t xml:space="preserve"> v </w:t>
      </w:r>
      <w:proofErr w:type="spellStart"/>
      <w:r w:rsidRPr="00585A2F">
        <w:rPr>
          <w:rFonts w:ascii="Times New Roman" w:hAnsi="Times New Roman"/>
          <w:iCs/>
          <w:sz w:val="24"/>
          <w:szCs w:val="24"/>
        </w:rPr>
        <w:t>Freie</w:t>
      </w:r>
      <w:proofErr w:type="spellEnd"/>
      <w:r w:rsidRPr="00585A2F">
        <w:rPr>
          <w:rFonts w:ascii="Times New Roman" w:hAnsi="Times New Roman"/>
          <w:iCs/>
          <w:sz w:val="24"/>
          <w:szCs w:val="24"/>
        </w:rPr>
        <w:t xml:space="preserve"> und </w:t>
      </w:r>
      <w:proofErr w:type="spellStart"/>
      <w:r w:rsidRPr="00585A2F">
        <w:rPr>
          <w:rFonts w:ascii="Times New Roman" w:hAnsi="Times New Roman"/>
          <w:iCs/>
          <w:sz w:val="24"/>
          <w:szCs w:val="24"/>
        </w:rPr>
        <w:t>Hansestadt</w:t>
      </w:r>
      <w:proofErr w:type="spellEnd"/>
      <w:r w:rsidRPr="00585A2F">
        <w:rPr>
          <w:rFonts w:ascii="Times New Roman" w:hAnsi="Times New Roman"/>
          <w:iCs/>
          <w:sz w:val="24"/>
          <w:szCs w:val="24"/>
        </w:rPr>
        <w:t xml:space="preserve"> Hamburg. [2011] EUECJ C-147/08, C:2011:286, [2013] 2 CMLR 11. 10 May.</w:t>
      </w:r>
    </w:p>
    <w:p w:rsidR="00585A2F" w:rsidRDefault="00585A2F" w:rsidP="00585A2F">
      <w:pPr>
        <w:spacing w:line="480" w:lineRule="auto"/>
        <w:contextualSpacing/>
        <w:rPr>
          <w:rFonts w:ascii="Times New Roman" w:hAnsi="Times New Roman"/>
          <w:iCs/>
          <w:sz w:val="24"/>
          <w:szCs w:val="24"/>
        </w:rPr>
      </w:pPr>
    </w:p>
    <w:p w:rsidR="00585A2F" w:rsidRPr="00585A2F" w:rsidRDefault="00585A2F" w:rsidP="00585A2F">
      <w:pPr>
        <w:spacing w:line="480" w:lineRule="auto"/>
        <w:contextualSpacing/>
        <w:rPr>
          <w:rFonts w:ascii="Times New Roman" w:hAnsi="Times New Roman"/>
          <w:iCs/>
          <w:sz w:val="24"/>
          <w:szCs w:val="24"/>
          <w:u w:val="single"/>
        </w:rPr>
      </w:pPr>
      <w:r w:rsidRPr="00585A2F">
        <w:rPr>
          <w:rFonts w:ascii="Times New Roman" w:hAnsi="Times New Roman"/>
          <w:iCs/>
          <w:sz w:val="24"/>
          <w:szCs w:val="24"/>
          <w:u w:val="single"/>
        </w:rPr>
        <w:t>United States</w:t>
      </w:r>
    </w:p>
    <w:p w:rsidR="00585A2F" w:rsidRPr="00585A2F" w:rsidRDefault="00585A2F" w:rsidP="00585A2F">
      <w:pPr>
        <w:spacing w:line="480" w:lineRule="auto"/>
        <w:contextualSpacing/>
        <w:rPr>
          <w:rFonts w:ascii="Times New Roman" w:hAnsi="Times New Roman"/>
          <w:b/>
          <w:bCs/>
          <w:iCs/>
          <w:sz w:val="24"/>
          <w:szCs w:val="24"/>
        </w:rPr>
      </w:pPr>
      <w:r w:rsidRPr="00585A2F">
        <w:rPr>
          <w:rFonts w:ascii="Times New Roman" w:hAnsi="Times New Roman"/>
          <w:iCs/>
          <w:sz w:val="24"/>
          <w:szCs w:val="24"/>
        </w:rPr>
        <w:t xml:space="preserve">Supreme Court of Hawai’i. </w:t>
      </w:r>
      <w:proofErr w:type="spellStart"/>
      <w:r w:rsidRPr="00585A2F">
        <w:rPr>
          <w:rFonts w:ascii="Times New Roman" w:hAnsi="Times New Roman"/>
          <w:iCs/>
          <w:sz w:val="24"/>
          <w:szCs w:val="24"/>
        </w:rPr>
        <w:t>Baehr</w:t>
      </w:r>
      <w:proofErr w:type="spellEnd"/>
      <w:r w:rsidRPr="00585A2F">
        <w:rPr>
          <w:rFonts w:ascii="Times New Roman" w:hAnsi="Times New Roman"/>
          <w:iCs/>
          <w:sz w:val="24"/>
          <w:szCs w:val="24"/>
        </w:rPr>
        <w:t xml:space="preserve"> v Lewin. 74 Haw. 530 (Haw. 1993) 852 P.2d 44.</w:t>
      </w:r>
    </w:p>
    <w:p w:rsidR="00585A2F" w:rsidRPr="00585A2F" w:rsidRDefault="00FB388F" w:rsidP="00585A2F">
      <w:pPr>
        <w:spacing w:line="480" w:lineRule="auto"/>
        <w:contextualSpacing/>
        <w:rPr>
          <w:rFonts w:ascii="Times New Roman" w:hAnsi="Times New Roman"/>
          <w:iCs/>
          <w:sz w:val="24"/>
          <w:szCs w:val="24"/>
        </w:rPr>
      </w:pPr>
      <w:hyperlink r:id="rId12" w:history="1">
        <w:r w:rsidR="00585A2F" w:rsidRPr="00585A2F">
          <w:rPr>
            <w:rStyle w:val="Hyperlink"/>
            <w:rFonts w:ascii="Times New Roman" w:hAnsi="Times New Roman"/>
            <w:iCs/>
            <w:color w:val="auto"/>
            <w:sz w:val="24"/>
            <w:szCs w:val="24"/>
            <w:u w:val="none"/>
          </w:rPr>
          <w:t>US Court of Appeals for the Seventh Circuit</w:t>
        </w:r>
      </w:hyperlink>
      <w:r w:rsidR="00585A2F" w:rsidRPr="00585A2F">
        <w:rPr>
          <w:rFonts w:ascii="Times New Roman" w:hAnsi="Times New Roman"/>
          <w:iCs/>
          <w:sz w:val="24"/>
          <w:szCs w:val="24"/>
        </w:rPr>
        <w:t>, Kimberly Hively v Ivy Tech Community College of Indiana. 2017. 853 F3d 339.</w:t>
      </w:r>
    </w:p>
    <w:p w:rsidR="00585A2F" w:rsidRPr="00585A2F" w:rsidRDefault="00585A2F" w:rsidP="00585A2F">
      <w:pPr>
        <w:spacing w:line="480" w:lineRule="auto"/>
        <w:contextualSpacing/>
        <w:rPr>
          <w:rFonts w:ascii="Times New Roman" w:hAnsi="Times New Roman"/>
          <w:bCs/>
          <w:iCs/>
          <w:sz w:val="24"/>
          <w:szCs w:val="24"/>
        </w:rPr>
      </w:pPr>
      <w:r w:rsidRPr="00585A2F">
        <w:rPr>
          <w:rFonts w:ascii="Times New Roman" w:hAnsi="Times New Roman"/>
          <w:iCs/>
          <w:sz w:val="24"/>
          <w:szCs w:val="24"/>
        </w:rPr>
        <w:t>US Supreme Court, Pace v Alabama. 1883. 106 US 583</w:t>
      </w:r>
      <w:r w:rsidRPr="00585A2F">
        <w:rPr>
          <w:rFonts w:ascii="Times New Roman" w:hAnsi="Times New Roman"/>
          <w:bCs/>
          <w:iCs/>
          <w:sz w:val="24"/>
          <w:szCs w:val="24"/>
        </w:rPr>
        <w:t xml:space="preserve">. </w:t>
      </w:r>
    </w:p>
    <w:p w:rsidR="00585A2F" w:rsidRPr="00585A2F" w:rsidRDefault="00585A2F" w:rsidP="00585A2F">
      <w:pPr>
        <w:spacing w:line="480" w:lineRule="auto"/>
        <w:contextualSpacing/>
        <w:rPr>
          <w:rFonts w:ascii="Times New Roman" w:hAnsi="Times New Roman"/>
          <w:iCs/>
          <w:sz w:val="24"/>
          <w:szCs w:val="24"/>
        </w:rPr>
      </w:pPr>
      <w:r w:rsidRPr="00585A2F">
        <w:rPr>
          <w:rFonts w:ascii="Times New Roman" w:hAnsi="Times New Roman"/>
          <w:iCs/>
          <w:sz w:val="24"/>
          <w:szCs w:val="24"/>
        </w:rPr>
        <w:t xml:space="preserve">US Supreme Court, Plessy v Ferguson. 1896. 163 US 537. </w:t>
      </w:r>
    </w:p>
    <w:p w:rsidR="00585A2F" w:rsidRPr="00585A2F" w:rsidRDefault="00585A2F" w:rsidP="00585A2F">
      <w:pPr>
        <w:spacing w:line="480" w:lineRule="auto"/>
        <w:contextualSpacing/>
        <w:rPr>
          <w:rFonts w:ascii="Times New Roman" w:hAnsi="Times New Roman"/>
          <w:iCs/>
          <w:sz w:val="24"/>
          <w:szCs w:val="24"/>
        </w:rPr>
      </w:pPr>
      <w:r w:rsidRPr="00585A2F">
        <w:rPr>
          <w:rFonts w:ascii="Times New Roman" w:hAnsi="Times New Roman"/>
          <w:iCs/>
          <w:sz w:val="24"/>
          <w:szCs w:val="24"/>
        </w:rPr>
        <w:t>US Supreme Court, Loving v Virginia.</w:t>
      </w:r>
      <w:r w:rsidRPr="00585A2F">
        <w:rPr>
          <w:rFonts w:ascii="Times New Roman" w:hAnsi="Times New Roman"/>
          <w:i/>
          <w:iCs/>
          <w:sz w:val="24"/>
          <w:szCs w:val="24"/>
        </w:rPr>
        <w:t xml:space="preserve"> </w:t>
      </w:r>
      <w:r w:rsidRPr="00585A2F">
        <w:rPr>
          <w:rFonts w:ascii="Times New Roman" w:hAnsi="Times New Roman"/>
          <w:iCs/>
          <w:sz w:val="24"/>
          <w:szCs w:val="24"/>
        </w:rPr>
        <w:t>1967. 388 US 1.</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iCs/>
          <w:sz w:val="24"/>
          <w:szCs w:val="24"/>
        </w:rPr>
        <w:t xml:space="preserve">US Supreme Court, </w:t>
      </w:r>
      <w:r w:rsidRPr="005F7A09">
        <w:rPr>
          <w:rFonts w:ascii="Times New Roman" w:hAnsi="Times New Roman"/>
          <w:sz w:val="24"/>
          <w:szCs w:val="24"/>
        </w:rPr>
        <w:t>Phillips v. Martin Marietta. 1971. 400 U.S. 542.</w:t>
      </w:r>
    </w:p>
    <w:p w:rsidR="00363CF4" w:rsidRPr="00363CF4" w:rsidRDefault="00363CF4" w:rsidP="00363CF4">
      <w:pPr>
        <w:spacing w:line="480" w:lineRule="auto"/>
        <w:contextualSpacing/>
        <w:rPr>
          <w:rFonts w:ascii="Times New Roman" w:hAnsi="Times New Roman"/>
          <w:iCs/>
          <w:sz w:val="24"/>
          <w:szCs w:val="24"/>
        </w:rPr>
      </w:pPr>
      <w:r w:rsidRPr="00363CF4">
        <w:rPr>
          <w:rFonts w:ascii="Times New Roman" w:hAnsi="Times New Roman"/>
          <w:iCs/>
          <w:sz w:val="24"/>
          <w:szCs w:val="24"/>
        </w:rPr>
        <w:t xml:space="preserve">US Supreme Court, </w:t>
      </w:r>
      <w:proofErr w:type="spellStart"/>
      <w:r w:rsidRPr="00363CF4">
        <w:rPr>
          <w:rFonts w:ascii="Times New Roman" w:hAnsi="Times New Roman"/>
          <w:sz w:val="24"/>
          <w:szCs w:val="24"/>
        </w:rPr>
        <w:t>Oncale</w:t>
      </w:r>
      <w:proofErr w:type="spellEnd"/>
      <w:r w:rsidRPr="00363CF4">
        <w:rPr>
          <w:rFonts w:ascii="Times New Roman" w:hAnsi="Times New Roman"/>
          <w:sz w:val="24"/>
          <w:szCs w:val="24"/>
        </w:rPr>
        <w:t xml:space="preserve"> v Sundowner</w:t>
      </w:r>
      <w:r w:rsidRPr="00363CF4">
        <w:rPr>
          <w:rFonts w:ascii="Times New Roman" w:hAnsi="Times New Roman"/>
          <w:i/>
          <w:iCs/>
          <w:sz w:val="24"/>
          <w:szCs w:val="24"/>
        </w:rPr>
        <w:t xml:space="preserve">. </w:t>
      </w:r>
      <w:r w:rsidRPr="00363CF4">
        <w:rPr>
          <w:rFonts w:ascii="Times New Roman" w:hAnsi="Times New Roman"/>
          <w:iCs/>
          <w:sz w:val="24"/>
          <w:szCs w:val="24"/>
        </w:rPr>
        <w:t>1998. 523 U.S. 75.</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iCs/>
          <w:sz w:val="24"/>
          <w:szCs w:val="24"/>
        </w:rPr>
        <w:t xml:space="preserve">US Supreme Court, </w:t>
      </w:r>
      <w:r w:rsidRPr="005F7A09">
        <w:rPr>
          <w:rFonts w:ascii="Times New Roman" w:hAnsi="Times New Roman"/>
          <w:sz w:val="24"/>
          <w:szCs w:val="24"/>
        </w:rPr>
        <w:t xml:space="preserve">Altitude Express v </w:t>
      </w:r>
      <w:proofErr w:type="spellStart"/>
      <w:r w:rsidRPr="005F7A09">
        <w:rPr>
          <w:rFonts w:ascii="Times New Roman" w:hAnsi="Times New Roman"/>
          <w:sz w:val="24"/>
          <w:szCs w:val="24"/>
        </w:rPr>
        <w:t>Zarda</w:t>
      </w:r>
      <w:proofErr w:type="spellEnd"/>
      <w:r w:rsidRPr="005F7A09">
        <w:rPr>
          <w:rFonts w:ascii="Times New Roman" w:hAnsi="Times New Roman"/>
          <w:sz w:val="24"/>
          <w:szCs w:val="24"/>
        </w:rPr>
        <w:t>. 2020. 590 U.S. ___.</w:t>
      </w:r>
    </w:p>
    <w:p w:rsidR="00AC5334" w:rsidRPr="005F7A09" w:rsidRDefault="00AC5334" w:rsidP="005F7A09">
      <w:pPr>
        <w:spacing w:line="480" w:lineRule="auto"/>
        <w:contextualSpacing/>
        <w:rPr>
          <w:rFonts w:ascii="Times New Roman" w:hAnsi="Times New Roman"/>
          <w:sz w:val="24"/>
          <w:szCs w:val="24"/>
        </w:rPr>
      </w:pPr>
      <w:r w:rsidRPr="005F7A09">
        <w:rPr>
          <w:rFonts w:ascii="Times New Roman" w:hAnsi="Times New Roman"/>
          <w:iCs/>
          <w:sz w:val="24"/>
          <w:szCs w:val="24"/>
        </w:rPr>
        <w:t>US Supreme Court, Bostock v Clayton County, Georgia. 2020. 590 U.S. ___.</w:t>
      </w:r>
    </w:p>
    <w:p w:rsidR="00AC5334" w:rsidRPr="005F7A09" w:rsidRDefault="00AC5334" w:rsidP="005F7A09">
      <w:pPr>
        <w:spacing w:line="480" w:lineRule="auto"/>
        <w:contextualSpacing/>
        <w:rPr>
          <w:rFonts w:ascii="Times New Roman" w:hAnsi="Times New Roman"/>
          <w:iCs/>
          <w:sz w:val="24"/>
          <w:szCs w:val="24"/>
        </w:rPr>
      </w:pPr>
      <w:r w:rsidRPr="005F7A09">
        <w:rPr>
          <w:rFonts w:ascii="Times New Roman" w:hAnsi="Times New Roman"/>
          <w:iCs/>
          <w:sz w:val="24"/>
          <w:szCs w:val="24"/>
        </w:rPr>
        <w:lastRenderedPageBreak/>
        <w:t>US Supreme Court, Harris Funeral Homes v Equal Employment Opportunity Commission. 2020. 590 U.S. ___.</w:t>
      </w:r>
    </w:p>
    <w:bookmarkEnd w:id="33"/>
    <w:p w:rsidR="00AC5334" w:rsidRPr="005F7A09" w:rsidRDefault="00AC5334" w:rsidP="005F7A09">
      <w:pPr>
        <w:spacing w:line="480" w:lineRule="auto"/>
        <w:contextualSpacing/>
        <w:rPr>
          <w:rFonts w:ascii="Times New Roman" w:hAnsi="Times New Roman"/>
          <w:iCs/>
          <w:sz w:val="24"/>
          <w:szCs w:val="24"/>
        </w:rPr>
      </w:pPr>
    </w:p>
    <w:p w:rsidR="003C3DAB" w:rsidRPr="005F7A09" w:rsidRDefault="003C3DAB" w:rsidP="005F7A09">
      <w:pPr>
        <w:spacing w:line="480" w:lineRule="auto"/>
        <w:contextualSpacing/>
        <w:rPr>
          <w:rFonts w:ascii="Times New Roman" w:hAnsi="Times New Roman"/>
          <w:iCs/>
          <w:sz w:val="24"/>
          <w:szCs w:val="24"/>
        </w:rPr>
      </w:pPr>
    </w:p>
    <w:sectPr w:rsidR="003C3DAB" w:rsidRPr="005F7A09" w:rsidSect="00DC740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88F" w:rsidRDefault="00FB388F" w:rsidP="005C73D2">
      <w:pPr>
        <w:spacing w:after="0" w:line="240" w:lineRule="auto"/>
      </w:pPr>
      <w:r>
        <w:separator/>
      </w:r>
    </w:p>
  </w:endnote>
  <w:endnote w:type="continuationSeparator" w:id="0">
    <w:p w:rsidR="00FB388F" w:rsidRDefault="00FB388F" w:rsidP="005C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DAC" w:rsidRDefault="004E0DAC">
    <w:pPr>
      <w:pStyle w:val="Footer"/>
      <w:jc w:val="right"/>
    </w:pPr>
    <w:r>
      <w:fldChar w:fldCharType="begin"/>
    </w:r>
    <w:r>
      <w:instrText xml:space="preserve"> PAGE   \* MERGEFORMAT </w:instrText>
    </w:r>
    <w:r>
      <w:fldChar w:fldCharType="separate"/>
    </w:r>
    <w:r>
      <w:rPr>
        <w:noProof/>
      </w:rPr>
      <w:t>2</w:t>
    </w:r>
    <w:r>
      <w:rPr>
        <w:noProof/>
      </w:rPr>
      <w:fldChar w:fldCharType="end"/>
    </w:r>
  </w:p>
  <w:p w:rsidR="004E0DAC" w:rsidRDefault="004E0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88F" w:rsidRDefault="00FB388F" w:rsidP="005C73D2">
      <w:pPr>
        <w:spacing w:after="0" w:line="240" w:lineRule="auto"/>
      </w:pPr>
      <w:r>
        <w:separator/>
      </w:r>
    </w:p>
  </w:footnote>
  <w:footnote w:type="continuationSeparator" w:id="0">
    <w:p w:rsidR="00FB388F" w:rsidRDefault="00FB388F" w:rsidP="005C73D2">
      <w:pPr>
        <w:spacing w:after="0" w:line="240" w:lineRule="auto"/>
      </w:pPr>
      <w:r>
        <w:continuationSeparator/>
      </w:r>
    </w:p>
  </w:footnote>
  <w:footnote w:id="1">
    <w:p w:rsidR="004E0DAC" w:rsidRPr="00194F13" w:rsidRDefault="004E0DAC" w:rsidP="00680EC7">
      <w:pPr>
        <w:pStyle w:val="FootnoteText"/>
        <w:spacing w:line="480" w:lineRule="auto"/>
        <w:rPr>
          <w:rFonts w:ascii="Times New Roman" w:hAnsi="Times New Roman"/>
        </w:rPr>
      </w:pPr>
      <w:r w:rsidRPr="00194F13">
        <w:rPr>
          <w:rStyle w:val="FootnoteReference"/>
          <w:rFonts w:ascii="Times New Roman" w:hAnsi="Times New Roman"/>
        </w:rPr>
        <w:footnoteRef/>
      </w:r>
      <w:r w:rsidRPr="00194F13">
        <w:rPr>
          <w:rFonts w:ascii="Times New Roman" w:hAnsi="Times New Roman"/>
        </w:rPr>
        <w:t xml:space="preserve"> The Act applies in whole to England and Wales, in whole apart from one section and one part to Scotland, and in only two sections and two sub-sections to Northern Ireland. See </w:t>
      </w:r>
      <w:r>
        <w:rPr>
          <w:rFonts w:ascii="Times New Roman" w:hAnsi="Times New Roman"/>
        </w:rPr>
        <w:t>the Act</w:t>
      </w:r>
      <w:r w:rsidRPr="00194F13">
        <w:rPr>
          <w:rFonts w:ascii="Times New Roman" w:hAnsi="Times New Roman"/>
        </w:rPr>
        <w:t>, s</w:t>
      </w:r>
      <w:r>
        <w:rPr>
          <w:rFonts w:ascii="Times New Roman" w:hAnsi="Times New Roman"/>
        </w:rPr>
        <w:t>ection</w:t>
      </w:r>
      <w:r w:rsidRPr="00194F13">
        <w:rPr>
          <w:rFonts w:ascii="Times New Roman" w:hAnsi="Times New Roman"/>
        </w:rPr>
        <w:t xml:space="preserve"> 217.</w:t>
      </w:r>
    </w:p>
  </w:footnote>
  <w:footnote w:id="2">
    <w:p w:rsidR="004E0DAC" w:rsidRPr="00194F13" w:rsidRDefault="004E0DAC" w:rsidP="00680EC7">
      <w:pPr>
        <w:pStyle w:val="FootnoteText"/>
        <w:spacing w:line="480" w:lineRule="auto"/>
        <w:rPr>
          <w:rFonts w:ascii="Times New Roman" w:hAnsi="Times New Roman"/>
        </w:rPr>
      </w:pPr>
      <w:r w:rsidRPr="00194F13">
        <w:rPr>
          <w:rStyle w:val="FootnoteReference"/>
          <w:rFonts w:ascii="Times New Roman" w:hAnsi="Times New Roman"/>
        </w:rPr>
        <w:footnoteRef/>
      </w:r>
      <w:r w:rsidRPr="00194F13">
        <w:rPr>
          <w:rFonts w:ascii="Times New Roman" w:hAnsi="Times New Roman"/>
        </w:rPr>
        <w:t xml:space="preserve"> I quote the relevant subsection for the provision of goods and services, since that will loom the largest in what follows.</w:t>
      </w:r>
    </w:p>
  </w:footnote>
  <w:footnote w:id="3">
    <w:p w:rsidR="004E0DAC" w:rsidRPr="00194F13" w:rsidRDefault="004E0DAC" w:rsidP="00680EC7">
      <w:pPr>
        <w:pStyle w:val="FootnoteText"/>
        <w:spacing w:line="480" w:lineRule="auto"/>
        <w:rPr>
          <w:rFonts w:ascii="Times New Roman" w:hAnsi="Times New Roman"/>
        </w:rPr>
      </w:pPr>
      <w:r w:rsidRPr="00194F13">
        <w:rPr>
          <w:rStyle w:val="FootnoteReference"/>
          <w:rFonts w:ascii="Times New Roman" w:hAnsi="Times New Roman"/>
        </w:rPr>
        <w:footnoteRef/>
      </w:r>
      <w:r w:rsidRPr="00194F13">
        <w:rPr>
          <w:rFonts w:ascii="Times New Roman" w:hAnsi="Times New Roman"/>
        </w:rPr>
        <w:t xml:space="preserve"> </w:t>
      </w:r>
      <w:r>
        <w:rPr>
          <w:rFonts w:ascii="Times New Roman" w:hAnsi="Times New Roman"/>
        </w:rPr>
        <w:t>I am grateful to an anonymous referee for the journal for this reference</w:t>
      </w:r>
      <w:r w:rsidRPr="00194F13">
        <w:rPr>
          <w:rFonts w:ascii="Times New Roman" w:hAnsi="Times New Roman"/>
        </w:rPr>
        <w:t>.</w:t>
      </w:r>
    </w:p>
  </w:footnote>
  <w:footnote w:id="4">
    <w:p w:rsidR="004E0DAC" w:rsidRPr="002911BD" w:rsidRDefault="004E0DAC">
      <w:pPr>
        <w:pStyle w:val="FootnoteText"/>
        <w:rPr>
          <w:rFonts w:ascii="Times New Roman" w:hAnsi="Times New Roman"/>
        </w:rPr>
      </w:pPr>
      <w:r w:rsidRPr="002911BD">
        <w:rPr>
          <w:rStyle w:val="FootnoteReference"/>
          <w:rFonts w:ascii="Times New Roman" w:hAnsi="Times New Roman"/>
        </w:rPr>
        <w:footnoteRef/>
      </w:r>
      <w:r w:rsidRPr="002911BD">
        <w:rPr>
          <w:rFonts w:ascii="Times New Roman" w:hAnsi="Times New Roman"/>
        </w:rPr>
        <w:t xml:space="preserve"> Gardner does not necessarily mean this in a technical legal sense. He is speaking more generally.</w:t>
      </w:r>
    </w:p>
  </w:footnote>
  <w:footnote w:id="5">
    <w:p w:rsidR="004E0DAC" w:rsidRPr="00194F13" w:rsidRDefault="004E0DAC" w:rsidP="00680EC7">
      <w:pPr>
        <w:pStyle w:val="FootnoteText"/>
        <w:spacing w:line="480" w:lineRule="auto"/>
        <w:rPr>
          <w:rFonts w:ascii="Times New Roman" w:hAnsi="Times New Roman"/>
        </w:rPr>
      </w:pPr>
      <w:r w:rsidRPr="00194F13">
        <w:rPr>
          <w:rStyle w:val="FootnoteReference"/>
          <w:rFonts w:ascii="Times New Roman" w:hAnsi="Times New Roman"/>
        </w:rPr>
        <w:footnoteRef/>
      </w:r>
      <w:r w:rsidRPr="00194F13">
        <w:rPr>
          <w:rFonts w:ascii="Times New Roman" w:hAnsi="Times New Roman"/>
        </w:rPr>
        <w:t xml:space="preserve"> The test was put forward in oral argument by Lord Lester QC and David </w:t>
      </w:r>
      <w:proofErr w:type="spellStart"/>
      <w:r w:rsidRPr="00194F13">
        <w:rPr>
          <w:rFonts w:ascii="Times New Roman" w:hAnsi="Times New Roman"/>
        </w:rPr>
        <w:t>Pannick</w:t>
      </w:r>
      <w:proofErr w:type="spellEnd"/>
      <w:r w:rsidRPr="00194F13">
        <w:rPr>
          <w:rFonts w:ascii="Times New Roman" w:hAnsi="Times New Roman"/>
        </w:rPr>
        <w:t xml:space="preserve"> for the Equality Commission</w:t>
      </w:r>
      <w:r>
        <w:rPr>
          <w:rFonts w:ascii="Times New Roman" w:hAnsi="Times New Roman"/>
        </w:rPr>
        <w:t xml:space="preserve"> (</w:t>
      </w:r>
      <w:r w:rsidRPr="008D0061">
        <w:rPr>
          <w:rFonts w:ascii="Times New Roman" w:hAnsi="Times New Roman"/>
          <w:i/>
          <w:iCs/>
        </w:rPr>
        <w:t>R v Birmingham City Council</w:t>
      </w:r>
      <w:r w:rsidRPr="008D0061">
        <w:rPr>
          <w:rFonts w:ascii="Times New Roman" w:hAnsi="Times New Roman"/>
        </w:rPr>
        <w:t xml:space="preserve"> [1989</w:t>
      </w:r>
      <w:r>
        <w:rPr>
          <w:rFonts w:ascii="Times New Roman" w:hAnsi="Times New Roman"/>
        </w:rPr>
        <w:t>]</w:t>
      </w:r>
      <w:r w:rsidRPr="008D0061">
        <w:rPr>
          <w:rFonts w:ascii="Times New Roman" w:hAnsi="Times New Roman"/>
        </w:rPr>
        <w:t>:</w:t>
      </w:r>
      <w:r>
        <w:rPr>
          <w:rFonts w:ascii="Times New Roman" w:hAnsi="Times New Roman"/>
        </w:rPr>
        <w:t xml:space="preserve"> </w:t>
      </w:r>
      <w:r w:rsidRPr="008E45EF">
        <w:rPr>
          <w:rFonts w:ascii="Times New Roman" w:hAnsi="Times New Roman"/>
        </w:rPr>
        <w:t>1184E</w:t>
      </w:r>
      <w:r>
        <w:rPr>
          <w:rFonts w:ascii="Times New Roman" w:hAnsi="Times New Roman"/>
        </w:rPr>
        <w:t>)</w:t>
      </w:r>
      <w:r w:rsidRPr="00194F13">
        <w:rPr>
          <w:rFonts w:ascii="Times New Roman" w:hAnsi="Times New Roman"/>
        </w:rPr>
        <w:t>.</w:t>
      </w:r>
    </w:p>
  </w:footnote>
  <w:footnote w:id="6">
    <w:p w:rsidR="004E0DAC" w:rsidRPr="00E67362" w:rsidRDefault="004E0DAC">
      <w:pPr>
        <w:pStyle w:val="FootnoteText"/>
        <w:rPr>
          <w:rFonts w:ascii="Times New Roman" w:hAnsi="Times New Roman"/>
        </w:rPr>
      </w:pPr>
      <w:r w:rsidRPr="00E67362">
        <w:rPr>
          <w:rStyle w:val="FootnoteReference"/>
          <w:rFonts w:ascii="Times New Roman" w:hAnsi="Times New Roman"/>
        </w:rPr>
        <w:footnoteRef/>
      </w:r>
      <w:r w:rsidRPr="00E67362">
        <w:rPr>
          <w:rFonts w:ascii="Times New Roman" w:hAnsi="Times New Roman"/>
        </w:rPr>
        <w:t xml:space="preserve"> At this stage the narrower formulation as still used by the law (the Sex Discrimination Act 1975).</w:t>
      </w:r>
    </w:p>
  </w:footnote>
  <w:footnote w:id="7">
    <w:p w:rsidR="004E0DAC" w:rsidRPr="00D51E12" w:rsidRDefault="004E0DAC" w:rsidP="008F0DBC">
      <w:pPr>
        <w:pStyle w:val="FootnoteText"/>
        <w:spacing w:line="480" w:lineRule="auto"/>
        <w:rPr>
          <w:rFonts w:ascii="Times New Roman" w:hAnsi="Times New Roman"/>
        </w:rPr>
      </w:pPr>
      <w:r w:rsidRPr="00D51E12">
        <w:rPr>
          <w:rStyle w:val="FootnoteReference"/>
          <w:rFonts w:ascii="Times New Roman" w:hAnsi="Times New Roman"/>
        </w:rPr>
        <w:footnoteRef/>
      </w:r>
      <w:r w:rsidRPr="00D51E12">
        <w:rPr>
          <w:rFonts w:ascii="Times New Roman" w:hAnsi="Times New Roman"/>
        </w:rPr>
        <w:t xml:space="preserve"> </w:t>
      </w:r>
      <w:r>
        <w:rPr>
          <w:rFonts w:ascii="Times New Roman" w:hAnsi="Times New Roman"/>
        </w:rPr>
        <w:t xml:space="preserve">In the judgment of the Court of Appeal it is recorded that in the court of first instance (Southampton County Court on </w:t>
      </w:r>
      <w:r w:rsidRPr="00014FE6">
        <w:rPr>
          <w:rFonts w:ascii="Times New Roman" w:hAnsi="Times New Roman"/>
        </w:rPr>
        <w:t>28 October 1987 b</w:t>
      </w:r>
      <w:r>
        <w:rPr>
          <w:rFonts w:ascii="Times New Roman" w:hAnsi="Times New Roman"/>
        </w:rPr>
        <w:t>efore</w:t>
      </w:r>
      <w:r w:rsidRPr="00014FE6">
        <w:rPr>
          <w:rFonts w:ascii="Times New Roman" w:hAnsi="Times New Roman"/>
        </w:rPr>
        <w:t xml:space="preserve"> Judge Tucke</w:t>
      </w:r>
      <w:r>
        <w:rPr>
          <w:rFonts w:ascii="Times New Roman" w:hAnsi="Times New Roman"/>
        </w:rPr>
        <w:t>r) “</w:t>
      </w:r>
      <w:r w:rsidRPr="005E1F0C">
        <w:rPr>
          <w:rFonts w:ascii="Times New Roman" w:hAnsi="Times New Roman"/>
        </w:rPr>
        <w:t>it was common ground that the council</w:t>
      </w:r>
      <w:r>
        <w:rPr>
          <w:rFonts w:ascii="Times New Roman" w:hAnsi="Times New Roman"/>
        </w:rPr>
        <w:t>’</w:t>
      </w:r>
      <w:r w:rsidRPr="005E1F0C">
        <w:rPr>
          <w:rFonts w:ascii="Times New Roman" w:hAnsi="Times New Roman"/>
        </w:rPr>
        <w:t>s policy was discriminatory within the meaning of section 1 of the Act</w:t>
      </w:r>
      <w:r>
        <w:rPr>
          <w:rFonts w:ascii="Times New Roman" w:hAnsi="Times New Roman"/>
        </w:rPr>
        <w:t>”, so this point did not require any evidence to be adduced or accepted.</w:t>
      </w:r>
    </w:p>
  </w:footnote>
  <w:footnote w:id="8">
    <w:p w:rsidR="004E0DAC" w:rsidRPr="00194F13" w:rsidRDefault="004E0DAC" w:rsidP="000E4FFB">
      <w:pPr>
        <w:autoSpaceDE w:val="0"/>
        <w:autoSpaceDN w:val="0"/>
        <w:adjustRightInd w:val="0"/>
        <w:spacing w:after="0" w:line="480" w:lineRule="auto"/>
        <w:rPr>
          <w:rFonts w:ascii="Times New Roman" w:hAnsi="Times New Roman"/>
          <w:color w:val="231F20"/>
          <w:sz w:val="20"/>
          <w:szCs w:val="20"/>
          <w:lang w:eastAsia="en-GB"/>
        </w:rPr>
      </w:pPr>
      <w:r w:rsidRPr="00027850">
        <w:rPr>
          <w:rStyle w:val="FootnoteReference"/>
          <w:rFonts w:ascii="Times New Roman" w:hAnsi="Times New Roman"/>
          <w:sz w:val="20"/>
          <w:szCs w:val="20"/>
        </w:rPr>
        <w:footnoteRef/>
      </w:r>
      <w:r w:rsidRPr="00027850">
        <w:rPr>
          <w:rFonts w:ascii="Times New Roman" w:hAnsi="Times New Roman"/>
          <w:sz w:val="20"/>
          <w:szCs w:val="20"/>
        </w:rPr>
        <w:t xml:space="preserve"> </w:t>
      </w:r>
      <w:r w:rsidRPr="00194F13">
        <w:rPr>
          <w:rFonts w:ascii="Times New Roman" w:hAnsi="Times New Roman"/>
          <w:sz w:val="20"/>
          <w:szCs w:val="20"/>
        </w:rPr>
        <w:t>NB that s</w:t>
      </w:r>
      <w:r>
        <w:rPr>
          <w:rFonts w:ascii="Times New Roman" w:hAnsi="Times New Roman"/>
          <w:sz w:val="20"/>
          <w:szCs w:val="20"/>
        </w:rPr>
        <w:t xml:space="preserve"> </w:t>
      </w:r>
      <w:r w:rsidRPr="00194F13">
        <w:rPr>
          <w:rFonts w:ascii="Times New Roman" w:hAnsi="Times New Roman"/>
          <w:sz w:val="20"/>
          <w:szCs w:val="20"/>
        </w:rPr>
        <w:t>12(1) of the Equality Act 2010 states</w:t>
      </w:r>
      <w:r>
        <w:rPr>
          <w:rFonts w:ascii="Times New Roman" w:hAnsi="Times New Roman"/>
          <w:sz w:val="20"/>
          <w:szCs w:val="20"/>
        </w:rPr>
        <w:t xml:space="preserve"> “</w:t>
      </w:r>
      <w:r w:rsidRPr="00194F13">
        <w:rPr>
          <w:rFonts w:ascii="Times New Roman" w:hAnsi="Times New Roman"/>
          <w:color w:val="231F20"/>
          <w:sz w:val="20"/>
          <w:szCs w:val="20"/>
          <w:lang w:eastAsia="en-GB"/>
        </w:rPr>
        <w:t>Sexual orientation means a person’s sexual orientation towards—</w:t>
      </w:r>
    </w:p>
    <w:p w:rsidR="004E0DAC" w:rsidRPr="00194F13" w:rsidRDefault="004E0DAC" w:rsidP="000E4FFB">
      <w:pPr>
        <w:autoSpaceDE w:val="0"/>
        <w:autoSpaceDN w:val="0"/>
        <w:adjustRightInd w:val="0"/>
        <w:spacing w:after="0" w:line="480" w:lineRule="auto"/>
        <w:rPr>
          <w:rFonts w:ascii="Times New Roman" w:hAnsi="Times New Roman"/>
          <w:color w:val="231F20"/>
          <w:sz w:val="20"/>
          <w:szCs w:val="20"/>
          <w:lang w:eastAsia="en-GB"/>
        </w:rPr>
      </w:pPr>
      <w:r w:rsidRPr="00194F13">
        <w:rPr>
          <w:rFonts w:ascii="Times New Roman" w:hAnsi="Times New Roman"/>
          <w:color w:val="231F20"/>
          <w:sz w:val="20"/>
          <w:szCs w:val="20"/>
          <w:lang w:eastAsia="en-GB"/>
        </w:rPr>
        <w:t>(a) persons of the same sex,</w:t>
      </w:r>
    </w:p>
    <w:p w:rsidR="004E0DAC" w:rsidRPr="00194F13" w:rsidRDefault="004E0DAC" w:rsidP="000E4FFB">
      <w:pPr>
        <w:autoSpaceDE w:val="0"/>
        <w:autoSpaceDN w:val="0"/>
        <w:adjustRightInd w:val="0"/>
        <w:spacing w:after="0" w:line="480" w:lineRule="auto"/>
        <w:rPr>
          <w:rFonts w:ascii="Times New Roman" w:hAnsi="Times New Roman"/>
          <w:color w:val="231F20"/>
          <w:sz w:val="20"/>
          <w:szCs w:val="20"/>
          <w:lang w:eastAsia="en-GB"/>
        </w:rPr>
      </w:pPr>
      <w:r w:rsidRPr="00194F13">
        <w:rPr>
          <w:rFonts w:ascii="Times New Roman" w:hAnsi="Times New Roman"/>
          <w:color w:val="231F20"/>
          <w:sz w:val="20"/>
          <w:szCs w:val="20"/>
          <w:lang w:eastAsia="en-GB"/>
        </w:rPr>
        <w:t>(b) persons of the opposite sex, or</w:t>
      </w:r>
    </w:p>
    <w:p w:rsidR="004E0DAC" w:rsidRPr="00194F13" w:rsidRDefault="004E0DAC" w:rsidP="000E4FFB">
      <w:pPr>
        <w:pStyle w:val="FootnoteText"/>
        <w:spacing w:line="480" w:lineRule="auto"/>
        <w:rPr>
          <w:rFonts w:ascii="Times New Roman" w:hAnsi="Times New Roman"/>
          <w:color w:val="231F20"/>
          <w:lang w:eastAsia="en-GB"/>
        </w:rPr>
      </w:pPr>
      <w:r>
        <w:rPr>
          <w:rFonts w:ascii="Times New Roman" w:hAnsi="Times New Roman"/>
          <w:color w:val="231F20"/>
          <w:lang w:eastAsia="en-GB"/>
        </w:rPr>
        <w:t>(c) persons of either sex.”</w:t>
      </w:r>
    </w:p>
    <w:p w:rsidR="004E0DAC" w:rsidRDefault="004E0DAC" w:rsidP="000E4FFB">
      <w:pPr>
        <w:pStyle w:val="FootnoteText"/>
        <w:spacing w:line="480" w:lineRule="auto"/>
        <w:rPr>
          <w:rFonts w:ascii="Times New Roman" w:hAnsi="Times New Roman"/>
          <w:color w:val="231F20"/>
          <w:lang w:eastAsia="en-GB"/>
        </w:rPr>
      </w:pPr>
      <w:r w:rsidRPr="00194F13">
        <w:rPr>
          <w:rFonts w:ascii="Times New Roman" w:hAnsi="Times New Roman"/>
          <w:color w:val="231F20"/>
          <w:lang w:eastAsia="en-GB"/>
        </w:rPr>
        <w:t>So,</w:t>
      </w:r>
      <w:r>
        <w:rPr>
          <w:rFonts w:ascii="Times New Roman" w:hAnsi="Times New Roman"/>
          <w:color w:val="231F20"/>
          <w:lang w:eastAsia="en-GB"/>
        </w:rPr>
        <w:t xml:space="preserve"> “</w:t>
      </w:r>
      <w:r w:rsidRPr="00194F13">
        <w:rPr>
          <w:rFonts w:ascii="Times New Roman" w:hAnsi="Times New Roman"/>
          <w:color w:val="231F20"/>
          <w:lang w:eastAsia="en-GB"/>
        </w:rPr>
        <w:t>being sexually oriented towards me</w:t>
      </w:r>
      <w:r>
        <w:rPr>
          <w:rFonts w:ascii="Times New Roman" w:hAnsi="Times New Roman"/>
          <w:color w:val="231F20"/>
          <w:lang w:eastAsia="en-GB"/>
        </w:rPr>
        <w:t>n”</w:t>
      </w:r>
      <w:r w:rsidRPr="00194F13">
        <w:rPr>
          <w:rFonts w:ascii="Times New Roman" w:hAnsi="Times New Roman"/>
          <w:color w:val="231F20"/>
          <w:lang w:eastAsia="en-GB"/>
        </w:rPr>
        <w:t xml:space="preserve"> and </w:t>
      </w:r>
      <w:r>
        <w:rPr>
          <w:rFonts w:ascii="Times New Roman" w:hAnsi="Times New Roman"/>
          <w:color w:val="231F20"/>
          <w:lang w:eastAsia="en-GB"/>
        </w:rPr>
        <w:t>“</w:t>
      </w:r>
      <w:r w:rsidRPr="00194F13">
        <w:rPr>
          <w:rFonts w:ascii="Times New Roman" w:hAnsi="Times New Roman"/>
          <w:color w:val="231F20"/>
          <w:lang w:eastAsia="en-GB"/>
        </w:rPr>
        <w:t>being sexually oriented towards women</w:t>
      </w:r>
      <w:r>
        <w:rPr>
          <w:rFonts w:ascii="Times New Roman" w:hAnsi="Times New Roman"/>
          <w:color w:val="231F20"/>
          <w:lang w:eastAsia="en-GB"/>
        </w:rPr>
        <w:t xml:space="preserve">” </w:t>
      </w:r>
      <w:r w:rsidRPr="00194F13">
        <w:rPr>
          <w:rFonts w:ascii="Times New Roman" w:hAnsi="Times New Roman"/>
          <w:color w:val="231F20"/>
          <w:lang w:eastAsia="en-GB"/>
        </w:rPr>
        <w:t>are not examples of sexual orientation within the meaning of the Act.</w:t>
      </w:r>
      <w:r>
        <w:rPr>
          <w:rFonts w:ascii="Times New Roman" w:hAnsi="Times New Roman"/>
          <w:color w:val="231F20"/>
          <w:lang w:eastAsia="en-GB"/>
        </w:rPr>
        <w:t xml:space="preserve"> The Explanatory Notes make this clear at paragraph 57:</w:t>
      </w:r>
    </w:p>
    <w:p w:rsidR="004E0DAC" w:rsidRPr="00A41866" w:rsidRDefault="004E0DAC" w:rsidP="00A41866">
      <w:pPr>
        <w:pStyle w:val="FootnoteText"/>
        <w:numPr>
          <w:ilvl w:val="0"/>
          <w:numId w:val="12"/>
        </w:numPr>
        <w:spacing w:line="480" w:lineRule="auto"/>
        <w:rPr>
          <w:rFonts w:ascii="Times New Roman" w:hAnsi="Times New Roman"/>
          <w:color w:val="231F20"/>
          <w:lang w:eastAsia="en-GB"/>
        </w:rPr>
      </w:pPr>
      <w:r w:rsidRPr="00A41866">
        <w:rPr>
          <w:rFonts w:ascii="Times New Roman" w:hAnsi="Times New Roman"/>
          <w:color w:val="231F20"/>
          <w:lang w:eastAsia="en-GB"/>
        </w:rPr>
        <w:t>A man and a woman who are both attracted only to people of the opposite sex from them share a sexual orientation.</w:t>
      </w:r>
    </w:p>
    <w:p w:rsidR="004E0DAC" w:rsidRPr="00745FF1" w:rsidRDefault="004E0DAC" w:rsidP="00745FF1">
      <w:pPr>
        <w:pStyle w:val="FootnoteText"/>
        <w:numPr>
          <w:ilvl w:val="0"/>
          <w:numId w:val="12"/>
        </w:numPr>
        <w:spacing w:line="480" w:lineRule="auto"/>
        <w:rPr>
          <w:rFonts w:ascii="Times New Roman" w:hAnsi="Times New Roman"/>
          <w:color w:val="231F20"/>
          <w:lang w:eastAsia="en-GB"/>
        </w:rPr>
      </w:pPr>
      <w:r w:rsidRPr="00A41866">
        <w:rPr>
          <w:rFonts w:ascii="Times New Roman" w:hAnsi="Times New Roman"/>
          <w:color w:val="231F20"/>
          <w:lang w:eastAsia="en-GB"/>
        </w:rPr>
        <w:t xml:space="preserve">A man who is attracted only to other men is a gay man. A woman who is attracted only to other women is a lesbian. </w:t>
      </w:r>
      <w:proofErr w:type="gramStart"/>
      <w:r w:rsidRPr="00A41866">
        <w:rPr>
          <w:rFonts w:ascii="Times New Roman" w:hAnsi="Times New Roman"/>
          <w:color w:val="231F20"/>
          <w:lang w:eastAsia="en-GB"/>
        </w:rPr>
        <w:t>So</w:t>
      </w:r>
      <w:proofErr w:type="gramEnd"/>
      <w:r w:rsidRPr="00A41866">
        <w:rPr>
          <w:rFonts w:ascii="Times New Roman" w:hAnsi="Times New Roman"/>
          <w:color w:val="231F20"/>
          <w:lang w:eastAsia="en-GB"/>
        </w:rPr>
        <w:t xml:space="preserve"> a gay man and a lesbian share a sexual orientation.</w:t>
      </w:r>
    </w:p>
  </w:footnote>
  <w:footnote w:id="9">
    <w:p w:rsidR="004E0DAC" w:rsidRPr="00435F7A" w:rsidRDefault="004E0DAC" w:rsidP="00C062ED">
      <w:pPr>
        <w:pStyle w:val="FootnoteText"/>
        <w:spacing w:line="480" w:lineRule="auto"/>
        <w:rPr>
          <w:i/>
        </w:rPr>
      </w:pPr>
      <w:r w:rsidRPr="000C597F">
        <w:rPr>
          <w:rStyle w:val="FootnoteReference"/>
          <w:rFonts w:ascii="Times New Roman" w:hAnsi="Times New Roman"/>
        </w:rPr>
        <w:footnoteRef/>
      </w:r>
      <w:r w:rsidRPr="000C597F">
        <w:rPr>
          <w:rFonts w:ascii="Times New Roman" w:hAnsi="Times New Roman"/>
        </w:rPr>
        <w:t xml:space="preserve"> Although I am, as far as I know, the first person to apply this argument directly to</w:t>
      </w:r>
      <w:r>
        <w:rPr>
          <w:rFonts w:ascii="Times New Roman" w:hAnsi="Times New Roman"/>
          <w:i/>
        </w:rPr>
        <w:t xml:space="preserve"> </w:t>
      </w:r>
      <w:r w:rsidRPr="00DE772F">
        <w:rPr>
          <w:rFonts w:ascii="Times New Roman" w:hAnsi="Times New Roman"/>
          <w:i/>
          <w:iCs/>
        </w:rPr>
        <w:t xml:space="preserve">Bull and Bull v Hall and </w:t>
      </w:r>
      <w:proofErr w:type="spellStart"/>
      <w:r w:rsidRPr="00DE772F">
        <w:rPr>
          <w:rFonts w:ascii="Times New Roman" w:hAnsi="Times New Roman"/>
          <w:i/>
          <w:iCs/>
        </w:rPr>
        <w:t>Preddy</w:t>
      </w:r>
      <w:proofErr w:type="spellEnd"/>
      <w:r w:rsidRPr="00DE772F">
        <w:rPr>
          <w:rFonts w:ascii="Times New Roman" w:hAnsi="Times New Roman"/>
          <w:i/>
        </w:rPr>
        <w:t xml:space="preserve"> </w:t>
      </w:r>
      <w:r w:rsidRPr="00DE772F">
        <w:rPr>
          <w:rFonts w:ascii="Times New Roman" w:hAnsi="Times New Roman"/>
          <w:iCs/>
        </w:rPr>
        <w:t>[2013]</w:t>
      </w:r>
      <w:r w:rsidRPr="000C597F">
        <w:rPr>
          <w:rFonts w:ascii="Times New Roman" w:hAnsi="Times New Roman"/>
        </w:rPr>
        <w:t>, the argument has been deployed</w:t>
      </w:r>
      <w:r>
        <w:rPr>
          <w:rFonts w:ascii="Times New Roman" w:hAnsi="Times New Roman"/>
        </w:rPr>
        <w:t xml:space="preserve"> more generally</w:t>
      </w:r>
      <w:r w:rsidRPr="000C597F">
        <w:rPr>
          <w:rFonts w:ascii="Times New Roman" w:hAnsi="Times New Roman"/>
        </w:rPr>
        <w:t xml:space="preserve"> by many others, e.g. </w:t>
      </w:r>
      <w:r>
        <w:rPr>
          <w:rFonts w:ascii="Times New Roman" w:hAnsi="Times New Roman"/>
        </w:rPr>
        <w:t>(</w:t>
      </w:r>
      <w:proofErr w:type="spellStart"/>
      <w:r w:rsidRPr="000C597F">
        <w:rPr>
          <w:rFonts w:ascii="Times New Roman" w:hAnsi="Times New Roman"/>
        </w:rPr>
        <w:t>Pannick</w:t>
      </w:r>
      <w:proofErr w:type="spellEnd"/>
      <w:r>
        <w:rPr>
          <w:rFonts w:ascii="Times New Roman" w:hAnsi="Times New Roman"/>
        </w:rPr>
        <w:t xml:space="preserve"> 1983), reprinted as Chapter 8 in (</w:t>
      </w:r>
      <w:proofErr w:type="spellStart"/>
      <w:r w:rsidRPr="00DB66FB">
        <w:rPr>
          <w:rFonts w:ascii="Times New Roman" w:hAnsi="Times New Roman"/>
        </w:rPr>
        <w:t>Pannick</w:t>
      </w:r>
      <w:proofErr w:type="spellEnd"/>
      <w:r w:rsidRPr="000C597F">
        <w:rPr>
          <w:rFonts w:ascii="Times New Roman" w:hAnsi="Times New Roman"/>
        </w:rPr>
        <w:t xml:space="preserve"> 1985)</w:t>
      </w:r>
      <w:r>
        <w:rPr>
          <w:rFonts w:ascii="Times New Roman" w:hAnsi="Times New Roman"/>
        </w:rPr>
        <w:t>, (</w:t>
      </w:r>
      <w:r w:rsidRPr="000C597F">
        <w:rPr>
          <w:rFonts w:ascii="Times New Roman" w:hAnsi="Times New Roman"/>
        </w:rPr>
        <w:t>Koppelman</w:t>
      </w:r>
      <w:r>
        <w:rPr>
          <w:rFonts w:ascii="Times New Roman" w:hAnsi="Times New Roman"/>
        </w:rPr>
        <w:t xml:space="preserve"> </w:t>
      </w:r>
      <w:r w:rsidRPr="000C597F">
        <w:rPr>
          <w:rFonts w:ascii="Times New Roman" w:hAnsi="Times New Roman"/>
        </w:rPr>
        <w:t>1996)</w:t>
      </w:r>
      <w:r>
        <w:rPr>
          <w:rFonts w:ascii="Times New Roman" w:hAnsi="Times New Roman"/>
        </w:rPr>
        <w:t>, (</w:t>
      </w:r>
      <w:r w:rsidRPr="00DB66FB">
        <w:rPr>
          <w:rFonts w:ascii="Times New Roman" w:hAnsi="Times New Roman"/>
        </w:rPr>
        <w:t>Koppelman</w:t>
      </w:r>
      <w:r w:rsidRPr="000C597F">
        <w:rPr>
          <w:rFonts w:ascii="Times New Roman" w:hAnsi="Times New Roman"/>
        </w:rPr>
        <w:t xml:space="preserve"> 2002)</w:t>
      </w:r>
      <w:r>
        <w:rPr>
          <w:rFonts w:ascii="Times New Roman" w:hAnsi="Times New Roman"/>
        </w:rPr>
        <w:t>,</w:t>
      </w:r>
      <w:r w:rsidRPr="000C597F">
        <w:rPr>
          <w:rFonts w:ascii="Times New Roman" w:hAnsi="Times New Roman"/>
        </w:rPr>
        <w:t xml:space="preserve"> </w:t>
      </w:r>
      <w:r>
        <w:rPr>
          <w:rFonts w:ascii="Times New Roman" w:hAnsi="Times New Roman"/>
        </w:rPr>
        <w:t>(</w:t>
      </w:r>
      <w:r w:rsidRPr="00DB66FB">
        <w:rPr>
          <w:rFonts w:ascii="Times New Roman" w:hAnsi="Times New Roman"/>
        </w:rPr>
        <w:t>Koppelman</w:t>
      </w:r>
      <w:r>
        <w:rPr>
          <w:rFonts w:ascii="Times New Roman" w:hAnsi="Times New Roman"/>
        </w:rPr>
        <w:t xml:space="preserve"> </w:t>
      </w:r>
      <w:r w:rsidRPr="000C597F">
        <w:rPr>
          <w:rFonts w:ascii="Times New Roman" w:hAnsi="Times New Roman"/>
        </w:rPr>
        <w:t>1994)</w:t>
      </w:r>
      <w:r>
        <w:rPr>
          <w:rFonts w:ascii="Times New Roman" w:hAnsi="Times New Roman"/>
        </w:rPr>
        <w:t>, (</w:t>
      </w:r>
      <w:r w:rsidRPr="00DB66FB">
        <w:rPr>
          <w:rFonts w:ascii="Times New Roman" w:hAnsi="Times New Roman"/>
        </w:rPr>
        <w:t>Koppelman</w:t>
      </w:r>
      <w:r>
        <w:rPr>
          <w:rFonts w:ascii="Times New Roman" w:hAnsi="Times New Roman"/>
        </w:rPr>
        <w:t xml:space="preserve"> </w:t>
      </w:r>
      <w:r w:rsidRPr="000C597F">
        <w:rPr>
          <w:rFonts w:ascii="Times New Roman" w:hAnsi="Times New Roman"/>
          <w:iCs/>
        </w:rPr>
        <w:t>2001)</w:t>
      </w:r>
      <w:r>
        <w:rPr>
          <w:rFonts w:ascii="Times New Roman" w:hAnsi="Times New Roman"/>
        </w:rPr>
        <w:t xml:space="preserve">, (Wintemute </w:t>
      </w:r>
      <w:r>
        <w:rPr>
          <w:rFonts w:ascii="Times New Roman" w:hAnsi="Times New Roman"/>
          <w:bCs/>
        </w:rPr>
        <w:t xml:space="preserve">1997a), </w:t>
      </w:r>
      <w:r w:rsidRPr="004912A2">
        <w:rPr>
          <w:rFonts w:ascii="Times New Roman" w:hAnsi="Times New Roman"/>
          <w:bCs/>
        </w:rPr>
        <w:t>(Wintemute 1997</w:t>
      </w:r>
      <w:r>
        <w:rPr>
          <w:rFonts w:ascii="Times New Roman" w:hAnsi="Times New Roman"/>
          <w:bCs/>
        </w:rPr>
        <w:t>b</w:t>
      </w:r>
      <w:r w:rsidRPr="004912A2">
        <w:rPr>
          <w:rFonts w:ascii="Times New Roman" w:hAnsi="Times New Roman"/>
          <w:bCs/>
        </w:rPr>
        <w:t>)</w:t>
      </w:r>
      <w:r>
        <w:rPr>
          <w:rFonts w:ascii="Times New Roman" w:hAnsi="Times New Roman"/>
          <w:bCs/>
        </w:rPr>
        <w:t>, and (</w:t>
      </w:r>
      <w:r w:rsidRPr="00DB66FB">
        <w:rPr>
          <w:rFonts w:ascii="Times New Roman" w:hAnsi="Times New Roman"/>
          <w:bCs/>
        </w:rPr>
        <w:t>Wintemute</w:t>
      </w:r>
      <w:r>
        <w:rPr>
          <w:rFonts w:ascii="Times New Roman" w:hAnsi="Times New Roman"/>
          <w:bCs/>
        </w:rPr>
        <w:t xml:space="preserve"> </w:t>
      </w:r>
      <w:r w:rsidRPr="00EC22B3">
        <w:rPr>
          <w:rFonts w:ascii="Times New Roman" w:hAnsi="Times New Roman"/>
          <w:bCs/>
        </w:rPr>
        <w:t>2003)</w:t>
      </w:r>
      <w:r>
        <w:rPr>
          <w:rFonts w:ascii="Times New Roman" w:hAnsi="Times New Roman"/>
          <w:bCs/>
        </w:rPr>
        <w:t>.</w:t>
      </w:r>
    </w:p>
  </w:footnote>
  <w:footnote w:id="10">
    <w:p w:rsidR="004E0DAC" w:rsidRPr="006E5669" w:rsidRDefault="004E0DAC" w:rsidP="00A074AC">
      <w:pPr>
        <w:pStyle w:val="FootnoteText"/>
        <w:spacing w:line="480" w:lineRule="auto"/>
        <w:rPr>
          <w:rFonts w:ascii="Times New Roman" w:hAnsi="Times New Roman"/>
        </w:rPr>
      </w:pPr>
      <w:r w:rsidRPr="006E5669">
        <w:rPr>
          <w:rStyle w:val="FootnoteReference"/>
          <w:rFonts w:ascii="Times New Roman" w:hAnsi="Times New Roman"/>
        </w:rPr>
        <w:footnoteRef/>
      </w:r>
      <w:r w:rsidRPr="006E5669">
        <w:rPr>
          <w:rFonts w:ascii="Times New Roman" w:hAnsi="Times New Roman"/>
        </w:rPr>
        <w:t xml:space="preserve"> </w:t>
      </w:r>
      <w:r>
        <w:rPr>
          <w:rFonts w:ascii="Times New Roman" w:hAnsi="Times New Roman"/>
        </w:rPr>
        <w:t>(</w:t>
      </w:r>
      <w:proofErr w:type="spellStart"/>
      <w:r w:rsidRPr="00A074AC">
        <w:rPr>
          <w:rFonts w:ascii="Times New Roman" w:hAnsi="Times New Roman"/>
        </w:rPr>
        <w:t>Trispiotis</w:t>
      </w:r>
      <w:proofErr w:type="spellEnd"/>
      <w:r>
        <w:rPr>
          <w:rFonts w:ascii="Times New Roman" w:hAnsi="Times New Roman"/>
        </w:rPr>
        <w:t xml:space="preserve"> 2014: 43)</w:t>
      </w:r>
      <w:r w:rsidRPr="00A074AC">
        <w:rPr>
          <w:rFonts w:ascii="Times New Roman" w:hAnsi="Times New Roman"/>
        </w:rPr>
        <w:t xml:space="preserve"> </w:t>
      </w:r>
      <w:r w:rsidRPr="006E5669">
        <w:rPr>
          <w:rFonts w:ascii="Times New Roman" w:hAnsi="Times New Roman"/>
        </w:rPr>
        <w:t xml:space="preserve">states that </w:t>
      </w:r>
      <w:r>
        <w:rPr>
          <w:rFonts w:ascii="Times New Roman" w:hAnsi="Times New Roman"/>
        </w:rPr>
        <w:t>“</w:t>
      </w:r>
      <w:r w:rsidRPr="006E5669">
        <w:rPr>
          <w:rFonts w:ascii="Times New Roman" w:hAnsi="Times New Roman"/>
        </w:rPr>
        <w:t>the sexual orientation of the couple figured not in the auxiliary premise (as the appellants claim it to be when they insist that they only wanted to accommodate married couples) but in the operative</w:t>
      </w:r>
      <w:r>
        <w:rPr>
          <w:rFonts w:ascii="Times New Roman" w:hAnsi="Times New Roman"/>
        </w:rPr>
        <w:t xml:space="preserve">”. But in </w:t>
      </w:r>
      <w:proofErr w:type="gramStart"/>
      <w:r>
        <w:rPr>
          <w:rFonts w:ascii="Times New Roman" w:hAnsi="Times New Roman"/>
        </w:rPr>
        <w:t>fact</w:t>
      </w:r>
      <w:proofErr w:type="gramEnd"/>
      <w:r>
        <w:rPr>
          <w:rFonts w:ascii="Times New Roman" w:hAnsi="Times New Roman"/>
        </w:rPr>
        <w:t xml:space="preserve"> the sexual orientation figures in </w:t>
      </w:r>
      <w:r>
        <w:rPr>
          <w:rFonts w:ascii="Times New Roman" w:hAnsi="Times New Roman"/>
          <w:i/>
        </w:rPr>
        <w:t xml:space="preserve">no </w:t>
      </w:r>
      <w:proofErr w:type="spellStart"/>
      <w:r>
        <w:rPr>
          <w:rFonts w:ascii="Times New Roman" w:hAnsi="Times New Roman"/>
        </w:rPr>
        <w:t>premiss</w:t>
      </w:r>
      <w:proofErr w:type="spellEnd"/>
      <w:r>
        <w:rPr>
          <w:rFonts w:ascii="Times New Roman" w:hAnsi="Times New Roman"/>
        </w:rPr>
        <w:t xml:space="preserve"> of the Bulls’ reasoning.</w:t>
      </w:r>
    </w:p>
  </w:footnote>
  <w:footnote w:id="11">
    <w:p w:rsidR="004E0DAC" w:rsidRPr="00E213E1" w:rsidRDefault="004E0DAC" w:rsidP="00680EC7">
      <w:pPr>
        <w:shd w:val="clear" w:color="auto" w:fill="FFFFFF"/>
        <w:spacing w:before="150" w:after="75" w:line="480" w:lineRule="auto"/>
        <w:jc w:val="both"/>
        <w:rPr>
          <w:rFonts w:ascii="Times New Roman" w:hAnsi="Times New Roman"/>
          <w:color w:val="000000"/>
          <w:sz w:val="20"/>
          <w:szCs w:val="20"/>
        </w:rPr>
      </w:pPr>
      <w:r w:rsidRPr="00194F13">
        <w:rPr>
          <w:rStyle w:val="FootnoteReference"/>
          <w:rFonts w:ascii="Times New Roman" w:hAnsi="Times New Roman"/>
          <w:sz w:val="20"/>
          <w:szCs w:val="20"/>
        </w:rPr>
        <w:footnoteRef/>
      </w:r>
      <w:r w:rsidRPr="00194F13">
        <w:rPr>
          <w:rFonts w:ascii="Times New Roman" w:hAnsi="Times New Roman"/>
          <w:sz w:val="20"/>
          <w:szCs w:val="20"/>
        </w:rPr>
        <w:t xml:space="preserve"> </w:t>
      </w:r>
      <w:r w:rsidRPr="00021A03">
        <w:rPr>
          <w:rFonts w:ascii="Times New Roman" w:hAnsi="Times New Roman"/>
          <w:sz w:val="20"/>
          <w:szCs w:val="20"/>
        </w:rPr>
        <w:t>It was, however, enshrined in some US</w:t>
      </w:r>
      <w:r>
        <w:rPr>
          <w:rFonts w:ascii="Times New Roman" w:hAnsi="Times New Roman"/>
          <w:sz w:val="20"/>
          <w:szCs w:val="20"/>
        </w:rPr>
        <w:t xml:space="preserve"> court judgments, </w:t>
      </w:r>
      <w:proofErr w:type="spellStart"/>
      <w:r>
        <w:rPr>
          <w:rFonts w:ascii="Times New Roman" w:hAnsi="Times New Roman"/>
          <w:sz w:val="20"/>
          <w:szCs w:val="20"/>
        </w:rPr>
        <w:t>e</w:t>
      </w:r>
      <w:r w:rsidRPr="00021A03">
        <w:rPr>
          <w:rFonts w:ascii="Times New Roman" w:hAnsi="Times New Roman"/>
          <w:sz w:val="20"/>
          <w:szCs w:val="20"/>
        </w:rPr>
        <w:t>g</w:t>
      </w:r>
      <w:proofErr w:type="spellEnd"/>
      <w:r w:rsidRPr="00021A03">
        <w:rPr>
          <w:rFonts w:ascii="Times New Roman" w:hAnsi="Times New Roman"/>
          <w:sz w:val="20"/>
          <w:szCs w:val="20"/>
        </w:rPr>
        <w:t xml:space="preserve"> </w:t>
      </w:r>
      <w:r w:rsidRPr="00021A03">
        <w:rPr>
          <w:rFonts w:ascii="Times New Roman" w:hAnsi="Times New Roman"/>
          <w:i/>
          <w:sz w:val="20"/>
          <w:szCs w:val="20"/>
        </w:rPr>
        <w:t>Pace v Alabama</w:t>
      </w:r>
      <w:r w:rsidRPr="00021A03">
        <w:rPr>
          <w:rFonts w:ascii="Times New Roman" w:hAnsi="Times New Roman"/>
          <w:sz w:val="20"/>
          <w:szCs w:val="20"/>
        </w:rPr>
        <w:t xml:space="preserve"> </w:t>
      </w:r>
      <w:r>
        <w:rPr>
          <w:rFonts w:ascii="Times New Roman" w:hAnsi="Times New Roman"/>
          <w:sz w:val="20"/>
          <w:szCs w:val="20"/>
        </w:rPr>
        <w:t xml:space="preserve">(1883: </w:t>
      </w:r>
      <w:r w:rsidRPr="00021A03">
        <w:rPr>
          <w:rFonts w:ascii="Times New Roman" w:hAnsi="Times New Roman"/>
          <w:sz w:val="20"/>
          <w:szCs w:val="20"/>
        </w:rPr>
        <w:t>585</w:t>
      </w:r>
      <w:r>
        <w:rPr>
          <w:rFonts w:ascii="Times New Roman" w:hAnsi="Times New Roman"/>
          <w:sz w:val="20"/>
          <w:szCs w:val="20"/>
        </w:rPr>
        <w:t>)</w:t>
      </w:r>
      <w:r w:rsidRPr="00021A03">
        <w:rPr>
          <w:rFonts w:ascii="Times New Roman" w:eastAsia="Times New Roman" w:hAnsi="Times New Roman"/>
          <w:bCs/>
          <w:sz w:val="20"/>
          <w:szCs w:val="20"/>
          <w:lang w:eastAsia="en-GB"/>
        </w:rPr>
        <w:t>. Harlan</w:t>
      </w:r>
      <w:r>
        <w:rPr>
          <w:rFonts w:ascii="Times New Roman" w:eastAsia="Times New Roman" w:hAnsi="Times New Roman"/>
          <w:bCs/>
          <w:sz w:val="20"/>
          <w:szCs w:val="20"/>
          <w:lang w:eastAsia="en-GB"/>
        </w:rPr>
        <w:t xml:space="preserve"> J</w:t>
      </w:r>
      <w:r w:rsidRPr="00021A03">
        <w:rPr>
          <w:rFonts w:ascii="Times New Roman" w:eastAsia="Times New Roman" w:hAnsi="Times New Roman"/>
          <w:bCs/>
          <w:sz w:val="20"/>
          <w:szCs w:val="20"/>
          <w:lang w:eastAsia="en-GB"/>
        </w:rPr>
        <w:t xml:space="preserve"> also mentions the argument as having been advanced by counsel in his dissenting judgment </w:t>
      </w:r>
      <w:r w:rsidRPr="00021A03">
        <w:rPr>
          <w:rFonts w:ascii="Times New Roman" w:hAnsi="Times New Roman"/>
          <w:i/>
          <w:sz w:val="20"/>
          <w:szCs w:val="20"/>
        </w:rPr>
        <w:t>Plessy v Ferguson</w:t>
      </w:r>
      <w:r w:rsidRPr="00021A03">
        <w:rPr>
          <w:rFonts w:ascii="Times New Roman" w:hAnsi="Times New Roman"/>
          <w:sz w:val="20"/>
          <w:szCs w:val="20"/>
        </w:rPr>
        <w:t xml:space="preserve"> </w:t>
      </w:r>
      <w:r>
        <w:rPr>
          <w:rFonts w:ascii="Times New Roman" w:hAnsi="Times New Roman"/>
          <w:sz w:val="20"/>
          <w:szCs w:val="20"/>
        </w:rPr>
        <w:t>(1896:</w:t>
      </w:r>
      <w:r w:rsidRPr="00021A03">
        <w:rPr>
          <w:rFonts w:ascii="Times New Roman" w:hAnsi="Times New Roman"/>
          <w:sz w:val="20"/>
          <w:szCs w:val="20"/>
        </w:rPr>
        <w:t xml:space="preserve"> 557</w:t>
      </w:r>
      <w:r>
        <w:rPr>
          <w:rFonts w:ascii="Times New Roman" w:hAnsi="Times New Roman"/>
          <w:sz w:val="20"/>
          <w:szCs w:val="20"/>
        </w:rPr>
        <w:t>)</w:t>
      </w:r>
      <w:r w:rsidRPr="00021A03">
        <w:rPr>
          <w:rFonts w:ascii="Times New Roman" w:hAnsi="Times New Roman"/>
          <w:sz w:val="20"/>
          <w:szCs w:val="20"/>
        </w:rPr>
        <w:t>. The argument was also advanced by the State of Virginia; cf</w:t>
      </w:r>
      <w:r>
        <w:rPr>
          <w:rFonts w:ascii="Times New Roman" w:hAnsi="Times New Roman"/>
          <w:sz w:val="20"/>
          <w:szCs w:val="20"/>
        </w:rPr>
        <w:t>.</w:t>
      </w:r>
      <w:r w:rsidRPr="00021A03">
        <w:rPr>
          <w:rFonts w:ascii="Times New Roman" w:hAnsi="Times New Roman"/>
          <w:sz w:val="20"/>
          <w:szCs w:val="20"/>
        </w:rPr>
        <w:t xml:space="preserve"> the judgment of Warren</w:t>
      </w:r>
      <w:r>
        <w:rPr>
          <w:rFonts w:ascii="Times New Roman" w:hAnsi="Times New Roman"/>
          <w:sz w:val="20"/>
          <w:szCs w:val="20"/>
        </w:rPr>
        <w:t xml:space="preserve"> CJ</w:t>
      </w:r>
      <w:r w:rsidRPr="00021A03">
        <w:rPr>
          <w:rFonts w:ascii="Times New Roman" w:hAnsi="Times New Roman"/>
          <w:sz w:val="20"/>
          <w:szCs w:val="20"/>
        </w:rPr>
        <w:t xml:space="preserve">, </w:t>
      </w:r>
      <w:r w:rsidRPr="00021A03">
        <w:rPr>
          <w:rFonts w:ascii="Times New Roman" w:hAnsi="Times New Roman"/>
          <w:i/>
          <w:sz w:val="20"/>
          <w:szCs w:val="20"/>
        </w:rPr>
        <w:t>Loving v Virginia</w:t>
      </w:r>
      <w:r>
        <w:rPr>
          <w:rFonts w:ascii="Times New Roman" w:hAnsi="Times New Roman"/>
          <w:i/>
          <w:sz w:val="20"/>
          <w:szCs w:val="20"/>
        </w:rPr>
        <w:t xml:space="preserve"> </w:t>
      </w:r>
      <w:r>
        <w:rPr>
          <w:rFonts w:ascii="Times New Roman" w:hAnsi="Times New Roman"/>
          <w:sz w:val="20"/>
          <w:szCs w:val="20"/>
        </w:rPr>
        <w:t xml:space="preserve">(1967: </w:t>
      </w:r>
      <w:r w:rsidRPr="00021A03">
        <w:rPr>
          <w:rFonts w:ascii="Times New Roman" w:hAnsi="Times New Roman"/>
          <w:sz w:val="20"/>
          <w:szCs w:val="20"/>
        </w:rPr>
        <w:t>8</w:t>
      </w:r>
      <w:r>
        <w:rPr>
          <w:rFonts w:ascii="Times New Roman" w:hAnsi="Times New Roman"/>
          <w:sz w:val="20"/>
          <w:szCs w:val="20"/>
        </w:rPr>
        <w:t>)</w:t>
      </w:r>
      <w:r w:rsidRPr="00021A03">
        <w:rPr>
          <w:rFonts w:ascii="Times New Roman" w:hAnsi="Times New Roman"/>
          <w:sz w:val="20"/>
          <w:szCs w:val="20"/>
        </w:rPr>
        <w:t xml:space="preserve">. </w:t>
      </w:r>
      <w:r>
        <w:rPr>
          <w:rFonts w:ascii="Times New Roman" w:hAnsi="Times New Roman"/>
          <w:sz w:val="20"/>
          <w:szCs w:val="20"/>
        </w:rPr>
        <w:t>The ‘hits both sexes equally hard’ version also featu</w:t>
      </w:r>
      <w:r w:rsidRPr="00C44CE2">
        <w:rPr>
          <w:rFonts w:ascii="Times New Roman" w:hAnsi="Times New Roman"/>
          <w:sz w:val="20"/>
          <w:szCs w:val="20"/>
        </w:rPr>
        <w:t xml:space="preserve">res in the judgment in </w:t>
      </w:r>
      <w:bookmarkStart w:id="20" w:name="_Hlk44508769"/>
      <w:r w:rsidRPr="00C44CE2">
        <w:rPr>
          <w:rFonts w:ascii="Times New Roman" w:hAnsi="Times New Roman"/>
          <w:i/>
          <w:sz w:val="20"/>
          <w:szCs w:val="20"/>
        </w:rPr>
        <w:t>Grant v South-West Trains Ltd</w:t>
      </w:r>
      <w:r w:rsidRPr="00C44CE2">
        <w:rPr>
          <w:rFonts w:ascii="Times New Roman" w:hAnsi="Times New Roman"/>
          <w:sz w:val="20"/>
          <w:szCs w:val="20"/>
        </w:rPr>
        <w:t xml:space="preserve"> </w:t>
      </w:r>
      <w:bookmarkEnd w:id="20"/>
      <w:r>
        <w:rPr>
          <w:rFonts w:ascii="Times New Roman" w:hAnsi="Times New Roman"/>
          <w:color w:val="000000"/>
          <w:sz w:val="20"/>
          <w:szCs w:val="20"/>
        </w:rPr>
        <w:t>[1998].</w:t>
      </w:r>
    </w:p>
  </w:footnote>
  <w:footnote w:id="12">
    <w:p w:rsidR="004E0DAC" w:rsidRPr="000E737E" w:rsidRDefault="004E0DAC">
      <w:pPr>
        <w:pStyle w:val="FootnoteText"/>
        <w:rPr>
          <w:rFonts w:ascii="Times New Roman" w:hAnsi="Times New Roman"/>
        </w:rPr>
      </w:pPr>
      <w:r w:rsidRPr="000E737E">
        <w:rPr>
          <w:rStyle w:val="FootnoteReference"/>
          <w:rFonts w:ascii="Times New Roman" w:hAnsi="Times New Roman"/>
        </w:rPr>
        <w:footnoteRef/>
      </w:r>
      <w:r w:rsidRPr="000E737E">
        <w:rPr>
          <w:rFonts w:ascii="Times New Roman" w:hAnsi="Times New Roman"/>
        </w:rPr>
        <w:t xml:space="preserve"> </w:t>
      </w:r>
      <w:r w:rsidRPr="005225E3">
        <w:rPr>
          <w:rFonts w:ascii="Times New Roman" w:hAnsi="Times New Roman"/>
        </w:rPr>
        <w:t>In fact, Bain did not say in his advert that the cook would have to be female.</w:t>
      </w:r>
    </w:p>
  </w:footnote>
  <w:footnote w:id="13">
    <w:p w:rsidR="004E0DAC" w:rsidRPr="008518E8" w:rsidRDefault="004E0DAC" w:rsidP="00A95AA5">
      <w:pPr>
        <w:pStyle w:val="FootnoteText"/>
        <w:spacing w:line="480" w:lineRule="auto"/>
        <w:rPr>
          <w:rFonts w:ascii="Times New Roman" w:hAnsi="Times New Roman"/>
        </w:rPr>
      </w:pPr>
      <w:r w:rsidRPr="00366062">
        <w:rPr>
          <w:rStyle w:val="FootnoteReference"/>
          <w:rFonts w:ascii="Times New Roman" w:hAnsi="Times New Roman"/>
          <w:sz w:val="22"/>
          <w:szCs w:val="22"/>
        </w:rPr>
        <w:footnoteRef/>
      </w:r>
      <w:r w:rsidRPr="00366062">
        <w:rPr>
          <w:rFonts w:ascii="Times New Roman" w:hAnsi="Times New Roman"/>
          <w:sz w:val="22"/>
          <w:szCs w:val="22"/>
        </w:rPr>
        <w:t xml:space="preserve"> </w:t>
      </w:r>
      <w:r w:rsidRPr="008518E8">
        <w:rPr>
          <w:rFonts w:ascii="Times New Roman" w:hAnsi="Times New Roman"/>
        </w:rPr>
        <w:t>It should be noted that, as of the time of writing, section 14 of the Equality Act 2010 has still not been brought into force, and that there is a considerable current of academic writing that holds that it is redundant (e. g. Hand 2011).</w:t>
      </w:r>
    </w:p>
  </w:footnote>
  <w:footnote w:id="14">
    <w:p w:rsidR="004E0DAC" w:rsidRPr="004C1152" w:rsidRDefault="004E0DAC" w:rsidP="004C1152">
      <w:pPr>
        <w:pStyle w:val="FootnoteText"/>
        <w:spacing w:line="480" w:lineRule="auto"/>
        <w:rPr>
          <w:rFonts w:ascii="Times New Roman" w:hAnsi="Times New Roman"/>
        </w:rPr>
      </w:pPr>
      <w:r w:rsidRPr="004C1152">
        <w:rPr>
          <w:rStyle w:val="FootnoteReference"/>
          <w:rFonts w:ascii="Times New Roman" w:hAnsi="Times New Roman"/>
        </w:rPr>
        <w:footnoteRef/>
      </w:r>
      <w:r w:rsidRPr="004C1152">
        <w:rPr>
          <w:rFonts w:ascii="Times New Roman" w:hAnsi="Times New Roman"/>
        </w:rPr>
        <w:t xml:space="preserve"> Recall that at this point the law of England and Wales provided only for opposite-sex marriages, and only for same-sex civil partnerships.</w:t>
      </w:r>
    </w:p>
  </w:footnote>
  <w:footnote w:id="15">
    <w:p w:rsidR="004E0DAC" w:rsidRPr="00993717" w:rsidRDefault="004E0DAC" w:rsidP="00993717">
      <w:pPr>
        <w:pStyle w:val="FootnoteText"/>
        <w:spacing w:line="480" w:lineRule="auto"/>
        <w:rPr>
          <w:rFonts w:ascii="Times New Roman" w:hAnsi="Times New Roman"/>
        </w:rPr>
      </w:pPr>
      <w:bookmarkStart w:id="24" w:name="_Hlk45186255"/>
      <w:r w:rsidRPr="00993717">
        <w:rPr>
          <w:rStyle w:val="FootnoteReference"/>
          <w:rFonts w:ascii="Times New Roman" w:hAnsi="Times New Roman"/>
        </w:rPr>
        <w:footnoteRef/>
      </w:r>
      <w:r w:rsidRPr="00993717">
        <w:rPr>
          <w:rFonts w:ascii="Times New Roman" w:hAnsi="Times New Roman"/>
        </w:rPr>
        <w:t xml:space="preserve"> In the case of </w:t>
      </w:r>
      <w:r w:rsidRPr="00993717">
        <w:rPr>
          <w:rFonts w:ascii="Times New Roman" w:hAnsi="Times New Roman"/>
          <w:i/>
        </w:rPr>
        <w:t>Black and Morgan v Wilkinson</w:t>
      </w:r>
      <w:r w:rsidRPr="00993717">
        <w:rPr>
          <w:rFonts w:ascii="Times New Roman" w:hAnsi="Times New Roman"/>
        </w:rPr>
        <w:t xml:space="preserve"> [2013] the reasoning is even clearer: Wilkinson </w:t>
      </w:r>
      <w:r>
        <w:rPr>
          <w:rFonts w:ascii="Times New Roman" w:hAnsi="Times New Roman"/>
        </w:rPr>
        <w:t>“</w:t>
      </w:r>
      <w:r w:rsidRPr="00993717">
        <w:rPr>
          <w:rFonts w:ascii="Times New Roman" w:hAnsi="Times New Roman"/>
        </w:rPr>
        <w:t>made it clear that she would not accommodate them because she did not like the idea of two men sharing a bed</w:t>
      </w:r>
      <w:r>
        <w:rPr>
          <w:rFonts w:ascii="Times New Roman" w:hAnsi="Times New Roman"/>
        </w:rPr>
        <w:t>”</w:t>
      </w:r>
      <w:r w:rsidRPr="00993717">
        <w:rPr>
          <w:rFonts w:ascii="Times New Roman" w:hAnsi="Times New Roman"/>
        </w:rPr>
        <w:t xml:space="preserve"> (2495C [6]). See further discussion below.</w:t>
      </w:r>
      <w:bookmarkEnd w:id="24"/>
    </w:p>
  </w:footnote>
  <w:footnote w:id="16">
    <w:p w:rsidR="004E0DAC" w:rsidRPr="000A00EF" w:rsidRDefault="004E0DAC" w:rsidP="000A00EF">
      <w:pPr>
        <w:pStyle w:val="FootnoteText"/>
        <w:spacing w:line="480" w:lineRule="auto"/>
        <w:rPr>
          <w:rFonts w:ascii="Times New Roman" w:hAnsi="Times New Roman"/>
        </w:rPr>
      </w:pPr>
      <w:r w:rsidRPr="000A00EF">
        <w:rPr>
          <w:rStyle w:val="FootnoteReference"/>
          <w:rFonts w:ascii="Times New Roman" w:hAnsi="Times New Roman"/>
        </w:rPr>
        <w:footnoteRef/>
      </w:r>
      <w:r w:rsidRPr="000A00EF">
        <w:rPr>
          <w:rFonts w:ascii="Times New Roman" w:hAnsi="Times New Roman"/>
        </w:rPr>
        <w:t xml:space="preserve"> The EU Directives and </w:t>
      </w:r>
      <w:r>
        <w:rPr>
          <w:rFonts w:ascii="Times New Roman" w:hAnsi="Times New Roman"/>
        </w:rPr>
        <w:t>Charter</w:t>
      </w:r>
      <w:r w:rsidRPr="000A00EF">
        <w:rPr>
          <w:rFonts w:ascii="Times New Roman" w:hAnsi="Times New Roman"/>
        </w:rPr>
        <w:t xml:space="preserve"> use the phrase </w:t>
      </w:r>
      <w:r>
        <w:rPr>
          <w:rFonts w:ascii="Times New Roman" w:hAnsi="Times New Roman"/>
        </w:rPr>
        <w:t>“</w:t>
      </w:r>
      <w:r w:rsidRPr="000A00EF">
        <w:rPr>
          <w:rFonts w:ascii="Times New Roman" w:hAnsi="Times New Roman"/>
        </w:rPr>
        <w:t>on grounds of</w:t>
      </w:r>
      <w:r>
        <w:rPr>
          <w:rFonts w:ascii="Times New Roman" w:hAnsi="Times New Roman"/>
        </w:rPr>
        <w:t>”</w:t>
      </w:r>
      <w:r w:rsidRPr="000A00EF">
        <w:rPr>
          <w:rFonts w:ascii="Times New Roman" w:hAnsi="Times New Roman"/>
        </w:rPr>
        <w:t xml:space="preserve"> rather than the Equality Act 2010’s </w:t>
      </w:r>
      <w:r>
        <w:rPr>
          <w:rFonts w:ascii="Times New Roman" w:hAnsi="Times New Roman"/>
        </w:rPr>
        <w:t>“</w:t>
      </w:r>
      <w:r w:rsidRPr="000A00EF">
        <w:rPr>
          <w:rFonts w:ascii="Times New Roman" w:hAnsi="Times New Roman"/>
        </w:rPr>
        <w:t>because</w:t>
      </w:r>
      <w:r>
        <w:rPr>
          <w:rFonts w:ascii="Times New Roman" w:hAnsi="Times New Roman"/>
        </w:rPr>
        <w:t xml:space="preserve"> of”</w:t>
      </w:r>
      <w:r w:rsidRPr="000A00EF">
        <w:rPr>
          <w:rFonts w:ascii="Times New Roman" w:hAnsi="Times New Roman"/>
        </w:rPr>
        <w:t xml:space="preserve">, but there seems to be no difference in meaning. It should also be noted that the phrase is </w:t>
      </w:r>
      <w:r>
        <w:rPr>
          <w:rFonts w:ascii="Times New Roman" w:hAnsi="Times New Roman"/>
        </w:rPr>
        <w:t>“</w:t>
      </w:r>
      <w:r w:rsidRPr="000A00EF">
        <w:rPr>
          <w:rFonts w:ascii="Times New Roman" w:hAnsi="Times New Roman"/>
        </w:rPr>
        <w:t>on grounds of sex</w:t>
      </w:r>
      <w:r>
        <w:rPr>
          <w:rFonts w:ascii="Times New Roman" w:hAnsi="Times New Roman"/>
        </w:rPr>
        <w:t>”</w:t>
      </w:r>
      <w:r w:rsidRPr="000A00EF">
        <w:rPr>
          <w:rFonts w:ascii="Times New Roman" w:hAnsi="Times New Roman"/>
        </w:rPr>
        <w:t xml:space="preserve">, not </w:t>
      </w:r>
      <w:r>
        <w:rPr>
          <w:rFonts w:ascii="Times New Roman" w:hAnsi="Times New Roman"/>
        </w:rPr>
        <w:t>“</w:t>
      </w:r>
      <w:r w:rsidRPr="000A00EF">
        <w:rPr>
          <w:rFonts w:ascii="Times New Roman" w:hAnsi="Times New Roman"/>
        </w:rPr>
        <w:t xml:space="preserve">on grounds of the </w:t>
      </w:r>
      <w:r>
        <w:rPr>
          <w:rFonts w:ascii="Times New Roman" w:hAnsi="Times New Roman"/>
        </w:rPr>
        <w:t>individual</w:t>
      </w:r>
      <w:r w:rsidRPr="000A00EF">
        <w:rPr>
          <w:rFonts w:ascii="Times New Roman" w:hAnsi="Times New Roman"/>
        </w:rPr>
        <w:t>’s sex</w:t>
      </w:r>
      <w:r>
        <w:rPr>
          <w:rFonts w:ascii="Times New Roman" w:hAnsi="Times New Roman"/>
        </w:rPr>
        <w:t>” (cf. Title VII of the</w:t>
      </w:r>
      <w:bookmarkStart w:id="25" w:name="_Hlk44778144"/>
      <w:r>
        <w:rPr>
          <w:rFonts w:ascii="Times New Roman" w:hAnsi="Times New Roman"/>
        </w:rPr>
        <w:t xml:space="preserve"> Civil Rights Act 1964 in the United States</w:t>
      </w:r>
      <w:bookmarkEnd w:id="25"/>
      <w:r>
        <w:rPr>
          <w:rFonts w:ascii="Times New Roman" w:hAnsi="Times New Roman"/>
        </w:rPr>
        <w:t>),</w:t>
      </w:r>
      <w:r w:rsidRPr="000A00EF">
        <w:rPr>
          <w:rFonts w:ascii="Times New Roman" w:hAnsi="Times New Roman"/>
        </w:rPr>
        <w:t xml:space="preserve"> or anything similarly restricted </w:t>
      </w:r>
      <w:bookmarkStart w:id="26" w:name="_Hlk44778377"/>
      <w:r>
        <w:rPr>
          <w:rFonts w:ascii="Times New Roman" w:hAnsi="Times New Roman"/>
        </w:rPr>
        <w:t>(</w:t>
      </w:r>
      <w:r w:rsidRPr="000A00EF">
        <w:rPr>
          <w:rFonts w:ascii="Times New Roman" w:hAnsi="Times New Roman"/>
        </w:rPr>
        <w:t xml:space="preserve">Directive 2006/54/EC </w:t>
      </w:r>
      <w:r>
        <w:rPr>
          <w:rFonts w:ascii="Times New Roman" w:hAnsi="Times New Roman"/>
        </w:rPr>
        <w:t>(</w:t>
      </w:r>
      <w:r w:rsidRPr="000A00EF">
        <w:rPr>
          <w:rFonts w:ascii="Times New Roman" w:hAnsi="Times New Roman"/>
        </w:rPr>
        <w:t>2006</w:t>
      </w:r>
      <w:r>
        <w:rPr>
          <w:rFonts w:ascii="Times New Roman" w:hAnsi="Times New Roman"/>
        </w:rPr>
        <w:t>: art</w:t>
      </w:r>
      <w:r w:rsidRPr="0081465F">
        <w:rPr>
          <w:rFonts w:ascii="Times New Roman" w:hAnsi="Times New Roman"/>
        </w:rPr>
        <w:t xml:space="preserve"> 2(1)(a)</w:t>
      </w:r>
      <w:r>
        <w:rPr>
          <w:rFonts w:ascii="Times New Roman" w:hAnsi="Times New Roman"/>
        </w:rPr>
        <w:t xml:space="preserve">), and the </w:t>
      </w:r>
      <w:r w:rsidRPr="00DE4B17">
        <w:rPr>
          <w:rFonts w:ascii="Times New Roman" w:hAnsi="Times New Roman"/>
        </w:rPr>
        <w:t xml:space="preserve">Charter of </w:t>
      </w:r>
      <w:r>
        <w:rPr>
          <w:rFonts w:ascii="Times New Roman" w:hAnsi="Times New Roman"/>
        </w:rPr>
        <w:t>F</w:t>
      </w:r>
      <w:r w:rsidRPr="00DE4B17">
        <w:rPr>
          <w:rFonts w:ascii="Times New Roman" w:hAnsi="Times New Roman"/>
        </w:rPr>
        <w:t xml:space="preserve">undamental </w:t>
      </w:r>
      <w:r>
        <w:rPr>
          <w:rFonts w:ascii="Times New Roman" w:hAnsi="Times New Roman"/>
        </w:rPr>
        <w:t>R</w:t>
      </w:r>
      <w:r w:rsidRPr="00DE4B17">
        <w:rPr>
          <w:rFonts w:ascii="Times New Roman" w:hAnsi="Times New Roman"/>
        </w:rPr>
        <w:t>ights of the European Union</w:t>
      </w:r>
      <w:r w:rsidRPr="000A00EF">
        <w:rPr>
          <w:rFonts w:ascii="Times New Roman" w:hAnsi="Times New Roman"/>
        </w:rPr>
        <w:t xml:space="preserve"> </w:t>
      </w:r>
      <w:r w:rsidRPr="00DE4B17">
        <w:rPr>
          <w:rFonts w:ascii="Times New Roman" w:hAnsi="Times New Roman"/>
        </w:rPr>
        <w:t>(</w:t>
      </w:r>
      <w:r>
        <w:rPr>
          <w:rFonts w:ascii="Times New Roman" w:hAnsi="Times New Roman"/>
        </w:rPr>
        <w:t>2000</w:t>
      </w:r>
      <w:bookmarkEnd w:id="26"/>
      <w:r>
        <w:rPr>
          <w:rFonts w:ascii="Times New Roman" w:hAnsi="Times New Roman"/>
        </w:rPr>
        <w:t>: a</w:t>
      </w:r>
      <w:r w:rsidRPr="0081465F">
        <w:rPr>
          <w:rFonts w:ascii="Times New Roman" w:hAnsi="Times New Roman"/>
        </w:rPr>
        <w:t>rt 21(1)</w:t>
      </w:r>
      <w:r>
        <w:rPr>
          <w:rFonts w:ascii="Times New Roman" w:hAnsi="Times New Roman"/>
        </w:rPr>
        <w:t>)).</w:t>
      </w:r>
    </w:p>
  </w:footnote>
  <w:footnote w:id="17">
    <w:p w:rsidR="004E0DAC" w:rsidRDefault="004E0DAC" w:rsidP="004659FA">
      <w:pPr>
        <w:pStyle w:val="FootnoteText"/>
        <w:rPr>
          <w:rFonts w:ascii="Times New Roman" w:hAnsi="Times New Roman"/>
        </w:rPr>
      </w:pPr>
      <w:r w:rsidRPr="000F682C">
        <w:rPr>
          <w:rStyle w:val="FootnoteReference"/>
          <w:rFonts w:ascii="Times New Roman" w:hAnsi="Times New Roman"/>
        </w:rPr>
        <w:footnoteRef/>
      </w:r>
      <w:r w:rsidRPr="000F682C">
        <w:rPr>
          <w:rFonts w:ascii="Times New Roman" w:hAnsi="Times New Roman"/>
        </w:rPr>
        <w:t xml:space="preserve"> </w:t>
      </w:r>
      <w:r>
        <w:rPr>
          <w:rFonts w:ascii="Times New Roman" w:hAnsi="Times New Roman"/>
        </w:rPr>
        <w:t>The assumption seems to be fulfilled (</w:t>
      </w:r>
      <w:proofErr w:type="spellStart"/>
      <w:r w:rsidRPr="00F87410">
        <w:rPr>
          <w:rFonts w:ascii="Times New Roman" w:hAnsi="Times New Roman"/>
          <w:i/>
        </w:rPr>
        <w:t>Römer</w:t>
      </w:r>
      <w:proofErr w:type="spellEnd"/>
      <w:r w:rsidRPr="00F87410">
        <w:rPr>
          <w:rFonts w:ascii="Times New Roman" w:hAnsi="Times New Roman"/>
          <w:i/>
        </w:rPr>
        <w:t xml:space="preserve"> v </w:t>
      </w:r>
      <w:proofErr w:type="spellStart"/>
      <w:r w:rsidRPr="00F87410">
        <w:rPr>
          <w:rFonts w:ascii="Times New Roman" w:hAnsi="Times New Roman"/>
          <w:i/>
        </w:rPr>
        <w:t>Freie</w:t>
      </w:r>
      <w:proofErr w:type="spellEnd"/>
      <w:r w:rsidRPr="00F87410">
        <w:rPr>
          <w:rFonts w:ascii="Times New Roman" w:hAnsi="Times New Roman"/>
          <w:i/>
        </w:rPr>
        <w:t xml:space="preserve"> und </w:t>
      </w:r>
      <w:proofErr w:type="spellStart"/>
      <w:r w:rsidRPr="00F87410">
        <w:rPr>
          <w:rFonts w:ascii="Times New Roman" w:hAnsi="Times New Roman"/>
          <w:i/>
        </w:rPr>
        <w:t>Hansestadt</w:t>
      </w:r>
      <w:proofErr w:type="spellEnd"/>
      <w:r w:rsidRPr="00F87410">
        <w:rPr>
          <w:rFonts w:ascii="Times New Roman" w:hAnsi="Times New Roman"/>
          <w:i/>
        </w:rPr>
        <w:t xml:space="preserve"> Hamburg</w:t>
      </w:r>
      <w:r>
        <w:rPr>
          <w:rFonts w:ascii="Times New Roman" w:hAnsi="Times New Roman"/>
          <w:iCs/>
        </w:rPr>
        <w:t xml:space="preserve"> [2011]:</w:t>
      </w:r>
      <w:r>
        <w:rPr>
          <w:rFonts w:ascii="Times New Roman" w:hAnsi="Times New Roman"/>
        </w:rPr>
        <w:t xml:space="preserve"> 307 [45]).</w:t>
      </w:r>
    </w:p>
    <w:p w:rsidR="004E0DAC" w:rsidRPr="000F682C" w:rsidRDefault="004E0DAC" w:rsidP="004659FA">
      <w:pPr>
        <w:pStyle w:val="FootnoteText"/>
        <w:rPr>
          <w:rFonts w:ascii="Times New Roman" w:hAnsi="Times New Roman"/>
        </w:rPr>
      </w:pPr>
    </w:p>
  </w:footnote>
  <w:footnote w:id="18">
    <w:p w:rsidR="004E0DAC" w:rsidRDefault="004E0DAC" w:rsidP="0007271F">
      <w:pPr>
        <w:pStyle w:val="FootnoteText"/>
        <w:rPr>
          <w:rFonts w:ascii="Times New Roman" w:hAnsi="Times New Roman"/>
        </w:rPr>
      </w:pPr>
      <w:r w:rsidRPr="00F730FD">
        <w:rPr>
          <w:rStyle w:val="FootnoteReference"/>
          <w:rFonts w:ascii="Times New Roman" w:hAnsi="Times New Roman"/>
        </w:rPr>
        <w:footnoteRef/>
      </w:r>
      <w:r w:rsidRPr="00F730FD">
        <w:rPr>
          <w:rFonts w:ascii="Times New Roman" w:hAnsi="Times New Roman"/>
        </w:rPr>
        <w:t xml:space="preserve"> Of course, this case is quite different from the real case of the Bulls.</w:t>
      </w:r>
    </w:p>
    <w:p w:rsidR="004E0DAC" w:rsidRPr="00F730FD" w:rsidRDefault="004E0DAC" w:rsidP="0007271F">
      <w:pPr>
        <w:pStyle w:val="FootnoteText"/>
        <w:rPr>
          <w:rFonts w:ascii="Times New Roman" w:hAnsi="Times New Roman"/>
        </w:rPr>
      </w:pPr>
    </w:p>
  </w:footnote>
  <w:footnote w:id="19">
    <w:p w:rsidR="004E0DAC" w:rsidRPr="00BB277F" w:rsidRDefault="004E0DAC" w:rsidP="00BB277F">
      <w:pPr>
        <w:pStyle w:val="FootnoteText"/>
        <w:spacing w:line="480" w:lineRule="auto"/>
        <w:rPr>
          <w:rFonts w:ascii="Times New Roman" w:hAnsi="Times New Roman"/>
        </w:rPr>
      </w:pPr>
      <w:r w:rsidRPr="00BB277F">
        <w:rPr>
          <w:rStyle w:val="FootnoteReference"/>
          <w:rFonts w:ascii="Times New Roman" w:hAnsi="Times New Roman"/>
        </w:rPr>
        <w:footnoteRef/>
      </w:r>
      <w:bookmarkStart w:id="31" w:name="_Hlk45293715"/>
      <w:r w:rsidRPr="00BB277F">
        <w:rPr>
          <w:rFonts w:ascii="Times New Roman" w:hAnsi="Times New Roman"/>
        </w:rPr>
        <w:t xml:space="preserve"> Perhaps if someone just randomly picked the word “bisexual” out of the dictionary without understanding it, and decided to discriminate on that basis, we’d have a case of discrimination because of sexual orientation without discrimination because of sex.</w:t>
      </w:r>
      <w:r>
        <w:rPr>
          <w:rFonts w:ascii="Times New Roman" w:hAnsi="Times New Roman"/>
        </w:rPr>
        <w:t xml:space="preserve"> And perhaps if the discriminator did understand it, but discriminated on a different basis from the </w:t>
      </w:r>
      <w:r>
        <w:rPr>
          <w:rFonts w:ascii="Times New Roman" w:hAnsi="Times New Roman"/>
          <w:i/>
          <w:iCs/>
        </w:rPr>
        <w:t>meaning</w:t>
      </w:r>
      <w:r>
        <w:rPr>
          <w:rFonts w:ascii="Times New Roman" w:hAnsi="Times New Roman"/>
        </w:rPr>
        <w:t xml:space="preserve"> of the word, e.g. the discriminator simply discriminated against any people that described themselves by something beginning with the letter “b”, that would also be </w:t>
      </w:r>
      <w:r w:rsidRPr="001D6FB4">
        <w:rPr>
          <w:rFonts w:ascii="Times New Roman" w:hAnsi="Times New Roman"/>
        </w:rPr>
        <w:t>a case of discrimination because of sexual orientation without discrimination because of sex</w:t>
      </w:r>
      <w:r>
        <w:rPr>
          <w:rFonts w:ascii="Times New Roman" w:hAnsi="Times New Roman"/>
        </w:rPr>
        <w:t>.</w:t>
      </w:r>
      <w:bookmarkEnd w:id="31"/>
    </w:p>
  </w:footnote>
  <w:footnote w:id="20">
    <w:p w:rsidR="004E0DAC" w:rsidRDefault="004E0DAC">
      <w:pPr>
        <w:pStyle w:val="FootnoteText"/>
        <w:rPr>
          <w:rFonts w:ascii="Times New Roman" w:hAnsi="Times New Roman"/>
        </w:rPr>
      </w:pPr>
      <w:r w:rsidRPr="00AE25E1">
        <w:rPr>
          <w:rStyle w:val="FootnoteReference"/>
          <w:rFonts w:ascii="Times New Roman" w:hAnsi="Times New Roman"/>
        </w:rPr>
        <w:footnoteRef/>
      </w:r>
      <w:r w:rsidRPr="00AE25E1">
        <w:rPr>
          <w:rFonts w:ascii="Times New Roman" w:hAnsi="Times New Roman"/>
        </w:rPr>
        <w:t xml:space="preserve"> I am grateful to an anonymous referee for pushing this point.</w:t>
      </w:r>
    </w:p>
    <w:p w:rsidR="004E0DAC" w:rsidRPr="00AE25E1" w:rsidRDefault="004E0DAC">
      <w:pPr>
        <w:pStyle w:val="FootnoteText"/>
        <w:rPr>
          <w:rFonts w:ascii="Times New Roman" w:hAnsi="Times New Roman"/>
        </w:rPr>
      </w:pPr>
    </w:p>
  </w:footnote>
  <w:footnote w:id="21">
    <w:p w:rsidR="004E0DAC" w:rsidRPr="005D1435" w:rsidRDefault="004E0DAC" w:rsidP="0096499C">
      <w:pPr>
        <w:pStyle w:val="FootnoteText"/>
        <w:spacing w:line="480" w:lineRule="auto"/>
        <w:rPr>
          <w:rFonts w:ascii="Times New Roman" w:hAnsi="Times New Roman"/>
        </w:rPr>
      </w:pPr>
      <w:r w:rsidRPr="005D1435">
        <w:rPr>
          <w:rStyle w:val="FootnoteReference"/>
          <w:rFonts w:ascii="Times New Roman" w:hAnsi="Times New Roman"/>
        </w:rPr>
        <w:footnoteRef/>
      </w:r>
      <w:r w:rsidRPr="005D1435">
        <w:rPr>
          <w:rFonts w:ascii="Times New Roman" w:hAnsi="Times New Roman"/>
        </w:rPr>
        <w:t xml:space="preserve"> I am especially grateful to Julian Rivers, and to </w:t>
      </w:r>
      <w:r>
        <w:rPr>
          <w:rFonts w:ascii="Times New Roman" w:hAnsi="Times New Roman"/>
        </w:rPr>
        <w:t xml:space="preserve">C’Zar Bernstein, Nuno Ferreira, Marie Fox, </w:t>
      </w:r>
      <w:r w:rsidRPr="00D90632">
        <w:rPr>
          <w:rFonts w:ascii="Times New Roman" w:hAnsi="Times New Roman"/>
        </w:rPr>
        <w:t>Richard Gaskin,</w:t>
      </w:r>
      <w:r>
        <w:rPr>
          <w:rFonts w:ascii="Times New Roman" w:hAnsi="Times New Roman"/>
        </w:rPr>
        <w:t xml:space="preserve"> Matt Gibson, </w:t>
      </w:r>
      <w:r w:rsidRPr="005D1435">
        <w:rPr>
          <w:rFonts w:ascii="Times New Roman" w:hAnsi="Times New Roman"/>
        </w:rPr>
        <w:t>James Heather, Andrew Koppelman,</w:t>
      </w:r>
      <w:r>
        <w:rPr>
          <w:rFonts w:ascii="Times New Roman" w:hAnsi="Times New Roman"/>
        </w:rPr>
        <w:t xml:space="preserve"> Anne Morris, Debra Morris, </w:t>
      </w:r>
      <w:r w:rsidR="00657DF6">
        <w:rPr>
          <w:rFonts w:ascii="Times New Roman" w:hAnsi="Times New Roman"/>
        </w:rPr>
        <w:t xml:space="preserve">Robert Wintemute, </w:t>
      </w:r>
      <w:r>
        <w:rPr>
          <w:rFonts w:ascii="Times New Roman" w:hAnsi="Times New Roman"/>
        </w:rPr>
        <w:t>and two anonymous referees for this journal. I am also grateful to the audience at the conference “</w:t>
      </w:r>
      <w:r w:rsidRPr="004332D5">
        <w:rPr>
          <w:rFonts w:ascii="Times New Roman" w:hAnsi="Times New Roman"/>
        </w:rPr>
        <w:t>The Equality Act 2010: five-years on</w:t>
      </w:r>
      <w:r>
        <w:rPr>
          <w:rFonts w:ascii="Times New Roman" w:hAnsi="Times New Roman"/>
        </w:rPr>
        <w:t>” at which an earlier version of this paper was presented.</w:t>
      </w:r>
      <w:r w:rsidRPr="004332D5">
        <w:rPr>
          <w:rFonts w:ascii="Times New Roman" w:hAnsi="Times New Roman"/>
        </w:rPr>
        <w:t> </w:t>
      </w:r>
      <w:r>
        <w:rPr>
          <w:rFonts w:ascii="Times New Roman" w:hAnsi="Times New Roman"/>
        </w:rPr>
        <w:t xml:space="preserve"> Of course, none should be thought to </w:t>
      </w:r>
      <w:proofErr w:type="gramStart"/>
      <w:r>
        <w:rPr>
          <w:rFonts w:ascii="Times New Roman" w:hAnsi="Times New Roman"/>
        </w:rPr>
        <w:t>be in agreement</w:t>
      </w:r>
      <w:proofErr w:type="gramEnd"/>
      <w:r>
        <w:rPr>
          <w:rFonts w:ascii="Times New Roman" w:hAnsi="Times New Roman"/>
        </w:rPr>
        <w:t xml:space="preserve"> for what I write.</w:t>
      </w:r>
      <w:r w:rsidRPr="005D1435">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5F1DD6"/>
    <w:multiLevelType w:val="hybridMultilevel"/>
    <w:tmpl w:val="406BD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D6F044"/>
    <w:multiLevelType w:val="hybridMultilevel"/>
    <w:tmpl w:val="BEABB2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F78608"/>
    <w:multiLevelType w:val="hybridMultilevel"/>
    <w:tmpl w:val="2D10D5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003E44"/>
    <w:multiLevelType w:val="hybridMultilevel"/>
    <w:tmpl w:val="B392773A"/>
    <w:lvl w:ilvl="0" w:tplc="67C0B07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BC2C47"/>
    <w:multiLevelType w:val="hybridMultilevel"/>
    <w:tmpl w:val="C608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A0E89"/>
    <w:multiLevelType w:val="hybridMultilevel"/>
    <w:tmpl w:val="A52638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D82448"/>
    <w:multiLevelType w:val="hybridMultilevel"/>
    <w:tmpl w:val="67AA6E86"/>
    <w:lvl w:ilvl="0" w:tplc="65FE4C8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1FF95286"/>
    <w:multiLevelType w:val="hybridMultilevel"/>
    <w:tmpl w:val="00DC64E0"/>
    <w:lvl w:ilvl="0" w:tplc="1E1ED7E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2134"/>
    <w:multiLevelType w:val="hybridMultilevel"/>
    <w:tmpl w:val="BAE6B8E0"/>
    <w:lvl w:ilvl="0" w:tplc="02245DA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2326AE3"/>
    <w:multiLevelType w:val="hybridMultilevel"/>
    <w:tmpl w:val="437099B6"/>
    <w:lvl w:ilvl="0" w:tplc="0BDA04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F0560C"/>
    <w:multiLevelType w:val="multilevel"/>
    <w:tmpl w:val="89B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43309"/>
    <w:multiLevelType w:val="multilevel"/>
    <w:tmpl w:val="3D6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66024"/>
    <w:multiLevelType w:val="hybridMultilevel"/>
    <w:tmpl w:val="0054ED92"/>
    <w:lvl w:ilvl="0" w:tplc="10FABF0E">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A265B"/>
    <w:multiLevelType w:val="hybridMultilevel"/>
    <w:tmpl w:val="DEC01BBC"/>
    <w:lvl w:ilvl="0" w:tplc="A7E201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6B5838"/>
    <w:multiLevelType w:val="hybridMultilevel"/>
    <w:tmpl w:val="41EA3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D8397C"/>
    <w:multiLevelType w:val="hybridMultilevel"/>
    <w:tmpl w:val="D90C64A6"/>
    <w:lvl w:ilvl="0" w:tplc="08090013">
      <w:start w:val="1"/>
      <w:numFmt w:val="upp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D406CD"/>
    <w:multiLevelType w:val="hybridMultilevel"/>
    <w:tmpl w:val="3306F1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CD9A46A"/>
    <w:multiLevelType w:val="hybridMultilevel"/>
    <w:tmpl w:val="9076DF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0"/>
  </w:num>
  <w:num w:numId="3">
    <w:abstractNumId w:val="1"/>
  </w:num>
  <w:num w:numId="4">
    <w:abstractNumId w:val="16"/>
  </w:num>
  <w:num w:numId="5">
    <w:abstractNumId w:val="13"/>
  </w:num>
  <w:num w:numId="6">
    <w:abstractNumId w:val="8"/>
  </w:num>
  <w:num w:numId="7">
    <w:abstractNumId w:val="15"/>
  </w:num>
  <w:num w:numId="8">
    <w:abstractNumId w:val="14"/>
  </w:num>
  <w:num w:numId="9">
    <w:abstractNumId w:val="4"/>
  </w:num>
  <w:num w:numId="10">
    <w:abstractNumId w:val="5"/>
  </w:num>
  <w:num w:numId="11">
    <w:abstractNumId w:val="17"/>
  </w:num>
  <w:num w:numId="12">
    <w:abstractNumId w:val="11"/>
  </w:num>
  <w:num w:numId="13">
    <w:abstractNumId w:val="2"/>
  </w:num>
  <w:num w:numId="14">
    <w:abstractNumId w:val="7"/>
  </w:num>
  <w:num w:numId="15">
    <w:abstractNumId w:val="3"/>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D2"/>
    <w:rsid w:val="00001576"/>
    <w:rsid w:val="000021ED"/>
    <w:rsid w:val="00002845"/>
    <w:rsid w:val="0000290E"/>
    <w:rsid w:val="00002BA2"/>
    <w:rsid w:val="00003935"/>
    <w:rsid w:val="000044C9"/>
    <w:rsid w:val="00004E89"/>
    <w:rsid w:val="000058DB"/>
    <w:rsid w:val="000062E0"/>
    <w:rsid w:val="0000747B"/>
    <w:rsid w:val="000106F9"/>
    <w:rsid w:val="00010BAB"/>
    <w:rsid w:val="0001179E"/>
    <w:rsid w:val="00011910"/>
    <w:rsid w:val="00013FCC"/>
    <w:rsid w:val="00014E00"/>
    <w:rsid w:val="00014FE6"/>
    <w:rsid w:val="00021A03"/>
    <w:rsid w:val="000221AE"/>
    <w:rsid w:val="00022377"/>
    <w:rsid w:val="00022EC3"/>
    <w:rsid w:val="00023822"/>
    <w:rsid w:val="00023A55"/>
    <w:rsid w:val="000244F9"/>
    <w:rsid w:val="00026CC9"/>
    <w:rsid w:val="00027850"/>
    <w:rsid w:val="00031823"/>
    <w:rsid w:val="0003419D"/>
    <w:rsid w:val="00034A3E"/>
    <w:rsid w:val="00034BA4"/>
    <w:rsid w:val="00034D18"/>
    <w:rsid w:val="00035554"/>
    <w:rsid w:val="0003626B"/>
    <w:rsid w:val="000371F4"/>
    <w:rsid w:val="0004080F"/>
    <w:rsid w:val="000422F3"/>
    <w:rsid w:val="00042683"/>
    <w:rsid w:val="000429D1"/>
    <w:rsid w:val="00042A05"/>
    <w:rsid w:val="000432E4"/>
    <w:rsid w:val="00043EA9"/>
    <w:rsid w:val="00046112"/>
    <w:rsid w:val="00046DD6"/>
    <w:rsid w:val="00046E77"/>
    <w:rsid w:val="000473C0"/>
    <w:rsid w:val="0005200D"/>
    <w:rsid w:val="000528FD"/>
    <w:rsid w:val="0005373D"/>
    <w:rsid w:val="00054A6F"/>
    <w:rsid w:val="00057D78"/>
    <w:rsid w:val="0006045B"/>
    <w:rsid w:val="000609FB"/>
    <w:rsid w:val="00060C6F"/>
    <w:rsid w:val="00061CDC"/>
    <w:rsid w:val="000630AB"/>
    <w:rsid w:val="00063E58"/>
    <w:rsid w:val="00064BF1"/>
    <w:rsid w:val="00065446"/>
    <w:rsid w:val="00065C01"/>
    <w:rsid w:val="000676C6"/>
    <w:rsid w:val="0007271F"/>
    <w:rsid w:val="00074575"/>
    <w:rsid w:val="00074B4A"/>
    <w:rsid w:val="00074B5D"/>
    <w:rsid w:val="00075CD2"/>
    <w:rsid w:val="00075F59"/>
    <w:rsid w:val="00076333"/>
    <w:rsid w:val="0007762C"/>
    <w:rsid w:val="000779A6"/>
    <w:rsid w:val="0008205A"/>
    <w:rsid w:val="000829B8"/>
    <w:rsid w:val="0008394B"/>
    <w:rsid w:val="00083FDE"/>
    <w:rsid w:val="00084AB8"/>
    <w:rsid w:val="000866F8"/>
    <w:rsid w:val="00086C17"/>
    <w:rsid w:val="00087CBB"/>
    <w:rsid w:val="000933E6"/>
    <w:rsid w:val="00093874"/>
    <w:rsid w:val="0009390A"/>
    <w:rsid w:val="00094670"/>
    <w:rsid w:val="000948E9"/>
    <w:rsid w:val="000A00EF"/>
    <w:rsid w:val="000A0C50"/>
    <w:rsid w:val="000A1059"/>
    <w:rsid w:val="000A238A"/>
    <w:rsid w:val="000A2FEB"/>
    <w:rsid w:val="000A4EB0"/>
    <w:rsid w:val="000A6061"/>
    <w:rsid w:val="000A6A59"/>
    <w:rsid w:val="000A730B"/>
    <w:rsid w:val="000B0394"/>
    <w:rsid w:val="000B108D"/>
    <w:rsid w:val="000B1B4A"/>
    <w:rsid w:val="000B313C"/>
    <w:rsid w:val="000B41DA"/>
    <w:rsid w:val="000B4515"/>
    <w:rsid w:val="000B4965"/>
    <w:rsid w:val="000B6032"/>
    <w:rsid w:val="000B713E"/>
    <w:rsid w:val="000B771A"/>
    <w:rsid w:val="000B7808"/>
    <w:rsid w:val="000B7BC7"/>
    <w:rsid w:val="000C1018"/>
    <w:rsid w:val="000C1253"/>
    <w:rsid w:val="000C1C1D"/>
    <w:rsid w:val="000C2611"/>
    <w:rsid w:val="000C2705"/>
    <w:rsid w:val="000C4850"/>
    <w:rsid w:val="000C597F"/>
    <w:rsid w:val="000C77D4"/>
    <w:rsid w:val="000D0DDB"/>
    <w:rsid w:val="000D1C8C"/>
    <w:rsid w:val="000D1CA8"/>
    <w:rsid w:val="000D2282"/>
    <w:rsid w:val="000D26DC"/>
    <w:rsid w:val="000D3B32"/>
    <w:rsid w:val="000D4406"/>
    <w:rsid w:val="000D53EE"/>
    <w:rsid w:val="000D5E9A"/>
    <w:rsid w:val="000D68A2"/>
    <w:rsid w:val="000E0136"/>
    <w:rsid w:val="000E3C8A"/>
    <w:rsid w:val="000E4965"/>
    <w:rsid w:val="000E4FFB"/>
    <w:rsid w:val="000E50DB"/>
    <w:rsid w:val="000E694D"/>
    <w:rsid w:val="000E6B48"/>
    <w:rsid w:val="000E6EB3"/>
    <w:rsid w:val="000E737E"/>
    <w:rsid w:val="000E7D92"/>
    <w:rsid w:val="000F1390"/>
    <w:rsid w:val="000F139A"/>
    <w:rsid w:val="000F3106"/>
    <w:rsid w:val="000F617F"/>
    <w:rsid w:val="000F677A"/>
    <w:rsid w:val="000F682C"/>
    <w:rsid w:val="000F6DE6"/>
    <w:rsid w:val="000F75EB"/>
    <w:rsid w:val="000F777B"/>
    <w:rsid w:val="00100D86"/>
    <w:rsid w:val="001028B9"/>
    <w:rsid w:val="00102E46"/>
    <w:rsid w:val="001032C7"/>
    <w:rsid w:val="00103E76"/>
    <w:rsid w:val="0010419D"/>
    <w:rsid w:val="00104E16"/>
    <w:rsid w:val="001051A4"/>
    <w:rsid w:val="001061B8"/>
    <w:rsid w:val="0010653F"/>
    <w:rsid w:val="00110CBC"/>
    <w:rsid w:val="001115F2"/>
    <w:rsid w:val="001138ED"/>
    <w:rsid w:val="00117B29"/>
    <w:rsid w:val="00120059"/>
    <w:rsid w:val="001207D4"/>
    <w:rsid w:val="00120DA4"/>
    <w:rsid w:val="001213DF"/>
    <w:rsid w:val="0012666A"/>
    <w:rsid w:val="0012708F"/>
    <w:rsid w:val="001275CA"/>
    <w:rsid w:val="001302E1"/>
    <w:rsid w:val="00130575"/>
    <w:rsid w:val="001305B1"/>
    <w:rsid w:val="001306F0"/>
    <w:rsid w:val="001314FD"/>
    <w:rsid w:val="00131FEC"/>
    <w:rsid w:val="0013363C"/>
    <w:rsid w:val="00133D12"/>
    <w:rsid w:val="00137061"/>
    <w:rsid w:val="00137ACF"/>
    <w:rsid w:val="001401C7"/>
    <w:rsid w:val="00140FAC"/>
    <w:rsid w:val="00141237"/>
    <w:rsid w:val="00141A19"/>
    <w:rsid w:val="001420D3"/>
    <w:rsid w:val="00142AE7"/>
    <w:rsid w:val="00144342"/>
    <w:rsid w:val="0014464D"/>
    <w:rsid w:val="00144893"/>
    <w:rsid w:val="0014679B"/>
    <w:rsid w:val="00147B5F"/>
    <w:rsid w:val="0015173D"/>
    <w:rsid w:val="00151850"/>
    <w:rsid w:val="00152E4C"/>
    <w:rsid w:val="0015344C"/>
    <w:rsid w:val="0015440C"/>
    <w:rsid w:val="0015512A"/>
    <w:rsid w:val="00155ACB"/>
    <w:rsid w:val="00156EBC"/>
    <w:rsid w:val="00161452"/>
    <w:rsid w:val="00161B8F"/>
    <w:rsid w:val="0016208C"/>
    <w:rsid w:val="00162720"/>
    <w:rsid w:val="00163E66"/>
    <w:rsid w:val="0016420A"/>
    <w:rsid w:val="00166A21"/>
    <w:rsid w:val="00166CC1"/>
    <w:rsid w:val="00167D06"/>
    <w:rsid w:val="00170B49"/>
    <w:rsid w:val="00172051"/>
    <w:rsid w:val="00172ADE"/>
    <w:rsid w:val="00172FAC"/>
    <w:rsid w:val="00173A50"/>
    <w:rsid w:val="0017496F"/>
    <w:rsid w:val="0017615C"/>
    <w:rsid w:val="00177547"/>
    <w:rsid w:val="0018063A"/>
    <w:rsid w:val="001809CB"/>
    <w:rsid w:val="00180A06"/>
    <w:rsid w:val="00183FF4"/>
    <w:rsid w:val="0018507F"/>
    <w:rsid w:val="001875C1"/>
    <w:rsid w:val="00190124"/>
    <w:rsid w:val="00190C3D"/>
    <w:rsid w:val="0019200A"/>
    <w:rsid w:val="001925A3"/>
    <w:rsid w:val="0019281D"/>
    <w:rsid w:val="001930DD"/>
    <w:rsid w:val="00193488"/>
    <w:rsid w:val="00193EC2"/>
    <w:rsid w:val="00194362"/>
    <w:rsid w:val="0019470C"/>
    <w:rsid w:val="00194CC6"/>
    <w:rsid w:val="00194F13"/>
    <w:rsid w:val="00195E46"/>
    <w:rsid w:val="001963B4"/>
    <w:rsid w:val="00197B3E"/>
    <w:rsid w:val="001A0478"/>
    <w:rsid w:val="001A09C4"/>
    <w:rsid w:val="001A387C"/>
    <w:rsid w:val="001A3FE1"/>
    <w:rsid w:val="001A46E4"/>
    <w:rsid w:val="001A6459"/>
    <w:rsid w:val="001A6D5E"/>
    <w:rsid w:val="001A769A"/>
    <w:rsid w:val="001B3B82"/>
    <w:rsid w:val="001B6A95"/>
    <w:rsid w:val="001B745D"/>
    <w:rsid w:val="001B7DA9"/>
    <w:rsid w:val="001C0A7C"/>
    <w:rsid w:val="001C2244"/>
    <w:rsid w:val="001C2A68"/>
    <w:rsid w:val="001C3FE5"/>
    <w:rsid w:val="001C554D"/>
    <w:rsid w:val="001C6C10"/>
    <w:rsid w:val="001C7685"/>
    <w:rsid w:val="001C7A7B"/>
    <w:rsid w:val="001D0B85"/>
    <w:rsid w:val="001D0D70"/>
    <w:rsid w:val="001D2486"/>
    <w:rsid w:val="001D4492"/>
    <w:rsid w:val="001D45E9"/>
    <w:rsid w:val="001D6AB9"/>
    <w:rsid w:val="001D6AC1"/>
    <w:rsid w:val="001D6FB4"/>
    <w:rsid w:val="001E07A9"/>
    <w:rsid w:val="001E1D41"/>
    <w:rsid w:val="001E3183"/>
    <w:rsid w:val="001E32EF"/>
    <w:rsid w:val="001E44D2"/>
    <w:rsid w:val="001E604C"/>
    <w:rsid w:val="001E688D"/>
    <w:rsid w:val="001E71F5"/>
    <w:rsid w:val="001F13A5"/>
    <w:rsid w:val="001F2494"/>
    <w:rsid w:val="001F282E"/>
    <w:rsid w:val="001F30B2"/>
    <w:rsid w:val="001F3AA8"/>
    <w:rsid w:val="001F5916"/>
    <w:rsid w:val="001F6181"/>
    <w:rsid w:val="001F6293"/>
    <w:rsid w:val="001F67C5"/>
    <w:rsid w:val="001F715C"/>
    <w:rsid w:val="001F7E75"/>
    <w:rsid w:val="0020133F"/>
    <w:rsid w:val="00202077"/>
    <w:rsid w:val="00203F86"/>
    <w:rsid w:val="00206D18"/>
    <w:rsid w:val="002076FC"/>
    <w:rsid w:val="00207706"/>
    <w:rsid w:val="002078F9"/>
    <w:rsid w:val="00207D37"/>
    <w:rsid w:val="00212DB4"/>
    <w:rsid w:val="00212E2E"/>
    <w:rsid w:val="002142F8"/>
    <w:rsid w:val="00214DBE"/>
    <w:rsid w:val="00214F64"/>
    <w:rsid w:val="00215421"/>
    <w:rsid w:val="00216C00"/>
    <w:rsid w:val="00216CB4"/>
    <w:rsid w:val="00217E82"/>
    <w:rsid w:val="00221A5B"/>
    <w:rsid w:val="00223268"/>
    <w:rsid w:val="00223347"/>
    <w:rsid w:val="00223409"/>
    <w:rsid w:val="00224915"/>
    <w:rsid w:val="00224995"/>
    <w:rsid w:val="002273E4"/>
    <w:rsid w:val="00230AE3"/>
    <w:rsid w:val="00230CF2"/>
    <w:rsid w:val="00231A86"/>
    <w:rsid w:val="00232920"/>
    <w:rsid w:val="00233D37"/>
    <w:rsid w:val="00233FAA"/>
    <w:rsid w:val="0023431B"/>
    <w:rsid w:val="0023480A"/>
    <w:rsid w:val="0023516D"/>
    <w:rsid w:val="00235B01"/>
    <w:rsid w:val="00241847"/>
    <w:rsid w:val="00241AA4"/>
    <w:rsid w:val="00242BBB"/>
    <w:rsid w:val="00242D74"/>
    <w:rsid w:val="002439D0"/>
    <w:rsid w:val="00244589"/>
    <w:rsid w:val="00245291"/>
    <w:rsid w:val="00245D7B"/>
    <w:rsid w:val="002506E4"/>
    <w:rsid w:val="00250999"/>
    <w:rsid w:val="0025218D"/>
    <w:rsid w:val="00252913"/>
    <w:rsid w:val="00254A1D"/>
    <w:rsid w:val="00256C65"/>
    <w:rsid w:val="00257488"/>
    <w:rsid w:val="002622B8"/>
    <w:rsid w:val="00262A6B"/>
    <w:rsid w:val="002655E7"/>
    <w:rsid w:val="00265F65"/>
    <w:rsid w:val="00267D22"/>
    <w:rsid w:val="00267F2B"/>
    <w:rsid w:val="0027047E"/>
    <w:rsid w:val="00271B2A"/>
    <w:rsid w:val="00271CE1"/>
    <w:rsid w:val="0027428B"/>
    <w:rsid w:val="002754F1"/>
    <w:rsid w:val="00275955"/>
    <w:rsid w:val="00280FF4"/>
    <w:rsid w:val="00281DB8"/>
    <w:rsid w:val="00283107"/>
    <w:rsid w:val="00283123"/>
    <w:rsid w:val="00283EB3"/>
    <w:rsid w:val="0028413E"/>
    <w:rsid w:val="00284818"/>
    <w:rsid w:val="00287823"/>
    <w:rsid w:val="002878B4"/>
    <w:rsid w:val="00287B8C"/>
    <w:rsid w:val="00290164"/>
    <w:rsid w:val="0029110E"/>
    <w:rsid w:val="0029116B"/>
    <w:rsid w:val="002911BD"/>
    <w:rsid w:val="00291D51"/>
    <w:rsid w:val="00291E04"/>
    <w:rsid w:val="00293FB4"/>
    <w:rsid w:val="00294B9F"/>
    <w:rsid w:val="00294E78"/>
    <w:rsid w:val="00295B9A"/>
    <w:rsid w:val="002963CD"/>
    <w:rsid w:val="0029647C"/>
    <w:rsid w:val="002975E3"/>
    <w:rsid w:val="002A13AD"/>
    <w:rsid w:val="002A1EFB"/>
    <w:rsid w:val="002A2A08"/>
    <w:rsid w:val="002A350D"/>
    <w:rsid w:val="002A3834"/>
    <w:rsid w:val="002A3DD9"/>
    <w:rsid w:val="002A5BEA"/>
    <w:rsid w:val="002A5E25"/>
    <w:rsid w:val="002A6438"/>
    <w:rsid w:val="002A7750"/>
    <w:rsid w:val="002B0F0B"/>
    <w:rsid w:val="002B46BF"/>
    <w:rsid w:val="002B4BAB"/>
    <w:rsid w:val="002B530E"/>
    <w:rsid w:val="002B59BE"/>
    <w:rsid w:val="002C0956"/>
    <w:rsid w:val="002C0B3C"/>
    <w:rsid w:val="002C232D"/>
    <w:rsid w:val="002C4DF7"/>
    <w:rsid w:val="002C5631"/>
    <w:rsid w:val="002C6674"/>
    <w:rsid w:val="002C6A5A"/>
    <w:rsid w:val="002C6E07"/>
    <w:rsid w:val="002D113C"/>
    <w:rsid w:val="002D230E"/>
    <w:rsid w:val="002D606F"/>
    <w:rsid w:val="002D740D"/>
    <w:rsid w:val="002D7424"/>
    <w:rsid w:val="002D7917"/>
    <w:rsid w:val="002E006F"/>
    <w:rsid w:val="002E1DBB"/>
    <w:rsid w:val="002E34B2"/>
    <w:rsid w:val="002E3854"/>
    <w:rsid w:val="002E7536"/>
    <w:rsid w:val="002E7E01"/>
    <w:rsid w:val="002F1C2F"/>
    <w:rsid w:val="002F4032"/>
    <w:rsid w:val="002F4656"/>
    <w:rsid w:val="002F4880"/>
    <w:rsid w:val="002F4A8A"/>
    <w:rsid w:val="002F4FD1"/>
    <w:rsid w:val="002F511C"/>
    <w:rsid w:val="002F67BB"/>
    <w:rsid w:val="00300690"/>
    <w:rsid w:val="00300909"/>
    <w:rsid w:val="00300C7F"/>
    <w:rsid w:val="003016C5"/>
    <w:rsid w:val="0030194B"/>
    <w:rsid w:val="00301EF2"/>
    <w:rsid w:val="0030323A"/>
    <w:rsid w:val="00303DCB"/>
    <w:rsid w:val="003058AF"/>
    <w:rsid w:val="00310989"/>
    <w:rsid w:val="00311421"/>
    <w:rsid w:val="00311F50"/>
    <w:rsid w:val="00312738"/>
    <w:rsid w:val="00312F85"/>
    <w:rsid w:val="0031448C"/>
    <w:rsid w:val="00316588"/>
    <w:rsid w:val="0031715E"/>
    <w:rsid w:val="00321315"/>
    <w:rsid w:val="00322DB6"/>
    <w:rsid w:val="00324781"/>
    <w:rsid w:val="0032629C"/>
    <w:rsid w:val="003262AB"/>
    <w:rsid w:val="00327550"/>
    <w:rsid w:val="00330514"/>
    <w:rsid w:val="0033182C"/>
    <w:rsid w:val="00332576"/>
    <w:rsid w:val="00332D58"/>
    <w:rsid w:val="00332FC5"/>
    <w:rsid w:val="00334132"/>
    <w:rsid w:val="0033416C"/>
    <w:rsid w:val="00341436"/>
    <w:rsid w:val="0034189A"/>
    <w:rsid w:val="00341A52"/>
    <w:rsid w:val="00341ACD"/>
    <w:rsid w:val="00343A11"/>
    <w:rsid w:val="0034466A"/>
    <w:rsid w:val="0034487E"/>
    <w:rsid w:val="00344C22"/>
    <w:rsid w:val="003455CF"/>
    <w:rsid w:val="00345EB6"/>
    <w:rsid w:val="00346E6A"/>
    <w:rsid w:val="003503DE"/>
    <w:rsid w:val="00350AF4"/>
    <w:rsid w:val="003536E3"/>
    <w:rsid w:val="003536F7"/>
    <w:rsid w:val="00355FBF"/>
    <w:rsid w:val="00356E85"/>
    <w:rsid w:val="0035782C"/>
    <w:rsid w:val="00363CF4"/>
    <w:rsid w:val="00365E55"/>
    <w:rsid w:val="00366062"/>
    <w:rsid w:val="00367E91"/>
    <w:rsid w:val="003703B4"/>
    <w:rsid w:val="003704BD"/>
    <w:rsid w:val="00371362"/>
    <w:rsid w:val="00371CE2"/>
    <w:rsid w:val="00371D94"/>
    <w:rsid w:val="0037270F"/>
    <w:rsid w:val="00374F4E"/>
    <w:rsid w:val="00375922"/>
    <w:rsid w:val="00375DDE"/>
    <w:rsid w:val="0037693C"/>
    <w:rsid w:val="0037745F"/>
    <w:rsid w:val="003777B4"/>
    <w:rsid w:val="00382F00"/>
    <w:rsid w:val="003832B8"/>
    <w:rsid w:val="003839E6"/>
    <w:rsid w:val="00383D91"/>
    <w:rsid w:val="003857A5"/>
    <w:rsid w:val="00385B5E"/>
    <w:rsid w:val="003873AE"/>
    <w:rsid w:val="003932C6"/>
    <w:rsid w:val="00394813"/>
    <w:rsid w:val="0039599A"/>
    <w:rsid w:val="00397982"/>
    <w:rsid w:val="003A42E4"/>
    <w:rsid w:val="003A6D5E"/>
    <w:rsid w:val="003A70A7"/>
    <w:rsid w:val="003A7EC1"/>
    <w:rsid w:val="003B2841"/>
    <w:rsid w:val="003B29BD"/>
    <w:rsid w:val="003B3F69"/>
    <w:rsid w:val="003B48DF"/>
    <w:rsid w:val="003B4E98"/>
    <w:rsid w:val="003B56E7"/>
    <w:rsid w:val="003B5966"/>
    <w:rsid w:val="003B5D17"/>
    <w:rsid w:val="003C06BE"/>
    <w:rsid w:val="003C1165"/>
    <w:rsid w:val="003C1DD9"/>
    <w:rsid w:val="003C2047"/>
    <w:rsid w:val="003C3DAB"/>
    <w:rsid w:val="003C43CC"/>
    <w:rsid w:val="003C49A8"/>
    <w:rsid w:val="003C55A1"/>
    <w:rsid w:val="003C590A"/>
    <w:rsid w:val="003C6980"/>
    <w:rsid w:val="003D0EB9"/>
    <w:rsid w:val="003D26AB"/>
    <w:rsid w:val="003D27A4"/>
    <w:rsid w:val="003D2C4B"/>
    <w:rsid w:val="003D3BEF"/>
    <w:rsid w:val="003D4E30"/>
    <w:rsid w:val="003D72B5"/>
    <w:rsid w:val="003E00D2"/>
    <w:rsid w:val="003E01CD"/>
    <w:rsid w:val="003E1489"/>
    <w:rsid w:val="003E4E3C"/>
    <w:rsid w:val="003E56CF"/>
    <w:rsid w:val="003E5CEE"/>
    <w:rsid w:val="003E5F30"/>
    <w:rsid w:val="003E61EF"/>
    <w:rsid w:val="003E688C"/>
    <w:rsid w:val="003E7B9B"/>
    <w:rsid w:val="003F38F6"/>
    <w:rsid w:val="003F4686"/>
    <w:rsid w:val="003F5B1A"/>
    <w:rsid w:val="003F61E1"/>
    <w:rsid w:val="004015DB"/>
    <w:rsid w:val="0040377C"/>
    <w:rsid w:val="00405ECD"/>
    <w:rsid w:val="00406F47"/>
    <w:rsid w:val="00407404"/>
    <w:rsid w:val="00407C5C"/>
    <w:rsid w:val="004105C1"/>
    <w:rsid w:val="00410EA7"/>
    <w:rsid w:val="0041113C"/>
    <w:rsid w:val="00411665"/>
    <w:rsid w:val="0041215B"/>
    <w:rsid w:val="00415ED6"/>
    <w:rsid w:val="00417993"/>
    <w:rsid w:val="00417F3F"/>
    <w:rsid w:val="00420635"/>
    <w:rsid w:val="00422528"/>
    <w:rsid w:val="00423F67"/>
    <w:rsid w:val="0042539A"/>
    <w:rsid w:val="004263F7"/>
    <w:rsid w:val="00426B6D"/>
    <w:rsid w:val="0043230C"/>
    <w:rsid w:val="00432B1C"/>
    <w:rsid w:val="004332D5"/>
    <w:rsid w:val="0043469F"/>
    <w:rsid w:val="00434AC3"/>
    <w:rsid w:val="00435F7A"/>
    <w:rsid w:val="00436698"/>
    <w:rsid w:val="00436AE1"/>
    <w:rsid w:val="004425BB"/>
    <w:rsid w:val="00442624"/>
    <w:rsid w:val="00443198"/>
    <w:rsid w:val="00443F8C"/>
    <w:rsid w:val="00444012"/>
    <w:rsid w:val="00444A24"/>
    <w:rsid w:val="00444C74"/>
    <w:rsid w:val="00445812"/>
    <w:rsid w:val="004467B8"/>
    <w:rsid w:val="00450F01"/>
    <w:rsid w:val="004525B6"/>
    <w:rsid w:val="00454066"/>
    <w:rsid w:val="00454803"/>
    <w:rsid w:val="004557C2"/>
    <w:rsid w:val="00455C60"/>
    <w:rsid w:val="00457E01"/>
    <w:rsid w:val="00461548"/>
    <w:rsid w:val="00462374"/>
    <w:rsid w:val="004659FA"/>
    <w:rsid w:val="004717F6"/>
    <w:rsid w:val="00472CCB"/>
    <w:rsid w:val="0047369E"/>
    <w:rsid w:val="0047373A"/>
    <w:rsid w:val="00474B36"/>
    <w:rsid w:val="004767B7"/>
    <w:rsid w:val="00477CD3"/>
    <w:rsid w:val="004855B9"/>
    <w:rsid w:val="0048663D"/>
    <w:rsid w:val="004871F3"/>
    <w:rsid w:val="004879B3"/>
    <w:rsid w:val="004912A2"/>
    <w:rsid w:val="004927DB"/>
    <w:rsid w:val="00492EB0"/>
    <w:rsid w:val="00493C4A"/>
    <w:rsid w:val="00494ECD"/>
    <w:rsid w:val="00496398"/>
    <w:rsid w:val="004968BD"/>
    <w:rsid w:val="00497A9A"/>
    <w:rsid w:val="00497C4D"/>
    <w:rsid w:val="00497EF5"/>
    <w:rsid w:val="004A09F1"/>
    <w:rsid w:val="004A0F8F"/>
    <w:rsid w:val="004A13AC"/>
    <w:rsid w:val="004A179B"/>
    <w:rsid w:val="004A2D95"/>
    <w:rsid w:val="004A6EF2"/>
    <w:rsid w:val="004A724C"/>
    <w:rsid w:val="004B0E75"/>
    <w:rsid w:val="004B0F69"/>
    <w:rsid w:val="004B182C"/>
    <w:rsid w:val="004B2371"/>
    <w:rsid w:val="004B3747"/>
    <w:rsid w:val="004B3E77"/>
    <w:rsid w:val="004B434A"/>
    <w:rsid w:val="004B49B6"/>
    <w:rsid w:val="004B60B6"/>
    <w:rsid w:val="004B6E54"/>
    <w:rsid w:val="004B7DF2"/>
    <w:rsid w:val="004C0AAA"/>
    <w:rsid w:val="004C0D93"/>
    <w:rsid w:val="004C1152"/>
    <w:rsid w:val="004C15AC"/>
    <w:rsid w:val="004C18C3"/>
    <w:rsid w:val="004C198E"/>
    <w:rsid w:val="004C4B0B"/>
    <w:rsid w:val="004C4E57"/>
    <w:rsid w:val="004C52E5"/>
    <w:rsid w:val="004D303E"/>
    <w:rsid w:val="004D4C31"/>
    <w:rsid w:val="004D5599"/>
    <w:rsid w:val="004D7FC4"/>
    <w:rsid w:val="004E0BEA"/>
    <w:rsid w:val="004E0C10"/>
    <w:rsid w:val="004E0DAC"/>
    <w:rsid w:val="004E0F29"/>
    <w:rsid w:val="004E1B82"/>
    <w:rsid w:val="004E5800"/>
    <w:rsid w:val="004E5963"/>
    <w:rsid w:val="004E6125"/>
    <w:rsid w:val="004E794B"/>
    <w:rsid w:val="004F0974"/>
    <w:rsid w:val="004F227C"/>
    <w:rsid w:val="004F7220"/>
    <w:rsid w:val="004F7867"/>
    <w:rsid w:val="005005D9"/>
    <w:rsid w:val="00500ACA"/>
    <w:rsid w:val="00500B7C"/>
    <w:rsid w:val="005031D3"/>
    <w:rsid w:val="005039D1"/>
    <w:rsid w:val="00503C9C"/>
    <w:rsid w:val="00505A0A"/>
    <w:rsid w:val="00506585"/>
    <w:rsid w:val="00507730"/>
    <w:rsid w:val="005135A8"/>
    <w:rsid w:val="005136D3"/>
    <w:rsid w:val="00515E59"/>
    <w:rsid w:val="005225E3"/>
    <w:rsid w:val="00522BBE"/>
    <w:rsid w:val="0052380C"/>
    <w:rsid w:val="00524FE6"/>
    <w:rsid w:val="00526620"/>
    <w:rsid w:val="005326A8"/>
    <w:rsid w:val="00532B91"/>
    <w:rsid w:val="005336DA"/>
    <w:rsid w:val="00534432"/>
    <w:rsid w:val="005356D2"/>
    <w:rsid w:val="005361A0"/>
    <w:rsid w:val="00536D70"/>
    <w:rsid w:val="00537422"/>
    <w:rsid w:val="00537B0A"/>
    <w:rsid w:val="00537D1C"/>
    <w:rsid w:val="005410CE"/>
    <w:rsid w:val="0054148B"/>
    <w:rsid w:val="005432E8"/>
    <w:rsid w:val="0054351A"/>
    <w:rsid w:val="00544A6C"/>
    <w:rsid w:val="00545EF8"/>
    <w:rsid w:val="005505EE"/>
    <w:rsid w:val="00554F27"/>
    <w:rsid w:val="00556F68"/>
    <w:rsid w:val="005576D3"/>
    <w:rsid w:val="00557A51"/>
    <w:rsid w:val="00561E33"/>
    <w:rsid w:val="00566346"/>
    <w:rsid w:val="005670B0"/>
    <w:rsid w:val="005674A0"/>
    <w:rsid w:val="005703EE"/>
    <w:rsid w:val="0057065E"/>
    <w:rsid w:val="0057071D"/>
    <w:rsid w:val="005714E7"/>
    <w:rsid w:val="00575276"/>
    <w:rsid w:val="0057547E"/>
    <w:rsid w:val="00577796"/>
    <w:rsid w:val="00577D6B"/>
    <w:rsid w:val="005803D0"/>
    <w:rsid w:val="005808AA"/>
    <w:rsid w:val="0058293D"/>
    <w:rsid w:val="00582E7D"/>
    <w:rsid w:val="00585831"/>
    <w:rsid w:val="00585A2F"/>
    <w:rsid w:val="00590B50"/>
    <w:rsid w:val="00590FEF"/>
    <w:rsid w:val="005917B6"/>
    <w:rsid w:val="00592C83"/>
    <w:rsid w:val="00592E31"/>
    <w:rsid w:val="00594502"/>
    <w:rsid w:val="005957F3"/>
    <w:rsid w:val="00596A8C"/>
    <w:rsid w:val="005A1BA1"/>
    <w:rsid w:val="005A1E61"/>
    <w:rsid w:val="005A303C"/>
    <w:rsid w:val="005A7147"/>
    <w:rsid w:val="005A77E4"/>
    <w:rsid w:val="005B02ED"/>
    <w:rsid w:val="005B098C"/>
    <w:rsid w:val="005B1D7D"/>
    <w:rsid w:val="005B47C7"/>
    <w:rsid w:val="005C1C42"/>
    <w:rsid w:val="005C2668"/>
    <w:rsid w:val="005C4998"/>
    <w:rsid w:val="005C73D2"/>
    <w:rsid w:val="005C7856"/>
    <w:rsid w:val="005C790D"/>
    <w:rsid w:val="005D0506"/>
    <w:rsid w:val="005D0545"/>
    <w:rsid w:val="005D0D16"/>
    <w:rsid w:val="005D1435"/>
    <w:rsid w:val="005D2B92"/>
    <w:rsid w:val="005D35D8"/>
    <w:rsid w:val="005D3642"/>
    <w:rsid w:val="005D39C8"/>
    <w:rsid w:val="005D4427"/>
    <w:rsid w:val="005D47B6"/>
    <w:rsid w:val="005D5FBA"/>
    <w:rsid w:val="005D6363"/>
    <w:rsid w:val="005D6493"/>
    <w:rsid w:val="005E0090"/>
    <w:rsid w:val="005E1F0C"/>
    <w:rsid w:val="005E2316"/>
    <w:rsid w:val="005E25AC"/>
    <w:rsid w:val="005E27D6"/>
    <w:rsid w:val="005E3B2B"/>
    <w:rsid w:val="005E3C55"/>
    <w:rsid w:val="005E4A50"/>
    <w:rsid w:val="005E4C41"/>
    <w:rsid w:val="005E4CBB"/>
    <w:rsid w:val="005E4D9F"/>
    <w:rsid w:val="005E63AD"/>
    <w:rsid w:val="005E6A2D"/>
    <w:rsid w:val="005F0538"/>
    <w:rsid w:val="005F0B31"/>
    <w:rsid w:val="005F2D91"/>
    <w:rsid w:val="005F534F"/>
    <w:rsid w:val="005F5B9F"/>
    <w:rsid w:val="005F6413"/>
    <w:rsid w:val="005F67A5"/>
    <w:rsid w:val="005F7A09"/>
    <w:rsid w:val="00600C4B"/>
    <w:rsid w:val="006051B8"/>
    <w:rsid w:val="0060587E"/>
    <w:rsid w:val="00606D75"/>
    <w:rsid w:val="00610568"/>
    <w:rsid w:val="0061182B"/>
    <w:rsid w:val="0061270C"/>
    <w:rsid w:val="00613071"/>
    <w:rsid w:val="00613309"/>
    <w:rsid w:val="0061332B"/>
    <w:rsid w:val="006133BF"/>
    <w:rsid w:val="00615BE4"/>
    <w:rsid w:val="00616AFD"/>
    <w:rsid w:val="00621AF6"/>
    <w:rsid w:val="00622133"/>
    <w:rsid w:val="00623DB9"/>
    <w:rsid w:val="00624974"/>
    <w:rsid w:val="006251D8"/>
    <w:rsid w:val="00625904"/>
    <w:rsid w:val="006259AC"/>
    <w:rsid w:val="00630044"/>
    <w:rsid w:val="006300BB"/>
    <w:rsid w:val="006311BC"/>
    <w:rsid w:val="006315A6"/>
    <w:rsid w:val="00634037"/>
    <w:rsid w:val="006343E9"/>
    <w:rsid w:val="00634DB9"/>
    <w:rsid w:val="00634EA1"/>
    <w:rsid w:val="006355E0"/>
    <w:rsid w:val="00641DE5"/>
    <w:rsid w:val="006431BF"/>
    <w:rsid w:val="006433DA"/>
    <w:rsid w:val="00644801"/>
    <w:rsid w:val="006511F2"/>
    <w:rsid w:val="006522EA"/>
    <w:rsid w:val="00653F02"/>
    <w:rsid w:val="00654154"/>
    <w:rsid w:val="006545E5"/>
    <w:rsid w:val="006545EB"/>
    <w:rsid w:val="00656344"/>
    <w:rsid w:val="00657DF6"/>
    <w:rsid w:val="006612C7"/>
    <w:rsid w:val="00662057"/>
    <w:rsid w:val="0066255F"/>
    <w:rsid w:val="00662F30"/>
    <w:rsid w:val="00663370"/>
    <w:rsid w:val="0066362C"/>
    <w:rsid w:val="00663F9A"/>
    <w:rsid w:val="00663FC2"/>
    <w:rsid w:val="006640A0"/>
    <w:rsid w:val="00665274"/>
    <w:rsid w:val="00666440"/>
    <w:rsid w:val="0066757F"/>
    <w:rsid w:val="00671583"/>
    <w:rsid w:val="00671F65"/>
    <w:rsid w:val="00672B69"/>
    <w:rsid w:val="006730C3"/>
    <w:rsid w:val="00674574"/>
    <w:rsid w:val="00675B8C"/>
    <w:rsid w:val="00680EC7"/>
    <w:rsid w:val="00681B53"/>
    <w:rsid w:val="006831A3"/>
    <w:rsid w:val="0068406E"/>
    <w:rsid w:val="00685396"/>
    <w:rsid w:val="0068792F"/>
    <w:rsid w:val="00687AB9"/>
    <w:rsid w:val="006913D6"/>
    <w:rsid w:val="006948B8"/>
    <w:rsid w:val="00694FC0"/>
    <w:rsid w:val="00695937"/>
    <w:rsid w:val="006970C4"/>
    <w:rsid w:val="00697994"/>
    <w:rsid w:val="006A139F"/>
    <w:rsid w:val="006A231C"/>
    <w:rsid w:val="006A4551"/>
    <w:rsid w:val="006A60F8"/>
    <w:rsid w:val="006A6409"/>
    <w:rsid w:val="006A6570"/>
    <w:rsid w:val="006A663C"/>
    <w:rsid w:val="006A6808"/>
    <w:rsid w:val="006B0227"/>
    <w:rsid w:val="006B0AB4"/>
    <w:rsid w:val="006B0D03"/>
    <w:rsid w:val="006B18ED"/>
    <w:rsid w:val="006B1D15"/>
    <w:rsid w:val="006B27D7"/>
    <w:rsid w:val="006B4A9D"/>
    <w:rsid w:val="006B5EBB"/>
    <w:rsid w:val="006B659B"/>
    <w:rsid w:val="006B77E9"/>
    <w:rsid w:val="006B7B88"/>
    <w:rsid w:val="006C02EB"/>
    <w:rsid w:val="006C0514"/>
    <w:rsid w:val="006C176D"/>
    <w:rsid w:val="006C197B"/>
    <w:rsid w:val="006D3FE9"/>
    <w:rsid w:val="006D5154"/>
    <w:rsid w:val="006E02DA"/>
    <w:rsid w:val="006E126B"/>
    <w:rsid w:val="006E375A"/>
    <w:rsid w:val="006E3AB3"/>
    <w:rsid w:val="006E5244"/>
    <w:rsid w:val="006E5669"/>
    <w:rsid w:val="006E5A0F"/>
    <w:rsid w:val="006E604B"/>
    <w:rsid w:val="006E6D74"/>
    <w:rsid w:val="006F2009"/>
    <w:rsid w:val="006F2AF5"/>
    <w:rsid w:val="006F4A07"/>
    <w:rsid w:val="006F5520"/>
    <w:rsid w:val="006F677B"/>
    <w:rsid w:val="006F6A4D"/>
    <w:rsid w:val="006F6EB3"/>
    <w:rsid w:val="006F77A2"/>
    <w:rsid w:val="00700756"/>
    <w:rsid w:val="00701093"/>
    <w:rsid w:val="007019B2"/>
    <w:rsid w:val="007046F9"/>
    <w:rsid w:val="0070528D"/>
    <w:rsid w:val="0070536A"/>
    <w:rsid w:val="0070690D"/>
    <w:rsid w:val="00706CF3"/>
    <w:rsid w:val="007076D5"/>
    <w:rsid w:val="00711904"/>
    <w:rsid w:val="00711DCF"/>
    <w:rsid w:val="0071224E"/>
    <w:rsid w:val="00713633"/>
    <w:rsid w:val="00714DD0"/>
    <w:rsid w:val="00715433"/>
    <w:rsid w:val="00715C2C"/>
    <w:rsid w:val="00715FC1"/>
    <w:rsid w:val="007169E1"/>
    <w:rsid w:val="00717263"/>
    <w:rsid w:val="007201C3"/>
    <w:rsid w:val="00720778"/>
    <w:rsid w:val="00720A8C"/>
    <w:rsid w:val="0072314E"/>
    <w:rsid w:val="0072398D"/>
    <w:rsid w:val="00724124"/>
    <w:rsid w:val="0072607C"/>
    <w:rsid w:val="00732F4A"/>
    <w:rsid w:val="00734C89"/>
    <w:rsid w:val="00735175"/>
    <w:rsid w:val="007366DB"/>
    <w:rsid w:val="00736743"/>
    <w:rsid w:val="00736F40"/>
    <w:rsid w:val="0074259B"/>
    <w:rsid w:val="0074274A"/>
    <w:rsid w:val="00742AF0"/>
    <w:rsid w:val="00742C69"/>
    <w:rsid w:val="00743D75"/>
    <w:rsid w:val="0074469A"/>
    <w:rsid w:val="00745FF1"/>
    <w:rsid w:val="00747001"/>
    <w:rsid w:val="00747A41"/>
    <w:rsid w:val="007500D1"/>
    <w:rsid w:val="00752F19"/>
    <w:rsid w:val="00754A73"/>
    <w:rsid w:val="0075708C"/>
    <w:rsid w:val="00760FB2"/>
    <w:rsid w:val="007616D5"/>
    <w:rsid w:val="00764AB3"/>
    <w:rsid w:val="00764F48"/>
    <w:rsid w:val="00766721"/>
    <w:rsid w:val="00766DF3"/>
    <w:rsid w:val="00766E00"/>
    <w:rsid w:val="007676D4"/>
    <w:rsid w:val="00767C79"/>
    <w:rsid w:val="00770291"/>
    <w:rsid w:val="00770700"/>
    <w:rsid w:val="007708C7"/>
    <w:rsid w:val="0077161C"/>
    <w:rsid w:val="007727F9"/>
    <w:rsid w:val="00773132"/>
    <w:rsid w:val="00773C5D"/>
    <w:rsid w:val="007749A3"/>
    <w:rsid w:val="00775338"/>
    <w:rsid w:val="00776D6D"/>
    <w:rsid w:val="00777875"/>
    <w:rsid w:val="007808C0"/>
    <w:rsid w:val="0078132A"/>
    <w:rsid w:val="00782AA6"/>
    <w:rsid w:val="007856A6"/>
    <w:rsid w:val="0078591C"/>
    <w:rsid w:val="00785D2C"/>
    <w:rsid w:val="007876F1"/>
    <w:rsid w:val="00787A0A"/>
    <w:rsid w:val="0079407B"/>
    <w:rsid w:val="00794254"/>
    <w:rsid w:val="00796A50"/>
    <w:rsid w:val="00796FAC"/>
    <w:rsid w:val="007A29C5"/>
    <w:rsid w:val="007A30C5"/>
    <w:rsid w:val="007A5659"/>
    <w:rsid w:val="007A6733"/>
    <w:rsid w:val="007A67DE"/>
    <w:rsid w:val="007A7B62"/>
    <w:rsid w:val="007B0321"/>
    <w:rsid w:val="007B1746"/>
    <w:rsid w:val="007B3001"/>
    <w:rsid w:val="007B4357"/>
    <w:rsid w:val="007B5E4C"/>
    <w:rsid w:val="007B7B21"/>
    <w:rsid w:val="007C011F"/>
    <w:rsid w:val="007C0583"/>
    <w:rsid w:val="007C0D8B"/>
    <w:rsid w:val="007C2442"/>
    <w:rsid w:val="007C2D24"/>
    <w:rsid w:val="007C3038"/>
    <w:rsid w:val="007C488F"/>
    <w:rsid w:val="007C5CAA"/>
    <w:rsid w:val="007C5FF6"/>
    <w:rsid w:val="007D0690"/>
    <w:rsid w:val="007D12BF"/>
    <w:rsid w:val="007D2124"/>
    <w:rsid w:val="007D2613"/>
    <w:rsid w:val="007D27F6"/>
    <w:rsid w:val="007D3402"/>
    <w:rsid w:val="007D3637"/>
    <w:rsid w:val="007D4CC9"/>
    <w:rsid w:val="007D5862"/>
    <w:rsid w:val="007D5988"/>
    <w:rsid w:val="007D703F"/>
    <w:rsid w:val="007E05C3"/>
    <w:rsid w:val="007E3961"/>
    <w:rsid w:val="007E4719"/>
    <w:rsid w:val="007E6C2A"/>
    <w:rsid w:val="007E7BF0"/>
    <w:rsid w:val="007E7F06"/>
    <w:rsid w:val="007F1866"/>
    <w:rsid w:val="007F2E37"/>
    <w:rsid w:val="007F3217"/>
    <w:rsid w:val="007F3DA4"/>
    <w:rsid w:val="007F513C"/>
    <w:rsid w:val="007F6B36"/>
    <w:rsid w:val="007F77EF"/>
    <w:rsid w:val="007F7895"/>
    <w:rsid w:val="007F7A2F"/>
    <w:rsid w:val="00800124"/>
    <w:rsid w:val="00801864"/>
    <w:rsid w:val="00804201"/>
    <w:rsid w:val="00806832"/>
    <w:rsid w:val="00807B47"/>
    <w:rsid w:val="008111FD"/>
    <w:rsid w:val="008112F3"/>
    <w:rsid w:val="008114BA"/>
    <w:rsid w:val="008127DC"/>
    <w:rsid w:val="008137CA"/>
    <w:rsid w:val="00814123"/>
    <w:rsid w:val="0081465F"/>
    <w:rsid w:val="008156D3"/>
    <w:rsid w:val="00816F3C"/>
    <w:rsid w:val="0082160B"/>
    <w:rsid w:val="008238C0"/>
    <w:rsid w:val="00824A95"/>
    <w:rsid w:val="008262BD"/>
    <w:rsid w:val="008265F7"/>
    <w:rsid w:val="0082733F"/>
    <w:rsid w:val="00827A4D"/>
    <w:rsid w:val="00830288"/>
    <w:rsid w:val="00831C46"/>
    <w:rsid w:val="00832035"/>
    <w:rsid w:val="00832496"/>
    <w:rsid w:val="00833247"/>
    <w:rsid w:val="0083748B"/>
    <w:rsid w:val="00837AE4"/>
    <w:rsid w:val="00840445"/>
    <w:rsid w:val="00840982"/>
    <w:rsid w:val="00841D2F"/>
    <w:rsid w:val="00841E3B"/>
    <w:rsid w:val="00841E66"/>
    <w:rsid w:val="008425D9"/>
    <w:rsid w:val="00842A5E"/>
    <w:rsid w:val="00843D6F"/>
    <w:rsid w:val="008441BF"/>
    <w:rsid w:val="00844411"/>
    <w:rsid w:val="008444B7"/>
    <w:rsid w:val="008471A6"/>
    <w:rsid w:val="008476F9"/>
    <w:rsid w:val="008518E8"/>
    <w:rsid w:val="00853E53"/>
    <w:rsid w:val="008542DE"/>
    <w:rsid w:val="00854B3D"/>
    <w:rsid w:val="008560CC"/>
    <w:rsid w:val="008564CF"/>
    <w:rsid w:val="00856D18"/>
    <w:rsid w:val="0085766D"/>
    <w:rsid w:val="0086114D"/>
    <w:rsid w:val="00861453"/>
    <w:rsid w:val="00863258"/>
    <w:rsid w:val="00863DE3"/>
    <w:rsid w:val="00865B8F"/>
    <w:rsid w:val="00867015"/>
    <w:rsid w:val="00867041"/>
    <w:rsid w:val="00867AF3"/>
    <w:rsid w:val="00871255"/>
    <w:rsid w:val="00871B82"/>
    <w:rsid w:val="00872789"/>
    <w:rsid w:val="00874466"/>
    <w:rsid w:val="00874DFE"/>
    <w:rsid w:val="00875AC3"/>
    <w:rsid w:val="00875D15"/>
    <w:rsid w:val="00876EDD"/>
    <w:rsid w:val="0087733D"/>
    <w:rsid w:val="00883D8E"/>
    <w:rsid w:val="00885BC8"/>
    <w:rsid w:val="00886FFB"/>
    <w:rsid w:val="008879C7"/>
    <w:rsid w:val="00887D22"/>
    <w:rsid w:val="00891636"/>
    <w:rsid w:val="00892460"/>
    <w:rsid w:val="00894599"/>
    <w:rsid w:val="008963AD"/>
    <w:rsid w:val="008968AD"/>
    <w:rsid w:val="00896C77"/>
    <w:rsid w:val="008A0F17"/>
    <w:rsid w:val="008A15FB"/>
    <w:rsid w:val="008A2680"/>
    <w:rsid w:val="008A668B"/>
    <w:rsid w:val="008A6CAF"/>
    <w:rsid w:val="008A6F6C"/>
    <w:rsid w:val="008A7575"/>
    <w:rsid w:val="008A77BB"/>
    <w:rsid w:val="008A78A2"/>
    <w:rsid w:val="008A79B6"/>
    <w:rsid w:val="008B22F7"/>
    <w:rsid w:val="008B238A"/>
    <w:rsid w:val="008B282F"/>
    <w:rsid w:val="008B4B0C"/>
    <w:rsid w:val="008B6609"/>
    <w:rsid w:val="008B6DB9"/>
    <w:rsid w:val="008C1EC8"/>
    <w:rsid w:val="008C2BBE"/>
    <w:rsid w:val="008C4567"/>
    <w:rsid w:val="008C562D"/>
    <w:rsid w:val="008C6118"/>
    <w:rsid w:val="008C7B33"/>
    <w:rsid w:val="008D0061"/>
    <w:rsid w:val="008D2873"/>
    <w:rsid w:val="008D2C5F"/>
    <w:rsid w:val="008D2FF5"/>
    <w:rsid w:val="008D390F"/>
    <w:rsid w:val="008D462D"/>
    <w:rsid w:val="008D46AD"/>
    <w:rsid w:val="008D52B0"/>
    <w:rsid w:val="008D619E"/>
    <w:rsid w:val="008D6E01"/>
    <w:rsid w:val="008E0543"/>
    <w:rsid w:val="008E38FA"/>
    <w:rsid w:val="008E45EF"/>
    <w:rsid w:val="008E4971"/>
    <w:rsid w:val="008E5AE9"/>
    <w:rsid w:val="008F0906"/>
    <w:rsid w:val="008F0DBC"/>
    <w:rsid w:val="008F1798"/>
    <w:rsid w:val="008F1946"/>
    <w:rsid w:val="008F2D3F"/>
    <w:rsid w:val="008F2F1C"/>
    <w:rsid w:val="008F367F"/>
    <w:rsid w:val="008F40A5"/>
    <w:rsid w:val="008F5150"/>
    <w:rsid w:val="008F5E91"/>
    <w:rsid w:val="008F7666"/>
    <w:rsid w:val="009007F7"/>
    <w:rsid w:val="00902A8D"/>
    <w:rsid w:val="00904557"/>
    <w:rsid w:val="00906F23"/>
    <w:rsid w:val="00910D43"/>
    <w:rsid w:val="009113FA"/>
    <w:rsid w:val="009116F7"/>
    <w:rsid w:val="00914B60"/>
    <w:rsid w:val="00916E74"/>
    <w:rsid w:val="009174DA"/>
    <w:rsid w:val="009176D5"/>
    <w:rsid w:val="00917D26"/>
    <w:rsid w:val="00920769"/>
    <w:rsid w:val="009224D7"/>
    <w:rsid w:val="00923584"/>
    <w:rsid w:val="00925D9A"/>
    <w:rsid w:val="009267A8"/>
    <w:rsid w:val="00926A8F"/>
    <w:rsid w:val="00931093"/>
    <w:rsid w:val="00931387"/>
    <w:rsid w:val="00932231"/>
    <w:rsid w:val="00932E7A"/>
    <w:rsid w:val="00935B54"/>
    <w:rsid w:val="0093793B"/>
    <w:rsid w:val="0094244A"/>
    <w:rsid w:val="00944102"/>
    <w:rsid w:val="0094596D"/>
    <w:rsid w:val="00946B1E"/>
    <w:rsid w:val="00946BEE"/>
    <w:rsid w:val="00950DD8"/>
    <w:rsid w:val="00951036"/>
    <w:rsid w:val="009514FE"/>
    <w:rsid w:val="009517DC"/>
    <w:rsid w:val="00951DBA"/>
    <w:rsid w:val="009531EE"/>
    <w:rsid w:val="0095406A"/>
    <w:rsid w:val="00954FA1"/>
    <w:rsid w:val="0095503C"/>
    <w:rsid w:val="00955099"/>
    <w:rsid w:val="00960E0A"/>
    <w:rsid w:val="009618E3"/>
    <w:rsid w:val="0096253D"/>
    <w:rsid w:val="00964372"/>
    <w:rsid w:val="0096499C"/>
    <w:rsid w:val="00966AFF"/>
    <w:rsid w:val="00967188"/>
    <w:rsid w:val="00967466"/>
    <w:rsid w:val="00967667"/>
    <w:rsid w:val="0097133F"/>
    <w:rsid w:val="0097307D"/>
    <w:rsid w:val="00973578"/>
    <w:rsid w:val="00974C0F"/>
    <w:rsid w:val="009767D3"/>
    <w:rsid w:val="0097742D"/>
    <w:rsid w:val="00981D76"/>
    <w:rsid w:val="009827AF"/>
    <w:rsid w:val="00982FB3"/>
    <w:rsid w:val="0098385A"/>
    <w:rsid w:val="00983A54"/>
    <w:rsid w:val="00984354"/>
    <w:rsid w:val="00984AE0"/>
    <w:rsid w:val="0099087E"/>
    <w:rsid w:val="00991A69"/>
    <w:rsid w:val="00992F31"/>
    <w:rsid w:val="00993717"/>
    <w:rsid w:val="009948C2"/>
    <w:rsid w:val="00995768"/>
    <w:rsid w:val="00996A08"/>
    <w:rsid w:val="009A03A9"/>
    <w:rsid w:val="009A04B4"/>
    <w:rsid w:val="009A229A"/>
    <w:rsid w:val="009A37D6"/>
    <w:rsid w:val="009A3FE4"/>
    <w:rsid w:val="009A5B90"/>
    <w:rsid w:val="009A62D2"/>
    <w:rsid w:val="009A69E1"/>
    <w:rsid w:val="009A7371"/>
    <w:rsid w:val="009A762D"/>
    <w:rsid w:val="009B0153"/>
    <w:rsid w:val="009B218B"/>
    <w:rsid w:val="009B2352"/>
    <w:rsid w:val="009B2986"/>
    <w:rsid w:val="009B40E1"/>
    <w:rsid w:val="009B701A"/>
    <w:rsid w:val="009C01C5"/>
    <w:rsid w:val="009C02DF"/>
    <w:rsid w:val="009C38BA"/>
    <w:rsid w:val="009C43D6"/>
    <w:rsid w:val="009C446F"/>
    <w:rsid w:val="009C515C"/>
    <w:rsid w:val="009C54E7"/>
    <w:rsid w:val="009C5BE1"/>
    <w:rsid w:val="009C76F3"/>
    <w:rsid w:val="009D2725"/>
    <w:rsid w:val="009D314C"/>
    <w:rsid w:val="009D47C2"/>
    <w:rsid w:val="009D4A81"/>
    <w:rsid w:val="009D53D3"/>
    <w:rsid w:val="009D5C37"/>
    <w:rsid w:val="009D7E1B"/>
    <w:rsid w:val="009E08A6"/>
    <w:rsid w:val="009E379A"/>
    <w:rsid w:val="009E4175"/>
    <w:rsid w:val="009E573E"/>
    <w:rsid w:val="009E64DB"/>
    <w:rsid w:val="009E75D0"/>
    <w:rsid w:val="009E77D4"/>
    <w:rsid w:val="009F0FB8"/>
    <w:rsid w:val="009F1882"/>
    <w:rsid w:val="009F1A24"/>
    <w:rsid w:val="009F1FE9"/>
    <w:rsid w:val="009F2CBB"/>
    <w:rsid w:val="009F37AF"/>
    <w:rsid w:val="009F444F"/>
    <w:rsid w:val="009F4A8B"/>
    <w:rsid w:val="009F6707"/>
    <w:rsid w:val="009F6DAE"/>
    <w:rsid w:val="009F6E2D"/>
    <w:rsid w:val="009F7232"/>
    <w:rsid w:val="009F7547"/>
    <w:rsid w:val="00A00ADD"/>
    <w:rsid w:val="00A01E33"/>
    <w:rsid w:val="00A031EC"/>
    <w:rsid w:val="00A037BA"/>
    <w:rsid w:val="00A050F5"/>
    <w:rsid w:val="00A05808"/>
    <w:rsid w:val="00A05A1D"/>
    <w:rsid w:val="00A066FA"/>
    <w:rsid w:val="00A0740E"/>
    <w:rsid w:val="00A074AC"/>
    <w:rsid w:val="00A07FA0"/>
    <w:rsid w:val="00A11D7C"/>
    <w:rsid w:val="00A147E1"/>
    <w:rsid w:val="00A14C68"/>
    <w:rsid w:val="00A1631E"/>
    <w:rsid w:val="00A177C2"/>
    <w:rsid w:val="00A2145A"/>
    <w:rsid w:val="00A214A6"/>
    <w:rsid w:val="00A21FAC"/>
    <w:rsid w:val="00A227B7"/>
    <w:rsid w:val="00A2308F"/>
    <w:rsid w:val="00A25590"/>
    <w:rsid w:val="00A25BC0"/>
    <w:rsid w:val="00A26720"/>
    <w:rsid w:val="00A26F4F"/>
    <w:rsid w:val="00A27F4A"/>
    <w:rsid w:val="00A300D3"/>
    <w:rsid w:val="00A30433"/>
    <w:rsid w:val="00A333D2"/>
    <w:rsid w:val="00A33E0F"/>
    <w:rsid w:val="00A340B4"/>
    <w:rsid w:val="00A346CB"/>
    <w:rsid w:val="00A34CF5"/>
    <w:rsid w:val="00A36991"/>
    <w:rsid w:val="00A37063"/>
    <w:rsid w:val="00A40067"/>
    <w:rsid w:val="00A41866"/>
    <w:rsid w:val="00A41EBD"/>
    <w:rsid w:val="00A42DC4"/>
    <w:rsid w:val="00A45282"/>
    <w:rsid w:val="00A4560C"/>
    <w:rsid w:val="00A46F9B"/>
    <w:rsid w:val="00A47C97"/>
    <w:rsid w:val="00A47F13"/>
    <w:rsid w:val="00A50B95"/>
    <w:rsid w:val="00A513EF"/>
    <w:rsid w:val="00A53FB8"/>
    <w:rsid w:val="00A546E8"/>
    <w:rsid w:val="00A5495A"/>
    <w:rsid w:val="00A55250"/>
    <w:rsid w:val="00A559DC"/>
    <w:rsid w:val="00A57690"/>
    <w:rsid w:val="00A605A3"/>
    <w:rsid w:val="00A6125B"/>
    <w:rsid w:val="00A63385"/>
    <w:rsid w:val="00A637B3"/>
    <w:rsid w:val="00A6413C"/>
    <w:rsid w:val="00A65369"/>
    <w:rsid w:val="00A65FEE"/>
    <w:rsid w:val="00A71C61"/>
    <w:rsid w:val="00A71DB7"/>
    <w:rsid w:val="00A73C6B"/>
    <w:rsid w:val="00A74760"/>
    <w:rsid w:val="00A7527C"/>
    <w:rsid w:val="00A75716"/>
    <w:rsid w:val="00A76654"/>
    <w:rsid w:val="00A7753F"/>
    <w:rsid w:val="00A816C5"/>
    <w:rsid w:val="00A8227C"/>
    <w:rsid w:val="00A8246F"/>
    <w:rsid w:val="00A83F5B"/>
    <w:rsid w:val="00A844B9"/>
    <w:rsid w:val="00A85381"/>
    <w:rsid w:val="00A85747"/>
    <w:rsid w:val="00A85BB1"/>
    <w:rsid w:val="00A86FFB"/>
    <w:rsid w:val="00A90076"/>
    <w:rsid w:val="00A9149F"/>
    <w:rsid w:val="00A91765"/>
    <w:rsid w:val="00A94790"/>
    <w:rsid w:val="00A94B5A"/>
    <w:rsid w:val="00A95AA5"/>
    <w:rsid w:val="00A95F97"/>
    <w:rsid w:val="00A96640"/>
    <w:rsid w:val="00A972D2"/>
    <w:rsid w:val="00A976D3"/>
    <w:rsid w:val="00AA07CF"/>
    <w:rsid w:val="00AA428F"/>
    <w:rsid w:val="00AA4512"/>
    <w:rsid w:val="00AA5AA6"/>
    <w:rsid w:val="00AA6221"/>
    <w:rsid w:val="00AA6B1D"/>
    <w:rsid w:val="00AA7C9A"/>
    <w:rsid w:val="00AB1DF7"/>
    <w:rsid w:val="00AB1FA0"/>
    <w:rsid w:val="00AB201A"/>
    <w:rsid w:val="00AB2CFD"/>
    <w:rsid w:val="00AB338C"/>
    <w:rsid w:val="00AB389E"/>
    <w:rsid w:val="00AB5FEB"/>
    <w:rsid w:val="00AC0156"/>
    <w:rsid w:val="00AC1B8B"/>
    <w:rsid w:val="00AC2011"/>
    <w:rsid w:val="00AC37DE"/>
    <w:rsid w:val="00AC5334"/>
    <w:rsid w:val="00AC550C"/>
    <w:rsid w:val="00AC603B"/>
    <w:rsid w:val="00AC6427"/>
    <w:rsid w:val="00AC7436"/>
    <w:rsid w:val="00AD4968"/>
    <w:rsid w:val="00AD6755"/>
    <w:rsid w:val="00AD7A59"/>
    <w:rsid w:val="00AE0666"/>
    <w:rsid w:val="00AE0E5D"/>
    <w:rsid w:val="00AE1219"/>
    <w:rsid w:val="00AE16D3"/>
    <w:rsid w:val="00AE25E1"/>
    <w:rsid w:val="00AE3943"/>
    <w:rsid w:val="00AF01BE"/>
    <w:rsid w:val="00AF062D"/>
    <w:rsid w:val="00AF0940"/>
    <w:rsid w:val="00AF0FA6"/>
    <w:rsid w:val="00AF103F"/>
    <w:rsid w:val="00AF129F"/>
    <w:rsid w:val="00AF1C45"/>
    <w:rsid w:val="00AF2C89"/>
    <w:rsid w:val="00AF40BC"/>
    <w:rsid w:val="00AF4855"/>
    <w:rsid w:val="00AF509E"/>
    <w:rsid w:val="00AF6461"/>
    <w:rsid w:val="00AF79AD"/>
    <w:rsid w:val="00AF79D5"/>
    <w:rsid w:val="00AF7AFA"/>
    <w:rsid w:val="00B009E7"/>
    <w:rsid w:val="00B02FA5"/>
    <w:rsid w:val="00B06427"/>
    <w:rsid w:val="00B0664D"/>
    <w:rsid w:val="00B067F8"/>
    <w:rsid w:val="00B06FD3"/>
    <w:rsid w:val="00B0767B"/>
    <w:rsid w:val="00B10EC1"/>
    <w:rsid w:val="00B12163"/>
    <w:rsid w:val="00B126B0"/>
    <w:rsid w:val="00B13DA5"/>
    <w:rsid w:val="00B13E9F"/>
    <w:rsid w:val="00B16E0A"/>
    <w:rsid w:val="00B208B8"/>
    <w:rsid w:val="00B211CE"/>
    <w:rsid w:val="00B21AF0"/>
    <w:rsid w:val="00B231D8"/>
    <w:rsid w:val="00B23B98"/>
    <w:rsid w:val="00B25750"/>
    <w:rsid w:val="00B26D34"/>
    <w:rsid w:val="00B26EC8"/>
    <w:rsid w:val="00B31675"/>
    <w:rsid w:val="00B32627"/>
    <w:rsid w:val="00B32A41"/>
    <w:rsid w:val="00B32B0E"/>
    <w:rsid w:val="00B32B36"/>
    <w:rsid w:val="00B32CA2"/>
    <w:rsid w:val="00B335D1"/>
    <w:rsid w:val="00B33A16"/>
    <w:rsid w:val="00B34EC5"/>
    <w:rsid w:val="00B35A7B"/>
    <w:rsid w:val="00B36C5A"/>
    <w:rsid w:val="00B4027C"/>
    <w:rsid w:val="00B40951"/>
    <w:rsid w:val="00B41E43"/>
    <w:rsid w:val="00B439AB"/>
    <w:rsid w:val="00B44DE0"/>
    <w:rsid w:val="00B46340"/>
    <w:rsid w:val="00B4691F"/>
    <w:rsid w:val="00B46C1A"/>
    <w:rsid w:val="00B470CB"/>
    <w:rsid w:val="00B4742D"/>
    <w:rsid w:val="00B4757D"/>
    <w:rsid w:val="00B47FE8"/>
    <w:rsid w:val="00B50FAA"/>
    <w:rsid w:val="00B51192"/>
    <w:rsid w:val="00B52D73"/>
    <w:rsid w:val="00B53996"/>
    <w:rsid w:val="00B54A27"/>
    <w:rsid w:val="00B54E15"/>
    <w:rsid w:val="00B55681"/>
    <w:rsid w:val="00B57048"/>
    <w:rsid w:val="00B603A2"/>
    <w:rsid w:val="00B6121E"/>
    <w:rsid w:val="00B638FD"/>
    <w:rsid w:val="00B64E15"/>
    <w:rsid w:val="00B65FAD"/>
    <w:rsid w:val="00B674F0"/>
    <w:rsid w:val="00B6758E"/>
    <w:rsid w:val="00B67A0C"/>
    <w:rsid w:val="00B67E30"/>
    <w:rsid w:val="00B71284"/>
    <w:rsid w:val="00B718F7"/>
    <w:rsid w:val="00B72510"/>
    <w:rsid w:val="00B7357D"/>
    <w:rsid w:val="00B76AF8"/>
    <w:rsid w:val="00B77423"/>
    <w:rsid w:val="00B80BE4"/>
    <w:rsid w:val="00B81417"/>
    <w:rsid w:val="00B816A0"/>
    <w:rsid w:val="00B822BA"/>
    <w:rsid w:val="00B829AE"/>
    <w:rsid w:val="00B82D4A"/>
    <w:rsid w:val="00B83184"/>
    <w:rsid w:val="00B83D85"/>
    <w:rsid w:val="00B85D0E"/>
    <w:rsid w:val="00B87540"/>
    <w:rsid w:val="00B91450"/>
    <w:rsid w:val="00B9363F"/>
    <w:rsid w:val="00B93F95"/>
    <w:rsid w:val="00B955E0"/>
    <w:rsid w:val="00B95771"/>
    <w:rsid w:val="00B96DBE"/>
    <w:rsid w:val="00BA056B"/>
    <w:rsid w:val="00BA0E13"/>
    <w:rsid w:val="00BA171B"/>
    <w:rsid w:val="00BA2B32"/>
    <w:rsid w:val="00BA4CE7"/>
    <w:rsid w:val="00BA5653"/>
    <w:rsid w:val="00BA6A26"/>
    <w:rsid w:val="00BB0523"/>
    <w:rsid w:val="00BB0700"/>
    <w:rsid w:val="00BB277F"/>
    <w:rsid w:val="00BB394A"/>
    <w:rsid w:val="00BB56C6"/>
    <w:rsid w:val="00BB62E4"/>
    <w:rsid w:val="00BB653B"/>
    <w:rsid w:val="00BB6716"/>
    <w:rsid w:val="00BB7ADC"/>
    <w:rsid w:val="00BC1355"/>
    <w:rsid w:val="00BC1418"/>
    <w:rsid w:val="00BC2A3B"/>
    <w:rsid w:val="00BC31F0"/>
    <w:rsid w:val="00BC4529"/>
    <w:rsid w:val="00BC50B6"/>
    <w:rsid w:val="00BC6C03"/>
    <w:rsid w:val="00BD0D99"/>
    <w:rsid w:val="00BD1358"/>
    <w:rsid w:val="00BD182F"/>
    <w:rsid w:val="00BD1CC1"/>
    <w:rsid w:val="00BD47F8"/>
    <w:rsid w:val="00BD6B51"/>
    <w:rsid w:val="00BE09D5"/>
    <w:rsid w:val="00BE0F73"/>
    <w:rsid w:val="00BE21F6"/>
    <w:rsid w:val="00BE2891"/>
    <w:rsid w:val="00BE6D13"/>
    <w:rsid w:val="00BE7FB0"/>
    <w:rsid w:val="00BF0F17"/>
    <w:rsid w:val="00BF24BF"/>
    <w:rsid w:val="00BF3D2E"/>
    <w:rsid w:val="00BF4659"/>
    <w:rsid w:val="00BF4709"/>
    <w:rsid w:val="00BF4C34"/>
    <w:rsid w:val="00BF5126"/>
    <w:rsid w:val="00BF5A7F"/>
    <w:rsid w:val="00C01838"/>
    <w:rsid w:val="00C030BB"/>
    <w:rsid w:val="00C03504"/>
    <w:rsid w:val="00C0493B"/>
    <w:rsid w:val="00C05CF5"/>
    <w:rsid w:val="00C05FBC"/>
    <w:rsid w:val="00C062ED"/>
    <w:rsid w:val="00C06F0E"/>
    <w:rsid w:val="00C074A8"/>
    <w:rsid w:val="00C10E98"/>
    <w:rsid w:val="00C12634"/>
    <w:rsid w:val="00C12B79"/>
    <w:rsid w:val="00C16B51"/>
    <w:rsid w:val="00C175D2"/>
    <w:rsid w:val="00C17DA6"/>
    <w:rsid w:val="00C21A34"/>
    <w:rsid w:val="00C21F52"/>
    <w:rsid w:val="00C229FD"/>
    <w:rsid w:val="00C23552"/>
    <w:rsid w:val="00C26181"/>
    <w:rsid w:val="00C26617"/>
    <w:rsid w:val="00C30576"/>
    <w:rsid w:val="00C30673"/>
    <w:rsid w:val="00C33984"/>
    <w:rsid w:val="00C33E5B"/>
    <w:rsid w:val="00C36590"/>
    <w:rsid w:val="00C36AD3"/>
    <w:rsid w:val="00C371A9"/>
    <w:rsid w:val="00C374AF"/>
    <w:rsid w:val="00C40666"/>
    <w:rsid w:val="00C432BB"/>
    <w:rsid w:val="00C447FD"/>
    <w:rsid w:val="00C44CE2"/>
    <w:rsid w:val="00C44DA4"/>
    <w:rsid w:val="00C45516"/>
    <w:rsid w:val="00C45E42"/>
    <w:rsid w:val="00C46D79"/>
    <w:rsid w:val="00C46E84"/>
    <w:rsid w:val="00C47ED7"/>
    <w:rsid w:val="00C51ABD"/>
    <w:rsid w:val="00C53FB9"/>
    <w:rsid w:val="00C573AB"/>
    <w:rsid w:val="00C606F4"/>
    <w:rsid w:val="00C61B59"/>
    <w:rsid w:val="00C638DC"/>
    <w:rsid w:val="00C639D7"/>
    <w:rsid w:val="00C64355"/>
    <w:rsid w:val="00C6461F"/>
    <w:rsid w:val="00C65737"/>
    <w:rsid w:val="00C65E91"/>
    <w:rsid w:val="00C65EEE"/>
    <w:rsid w:val="00C663ED"/>
    <w:rsid w:val="00C6694E"/>
    <w:rsid w:val="00C707E3"/>
    <w:rsid w:val="00C7089E"/>
    <w:rsid w:val="00C70B17"/>
    <w:rsid w:val="00C70DA9"/>
    <w:rsid w:val="00C70EE5"/>
    <w:rsid w:val="00C72D3E"/>
    <w:rsid w:val="00C757C8"/>
    <w:rsid w:val="00C76004"/>
    <w:rsid w:val="00C774AF"/>
    <w:rsid w:val="00C77F19"/>
    <w:rsid w:val="00C8098C"/>
    <w:rsid w:val="00C8215D"/>
    <w:rsid w:val="00C83B70"/>
    <w:rsid w:val="00C841E2"/>
    <w:rsid w:val="00C8546A"/>
    <w:rsid w:val="00C85C9C"/>
    <w:rsid w:val="00C86059"/>
    <w:rsid w:val="00C86C4A"/>
    <w:rsid w:val="00C9021B"/>
    <w:rsid w:val="00C909B1"/>
    <w:rsid w:val="00C919AE"/>
    <w:rsid w:val="00C94CEC"/>
    <w:rsid w:val="00CA09B3"/>
    <w:rsid w:val="00CA1E67"/>
    <w:rsid w:val="00CA24FD"/>
    <w:rsid w:val="00CA382D"/>
    <w:rsid w:val="00CA55B5"/>
    <w:rsid w:val="00CB2E73"/>
    <w:rsid w:val="00CB369F"/>
    <w:rsid w:val="00CB4D8B"/>
    <w:rsid w:val="00CB76D8"/>
    <w:rsid w:val="00CC0171"/>
    <w:rsid w:val="00CC086D"/>
    <w:rsid w:val="00CC116F"/>
    <w:rsid w:val="00CC14E8"/>
    <w:rsid w:val="00CC2290"/>
    <w:rsid w:val="00CC324A"/>
    <w:rsid w:val="00CC3A80"/>
    <w:rsid w:val="00CC5F73"/>
    <w:rsid w:val="00CC696F"/>
    <w:rsid w:val="00CD02B7"/>
    <w:rsid w:val="00CD191E"/>
    <w:rsid w:val="00CD2654"/>
    <w:rsid w:val="00CD4740"/>
    <w:rsid w:val="00CD5850"/>
    <w:rsid w:val="00CD652E"/>
    <w:rsid w:val="00CE19AD"/>
    <w:rsid w:val="00CE20F8"/>
    <w:rsid w:val="00CE2D0C"/>
    <w:rsid w:val="00CE354D"/>
    <w:rsid w:val="00CE44D8"/>
    <w:rsid w:val="00CE487F"/>
    <w:rsid w:val="00CE51F2"/>
    <w:rsid w:val="00CE7537"/>
    <w:rsid w:val="00CE771B"/>
    <w:rsid w:val="00CF1BC4"/>
    <w:rsid w:val="00CF284E"/>
    <w:rsid w:val="00CF4A1D"/>
    <w:rsid w:val="00CF654E"/>
    <w:rsid w:val="00CF745D"/>
    <w:rsid w:val="00D00072"/>
    <w:rsid w:val="00D01425"/>
    <w:rsid w:val="00D03582"/>
    <w:rsid w:val="00D0624A"/>
    <w:rsid w:val="00D06252"/>
    <w:rsid w:val="00D06D9E"/>
    <w:rsid w:val="00D06DE8"/>
    <w:rsid w:val="00D076A5"/>
    <w:rsid w:val="00D0791D"/>
    <w:rsid w:val="00D10184"/>
    <w:rsid w:val="00D12AD1"/>
    <w:rsid w:val="00D150DC"/>
    <w:rsid w:val="00D15DB8"/>
    <w:rsid w:val="00D169B9"/>
    <w:rsid w:val="00D16F0F"/>
    <w:rsid w:val="00D207F0"/>
    <w:rsid w:val="00D20C0F"/>
    <w:rsid w:val="00D20DFB"/>
    <w:rsid w:val="00D2222A"/>
    <w:rsid w:val="00D22B44"/>
    <w:rsid w:val="00D258DF"/>
    <w:rsid w:val="00D279C5"/>
    <w:rsid w:val="00D30C78"/>
    <w:rsid w:val="00D30CB3"/>
    <w:rsid w:val="00D326E0"/>
    <w:rsid w:val="00D32779"/>
    <w:rsid w:val="00D334E5"/>
    <w:rsid w:val="00D3369B"/>
    <w:rsid w:val="00D337A2"/>
    <w:rsid w:val="00D359D1"/>
    <w:rsid w:val="00D35D99"/>
    <w:rsid w:val="00D35DDD"/>
    <w:rsid w:val="00D36147"/>
    <w:rsid w:val="00D4047F"/>
    <w:rsid w:val="00D41078"/>
    <w:rsid w:val="00D4235F"/>
    <w:rsid w:val="00D45DF1"/>
    <w:rsid w:val="00D460CB"/>
    <w:rsid w:val="00D4619B"/>
    <w:rsid w:val="00D4714F"/>
    <w:rsid w:val="00D50866"/>
    <w:rsid w:val="00D50BCE"/>
    <w:rsid w:val="00D50C46"/>
    <w:rsid w:val="00D50E40"/>
    <w:rsid w:val="00D510E7"/>
    <w:rsid w:val="00D513E4"/>
    <w:rsid w:val="00D51478"/>
    <w:rsid w:val="00D51BA2"/>
    <w:rsid w:val="00D51E12"/>
    <w:rsid w:val="00D521F7"/>
    <w:rsid w:val="00D534FE"/>
    <w:rsid w:val="00D55795"/>
    <w:rsid w:val="00D577EF"/>
    <w:rsid w:val="00D62B20"/>
    <w:rsid w:val="00D65BC4"/>
    <w:rsid w:val="00D66113"/>
    <w:rsid w:val="00D66716"/>
    <w:rsid w:val="00D70C75"/>
    <w:rsid w:val="00D72DB5"/>
    <w:rsid w:val="00D7463A"/>
    <w:rsid w:val="00D76556"/>
    <w:rsid w:val="00D76E8B"/>
    <w:rsid w:val="00D77A6E"/>
    <w:rsid w:val="00D839DC"/>
    <w:rsid w:val="00D84414"/>
    <w:rsid w:val="00D84CF7"/>
    <w:rsid w:val="00D84F6B"/>
    <w:rsid w:val="00D8547C"/>
    <w:rsid w:val="00D856DA"/>
    <w:rsid w:val="00D86525"/>
    <w:rsid w:val="00D866B8"/>
    <w:rsid w:val="00D878BE"/>
    <w:rsid w:val="00D90632"/>
    <w:rsid w:val="00D915CB"/>
    <w:rsid w:val="00D928C4"/>
    <w:rsid w:val="00D93B60"/>
    <w:rsid w:val="00D93E0A"/>
    <w:rsid w:val="00D949E1"/>
    <w:rsid w:val="00D949E8"/>
    <w:rsid w:val="00D94F85"/>
    <w:rsid w:val="00D958FB"/>
    <w:rsid w:val="00D9627A"/>
    <w:rsid w:val="00DA06E0"/>
    <w:rsid w:val="00DA139E"/>
    <w:rsid w:val="00DA1E5F"/>
    <w:rsid w:val="00DA2709"/>
    <w:rsid w:val="00DA4399"/>
    <w:rsid w:val="00DA5AD8"/>
    <w:rsid w:val="00DB3F20"/>
    <w:rsid w:val="00DB46F4"/>
    <w:rsid w:val="00DB5EBB"/>
    <w:rsid w:val="00DB66FB"/>
    <w:rsid w:val="00DB6A53"/>
    <w:rsid w:val="00DC0F31"/>
    <w:rsid w:val="00DC1D77"/>
    <w:rsid w:val="00DC1F63"/>
    <w:rsid w:val="00DC3951"/>
    <w:rsid w:val="00DC6332"/>
    <w:rsid w:val="00DC6C2A"/>
    <w:rsid w:val="00DC6D0C"/>
    <w:rsid w:val="00DC71B5"/>
    <w:rsid w:val="00DC740D"/>
    <w:rsid w:val="00DC75A0"/>
    <w:rsid w:val="00DC7997"/>
    <w:rsid w:val="00DD3A6E"/>
    <w:rsid w:val="00DD3D4E"/>
    <w:rsid w:val="00DD4404"/>
    <w:rsid w:val="00DD6055"/>
    <w:rsid w:val="00DD6632"/>
    <w:rsid w:val="00DD7543"/>
    <w:rsid w:val="00DD7D5D"/>
    <w:rsid w:val="00DE0010"/>
    <w:rsid w:val="00DE036F"/>
    <w:rsid w:val="00DE1A70"/>
    <w:rsid w:val="00DE3A60"/>
    <w:rsid w:val="00DE42C1"/>
    <w:rsid w:val="00DE4B17"/>
    <w:rsid w:val="00DE596D"/>
    <w:rsid w:val="00DE6B6B"/>
    <w:rsid w:val="00DE727E"/>
    <w:rsid w:val="00DE7381"/>
    <w:rsid w:val="00DE772F"/>
    <w:rsid w:val="00DF042F"/>
    <w:rsid w:val="00DF09A4"/>
    <w:rsid w:val="00DF1762"/>
    <w:rsid w:val="00DF34FB"/>
    <w:rsid w:val="00DF3C5F"/>
    <w:rsid w:val="00DF3FBB"/>
    <w:rsid w:val="00DF42C2"/>
    <w:rsid w:val="00DF42D6"/>
    <w:rsid w:val="00DF69BC"/>
    <w:rsid w:val="00E0212D"/>
    <w:rsid w:val="00E0256F"/>
    <w:rsid w:val="00E0371C"/>
    <w:rsid w:val="00E03A11"/>
    <w:rsid w:val="00E045DD"/>
    <w:rsid w:val="00E05794"/>
    <w:rsid w:val="00E05982"/>
    <w:rsid w:val="00E05A95"/>
    <w:rsid w:val="00E06347"/>
    <w:rsid w:val="00E067CF"/>
    <w:rsid w:val="00E07A5B"/>
    <w:rsid w:val="00E1049A"/>
    <w:rsid w:val="00E11314"/>
    <w:rsid w:val="00E114EB"/>
    <w:rsid w:val="00E122F0"/>
    <w:rsid w:val="00E13593"/>
    <w:rsid w:val="00E135A1"/>
    <w:rsid w:val="00E1616E"/>
    <w:rsid w:val="00E17095"/>
    <w:rsid w:val="00E1789E"/>
    <w:rsid w:val="00E17AB2"/>
    <w:rsid w:val="00E213E1"/>
    <w:rsid w:val="00E21A63"/>
    <w:rsid w:val="00E21ADA"/>
    <w:rsid w:val="00E231CF"/>
    <w:rsid w:val="00E23358"/>
    <w:rsid w:val="00E23E40"/>
    <w:rsid w:val="00E24469"/>
    <w:rsid w:val="00E24C69"/>
    <w:rsid w:val="00E25397"/>
    <w:rsid w:val="00E2718C"/>
    <w:rsid w:val="00E318AE"/>
    <w:rsid w:val="00E3278D"/>
    <w:rsid w:val="00E40D8F"/>
    <w:rsid w:val="00E4380F"/>
    <w:rsid w:val="00E44345"/>
    <w:rsid w:val="00E45376"/>
    <w:rsid w:val="00E464AC"/>
    <w:rsid w:val="00E469DF"/>
    <w:rsid w:val="00E46D4C"/>
    <w:rsid w:val="00E50796"/>
    <w:rsid w:val="00E50F13"/>
    <w:rsid w:val="00E51086"/>
    <w:rsid w:val="00E53B98"/>
    <w:rsid w:val="00E601C1"/>
    <w:rsid w:val="00E60985"/>
    <w:rsid w:val="00E6372A"/>
    <w:rsid w:val="00E64CEE"/>
    <w:rsid w:val="00E64DD4"/>
    <w:rsid w:val="00E64FB9"/>
    <w:rsid w:val="00E67362"/>
    <w:rsid w:val="00E678D1"/>
    <w:rsid w:val="00E67AE8"/>
    <w:rsid w:val="00E67FDE"/>
    <w:rsid w:val="00E70B89"/>
    <w:rsid w:val="00E714E4"/>
    <w:rsid w:val="00E719CF"/>
    <w:rsid w:val="00E73FEE"/>
    <w:rsid w:val="00E75BC6"/>
    <w:rsid w:val="00E75D77"/>
    <w:rsid w:val="00E767FE"/>
    <w:rsid w:val="00E80620"/>
    <w:rsid w:val="00E81519"/>
    <w:rsid w:val="00E83238"/>
    <w:rsid w:val="00E83686"/>
    <w:rsid w:val="00E911CC"/>
    <w:rsid w:val="00E91CC3"/>
    <w:rsid w:val="00E92395"/>
    <w:rsid w:val="00E9589A"/>
    <w:rsid w:val="00E958BC"/>
    <w:rsid w:val="00E970AE"/>
    <w:rsid w:val="00EA0DE4"/>
    <w:rsid w:val="00EA1019"/>
    <w:rsid w:val="00EA1541"/>
    <w:rsid w:val="00EA2A4D"/>
    <w:rsid w:val="00EA51F0"/>
    <w:rsid w:val="00EB2DE6"/>
    <w:rsid w:val="00EB3942"/>
    <w:rsid w:val="00EB3E07"/>
    <w:rsid w:val="00EB41F0"/>
    <w:rsid w:val="00EB50ED"/>
    <w:rsid w:val="00EB53EB"/>
    <w:rsid w:val="00EB56A9"/>
    <w:rsid w:val="00EB5FC5"/>
    <w:rsid w:val="00EB6E33"/>
    <w:rsid w:val="00EB726A"/>
    <w:rsid w:val="00EC080B"/>
    <w:rsid w:val="00EC1440"/>
    <w:rsid w:val="00EC1BFF"/>
    <w:rsid w:val="00EC22B3"/>
    <w:rsid w:val="00EC3660"/>
    <w:rsid w:val="00EC3E05"/>
    <w:rsid w:val="00EC467A"/>
    <w:rsid w:val="00EC5B1C"/>
    <w:rsid w:val="00EC7632"/>
    <w:rsid w:val="00EC7707"/>
    <w:rsid w:val="00EC7A72"/>
    <w:rsid w:val="00ED16BA"/>
    <w:rsid w:val="00ED5661"/>
    <w:rsid w:val="00ED5DE4"/>
    <w:rsid w:val="00ED7F58"/>
    <w:rsid w:val="00EE09A3"/>
    <w:rsid w:val="00EE1747"/>
    <w:rsid w:val="00EE17D3"/>
    <w:rsid w:val="00EE1E5F"/>
    <w:rsid w:val="00EE4A6E"/>
    <w:rsid w:val="00EE61C0"/>
    <w:rsid w:val="00EE7008"/>
    <w:rsid w:val="00EE7658"/>
    <w:rsid w:val="00EE781F"/>
    <w:rsid w:val="00EE7D67"/>
    <w:rsid w:val="00EF0B8E"/>
    <w:rsid w:val="00EF1488"/>
    <w:rsid w:val="00EF1E4E"/>
    <w:rsid w:val="00EF33E8"/>
    <w:rsid w:val="00EF64B1"/>
    <w:rsid w:val="00F0019B"/>
    <w:rsid w:val="00F01653"/>
    <w:rsid w:val="00F0179C"/>
    <w:rsid w:val="00F02955"/>
    <w:rsid w:val="00F02C23"/>
    <w:rsid w:val="00F03869"/>
    <w:rsid w:val="00F043C7"/>
    <w:rsid w:val="00F05151"/>
    <w:rsid w:val="00F059C5"/>
    <w:rsid w:val="00F06B7B"/>
    <w:rsid w:val="00F1009C"/>
    <w:rsid w:val="00F1049F"/>
    <w:rsid w:val="00F105EA"/>
    <w:rsid w:val="00F12B3F"/>
    <w:rsid w:val="00F16B88"/>
    <w:rsid w:val="00F16E05"/>
    <w:rsid w:val="00F20252"/>
    <w:rsid w:val="00F2118D"/>
    <w:rsid w:val="00F21F7A"/>
    <w:rsid w:val="00F22768"/>
    <w:rsid w:val="00F227DC"/>
    <w:rsid w:val="00F2317A"/>
    <w:rsid w:val="00F23960"/>
    <w:rsid w:val="00F26BA7"/>
    <w:rsid w:val="00F27480"/>
    <w:rsid w:val="00F302BE"/>
    <w:rsid w:val="00F3064D"/>
    <w:rsid w:val="00F329F1"/>
    <w:rsid w:val="00F33CD9"/>
    <w:rsid w:val="00F351B1"/>
    <w:rsid w:val="00F35506"/>
    <w:rsid w:val="00F36DB4"/>
    <w:rsid w:val="00F3700B"/>
    <w:rsid w:val="00F37C62"/>
    <w:rsid w:val="00F40523"/>
    <w:rsid w:val="00F4208E"/>
    <w:rsid w:val="00F43E03"/>
    <w:rsid w:val="00F4789C"/>
    <w:rsid w:val="00F50423"/>
    <w:rsid w:val="00F535A3"/>
    <w:rsid w:val="00F5480E"/>
    <w:rsid w:val="00F56EF0"/>
    <w:rsid w:val="00F574D1"/>
    <w:rsid w:val="00F60279"/>
    <w:rsid w:val="00F638C9"/>
    <w:rsid w:val="00F6595F"/>
    <w:rsid w:val="00F65A3F"/>
    <w:rsid w:val="00F665FE"/>
    <w:rsid w:val="00F66826"/>
    <w:rsid w:val="00F674C7"/>
    <w:rsid w:val="00F675F3"/>
    <w:rsid w:val="00F70A03"/>
    <w:rsid w:val="00F71E2C"/>
    <w:rsid w:val="00F720B4"/>
    <w:rsid w:val="00F72215"/>
    <w:rsid w:val="00F723E6"/>
    <w:rsid w:val="00F72E1B"/>
    <w:rsid w:val="00F72EA4"/>
    <w:rsid w:val="00F730FD"/>
    <w:rsid w:val="00F7336A"/>
    <w:rsid w:val="00F737CC"/>
    <w:rsid w:val="00F741ED"/>
    <w:rsid w:val="00F74466"/>
    <w:rsid w:val="00F75F9D"/>
    <w:rsid w:val="00F7775E"/>
    <w:rsid w:val="00F82AE8"/>
    <w:rsid w:val="00F83945"/>
    <w:rsid w:val="00F83A7E"/>
    <w:rsid w:val="00F84196"/>
    <w:rsid w:val="00F84E39"/>
    <w:rsid w:val="00F84FBB"/>
    <w:rsid w:val="00F87089"/>
    <w:rsid w:val="00F870EA"/>
    <w:rsid w:val="00F87410"/>
    <w:rsid w:val="00F875F4"/>
    <w:rsid w:val="00F879DB"/>
    <w:rsid w:val="00F91866"/>
    <w:rsid w:val="00F91B54"/>
    <w:rsid w:val="00F92B3B"/>
    <w:rsid w:val="00F93277"/>
    <w:rsid w:val="00F938BD"/>
    <w:rsid w:val="00F94E00"/>
    <w:rsid w:val="00F9738B"/>
    <w:rsid w:val="00F97E3A"/>
    <w:rsid w:val="00FA093A"/>
    <w:rsid w:val="00FA22F6"/>
    <w:rsid w:val="00FA315F"/>
    <w:rsid w:val="00FA31CF"/>
    <w:rsid w:val="00FA32FE"/>
    <w:rsid w:val="00FA339A"/>
    <w:rsid w:val="00FA3ED5"/>
    <w:rsid w:val="00FA50B1"/>
    <w:rsid w:val="00FA5BA4"/>
    <w:rsid w:val="00FA6451"/>
    <w:rsid w:val="00FB388F"/>
    <w:rsid w:val="00FB3A30"/>
    <w:rsid w:val="00FB464A"/>
    <w:rsid w:val="00FB4FA1"/>
    <w:rsid w:val="00FB525C"/>
    <w:rsid w:val="00FB6061"/>
    <w:rsid w:val="00FB66CF"/>
    <w:rsid w:val="00FB7288"/>
    <w:rsid w:val="00FC0331"/>
    <w:rsid w:val="00FC103F"/>
    <w:rsid w:val="00FC2115"/>
    <w:rsid w:val="00FC570B"/>
    <w:rsid w:val="00FC58FB"/>
    <w:rsid w:val="00FC67E0"/>
    <w:rsid w:val="00FD268C"/>
    <w:rsid w:val="00FD3088"/>
    <w:rsid w:val="00FD3DEA"/>
    <w:rsid w:val="00FD60FD"/>
    <w:rsid w:val="00FD61DB"/>
    <w:rsid w:val="00FD6332"/>
    <w:rsid w:val="00FD729E"/>
    <w:rsid w:val="00FE16C4"/>
    <w:rsid w:val="00FE1960"/>
    <w:rsid w:val="00FE1E5E"/>
    <w:rsid w:val="00FE210C"/>
    <w:rsid w:val="00FE3735"/>
    <w:rsid w:val="00FE44D6"/>
    <w:rsid w:val="00FE56F1"/>
    <w:rsid w:val="00FE77DA"/>
    <w:rsid w:val="00FF164D"/>
    <w:rsid w:val="00FF1CB4"/>
    <w:rsid w:val="00FF2D23"/>
    <w:rsid w:val="00FF3030"/>
    <w:rsid w:val="00FF37D5"/>
    <w:rsid w:val="00FF5818"/>
    <w:rsid w:val="00FF7839"/>
    <w:rsid w:val="00FF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84C"/>
  <w15:chartTrackingRefBased/>
  <w15:docId w15:val="{C8002A6E-63DE-419B-9152-9B83CCCD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40D"/>
    <w:pPr>
      <w:spacing w:after="200" w:line="276" w:lineRule="auto"/>
    </w:pPr>
    <w:rPr>
      <w:sz w:val="22"/>
      <w:szCs w:val="22"/>
      <w:lang w:eastAsia="en-US"/>
    </w:rPr>
  </w:style>
  <w:style w:type="paragraph" w:styleId="Heading1">
    <w:name w:val="heading 1"/>
    <w:basedOn w:val="Normal"/>
    <w:next w:val="Normal"/>
    <w:link w:val="Heading1Char"/>
    <w:uiPriority w:val="9"/>
    <w:qFormat/>
    <w:rsid w:val="00F059C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059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127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D46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A663C"/>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73D2"/>
  </w:style>
  <w:style w:type="paragraph" w:styleId="FootnoteText">
    <w:name w:val="footnote text"/>
    <w:basedOn w:val="Normal"/>
    <w:link w:val="FootnoteTextChar"/>
    <w:uiPriority w:val="99"/>
    <w:unhideWhenUsed/>
    <w:rsid w:val="005C73D2"/>
    <w:pPr>
      <w:spacing w:after="0" w:line="240" w:lineRule="auto"/>
    </w:pPr>
    <w:rPr>
      <w:sz w:val="20"/>
      <w:szCs w:val="20"/>
    </w:rPr>
  </w:style>
  <w:style w:type="character" w:customStyle="1" w:styleId="FootnoteTextChar">
    <w:name w:val="Footnote Text Char"/>
    <w:link w:val="FootnoteText"/>
    <w:uiPriority w:val="99"/>
    <w:rsid w:val="005C73D2"/>
    <w:rPr>
      <w:sz w:val="20"/>
      <w:szCs w:val="20"/>
    </w:rPr>
  </w:style>
  <w:style w:type="character" w:styleId="FootnoteReference">
    <w:name w:val="footnote reference"/>
    <w:uiPriority w:val="99"/>
    <w:semiHidden/>
    <w:unhideWhenUsed/>
    <w:rsid w:val="005C73D2"/>
    <w:rPr>
      <w:vertAlign w:val="superscript"/>
    </w:rPr>
  </w:style>
  <w:style w:type="character" w:styleId="Hyperlink">
    <w:name w:val="Hyperlink"/>
    <w:uiPriority w:val="99"/>
    <w:unhideWhenUsed/>
    <w:rsid w:val="002F1C2F"/>
    <w:rPr>
      <w:color w:val="0000FF"/>
      <w:u w:val="single"/>
    </w:rPr>
  </w:style>
  <w:style w:type="character" w:styleId="FollowedHyperlink">
    <w:name w:val="FollowedHyperlink"/>
    <w:uiPriority w:val="99"/>
    <w:semiHidden/>
    <w:unhideWhenUsed/>
    <w:rsid w:val="002F1C2F"/>
    <w:rPr>
      <w:color w:val="800080"/>
      <w:u w:val="single"/>
    </w:rPr>
  </w:style>
  <w:style w:type="character" w:customStyle="1" w:styleId="Heading5Char">
    <w:name w:val="Heading 5 Char"/>
    <w:link w:val="Heading5"/>
    <w:uiPriority w:val="9"/>
    <w:rsid w:val="006A663C"/>
    <w:rPr>
      <w:rFonts w:ascii="Times New Roman" w:eastAsia="Times New Roman" w:hAnsi="Times New Roman"/>
      <w:b/>
      <w:bCs/>
    </w:rPr>
  </w:style>
  <w:style w:type="character" w:customStyle="1" w:styleId="legds">
    <w:name w:val="legds"/>
    <w:basedOn w:val="DefaultParagraphFont"/>
    <w:rsid w:val="006A663C"/>
  </w:style>
  <w:style w:type="paragraph" w:customStyle="1" w:styleId="legclearfix">
    <w:name w:val="legclearfix"/>
    <w:basedOn w:val="Normal"/>
    <w:rsid w:val="006A663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listtextstandard">
    <w:name w:val="leglisttextstandard"/>
    <w:basedOn w:val="Normal"/>
    <w:rsid w:val="006A663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nnumparacontainer">
    <w:name w:val="ennumparacontainer"/>
    <w:basedOn w:val="Normal"/>
    <w:rsid w:val="0086704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nds">
    <w:name w:val="ends"/>
    <w:basedOn w:val="DefaultParagraphFont"/>
    <w:rsid w:val="00867041"/>
  </w:style>
  <w:style w:type="paragraph" w:styleId="ListParagraph">
    <w:name w:val="List Paragraph"/>
    <w:basedOn w:val="Normal"/>
    <w:uiPriority w:val="34"/>
    <w:qFormat/>
    <w:rsid w:val="0014464D"/>
    <w:pPr>
      <w:spacing w:after="0" w:line="240" w:lineRule="auto"/>
      <w:ind w:left="720"/>
    </w:pPr>
    <w:rPr>
      <w:rFonts w:ascii="Times New Roman" w:hAnsi="Times New Roman"/>
      <w:sz w:val="24"/>
      <w:szCs w:val="24"/>
      <w:lang w:eastAsia="en-GB"/>
    </w:rPr>
  </w:style>
  <w:style w:type="paragraph" w:styleId="NormalWeb">
    <w:name w:val="Normal (Web)"/>
    <w:basedOn w:val="Normal"/>
    <w:uiPriority w:val="99"/>
    <w:unhideWhenUsed/>
    <w:rsid w:val="000473C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sid w:val="008F2F1C"/>
    <w:rPr>
      <w:i/>
      <w:iCs/>
    </w:rPr>
  </w:style>
  <w:style w:type="character" w:customStyle="1" w:styleId="searchterm">
    <w:name w:val="searchterm"/>
    <w:basedOn w:val="DefaultParagraphFont"/>
    <w:rsid w:val="00875D15"/>
  </w:style>
  <w:style w:type="paragraph" w:customStyle="1" w:styleId="Default">
    <w:name w:val="Default"/>
    <w:rsid w:val="00B06FD3"/>
    <w:pPr>
      <w:autoSpaceDE w:val="0"/>
      <w:autoSpaceDN w:val="0"/>
      <w:adjustRightInd w:val="0"/>
    </w:pPr>
    <w:rPr>
      <w:rFonts w:ascii="Times New Roman" w:hAnsi="Times New Roman"/>
      <w:color w:val="000000"/>
      <w:sz w:val="24"/>
      <w:szCs w:val="24"/>
    </w:rPr>
  </w:style>
  <w:style w:type="character" w:styleId="Strong">
    <w:name w:val="Strong"/>
    <w:uiPriority w:val="22"/>
    <w:qFormat/>
    <w:rsid w:val="006B1D15"/>
    <w:rPr>
      <w:b/>
      <w:bCs/>
    </w:rPr>
  </w:style>
  <w:style w:type="character" w:customStyle="1" w:styleId="Heading1Char">
    <w:name w:val="Heading 1 Char"/>
    <w:link w:val="Heading1"/>
    <w:uiPriority w:val="9"/>
    <w:rsid w:val="00F059C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F059C5"/>
    <w:rPr>
      <w:rFonts w:ascii="Cambria" w:eastAsia="Times New Roman" w:hAnsi="Cambria" w:cs="Times New Roman"/>
      <w:b/>
      <w:bCs/>
      <w:i/>
      <w:iCs/>
      <w:sz w:val="28"/>
      <w:szCs w:val="28"/>
      <w:lang w:eastAsia="en-US"/>
    </w:rPr>
  </w:style>
  <w:style w:type="paragraph" w:customStyle="1" w:styleId="center">
    <w:name w:val="center"/>
    <w:basedOn w:val="Normal"/>
    <w:rsid w:val="00F059C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p1paratext">
    <w:name w:val="legp1paratext"/>
    <w:basedOn w:val="Normal"/>
    <w:rsid w:val="0014489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basedOn w:val="DefaultParagraphFont"/>
    <w:rsid w:val="00144893"/>
  </w:style>
  <w:style w:type="paragraph" w:customStyle="1" w:styleId="legp2paratext">
    <w:name w:val="legp2paratext"/>
    <w:basedOn w:val="Normal"/>
    <w:rsid w:val="0014489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addition">
    <w:name w:val="legaddition"/>
    <w:basedOn w:val="DefaultParagraphFont"/>
    <w:rsid w:val="00785D2C"/>
  </w:style>
  <w:style w:type="character" w:customStyle="1" w:styleId="legchangedelimiter">
    <w:name w:val="legchangedelimiter"/>
    <w:basedOn w:val="DefaultParagraphFont"/>
    <w:rsid w:val="00785D2C"/>
  </w:style>
  <w:style w:type="character" w:customStyle="1" w:styleId="legsubstitution">
    <w:name w:val="legsubstitution"/>
    <w:basedOn w:val="DefaultParagraphFont"/>
    <w:rsid w:val="00785D2C"/>
  </w:style>
  <w:style w:type="character" w:customStyle="1" w:styleId="Heading3Char">
    <w:name w:val="Heading 3 Char"/>
    <w:link w:val="Heading3"/>
    <w:uiPriority w:val="9"/>
    <w:semiHidden/>
    <w:rsid w:val="0061270C"/>
    <w:rPr>
      <w:rFonts w:ascii="Cambria" w:eastAsia="Times New Roman" w:hAnsi="Cambria" w:cs="Times New Roman"/>
      <w:b/>
      <w:bCs/>
      <w:sz w:val="26"/>
      <w:szCs w:val="26"/>
      <w:lang w:eastAsia="en-US"/>
    </w:rPr>
  </w:style>
  <w:style w:type="character" w:customStyle="1" w:styleId="mw-headline">
    <w:name w:val="mw-headline"/>
    <w:basedOn w:val="DefaultParagraphFont"/>
    <w:rsid w:val="006B0227"/>
  </w:style>
  <w:style w:type="character" w:customStyle="1" w:styleId="mw-editsection">
    <w:name w:val="mw-editsection"/>
    <w:basedOn w:val="DefaultParagraphFont"/>
    <w:rsid w:val="006B0227"/>
  </w:style>
  <w:style w:type="character" w:customStyle="1" w:styleId="mw-editsection-bracket">
    <w:name w:val="mw-editsection-bracket"/>
    <w:basedOn w:val="DefaultParagraphFont"/>
    <w:rsid w:val="006B0227"/>
  </w:style>
  <w:style w:type="character" w:customStyle="1" w:styleId="pagesnum">
    <w:name w:val="pagesnum"/>
    <w:basedOn w:val="DefaultParagraphFont"/>
    <w:rsid w:val="00F675F3"/>
  </w:style>
  <w:style w:type="character" w:styleId="CommentReference">
    <w:name w:val="annotation reference"/>
    <w:uiPriority w:val="99"/>
    <w:semiHidden/>
    <w:unhideWhenUsed/>
    <w:rsid w:val="00675B8C"/>
    <w:rPr>
      <w:sz w:val="16"/>
      <w:szCs w:val="16"/>
    </w:rPr>
  </w:style>
  <w:style w:type="paragraph" w:styleId="CommentText">
    <w:name w:val="annotation text"/>
    <w:basedOn w:val="Normal"/>
    <w:link w:val="CommentTextChar"/>
    <w:uiPriority w:val="99"/>
    <w:semiHidden/>
    <w:unhideWhenUsed/>
    <w:rsid w:val="00675B8C"/>
    <w:rPr>
      <w:sz w:val="20"/>
      <w:szCs w:val="20"/>
    </w:rPr>
  </w:style>
  <w:style w:type="character" w:customStyle="1" w:styleId="CommentTextChar">
    <w:name w:val="Comment Text Char"/>
    <w:link w:val="CommentText"/>
    <w:uiPriority w:val="99"/>
    <w:semiHidden/>
    <w:rsid w:val="00675B8C"/>
    <w:rPr>
      <w:lang w:eastAsia="en-US"/>
    </w:rPr>
  </w:style>
  <w:style w:type="paragraph" w:styleId="CommentSubject">
    <w:name w:val="annotation subject"/>
    <w:basedOn w:val="CommentText"/>
    <w:next w:val="CommentText"/>
    <w:link w:val="CommentSubjectChar"/>
    <w:uiPriority w:val="99"/>
    <w:semiHidden/>
    <w:unhideWhenUsed/>
    <w:rsid w:val="00675B8C"/>
    <w:rPr>
      <w:b/>
      <w:bCs/>
    </w:rPr>
  </w:style>
  <w:style w:type="character" w:customStyle="1" w:styleId="CommentSubjectChar">
    <w:name w:val="Comment Subject Char"/>
    <w:link w:val="CommentSubject"/>
    <w:uiPriority w:val="99"/>
    <w:semiHidden/>
    <w:rsid w:val="00675B8C"/>
    <w:rPr>
      <w:b/>
      <w:bCs/>
      <w:lang w:eastAsia="en-US"/>
    </w:rPr>
  </w:style>
  <w:style w:type="paragraph" w:styleId="BalloonText">
    <w:name w:val="Balloon Text"/>
    <w:basedOn w:val="Normal"/>
    <w:link w:val="BalloonTextChar"/>
    <w:uiPriority w:val="99"/>
    <w:semiHidden/>
    <w:unhideWhenUsed/>
    <w:rsid w:val="00675B8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75B8C"/>
    <w:rPr>
      <w:rFonts w:ascii="Segoe UI" w:hAnsi="Segoe UI" w:cs="Segoe UI"/>
      <w:sz w:val="18"/>
      <w:szCs w:val="18"/>
      <w:lang w:eastAsia="en-US"/>
    </w:rPr>
  </w:style>
  <w:style w:type="character" w:styleId="UnresolvedMention">
    <w:name w:val="Unresolved Mention"/>
    <w:uiPriority w:val="99"/>
    <w:semiHidden/>
    <w:unhideWhenUsed/>
    <w:rsid w:val="00C639D7"/>
    <w:rPr>
      <w:color w:val="605E5C"/>
      <w:shd w:val="clear" w:color="auto" w:fill="E1DFDD"/>
    </w:rPr>
  </w:style>
  <w:style w:type="paragraph" w:styleId="Header">
    <w:name w:val="header"/>
    <w:basedOn w:val="Normal"/>
    <w:link w:val="HeaderChar"/>
    <w:uiPriority w:val="99"/>
    <w:unhideWhenUsed/>
    <w:rsid w:val="003F5B1A"/>
    <w:pPr>
      <w:tabs>
        <w:tab w:val="center" w:pos="4513"/>
        <w:tab w:val="right" w:pos="9026"/>
      </w:tabs>
    </w:pPr>
  </w:style>
  <w:style w:type="character" w:customStyle="1" w:styleId="HeaderChar">
    <w:name w:val="Header Char"/>
    <w:link w:val="Header"/>
    <w:uiPriority w:val="99"/>
    <w:rsid w:val="003F5B1A"/>
    <w:rPr>
      <w:sz w:val="22"/>
      <w:szCs w:val="22"/>
      <w:lang w:eastAsia="en-US"/>
    </w:rPr>
  </w:style>
  <w:style w:type="paragraph" w:styleId="Footer">
    <w:name w:val="footer"/>
    <w:basedOn w:val="Normal"/>
    <w:link w:val="FooterChar"/>
    <w:uiPriority w:val="99"/>
    <w:unhideWhenUsed/>
    <w:rsid w:val="003F5B1A"/>
    <w:pPr>
      <w:tabs>
        <w:tab w:val="center" w:pos="4513"/>
        <w:tab w:val="right" w:pos="9026"/>
      </w:tabs>
    </w:pPr>
  </w:style>
  <w:style w:type="character" w:customStyle="1" w:styleId="FooterChar">
    <w:name w:val="Footer Char"/>
    <w:link w:val="Footer"/>
    <w:uiPriority w:val="99"/>
    <w:rsid w:val="003F5B1A"/>
    <w:rPr>
      <w:sz w:val="22"/>
      <w:szCs w:val="22"/>
      <w:lang w:eastAsia="en-US"/>
    </w:rPr>
  </w:style>
  <w:style w:type="character" w:customStyle="1" w:styleId="Heading4Char">
    <w:name w:val="Heading 4 Char"/>
    <w:basedOn w:val="DefaultParagraphFont"/>
    <w:link w:val="Heading4"/>
    <w:uiPriority w:val="9"/>
    <w:semiHidden/>
    <w:rsid w:val="008D462D"/>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417">
      <w:bodyDiv w:val="1"/>
      <w:marLeft w:val="0"/>
      <w:marRight w:val="0"/>
      <w:marTop w:val="0"/>
      <w:marBottom w:val="0"/>
      <w:divBdr>
        <w:top w:val="none" w:sz="0" w:space="0" w:color="auto"/>
        <w:left w:val="none" w:sz="0" w:space="0" w:color="auto"/>
        <w:bottom w:val="none" w:sz="0" w:space="0" w:color="auto"/>
        <w:right w:val="none" w:sz="0" w:space="0" w:color="auto"/>
      </w:divBdr>
    </w:div>
    <w:div w:id="96994585">
      <w:bodyDiv w:val="1"/>
      <w:marLeft w:val="0"/>
      <w:marRight w:val="0"/>
      <w:marTop w:val="0"/>
      <w:marBottom w:val="0"/>
      <w:divBdr>
        <w:top w:val="none" w:sz="0" w:space="0" w:color="auto"/>
        <w:left w:val="none" w:sz="0" w:space="0" w:color="auto"/>
        <w:bottom w:val="none" w:sz="0" w:space="0" w:color="auto"/>
        <w:right w:val="none" w:sz="0" w:space="0" w:color="auto"/>
      </w:divBdr>
    </w:div>
    <w:div w:id="107435048">
      <w:bodyDiv w:val="1"/>
      <w:marLeft w:val="0"/>
      <w:marRight w:val="0"/>
      <w:marTop w:val="0"/>
      <w:marBottom w:val="0"/>
      <w:divBdr>
        <w:top w:val="none" w:sz="0" w:space="0" w:color="auto"/>
        <w:left w:val="none" w:sz="0" w:space="0" w:color="auto"/>
        <w:bottom w:val="none" w:sz="0" w:space="0" w:color="auto"/>
        <w:right w:val="none" w:sz="0" w:space="0" w:color="auto"/>
      </w:divBdr>
    </w:div>
    <w:div w:id="163589385">
      <w:bodyDiv w:val="1"/>
      <w:marLeft w:val="0"/>
      <w:marRight w:val="0"/>
      <w:marTop w:val="0"/>
      <w:marBottom w:val="0"/>
      <w:divBdr>
        <w:top w:val="none" w:sz="0" w:space="0" w:color="auto"/>
        <w:left w:val="none" w:sz="0" w:space="0" w:color="auto"/>
        <w:bottom w:val="none" w:sz="0" w:space="0" w:color="auto"/>
        <w:right w:val="none" w:sz="0" w:space="0" w:color="auto"/>
      </w:divBdr>
    </w:div>
    <w:div w:id="204827776">
      <w:bodyDiv w:val="1"/>
      <w:marLeft w:val="0"/>
      <w:marRight w:val="0"/>
      <w:marTop w:val="0"/>
      <w:marBottom w:val="0"/>
      <w:divBdr>
        <w:top w:val="none" w:sz="0" w:space="0" w:color="auto"/>
        <w:left w:val="none" w:sz="0" w:space="0" w:color="auto"/>
        <w:bottom w:val="none" w:sz="0" w:space="0" w:color="auto"/>
        <w:right w:val="none" w:sz="0" w:space="0" w:color="auto"/>
      </w:divBdr>
      <w:divsChild>
        <w:div w:id="518550129">
          <w:marLeft w:val="0"/>
          <w:marRight w:val="0"/>
          <w:marTop w:val="0"/>
          <w:marBottom w:val="0"/>
          <w:divBdr>
            <w:top w:val="none" w:sz="0" w:space="0" w:color="auto"/>
            <w:left w:val="none" w:sz="0" w:space="0" w:color="auto"/>
            <w:bottom w:val="none" w:sz="0" w:space="0" w:color="auto"/>
            <w:right w:val="none" w:sz="0" w:space="0" w:color="auto"/>
          </w:divBdr>
        </w:div>
      </w:divsChild>
    </w:div>
    <w:div w:id="207844266">
      <w:bodyDiv w:val="1"/>
      <w:marLeft w:val="0"/>
      <w:marRight w:val="0"/>
      <w:marTop w:val="0"/>
      <w:marBottom w:val="0"/>
      <w:divBdr>
        <w:top w:val="none" w:sz="0" w:space="0" w:color="auto"/>
        <w:left w:val="none" w:sz="0" w:space="0" w:color="auto"/>
        <w:bottom w:val="none" w:sz="0" w:space="0" w:color="auto"/>
        <w:right w:val="none" w:sz="0" w:space="0" w:color="auto"/>
      </w:divBdr>
    </w:div>
    <w:div w:id="210120876">
      <w:bodyDiv w:val="1"/>
      <w:marLeft w:val="0"/>
      <w:marRight w:val="0"/>
      <w:marTop w:val="0"/>
      <w:marBottom w:val="0"/>
      <w:divBdr>
        <w:top w:val="none" w:sz="0" w:space="0" w:color="auto"/>
        <w:left w:val="none" w:sz="0" w:space="0" w:color="auto"/>
        <w:bottom w:val="none" w:sz="0" w:space="0" w:color="auto"/>
        <w:right w:val="none" w:sz="0" w:space="0" w:color="auto"/>
      </w:divBdr>
    </w:div>
    <w:div w:id="219249219">
      <w:bodyDiv w:val="1"/>
      <w:marLeft w:val="0"/>
      <w:marRight w:val="0"/>
      <w:marTop w:val="0"/>
      <w:marBottom w:val="0"/>
      <w:divBdr>
        <w:top w:val="none" w:sz="0" w:space="0" w:color="auto"/>
        <w:left w:val="none" w:sz="0" w:space="0" w:color="auto"/>
        <w:bottom w:val="none" w:sz="0" w:space="0" w:color="auto"/>
        <w:right w:val="none" w:sz="0" w:space="0" w:color="auto"/>
      </w:divBdr>
    </w:div>
    <w:div w:id="229662121">
      <w:bodyDiv w:val="1"/>
      <w:marLeft w:val="0"/>
      <w:marRight w:val="0"/>
      <w:marTop w:val="0"/>
      <w:marBottom w:val="0"/>
      <w:divBdr>
        <w:top w:val="none" w:sz="0" w:space="0" w:color="auto"/>
        <w:left w:val="none" w:sz="0" w:space="0" w:color="auto"/>
        <w:bottom w:val="none" w:sz="0" w:space="0" w:color="auto"/>
        <w:right w:val="none" w:sz="0" w:space="0" w:color="auto"/>
      </w:divBdr>
    </w:div>
    <w:div w:id="327947077">
      <w:bodyDiv w:val="1"/>
      <w:marLeft w:val="0"/>
      <w:marRight w:val="0"/>
      <w:marTop w:val="0"/>
      <w:marBottom w:val="0"/>
      <w:divBdr>
        <w:top w:val="none" w:sz="0" w:space="0" w:color="auto"/>
        <w:left w:val="none" w:sz="0" w:space="0" w:color="auto"/>
        <w:bottom w:val="none" w:sz="0" w:space="0" w:color="auto"/>
        <w:right w:val="none" w:sz="0" w:space="0" w:color="auto"/>
      </w:divBdr>
      <w:divsChild>
        <w:div w:id="1103183843">
          <w:marLeft w:val="0"/>
          <w:marRight w:val="0"/>
          <w:marTop w:val="0"/>
          <w:marBottom w:val="0"/>
          <w:divBdr>
            <w:top w:val="none" w:sz="0" w:space="0" w:color="auto"/>
            <w:left w:val="none" w:sz="0" w:space="0" w:color="auto"/>
            <w:bottom w:val="none" w:sz="0" w:space="0" w:color="auto"/>
            <w:right w:val="none" w:sz="0" w:space="0" w:color="auto"/>
          </w:divBdr>
        </w:div>
      </w:divsChild>
    </w:div>
    <w:div w:id="370150839">
      <w:bodyDiv w:val="1"/>
      <w:marLeft w:val="0"/>
      <w:marRight w:val="0"/>
      <w:marTop w:val="0"/>
      <w:marBottom w:val="0"/>
      <w:divBdr>
        <w:top w:val="none" w:sz="0" w:space="0" w:color="auto"/>
        <w:left w:val="none" w:sz="0" w:space="0" w:color="auto"/>
        <w:bottom w:val="none" w:sz="0" w:space="0" w:color="auto"/>
        <w:right w:val="none" w:sz="0" w:space="0" w:color="auto"/>
      </w:divBdr>
    </w:div>
    <w:div w:id="371852633">
      <w:bodyDiv w:val="1"/>
      <w:marLeft w:val="0"/>
      <w:marRight w:val="0"/>
      <w:marTop w:val="0"/>
      <w:marBottom w:val="0"/>
      <w:divBdr>
        <w:top w:val="none" w:sz="0" w:space="0" w:color="auto"/>
        <w:left w:val="none" w:sz="0" w:space="0" w:color="auto"/>
        <w:bottom w:val="none" w:sz="0" w:space="0" w:color="auto"/>
        <w:right w:val="none" w:sz="0" w:space="0" w:color="auto"/>
      </w:divBdr>
    </w:div>
    <w:div w:id="375744459">
      <w:bodyDiv w:val="1"/>
      <w:marLeft w:val="0"/>
      <w:marRight w:val="0"/>
      <w:marTop w:val="0"/>
      <w:marBottom w:val="0"/>
      <w:divBdr>
        <w:top w:val="none" w:sz="0" w:space="0" w:color="auto"/>
        <w:left w:val="none" w:sz="0" w:space="0" w:color="auto"/>
        <w:bottom w:val="none" w:sz="0" w:space="0" w:color="auto"/>
        <w:right w:val="none" w:sz="0" w:space="0" w:color="auto"/>
      </w:divBdr>
    </w:div>
    <w:div w:id="450710896">
      <w:bodyDiv w:val="1"/>
      <w:marLeft w:val="0"/>
      <w:marRight w:val="0"/>
      <w:marTop w:val="0"/>
      <w:marBottom w:val="0"/>
      <w:divBdr>
        <w:top w:val="none" w:sz="0" w:space="0" w:color="auto"/>
        <w:left w:val="none" w:sz="0" w:space="0" w:color="auto"/>
        <w:bottom w:val="none" w:sz="0" w:space="0" w:color="auto"/>
        <w:right w:val="none" w:sz="0" w:space="0" w:color="auto"/>
      </w:divBdr>
    </w:div>
    <w:div w:id="473984559">
      <w:bodyDiv w:val="1"/>
      <w:marLeft w:val="0"/>
      <w:marRight w:val="0"/>
      <w:marTop w:val="0"/>
      <w:marBottom w:val="0"/>
      <w:divBdr>
        <w:top w:val="none" w:sz="0" w:space="0" w:color="auto"/>
        <w:left w:val="none" w:sz="0" w:space="0" w:color="auto"/>
        <w:bottom w:val="none" w:sz="0" w:space="0" w:color="auto"/>
        <w:right w:val="none" w:sz="0" w:space="0" w:color="auto"/>
      </w:divBdr>
    </w:div>
    <w:div w:id="501093717">
      <w:bodyDiv w:val="1"/>
      <w:marLeft w:val="0"/>
      <w:marRight w:val="0"/>
      <w:marTop w:val="0"/>
      <w:marBottom w:val="0"/>
      <w:divBdr>
        <w:top w:val="none" w:sz="0" w:space="0" w:color="auto"/>
        <w:left w:val="none" w:sz="0" w:space="0" w:color="auto"/>
        <w:bottom w:val="none" w:sz="0" w:space="0" w:color="auto"/>
        <w:right w:val="none" w:sz="0" w:space="0" w:color="auto"/>
      </w:divBdr>
    </w:div>
    <w:div w:id="542668685">
      <w:bodyDiv w:val="1"/>
      <w:marLeft w:val="0"/>
      <w:marRight w:val="0"/>
      <w:marTop w:val="0"/>
      <w:marBottom w:val="0"/>
      <w:divBdr>
        <w:top w:val="none" w:sz="0" w:space="0" w:color="auto"/>
        <w:left w:val="none" w:sz="0" w:space="0" w:color="auto"/>
        <w:bottom w:val="none" w:sz="0" w:space="0" w:color="auto"/>
        <w:right w:val="none" w:sz="0" w:space="0" w:color="auto"/>
      </w:divBdr>
    </w:div>
    <w:div w:id="604385068">
      <w:bodyDiv w:val="1"/>
      <w:marLeft w:val="0"/>
      <w:marRight w:val="0"/>
      <w:marTop w:val="0"/>
      <w:marBottom w:val="0"/>
      <w:divBdr>
        <w:top w:val="none" w:sz="0" w:space="0" w:color="auto"/>
        <w:left w:val="none" w:sz="0" w:space="0" w:color="auto"/>
        <w:bottom w:val="none" w:sz="0" w:space="0" w:color="auto"/>
        <w:right w:val="none" w:sz="0" w:space="0" w:color="auto"/>
      </w:divBdr>
    </w:div>
    <w:div w:id="612438480">
      <w:bodyDiv w:val="1"/>
      <w:marLeft w:val="0"/>
      <w:marRight w:val="0"/>
      <w:marTop w:val="0"/>
      <w:marBottom w:val="0"/>
      <w:divBdr>
        <w:top w:val="none" w:sz="0" w:space="0" w:color="auto"/>
        <w:left w:val="none" w:sz="0" w:space="0" w:color="auto"/>
        <w:bottom w:val="none" w:sz="0" w:space="0" w:color="auto"/>
        <w:right w:val="none" w:sz="0" w:space="0" w:color="auto"/>
      </w:divBdr>
    </w:div>
    <w:div w:id="689334063">
      <w:bodyDiv w:val="1"/>
      <w:marLeft w:val="0"/>
      <w:marRight w:val="0"/>
      <w:marTop w:val="0"/>
      <w:marBottom w:val="0"/>
      <w:divBdr>
        <w:top w:val="none" w:sz="0" w:space="0" w:color="auto"/>
        <w:left w:val="none" w:sz="0" w:space="0" w:color="auto"/>
        <w:bottom w:val="none" w:sz="0" w:space="0" w:color="auto"/>
        <w:right w:val="none" w:sz="0" w:space="0" w:color="auto"/>
      </w:divBdr>
    </w:div>
    <w:div w:id="746734909">
      <w:bodyDiv w:val="1"/>
      <w:marLeft w:val="0"/>
      <w:marRight w:val="0"/>
      <w:marTop w:val="0"/>
      <w:marBottom w:val="0"/>
      <w:divBdr>
        <w:top w:val="none" w:sz="0" w:space="0" w:color="auto"/>
        <w:left w:val="none" w:sz="0" w:space="0" w:color="auto"/>
        <w:bottom w:val="none" w:sz="0" w:space="0" w:color="auto"/>
        <w:right w:val="none" w:sz="0" w:space="0" w:color="auto"/>
      </w:divBdr>
      <w:divsChild>
        <w:div w:id="340739461">
          <w:marLeft w:val="0"/>
          <w:marRight w:val="0"/>
          <w:marTop w:val="0"/>
          <w:marBottom w:val="75"/>
          <w:divBdr>
            <w:top w:val="none" w:sz="0" w:space="0" w:color="auto"/>
            <w:left w:val="none" w:sz="0" w:space="0" w:color="auto"/>
            <w:bottom w:val="none" w:sz="0" w:space="0" w:color="auto"/>
            <w:right w:val="none" w:sz="0" w:space="0" w:color="auto"/>
          </w:divBdr>
        </w:div>
      </w:divsChild>
    </w:div>
    <w:div w:id="762533512">
      <w:bodyDiv w:val="1"/>
      <w:marLeft w:val="0"/>
      <w:marRight w:val="0"/>
      <w:marTop w:val="0"/>
      <w:marBottom w:val="0"/>
      <w:divBdr>
        <w:top w:val="none" w:sz="0" w:space="0" w:color="auto"/>
        <w:left w:val="none" w:sz="0" w:space="0" w:color="auto"/>
        <w:bottom w:val="none" w:sz="0" w:space="0" w:color="auto"/>
        <w:right w:val="none" w:sz="0" w:space="0" w:color="auto"/>
      </w:divBdr>
    </w:div>
    <w:div w:id="843399466">
      <w:bodyDiv w:val="1"/>
      <w:marLeft w:val="0"/>
      <w:marRight w:val="0"/>
      <w:marTop w:val="0"/>
      <w:marBottom w:val="0"/>
      <w:divBdr>
        <w:top w:val="none" w:sz="0" w:space="0" w:color="auto"/>
        <w:left w:val="none" w:sz="0" w:space="0" w:color="auto"/>
        <w:bottom w:val="none" w:sz="0" w:space="0" w:color="auto"/>
        <w:right w:val="none" w:sz="0" w:space="0" w:color="auto"/>
      </w:divBdr>
    </w:div>
    <w:div w:id="852185554">
      <w:bodyDiv w:val="1"/>
      <w:marLeft w:val="0"/>
      <w:marRight w:val="0"/>
      <w:marTop w:val="0"/>
      <w:marBottom w:val="0"/>
      <w:divBdr>
        <w:top w:val="none" w:sz="0" w:space="0" w:color="auto"/>
        <w:left w:val="none" w:sz="0" w:space="0" w:color="auto"/>
        <w:bottom w:val="none" w:sz="0" w:space="0" w:color="auto"/>
        <w:right w:val="none" w:sz="0" w:space="0" w:color="auto"/>
      </w:divBdr>
    </w:div>
    <w:div w:id="856697982">
      <w:bodyDiv w:val="1"/>
      <w:marLeft w:val="0"/>
      <w:marRight w:val="0"/>
      <w:marTop w:val="0"/>
      <w:marBottom w:val="0"/>
      <w:divBdr>
        <w:top w:val="none" w:sz="0" w:space="0" w:color="auto"/>
        <w:left w:val="none" w:sz="0" w:space="0" w:color="auto"/>
        <w:bottom w:val="none" w:sz="0" w:space="0" w:color="auto"/>
        <w:right w:val="none" w:sz="0" w:space="0" w:color="auto"/>
      </w:divBdr>
    </w:div>
    <w:div w:id="889462484">
      <w:bodyDiv w:val="1"/>
      <w:marLeft w:val="0"/>
      <w:marRight w:val="0"/>
      <w:marTop w:val="0"/>
      <w:marBottom w:val="0"/>
      <w:divBdr>
        <w:top w:val="none" w:sz="0" w:space="0" w:color="auto"/>
        <w:left w:val="none" w:sz="0" w:space="0" w:color="auto"/>
        <w:bottom w:val="none" w:sz="0" w:space="0" w:color="auto"/>
        <w:right w:val="none" w:sz="0" w:space="0" w:color="auto"/>
      </w:divBdr>
    </w:div>
    <w:div w:id="893389682">
      <w:bodyDiv w:val="1"/>
      <w:marLeft w:val="0"/>
      <w:marRight w:val="0"/>
      <w:marTop w:val="0"/>
      <w:marBottom w:val="0"/>
      <w:divBdr>
        <w:top w:val="none" w:sz="0" w:space="0" w:color="auto"/>
        <w:left w:val="none" w:sz="0" w:space="0" w:color="auto"/>
        <w:bottom w:val="none" w:sz="0" w:space="0" w:color="auto"/>
        <w:right w:val="none" w:sz="0" w:space="0" w:color="auto"/>
      </w:divBdr>
    </w:div>
    <w:div w:id="904069474">
      <w:bodyDiv w:val="1"/>
      <w:marLeft w:val="0"/>
      <w:marRight w:val="0"/>
      <w:marTop w:val="0"/>
      <w:marBottom w:val="0"/>
      <w:divBdr>
        <w:top w:val="none" w:sz="0" w:space="0" w:color="auto"/>
        <w:left w:val="none" w:sz="0" w:space="0" w:color="auto"/>
        <w:bottom w:val="none" w:sz="0" w:space="0" w:color="auto"/>
        <w:right w:val="none" w:sz="0" w:space="0" w:color="auto"/>
      </w:divBdr>
    </w:div>
    <w:div w:id="919171235">
      <w:bodyDiv w:val="1"/>
      <w:marLeft w:val="0"/>
      <w:marRight w:val="0"/>
      <w:marTop w:val="0"/>
      <w:marBottom w:val="0"/>
      <w:divBdr>
        <w:top w:val="none" w:sz="0" w:space="0" w:color="auto"/>
        <w:left w:val="none" w:sz="0" w:space="0" w:color="auto"/>
        <w:bottom w:val="none" w:sz="0" w:space="0" w:color="auto"/>
        <w:right w:val="none" w:sz="0" w:space="0" w:color="auto"/>
      </w:divBdr>
    </w:div>
    <w:div w:id="923757168">
      <w:bodyDiv w:val="1"/>
      <w:marLeft w:val="0"/>
      <w:marRight w:val="0"/>
      <w:marTop w:val="0"/>
      <w:marBottom w:val="0"/>
      <w:divBdr>
        <w:top w:val="none" w:sz="0" w:space="0" w:color="auto"/>
        <w:left w:val="none" w:sz="0" w:space="0" w:color="auto"/>
        <w:bottom w:val="none" w:sz="0" w:space="0" w:color="auto"/>
        <w:right w:val="none" w:sz="0" w:space="0" w:color="auto"/>
      </w:divBdr>
    </w:div>
    <w:div w:id="959920306">
      <w:bodyDiv w:val="1"/>
      <w:marLeft w:val="0"/>
      <w:marRight w:val="0"/>
      <w:marTop w:val="0"/>
      <w:marBottom w:val="0"/>
      <w:divBdr>
        <w:top w:val="none" w:sz="0" w:space="0" w:color="auto"/>
        <w:left w:val="none" w:sz="0" w:space="0" w:color="auto"/>
        <w:bottom w:val="none" w:sz="0" w:space="0" w:color="auto"/>
        <w:right w:val="none" w:sz="0" w:space="0" w:color="auto"/>
      </w:divBdr>
    </w:div>
    <w:div w:id="1010260210">
      <w:bodyDiv w:val="1"/>
      <w:marLeft w:val="0"/>
      <w:marRight w:val="0"/>
      <w:marTop w:val="0"/>
      <w:marBottom w:val="0"/>
      <w:divBdr>
        <w:top w:val="none" w:sz="0" w:space="0" w:color="auto"/>
        <w:left w:val="none" w:sz="0" w:space="0" w:color="auto"/>
        <w:bottom w:val="none" w:sz="0" w:space="0" w:color="auto"/>
        <w:right w:val="none" w:sz="0" w:space="0" w:color="auto"/>
      </w:divBdr>
    </w:div>
    <w:div w:id="1041437894">
      <w:bodyDiv w:val="1"/>
      <w:marLeft w:val="0"/>
      <w:marRight w:val="0"/>
      <w:marTop w:val="0"/>
      <w:marBottom w:val="0"/>
      <w:divBdr>
        <w:top w:val="none" w:sz="0" w:space="0" w:color="auto"/>
        <w:left w:val="none" w:sz="0" w:space="0" w:color="auto"/>
        <w:bottom w:val="none" w:sz="0" w:space="0" w:color="auto"/>
        <w:right w:val="none" w:sz="0" w:space="0" w:color="auto"/>
      </w:divBdr>
    </w:div>
    <w:div w:id="1067411632">
      <w:bodyDiv w:val="1"/>
      <w:marLeft w:val="0"/>
      <w:marRight w:val="0"/>
      <w:marTop w:val="0"/>
      <w:marBottom w:val="0"/>
      <w:divBdr>
        <w:top w:val="none" w:sz="0" w:space="0" w:color="auto"/>
        <w:left w:val="none" w:sz="0" w:space="0" w:color="auto"/>
        <w:bottom w:val="none" w:sz="0" w:space="0" w:color="auto"/>
        <w:right w:val="none" w:sz="0" w:space="0" w:color="auto"/>
      </w:divBdr>
    </w:div>
    <w:div w:id="1073701595">
      <w:bodyDiv w:val="1"/>
      <w:marLeft w:val="0"/>
      <w:marRight w:val="0"/>
      <w:marTop w:val="0"/>
      <w:marBottom w:val="0"/>
      <w:divBdr>
        <w:top w:val="none" w:sz="0" w:space="0" w:color="auto"/>
        <w:left w:val="none" w:sz="0" w:space="0" w:color="auto"/>
        <w:bottom w:val="none" w:sz="0" w:space="0" w:color="auto"/>
        <w:right w:val="none" w:sz="0" w:space="0" w:color="auto"/>
      </w:divBdr>
    </w:div>
    <w:div w:id="1076435800">
      <w:bodyDiv w:val="1"/>
      <w:marLeft w:val="0"/>
      <w:marRight w:val="0"/>
      <w:marTop w:val="0"/>
      <w:marBottom w:val="0"/>
      <w:divBdr>
        <w:top w:val="none" w:sz="0" w:space="0" w:color="auto"/>
        <w:left w:val="none" w:sz="0" w:space="0" w:color="auto"/>
        <w:bottom w:val="none" w:sz="0" w:space="0" w:color="auto"/>
        <w:right w:val="none" w:sz="0" w:space="0" w:color="auto"/>
      </w:divBdr>
    </w:div>
    <w:div w:id="1151095958">
      <w:bodyDiv w:val="1"/>
      <w:marLeft w:val="0"/>
      <w:marRight w:val="0"/>
      <w:marTop w:val="0"/>
      <w:marBottom w:val="0"/>
      <w:divBdr>
        <w:top w:val="none" w:sz="0" w:space="0" w:color="auto"/>
        <w:left w:val="none" w:sz="0" w:space="0" w:color="auto"/>
        <w:bottom w:val="none" w:sz="0" w:space="0" w:color="auto"/>
        <w:right w:val="none" w:sz="0" w:space="0" w:color="auto"/>
      </w:divBdr>
    </w:div>
    <w:div w:id="1175799130">
      <w:bodyDiv w:val="1"/>
      <w:marLeft w:val="0"/>
      <w:marRight w:val="0"/>
      <w:marTop w:val="0"/>
      <w:marBottom w:val="0"/>
      <w:divBdr>
        <w:top w:val="none" w:sz="0" w:space="0" w:color="auto"/>
        <w:left w:val="none" w:sz="0" w:space="0" w:color="auto"/>
        <w:bottom w:val="none" w:sz="0" w:space="0" w:color="auto"/>
        <w:right w:val="none" w:sz="0" w:space="0" w:color="auto"/>
      </w:divBdr>
    </w:div>
    <w:div w:id="1197548177">
      <w:bodyDiv w:val="1"/>
      <w:marLeft w:val="0"/>
      <w:marRight w:val="0"/>
      <w:marTop w:val="0"/>
      <w:marBottom w:val="0"/>
      <w:divBdr>
        <w:top w:val="none" w:sz="0" w:space="0" w:color="auto"/>
        <w:left w:val="none" w:sz="0" w:space="0" w:color="auto"/>
        <w:bottom w:val="none" w:sz="0" w:space="0" w:color="auto"/>
        <w:right w:val="none" w:sz="0" w:space="0" w:color="auto"/>
      </w:divBdr>
    </w:div>
    <w:div w:id="1223105756">
      <w:bodyDiv w:val="1"/>
      <w:marLeft w:val="0"/>
      <w:marRight w:val="0"/>
      <w:marTop w:val="0"/>
      <w:marBottom w:val="0"/>
      <w:divBdr>
        <w:top w:val="none" w:sz="0" w:space="0" w:color="auto"/>
        <w:left w:val="none" w:sz="0" w:space="0" w:color="auto"/>
        <w:bottom w:val="none" w:sz="0" w:space="0" w:color="auto"/>
        <w:right w:val="none" w:sz="0" w:space="0" w:color="auto"/>
      </w:divBdr>
    </w:div>
    <w:div w:id="1224025657">
      <w:bodyDiv w:val="1"/>
      <w:marLeft w:val="0"/>
      <w:marRight w:val="0"/>
      <w:marTop w:val="0"/>
      <w:marBottom w:val="0"/>
      <w:divBdr>
        <w:top w:val="none" w:sz="0" w:space="0" w:color="auto"/>
        <w:left w:val="none" w:sz="0" w:space="0" w:color="auto"/>
        <w:bottom w:val="none" w:sz="0" w:space="0" w:color="auto"/>
        <w:right w:val="none" w:sz="0" w:space="0" w:color="auto"/>
      </w:divBdr>
      <w:divsChild>
        <w:div w:id="226839165">
          <w:marLeft w:val="0"/>
          <w:marRight w:val="0"/>
          <w:marTop w:val="0"/>
          <w:marBottom w:val="75"/>
          <w:divBdr>
            <w:top w:val="none" w:sz="0" w:space="0" w:color="auto"/>
            <w:left w:val="none" w:sz="0" w:space="0" w:color="auto"/>
            <w:bottom w:val="none" w:sz="0" w:space="0" w:color="auto"/>
            <w:right w:val="none" w:sz="0" w:space="0" w:color="auto"/>
          </w:divBdr>
        </w:div>
      </w:divsChild>
    </w:div>
    <w:div w:id="1235119333">
      <w:bodyDiv w:val="1"/>
      <w:marLeft w:val="0"/>
      <w:marRight w:val="0"/>
      <w:marTop w:val="0"/>
      <w:marBottom w:val="0"/>
      <w:divBdr>
        <w:top w:val="none" w:sz="0" w:space="0" w:color="auto"/>
        <w:left w:val="none" w:sz="0" w:space="0" w:color="auto"/>
        <w:bottom w:val="none" w:sz="0" w:space="0" w:color="auto"/>
        <w:right w:val="none" w:sz="0" w:space="0" w:color="auto"/>
      </w:divBdr>
    </w:div>
    <w:div w:id="1270315708">
      <w:bodyDiv w:val="1"/>
      <w:marLeft w:val="0"/>
      <w:marRight w:val="0"/>
      <w:marTop w:val="0"/>
      <w:marBottom w:val="0"/>
      <w:divBdr>
        <w:top w:val="none" w:sz="0" w:space="0" w:color="auto"/>
        <w:left w:val="none" w:sz="0" w:space="0" w:color="auto"/>
        <w:bottom w:val="none" w:sz="0" w:space="0" w:color="auto"/>
        <w:right w:val="none" w:sz="0" w:space="0" w:color="auto"/>
      </w:divBdr>
    </w:div>
    <w:div w:id="1326670296">
      <w:bodyDiv w:val="1"/>
      <w:marLeft w:val="0"/>
      <w:marRight w:val="0"/>
      <w:marTop w:val="0"/>
      <w:marBottom w:val="0"/>
      <w:divBdr>
        <w:top w:val="none" w:sz="0" w:space="0" w:color="auto"/>
        <w:left w:val="none" w:sz="0" w:space="0" w:color="auto"/>
        <w:bottom w:val="none" w:sz="0" w:space="0" w:color="auto"/>
        <w:right w:val="none" w:sz="0" w:space="0" w:color="auto"/>
      </w:divBdr>
    </w:div>
    <w:div w:id="1335499066">
      <w:bodyDiv w:val="1"/>
      <w:marLeft w:val="0"/>
      <w:marRight w:val="0"/>
      <w:marTop w:val="0"/>
      <w:marBottom w:val="0"/>
      <w:divBdr>
        <w:top w:val="none" w:sz="0" w:space="0" w:color="auto"/>
        <w:left w:val="none" w:sz="0" w:space="0" w:color="auto"/>
        <w:bottom w:val="none" w:sz="0" w:space="0" w:color="auto"/>
        <w:right w:val="none" w:sz="0" w:space="0" w:color="auto"/>
      </w:divBdr>
    </w:div>
    <w:div w:id="1364400432">
      <w:bodyDiv w:val="1"/>
      <w:marLeft w:val="0"/>
      <w:marRight w:val="0"/>
      <w:marTop w:val="0"/>
      <w:marBottom w:val="0"/>
      <w:divBdr>
        <w:top w:val="none" w:sz="0" w:space="0" w:color="auto"/>
        <w:left w:val="none" w:sz="0" w:space="0" w:color="auto"/>
        <w:bottom w:val="none" w:sz="0" w:space="0" w:color="auto"/>
        <w:right w:val="none" w:sz="0" w:space="0" w:color="auto"/>
      </w:divBdr>
    </w:div>
    <w:div w:id="1369834348">
      <w:bodyDiv w:val="1"/>
      <w:marLeft w:val="0"/>
      <w:marRight w:val="0"/>
      <w:marTop w:val="0"/>
      <w:marBottom w:val="0"/>
      <w:divBdr>
        <w:top w:val="none" w:sz="0" w:space="0" w:color="auto"/>
        <w:left w:val="none" w:sz="0" w:space="0" w:color="auto"/>
        <w:bottom w:val="none" w:sz="0" w:space="0" w:color="auto"/>
        <w:right w:val="none" w:sz="0" w:space="0" w:color="auto"/>
      </w:divBdr>
    </w:div>
    <w:div w:id="1372920455">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410036987">
      <w:bodyDiv w:val="1"/>
      <w:marLeft w:val="0"/>
      <w:marRight w:val="0"/>
      <w:marTop w:val="0"/>
      <w:marBottom w:val="0"/>
      <w:divBdr>
        <w:top w:val="none" w:sz="0" w:space="0" w:color="auto"/>
        <w:left w:val="none" w:sz="0" w:space="0" w:color="auto"/>
        <w:bottom w:val="none" w:sz="0" w:space="0" w:color="auto"/>
        <w:right w:val="none" w:sz="0" w:space="0" w:color="auto"/>
      </w:divBdr>
    </w:div>
    <w:div w:id="1415662319">
      <w:bodyDiv w:val="1"/>
      <w:marLeft w:val="0"/>
      <w:marRight w:val="0"/>
      <w:marTop w:val="0"/>
      <w:marBottom w:val="0"/>
      <w:divBdr>
        <w:top w:val="none" w:sz="0" w:space="0" w:color="auto"/>
        <w:left w:val="none" w:sz="0" w:space="0" w:color="auto"/>
        <w:bottom w:val="none" w:sz="0" w:space="0" w:color="auto"/>
        <w:right w:val="none" w:sz="0" w:space="0" w:color="auto"/>
      </w:divBdr>
    </w:div>
    <w:div w:id="1506507616">
      <w:bodyDiv w:val="1"/>
      <w:marLeft w:val="0"/>
      <w:marRight w:val="0"/>
      <w:marTop w:val="0"/>
      <w:marBottom w:val="0"/>
      <w:divBdr>
        <w:top w:val="none" w:sz="0" w:space="0" w:color="auto"/>
        <w:left w:val="none" w:sz="0" w:space="0" w:color="auto"/>
        <w:bottom w:val="none" w:sz="0" w:space="0" w:color="auto"/>
        <w:right w:val="none" w:sz="0" w:space="0" w:color="auto"/>
      </w:divBdr>
    </w:div>
    <w:div w:id="1536581309">
      <w:bodyDiv w:val="1"/>
      <w:marLeft w:val="0"/>
      <w:marRight w:val="0"/>
      <w:marTop w:val="0"/>
      <w:marBottom w:val="0"/>
      <w:divBdr>
        <w:top w:val="none" w:sz="0" w:space="0" w:color="auto"/>
        <w:left w:val="none" w:sz="0" w:space="0" w:color="auto"/>
        <w:bottom w:val="none" w:sz="0" w:space="0" w:color="auto"/>
        <w:right w:val="none" w:sz="0" w:space="0" w:color="auto"/>
      </w:divBdr>
    </w:div>
    <w:div w:id="1565261905">
      <w:bodyDiv w:val="1"/>
      <w:marLeft w:val="0"/>
      <w:marRight w:val="0"/>
      <w:marTop w:val="0"/>
      <w:marBottom w:val="0"/>
      <w:divBdr>
        <w:top w:val="none" w:sz="0" w:space="0" w:color="auto"/>
        <w:left w:val="none" w:sz="0" w:space="0" w:color="auto"/>
        <w:bottom w:val="none" w:sz="0" w:space="0" w:color="auto"/>
        <w:right w:val="none" w:sz="0" w:space="0" w:color="auto"/>
      </w:divBdr>
    </w:div>
    <w:div w:id="1568152851">
      <w:bodyDiv w:val="1"/>
      <w:marLeft w:val="0"/>
      <w:marRight w:val="0"/>
      <w:marTop w:val="0"/>
      <w:marBottom w:val="0"/>
      <w:divBdr>
        <w:top w:val="none" w:sz="0" w:space="0" w:color="auto"/>
        <w:left w:val="none" w:sz="0" w:space="0" w:color="auto"/>
        <w:bottom w:val="none" w:sz="0" w:space="0" w:color="auto"/>
        <w:right w:val="none" w:sz="0" w:space="0" w:color="auto"/>
      </w:divBdr>
    </w:div>
    <w:div w:id="1603955700">
      <w:bodyDiv w:val="1"/>
      <w:marLeft w:val="0"/>
      <w:marRight w:val="0"/>
      <w:marTop w:val="0"/>
      <w:marBottom w:val="0"/>
      <w:divBdr>
        <w:top w:val="none" w:sz="0" w:space="0" w:color="auto"/>
        <w:left w:val="none" w:sz="0" w:space="0" w:color="auto"/>
        <w:bottom w:val="none" w:sz="0" w:space="0" w:color="auto"/>
        <w:right w:val="none" w:sz="0" w:space="0" w:color="auto"/>
      </w:divBdr>
    </w:div>
    <w:div w:id="1645238732">
      <w:bodyDiv w:val="1"/>
      <w:marLeft w:val="0"/>
      <w:marRight w:val="0"/>
      <w:marTop w:val="0"/>
      <w:marBottom w:val="0"/>
      <w:divBdr>
        <w:top w:val="none" w:sz="0" w:space="0" w:color="auto"/>
        <w:left w:val="none" w:sz="0" w:space="0" w:color="auto"/>
        <w:bottom w:val="none" w:sz="0" w:space="0" w:color="auto"/>
        <w:right w:val="none" w:sz="0" w:space="0" w:color="auto"/>
      </w:divBdr>
    </w:div>
    <w:div w:id="1751462582">
      <w:bodyDiv w:val="1"/>
      <w:marLeft w:val="0"/>
      <w:marRight w:val="0"/>
      <w:marTop w:val="0"/>
      <w:marBottom w:val="0"/>
      <w:divBdr>
        <w:top w:val="none" w:sz="0" w:space="0" w:color="auto"/>
        <w:left w:val="none" w:sz="0" w:space="0" w:color="auto"/>
        <w:bottom w:val="none" w:sz="0" w:space="0" w:color="auto"/>
        <w:right w:val="none" w:sz="0" w:space="0" w:color="auto"/>
      </w:divBdr>
      <w:divsChild>
        <w:div w:id="610086241">
          <w:marLeft w:val="0"/>
          <w:marRight w:val="0"/>
          <w:marTop w:val="240"/>
          <w:marBottom w:val="0"/>
          <w:divBdr>
            <w:top w:val="none" w:sz="0" w:space="0" w:color="auto"/>
            <w:left w:val="none" w:sz="0" w:space="0" w:color="auto"/>
            <w:bottom w:val="none" w:sz="0" w:space="0" w:color="auto"/>
            <w:right w:val="none" w:sz="0" w:space="0" w:color="auto"/>
          </w:divBdr>
        </w:div>
      </w:divsChild>
    </w:div>
    <w:div w:id="1796832755">
      <w:bodyDiv w:val="1"/>
      <w:marLeft w:val="0"/>
      <w:marRight w:val="0"/>
      <w:marTop w:val="0"/>
      <w:marBottom w:val="0"/>
      <w:divBdr>
        <w:top w:val="none" w:sz="0" w:space="0" w:color="auto"/>
        <w:left w:val="none" w:sz="0" w:space="0" w:color="auto"/>
        <w:bottom w:val="none" w:sz="0" w:space="0" w:color="auto"/>
        <w:right w:val="none" w:sz="0" w:space="0" w:color="auto"/>
      </w:divBdr>
    </w:div>
    <w:div w:id="1799493751">
      <w:bodyDiv w:val="1"/>
      <w:marLeft w:val="0"/>
      <w:marRight w:val="0"/>
      <w:marTop w:val="0"/>
      <w:marBottom w:val="0"/>
      <w:divBdr>
        <w:top w:val="none" w:sz="0" w:space="0" w:color="auto"/>
        <w:left w:val="none" w:sz="0" w:space="0" w:color="auto"/>
        <w:bottom w:val="none" w:sz="0" w:space="0" w:color="auto"/>
        <w:right w:val="none" w:sz="0" w:space="0" w:color="auto"/>
      </w:divBdr>
    </w:div>
    <w:div w:id="1836606890">
      <w:bodyDiv w:val="1"/>
      <w:marLeft w:val="0"/>
      <w:marRight w:val="0"/>
      <w:marTop w:val="0"/>
      <w:marBottom w:val="0"/>
      <w:divBdr>
        <w:top w:val="none" w:sz="0" w:space="0" w:color="auto"/>
        <w:left w:val="none" w:sz="0" w:space="0" w:color="auto"/>
        <w:bottom w:val="none" w:sz="0" w:space="0" w:color="auto"/>
        <w:right w:val="none" w:sz="0" w:space="0" w:color="auto"/>
      </w:divBdr>
    </w:div>
    <w:div w:id="1855149473">
      <w:bodyDiv w:val="1"/>
      <w:marLeft w:val="0"/>
      <w:marRight w:val="0"/>
      <w:marTop w:val="0"/>
      <w:marBottom w:val="0"/>
      <w:divBdr>
        <w:top w:val="none" w:sz="0" w:space="0" w:color="auto"/>
        <w:left w:val="none" w:sz="0" w:space="0" w:color="auto"/>
        <w:bottom w:val="none" w:sz="0" w:space="0" w:color="auto"/>
        <w:right w:val="none" w:sz="0" w:space="0" w:color="auto"/>
      </w:divBdr>
    </w:div>
    <w:div w:id="1916551047">
      <w:bodyDiv w:val="1"/>
      <w:marLeft w:val="0"/>
      <w:marRight w:val="0"/>
      <w:marTop w:val="0"/>
      <w:marBottom w:val="0"/>
      <w:divBdr>
        <w:top w:val="none" w:sz="0" w:space="0" w:color="auto"/>
        <w:left w:val="none" w:sz="0" w:space="0" w:color="auto"/>
        <w:bottom w:val="none" w:sz="0" w:space="0" w:color="auto"/>
        <w:right w:val="none" w:sz="0" w:space="0" w:color="auto"/>
      </w:divBdr>
    </w:div>
    <w:div w:id="1926693306">
      <w:bodyDiv w:val="1"/>
      <w:marLeft w:val="0"/>
      <w:marRight w:val="0"/>
      <w:marTop w:val="0"/>
      <w:marBottom w:val="0"/>
      <w:divBdr>
        <w:top w:val="none" w:sz="0" w:space="0" w:color="auto"/>
        <w:left w:val="none" w:sz="0" w:space="0" w:color="auto"/>
        <w:bottom w:val="none" w:sz="0" w:space="0" w:color="auto"/>
        <w:right w:val="none" w:sz="0" w:space="0" w:color="auto"/>
      </w:divBdr>
    </w:div>
    <w:div w:id="1931112453">
      <w:bodyDiv w:val="1"/>
      <w:marLeft w:val="0"/>
      <w:marRight w:val="0"/>
      <w:marTop w:val="0"/>
      <w:marBottom w:val="0"/>
      <w:divBdr>
        <w:top w:val="none" w:sz="0" w:space="0" w:color="auto"/>
        <w:left w:val="none" w:sz="0" w:space="0" w:color="auto"/>
        <w:bottom w:val="none" w:sz="0" w:space="0" w:color="auto"/>
        <w:right w:val="none" w:sz="0" w:space="0" w:color="auto"/>
      </w:divBdr>
      <w:divsChild>
        <w:div w:id="300964676">
          <w:marLeft w:val="0"/>
          <w:marRight w:val="0"/>
          <w:marTop w:val="0"/>
          <w:marBottom w:val="75"/>
          <w:divBdr>
            <w:top w:val="none" w:sz="0" w:space="0" w:color="auto"/>
            <w:left w:val="none" w:sz="0" w:space="0" w:color="auto"/>
            <w:bottom w:val="none" w:sz="0" w:space="0" w:color="auto"/>
            <w:right w:val="none" w:sz="0" w:space="0" w:color="auto"/>
          </w:divBdr>
        </w:div>
        <w:div w:id="1749764855">
          <w:marLeft w:val="0"/>
          <w:marRight w:val="0"/>
          <w:marTop w:val="0"/>
          <w:marBottom w:val="0"/>
          <w:divBdr>
            <w:top w:val="none" w:sz="0" w:space="0" w:color="auto"/>
            <w:left w:val="none" w:sz="0" w:space="0" w:color="auto"/>
            <w:bottom w:val="none" w:sz="0" w:space="0" w:color="auto"/>
            <w:right w:val="none" w:sz="0" w:space="0" w:color="auto"/>
          </w:divBdr>
        </w:div>
      </w:divsChild>
    </w:div>
    <w:div w:id="1947274392">
      <w:bodyDiv w:val="1"/>
      <w:marLeft w:val="0"/>
      <w:marRight w:val="0"/>
      <w:marTop w:val="0"/>
      <w:marBottom w:val="0"/>
      <w:divBdr>
        <w:top w:val="none" w:sz="0" w:space="0" w:color="auto"/>
        <w:left w:val="none" w:sz="0" w:space="0" w:color="auto"/>
        <w:bottom w:val="none" w:sz="0" w:space="0" w:color="auto"/>
        <w:right w:val="none" w:sz="0" w:space="0" w:color="auto"/>
      </w:divBdr>
    </w:div>
    <w:div w:id="1970893418">
      <w:bodyDiv w:val="1"/>
      <w:marLeft w:val="0"/>
      <w:marRight w:val="0"/>
      <w:marTop w:val="0"/>
      <w:marBottom w:val="0"/>
      <w:divBdr>
        <w:top w:val="none" w:sz="0" w:space="0" w:color="auto"/>
        <w:left w:val="none" w:sz="0" w:space="0" w:color="auto"/>
        <w:bottom w:val="none" w:sz="0" w:space="0" w:color="auto"/>
        <w:right w:val="none" w:sz="0" w:space="0" w:color="auto"/>
      </w:divBdr>
    </w:div>
    <w:div w:id="1972512127">
      <w:bodyDiv w:val="1"/>
      <w:marLeft w:val="0"/>
      <w:marRight w:val="0"/>
      <w:marTop w:val="0"/>
      <w:marBottom w:val="0"/>
      <w:divBdr>
        <w:top w:val="none" w:sz="0" w:space="0" w:color="auto"/>
        <w:left w:val="none" w:sz="0" w:space="0" w:color="auto"/>
        <w:bottom w:val="none" w:sz="0" w:space="0" w:color="auto"/>
        <w:right w:val="none" w:sz="0" w:space="0" w:color="auto"/>
      </w:divBdr>
    </w:div>
    <w:div w:id="2007592336">
      <w:bodyDiv w:val="1"/>
      <w:marLeft w:val="0"/>
      <w:marRight w:val="0"/>
      <w:marTop w:val="0"/>
      <w:marBottom w:val="0"/>
      <w:divBdr>
        <w:top w:val="none" w:sz="0" w:space="0" w:color="auto"/>
        <w:left w:val="none" w:sz="0" w:space="0" w:color="auto"/>
        <w:bottom w:val="none" w:sz="0" w:space="0" w:color="auto"/>
        <w:right w:val="none" w:sz="0" w:space="0" w:color="auto"/>
      </w:divBdr>
    </w:div>
    <w:div w:id="2028408860">
      <w:bodyDiv w:val="1"/>
      <w:marLeft w:val="0"/>
      <w:marRight w:val="0"/>
      <w:marTop w:val="0"/>
      <w:marBottom w:val="0"/>
      <w:divBdr>
        <w:top w:val="none" w:sz="0" w:space="0" w:color="auto"/>
        <w:left w:val="none" w:sz="0" w:space="0" w:color="auto"/>
        <w:bottom w:val="none" w:sz="0" w:space="0" w:color="auto"/>
        <w:right w:val="none" w:sz="0" w:space="0" w:color="auto"/>
      </w:divBdr>
    </w:div>
    <w:div w:id="2045788896">
      <w:bodyDiv w:val="1"/>
      <w:marLeft w:val="0"/>
      <w:marRight w:val="0"/>
      <w:marTop w:val="0"/>
      <w:marBottom w:val="0"/>
      <w:divBdr>
        <w:top w:val="none" w:sz="0" w:space="0" w:color="auto"/>
        <w:left w:val="none" w:sz="0" w:space="0" w:color="auto"/>
        <w:bottom w:val="none" w:sz="0" w:space="0" w:color="auto"/>
        <w:right w:val="none" w:sz="0" w:space="0" w:color="auto"/>
      </w:divBdr>
      <w:divsChild>
        <w:div w:id="154802814">
          <w:marLeft w:val="0"/>
          <w:marRight w:val="0"/>
          <w:marTop w:val="0"/>
          <w:marBottom w:val="75"/>
          <w:divBdr>
            <w:top w:val="none" w:sz="0" w:space="0" w:color="auto"/>
            <w:left w:val="none" w:sz="0" w:space="0" w:color="auto"/>
            <w:bottom w:val="none" w:sz="0" w:space="0" w:color="auto"/>
            <w:right w:val="none" w:sz="0" w:space="0" w:color="auto"/>
          </w:divBdr>
        </w:div>
        <w:div w:id="1601255658">
          <w:marLeft w:val="0"/>
          <w:marRight w:val="0"/>
          <w:marTop w:val="0"/>
          <w:marBottom w:val="0"/>
          <w:divBdr>
            <w:top w:val="none" w:sz="0" w:space="0" w:color="auto"/>
            <w:left w:val="none" w:sz="0" w:space="0" w:color="auto"/>
            <w:bottom w:val="none" w:sz="0" w:space="0" w:color="auto"/>
            <w:right w:val="none" w:sz="0" w:space="0" w:color="auto"/>
          </w:divBdr>
        </w:div>
      </w:divsChild>
    </w:div>
    <w:div w:id="2047019218">
      <w:bodyDiv w:val="1"/>
      <w:marLeft w:val="0"/>
      <w:marRight w:val="0"/>
      <w:marTop w:val="0"/>
      <w:marBottom w:val="0"/>
      <w:divBdr>
        <w:top w:val="none" w:sz="0" w:space="0" w:color="auto"/>
        <w:left w:val="none" w:sz="0" w:space="0" w:color="auto"/>
        <w:bottom w:val="none" w:sz="0" w:space="0" w:color="auto"/>
        <w:right w:val="none" w:sz="0" w:space="0" w:color="auto"/>
      </w:divBdr>
    </w:div>
    <w:div w:id="2051882092">
      <w:bodyDiv w:val="1"/>
      <w:marLeft w:val="0"/>
      <w:marRight w:val="0"/>
      <w:marTop w:val="0"/>
      <w:marBottom w:val="0"/>
      <w:divBdr>
        <w:top w:val="none" w:sz="0" w:space="0" w:color="auto"/>
        <w:left w:val="none" w:sz="0" w:space="0" w:color="auto"/>
        <w:bottom w:val="none" w:sz="0" w:space="0" w:color="auto"/>
        <w:right w:val="none" w:sz="0" w:space="0" w:color="auto"/>
      </w:divBdr>
    </w:div>
    <w:div w:id="2067798905">
      <w:bodyDiv w:val="1"/>
      <w:marLeft w:val="0"/>
      <w:marRight w:val="0"/>
      <w:marTop w:val="0"/>
      <w:marBottom w:val="0"/>
      <w:divBdr>
        <w:top w:val="none" w:sz="0" w:space="0" w:color="auto"/>
        <w:left w:val="none" w:sz="0" w:space="0" w:color="auto"/>
        <w:bottom w:val="none" w:sz="0" w:space="0" w:color="auto"/>
        <w:right w:val="none" w:sz="0" w:space="0" w:color="auto"/>
      </w:divBdr>
    </w:div>
    <w:div w:id="2085570722">
      <w:bodyDiv w:val="1"/>
      <w:marLeft w:val="0"/>
      <w:marRight w:val="0"/>
      <w:marTop w:val="0"/>
      <w:marBottom w:val="0"/>
      <w:divBdr>
        <w:top w:val="none" w:sz="0" w:space="0" w:color="auto"/>
        <w:left w:val="none" w:sz="0" w:space="0" w:color="auto"/>
        <w:bottom w:val="none" w:sz="0" w:space="0" w:color="auto"/>
        <w:right w:val="none" w:sz="0" w:space="0" w:color="auto"/>
      </w:divBdr>
    </w:div>
    <w:div w:id="2086415289">
      <w:bodyDiv w:val="1"/>
      <w:marLeft w:val="0"/>
      <w:marRight w:val="0"/>
      <w:marTop w:val="0"/>
      <w:marBottom w:val="0"/>
      <w:divBdr>
        <w:top w:val="none" w:sz="0" w:space="0" w:color="auto"/>
        <w:left w:val="none" w:sz="0" w:space="0" w:color="auto"/>
        <w:bottom w:val="none" w:sz="0" w:space="0" w:color="auto"/>
        <w:right w:val="none" w:sz="0" w:space="0" w:color="auto"/>
      </w:divBdr>
    </w:div>
    <w:div w:id="2103379296">
      <w:bodyDiv w:val="1"/>
      <w:marLeft w:val="0"/>
      <w:marRight w:val="0"/>
      <w:marTop w:val="0"/>
      <w:marBottom w:val="0"/>
      <w:divBdr>
        <w:top w:val="none" w:sz="0" w:space="0" w:color="auto"/>
        <w:left w:val="none" w:sz="0" w:space="0" w:color="auto"/>
        <w:bottom w:val="none" w:sz="0" w:space="0" w:color="auto"/>
        <w:right w:val="none" w:sz="0" w:space="0" w:color="auto"/>
      </w:divBdr>
    </w:div>
    <w:div w:id="2121416579">
      <w:bodyDiv w:val="1"/>
      <w:marLeft w:val="0"/>
      <w:marRight w:val="0"/>
      <w:marTop w:val="0"/>
      <w:marBottom w:val="0"/>
      <w:divBdr>
        <w:top w:val="none" w:sz="0" w:space="0" w:color="auto"/>
        <w:left w:val="none" w:sz="0" w:space="0" w:color="auto"/>
        <w:bottom w:val="none" w:sz="0" w:space="0" w:color="auto"/>
        <w:right w:val="none" w:sz="0" w:space="0" w:color="auto"/>
      </w:divBdr>
    </w:div>
    <w:div w:id="2126726743">
      <w:bodyDiv w:val="1"/>
      <w:marLeft w:val="0"/>
      <w:marRight w:val="0"/>
      <w:marTop w:val="0"/>
      <w:marBottom w:val="0"/>
      <w:divBdr>
        <w:top w:val="none" w:sz="0" w:space="0" w:color="auto"/>
        <w:left w:val="none" w:sz="0" w:space="0" w:color="auto"/>
        <w:bottom w:val="none" w:sz="0" w:space="0" w:color="auto"/>
        <w:right w:val="none" w:sz="0" w:space="0" w:color="auto"/>
      </w:divBdr>
    </w:div>
    <w:div w:id="2126922249">
      <w:bodyDiv w:val="1"/>
      <w:marLeft w:val="0"/>
      <w:marRight w:val="0"/>
      <w:marTop w:val="0"/>
      <w:marBottom w:val="0"/>
      <w:divBdr>
        <w:top w:val="none" w:sz="0" w:space="0" w:color="auto"/>
        <w:left w:val="none" w:sz="0" w:space="0" w:color="auto"/>
        <w:bottom w:val="none" w:sz="0" w:space="0" w:color="auto"/>
        <w:right w:val="none" w:sz="0" w:space="0" w:color="auto"/>
      </w:divBdr>
    </w:div>
    <w:div w:id="21270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hill@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nited_States_Court_of_Appeals_for_the_Seventh_Circ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northwestern.edu/faculty/fulltime/koppelman/WhyDiscrimIsSexDiscri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scholarship-com.liverpool.idm.oclc.org/view/10.1093/acprof:oso/9780199580064.001.0001/acprof-9780199580064" TargetMode="External"/><Relationship Id="rId4" Type="http://schemas.openxmlformats.org/officeDocument/2006/relationships/settings" Target="settings.xml"/><Relationship Id="rId9" Type="http://schemas.openxmlformats.org/officeDocument/2006/relationships/hyperlink" Target="https://www.gesetze-im-internet.de/lpartg/BJNR02661000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B1B7F-69CF-46E3-B4B3-B6AB47F9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12184</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81477</CharactersWithSpaces>
  <SharedDoc>false</SharedDoc>
  <HLinks>
    <vt:vector size="30" baseType="variant">
      <vt:variant>
        <vt:i4>5832783</vt:i4>
      </vt:variant>
      <vt:variant>
        <vt:i4>0</vt:i4>
      </vt:variant>
      <vt:variant>
        <vt:i4>0</vt:i4>
      </vt:variant>
      <vt:variant>
        <vt:i4>5</vt:i4>
      </vt:variant>
      <vt:variant>
        <vt:lpwstr>https://www-oxfordscholarship-com.liverpool.idm.oclc.org/view/10.1093/acprof:oso/9780199580064.001.0001/acprof-9780199580064</vt:lpwstr>
      </vt:variant>
      <vt:variant>
        <vt:lpwstr/>
      </vt:variant>
      <vt:variant>
        <vt:i4>5177345</vt:i4>
      </vt:variant>
      <vt:variant>
        <vt:i4>9</vt:i4>
      </vt:variant>
      <vt:variant>
        <vt:i4>0</vt:i4>
      </vt:variant>
      <vt:variant>
        <vt:i4>5</vt:i4>
      </vt:variant>
      <vt:variant>
        <vt:lpwstr>https://www.gesetze-im-internet.de/lpartg/BJNR026610001.html</vt:lpwstr>
      </vt:variant>
      <vt:variant>
        <vt:lpwstr/>
      </vt:variant>
      <vt:variant>
        <vt:i4>7274563</vt:i4>
      </vt:variant>
      <vt:variant>
        <vt:i4>6</vt:i4>
      </vt:variant>
      <vt:variant>
        <vt:i4>0</vt:i4>
      </vt:variant>
      <vt:variant>
        <vt:i4>5</vt:i4>
      </vt:variant>
      <vt:variant>
        <vt:lpwstr>http://eur-lex.europa.eu/smartapi/cgi/sga_doc?smartapi!celexplus!prod!CELEXnumdoc&amp;numdoc=61993J0032&amp;lg=en</vt:lpwstr>
      </vt:variant>
      <vt:variant>
        <vt:lpwstr/>
      </vt:variant>
      <vt:variant>
        <vt:i4>4390916</vt:i4>
      </vt:variant>
      <vt:variant>
        <vt:i4>3</vt:i4>
      </vt:variant>
      <vt:variant>
        <vt:i4>0</vt:i4>
      </vt:variant>
      <vt:variant>
        <vt:i4>5</vt:i4>
      </vt:variant>
      <vt:variant>
        <vt:lpwstr>http://www.law.northwestern.edu/faculty/fulltime/koppelman/WhyDiscrimIsSexDiscrim.pdf</vt:lpwstr>
      </vt:variant>
      <vt:variant>
        <vt:lpwstr/>
      </vt:variant>
      <vt:variant>
        <vt:i4>5832783</vt:i4>
      </vt:variant>
      <vt:variant>
        <vt:i4>0</vt:i4>
      </vt:variant>
      <vt:variant>
        <vt:i4>0</vt:i4>
      </vt:variant>
      <vt:variant>
        <vt:i4>5</vt:i4>
      </vt:variant>
      <vt:variant>
        <vt:lpwstr>https://www-oxfordscholarship-com.liverpool.idm.oclc.org/view/10.1093/acprof:oso/9780199693375.001.0001/acprof-9780199693375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Hill</dc:creator>
  <cp:keywords/>
  <cp:lastModifiedBy>Daniel Hill</cp:lastModifiedBy>
  <cp:revision>2</cp:revision>
  <dcterms:created xsi:type="dcterms:W3CDTF">2020-07-13T12:23:00Z</dcterms:created>
  <dcterms:modified xsi:type="dcterms:W3CDTF">2020-07-13T12:23:00Z</dcterms:modified>
</cp:coreProperties>
</file>