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F0557" w14:textId="08E07E7C" w:rsidR="001E7E25" w:rsidRDefault="001E7E25" w:rsidP="00871C96">
      <w:pPr>
        <w:spacing w:line="480" w:lineRule="auto"/>
        <w:jc w:val="center"/>
        <w:rPr>
          <w:rFonts w:ascii="Times New Roman" w:hAnsi="Times New Roman" w:cs="Times New Roman"/>
          <w:b/>
        </w:rPr>
      </w:pPr>
      <w:bookmarkStart w:id="0" w:name="_GoBack"/>
      <w:bookmarkEnd w:id="0"/>
      <w:r>
        <w:rPr>
          <w:rFonts w:ascii="Times New Roman" w:hAnsi="Times New Roman" w:cs="Times New Roman"/>
          <w:b/>
        </w:rPr>
        <w:t>To move or not to move? Exploring the relationship between residential mobilit</w:t>
      </w:r>
      <w:r w:rsidR="00137F95">
        <w:rPr>
          <w:rFonts w:ascii="Times New Roman" w:hAnsi="Times New Roman" w:cs="Times New Roman"/>
          <w:b/>
        </w:rPr>
        <w:t xml:space="preserve">y, risk of </w:t>
      </w:r>
      <w:r w:rsidR="0021016A">
        <w:rPr>
          <w:rFonts w:ascii="Times New Roman" w:hAnsi="Times New Roman" w:cs="Times New Roman"/>
          <w:b/>
        </w:rPr>
        <w:t xml:space="preserve">cardiovascular disease </w:t>
      </w:r>
      <w:r w:rsidR="00137F95">
        <w:rPr>
          <w:rFonts w:ascii="Times New Roman" w:hAnsi="Times New Roman" w:cs="Times New Roman"/>
          <w:b/>
        </w:rPr>
        <w:t>and ethnicity</w:t>
      </w:r>
      <w:r>
        <w:rPr>
          <w:rFonts w:ascii="Times New Roman" w:hAnsi="Times New Roman" w:cs="Times New Roman"/>
          <w:b/>
        </w:rPr>
        <w:t xml:space="preserve"> in New Zealand</w:t>
      </w:r>
    </w:p>
    <w:p w14:paraId="768A514A" w14:textId="23F7A4E2" w:rsidR="0036644D" w:rsidRDefault="0036644D" w:rsidP="00871C96">
      <w:pPr>
        <w:spacing w:line="480" w:lineRule="auto"/>
        <w:rPr>
          <w:rFonts w:ascii="Times New Roman" w:hAnsi="Times New Roman" w:cs="Times New Roman"/>
          <w:b/>
        </w:rPr>
      </w:pPr>
      <w:r>
        <w:rPr>
          <w:rFonts w:ascii="Times New Roman" w:hAnsi="Times New Roman" w:cs="Times New Roman"/>
          <w:b/>
        </w:rPr>
        <w:t>Abstract</w:t>
      </w:r>
    </w:p>
    <w:p w14:paraId="335D78FF" w14:textId="3483A481" w:rsidR="0036644D" w:rsidRDefault="00C72E61" w:rsidP="00871C96">
      <w:pPr>
        <w:spacing w:line="480" w:lineRule="auto"/>
        <w:jc w:val="both"/>
        <w:rPr>
          <w:rFonts w:ascii="Times New Roman" w:hAnsi="Times New Roman" w:cs="Times New Roman"/>
        </w:rPr>
      </w:pPr>
      <w:r>
        <w:rPr>
          <w:rFonts w:ascii="Times New Roman" w:hAnsi="Times New Roman" w:cs="Times New Roman"/>
        </w:rPr>
        <w:t xml:space="preserve">Residential mobility </w:t>
      </w:r>
      <w:r w:rsidR="007C3D24">
        <w:rPr>
          <w:rFonts w:ascii="Times New Roman" w:hAnsi="Times New Roman" w:cs="Times New Roman"/>
        </w:rPr>
        <w:t>can</w:t>
      </w:r>
      <w:r>
        <w:rPr>
          <w:rFonts w:ascii="Times New Roman" w:hAnsi="Times New Roman" w:cs="Times New Roman"/>
        </w:rPr>
        <w:t xml:space="preserve"> have negative impacts on health, with some studies finding that residential mobility can contribute to widening health gradients in the population. However,</w:t>
      </w:r>
      <w:r w:rsidR="00281868">
        <w:rPr>
          <w:rFonts w:ascii="Times New Roman" w:hAnsi="Times New Roman" w:cs="Times New Roman"/>
        </w:rPr>
        <w:t xml:space="preserve"> ethnically differentiated experiences of residential mobility and the relationship with health are neglected in the literature. </w:t>
      </w:r>
      <w:r w:rsidR="00137F95">
        <w:rPr>
          <w:rFonts w:ascii="Times New Roman" w:hAnsi="Times New Roman" w:cs="Times New Roman"/>
        </w:rPr>
        <w:t>To examine the relationship between residential mobility, risk of cardiovascular disease</w:t>
      </w:r>
      <w:r w:rsidR="0024642C">
        <w:rPr>
          <w:rFonts w:ascii="Times New Roman" w:hAnsi="Times New Roman" w:cs="Times New Roman"/>
        </w:rPr>
        <w:t xml:space="preserve"> (CVD)</w:t>
      </w:r>
      <w:r w:rsidR="00137F95">
        <w:rPr>
          <w:rFonts w:ascii="Times New Roman" w:hAnsi="Times New Roman" w:cs="Times New Roman"/>
        </w:rPr>
        <w:t xml:space="preserve"> and ethnicity, we construct</w:t>
      </w:r>
      <w:r w:rsidR="00106EBF">
        <w:rPr>
          <w:rFonts w:ascii="Times New Roman" w:hAnsi="Times New Roman" w:cs="Times New Roman"/>
        </w:rPr>
        <w:t>ed</w:t>
      </w:r>
      <w:r w:rsidR="00137F95">
        <w:rPr>
          <w:rFonts w:ascii="Times New Roman" w:hAnsi="Times New Roman" w:cs="Times New Roman"/>
        </w:rPr>
        <w:t xml:space="preserve"> a cohort of 2,077,470 participants aged 30+ resident in New Zealand u</w:t>
      </w:r>
      <w:r>
        <w:rPr>
          <w:rFonts w:ascii="Times New Roman" w:hAnsi="Times New Roman" w:cs="Times New Roman"/>
        </w:rPr>
        <w:t>sing encrypted National Health Index (</w:t>
      </w:r>
      <w:proofErr w:type="spellStart"/>
      <w:r>
        <w:rPr>
          <w:rFonts w:ascii="Times New Roman" w:hAnsi="Times New Roman" w:cs="Times New Roman"/>
        </w:rPr>
        <w:t>eNHI</w:t>
      </w:r>
      <w:proofErr w:type="spellEnd"/>
      <w:r>
        <w:rPr>
          <w:rFonts w:ascii="Times New Roman" w:hAnsi="Times New Roman" w:cs="Times New Roman"/>
        </w:rPr>
        <w:t>) numbers linked to individual level routinely recorded data</w:t>
      </w:r>
      <w:r w:rsidR="00137F95">
        <w:rPr>
          <w:rFonts w:ascii="Times New Roman" w:hAnsi="Times New Roman" w:cs="Times New Roman"/>
        </w:rPr>
        <w:t xml:space="preserve">. Using binary logistic regression, we </w:t>
      </w:r>
      <w:r>
        <w:rPr>
          <w:rFonts w:ascii="Times New Roman" w:hAnsi="Times New Roman" w:cs="Times New Roman"/>
        </w:rPr>
        <w:t>model the risk of</w:t>
      </w:r>
      <w:r w:rsidR="0024642C">
        <w:rPr>
          <w:rFonts w:ascii="Times New Roman" w:hAnsi="Times New Roman" w:cs="Times New Roman"/>
        </w:rPr>
        <w:t xml:space="preserve"> CVD </w:t>
      </w:r>
      <w:r>
        <w:rPr>
          <w:rFonts w:ascii="Times New Roman" w:hAnsi="Times New Roman" w:cs="Times New Roman"/>
        </w:rPr>
        <w:t>for the population</w:t>
      </w:r>
      <w:r w:rsidR="00137F95">
        <w:rPr>
          <w:rFonts w:ascii="Times New Roman" w:hAnsi="Times New Roman" w:cs="Times New Roman"/>
        </w:rPr>
        <w:t xml:space="preserve"> stratified by ethnic group</w:t>
      </w:r>
      <w:r>
        <w:rPr>
          <w:rFonts w:ascii="Times New Roman" w:hAnsi="Times New Roman" w:cs="Times New Roman"/>
        </w:rPr>
        <w:t xml:space="preserve"> according to mover status, baseline deprivation</w:t>
      </w:r>
      <w:r w:rsidR="00137F95">
        <w:rPr>
          <w:rFonts w:ascii="Times New Roman" w:hAnsi="Times New Roman" w:cs="Times New Roman"/>
        </w:rPr>
        <w:t xml:space="preserve"> and transitions between deprivation statuses. We show that the relationship between residential mobility and CVD varies between ethnic </w:t>
      </w:r>
      <w:r w:rsidR="00B64DAB">
        <w:rPr>
          <w:rFonts w:ascii="Times New Roman" w:hAnsi="Times New Roman" w:cs="Times New Roman"/>
        </w:rPr>
        <w:t xml:space="preserve">groups and is strongly influenced by the inter-relationship between residential mobility and deprivation mobility. </w:t>
      </w:r>
      <w:r w:rsidR="007C3D24">
        <w:rPr>
          <w:rFonts w:ascii="Times New Roman" w:hAnsi="Times New Roman" w:cs="Times New Roman"/>
        </w:rPr>
        <w:t>Whilst</w:t>
      </w:r>
      <w:r w:rsidR="00281868">
        <w:rPr>
          <w:rFonts w:ascii="Times New Roman" w:hAnsi="Times New Roman" w:cs="Times New Roman"/>
        </w:rPr>
        <w:t xml:space="preserve"> residential mobility is</w:t>
      </w:r>
      <w:r w:rsidR="00281868">
        <w:rPr>
          <w:rFonts w:ascii="Times New Roman" w:hAnsi="Times New Roman" w:cs="Times New Roman"/>
          <w:i/>
        </w:rPr>
        <w:t xml:space="preserve"> </w:t>
      </w:r>
      <w:r w:rsidR="00281868">
        <w:rPr>
          <w:rFonts w:ascii="Times New Roman" w:hAnsi="Times New Roman" w:cs="Times New Roman"/>
        </w:rPr>
        <w:t xml:space="preserve">an important determinant of CVD, much of the variation between ethnic groups </w:t>
      </w:r>
      <w:r w:rsidR="007C3D24">
        <w:rPr>
          <w:rFonts w:ascii="Times New Roman" w:hAnsi="Times New Roman" w:cs="Times New Roman"/>
        </w:rPr>
        <w:t>is</w:t>
      </w:r>
      <w:r w:rsidR="00281868">
        <w:rPr>
          <w:rFonts w:ascii="Times New Roman" w:hAnsi="Times New Roman" w:cs="Times New Roman"/>
        </w:rPr>
        <w:t xml:space="preserve"> explained by contrasting deprivation experiences. To reduce inequalities in CVD within New Zealand, </w:t>
      </w:r>
      <w:r w:rsidR="0024642C">
        <w:rPr>
          <w:rFonts w:ascii="Times New Roman" w:hAnsi="Times New Roman" w:cs="Times New Roman"/>
        </w:rPr>
        <w:t xml:space="preserve">policies must focus on </w:t>
      </w:r>
      <w:r w:rsidR="00281868">
        <w:rPr>
          <w:rFonts w:ascii="Times New Roman" w:hAnsi="Times New Roman" w:cs="Times New Roman"/>
        </w:rPr>
        <w:t xml:space="preserve">residentially mobile </w:t>
      </w:r>
      <w:r w:rsidR="00D85309">
        <w:rPr>
          <w:rFonts w:ascii="Times New Roman" w:hAnsi="Times New Roman" w:cs="Times New Roman"/>
        </w:rPr>
        <w:t>Māori</w:t>
      </w:r>
      <w:r w:rsidR="00281868">
        <w:rPr>
          <w:rFonts w:ascii="Times New Roman" w:hAnsi="Times New Roman" w:cs="Times New Roman"/>
        </w:rPr>
        <w:t xml:space="preserve">, Pacific and South Asian populations who already have a heightened risk of CVD living in more deprived areas. </w:t>
      </w:r>
    </w:p>
    <w:p w14:paraId="4BF641BA" w14:textId="75F5E8D7" w:rsidR="00331D23" w:rsidRDefault="00331D23" w:rsidP="00871C96">
      <w:pPr>
        <w:spacing w:line="480" w:lineRule="auto"/>
        <w:rPr>
          <w:rFonts w:ascii="Times New Roman" w:hAnsi="Times New Roman" w:cs="Times New Roman"/>
          <w:b/>
        </w:rPr>
      </w:pPr>
      <w:r>
        <w:rPr>
          <w:rFonts w:ascii="Times New Roman" w:hAnsi="Times New Roman" w:cs="Times New Roman"/>
          <w:b/>
        </w:rPr>
        <w:t>Key words</w:t>
      </w:r>
    </w:p>
    <w:p w14:paraId="6B8F29B7" w14:textId="4BC88095" w:rsidR="00871C96" w:rsidRPr="003E2A55" w:rsidRDefault="00331D23" w:rsidP="00871C96">
      <w:pPr>
        <w:spacing w:line="480" w:lineRule="auto"/>
        <w:rPr>
          <w:rFonts w:ascii="Times New Roman" w:hAnsi="Times New Roman" w:cs="Times New Roman"/>
          <w:b/>
        </w:rPr>
      </w:pPr>
      <w:r>
        <w:rPr>
          <w:rFonts w:ascii="Times New Roman" w:hAnsi="Times New Roman" w:cs="Times New Roman"/>
        </w:rPr>
        <w:t>New Zealand; CVD; Ethnicity; Inequalities; Mobility;  Migration; Deprivation; Record Linkage</w:t>
      </w:r>
      <w:r w:rsidR="00871C96" w:rsidRPr="00871C96">
        <w:rPr>
          <w:rFonts w:ascii="Times New Roman" w:hAnsi="Times New Roman" w:cs="Times New Roman"/>
          <w:b/>
        </w:rPr>
        <w:t xml:space="preserve"> </w:t>
      </w:r>
      <w:r w:rsidR="00871C96" w:rsidRPr="003E2A55">
        <w:rPr>
          <w:rFonts w:ascii="Times New Roman" w:hAnsi="Times New Roman" w:cs="Times New Roman"/>
          <w:b/>
        </w:rPr>
        <w:t>Introduction</w:t>
      </w:r>
    </w:p>
    <w:p w14:paraId="5604D44B" w14:textId="74118992" w:rsidR="00BD4E1D" w:rsidRDefault="00871C96" w:rsidP="00DD5599">
      <w:pPr>
        <w:spacing w:line="480" w:lineRule="auto"/>
        <w:jc w:val="both"/>
        <w:rPr>
          <w:rFonts w:ascii="Times New Roman" w:hAnsi="Times New Roman" w:cs="Times New Roman"/>
        </w:rPr>
      </w:pPr>
      <w:r w:rsidRPr="00BD4E1D">
        <w:rPr>
          <w:rFonts w:ascii="Times New Roman" w:hAnsi="Times New Roman" w:cs="Times New Roman"/>
        </w:rPr>
        <w:t xml:space="preserve">Cardiovascular disease (CVD) and associated morbidities are among the leading causes of global deaths (World Health Organisation, 2014). </w:t>
      </w:r>
      <w:r w:rsidR="0000411F">
        <w:rPr>
          <w:rFonts w:ascii="Times New Roman" w:hAnsi="Times New Roman" w:cs="Times New Roman"/>
        </w:rPr>
        <w:t>In</w:t>
      </w:r>
      <w:r w:rsidR="00DB3268">
        <w:rPr>
          <w:rFonts w:ascii="Times New Roman" w:hAnsi="Times New Roman" w:cs="Times New Roman"/>
        </w:rPr>
        <w:t xml:space="preserve"> New Zealand (NZ) </w:t>
      </w:r>
      <w:r w:rsidRPr="00BD4E1D">
        <w:rPr>
          <w:rFonts w:ascii="Times New Roman" w:hAnsi="Times New Roman" w:cs="Times New Roman"/>
        </w:rPr>
        <w:t xml:space="preserve">there are marked variations between ethnic groups in the prevalence of CVD (Blakely et al., 2004; Riddell et al., 2007; Jatrana and Blakely, 2008; Kerr et al., 2008; Grey et al., 2010; Mehta et al., 2011; Perumal et al., 2012; Ker et al., 2015; Mehta et al., 2014; </w:t>
      </w:r>
      <w:r w:rsidR="008B1C36" w:rsidRPr="00BD4E1D">
        <w:rPr>
          <w:rFonts w:ascii="Times New Roman" w:hAnsi="Times New Roman" w:cs="Times New Roman"/>
        </w:rPr>
        <w:t>Exeter et al., 2015</w:t>
      </w:r>
      <w:r w:rsidRPr="00BD4E1D">
        <w:rPr>
          <w:rFonts w:ascii="Times New Roman" w:hAnsi="Times New Roman" w:cs="Times New Roman"/>
        </w:rPr>
        <w:t xml:space="preserve">; Wells et al., 2015). </w:t>
      </w:r>
      <w:r w:rsidR="00BD4E1D" w:rsidRPr="00DD5599">
        <w:rPr>
          <w:rFonts w:ascii="Times New Roman" w:hAnsi="Times New Roman" w:cs="Times New Roman"/>
        </w:rPr>
        <w:t xml:space="preserve">Between 1980 and 1999, while all ethnic groups experienced reductions in CVD mortality, </w:t>
      </w:r>
      <w:r w:rsidR="00D85309">
        <w:rPr>
          <w:rFonts w:ascii="Times New Roman" w:hAnsi="Times New Roman" w:cs="Times New Roman"/>
        </w:rPr>
        <w:t>Māori</w:t>
      </w:r>
      <w:r w:rsidR="00BD4E1D" w:rsidRPr="00DD5599">
        <w:rPr>
          <w:rFonts w:ascii="Times New Roman" w:hAnsi="Times New Roman" w:cs="Times New Roman"/>
        </w:rPr>
        <w:t xml:space="preserve"> and Pacific populations saw markedly smaller </w:t>
      </w:r>
      <w:r w:rsidR="00BD4E1D" w:rsidRPr="00DD5599">
        <w:rPr>
          <w:rFonts w:ascii="Times New Roman" w:hAnsi="Times New Roman" w:cs="Times New Roman"/>
        </w:rPr>
        <w:lastRenderedPageBreak/>
        <w:t>reductions than non-</w:t>
      </w:r>
      <w:r w:rsidR="00D85309">
        <w:rPr>
          <w:rFonts w:ascii="Times New Roman" w:hAnsi="Times New Roman" w:cs="Times New Roman"/>
        </w:rPr>
        <w:t>Māori</w:t>
      </w:r>
      <w:r w:rsidR="00BD4E1D" w:rsidRPr="00DD5599">
        <w:rPr>
          <w:rFonts w:ascii="Times New Roman" w:hAnsi="Times New Roman" w:cs="Times New Roman"/>
        </w:rPr>
        <w:t xml:space="preserve"> non-Pacific (nMnP) groups (Blakely et al., 2005). By 2007, these disparities had not disappeared: </w:t>
      </w:r>
      <w:r w:rsidR="00D85309">
        <w:rPr>
          <w:rFonts w:ascii="Times New Roman" w:hAnsi="Times New Roman" w:cs="Times New Roman"/>
        </w:rPr>
        <w:t>Māori</w:t>
      </w:r>
      <w:r w:rsidR="00BD4E1D" w:rsidRPr="00DD5599">
        <w:rPr>
          <w:rFonts w:ascii="Times New Roman" w:hAnsi="Times New Roman" w:cs="Times New Roman"/>
        </w:rPr>
        <w:t xml:space="preserve"> males and females almost invariably had the highest age-specific prevalence of</w:t>
      </w:r>
      <w:r w:rsidR="00BE1048" w:rsidRPr="00BE1048">
        <w:rPr>
          <w:rFonts w:ascii="Times New Roman" w:hAnsi="Times New Roman" w:cs="Times New Roman"/>
        </w:rPr>
        <w:t xml:space="preserve"> CVD across all age groups, as well as </w:t>
      </w:r>
      <w:r w:rsidR="00BD4E1D" w:rsidRPr="00DD5599">
        <w:rPr>
          <w:rFonts w:ascii="Times New Roman" w:hAnsi="Times New Roman" w:cs="Times New Roman"/>
        </w:rPr>
        <w:t>the highest age-standardised prevale</w:t>
      </w:r>
      <w:r w:rsidR="00106EBF" w:rsidRPr="00106EBF">
        <w:rPr>
          <w:rFonts w:ascii="Times New Roman" w:hAnsi="Times New Roman" w:cs="Times New Roman"/>
        </w:rPr>
        <w:t>nce of CVD (7.41 compared to</w:t>
      </w:r>
      <w:r w:rsidR="00BD4E1D" w:rsidRPr="00DD5599">
        <w:rPr>
          <w:rFonts w:ascii="Times New Roman" w:hAnsi="Times New Roman" w:cs="Times New Roman"/>
        </w:rPr>
        <w:t xml:space="preserve"> NZ</w:t>
      </w:r>
      <w:r w:rsidR="00106EBF">
        <w:rPr>
          <w:rFonts w:ascii="Times New Roman" w:hAnsi="Times New Roman" w:cs="Times New Roman"/>
        </w:rPr>
        <w:t>’s</w:t>
      </w:r>
      <w:r w:rsidR="00BD4E1D" w:rsidRPr="00DD5599">
        <w:rPr>
          <w:rFonts w:ascii="Times New Roman" w:hAnsi="Times New Roman" w:cs="Times New Roman"/>
        </w:rPr>
        <w:t xml:space="preserve"> total population at 4.77</w:t>
      </w:r>
      <w:r w:rsidR="00BE1048">
        <w:rPr>
          <w:rFonts w:ascii="Times New Roman" w:hAnsi="Times New Roman" w:cs="Times New Roman"/>
        </w:rPr>
        <w:t xml:space="preserve">, and 5.68 for </w:t>
      </w:r>
      <w:r w:rsidR="00D535A5">
        <w:rPr>
          <w:rFonts w:ascii="Times New Roman" w:hAnsi="Times New Roman" w:cs="Times New Roman"/>
        </w:rPr>
        <w:t xml:space="preserve">the </w:t>
      </w:r>
      <w:r w:rsidR="00BE1048">
        <w:rPr>
          <w:rFonts w:ascii="Times New Roman" w:hAnsi="Times New Roman" w:cs="Times New Roman"/>
        </w:rPr>
        <w:t>Pacific group</w:t>
      </w:r>
      <w:r w:rsidR="00BD4E1D" w:rsidRPr="00DD5599">
        <w:rPr>
          <w:rFonts w:ascii="Times New Roman" w:hAnsi="Times New Roman" w:cs="Times New Roman"/>
        </w:rPr>
        <w:t xml:space="preserve">) (Cheuk Chan et al., 2008). Stark differences in risk of CVD and CVD mortality between ethnic groups are not restricted to NZ. For example, </w:t>
      </w:r>
      <w:r w:rsidR="00BD4E1D">
        <w:rPr>
          <w:rFonts w:ascii="Times New Roman" w:hAnsi="Times New Roman" w:cs="Times New Roman"/>
        </w:rPr>
        <w:t>r</w:t>
      </w:r>
      <w:r w:rsidR="00BD4E1D" w:rsidRPr="00E23043">
        <w:rPr>
          <w:rFonts w:ascii="Times New Roman" w:hAnsi="Times New Roman" w:cs="Times New Roman"/>
        </w:rPr>
        <w:t>ates of ischaemic heart disease amongst South Asian males are 30</w:t>
      </w:r>
      <w:r w:rsidR="00106EBF">
        <w:rPr>
          <w:rFonts w:ascii="Times New Roman" w:hAnsi="Times New Roman" w:cs="Times New Roman"/>
        </w:rPr>
        <w:t xml:space="preserve"> to</w:t>
      </w:r>
      <w:r w:rsidR="00BD4E1D" w:rsidRPr="00E23043">
        <w:rPr>
          <w:rFonts w:ascii="Times New Roman" w:hAnsi="Times New Roman" w:cs="Times New Roman"/>
        </w:rPr>
        <w:t xml:space="preserve"> 40% higher than rates amongst the</w:t>
      </w:r>
      <w:r w:rsidR="00106EBF">
        <w:rPr>
          <w:rFonts w:ascii="Times New Roman" w:hAnsi="Times New Roman" w:cs="Times New Roman"/>
        </w:rPr>
        <w:t xml:space="preserve"> UK’s</w:t>
      </w:r>
      <w:r w:rsidR="00BD4E1D" w:rsidRPr="00E23043">
        <w:rPr>
          <w:rFonts w:ascii="Times New Roman" w:hAnsi="Times New Roman" w:cs="Times New Roman"/>
        </w:rPr>
        <w:t xml:space="preserve"> general population (Department of Health, 2001). In the US in 2013, Black groups had 30% higher mortality from CVD than Whites, increasing to 113% higher CVD mortality than Asians and Pacific Islanders (Singh et al., 2015).</w:t>
      </w:r>
      <w:r w:rsidR="00B408C8">
        <w:rPr>
          <w:rFonts w:ascii="Times New Roman" w:hAnsi="Times New Roman" w:cs="Times New Roman"/>
        </w:rPr>
        <w:t xml:space="preserve"> </w:t>
      </w:r>
    </w:p>
    <w:p w14:paraId="02CA4C0E" w14:textId="46177702" w:rsidR="00BD4E1D" w:rsidRPr="00DD5599" w:rsidRDefault="00BD4E1D" w:rsidP="00DD5599">
      <w:pPr>
        <w:spacing w:line="480" w:lineRule="auto"/>
        <w:jc w:val="both"/>
        <w:rPr>
          <w:rFonts w:ascii="Times New Roman" w:hAnsi="Times New Roman" w:cs="Times New Roman"/>
        </w:rPr>
      </w:pPr>
      <w:r w:rsidRPr="00DD5599">
        <w:rPr>
          <w:rFonts w:ascii="Times New Roman" w:hAnsi="Times New Roman" w:cs="Times New Roman"/>
        </w:rPr>
        <w:t xml:space="preserve">Exploring why ethnic inequalities in CVD exist is therefore of international importance. The </w:t>
      </w:r>
      <w:r w:rsidR="00D535A5">
        <w:rPr>
          <w:rFonts w:ascii="Times New Roman" w:hAnsi="Times New Roman" w:cs="Times New Roman"/>
        </w:rPr>
        <w:t>existence</w:t>
      </w:r>
      <w:r w:rsidRPr="00DD5599">
        <w:rPr>
          <w:rFonts w:ascii="Times New Roman" w:hAnsi="Times New Roman" w:cs="Times New Roman"/>
        </w:rPr>
        <w:t xml:space="preserve"> of these inequalities across different contexts </w:t>
      </w:r>
      <w:r w:rsidRPr="00DD5599">
        <w:rPr>
          <w:rFonts w:ascii="Times New Roman" w:hAnsi="Times New Roman" w:cs="Times New Roman"/>
          <w:i/>
        </w:rPr>
        <w:t xml:space="preserve">and </w:t>
      </w:r>
      <w:r w:rsidRPr="00DD5599">
        <w:rPr>
          <w:rFonts w:ascii="Times New Roman" w:hAnsi="Times New Roman" w:cs="Times New Roman"/>
        </w:rPr>
        <w:t xml:space="preserve">across different ethnic groups suggests that these disparities are not solely explained by ‘ethnicity’. Rather, these differences may (in part) be explained by similarities in the experiences of </w:t>
      </w:r>
      <w:r w:rsidRPr="00DD5599">
        <w:rPr>
          <w:rFonts w:ascii="Times New Roman" w:hAnsi="Times New Roman" w:cs="Times New Roman"/>
          <w:i/>
        </w:rPr>
        <w:t>minority</w:t>
      </w:r>
      <w:r w:rsidRPr="00DD5599">
        <w:rPr>
          <w:rFonts w:ascii="Times New Roman" w:hAnsi="Times New Roman" w:cs="Times New Roman"/>
        </w:rPr>
        <w:t xml:space="preserve"> groups across different context</w:t>
      </w:r>
      <w:r w:rsidR="00BE1048">
        <w:rPr>
          <w:rFonts w:ascii="Times New Roman" w:hAnsi="Times New Roman" w:cs="Times New Roman"/>
        </w:rPr>
        <w:t>s</w:t>
      </w:r>
      <w:r w:rsidRPr="00DD5599">
        <w:rPr>
          <w:rFonts w:ascii="Times New Roman" w:hAnsi="Times New Roman" w:cs="Times New Roman"/>
        </w:rPr>
        <w:t xml:space="preserve"> and the</w:t>
      </w:r>
      <w:r w:rsidRPr="00BD4E1D">
        <w:rPr>
          <w:rFonts w:ascii="Times New Roman" w:hAnsi="Times New Roman" w:cs="Times New Roman"/>
        </w:rPr>
        <w:t xml:space="preserve"> social gradient to risk of CVD</w:t>
      </w:r>
      <w:r>
        <w:rPr>
          <w:rFonts w:ascii="Times New Roman" w:hAnsi="Times New Roman" w:cs="Times New Roman"/>
        </w:rPr>
        <w:t>.</w:t>
      </w:r>
    </w:p>
    <w:p w14:paraId="6F617399" w14:textId="0F8A6753" w:rsidR="00337A03" w:rsidRPr="00DD5599" w:rsidRDefault="00871C96" w:rsidP="00DD5599">
      <w:pPr>
        <w:spacing w:line="480" w:lineRule="auto"/>
        <w:jc w:val="both"/>
        <w:rPr>
          <w:rFonts w:ascii="Times New Roman" w:hAnsi="Times New Roman" w:cs="Times New Roman"/>
        </w:rPr>
      </w:pPr>
      <w:r w:rsidRPr="00E23043">
        <w:rPr>
          <w:rFonts w:ascii="Times New Roman" w:hAnsi="Times New Roman" w:cs="Times New Roman"/>
        </w:rPr>
        <w:t xml:space="preserve">The impact of both traditional and environmental risk factors for CVD is modified by socioeconomic status (Albert et al., 2006). Thus, </w:t>
      </w:r>
      <w:r>
        <w:rPr>
          <w:rFonts w:ascii="Times New Roman" w:hAnsi="Times New Roman" w:cs="Times New Roman"/>
        </w:rPr>
        <w:t>l</w:t>
      </w:r>
      <w:r w:rsidRPr="00E23043">
        <w:rPr>
          <w:rFonts w:ascii="Times New Roman" w:hAnsi="Times New Roman" w:cs="Times New Roman"/>
        </w:rPr>
        <w:t>ower socioeconomic status and general disadvantage</w:t>
      </w:r>
      <w:r>
        <w:rPr>
          <w:rFonts w:ascii="Times New Roman" w:hAnsi="Times New Roman" w:cs="Times New Roman"/>
        </w:rPr>
        <w:t xml:space="preserve"> are</w:t>
      </w:r>
      <w:r w:rsidRPr="00E23043">
        <w:rPr>
          <w:rFonts w:ascii="Times New Roman" w:hAnsi="Times New Roman" w:cs="Times New Roman"/>
        </w:rPr>
        <w:t xml:space="preserve"> associated with higher levels of CVD (Kanjilal et al., 2006; Clark et al., 2009) or increased exposure to </w:t>
      </w:r>
      <w:r w:rsidR="00BE1048">
        <w:rPr>
          <w:rFonts w:ascii="Times New Roman" w:hAnsi="Times New Roman" w:cs="Times New Roman"/>
        </w:rPr>
        <w:t xml:space="preserve">CVD </w:t>
      </w:r>
      <w:r w:rsidRPr="00E23043">
        <w:rPr>
          <w:rFonts w:ascii="Times New Roman" w:hAnsi="Times New Roman" w:cs="Times New Roman"/>
        </w:rPr>
        <w:t xml:space="preserve">risk factors, such as smoking or low levels of physical activity (Gupta et al., 2012). </w:t>
      </w:r>
      <w:r w:rsidR="00337A03" w:rsidRPr="00DD5599">
        <w:rPr>
          <w:rFonts w:ascii="Times New Roman" w:hAnsi="Times New Roman" w:cs="Times New Roman"/>
        </w:rPr>
        <w:t xml:space="preserve">A review of CVD mortality in the US and </w:t>
      </w:r>
      <w:r w:rsidR="00BE1048">
        <w:rPr>
          <w:rFonts w:ascii="Times New Roman" w:hAnsi="Times New Roman" w:cs="Times New Roman"/>
        </w:rPr>
        <w:t xml:space="preserve">11 </w:t>
      </w:r>
      <w:r w:rsidR="00337A03" w:rsidRPr="00DD5599">
        <w:rPr>
          <w:rFonts w:ascii="Times New Roman" w:hAnsi="Times New Roman" w:cs="Times New Roman"/>
        </w:rPr>
        <w:t xml:space="preserve">western European countries found that risk increased with decreasing occupational class and lower levels of educational attainment, as well as factors such as smoking uptake and alcohol consumption (Mackenbach et al., 2000). </w:t>
      </w:r>
    </w:p>
    <w:p w14:paraId="089C9CA9" w14:textId="12C99FB4" w:rsidR="00337A03" w:rsidRPr="00DD5599" w:rsidRDefault="00337A03" w:rsidP="00DD5599">
      <w:pPr>
        <w:spacing w:line="480" w:lineRule="auto"/>
        <w:jc w:val="both"/>
        <w:rPr>
          <w:rFonts w:ascii="Times New Roman" w:hAnsi="Times New Roman" w:cs="Times New Roman"/>
        </w:rPr>
      </w:pPr>
      <w:r>
        <w:rPr>
          <w:rFonts w:ascii="Times New Roman" w:hAnsi="Times New Roman" w:cs="Times New Roman"/>
        </w:rPr>
        <w:t xml:space="preserve">Given the social gradient </w:t>
      </w:r>
      <w:r w:rsidR="00D535A5">
        <w:rPr>
          <w:rFonts w:ascii="Times New Roman" w:hAnsi="Times New Roman" w:cs="Times New Roman"/>
        </w:rPr>
        <w:t>of</w:t>
      </w:r>
      <w:r>
        <w:rPr>
          <w:rFonts w:ascii="Times New Roman" w:hAnsi="Times New Roman" w:cs="Times New Roman"/>
        </w:rPr>
        <w:t xml:space="preserve"> CVD</w:t>
      </w:r>
      <w:r w:rsidR="00D535A5">
        <w:rPr>
          <w:rFonts w:ascii="Times New Roman" w:hAnsi="Times New Roman" w:cs="Times New Roman"/>
        </w:rPr>
        <w:t xml:space="preserve"> </w:t>
      </w:r>
      <w:r w:rsidR="00106EBF">
        <w:rPr>
          <w:rFonts w:ascii="Times New Roman" w:hAnsi="Times New Roman" w:cs="Times New Roman"/>
        </w:rPr>
        <w:t>occurrences</w:t>
      </w:r>
      <w:r>
        <w:rPr>
          <w:rFonts w:ascii="Times New Roman" w:hAnsi="Times New Roman" w:cs="Times New Roman"/>
        </w:rPr>
        <w:t xml:space="preserve">, it is important to consider the contrasting socioeconomic </w:t>
      </w:r>
      <w:r w:rsidR="00BE1048">
        <w:rPr>
          <w:rFonts w:ascii="Times New Roman" w:hAnsi="Times New Roman" w:cs="Times New Roman"/>
        </w:rPr>
        <w:t>circumstances which invariably</w:t>
      </w:r>
      <w:r>
        <w:rPr>
          <w:rFonts w:ascii="Times New Roman" w:hAnsi="Times New Roman" w:cs="Times New Roman"/>
        </w:rPr>
        <w:t xml:space="preserve"> characterise the experience of marginalised minority ethnic groups </w:t>
      </w:r>
      <w:r w:rsidR="00BE1048">
        <w:rPr>
          <w:rFonts w:ascii="Times New Roman" w:hAnsi="Times New Roman" w:cs="Times New Roman"/>
        </w:rPr>
        <w:t xml:space="preserve">(MEGs) </w:t>
      </w:r>
      <w:r>
        <w:rPr>
          <w:rFonts w:ascii="Times New Roman" w:hAnsi="Times New Roman" w:cs="Times New Roman"/>
        </w:rPr>
        <w:t>in different contexts</w:t>
      </w:r>
      <w:r w:rsidR="00106EBF">
        <w:rPr>
          <w:rFonts w:ascii="Times New Roman" w:hAnsi="Times New Roman" w:cs="Times New Roman"/>
        </w:rPr>
        <w:t>,</w:t>
      </w:r>
      <w:r>
        <w:rPr>
          <w:rFonts w:ascii="Times New Roman" w:hAnsi="Times New Roman" w:cs="Times New Roman"/>
        </w:rPr>
        <w:t xml:space="preserve"> particularly w</w:t>
      </w:r>
      <w:r w:rsidRPr="00DD5599">
        <w:rPr>
          <w:rFonts w:ascii="Times New Roman" w:hAnsi="Times New Roman" w:cs="Times New Roman"/>
        </w:rPr>
        <w:t>hen assessing ethnic inequalities in CVD</w:t>
      </w:r>
      <w:r>
        <w:rPr>
          <w:rFonts w:ascii="Times New Roman" w:hAnsi="Times New Roman" w:cs="Times New Roman"/>
        </w:rPr>
        <w:t xml:space="preserve">. </w:t>
      </w:r>
      <w:r w:rsidRPr="00DD5599">
        <w:rPr>
          <w:rFonts w:ascii="Times New Roman" w:hAnsi="Times New Roman" w:cs="Times New Roman"/>
        </w:rPr>
        <w:t xml:space="preserve">Where broader structural inequalities exist, these may exaggerate the already disadvantaged experience of marginalised </w:t>
      </w:r>
      <w:r w:rsidR="00BE1048">
        <w:rPr>
          <w:rFonts w:ascii="Times New Roman" w:hAnsi="Times New Roman" w:cs="Times New Roman"/>
        </w:rPr>
        <w:t>MEGs</w:t>
      </w:r>
      <w:r w:rsidRPr="00DD5599">
        <w:rPr>
          <w:rFonts w:ascii="Times New Roman" w:hAnsi="Times New Roman" w:cs="Times New Roman"/>
        </w:rPr>
        <w:t xml:space="preserve"> and exacerbate health differences. For example,</w:t>
      </w:r>
      <w:r w:rsidR="00106EBF">
        <w:rPr>
          <w:rFonts w:ascii="Times New Roman" w:hAnsi="Times New Roman" w:cs="Times New Roman"/>
        </w:rPr>
        <w:t xml:space="preserve"> it has been suggested that</w:t>
      </w:r>
      <w:r w:rsidRPr="00DD5599">
        <w:rPr>
          <w:rFonts w:ascii="Times New Roman" w:hAnsi="Times New Roman" w:cs="Times New Roman"/>
        </w:rPr>
        <w:t xml:space="preserve"> in </w:t>
      </w:r>
      <w:r w:rsidR="00BE1048">
        <w:rPr>
          <w:rFonts w:ascii="Times New Roman" w:hAnsi="Times New Roman" w:cs="Times New Roman"/>
        </w:rPr>
        <w:t>NZ</w:t>
      </w:r>
      <w:r w:rsidR="00106EBF">
        <w:rPr>
          <w:rFonts w:ascii="Times New Roman" w:hAnsi="Times New Roman" w:cs="Times New Roman"/>
        </w:rPr>
        <w:t>,</w:t>
      </w:r>
      <w:r w:rsidRPr="00DD5599">
        <w:rPr>
          <w:rFonts w:ascii="Times New Roman" w:hAnsi="Times New Roman" w:cs="Times New Roman"/>
        </w:rPr>
        <w:t xml:space="preserve"> widening </w:t>
      </w:r>
      <w:r w:rsidRPr="00DD5599">
        <w:rPr>
          <w:rFonts w:ascii="Times New Roman" w:hAnsi="Times New Roman" w:cs="Times New Roman"/>
        </w:rPr>
        <w:lastRenderedPageBreak/>
        <w:t xml:space="preserve">inequalities in employment, housing, education and income during the 1980s and 1990s between </w:t>
      </w:r>
      <w:r w:rsidR="00D85309">
        <w:rPr>
          <w:rFonts w:ascii="Times New Roman" w:hAnsi="Times New Roman" w:cs="Times New Roman"/>
        </w:rPr>
        <w:t>Māori</w:t>
      </w:r>
      <w:r w:rsidRPr="00DD5599">
        <w:rPr>
          <w:rFonts w:ascii="Times New Roman" w:hAnsi="Times New Roman" w:cs="Times New Roman"/>
        </w:rPr>
        <w:t xml:space="preserve"> and Pacific groups compared to n</w:t>
      </w:r>
      <w:r w:rsidR="00284D58">
        <w:rPr>
          <w:rFonts w:ascii="Times New Roman" w:hAnsi="Times New Roman" w:cs="Times New Roman"/>
        </w:rPr>
        <w:t xml:space="preserve">on-Māori </w:t>
      </w:r>
      <w:r w:rsidRPr="00DD5599">
        <w:rPr>
          <w:rFonts w:ascii="Times New Roman" w:hAnsi="Times New Roman" w:cs="Times New Roman"/>
        </w:rPr>
        <w:t>n</w:t>
      </w:r>
      <w:r w:rsidR="00284D58">
        <w:rPr>
          <w:rFonts w:ascii="Times New Roman" w:hAnsi="Times New Roman" w:cs="Times New Roman"/>
        </w:rPr>
        <w:t>on-</w:t>
      </w:r>
      <w:r w:rsidRPr="00DD5599">
        <w:rPr>
          <w:rFonts w:ascii="Times New Roman" w:hAnsi="Times New Roman" w:cs="Times New Roman"/>
        </w:rPr>
        <w:t>P</w:t>
      </w:r>
      <w:r w:rsidR="00284D58">
        <w:rPr>
          <w:rFonts w:ascii="Times New Roman" w:hAnsi="Times New Roman" w:cs="Times New Roman"/>
        </w:rPr>
        <w:t>acific</w:t>
      </w:r>
      <w:r w:rsidRPr="00DD5599">
        <w:rPr>
          <w:rFonts w:ascii="Times New Roman" w:hAnsi="Times New Roman" w:cs="Times New Roman"/>
        </w:rPr>
        <w:t xml:space="preserve"> groups may have had significant health implications (Blakely et al., 2005)</w:t>
      </w:r>
      <w:r w:rsidR="00106EBF">
        <w:rPr>
          <w:rFonts w:ascii="Times New Roman" w:hAnsi="Times New Roman" w:cs="Times New Roman"/>
        </w:rPr>
        <w:t xml:space="preserve">. This may </w:t>
      </w:r>
      <w:r w:rsidRPr="00DD5599">
        <w:rPr>
          <w:rFonts w:ascii="Times New Roman" w:hAnsi="Times New Roman" w:cs="Times New Roman"/>
        </w:rPr>
        <w:t>explain</w:t>
      </w:r>
      <w:r>
        <w:rPr>
          <w:rFonts w:ascii="Times New Roman" w:hAnsi="Times New Roman" w:cs="Times New Roman"/>
        </w:rPr>
        <w:t xml:space="preserve"> the</w:t>
      </w:r>
      <w:r w:rsidRPr="00DD5599">
        <w:rPr>
          <w:rFonts w:ascii="Times New Roman" w:hAnsi="Times New Roman" w:cs="Times New Roman"/>
        </w:rPr>
        <w:t xml:space="preserve"> smaller reductions in CVD mortality for </w:t>
      </w:r>
      <w:r w:rsidR="00D85309">
        <w:rPr>
          <w:rFonts w:ascii="Times New Roman" w:hAnsi="Times New Roman" w:cs="Times New Roman"/>
        </w:rPr>
        <w:t>Māori</w:t>
      </w:r>
      <w:r w:rsidRPr="00DD5599">
        <w:rPr>
          <w:rFonts w:ascii="Times New Roman" w:hAnsi="Times New Roman" w:cs="Times New Roman"/>
        </w:rPr>
        <w:t xml:space="preserve"> and Pacific populations than observed for the </w:t>
      </w:r>
      <w:r w:rsidR="00284D58" w:rsidRPr="005D3BC6">
        <w:rPr>
          <w:rFonts w:ascii="Times New Roman" w:hAnsi="Times New Roman" w:cs="Times New Roman"/>
        </w:rPr>
        <w:t>n</w:t>
      </w:r>
      <w:r w:rsidR="00284D58">
        <w:rPr>
          <w:rFonts w:ascii="Times New Roman" w:hAnsi="Times New Roman" w:cs="Times New Roman"/>
        </w:rPr>
        <w:t xml:space="preserve">on-Māori </w:t>
      </w:r>
      <w:r w:rsidR="00284D58" w:rsidRPr="005D3BC6">
        <w:rPr>
          <w:rFonts w:ascii="Times New Roman" w:hAnsi="Times New Roman" w:cs="Times New Roman"/>
        </w:rPr>
        <w:t>n</w:t>
      </w:r>
      <w:r w:rsidR="00284D58">
        <w:rPr>
          <w:rFonts w:ascii="Times New Roman" w:hAnsi="Times New Roman" w:cs="Times New Roman"/>
        </w:rPr>
        <w:t>on-</w:t>
      </w:r>
      <w:r w:rsidR="00284D58" w:rsidRPr="005D3BC6">
        <w:rPr>
          <w:rFonts w:ascii="Times New Roman" w:hAnsi="Times New Roman" w:cs="Times New Roman"/>
        </w:rPr>
        <w:t>P</w:t>
      </w:r>
      <w:r w:rsidR="00284D58">
        <w:rPr>
          <w:rFonts w:ascii="Times New Roman" w:hAnsi="Times New Roman" w:cs="Times New Roman"/>
        </w:rPr>
        <w:t>acific</w:t>
      </w:r>
      <w:r w:rsidR="00284D58" w:rsidRPr="00284D58" w:rsidDel="00284D58">
        <w:rPr>
          <w:rFonts w:ascii="Times New Roman" w:hAnsi="Times New Roman" w:cs="Times New Roman"/>
        </w:rPr>
        <w:t xml:space="preserve"> </w:t>
      </w:r>
      <w:r w:rsidRPr="00DD5599">
        <w:rPr>
          <w:rFonts w:ascii="Times New Roman" w:hAnsi="Times New Roman" w:cs="Times New Roman"/>
        </w:rPr>
        <w:t xml:space="preserve">population. </w:t>
      </w:r>
      <w:r>
        <w:rPr>
          <w:rFonts w:ascii="Times New Roman" w:hAnsi="Times New Roman" w:cs="Times New Roman"/>
        </w:rPr>
        <w:t xml:space="preserve">However, results of a previous study in Auckland, NZ suggest that there is an additional mechanism potentially driving inequalities in CVD: residential mobility. </w:t>
      </w:r>
    </w:p>
    <w:p w14:paraId="0C9DBBD4" w14:textId="1DED80C3" w:rsidR="00871C96" w:rsidRPr="003E2A55" w:rsidRDefault="00337A03" w:rsidP="00871C96">
      <w:pPr>
        <w:spacing w:line="480" w:lineRule="auto"/>
        <w:jc w:val="both"/>
        <w:rPr>
          <w:rFonts w:ascii="Times New Roman" w:hAnsi="Times New Roman" w:cs="Times New Roman"/>
        </w:rPr>
      </w:pPr>
      <w:r>
        <w:rPr>
          <w:rFonts w:ascii="Times New Roman" w:hAnsi="Times New Roman" w:cs="Times New Roman"/>
        </w:rPr>
        <w:t xml:space="preserve"> XXXX found residential mobility </w:t>
      </w:r>
      <w:r w:rsidR="00871C96" w:rsidRPr="003E2A55">
        <w:rPr>
          <w:rFonts w:ascii="Times New Roman" w:hAnsi="Times New Roman" w:cs="Times New Roman"/>
        </w:rPr>
        <w:t xml:space="preserve">to be an important determinant of </w:t>
      </w:r>
      <w:r w:rsidR="00871C96" w:rsidRPr="00E23043">
        <w:rPr>
          <w:rFonts w:ascii="Times New Roman" w:hAnsi="Times New Roman" w:cs="Times New Roman"/>
        </w:rPr>
        <w:t xml:space="preserve">CVD </w:t>
      </w:r>
      <w:r>
        <w:rPr>
          <w:rFonts w:ascii="Times New Roman" w:hAnsi="Times New Roman" w:cs="Times New Roman"/>
        </w:rPr>
        <w:t>in Auckland</w:t>
      </w:r>
      <w:r w:rsidR="00BE1048">
        <w:rPr>
          <w:rFonts w:ascii="Times New Roman" w:hAnsi="Times New Roman" w:cs="Times New Roman"/>
        </w:rPr>
        <w:t>,</w:t>
      </w:r>
      <w:r>
        <w:rPr>
          <w:rFonts w:ascii="Times New Roman" w:hAnsi="Times New Roman" w:cs="Times New Roman"/>
        </w:rPr>
        <w:t xml:space="preserve"> NZ.</w:t>
      </w:r>
      <w:r w:rsidR="00871C96" w:rsidRPr="00E23043">
        <w:rPr>
          <w:rFonts w:ascii="Times New Roman" w:hAnsi="Times New Roman" w:cs="Times New Roman"/>
        </w:rPr>
        <w:t xml:space="preserve"> </w:t>
      </w:r>
      <w:r w:rsidR="00BE1048">
        <w:rPr>
          <w:rFonts w:ascii="Times New Roman" w:hAnsi="Times New Roman" w:cs="Times New Roman"/>
        </w:rPr>
        <w:t>Residential mobility has important implications for health (Morris et al., 2016), and has been</w:t>
      </w:r>
      <w:r w:rsidR="00871C96" w:rsidRPr="00E23043">
        <w:rPr>
          <w:rFonts w:ascii="Times New Roman" w:hAnsi="Times New Roman" w:cs="Times New Roman"/>
        </w:rPr>
        <w:t xml:space="preserve"> examined in</w:t>
      </w:r>
      <w:r w:rsidR="008F296D">
        <w:rPr>
          <w:rFonts w:ascii="Times New Roman" w:hAnsi="Times New Roman" w:cs="Times New Roman"/>
        </w:rPr>
        <w:t xml:space="preserve"> NZ in the context of child health outcomes (Jelleyman and Spencer, 2008),</w:t>
      </w:r>
      <w:r w:rsidR="00871C96" w:rsidRPr="00E23043">
        <w:rPr>
          <w:rFonts w:ascii="Times New Roman" w:hAnsi="Times New Roman" w:cs="Times New Roman"/>
        </w:rPr>
        <w:t xml:space="preserve"> </w:t>
      </w:r>
      <w:r w:rsidR="00BE1048">
        <w:rPr>
          <w:rFonts w:ascii="Times New Roman" w:hAnsi="Times New Roman" w:cs="Times New Roman"/>
        </w:rPr>
        <w:t xml:space="preserve">but also more generally in </w:t>
      </w:r>
      <w:r w:rsidR="00871C96" w:rsidRPr="00E23043">
        <w:rPr>
          <w:rFonts w:ascii="Times New Roman" w:hAnsi="Times New Roman" w:cs="Times New Roman"/>
        </w:rPr>
        <w:t>Australia (Larson</w:t>
      </w:r>
      <w:r w:rsidR="00871C96">
        <w:rPr>
          <w:rFonts w:ascii="Times New Roman" w:hAnsi="Times New Roman" w:cs="Times New Roman"/>
        </w:rPr>
        <w:t xml:space="preserve"> et al.</w:t>
      </w:r>
      <w:r w:rsidR="00871C96" w:rsidRPr="00E23043">
        <w:rPr>
          <w:rFonts w:ascii="Times New Roman" w:hAnsi="Times New Roman" w:cs="Times New Roman"/>
        </w:rPr>
        <w:t>, 2004) and the UK (Boyle et al., 2005; Norman et al., 2005; 2011)</w:t>
      </w:r>
      <w:r w:rsidR="00BE1048">
        <w:rPr>
          <w:rFonts w:ascii="Times New Roman" w:hAnsi="Times New Roman" w:cs="Times New Roman"/>
        </w:rPr>
        <w:t xml:space="preserve">. However, the relationship between residential mobility and CVD </w:t>
      </w:r>
      <w:r w:rsidR="00871C96" w:rsidRPr="00E23043">
        <w:rPr>
          <w:rFonts w:ascii="Times New Roman" w:hAnsi="Times New Roman" w:cs="Times New Roman"/>
        </w:rPr>
        <w:t>is under-explored.</w:t>
      </w:r>
      <w:r w:rsidR="00106EBF">
        <w:rPr>
          <w:rFonts w:ascii="Times New Roman" w:hAnsi="Times New Roman" w:cs="Times New Roman"/>
        </w:rPr>
        <w:t xml:space="preserve"> In particular, no previous work has specifically investigated whether this relationship varies by ethnic group.</w:t>
      </w:r>
      <w:r w:rsidR="00871C96" w:rsidRPr="00E23043">
        <w:rPr>
          <w:rFonts w:ascii="Times New Roman" w:hAnsi="Times New Roman" w:cs="Times New Roman"/>
        </w:rPr>
        <w:t xml:space="preserve"> Residential mobility is an inherently selective event: a wealth of research demonstrates this, highlighting that movers are often distinct from stayers in their age, sex, stage in the lifecourse, tenure, educational attainment, social class, income and health (e.g. Bentham, 1988; Findlay, 1988; Simpson and Finney, 2009). As the socioeconomic circumstances of different ethnic groups in any socio-political context varies, with substantial evidence that people from ethnic minorities</w:t>
      </w:r>
      <w:r>
        <w:rPr>
          <w:rFonts w:ascii="Times New Roman" w:hAnsi="Times New Roman" w:cs="Times New Roman"/>
        </w:rPr>
        <w:t xml:space="preserve"> also</w:t>
      </w:r>
      <w:r w:rsidR="00871C96" w:rsidRPr="00E23043">
        <w:rPr>
          <w:rFonts w:ascii="Times New Roman" w:hAnsi="Times New Roman" w:cs="Times New Roman"/>
        </w:rPr>
        <w:t xml:space="preserve"> have significantly worse health experiences than people from non-ethnic minority groups, the </w:t>
      </w:r>
      <w:r w:rsidR="00BE1048">
        <w:rPr>
          <w:rFonts w:ascii="Times New Roman" w:hAnsi="Times New Roman" w:cs="Times New Roman"/>
        </w:rPr>
        <w:t>patterning to</w:t>
      </w:r>
      <w:r w:rsidR="00871C96" w:rsidRPr="00E23043">
        <w:rPr>
          <w:rFonts w:ascii="Times New Roman" w:hAnsi="Times New Roman" w:cs="Times New Roman"/>
        </w:rPr>
        <w:t xml:space="preserve"> residential mobility may vary between ethnic groups. More importantly, the nature of residential mobility experienced by different ethnic groups may also vary and therefore differently influence risk of CVD. For example, if certain groups are more likely to move frequently over shorter distances, or perhaps move frequently within similarly deprived </w:t>
      </w:r>
      <w:r w:rsidR="001772F0">
        <w:rPr>
          <w:rFonts w:ascii="Times New Roman" w:hAnsi="Times New Roman" w:cs="Times New Roman"/>
        </w:rPr>
        <w:t>neighbourhoods</w:t>
      </w:r>
      <w:r w:rsidR="00871C96" w:rsidRPr="00E23043">
        <w:rPr>
          <w:rFonts w:ascii="Times New Roman" w:hAnsi="Times New Roman" w:cs="Times New Roman"/>
        </w:rPr>
        <w:t xml:space="preserve">, the influence of these moves on CVD </w:t>
      </w:r>
      <w:r w:rsidR="001772F0">
        <w:rPr>
          <w:rFonts w:ascii="Times New Roman" w:hAnsi="Times New Roman" w:cs="Times New Roman"/>
        </w:rPr>
        <w:t xml:space="preserve">risk </w:t>
      </w:r>
      <w:r w:rsidR="00871C96" w:rsidRPr="00E23043">
        <w:rPr>
          <w:rFonts w:ascii="Times New Roman" w:hAnsi="Times New Roman" w:cs="Times New Roman"/>
        </w:rPr>
        <w:t xml:space="preserve">may </w:t>
      </w:r>
      <w:r w:rsidR="00871C96">
        <w:rPr>
          <w:rFonts w:ascii="Times New Roman" w:hAnsi="Times New Roman" w:cs="Times New Roman"/>
        </w:rPr>
        <w:t>vary</w:t>
      </w:r>
      <w:r w:rsidR="00871C96" w:rsidRPr="00E23043">
        <w:rPr>
          <w:rFonts w:ascii="Times New Roman" w:hAnsi="Times New Roman" w:cs="Times New Roman"/>
        </w:rPr>
        <w:t xml:space="preserve"> </w:t>
      </w:r>
      <w:r w:rsidR="00DC71F8">
        <w:rPr>
          <w:rFonts w:ascii="Times New Roman" w:hAnsi="Times New Roman" w:cs="Times New Roman"/>
        </w:rPr>
        <w:t>compared with</w:t>
      </w:r>
      <w:r w:rsidR="00DC71F8" w:rsidRPr="00E23043">
        <w:rPr>
          <w:rFonts w:ascii="Times New Roman" w:hAnsi="Times New Roman" w:cs="Times New Roman"/>
        </w:rPr>
        <w:t xml:space="preserve"> </w:t>
      </w:r>
      <w:r w:rsidR="00871C96" w:rsidRPr="00E23043">
        <w:rPr>
          <w:rFonts w:ascii="Times New Roman" w:hAnsi="Times New Roman" w:cs="Times New Roman"/>
        </w:rPr>
        <w:t>groups who move infrequently or experience upwards deprivation mobility, moving from more to less deprived area</w:t>
      </w:r>
      <w:r w:rsidR="00871C96">
        <w:rPr>
          <w:rFonts w:ascii="Times New Roman" w:hAnsi="Times New Roman" w:cs="Times New Roman"/>
        </w:rPr>
        <w:t>s</w:t>
      </w:r>
      <w:r w:rsidR="00871C96" w:rsidRPr="00E23043">
        <w:rPr>
          <w:rFonts w:ascii="Times New Roman" w:hAnsi="Times New Roman" w:cs="Times New Roman"/>
        </w:rPr>
        <w:t xml:space="preserve">. Results of </w:t>
      </w:r>
      <w:r w:rsidR="0069455B">
        <w:rPr>
          <w:rFonts w:ascii="Times New Roman" w:hAnsi="Times New Roman" w:cs="Times New Roman"/>
        </w:rPr>
        <w:t>XXXX</w:t>
      </w:r>
      <w:r w:rsidR="00871C96" w:rsidRPr="00E23043">
        <w:rPr>
          <w:rFonts w:ascii="Times New Roman" w:hAnsi="Times New Roman" w:cs="Times New Roman"/>
        </w:rPr>
        <w:t xml:space="preserve"> research </w:t>
      </w:r>
      <w:r w:rsidR="00106EBF">
        <w:rPr>
          <w:rFonts w:ascii="Times New Roman" w:hAnsi="Times New Roman" w:cs="Times New Roman"/>
        </w:rPr>
        <w:t>support this, revealing</w:t>
      </w:r>
      <w:r w:rsidR="00106EBF" w:rsidRPr="00E23043">
        <w:rPr>
          <w:rFonts w:ascii="Times New Roman" w:hAnsi="Times New Roman" w:cs="Times New Roman"/>
        </w:rPr>
        <w:t xml:space="preserve"> </w:t>
      </w:r>
      <w:r w:rsidR="00871C96" w:rsidRPr="00E23043">
        <w:rPr>
          <w:rFonts w:ascii="Times New Roman" w:hAnsi="Times New Roman" w:cs="Times New Roman"/>
        </w:rPr>
        <w:t xml:space="preserve">that </w:t>
      </w:r>
      <w:r w:rsidR="00871C96" w:rsidRPr="003E2A55">
        <w:rPr>
          <w:rFonts w:ascii="Times New Roman" w:hAnsi="Times New Roman" w:cs="Times New Roman"/>
        </w:rPr>
        <w:t>those moving from less</w:t>
      </w:r>
      <w:r w:rsidR="00871C96">
        <w:rPr>
          <w:rFonts w:ascii="Times New Roman" w:hAnsi="Times New Roman" w:cs="Times New Roman"/>
        </w:rPr>
        <w:t xml:space="preserve"> </w:t>
      </w:r>
      <w:r w:rsidR="00871C96" w:rsidRPr="003E2A55">
        <w:rPr>
          <w:rFonts w:ascii="Times New Roman" w:hAnsi="Times New Roman" w:cs="Times New Roman"/>
        </w:rPr>
        <w:t xml:space="preserve">to more deprived areas </w:t>
      </w:r>
      <w:r w:rsidR="00871C96">
        <w:rPr>
          <w:rFonts w:ascii="Times New Roman" w:hAnsi="Times New Roman" w:cs="Times New Roman"/>
        </w:rPr>
        <w:t xml:space="preserve">having a higher risk of CVD hospitalisation than those </w:t>
      </w:r>
      <w:r w:rsidR="00871C96" w:rsidRPr="003E2A55">
        <w:rPr>
          <w:rFonts w:ascii="Times New Roman" w:hAnsi="Times New Roman" w:cs="Times New Roman"/>
        </w:rPr>
        <w:t xml:space="preserve">moving in the opposite direction. </w:t>
      </w:r>
      <w:r w:rsidR="00BE1048">
        <w:rPr>
          <w:rFonts w:ascii="Times New Roman" w:hAnsi="Times New Roman" w:cs="Times New Roman"/>
        </w:rPr>
        <w:t xml:space="preserve">The concept of health-selective migration can help us </w:t>
      </w:r>
      <w:r w:rsidR="00106EBF">
        <w:rPr>
          <w:rFonts w:ascii="Times New Roman" w:hAnsi="Times New Roman" w:cs="Times New Roman"/>
        </w:rPr>
        <w:t>begin to disentangle</w:t>
      </w:r>
      <w:r w:rsidR="00BE1048">
        <w:rPr>
          <w:rFonts w:ascii="Times New Roman" w:hAnsi="Times New Roman" w:cs="Times New Roman"/>
        </w:rPr>
        <w:t xml:space="preserve"> possible variations in the patterning to residential mobility for different ethnic groups.</w:t>
      </w:r>
    </w:p>
    <w:p w14:paraId="227BE627" w14:textId="792D7B4B" w:rsidR="004D37B1" w:rsidRDefault="00871C96" w:rsidP="004D37B1">
      <w:pPr>
        <w:spacing w:line="480" w:lineRule="auto"/>
        <w:jc w:val="both"/>
        <w:rPr>
          <w:rFonts w:ascii="Times New Roman" w:hAnsi="Times New Roman" w:cs="Times New Roman"/>
        </w:rPr>
      </w:pPr>
      <w:r w:rsidRPr="003E2A55">
        <w:rPr>
          <w:rFonts w:ascii="Times New Roman" w:hAnsi="Times New Roman" w:cs="Times New Roman"/>
        </w:rPr>
        <w:lastRenderedPageBreak/>
        <w:t xml:space="preserve">Theories of health-selective migration hypothesise that health gradients are widened as differently healthy groups of people are sorted into </w:t>
      </w:r>
      <w:r w:rsidRPr="00E23043">
        <w:rPr>
          <w:rFonts w:ascii="Times New Roman" w:hAnsi="Times New Roman" w:cs="Times New Roman"/>
        </w:rPr>
        <w:t>different area types (e.g. Boyle, 2004; Norman et al., 2011; Exeter et al., 2011). Those in good health or with favourable health-related individual characteristics are more likely to experience upward mobility, moving</w:t>
      </w:r>
      <w:r w:rsidRPr="003E2A55">
        <w:rPr>
          <w:rFonts w:ascii="Times New Roman" w:hAnsi="Times New Roman" w:cs="Times New Roman"/>
        </w:rPr>
        <w:t xml:space="preserve"> to less deprived areas. Conversely, those in poor health or with unfavourable health-related individual characteristics are more likely to experience downward mobility or remain in more deprived areas.</w:t>
      </w:r>
      <w:r w:rsidR="004D37B1">
        <w:rPr>
          <w:rFonts w:ascii="Times New Roman" w:hAnsi="Times New Roman" w:cs="Times New Roman"/>
        </w:rPr>
        <w:t xml:space="preserve"> These scenarios exacerbate existing health gradients as those in poor health continue to suffer the deleterious consequences of their relative disadvantage, while those living in more advantaged circumstances continue to reap the health benefits of their elevated situation. </w:t>
      </w:r>
      <w:r w:rsidR="004D37B1" w:rsidRPr="003E2A55">
        <w:rPr>
          <w:rFonts w:ascii="Times New Roman" w:hAnsi="Times New Roman" w:cs="Times New Roman"/>
        </w:rPr>
        <w:t xml:space="preserve"> </w:t>
      </w:r>
      <w:r w:rsidR="00BE1048">
        <w:rPr>
          <w:rFonts w:ascii="Times New Roman" w:hAnsi="Times New Roman" w:cs="Times New Roman"/>
        </w:rPr>
        <w:t>In a recent review of the literature on health and mobility, Morris et al. (2016) distinguish between population level aggregate studies, those which are typically used in the context of discussions of health-selective migration and changing health gradients (e.g. Boyle and Norman, 2009)</w:t>
      </w:r>
      <w:r w:rsidR="00106EBF">
        <w:rPr>
          <w:rFonts w:ascii="Times New Roman" w:hAnsi="Times New Roman" w:cs="Times New Roman"/>
        </w:rPr>
        <w:t>,</w:t>
      </w:r>
      <w:r w:rsidR="00BE1048">
        <w:rPr>
          <w:rFonts w:ascii="Times New Roman" w:hAnsi="Times New Roman" w:cs="Times New Roman"/>
        </w:rPr>
        <w:t xml:space="preserve"> and individual level studies wherein the relationship between health and mobility is more often viewed negatively (e.g. Jelleyman and Spencer, 2008). </w:t>
      </w:r>
    </w:p>
    <w:p w14:paraId="729A20F8" w14:textId="05D5B3B0" w:rsidR="00BE1048" w:rsidRDefault="00BE1048" w:rsidP="004D37B1">
      <w:pPr>
        <w:spacing w:line="480" w:lineRule="auto"/>
        <w:jc w:val="both"/>
        <w:rPr>
          <w:rFonts w:ascii="Times New Roman" w:hAnsi="Times New Roman" w:cs="Times New Roman"/>
        </w:rPr>
      </w:pPr>
      <w:r>
        <w:rPr>
          <w:rFonts w:ascii="Times New Roman" w:hAnsi="Times New Roman" w:cs="Times New Roman"/>
        </w:rPr>
        <w:t xml:space="preserve">Thus, in this study we might hypothesise that through health-selective migration, risk of CVD is lower for movers as compared to stayers as those at risk of CVD are less likely to move. </w:t>
      </w:r>
      <w:r w:rsidR="00106EBF">
        <w:rPr>
          <w:rFonts w:ascii="Times New Roman" w:hAnsi="Times New Roman" w:cs="Times New Roman"/>
        </w:rPr>
        <w:t>However,</w:t>
      </w:r>
      <w:r>
        <w:rPr>
          <w:rFonts w:ascii="Times New Roman" w:hAnsi="Times New Roman" w:cs="Times New Roman"/>
        </w:rPr>
        <w:t xml:space="preserve"> we might </w:t>
      </w:r>
      <w:r w:rsidR="00106EBF">
        <w:rPr>
          <w:rFonts w:ascii="Times New Roman" w:hAnsi="Times New Roman" w:cs="Times New Roman"/>
        </w:rPr>
        <w:t xml:space="preserve">also </w:t>
      </w:r>
      <w:r>
        <w:rPr>
          <w:rFonts w:ascii="Times New Roman" w:hAnsi="Times New Roman" w:cs="Times New Roman"/>
        </w:rPr>
        <w:t xml:space="preserve">assume that risk of CVD is higher for an individual who has moved due to the stress associated with a move, perhaps exacerbated or attenuated by the nature of the move itself. </w:t>
      </w:r>
      <w:r w:rsidR="00DC71F8">
        <w:rPr>
          <w:rFonts w:ascii="Times New Roman" w:hAnsi="Times New Roman" w:cs="Times New Roman"/>
        </w:rPr>
        <w:t>Moreover</w:t>
      </w:r>
      <w:r>
        <w:rPr>
          <w:rFonts w:ascii="Times New Roman" w:hAnsi="Times New Roman" w:cs="Times New Roman"/>
        </w:rPr>
        <w:t xml:space="preserve">, are they moving to a more or less deprived area? Given </w:t>
      </w:r>
      <w:r w:rsidR="00106EBF">
        <w:rPr>
          <w:rFonts w:ascii="Times New Roman" w:hAnsi="Times New Roman" w:cs="Times New Roman"/>
        </w:rPr>
        <w:t>the results of the</w:t>
      </w:r>
      <w:r>
        <w:rPr>
          <w:rFonts w:ascii="Times New Roman" w:hAnsi="Times New Roman" w:cs="Times New Roman"/>
        </w:rPr>
        <w:t xml:space="preserve"> previous study </w:t>
      </w:r>
      <w:r w:rsidR="00106EBF">
        <w:rPr>
          <w:rFonts w:ascii="Times New Roman" w:hAnsi="Times New Roman" w:cs="Times New Roman"/>
        </w:rPr>
        <w:t>(XXXX)</w:t>
      </w:r>
      <w:r>
        <w:rPr>
          <w:rFonts w:ascii="Times New Roman" w:hAnsi="Times New Roman" w:cs="Times New Roman"/>
        </w:rPr>
        <w:t>, we can hypothesis</w:t>
      </w:r>
      <w:r w:rsidR="00106EBF">
        <w:rPr>
          <w:rFonts w:ascii="Times New Roman" w:hAnsi="Times New Roman" w:cs="Times New Roman"/>
        </w:rPr>
        <w:t>e that movers across NZ</w:t>
      </w:r>
      <w:r>
        <w:rPr>
          <w:rFonts w:ascii="Times New Roman" w:hAnsi="Times New Roman" w:cs="Times New Roman"/>
        </w:rPr>
        <w:t xml:space="preserve"> will also have a higher risk of CVD than stayers, as found in Auckland. However, what is of interest is why this occurs, and whether the relationship varies between ethnic groups. This focuses attention on the complex relationship between mobility and health, </w:t>
      </w:r>
      <w:r w:rsidR="00F56612">
        <w:rPr>
          <w:rFonts w:ascii="Times New Roman" w:hAnsi="Times New Roman" w:cs="Times New Roman"/>
        </w:rPr>
        <w:t>and the context within which different ethnic groups live out their day-to-day lives.</w:t>
      </w:r>
    </w:p>
    <w:p w14:paraId="00F8980A" w14:textId="1A24F96A" w:rsidR="00271578" w:rsidRDefault="00F56612" w:rsidP="004C2B8F">
      <w:pPr>
        <w:spacing w:line="480" w:lineRule="auto"/>
        <w:jc w:val="both"/>
        <w:rPr>
          <w:rFonts w:ascii="Times New Roman" w:hAnsi="Times New Roman" w:cs="Times New Roman"/>
        </w:rPr>
      </w:pPr>
      <w:r>
        <w:rPr>
          <w:rFonts w:ascii="Times New Roman" w:hAnsi="Times New Roman" w:cs="Times New Roman"/>
        </w:rPr>
        <w:t>The persistent (albeit narrowing) inequalities in areas such as housing and education experie</w:t>
      </w:r>
      <w:r w:rsidR="00106EBF">
        <w:rPr>
          <w:rFonts w:ascii="Times New Roman" w:hAnsi="Times New Roman" w:cs="Times New Roman"/>
        </w:rPr>
        <w:t>nced by MEGs in NZ</w:t>
      </w:r>
      <w:r>
        <w:rPr>
          <w:rFonts w:ascii="Times New Roman" w:hAnsi="Times New Roman" w:cs="Times New Roman"/>
        </w:rPr>
        <w:t xml:space="preserve"> (see Blakely et al., 2005) are echoed in the overwhelming concentration of minority groups in the most deprived areas of the country (see Table 2). The marginalisation of these groups both spatially but also more broadly (see work on the relationship between poor health outcomes and racial discrimination in NZ such as Harris et al., 2006; Harris et al., 2012; Harris et al., 2015) suggests that </w:t>
      </w:r>
      <w:r>
        <w:rPr>
          <w:rFonts w:ascii="Times New Roman" w:hAnsi="Times New Roman" w:cs="Times New Roman"/>
        </w:rPr>
        <w:lastRenderedPageBreak/>
        <w:t xml:space="preserve">MEGs in </w:t>
      </w:r>
      <w:r w:rsidR="00106EBF">
        <w:rPr>
          <w:rFonts w:ascii="Times New Roman" w:hAnsi="Times New Roman" w:cs="Times New Roman"/>
        </w:rPr>
        <w:t>NZ</w:t>
      </w:r>
      <w:r>
        <w:rPr>
          <w:rFonts w:ascii="Times New Roman" w:hAnsi="Times New Roman" w:cs="Times New Roman"/>
        </w:rPr>
        <w:t xml:space="preserve"> might be more likely to experience increased rates of residential mobility. The neglected concept of ‘malign migration’ holds that marginalised, socially disadvantaged groups are more likely to experience residential mobility, and this is more common in in</w:t>
      </w:r>
      <w:r w:rsidR="00106EBF">
        <w:rPr>
          <w:rFonts w:ascii="Times New Roman" w:hAnsi="Times New Roman" w:cs="Times New Roman"/>
        </w:rPr>
        <w:t xml:space="preserve">ner city (often deprived) areas: this </w:t>
      </w:r>
      <w:r>
        <w:rPr>
          <w:rFonts w:ascii="Times New Roman" w:hAnsi="Times New Roman" w:cs="Times New Roman"/>
        </w:rPr>
        <w:t>is detrimental to health (Warfa et al., 2006).</w:t>
      </w:r>
      <w:r w:rsidR="004C2B8F">
        <w:rPr>
          <w:rFonts w:ascii="Times New Roman" w:hAnsi="Times New Roman" w:cs="Times New Roman"/>
        </w:rPr>
        <w:t xml:space="preserve"> It therefore seems likely that differ</w:t>
      </w:r>
      <w:r w:rsidR="00106EBF">
        <w:rPr>
          <w:rFonts w:ascii="Times New Roman" w:hAnsi="Times New Roman" w:cs="Times New Roman"/>
        </w:rPr>
        <w:t>ent ethnic groups in NZ</w:t>
      </w:r>
      <w:r w:rsidR="004C2B8F">
        <w:rPr>
          <w:rFonts w:ascii="Times New Roman" w:hAnsi="Times New Roman" w:cs="Times New Roman"/>
        </w:rPr>
        <w:t xml:space="preserve"> will have different experiences of residential mobility, perhaps through processes of ‘malign migration’ but also more broadly in terms</w:t>
      </w:r>
      <w:r w:rsidR="00271578">
        <w:rPr>
          <w:rFonts w:ascii="Times New Roman" w:hAnsi="Times New Roman" w:cs="Times New Roman"/>
        </w:rPr>
        <w:t xml:space="preserve"> of socioeconomic inequalities</w:t>
      </w:r>
      <w:r w:rsidR="00106EBF">
        <w:rPr>
          <w:rFonts w:ascii="Times New Roman" w:hAnsi="Times New Roman" w:cs="Times New Roman"/>
        </w:rPr>
        <w:t xml:space="preserve"> and the selective nature of migration</w:t>
      </w:r>
      <w:r w:rsidR="00271578">
        <w:rPr>
          <w:rFonts w:ascii="Times New Roman" w:hAnsi="Times New Roman" w:cs="Times New Roman"/>
        </w:rPr>
        <w:t>. We can assume that this will differently influence the relationship between CVD and residential mobility</w:t>
      </w:r>
      <w:r w:rsidR="00106EBF">
        <w:rPr>
          <w:rFonts w:ascii="Times New Roman" w:hAnsi="Times New Roman" w:cs="Times New Roman"/>
        </w:rPr>
        <w:t xml:space="preserve"> for different ethnic groups. One aspect of the relationship between residential mobility and health which gets less specific coverage in the literature is </w:t>
      </w:r>
      <w:r w:rsidR="00106EBF">
        <w:rPr>
          <w:rFonts w:ascii="Times New Roman" w:hAnsi="Times New Roman" w:cs="Times New Roman"/>
          <w:i/>
        </w:rPr>
        <w:t>immobility</w:t>
      </w:r>
      <w:r w:rsidR="00106EBF">
        <w:rPr>
          <w:rFonts w:ascii="Times New Roman" w:hAnsi="Times New Roman" w:cs="Times New Roman"/>
        </w:rPr>
        <w:t>. Notwithstanding a few notable exceptions (e.</w:t>
      </w:r>
      <w:r w:rsidR="00106EBF" w:rsidRPr="00E23043">
        <w:rPr>
          <w:rFonts w:ascii="Times New Roman" w:hAnsi="Times New Roman" w:cs="Times New Roman"/>
        </w:rPr>
        <w:t>g. Boyle et al., 2004; Exeter et al., 2011; Brown et al., 2012),</w:t>
      </w:r>
      <w:r w:rsidR="00106EBF">
        <w:rPr>
          <w:rFonts w:ascii="Times New Roman" w:hAnsi="Times New Roman" w:cs="Times New Roman"/>
        </w:rPr>
        <w:t xml:space="preserve"> much of the extant literature in this area focuses on the selection of </w:t>
      </w:r>
      <w:r w:rsidR="00106EBF">
        <w:rPr>
          <w:rFonts w:ascii="Times New Roman" w:hAnsi="Times New Roman" w:cs="Times New Roman"/>
          <w:i/>
        </w:rPr>
        <w:t xml:space="preserve">mobile </w:t>
      </w:r>
      <w:r w:rsidR="00106EBF">
        <w:rPr>
          <w:rFonts w:ascii="Times New Roman" w:hAnsi="Times New Roman" w:cs="Times New Roman"/>
        </w:rPr>
        <w:t>groups into different socioeconomic circumstances. However, reasons for immobility may be as important in the selection process as reasons for mobility. This will also be addressed.</w:t>
      </w:r>
    </w:p>
    <w:p w14:paraId="223F2222" w14:textId="44604135" w:rsidR="00271578" w:rsidRPr="00E23043" w:rsidRDefault="00271578" w:rsidP="00271578">
      <w:pPr>
        <w:spacing w:line="480" w:lineRule="auto"/>
        <w:jc w:val="both"/>
        <w:rPr>
          <w:rFonts w:ascii="Times New Roman" w:hAnsi="Times New Roman" w:cs="Times New Roman"/>
        </w:rPr>
      </w:pPr>
      <w:r>
        <w:rPr>
          <w:rFonts w:ascii="Times New Roman" w:hAnsi="Times New Roman" w:cs="Times New Roman"/>
        </w:rPr>
        <w:t xml:space="preserve">This paper uses a unique, unrivalled </w:t>
      </w:r>
      <w:r w:rsidR="009012A0">
        <w:rPr>
          <w:rFonts w:ascii="Times New Roman" w:hAnsi="Times New Roman" w:cs="Times New Roman"/>
        </w:rPr>
        <w:t xml:space="preserve">longitudinal </w:t>
      </w:r>
      <w:r>
        <w:rPr>
          <w:rFonts w:ascii="Times New Roman" w:hAnsi="Times New Roman" w:cs="Times New Roman"/>
        </w:rPr>
        <w:t>dataset to investigate an under-explored determinant of CVD, that of residential mobility, and evaluate whether the salience of residential mobility</w:t>
      </w:r>
      <w:r w:rsidR="004C6D26">
        <w:rPr>
          <w:rFonts w:ascii="Times New Roman" w:hAnsi="Times New Roman" w:cs="Times New Roman"/>
        </w:rPr>
        <w:t xml:space="preserve"> (and immobility)</w:t>
      </w:r>
      <w:r>
        <w:rPr>
          <w:rFonts w:ascii="Times New Roman" w:hAnsi="Times New Roman" w:cs="Times New Roman"/>
        </w:rPr>
        <w:t xml:space="preserve"> as a determinant of CVD varies </w:t>
      </w:r>
      <w:r w:rsidR="004C6D26">
        <w:rPr>
          <w:rFonts w:ascii="Times New Roman" w:hAnsi="Times New Roman" w:cs="Times New Roman"/>
        </w:rPr>
        <w:t xml:space="preserve">between ethnic groups. </w:t>
      </w:r>
      <w:r>
        <w:rPr>
          <w:rFonts w:ascii="Times New Roman" w:hAnsi="Times New Roman" w:cs="Times New Roman"/>
        </w:rPr>
        <w:t xml:space="preserve">Extending </w:t>
      </w:r>
      <w:r w:rsidRPr="003E2A55">
        <w:rPr>
          <w:rFonts w:ascii="Times New Roman" w:hAnsi="Times New Roman" w:cs="Times New Roman"/>
        </w:rPr>
        <w:t xml:space="preserve">the research </w:t>
      </w:r>
      <w:r>
        <w:rPr>
          <w:rFonts w:ascii="Times New Roman" w:hAnsi="Times New Roman" w:cs="Times New Roman"/>
        </w:rPr>
        <w:t>for the Auckland Region by XXXX,</w:t>
      </w:r>
      <w:r w:rsidRPr="003E2A55">
        <w:rPr>
          <w:rFonts w:ascii="Times New Roman" w:hAnsi="Times New Roman" w:cs="Times New Roman"/>
        </w:rPr>
        <w:t xml:space="preserve"> a cohort of participants are derived from national routine health databases in </w:t>
      </w:r>
      <w:r>
        <w:rPr>
          <w:rFonts w:ascii="Times New Roman" w:hAnsi="Times New Roman" w:cs="Times New Roman"/>
        </w:rPr>
        <w:t>NZ</w:t>
      </w:r>
      <w:r w:rsidRPr="00E23043">
        <w:rPr>
          <w:rFonts w:ascii="Times New Roman" w:hAnsi="Times New Roman" w:cs="Times New Roman"/>
        </w:rPr>
        <w:t xml:space="preserve">. </w:t>
      </w:r>
      <w:r>
        <w:rPr>
          <w:rFonts w:ascii="Times New Roman" w:hAnsi="Times New Roman" w:cs="Times New Roman"/>
        </w:rPr>
        <w:t xml:space="preserve">We address the following research questions: </w:t>
      </w:r>
      <w:r w:rsidRPr="003E2A55">
        <w:rPr>
          <w:rFonts w:ascii="Times New Roman" w:hAnsi="Times New Roman" w:cs="Times New Roman"/>
        </w:rPr>
        <w:t xml:space="preserve"> </w:t>
      </w:r>
    </w:p>
    <w:p w14:paraId="58906EBD" w14:textId="758035AE" w:rsidR="00871C96" w:rsidRPr="003E2A55" w:rsidRDefault="00871C96" w:rsidP="00871C96">
      <w:pPr>
        <w:pStyle w:val="ListParagraph"/>
        <w:numPr>
          <w:ilvl w:val="0"/>
          <w:numId w:val="5"/>
        </w:numPr>
        <w:spacing w:line="480" w:lineRule="auto"/>
        <w:jc w:val="both"/>
        <w:rPr>
          <w:rFonts w:ascii="Times New Roman" w:hAnsi="Times New Roman" w:cs="Times New Roman"/>
        </w:rPr>
      </w:pPr>
      <w:r w:rsidRPr="00E23043">
        <w:rPr>
          <w:rFonts w:ascii="Times New Roman" w:hAnsi="Times New Roman" w:cs="Times New Roman"/>
        </w:rPr>
        <w:t xml:space="preserve">Do movers in </w:t>
      </w:r>
      <w:r w:rsidR="001772F0">
        <w:rPr>
          <w:rFonts w:ascii="Times New Roman" w:hAnsi="Times New Roman" w:cs="Times New Roman"/>
        </w:rPr>
        <w:t>NZ</w:t>
      </w:r>
      <w:r w:rsidRPr="00E23043">
        <w:rPr>
          <w:rFonts w:ascii="Times New Roman" w:hAnsi="Times New Roman" w:cs="Times New Roman"/>
        </w:rPr>
        <w:t xml:space="preserve"> have a higher risk of CVD</w:t>
      </w:r>
      <w:r w:rsidRPr="003E2A55">
        <w:rPr>
          <w:rFonts w:ascii="Times New Roman" w:hAnsi="Times New Roman" w:cs="Times New Roman"/>
        </w:rPr>
        <w:t xml:space="preserve"> than stayers?</w:t>
      </w:r>
    </w:p>
    <w:p w14:paraId="37F5324F" w14:textId="529838C4" w:rsidR="00871C96" w:rsidRPr="003E2A55" w:rsidRDefault="00871C96" w:rsidP="00871C96">
      <w:pPr>
        <w:pStyle w:val="ListParagraph"/>
        <w:numPr>
          <w:ilvl w:val="0"/>
          <w:numId w:val="5"/>
        </w:numPr>
        <w:spacing w:line="480" w:lineRule="auto"/>
        <w:jc w:val="both"/>
        <w:rPr>
          <w:rFonts w:ascii="Times New Roman" w:hAnsi="Times New Roman" w:cs="Times New Roman"/>
        </w:rPr>
      </w:pPr>
      <w:r w:rsidRPr="003E2A55">
        <w:rPr>
          <w:rFonts w:ascii="Times New Roman" w:hAnsi="Times New Roman" w:cs="Times New Roman"/>
        </w:rPr>
        <w:t>Is risk of CVD for movers attenuated by baseline deprivation at the start of the study period?</w:t>
      </w:r>
    </w:p>
    <w:p w14:paraId="5497DEE2" w14:textId="2E473166" w:rsidR="00871C96" w:rsidRPr="003E2A55" w:rsidRDefault="00871C96" w:rsidP="00871C96">
      <w:pPr>
        <w:pStyle w:val="ListParagraph"/>
        <w:numPr>
          <w:ilvl w:val="0"/>
          <w:numId w:val="5"/>
        </w:numPr>
        <w:spacing w:line="480" w:lineRule="auto"/>
        <w:jc w:val="both"/>
        <w:rPr>
          <w:rFonts w:ascii="Times New Roman" w:hAnsi="Times New Roman" w:cs="Times New Roman"/>
        </w:rPr>
      </w:pPr>
      <w:r w:rsidRPr="003E2A55">
        <w:rPr>
          <w:rFonts w:ascii="Times New Roman" w:hAnsi="Times New Roman" w:cs="Times New Roman"/>
        </w:rPr>
        <w:t xml:space="preserve">Do the patterns observed for movers and stayers </w:t>
      </w:r>
      <w:r>
        <w:rPr>
          <w:rFonts w:ascii="Times New Roman" w:hAnsi="Times New Roman" w:cs="Times New Roman"/>
        </w:rPr>
        <w:t xml:space="preserve">in </w:t>
      </w:r>
      <w:r w:rsidR="001772F0">
        <w:rPr>
          <w:rFonts w:ascii="Times New Roman" w:hAnsi="Times New Roman" w:cs="Times New Roman"/>
        </w:rPr>
        <w:t>NZ</w:t>
      </w:r>
      <w:r>
        <w:rPr>
          <w:rFonts w:ascii="Times New Roman" w:hAnsi="Times New Roman" w:cs="Times New Roman"/>
        </w:rPr>
        <w:t xml:space="preserve"> overall </w:t>
      </w:r>
      <w:r w:rsidRPr="003E2A55">
        <w:rPr>
          <w:rFonts w:ascii="Times New Roman" w:hAnsi="Times New Roman" w:cs="Times New Roman"/>
        </w:rPr>
        <w:t xml:space="preserve">vary for specific ethnic groups? </w:t>
      </w:r>
    </w:p>
    <w:p w14:paraId="614E6A4D" w14:textId="32D06C84" w:rsidR="00871C96" w:rsidRPr="003E2A55" w:rsidRDefault="00871C96" w:rsidP="00871C96">
      <w:pPr>
        <w:pStyle w:val="ListParagraph"/>
        <w:numPr>
          <w:ilvl w:val="0"/>
          <w:numId w:val="5"/>
        </w:numPr>
        <w:spacing w:line="480" w:lineRule="auto"/>
        <w:jc w:val="both"/>
        <w:rPr>
          <w:rFonts w:ascii="Times New Roman" w:hAnsi="Times New Roman" w:cs="Times New Roman"/>
        </w:rPr>
      </w:pPr>
      <w:r w:rsidRPr="003E2A55">
        <w:rPr>
          <w:rFonts w:ascii="Times New Roman" w:hAnsi="Times New Roman" w:cs="Times New Roman"/>
        </w:rPr>
        <w:t xml:space="preserve">How does the nature of a move influence risk of CVD for different ethnic groups in </w:t>
      </w:r>
      <w:r w:rsidR="001772F0">
        <w:rPr>
          <w:rFonts w:ascii="Times New Roman" w:hAnsi="Times New Roman" w:cs="Times New Roman"/>
        </w:rPr>
        <w:t>NZ</w:t>
      </w:r>
      <w:r w:rsidRPr="003E2A55">
        <w:rPr>
          <w:rFonts w:ascii="Times New Roman" w:hAnsi="Times New Roman" w:cs="Times New Roman"/>
        </w:rPr>
        <w:t xml:space="preserve">? </w:t>
      </w:r>
      <w:r>
        <w:rPr>
          <w:rFonts w:ascii="Times New Roman" w:hAnsi="Times New Roman" w:cs="Times New Roman"/>
        </w:rPr>
        <w:t>and;</w:t>
      </w:r>
    </w:p>
    <w:p w14:paraId="783ADFA0" w14:textId="5F041416" w:rsidR="003A2ED1" w:rsidRDefault="00871C96" w:rsidP="003A2ED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D</w:t>
      </w:r>
      <w:r w:rsidRPr="003E2A55">
        <w:rPr>
          <w:rFonts w:ascii="Times New Roman" w:hAnsi="Times New Roman" w:cs="Times New Roman"/>
        </w:rPr>
        <w:t>oes risk of CVD for ethnic groups who do not move (stayers) vary by deprivation?</w:t>
      </w:r>
    </w:p>
    <w:p w14:paraId="76E87C0E" w14:textId="77777777" w:rsidR="00871C96" w:rsidRPr="003E2A55" w:rsidRDefault="00871C96" w:rsidP="00871C96">
      <w:pPr>
        <w:spacing w:line="480" w:lineRule="auto"/>
        <w:jc w:val="both"/>
        <w:rPr>
          <w:rFonts w:ascii="Times New Roman" w:hAnsi="Times New Roman" w:cs="Times New Roman"/>
          <w:b/>
        </w:rPr>
      </w:pPr>
      <w:r w:rsidRPr="003E2A55">
        <w:rPr>
          <w:rFonts w:ascii="Times New Roman" w:hAnsi="Times New Roman" w:cs="Times New Roman"/>
          <w:b/>
        </w:rPr>
        <w:t>Data and methods</w:t>
      </w:r>
    </w:p>
    <w:p w14:paraId="4FEC0AC3" w14:textId="400A7E4A" w:rsidR="00871C96" w:rsidRPr="003E2A55" w:rsidRDefault="00871C96" w:rsidP="00871C96">
      <w:pPr>
        <w:spacing w:line="480" w:lineRule="auto"/>
        <w:jc w:val="both"/>
        <w:rPr>
          <w:rFonts w:ascii="Times New Roman" w:hAnsi="Times New Roman" w:cs="Times New Roman"/>
        </w:rPr>
      </w:pPr>
      <w:r w:rsidRPr="003E2A55">
        <w:rPr>
          <w:rFonts w:ascii="Times New Roman" w:hAnsi="Times New Roman" w:cs="Times New Roman"/>
        </w:rPr>
        <w:t xml:space="preserve">A cohort of participants </w:t>
      </w:r>
      <w:r>
        <w:rPr>
          <w:rFonts w:ascii="Times New Roman" w:hAnsi="Times New Roman" w:cs="Times New Roman"/>
        </w:rPr>
        <w:t>was</w:t>
      </w:r>
      <w:r w:rsidRPr="003E2A55">
        <w:rPr>
          <w:rFonts w:ascii="Times New Roman" w:hAnsi="Times New Roman" w:cs="Times New Roman"/>
        </w:rPr>
        <w:t xml:space="preserve"> identified using the unique health identifier</w:t>
      </w:r>
      <w:r>
        <w:rPr>
          <w:rFonts w:ascii="Times New Roman" w:hAnsi="Times New Roman" w:cs="Times New Roman"/>
        </w:rPr>
        <w:t xml:space="preserve"> which</w:t>
      </w:r>
      <w:r w:rsidRPr="003E2A55">
        <w:rPr>
          <w:rFonts w:ascii="Times New Roman" w:hAnsi="Times New Roman" w:cs="Times New Roman"/>
        </w:rPr>
        <w:t xml:space="preserve"> </w:t>
      </w:r>
      <w:r>
        <w:rPr>
          <w:rFonts w:ascii="Times New Roman" w:hAnsi="Times New Roman" w:cs="Times New Roman"/>
        </w:rPr>
        <w:t xml:space="preserve">is assigned to the majority of </w:t>
      </w:r>
      <w:r w:rsidRPr="003E2A55">
        <w:rPr>
          <w:rFonts w:ascii="Times New Roman" w:hAnsi="Times New Roman" w:cs="Times New Roman"/>
        </w:rPr>
        <w:t xml:space="preserve">all </w:t>
      </w:r>
      <w:r w:rsidR="001772F0">
        <w:rPr>
          <w:rFonts w:ascii="Times New Roman" w:hAnsi="Times New Roman" w:cs="Times New Roman"/>
        </w:rPr>
        <w:t>NZ</w:t>
      </w:r>
      <w:r w:rsidRPr="003E2A55">
        <w:rPr>
          <w:rFonts w:ascii="Times New Roman" w:hAnsi="Times New Roman" w:cs="Times New Roman"/>
        </w:rPr>
        <w:t xml:space="preserve"> residents</w:t>
      </w:r>
      <w:r>
        <w:rPr>
          <w:rFonts w:ascii="Times New Roman" w:hAnsi="Times New Roman" w:cs="Times New Roman"/>
        </w:rPr>
        <w:t>.</w:t>
      </w:r>
      <w:r w:rsidRPr="003E2A55">
        <w:rPr>
          <w:rFonts w:ascii="Times New Roman" w:hAnsi="Times New Roman" w:cs="Times New Roman"/>
        </w:rPr>
        <w:t xml:space="preserve"> Using these identifiers, patient records are anonymously and securely </w:t>
      </w:r>
      <w:r w:rsidRPr="003E2A55">
        <w:rPr>
          <w:rFonts w:ascii="Times New Roman" w:hAnsi="Times New Roman" w:cs="Times New Roman"/>
        </w:rPr>
        <w:lastRenderedPageBreak/>
        <w:t>linked between four national routine health databases: enrolment with a Primary Health Organisation (PHO), hospital discharges, mortality records and pharmaceutical dispensing claims from community pharmacies. As data held by the Ministry of Health on discharges from private hospitals are incomplete, these are excluded from the cohort (Ministry of Health, 2014).</w:t>
      </w:r>
    </w:p>
    <w:p w14:paraId="2D65C76A" w14:textId="25290EE7" w:rsidR="00871C96" w:rsidRDefault="00871C96" w:rsidP="00871C96">
      <w:pPr>
        <w:spacing w:line="480" w:lineRule="auto"/>
        <w:jc w:val="both"/>
        <w:rPr>
          <w:rFonts w:ascii="Times New Roman" w:hAnsi="Times New Roman" w:cs="Times New Roman"/>
        </w:rPr>
      </w:pPr>
      <w:r w:rsidRPr="003E2A55">
        <w:rPr>
          <w:rFonts w:ascii="Times New Roman" w:hAnsi="Times New Roman" w:cs="Times New Roman"/>
        </w:rPr>
        <w:t xml:space="preserve">Building on </w:t>
      </w:r>
      <w:r w:rsidR="0069455B">
        <w:rPr>
          <w:rFonts w:ascii="Times New Roman" w:hAnsi="Times New Roman" w:cs="Times New Roman"/>
        </w:rPr>
        <w:t>XXXX</w:t>
      </w:r>
      <w:r w:rsidRPr="00E23043">
        <w:rPr>
          <w:rFonts w:ascii="Times New Roman" w:hAnsi="Times New Roman" w:cs="Times New Roman"/>
        </w:rPr>
        <w:t xml:space="preserve"> study, we</w:t>
      </w:r>
      <w:r w:rsidRPr="003E2A55">
        <w:rPr>
          <w:rFonts w:ascii="Times New Roman" w:hAnsi="Times New Roman" w:cs="Times New Roman"/>
        </w:rPr>
        <w:t xml:space="preserve"> use the same population eligibility criteria, </w:t>
      </w:r>
      <w:r>
        <w:rPr>
          <w:rFonts w:ascii="Times New Roman" w:hAnsi="Times New Roman" w:cs="Times New Roman"/>
        </w:rPr>
        <w:t>but</w:t>
      </w:r>
      <w:r w:rsidRPr="003E2A55">
        <w:rPr>
          <w:rFonts w:ascii="Times New Roman" w:hAnsi="Times New Roman" w:cs="Times New Roman"/>
        </w:rPr>
        <w:t xml:space="preserve"> </w:t>
      </w:r>
      <w:r>
        <w:rPr>
          <w:rFonts w:ascii="Times New Roman" w:hAnsi="Times New Roman" w:cs="Times New Roman"/>
        </w:rPr>
        <w:t>increase the coverage</w:t>
      </w:r>
      <w:r w:rsidRPr="003E2A55">
        <w:rPr>
          <w:rFonts w:ascii="Times New Roman" w:hAnsi="Times New Roman" w:cs="Times New Roman"/>
        </w:rPr>
        <w:t xml:space="preserve"> to the entire adult population of </w:t>
      </w:r>
      <w:r w:rsidR="001772F0">
        <w:rPr>
          <w:rFonts w:ascii="Times New Roman" w:hAnsi="Times New Roman" w:cs="Times New Roman"/>
        </w:rPr>
        <w:t>NZ</w:t>
      </w:r>
      <w:r w:rsidRPr="003E2A55">
        <w:rPr>
          <w:rFonts w:ascii="Times New Roman" w:hAnsi="Times New Roman" w:cs="Times New Roman"/>
        </w:rPr>
        <w:t xml:space="preserve"> rather than focusing on Auckland residents. Thus, participants are eligible for inclusion if enrolled in any PHO within </w:t>
      </w:r>
      <w:r w:rsidR="001772F0">
        <w:rPr>
          <w:rFonts w:ascii="Times New Roman" w:hAnsi="Times New Roman" w:cs="Times New Roman"/>
        </w:rPr>
        <w:t>NZ</w:t>
      </w:r>
      <w:r w:rsidRPr="003E2A55">
        <w:rPr>
          <w:rFonts w:ascii="Times New Roman" w:hAnsi="Times New Roman" w:cs="Times New Roman"/>
        </w:rPr>
        <w:t xml:space="preserve"> during at least one of the </w:t>
      </w:r>
      <w:r w:rsidRPr="00BD73BD">
        <w:rPr>
          <w:rFonts w:ascii="Times New Roman" w:hAnsi="Times New Roman" w:cs="Times New Roman"/>
        </w:rPr>
        <w:t>34</w:t>
      </w:r>
      <w:r w:rsidRPr="003E2A55">
        <w:rPr>
          <w:rFonts w:ascii="Times New Roman" w:hAnsi="Times New Roman" w:cs="Times New Roman"/>
          <w:color w:val="FF0000"/>
        </w:rPr>
        <w:t xml:space="preserve"> </w:t>
      </w:r>
      <w:r w:rsidRPr="003E2A55">
        <w:rPr>
          <w:rFonts w:ascii="Times New Roman" w:hAnsi="Times New Roman" w:cs="Times New Roman"/>
        </w:rPr>
        <w:t xml:space="preserve">calendar quarters of the study period from 1 January 2006 to </w:t>
      </w:r>
      <w:r>
        <w:rPr>
          <w:rFonts w:ascii="Times New Roman" w:hAnsi="Times New Roman" w:cs="Times New Roman"/>
        </w:rPr>
        <w:t>30 June 2014</w:t>
      </w:r>
      <w:r w:rsidRPr="003E2A55">
        <w:rPr>
          <w:rFonts w:ascii="Times New Roman" w:hAnsi="Times New Roman" w:cs="Times New Roman"/>
        </w:rPr>
        <w:t>; aged 30 years or over at the start of the study period; had complete demographic information; and had no prior history of CVD</w:t>
      </w:r>
      <w:r>
        <w:rPr>
          <w:rFonts w:ascii="Times New Roman" w:hAnsi="Times New Roman" w:cs="Times New Roman"/>
        </w:rPr>
        <w:t xml:space="preserve"> (defined below)</w:t>
      </w:r>
      <w:r w:rsidRPr="003E2A55">
        <w:rPr>
          <w:rFonts w:ascii="Times New Roman" w:hAnsi="Times New Roman" w:cs="Times New Roman"/>
        </w:rPr>
        <w:t xml:space="preserve"> before 1 January 2006. </w:t>
      </w:r>
      <w:r>
        <w:rPr>
          <w:rFonts w:ascii="Times New Roman" w:hAnsi="Times New Roman" w:cs="Times New Roman"/>
        </w:rPr>
        <w:t xml:space="preserve">Figure 1 summarises the eligibility criteria for this study. </w:t>
      </w:r>
    </w:p>
    <w:p w14:paraId="349FE88D" w14:textId="77777777" w:rsidR="00871C96" w:rsidRDefault="00871C96" w:rsidP="00871C96">
      <w:pPr>
        <w:spacing w:line="480" w:lineRule="auto"/>
        <w:rPr>
          <w:rFonts w:ascii="Times New Roman" w:hAnsi="Times New Roman" w:cs="Times New Roman"/>
        </w:rPr>
      </w:pPr>
      <w:r>
        <w:rPr>
          <w:rFonts w:ascii="Times New Roman" w:hAnsi="Times New Roman" w:cs="Times New Roman"/>
        </w:rPr>
        <w:br w:type="page"/>
      </w:r>
    </w:p>
    <w:p w14:paraId="75A94827" w14:textId="774B8AE7" w:rsidR="00871C96" w:rsidRDefault="00DD5599" w:rsidP="00871C96">
      <w:pPr>
        <w:spacing w:line="480" w:lineRule="auto"/>
        <w:rPr>
          <w:rFonts w:ascii="Times New Roman" w:hAnsi="Times New Roman" w:cs="Times New Roman"/>
          <w:i/>
        </w:rPr>
      </w:pPr>
      <w:r>
        <w:rPr>
          <w:noProof/>
          <w:lang w:val="en-US"/>
        </w:rPr>
        <w:lastRenderedPageBreak/>
        <mc:AlternateContent>
          <mc:Choice Requires="wps">
            <w:drawing>
              <wp:anchor distT="0" distB="0" distL="114300" distR="114300" simplePos="0" relativeHeight="251661312" behindDoc="0" locked="0" layoutInCell="1" allowOverlap="1" wp14:anchorId="281CC584" wp14:editId="2ED291DD">
                <wp:simplePos x="0" y="0"/>
                <wp:positionH relativeFrom="column">
                  <wp:posOffset>334645</wp:posOffset>
                </wp:positionH>
                <wp:positionV relativeFrom="paragraph">
                  <wp:posOffset>5098415</wp:posOffset>
                </wp:positionV>
                <wp:extent cx="4629150" cy="20116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29150" cy="20116800"/>
                        </a:xfrm>
                        <a:prstGeom prst="rect">
                          <a:avLst/>
                        </a:prstGeom>
                        <a:solidFill>
                          <a:prstClr val="white"/>
                        </a:solidFill>
                        <a:ln>
                          <a:noFill/>
                        </a:ln>
                        <a:effectLst/>
                      </wps:spPr>
                      <wps:txbx>
                        <w:txbxContent>
                          <w:p w14:paraId="66737B3C" w14:textId="2BFD941A" w:rsidR="00920D61" w:rsidRPr="00DD5599" w:rsidRDefault="00920D61" w:rsidP="00DD5599">
                            <w:pPr>
                              <w:pStyle w:val="Caption"/>
                              <w:rPr>
                                <w:rFonts w:ascii="Times New Roman" w:hAnsi="Times New Roman" w:cs="Times New Roman"/>
                                <w:b w:val="0"/>
                                <w:noProof/>
                                <w:color w:val="auto"/>
                                <w:sz w:val="28"/>
                                <w:szCs w:val="22"/>
                              </w:rPr>
                            </w:pPr>
                            <w:r w:rsidRPr="00DD5599">
                              <w:rPr>
                                <w:rFonts w:ascii="Times New Roman" w:hAnsi="Times New Roman" w:cs="Times New Roman"/>
                                <w:b w:val="0"/>
                                <w:color w:val="auto"/>
                                <w:sz w:val="21"/>
                              </w:rPr>
                              <w:t xml:space="preserve">Figure </w:t>
                            </w:r>
                            <w:r w:rsidRPr="00DD5599">
                              <w:rPr>
                                <w:rFonts w:ascii="Times New Roman" w:hAnsi="Times New Roman" w:cs="Times New Roman"/>
                                <w:b w:val="0"/>
                                <w:color w:val="auto"/>
                                <w:sz w:val="21"/>
                              </w:rPr>
                              <w:fldChar w:fldCharType="begin"/>
                            </w:r>
                            <w:r w:rsidRPr="00DD5599">
                              <w:rPr>
                                <w:rFonts w:ascii="Times New Roman" w:hAnsi="Times New Roman" w:cs="Times New Roman"/>
                                <w:b w:val="0"/>
                                <w:color w:val="auto"/>
                                <w:sz w:val="21"/>
                              </w:rPr>
                              <w:instrText xml:space="preserve"> SEQ Figure \* ARABIC </w:instrText>
                            </w:r>
                            <w:r w:rsidRPr="00DD5599">
                              <w:rPr>
                                <w:rFonts w:ascii="Times New Roman" w:hAnsi="Times New Roman" w:cs="Times New Roman"/>
                                <w:b w:val="0"/>
                                <w:color w:val="auto"/>
                                <w:sz w:val="21"/>
                              </w:rPr>
                              <w:fldChar w:fldCharType="separate"/>
                            </w:r>
                            <w:r w:rsidRPr="00DD5599">
                              <w:rPr>
                                <w:rFonts w:ascii="Times New Roman" w:hAnsi="Times New Roman" w:cs="Times New Roman"/>
                                <w:b w:val="0"/>
                                <w:noProof/>
                                <w:color w:val="auto"/>
                                <w:sz w:val="21"/>
                              </w:rPr>
                              <w:t>1</w:t>
                            </w:r>
                            <w:r w:rsidRPr="00DD5599">
                              <w:rPr>
                                <w:rFonts w:ascii="Times New Roman" w:hAnsi="Times New Roman" w:cs="Times New Roman"/>
                                <w:b w:val="0"/>
                                <w:color w:val="auto"/>
                                <w:sz w:val="21"/>
                              </w:rPr>
                              <w:fldChar w:fldCharType="end"/>
                            </w:r>
                            <w:r w:rsidRPr="00DD5599">
                              <w:rPr>
                                <w:rFonts w:ascii="Times New Roman" w:hAnsi="Times New Roman" w:cs="Times New Roman"/>
                                <w:b w:val="0"/>
                                <w:color w:val="auto"/>
                                <w:sz w:val="21"/>
                              </w:rPr>
                              <w:t xml:space="preserve"> Population eligibility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281CC584" id="_x0000_t202" coordsize="21600,21600" o:spt="202" path="m0,0l0,21600,21600,21600,21600,0xe">
                <v:stroke joinstyle="miter"/>
                <v:path gradientshapeok="t" o:connecttype="rect"/>
              </v:shapetype>
              <v:shape id="Text Box 1" o:spid="_x0000_s1026" type="#_x0000_t202" style="position:absolute;margin-left:26.35pt;margin-top:401.45pt;width:364.5pt;height:2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" stroked="f">
                <v:textbox style="mso-fit-shape-to-text:t" inset="0,0,0,0">
                  <w:txbxContent>
                    <w:p w14:paraId="66737B3C" w14:textId="2BFD941A" w:rsidR="00920D61" w:rsidRPr="00DD5599" w:rsidRDefault="00920D61" w:rsidP="00DD5599">
                      <w:pPr>
                        <w:pStyle w:val="Caption"/>
                        <w:rPr>
                          <w:rFonts w:ascii="Times New Roman" w:hAnsi="Times New Roman" w:cs="Times New Roman"/>
                          <w:b w:val="0"/>
                          <w:noProof/>
                          <w:color w:val="auto"/>
                          <w:sz w:val="28"/>
                          <w:szCs w:val="22"/>
                        </w:rPr>
                      </w:pPr>
                      <w:r w:rsidRPr="00DD5599">
                        <w:rPr>
                          <w:rFonts w:ascii="Times New Roman" w:hAnsi="Times New Roman" w:cs="Times New Roman"/>
                          <w:b w:val="0"/>
                          <w:color w:val="auto"/>
                          <w:sz w:val="21"/>
                        </w:rPr>
                        <w:t xml:space="preserve">Figure </w:t>
                      </w:r>
                      <w:r w:rsidRPr="00DD5599">
                        <w:rPr>
                          <w:rFonts w:ascii="Times New Roman" w:hAnsi="Times New Roman" w:cs="Times New Roman"/>
                          <w:b w:val="0"/>
                          <w:color w:val="auto"/>
                          <w:sz w:val="21"/>
                        </w:rPr>
                        <w:fldChar w:fldCharType="begin"/>
                      </w:r>
                      <w:r w:rsidRPr="00DD5599">
                        <w:rPr>
                          <w:rFonts w:ascii="Times New Roman" w:hAnsi="Times New Roman" w:cs="Times New Roman"/>
                          <w:b w:val="0"/>
                          <w:color w:val="auto"/>
                          <w:sz w:val="21"/>
                        </w:rPr>
                        <w:instrText xml:space="preserve"> SEQ Figure \* ARABIC </w:instrText>
                      </w:r>
                      <w:r w:rsidRPr="00DD5599">
                        <w:rPr>
                          <w:rFonts w:ascii="Times New Roman" w:hAnsi="Times New Roman" w:cs="Times New Roman"/>
                          <w:b w:val="0"/>
                          <w:color w:val="auto"/>
                          <w:sz w:val="21"/>
                        </w:rPr>
                        <w:fldChar w:fldCharType="separate"/>
                      </w:r>
                      <w:r w:rsidRPr="00DD5599">
                        <w:rPr>
                          <w:rFonts w:ascii="Times New Roman" w:hAnsi="Times New Roman" w:cs="Times New Roman"/>
                          <w:b w:val="0"/>
                          <w:noProof/>
                          <w:color w:val="auto"/>
                          <w:sz w:val="21"/>
                        </w:rPr>
                        <w:t>1</w:t>
                      </w:r>
                      <w:r w:rsidRPr="00DD5599">
                        <w:rPr>
                          <w:rFonts w:ascii="Times New Roman" w:hAnsi="Times New Roman" w:cs="Times New Roman"/>
                          <w:b w:val="0"/>
                          <w:color w:val="auto"/>
                          <w:sz w:val="21"/>
                        </w:rPr>
                        <w:fldChar w:fldCharType="end"/>
                      </w:r>
                      <w:r w:rsidRPr="00DD5599">
                        <w:rPr>
                          <w:rFonts w:ascii="Times New Roman" w:hAnsi="Times New Roman" w:cs="Times New Roman"/>
                          <w:b w:val="0"/>
                          <w:color w:val="auto"/>
                          <w:sz w:val="21"/>
                        </w:rPr>
                        <w:t xml:space="preserve"> Population eligibility flow chart</w:t>
                      </w:r>
                    </w:p>
                  </w:txbxContent>
                </v:textbox>
                <w10:wrap type="square"/>
              </v:shape>
            </w:pict>
          </mc:Fallback>
        </mc:AlternateContent>
      </w:r>
      <w:r w:rsidR="00A602F3">
        <w:rPr>
          <w:noProof/>
          <w:lang w:val="en-US"/>
        </w:rPr>
        <mc:AlternateContent>
          <mc:Choice Requires="wpg">
            <w:drawing>
              <wp:anchor distT="0" distB="0" distL="114300" distR="114300" simplePos="0" relativeHeight="251658240" behindDoc="0" locked="0" layoutInCell="1" allowOverlap="1" wp14:anchorId="2DFBECAC" wp14:editId="5F328D4C">
                <wp:simplePos x="0" y="0"/>
                <wp:positionH relativeFrom="margin">
                  <wp:posOffset>335071</wp:posOffset>
                </wp:positionH>
                <wp:positionV relativeFrom="margin">
                  <wp:posOffset>116840</wp:posOffset>
                </wp:positionV>
                <wp:extent cx="4629150" cy="4924425"/>
                <wp:effectExtent l="0" t="0" r="19050" b="28575"/>
                <wp:wrapSquare wrapText="bothSides"/>
                <wp:docPr id="3" name="Group 3"/>
                <wp:cNvGraphicFramePr/>
                <a:graphic xmlns:a="http://schemas.openxmlformats.org/drawingml/2006/main">
                  <a:graphicData uri="http://schemas.microsoft.com/office/word/2010/wordprocessingGroup">
                    <wpg:wgp>
                      <wpg:cNvGrpSpPr/>
                      <wpg:grpSpPr>
                        <a:xfrm>
                          <a:off x="0" y="0"/>
                          <a:ext cx="4629150" cy="4924425"/>
                          <a:chOff x="0" y="0"/>
                          <a:chExt cx="4629150" cy="4924425"/>
                        </a:xfrm>
                      </wpg:grpSpPr>
                      <wps:wsp>
                        <wps:cNvPr id="6" name="Straight Connector 6"/>
                        <wps:cNvCnPr/>
                        <wps:spPr>
                          <a:xfrm>
                            <a:off x="1352550" y="714375"/>
                            <a:ext cx="215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1352550" y="1685925"/>
                            <a:ext cx="215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352550" y="2960495"/>
                            <a:ext cx="215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352550" y="4267200"/>
                            <a:ext cx="215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352550" y="514350"/>
                            <a:ext cx="0" cy="40290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0" y="0"/>
                            <a:ext cx="26955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7FF89F"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3,465,324 </w:t>
                              </w:r>
                              <w:r w:rsidRPr="00FB234B">
                                <w:rPr>
                                  <w:rFonts w:ascii="Times New Roman" w:hAnsi="Times New Roman" w:cs="Times New Roman"/>
                                </w:rPr>
                                <w:t>participants in the New Zealand Vascular Atlas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752475" y="923925"/>
                            <a:ext cx="1285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71CC61"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3,457,079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971800" y="600075"/>
                            <a:ext cx="16573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A9AF3"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8,245 duplicate records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971800" y="1524000"/>
                            <a:ext cx="16573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743E8"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254 participants with unspecified gender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752475" y="2065768"/>
                            <a:ext cx="1285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4D6C7"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3,456,825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971800" y="2476500"/>
                            <a:ext cx="16573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04C50"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119,957 participants with missing geographic information or deprivation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752475" y="3439682"/>
                            <a:ext cx="1285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C5F7F"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2,901,226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752475" y="4448175"/>
                            <a:ext cx="1285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85B15"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2,077,470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971800" y="4019549"/>
                            <a:ext cx="165735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B2D90" w14:textId="65A8F85C" w:rsidR="00920D61" w:rsidRPr="00FB234B" w:rsidRDefault="00920D61" w:rsidP="00871C96">
                              <w:pPr>
                                <w:jc w:val="center"/>
                                <w:rPr>
                                  <w:rFonts w:ascii="Times New Roman" w:hAnsi="Times New Roman" w:cs="Times New Roman"/>
                                </w:rPr>
                              </w:pPr>
                              <w:r>
                                <w:rPr>
                                  <w:rFonts w:ascii="Times New Roman" w:hAnsi="Times New Roman" w:cs="Times New Roman"/>
                                </w:rPr>
                                <w:t>823,756 participants aged under 30 or over 84 years, or with prior history of CVD (pre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2DFBECAC" id="Group 3" o:spid="_x0000_s1027" style="position:absolute;margin-left:26.4pt;margin-top:9.2pt;width:364.5pt;height:387.75pt;z-index:251658240;mso-position-horizontal-relative:margin;mso-position-vertical-relative:margin" coordsize="4629150,49244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">
                <v:line id="Straight Connector 6" o:spid="_x0000_s1028" style="position:absolute;visibility:visible;mso-wrap-style:square" from="1352550,714375" to="3505200,714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QX0axAAAANoAAAAPAAAAAAAAAAAA&#10;AAAAAKECAABkcnMvZG93bnJldi54bWxQSwUGAAAAAAQABAD5AAAAkgMAAAAA&#10;" strokecolor="black [3213]"/>
                <v:line id="Straight Connector 7" o:spid="_x0000_s1029" style="position:absolute;visibility:visible;mso-wrap-style:square" from="1352550,1685925" to="3505200,1685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DdiBxAAAANoAAAAPAAAAAAAAAAAA&#10;AAAAAKECAABkcnMvZG93bnJldi54bWxQSwUGAAAAAAQABAD5AAAAkgMAAAAA&#10;" strokecolor="black [3213]"/>
                <v:line id="Straight Connector 8" o:spid="_x0000_s1030" style="position:absolute;visibility:visible;mso-wrap-style:square" from="1352550,2960495" to="3505200,296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STPPDAAAA2gAAAA8AAAAAAAAAAAAA&#10;AAAAoQIAAGRycy9kb3ducmV2LnhtbFBLBQYAAAAABAAEAPkAAACRAwAAAAA=&#10;" strokecolor="black [3213]"/>
                <v:line id="Straight Connector 10" o:spid="_x0000_s1031" style="position:absolute;visibility:visible;mso-wrap-style:square" from="1352550,4267200" to="3505200,426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kuFOMUAAADbAAAADwAAAAAAAAAA&#10;AAAAAAChAgAAZHJzL2Rvd25yZXYueG1sUEsFBgAAAAAEAAQA+QAAAJMDAAAAAA==&#10;" strokecolor="black [3213]"/>
                <v:line id="Straight Connector 11" o:spid="_x0000_s1032" style="position:absolute;visibility:visible;mso-wrap-style:square" from="1352550,514350" to="1352550,4543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FgDwQAAANsAAAAPAAAAAAAAAAAAAAAA&#10;AKECAABkcnMvZG93bnJldi54bWxQSwUGAAAAAAQABAD5AAAAjwMAAAAA&#10;" strokecolor="#4579b8 [3044]"/>
                <v:shape id="Text Box 12" o:spid="_x0000_s1033" type="#_x0000_t202" style="position:absolute;width:2695575;height:514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VCOvwAA&#10;ANsAAAAPAAAAZHJzL2Rvd25yZXYueG1sRE9NawIxEL0X+h/CCL3VrB7KdjWKFluEnqql52EzJsHN&#10;ZEnSdfvvTUHwNo/3Ocv16DsxUEwusILZtAJB3Abt2Cj4Pr4/1yBSRtbYBSYFf5RgvXp8WGKjw4W/&#10;aDhkI0oIpwYV2Jz7RsrUWvKYpqEnLtwpRI+5wGikjngp4b6T86p6kR4dlwaLPb1Zas+HX69gtzWv&#10;pq0x2l2tnRvGn9On+VDqaTJuFiAyjfkuvrn3usyfw/8v5QC5u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JUI6/AAAA2wAAAA8AAAAAAAAAAAAAAAAAlwIAAGRycy9kb3ducmV2&#10;LnhtbFBLBQYAAAAABAAEAPUAAACDAwAAAAA=&#10;" fillcolor="white [3201]" strokeweight=".5pt">
                  <v:textbox>
                    <w:txbxContent>
                      <w:p w14:paraId="697FF89F"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3,465,324 </w:t>
                        </w:r>
                        <w:r w:rsidRPr="00FB234B">
                          <w:rPr>
                            <w:rFonts w:ascii="Times New Roman" w:hAnsi="Times New Roman" w:cs="Times New Roman"/>
                          </w:rPr>
                          <w:t>participants in the New Zealand Vascular Atlas Cohort</w:t>
                        </w:r>
                      </w:p>
                    </w:txbxContent>
                  </v:textbox>
                </v:shape>
                <v:shape id="Text Box 13" o:spid="_x0000_s1034" type="#_x0000_t202" style="position:absolute;left:752475;top:923925;width:1285875;height:47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fUVvwAA&#10;ANsAAAAPAAAAZHJzL2Rvd25yZXYueG1sRE9NawIxEL0X+h/CFHqr2bYg62oUW2wpeKqK52EzJsHN&#10;ZEnSdfvvG0HobR7vcxar0XdioJhcYAXPkwoEcRu0Y6PgsP94qkGkjKyxC0wKfinBanl/t8BGhwt/&#10;07DLRpQQTg0qsDn3jZSpteQxTUJPXLhTiB5zgdFIHfFSwn0nX6pqKj06Lg0We3q31J53P17B5s3M&#10;TFtjtJtaOzeMx9PWfCr1+DCu5yAyjflffHN/6TL/Fa6/lAPk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F9RW/AAAA2wAAAA8AAAAAAAAAAAAAAAAAlwIAAGRycy9kb3ducmV2&#10;LnhtbFBLBQYAAAAABAAEAPUAAACDAwAAAAA=&#10;" fillcolor="white [3201]" strokeweight=".5pt">
                  <v:textbox>
                    <w:txbxContent>
                      <w:p w14:paraId="6D71CC61"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3,457,079 participants</w:t>
                        </w:r>
                      </w:p>
                    </w:txbxContent>
                  </v:textbox>
                </v:shape>
                <v:shape id="Text Box 14" o:spid="_x0000_s1035" type="#_x0000_t202" style="position:absolute;left:2971800;top:600075;width:165735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G1hvwAA&#10;ANsAAAAPAAAAZHJzL2Rvd25yZXYueG1sRE9NawIxEL0X+h/CFHqr2ZYi62oUW2wpeKqK52EzJsHN&#10;ZEnSdfvvG0HobR7vcxar0XdioJhcYAXPkwoEcRu0Y6PgsP94qkGkjKyxC0wKfinBanl/t8BGhwt/&#10;07DLRpQQTg0qsDn3jZSpteQxTUJPXLhTiB5zgdFIHfFSwn0nX6pqKj06Lg0We3q31J53P17B5s3M&#10;TFtjtJtaOzeMx9PWfCr1+DCu5yAyjflffHN/6TL/Fa6/lAPk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hsbWG/AAAA2wAAAA8AAAAAAAAAAAAAAAAAlwIAAGRycy9kb3ducmV2&#10;LnhtbFBLBQYAAAAABAAEAPUAAACDAwAAAAA=&#10;" fillcolor="white [3201]" strokeweight=".5pt">
                  <v:textbox>
                    <w:txbxContent>
                      <w:p w14:paraId="41BA9AF3"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8,245 duplicate records </w:t>
                        </w:r>
                      </w:p>
                    </w:txbxContent>
                  </v:textbox>
                </v:shape>
                <v:shape id="Text Box 15" o:spid="_x0000_s1036" type="#_x0000_t202" style="position:absolute;left:2971800;top:1524000;width:1657350;height:666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Mj6vwAA&#10;ANsAAAAPAAAAZHJzL2Rvd25yZXYueG1sRE9NawIxEL0X+h/CFHqr2RYq62oUW2wpeKqK52EzJsHN&#10;ZEnSdfvvG0HobR7vcxar0XdioJhcYAXPkwoEcRu0Y6PgsP94qkGkjKyxC0wKfinBanl/t8BGhwt/&#10;07DLRpQQTg0qsDn3jZSpteQxTUJPXLhTiB5zgdFIHfFSwn0nX6pqKj06Lg0We3q31J53P17B5s3M&#10;TFtjtJtaOzeMx9PWfCr1+DCu5yAyjflffHN/6TL/Fa6/lAPk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cgyPq/AAAA2wAAAA8AAAAAAAAAAAAAAAAAlwIAAGRycy9kb3ducmV2&#10;LnhtbFBLBQYAAAAABAAEAPUAAACDAwAAAAA=&#10;" fillcolor="white [3201]" strokeweight=".5pt">
                  <v:textbox>
                    <w:txbxContent>
                      <w:p w14:paraId="2ED743E8"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 xml:space="preserve">254 participants with unspecified gender </w:t>
                        </w:r>
                      </w:p>
                    </w:txbxContent>
                  </v:textbox>
                </v:shape>
                <v:shape id="Text Box 16" o:spid="_x0000_s1037" type="#_x0000_t202" style="position:absolute;left:752475;top:2065768;width:1285875;height:47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laNvwAA&#10;ANsAAAAPAAAAZHJzL2Rvd25yZXYueG1sRE9NawIxEL0X+h/CCN5q1h5kuxpFiy2Fnqql52EzJsHN&#10;ZEnSdf33TUHwNo/3OavN6DsxUEwusIL5rAJB3Abt2Cj4Pr491SBSRtbYBSYFV0qwWT8+rLDR4cJf&#10;NByyESWEU4MKbM59I2VqLXlMs9ATF+4UosdcYDRSR7yUcN/J56paSI+OS4PFnl4ttefDr1ew35kX&#10;09YY7b7Wzg3jz+nTvCs1nYzbJYhMY76Lb+4PXeYv4P+Xc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fyVo2/AAAA2wAAAA8AAAAAAAAAAAAAAAAAlwIAAGRycy9kb3ducmV2&#10;LnhtbFBLBQYAAAAABAAEAPUAAACDAwAAAAA=&#10;" fillcolor="white [3201]" strokeweight=".5pt">
                  <v:textbox>
                    <w:txbxContent>
                      <w:p w14:paraId="1354D6C7"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3,456,825 participants</w:t>
                        </w:r>
                      </w:p>
                    </w:txbxContent>
                  </v:textbox>
                </v:shape>
                <v:shape id="Text Box 17" o:spid="_x0000_s1038" type="#_x0000_t202" style="position:absolute;left:2971800;top:2476500;width:1657350;height:790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vMWwAAA&#10;ANsAAAAPAAAAZHJzL2Rvd25yZXYueG1sRE9NawIxEL0X+h/CFHqr2fZQ19UotthS8FQVz8NmTIKb&#10;yZKk6/bfN4LQ2zze5yxWo+/EQDG5wAqeJxUI4jZox0bBYf/xVINIGVljF5gU/FKC1fL+boGNDhf+&#10;pmGXjSghnBpUYHPuGylTa8ljmoSeuHCnED3mAqOROuKlhPtOvlTVq/TouDRY7OndUnve/XgFmzcz&#10;M22N0W5q7dwwHk9b86nU48O4noPINOZ/8c39pcv8KVx/KQfI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vvMWwAAAANsAAAAPAAAAAAAAAAAAAAAAAJcCAABkcnMvZG93bnJl&#10;di54bWxQSwUGAAAAAAQABAD1AAAAhAMAAAAA&#10;" fillcolor="white [3201]" strokeweight=".5pt">
                  <v:textbox>
                    <w:txbxContent>
                      <w:p w14:paraId="38C04C50"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119,957 participants with missing geographic information or deprivation status</w:t>
                        </w:r>
                      </w:p>
                    </w:txbxContent>
                  </v:textbox>
                </v:shape>
                <v:shape id="Text Box 19" o:spid="_x0000_s1039" type="#_x0000_t202" style="position:absolute;left:752475;top:3439682;width:1285875;height:47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cL/vwAA&#10;ANsAAAAPAAAAZHJzL2Rvd25yZXYueG1sRE9NawIxEL0X+h/CCN5q1h5kXY2ixZZCT2rpediMSXAz&#10;WZJ03f77plDwNo/3Oevt6DsxUEwusIL5rAJB3Abt2Cj4PL8+1SBSRtbYBSYFP5Rgu3l8WGOjw42P&#10;NJyyESWEU4MKbM59I2VqLXlMs9ATF+4SosdcYDRSR7yVcN/J56paSI+OS4PFnl4stdfTt1dw2Jul&#10;aWuM9lBr54bx6/Jh3pSaTsbdCkSmMd/F/+53XeYv4e+XcoDc/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Ztwv+/AAAA2wAAAA8AAAAAAAAAAAAAAAAAlwIAAGRycy9kb3ducmV2&#10;LnhtbFBLBQYAAAAABAAEAPUAAACDAwAAAAA=&#10;" fillcolor="white [3201]" strokeweight=".5pt">
                  <v:textbox>
                    <w:txbxContent>
                      <w:p w14:paraId="443C5F7F"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2,901,226 participants</w:t>
                        </w:r>
                      </w:p>
                    </w:txbxContent>
                  </v:textbox>
                </v:shape>
                <v:shape id="Text Box 21" o:spid="_x0000_s1040" type="#_x0000_t202" style="position:absolute;left:752475;top:4448175;width:1285875;height:47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wREwQAA&#10;ANsAAAAPAAAAZHJzL2Rvd25yZXYueG1sRI9BawIxFITvhf6H8Aq91aweyro1ii22CJ60pefH5pkE&#10;Ny9Lkq7bf28EweMwM98wi9XoOzFQTC6wgumkAkHcBu3YKPj5/nypQaSMrLELTAr+KcFq+fiwwEaH&#10;M+9pOGQjCoRTgwpszn0jZWoteUyT0BMX7xiix1xkNFJHPBe47+Ssql6lR8dlwWJPH5ba0+HPK9i8&#10;m7lpa4x2U2vnhvH3uDNfSj0/jes3EJnGfA/f2lutYDaF65fyA+Ty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cERMEAAADbAAAADwAAAAAAAAAAAAAAAACXAgAAZHJzL2Rvd25y&#10;ZXYueG1sUEsFBgAAAAAEAAQA9QAAAIUDAAAAAA==&#10;" fillcolor="white [3201]" strokeweight=".5pt">
                  <v:textbox>
                    <w:txbxContent>
                      <w:p w14:paraId="5B285B15" w14:textId="77777777" w:rsidR="00920D61" w:rsidRPr="00FB234B" w:rsidRDefault="00920D61" w:rsidP="00871C96">
                        <w:pPr>
                          <w:jc w:val="center"/>
                          <w:rPr>
                            <w:rFonts w:ascii="Times New Roman" w:hAnsi="Times New Roman" w:cs="Times New Roman"/>
                          </w:rPr>
                        </w:pPr>
                        <w:r>
                          <w:rPr>
                            <w:rFonts w:ascii="Times New Roman" w:hAnsi="Times New Roman" w:cs="Times New Roman"/>
                          </w:rPr>
                          <w:t>2,077,470 participants</w:t>
                        </w:r>
                      </w:p>
                    </w:txbxContent>
                  </v:textbox>
                </v:shape>
                <v:shape id="Text Box 22" o:spid="_x0000_s1041" type="#_x0000_t202" style="position:absolute;left:2971800;top:4019549;width:1657350;height:904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ZozwgAA&#10;ANsAAAAPAAAAZHJzL2Rvd25yZXYueG1sRI9BSwMxFITvgv8hPMGbzboH2W6bllaqCJ7aiufH5jUJ&#10;3bwsSdyu/94IhR6HmfmGWa4n34uRYnKBFTzPKhDEXdCOjYKv49tTAyJlZI19YFLwSwnWq/u7JbY6&#10;XHhP4yEbUSCcWlRgcx5aKVNnyWOahYG4eKcQPeYio5E64qXAfS/rqnqRHh2XBYsDvVrqzocfr2C3&#10;NXPTNRjtrtHOjdP36dO8K/X4MG0WIDJN+Ra+tj+0grqG/y/lB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lmjPCAAAA2wAAAA8AAAAAAAAAAAAAAAAAlwIAAGRycy9kb3du&#10;cmV2LnhtbFBLBQYAAAAABAAEAPUAAACGAwAAAAA=&#10;" fillcolor="white [3201]" strokeweight=".5pt">
                  <v:textbox>
                    <w:txbxContent>
                      <w:p w14:paraId="363B2D90" w14:textId="65A8F85C" w:rsidR="00920D61" w:rsidRPr="00FB234B" w:rsidRDefault="00920D61" w:rsidP="00871C96">
                        <w:pPr>
                          <w:jc w:val="center"/>
                          <w:rPr>
                            <w:rFonts w:ascii="Times New Roman" w:hAnsi="Times New Roman" w:cs="Times New Roman"/>
                          </w:rPr>
                        </w:pPr>
                        <w:r>
                          <w:rPr>
                            <w:rFonts w:ascii="Times New Roman" w:hAnsi="Times New Roman" w:cs="Times New Roman"/>
                          </w:rPr>
                          <w:t>823,756 participants aged under 30 or over 84 years, or with prior history of CVD (pre 2006)</w:t>
                        </w:r>
                      </w:p>
                    </w:txbxContent>
                  </v:textbox>
                </v:shape>
                <w10:wrap type="square" anchorx="margin" anchory="margin"/>
              </v:group>
            </w:pict>
          </mc:Fallback>
        </mc:AlternateContent>
      </w:r>
    </w:p>
    <w:p w14:paraId="7A4205B0" w14:textId="77777777" w:rsidR="00871C96" w:rsidRDefault="00871C96" w:rsidP="00871C96">
      <w:pPr>
        <w:spacing w:line="480" w:lineRule="auto"/>
        <w:rPr>
          <w:rFonts w:ascii="Times New Roman" w:hAnsi="Times New Roman" w:cs="Times New Roman"/>
          <w:i/>
        </w:rPr>
      </w:pPr>
    </w:p>
    <w:p w14:paraId="51E12500" w14:textId="77777777" w:rsidR="00871C96" w:rsidRDefault="00871C96" w:rsidP="00871C96">
      <w:pPr>
        <w:spacing w:line="480" w:lineRule="auto"/>
        <w:rPr>
          <w:rFonts w:ascii="Times New Roman" w:hAnsi="Times New Roman" w:cs="Times New Roman"/>
          <w:i/>
        </w:rPr>
      </w:pPr>
    </w:p>
    <w:p w14:paraId="455558C7" w14:textId="77777777" w:rsidR="00871C96" w:rsidRDefault="00871C96" w:rsidP="00871C96">
      <w:pPr>
        <w:spacing w:line="480" w:lineRule="auto"/>
        <w:rPr>
          <w:rFonts w:ascii="Times New Roman" w:hAnsi="Times New Roman" w:cs="Times New Roman"/>
          <w:i/>
        </w:rPr>
      </w:pPr>
    </w:p>
    <w:p w14:paraId="763B93B8" w14:textId="77777777" w:rsidR="00871C96" w:rsidRDefault="00871C96" w:rsidP="00871C96">
      <w:pPr>
        <w:spacing w:line="480" w:lineRule="auto"/>
        <w:rPr>
          <w:rFonts w:ascii="Times New Roman" w:hAnsi="Times New Roman" w:cs="Times New Roman"/>
          <w:i/>
        </w:rPr>
      </w:pPr>
    </w:p>
    <w:p w14:paraId="669EFA58" w14:textId="77777777" w:rsidR="00871C96" w:rsidRDefault="00871C96" w:rsidP="00871C96">
      <w:pPr>
        <w:spacing w:line="480" w:lineRule="auto"/>
        <w:rPr>
          <w:rFonts w:ascii="Times New Roman" w:hAnsi="Times New Roman" w:cs="Times New Roman"/>
          <w:i/>
        </w:rPr>
      </w:pPr>
    </w:p>
    <w:p w14:paraId="7BF6EF96" w14:textId="77777777" w:rsidR="00871C96" w:rsidRDefault="00871C96" w:rsidP="00871C96">
      <w:pPr>
        <w:spacing w:line="480" w:lineRule="auto"/>
        <w:rPr>
          <w:rFonts w:ascii="Times New Roman" w:hAnsi="Times New Roman" w:cs="Times New Roman"/>
          <w:i/>
        </w:rPr>
      </w:pPr>
    </w:p>
    <w:p w14:paraId="4B5243BB" w14:textId="77777777" w:rsidR="00871C96" w:rsidRDefault="00871C96" w:rsidP="00871C96">
      <w:pPr>
        <w:spacing w:line="480" w:lineRule="auto"/>
        <w:rPr>
          <w:rFonts w:ascii="Times New Roman" w:hAnsi="Times New Roman" w:cs="Times New Roman"/>
          <w:i/>
        </w:rPr>
      </w:pPr>
    </w:p>
    <w:p w14:paraId="2DFD288A" w14:textId="77777777" w:rsidR="00871C96" w:rsidRDefault="00871C96" w:rsidP="00871C96">
      <w:pPr>
        <w:spacing w:line="480" w:lineRule="auto"/>
        <w:rPr>
          <w:rFonts w:ascii="Times New Roman" w:hAnsi="Times New Roman" w:cs="Times New Roman"/>
          <w:i/>
        </w:rPr>
      </w:pPr>
    </w:p>
    <w:p w14:paraId="6408F42C" w14:textId="77777777" w:rsidR="00871C96" w:rsidRDefault="00871C96" w:rsidP="00871C96">
      <w:pPr>
        <w:spacing w:line="480" w:lineRule="auto"/>
        <w:rPr>
          <w:rFonts w:ascii="Times New Roman" w:hAnsi="Times New Roman" w:cs="Times New Roman"/>
          <w:i/>
        </w:rPr>
      </w:pPr>
    </w:p>
    <w:p w14:paraId="468C251C" w14:textId="77777777" w:rsidR="00871C96" w:rsidRDefault="00871C96" w:rsidP="00871C96">
      <w:pPr>
        <w:spacing w:line="480" w:lineRule="auto"/>
        <w:rPr>
          <w:rFonts w:ascii="Times New Roman" w:hAnsi="Times New Roman" w:cs="Times New Roman"/>
          <w:i/>
        </w:rPr>
      </w:pPr>
    </w:p>
    <w:p w14:paraId="097876F2" w14:textId="4189A332" w:rsidR="00871C96" w:rsidRDefault="00871C96" w:rsidP="00871C96">
      <w:pPr>
        <w:spacing w:line="480" w:lineRule="auto"/>
        <w:rPr>
          <w:rFonts w:ascii="Times New Roman" w:hAnsi="Times New Roman" w:cs="Times New Roman"/>
          <w:i/>
        </w:rPr>
      </w:pPr>
    </w:p>
    <w:p w14:paraId="1873C50E" w14:textId="77777777" w:rsidR="00EC6DAC" w:rsidRDefault="00EC6DAC" w:rsidP="00871C96">
      <w:pPr>
        <w:spacing w:line="480" w:lineRule="auto"/>
        <w:rPr>
          <w:rFonts w:ascii="Times New Roman" w:hAnsi="Times New Roman" w:cs="Times New Roman"/>
          <w:i/>
        </w:rPr>
      </w:pPr>
    </w:p>
    <w:p w14:paraId="6327E107" w14:textId="333D81BF" w:rsidR="00871C96" w:rsidRPr="00F26273" w:rsidRDefault="00871C96" w:rsidP="00871C96">
      <w:pPr>
        <w:spacing w:line="480" w:lineRule="auto"/>
        <w:rPr>
          <w:rFonts w:ascii="Times New Roman" w:hAnsi="Times New Roman" w:cs="Times New Roman"/>
          <w:highlight w:val="yellow"/>
        </w:rPr>
      </w:pPr>
      <w:r>
        <w:rPr>
          <w:noProof/>
          <w:lang w:val="en-US"/>
        </w:rPr>
        <mc:AlternateContent>
          <mc:Choice Requires="wps">
            <w:drawing>
              <wp:anchor distT="0" distB="0" distL="114300" distR="114300" simplePos="0" relativeHeight="251659264" behindDoc="0" locked="0" layoutInCell="1" allowOverlap="1" wp14:anchorId="5FCFCEFD" wp14:editId="3163776C">
                <wp:simplePos x="0" y="0"/>
                <wp:positionH relativeFrom="column">
                  <wp:posOffset>390525</wp:posOffset>
                </wp:positionH>
                <wp:positionV relativeFrom="paragraph">
                  <wp:posOffset>5172075</wp:posOffset>
                </wp:positionV>
                <wp:extent cx="4629150" cy="20116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29150" cy="20116800"/>
                        </a:xfrm>
                        <a:prstGeom prst="rect">
                          <a:avLst/>
                        </a:prstGeom>
                        <a:solidFill>
                          <a:prstClr val="white"/>
                        </a:solidFill>
                        <a:ln>
                          <a:noFill/>
                        </a:ln>
                        <a:effectLst/>
                      </wps:spPr>
                      <wps:txbx>
                        <w:txbxContent>
                          <w:p w14:paraId="174FCD99" w14:textId="77777777" w:rsidR="00920D61" w:rsidRPr="00F26273" w:rsidRDefault="00920D61" w:rsidP="00871C96">
                            <w:pPr>
                              <w:pStyle w:val="Caption"/>
                              <w:rPr>
                                <w:rFonts w:ascii="Times New Roman" w:hAnsi="Times New Roman" w:cs="Times New Roman"/>
                                <w:noProof/>
                                <w:color w:val="auto"/>
                                <w:sz w:val="22"/>
                              </w:rPr>
                            </w:pPr>
                            <w:r w:rsidRPr="00F26273">
                              <w:rPr>
                                <w:rFonts w:ascii="Times New Roman" w:hAnsi="Times New Roman" w:cs="Times New Roman"/>
                                <w:color w:val="auto"/>
                                <w:sz w:val="22"/>
                              </w:rPr>
                              <w:t>Figure 1. Population eligibility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FCFCEFD" id="Text Box 23" o:spid="_x0000_s1042" type="#_x0000_t202" style="position:absolute;margin-left:30.75pt;margin-top:407.25pt;width:364.5pt;height:2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" stroked="f">
                <v:textbox style="mso-fit-shape-to-text:t" inset="0,0,0,0">
                  <w:txbxContent>
                    <w:p w14:paraId="174FCD99" w14:textId="77777777" w:rsidR="00920D61" w:rsidRPr="00F26273" w:rsidRDefault="00920D61" w:rsidP="00871C96">
                      <w:pPr>
                        <w:pStyle w:val="Caption"/>
                        <w:rPr>
                          <w:rFonts w:ascii="Times New Roman" w:hAnsi="Times New Roman" w:cs="Times New Roman"/>
                          <w:noProof/>
                          <w:color w:val="auto"/>
                          <w:sz w:val="22"/>
                        </w:rPr>
                      </w:pPr>
                      <w:r w:rsidRPr="00F26273">
                        <w:rPr>
                          <w:rFonts w:ascii="Times New Roman" w:hAnsi="Times New Roman" w:cs="Times New Roman"/>
                          <w:color w:val="auto"/>
                          <w:sz w:val="22"/>
                        </w:rPr>
                        <w:t>Figure 1. Population eligibility flow chart</w:t>
                      </w:r>
                    </w:p>
                  </w:txbxContent>
                </v:textbox>
              </v:shape>
            </w:pict>
          </mc:Fallback>
        </mc:AlternateContent>
      </w:r>
      <w:r w:rsidRPr="003E2A55">
        <w:rPr>
          <w:rFonts w:ascii="Times New Roman" w:hAnsi="Times New Roman" w:cs="Times New Roman"/>
          <w:i/>
        </w:rPr>
        <w:t>Variables</w:t>
      </w:r>
    </w:p>
    <w:p w14:paraId="5570630D" w14:textId="05154F86" w:rsidR="004B12F4" w:rsidRDefault="00871C96" w:rsidP="00871C96">
      <w:pPr>
        <w:spacing w:line="480" w:lineRule="auto"/>
        <w:jc w:val="both"/>
        <w:rPr>
          <w:rFonts w:ascii="Times New Roman" w:hAnsi="Times New Roman" w:cs="Times New Roman"/>
        </w:rPr>
      </w:pPr>
      <w:r w:rsidRPr="003E2A55">
        <w:rPr>
          <w:rFonts w:ascii="Times New Roman" w:hAnsi="Times New Roman" w:cs="Times New Roman"/>
        </w:rPr>
        <w:t>Variables identifying</w:t>
      </w:r>
      <w:r>
        <w:rPr>
          <w:rFonts w:ascii="Times New Roman" w:hAnsi="Times New Roman" w:cs="Times New Roman"/>
        </w:rPr>
        <w:t xml:space="preserve"> each</w:t>
      </w:r>
      <w:r w:rsidRPr="003E2A55">
        <w:rPr>
          <w:rFonts w:ascii="Times New Roman" w:hAnsi="Times New Roman" w:cs="Times New Roman"/>
        </w:rPr>
        <w:t xml:space="preserve"> participant’s age, sex, ethnicity</w:t>
      </w:r>
      <w:r w:rsidR="00A602F3">
        <w:rPr>
          <w:rFonts w:ascii="Times New Roman" w:hAnsi="Times New Roman" w:cs="Times New Roman"/>
        </w:rPr>
        <w:t xml:space="preserve"> and </w:t>
      </w:r>
      <w:r w:rsidRPr="003E2A55">
        <w:rPr>
          <w:rFonts w:ascii="Times New Roman" w:hAnsi="Times New Roman" w:cs="Times New Roman"/>
        </w:rPr>
        <w:t>area of residence are the key independent demographic variables for this analysis.</w:t>
      </w:r>
      <w:r w:rsidR="004C6D26">
        <w:rPr>
          <w:rStyle w:val="CommentReference"/>
        </w:rPr>
        <w:t xml:space="preserve"> </w:t>
      </w:r>
      <w:r w:rsidR="004C6D26">
        <w:rPr>
          <w:rFonts w:ascii="Times New Roman" w:hAnsi="Times New Roman" w:cs="Times New Roman"/>
        </w:rPr>
        <w:t xml:space="preserve">Consistent with previous work, age </w:t>
      </w:r>
      <w:r w:rsidRPr="003E2A55">
        <w:rPr>
          <w:rFonts w:ascii="Times New Roman" w:hAnsi="Times New Roman" w:cs="Times New Roman"/>
        </w:rPr>
        <w:t>was categorised into six groups (30-44; 45-54; 55-64; 65-74; 75-8</w:t>
      </w:r>
      <w:r w:rsidR="00A602F3">
        <w:rPr>
          <w:rFonts w:ascii="Times New Roman" w:hAnsi="Times New Roman" w:cs="Times New Roman"/>
        </w:rPr>
        <w:t>5</w:t>
      </w:r>
      <w:r w:rsidRPr="003E2A55">
        <w:rPr>
          <w:rFonts w:ascii="Times New Roman" w:hAnsi="Times New Roman" w:cs="Times New Roman"/>
        </w:rPr>
        <w:t>)</w:t>
      </w:r>
      <w:r w:rsidR="004C6D26">
        <w:rPr>
          <w:rFonts w:ascii="Times New Roman" w:hAnsi="Times New Roman" w:cs="Times New Roman"/>
        </w:rPr>
        <w:t xml:space="preserve"> with the 55-64 age band used as the reference group (XXXX; Grey et al., 2014; Warin et al., 2016). The age group was restricted due to the low risk of CVD for those aged be</w:t>
      </w:r>
      <w:r w:rsidR="00503342">
        <w:rPr>
          <w:rFonts w:ascii="Times New Roman" w:hAnsi="Times New Roman" w:cs="Times New Roman"/>
        </w:rPr>
        <w:t xml:space="preserve">low </w:t>
      </w:r>
      <w:r w:rsidRPr="003E2A55">
        <w:rPr>
          <w:rFonts w:ascii="Times New Roman" w:hAnsi="Times New Roman" w:cs="Times New Roman"/>
        </w:rPr>
        <w:t>30 years</w:t>
      </w:r>
      <w:r w:rsidR="004C6D26">
        <w:rPr>
          <w:rFonts w:ascii="Times New Roman" w:hAnsi="Times New Roman" w:cs="Times New Roman"/>
        </w:rPr>
        <w:t xml:space="preserve">, </w:t>
      </w:r>
      <w:r w:rsidRPr="003E2A55">
        <w:rPr>
          <w:rFonts w:ascii="Times New Roman" w:hAnsi="Times New Roman" w:cs="Times New Roman"/>
        </w:rPr>
        <w:t xml:space="preserve"> </w:t>
      </w:r>
      <w:r w:rsidR="004C6D26">
        <w:rPr>
          <w:rFonts w:ascii="Times New Roman" w:hAnsi="Times New Roman" w:cs="Times New Roman"/>
        </w:rPr>
        <w:t xml:space="preserve">and the incomplete data, increased risk of having a history of CVD and the statistical problem of small numbers for those aged over 85. </w:t>
      </w:r>
    </w:p>
    <w:p w14:paraId="0BF0A4E2" w14:textId="304E7F2F" w:rsidR="00871C96" w:rsidRPr="003E2A55" w:rsidRDefault="00871C96" w:rsidP="00871C96">
      <w:pPr>
        <w:spacing w:line="480" w:lineRule="auto"/>
        <w:jc w:val="both"/>
        <w:rPr>
          <w:rFonts w:ascii="Times New Roman" w:hAnsi="Times New Roman" w:cs="Times New Roman"/>
        </w:rPr>
      </w:pPr>
      <w:r w:rsidRPr="003E2A55">
        <w:rPr>
          <w:rFonts w:ascii="Times New Roman" w:hAnsi="Times New Roman" w:cs="Times New Roman"/>
        </w:rPr>
        <w:t>Using</w:t>
      </w:r>
      <w:r>
        <w:rPr>
          <w:rFonts w:ascii="Times New Roman" w:hAnsi="Times New Roman" w:cs="Times New Roman"/>
        </w:rPr>
        <w:t xml:space="preserve"> the </w:t>
      </w:r>
      <w:r w:rsidRPr="003E2A55">
        <w:rPr>
          <w:rFonts w:ascii="Times New Roman" w:hAnsi="Times New Roman" w:cs="Times New Roman"/>
        </w:rPr>
        <w:t>national ethnicity coding protocol</w:t>
      </w:r>
      <w:r>
        <w:rPr>
          <w:rFonts w:ascii="Times New Roman" w:hAnsi="Times New Roman" w:cs="Times New Roman"/>
        </w:rPr>
        <w:t>s</w:t>
      </w:r>
      <w:r w:rsidRPr="003E2A55">
        <w:rPr>
          <w:rFonts w:ascii="Times New Roman" w:hAnsi="Times New Roman" w:cs="Times New Roman"/>
        </w:rPr>
        <w:t xml:space="preserve"> for </w:t>
      </w:r>
      <w:r w:rsidR="001772F0">
        <w:rPr>
          <w:rFonts w:ascii="Times New Roman" w:hAnsi="Times New Roman" w:cs="Times New Roman"/>
        </w:rPr>
        <w:t>NZ</w:t>
      </w:r>
      <w:r w:rsidRPr="003E2A55">
        <w:rPr>
          <w:rFonts w:ascii="Times New Roman" w:hAnsi="Times New Roman" w:cs="Times New Roman"/>
        </w:rPr>
        <w:t>, we prioritised ethnicity to identify five eth</w:t>
      </w:r>
      <w:r>
        <w:rPr>
          <w:rFonts w:ascii="Times New Roman" w:hAnsi="Times New Roman" w:cs="Times New Roman"/>
        </w:rPr>
        <w:t>n</w:t>
      </w:r>
      <w:r w:rsidRPr="003E2A55">
        <w:rPr>
          <w:rFonts w:ascii="Times New Roman" w:hAnsi="Times New Roman" w:cs="Times New Roman"/>
        </w:rPr>
        <w:t xml:space="preserve">ic groups: </w:t>
      </w:r>
      <w:r w:rsidR="00D85309">
        <w:rPr>
          <w:rFonts w:ascii="Times New Roman" w:hAnsi="Times New Roman" w:cs="Times New Roman"/>
        </w:rPr>
        <w:t>Māori</w:t>
      </w:r>
      <w:r w:rsidRPr="003E2A55">
        <w:rPr>
          <w:rFonts w:ascii="Times New Roman" w:hAnsi="Times New Roman" w:cs="Times New Roman"/>
        </w:rPr>
        <w:t>, Pacific, Indian</w:t>
      </w:r>
      <w:r>
        <w:rPr>
          <w:rFonts w:ascii="Times New Roman" w:hAnsi="Times New Roman" w:cs="Times New Roman"/>
        </w:rPr>
        <w:t xml:space="preserve"> (Indian groups are distinguishable from Other South Asian groups in</w:t>
      </w:r>
      <w:r w:rsidRPr="00985E49">
        <w:rPr>
          <w:rFonts w:ascii="Times New Roman" w:hAnsi="Times New Roman" w:cs="Times New Roman"/>
        </w:rPr>
        <w:t xml:space="preserve"> </w:t>
      </w:r>
      <w:r w:rsidR="001772F0">
        <w:rPr>
          <w:rFonts w:ascii="Times New Roman" w:hAnsi="Times New Roman" w:cs="Times New Roman"/>
        </w:rPr>
        <w:lastRenderedPageBreak/>
        <w:t>NZ</w:t>
      </w:r>
      <w:r>
        <w:rPr>
          <w:rFonts w:ascii="Times New Roman" w:hAnsi="Times New Roman" w:cs="Times New Roman"/>
        </w:rPr>
        <w:t>’s ethnicity coding system)</w:t>
      </w:r>
      <w:r w:rsidRPr="003E2A55">
        <w:rPr>
          <w:rFonts w:ascii="Times New Roman" w:hAnsi="Times New Roman" w:cs="Times New Roman"/>
        </w:rPr>
        <w:t xml:space="preserve">, Other Asian, and </w:t>
      </w:r>
      <w:r w:rsidR="001772F0">
        <w:rPr>
          <w:rFonts w:ascii="Times New Roman" w:hAnsi="Times New Roman" w:cs="Times New Roman"/>
        </w:rPr>
        <w:t>NZ</w:t>
      </w:r>
      <w:r w:rsidRPr="003E2A55">
        <w:rPr>
          <w:rFonts w:ascii="Times New Roman" w:hAnsi="Times New Roman" w:cs="Times New Roman"/>
        </w:rPr>
        <w:t xml:space="preserve"> and Other European combined (NZEO). Consistent with </w:t>
      </w:r>
      <w:r>
        <w:rPr>
          <w:rFonts w:ascii="Times New Roman" w:hAnsi="Times New Roman" w:cs="Times New Roman"/>
        </w:rPr>
        <w:t xml:space="preserve">the </w:t>
      </w:r>
      <w:r w:rsidR="002F21CD">
        <w:rPr>
          <w:rFonts w:ascii="Times New Roman" w:hAnsi="Times New Roman" w:cs="Times New Roman"/>
        </w:rPr>
        <w:t xml:space="preserve">PREDICT </w:t>
      </w:r>
      <w:r w:rsidRPr="00E23043">
        <w:rPr>
          <w:rFonts w:ascii="Times New Roman" w:hAnsi="Times New Roman" w:cs="Times New Roman"/>
        </w:rPr>
        <w:t>study</w:t>
      </w:r>
      <w:r w:rsidR="000770E5">
        <w:rPr>
          <w:rFonts w:ascii="Times New Roman" w:hAnsi="Times New Roman" w:cs="Times New Roman"/>
        </w:rPr>
        <w:t xml:space="preserve"> (Wells et al., 2015)</w:t>
      </w:r>
      <w:r w:rsidRPr="00E23043">
        <w:rPr>
          <w:rFonts w:ascii="Times New Roman" w:hAnsi="Times New Roman" w:cs="Times New Roman"/>
        </w:rPr>
        <w:t>, we distinguish between Indian and Other Asian groups given the higher risk of CVD amongst Indian participants relative to Other Asian participants (Ministry of Health, 2012). We use</w:t>
      </w:r>
      <w:r w:rsidR="00C52AA4">
        <w:rPr>
          <w:rFonts w:ascii="Times New Roman" w:hAnsi="Times New Roman" w:cs="Times New Roman"/>
        </w:rPr>
        <w:t xml:space="preserve"> Census </w:t>
      </w:r>
      <w:proofErr w:type="spellStart"/>
      <w:r w:rsidR="00C52AA4">
        <w:rPr>
          <w:rFonts w:ascii="Times New Roman" w:hAnsi="Times New Roman" w:cs="Times New Roman"/>
        </w:rPr>
        <w:t>Meshblocks</w:t>
      </w:r>
      <w:proofErr w:type="spellEnd"/>
      <w:r w:rsidR="00C52AA4">
        <w:rPr>
          <w:rFonts w:ascii="Times New Roman" w:hAnsi="Times New Roman" w:cs="Times New Roman"/>
        </w:rPr>
        <w:t xml:space="preserve"> (</w:t>
      </w:r>
      <w:r w:rsidRPr="00E23043">
        <w:rPr>
          <w:rFonts w:ascii="Times New Roman" w:hAnsi="Times New Roman" w:cs="Times New Roman"/>
        </w:rPr>
        <w:t>MBs</w:t>
      </w:r>
      <w:r w:rsidR="00C52AA4">
        <w:rPr>
          <w:rFonts w:ascii="Times New Roman" w:hAnsi="Times New Roman" w:cs="Times New Roman"/>
        </w:rPr>
        <w:t>)</w:t>
      </w:r>
      <w:r w:rsidRPr="003E2A55">
        <w:rPr>
          <w:rFonts w:ascii="Times New Roman" w:hAnsi="Times New Roman" w:cs="Times New Roman"/>
        </w:rPr>
        <w:t xml:space="preserve"> to identify </w:t>
      </w:r>
      <w:r w:rsidR="00F349E5">
        <w:rPr>
          <w:rFonts w:ascii="Times New Roman" w:hAnsi="Times New Roman" w:cs="Times New Roman"/>
        </w:rPr>
        <w:t xml:space="preserve">a </w:t>
      </w:r>
      <w:r w:rsidRPr="003E2A55">
        <w:rPr>
          <w:rFonts w:ascii="Times New Roman" w:hAnsi="Times New Roman" w:cs="Times New Roman"/>
        </w:rPr>
        <w:t xml:space="preserve">participant’s area of residence in each calendar quarter, and to derive information on residential mobility and </w:t>
      </w:r>
      <w:r w:rsidR="000B5389">
        <w:rPr>
          <w:rFonts w:ascii="Times New Roman" w:hAnsi="Times New Roman" w:cs="Times New Roman"/>
        </w:rPr>
        <w:t xml:space="preserve">area </w:t>
      </w:r>
      <w:r w:rsidRPr="003E2A55">
        <w:rPr>
          <w:rFonts w:ascii="Times New Roman" w:hAnsi="Times New Roman" w:cs="Times New Roman"/>
        </w:rPr>
        <w:t xml:space="preserve">deprivation. </w:t>
      </w:r>
    </w:p>
    <w:p w14:paraId="29F235B0" w14:textId="5FCF458E" w:rsidR="00871C96" w:rsidRPr="003E2A55" w:rsidRDefault="00871C96" w:rsidP="00871C96">
      <w:pPr>
        <w:spacing w:line="480" w:lineRule="auto"/>
        <w:jc w:val="both"/>
        <w:rPr>
          <w:rFonts w:ascii="Times New Roman" w:hAnsi="Times New Roman" w:cs="Times New Roman"/>
        </w:rPr>
      </w:pPr>
      <w:r w:rsidRPr="003E2A55">
        <w:rPr>
          <w:rFonts w:ascii="Times New Roman" w:hAnsi="Times New Roman" w:cs="Times New Roman"/>
        </w:rPr>
        <w:t xml:space="preserve">MBs consist of (on average) approximately 100 persons and are the most detailed geographic unit of analysis available for census data in </w:t>
      </w:r>
      <w:r w:rsidR="001772F0">
        <w:rPr>
          <w:rFonts w:ascii="Times New Roman" w:hAnsi="Times New Roman" w:cs="Times New Roman"/>
        </w:rPr>
        <w:t>NZ</w:t>
      </w:r>
      <w:r w:rsidRPr="003E2A55">
        <w:rPr>
          <w:rFonts w:ascii="Times New Roman" w:hAnsi="Times New Roman" w:cs="Times New Roman"/>
        </w:rPr>
        <w:t xml:space="preserve">. Using the </w:t>
      </w:r>
      <w:r w:rsidR="001772F0">
        <w:rPr>
          <w:rFonts w:ascii="Times New Roman" w:hAnsi="Times New Roman" w:cs="Times New Roman"/>
        </w:rPr>
        <w:t>NZ</w:t>
      </w:r>
      <w:r w:rsidRPr="003E2A55">
        <w:rPr>
          <w:rFonts w:ascii="Times New Roman" w:hAnsi="Times New Roman" w:cs="Times New Roman"/>
        </w:rPr>
        <w:t xml:space="preserve"> Index of Deprivation (NZDep2006), we assigned a deprivation </w:t>
      </w:r>
      <w:r>
        <w:rPr>
          <w:rFonts w:ascii="Times New Roman" w:hAnsi="Times New Roman" w:cs="Times New Roman"/>
        </w:rPr>
        <w:t>s</w:t>
      </w:r>
      <w:r w:rsidRPr="003E2A55">
        <w:rPr>
          <w:rFonts w:ascii="Times New Roman" w:hAnsi="Times New Roman" w:cs="Times New Roman"/>
        </w:rPr>
        <w:t xml:space="preserve">core to each participant based on their MB for each calendar quarter. This is a measure of </w:t>
      </w:r>
      <w:r w:rsidRPr="00E23043">
        <w:rPr>
          <w:rFonts w:ascii="Times New Roman" w:hAnsi="Times New Roman" w:cs="Times New Roman"/>
        </w:rPr>
        <w:t>area level socioeconomic deprivation based on nine variables from the 2006 Census (Salmond et al., 2007).</w:t>
      </w:r>
      <w:r w:rsidRPr="003E2A55">
        <w:rPr>
          <w:rFonts w:ascii="Times New Roman" w:hAnsi="Times New Roman" w:cs="Times New Roman"/>
        </w:rPr>
        <w:t xml:space="preserve"> Scores are ranked into quintiles where quintile 1 (Q1) </w:t>
      </w:r>
      <w:r w:rsidR="006A2BE0">
        <w:rPr>
          <w:rFonts w:ascii="Times New Roman" w:hAnsi="Times New Roman" w:cs="Times New Roman"/>
        </w:rPr>
        <w:t>comprises</w:t>
      </w:r>
      <w:r w:rsidR="006A2BE0" w:rsidRPr="003E2A55">
        <w:rPr>
          <w:rFonts w:ascii="Times New Roman" w:hAnsi="Times New Roman" w:cs="Times New Roman"/>
        </w:rPr>
        <w:t xml:space="preserve"> </w:t>
      </w:r>
      <w:r w:rsidRPr="003E2A55">
        <w:rPr>
          <w:rFonts w:ascii="Times New Roman" w:hAnsi="Times New Roman" w:cs="Times New Roman"/>
        </w:rPr>
        <w:t xml:space="preserve">the least deprived </w:t>
      </w:r>
      <w:r>
        <w:rPr>
          <w:rFonts w:ascii="Times New Roman" w:hAnsi="Times New Roman" w:cs="Times New Roman"/>
        </w:rPr>
        <w:t xml:space="preserve">20% of areas across </w:t>
      </w:r>
      <w:r w:rsidR="001772F0">
        <w:rPr>
          <w:rFonts w:ascii="Times New Roman" w:hAnsi="Times New Roman" w:cs="Times New Roman"/>
        </w:rPr>
        <w:t>NZ</w:t>
      </w:r>
      <w:r>
        <w:rPr>
          <w:rFonts w:ascii="Times New Roman" w:hAnsi="Times New Roman" w:cs="Times New Roman"/>
        </w:rPr>
        <w:t xml:space="preserve"> </w:t>
      </w:r>
      <w:r w:rsidRPr="003E2A55">
        <w:rPr>
          <w:rFonts w:ascii="Times New Roman" w:hAnsi="Times New Roman" w:cs="Times New Roman"/>
        </w:rPr>
        <w:t>and quintile 5 (Q5) the most deprived</w:t>
      </w:r>
      <w:r>
        <w:rPr>
          <w:rFonts w:ascii="Times New Roman" w:hAnsi="Times New Roman" w:cs="Times New Roman"/>
        </w:rPr>
        <w:t xml:space="preserve"> 20%</w:t>
      </w:r>
      <w:r w:rsidRPr="003E2A55">
        <w:rPr>
          <w:rFonts w:ascii="Times New Roman" w:hAnsi="Times New Roman" w:cs="Times New Roman"/>
        </w:rPr>
        <w:t xml:space="preserve">. </w:t>
      </w:r>
    </w:p>
    <w:p w14:paraId="7E31F970" w14:textId="56F9F4E4" w:rsidR="00A602F3" w:rsidRPr="00F96639" w:rsidRDefault="00871C96" w:rsidP="00A602F3">
      <w:pPr>
        <w:spacing w:line="480" w:lineRule="auto"/>
        <w:jc w:val="both"/>
        <w:rPr>
          <w:rFonts w:ascii="Times New Roman" w:hAnsi="Times New Roman" w:cs="Times New Roman"/>
        </w:rPr>
      </w:pPr>
      <w:r w:rsidRPr="003E2A55">
        <w:rPr>
          <w:rFonts w:ascii="Times New Roman" w:hAnsi="Times New Roman" w:cs="Times New Roman"/>
        </w:rPr>
        <w:t xml:space="preserve">By assigning each participant to a MB and NZDep2006 score at each calendar quarter, we identified participants who moved during the study period as well as their deprivation trajectory according to moves between or within deprivation quintiles. </w:t>
      </w:r>
      <w:r>
        <w:rPr>
          <w:rFonts w:ascii="Times New Roman" w:hAnsi="Times New Roman" w:cs="Times New Roman"/>
        </w:rPr>
        <w:t>We</w:t>
      </w:r>
      <w:r w:rsidRPr="003E2A55">
        <w:rPr>
          <w:rFonts w:ascii="Times New Roman" w:hAnsi="Times New Roman" w:cs="Times New Roman"/>
        </w:rPr>
        <w:t xml:space="preserve"> focus on </w:t>
      </w:r>
      <w:r>
        <w:rPr>
          <w:rFonts w:ascii="Times New Roman" w:hAnsi="Times New Roman" w:cs="Times New Roman"/>
        </w:rPr>
        <w:t>overall</w:t>
      </w:r>
      <w:r w:rsidRPr="003E2A55">
        <w:rPr>
          <w:rFonts w:ascii="Times New Roman" w:hAnsi="Times New Roman" w:cs="Times New Roman"/>
        </w:rPr>
        <w:t xml:space="preserve"> deprivation trajectory</w:t>
      </w:r>
      <w:r>
        <w:rPr>
          <w:rFonts w:ascii="Times New Roman" w:hAnsi="Times New Roman" w:cs="Times New Roman"/>
        </w:rPr>
        <w:t>;</w:t>
      </w:r>
      <w:r w:rsidRPr="003E2A55">
        <w:rPr>
          <w:rFonts w:ascii="Times New Roman" w:hAnsi="Times New Roman" w:cs="Times New Roman"/>
        </w:rPr>
        <w:t xml:space="preserve"> for participants who moved</w:t>
      </w:r>
      <w:r>
        <w:rPr>
          <w:rFonts w:ascii="Times New Roman" w:hAnsi="Times New Roman" w:cs="Times New Roman"/>
        </w:rPr>
        <w:t>,</w:t>
      </w:r>
      <w:r w:rsidRPr="003E2A55">
        <w:rPr>
          <w:rFonts w:ascii="Times New Roman" w:hAnsi="Times New Roman" w:cs="Times New Roman"/>
        </w:rPr>
        <w:t xml:space="preserve"> we investigate the change between first and last recorded MB and NZDep2006 score. </w:t>
      </w:r>
      <w:r w:rsidR="00A602F3">
        <w:rPr>
          <w:rFonts w:ascii="Times New Roman" w:hAnsi="Times New Roman" w:cs="Times New Roman"/>
        </w:rPr>
        <w:t>We use the same measure of deprivation for all time points (from 2006 to 2014)</w:t>
      </w:r>
      <w:r w:rsidR="002F21CD">
        <w:rPr>
          <w:rFonts w:ascii="Times New Roman" w:hAnsi="Times New Roman" w:cs="Times New Roman"/>
        </w:rPr>
        <w:t>, as  NZDep2013 was not published when we obtained our dataset. However</w:t>
      </w:r>
      <w:r w:rsidR="000770E5">
        <w:rPr>
          <w:rFonts w:ascii="Times New Roman" w:hAnsi="Times New Roman" w:cs="Times New Roman"/>
        </w:rPr>
        <w:t>,</w:t>
      </w:r>
      <w:r w:rsidR="002F21CD">
        <w:rPr>
          <w:rFonts w:ascii="Times New Roman" w:hAnsi="Times New Roman" w:cs="Times New Roman"/>
        </w:rPr>
        <w:t xml:space="preserve"> we do </w:t>
      </w:r>
      <w:r w:rsidR="00A602F3" w:rsidRPr="00F96639">
        <w:rPr>
          <w:rFonts w:ascii="Times New Roman" w:hAnsi="Times New Roman" w:cs="Times New Roman"/>
        </w:rPr>
        <w:t>recognise that areas can change their level of deprivation over time (Norman, 2010)</w:t>
      </w:r>
      <w:r w:rsidR="000770E5">
        <w:rPr>
          <w:rFonts w:ascii="Times New Roman" w:hAnsi="Times New Roman" w:cs="Times New Roman"/>
        </w:rPr>
        <w:t>,</w:t>
      </w:r>
      <w:r w:rsidR="00A602F3" w:rsidRPr="00F96639">
        <w:rPr>
          <w:rFonts w:ascii="Times New Roman" w:hAnsi="Times New Roman" w:cs="Times New Roman"/>
        </w:rPr>
        <w:t xml:space="preserve"> and that changing and persistent area deprivation can have a concomitant influence on health (Boyle et al., 2004; Norman et al., 2010; Exeter et al., 2011). The implications of using fixed deprivation levels to analyse changes in health has been considered elsewhere and found not to affect interpretations (Bajekal et al., 2013). In the main this is because the relative position of areas with regard to their level of deprivation has great</w:t>
      </w:r>
      <w:r w:rsidR="00A602F3" w:rsidRPr="00D305A6">
        <w:rPr>
          <w:rFonts w:ascii="Times New Roman" w:hAnsi="Times New Roman" w:cs="Times New Roman"/>
        </w:rPr>
        <w:t xml:space="preserve"> consistency over time (Norman and</w:t>
      </w:r>
      <w:r w:rsidR="00A602F3" w:rsidRPr="00F96639">
        <w:rPr>
          <w:rFonts w:ascii="Times New Roman" w:hAnsi="Times New Roman" w:cs="Times New Roman"/>
        </w:rPr>
        <w:t xml:space="preserve"> Darlington</w:t>
      </w:r>
      <w:r w:rsidR="00A602F3">
        <w:rPr>
          <w:rFonts w:ascii="Times New Roman" w:hAnsi="Times New Roman" w:cs="Times New Roman"/>
        </w:rPr>
        <w:t>-Pollock</w:t>
      </w:r>
      <w:r w:rsidR="00A602F3" w:rsidRPr="00F96639">
        <w:rPr>
          <w:rFonts w:ascii="Times New Roman" w:hAnsi="Times New Roman" w:cs="Times New Roman"/>
        </w:rPr>
        <w:t>, 2016).</w:t>
      </w:r>
    </w:p>
    <w:p w14:paraId="15414093" w14:textId="7FAB2FCE" w:rsidR="00871C96" w:rsidRPr="003E2A55" w:rsidRDefault="00871C96" w:rsidP="00871C96">
      <w:pPr>
        <w:spacing w:line="480" w:lineRule="auto"/>
        <w:jc w:val="both"/>
        <w:rPr>
          <w:rFonts w:ascii="Times New Roman" w:hAnsi="Times New Roman" w:cs="Times New Roman"/>
        </w:rPr>
      </w:pPr>
      <w:r>
        <w:rPr>
          <w:rFonts w:ascii="Times New Roman" w:hAnsi="Times New Roman" w:cs="Times New Roman"/>
          <w:color w:val="000000"/>
          <w:lang w:eastAsia="en-NZ"/>
        </w:rPr>
        <w:t xml:space="preserve">Any participant with a previous hospitalisation or procedure related to acute coronary syndrome, ischaemic and haemorrhagic stroke, peripheral arterial disease or for congestive failure was defined as having a CVD event, either for exclusion purposes or for identification during the study period. </w:t>
      </w:r>
      <w:r w:rsidRPr="003E2A55">
        <w:rPr>
          <w:rFonts w:ascii="Times New Roman" w:hAnsi="Times New Roman" w:cs="Times New Roman"/>
        </w:rPr>
        <w:t xml:space="preserve">Table </w:t>
      </w:r>
      <w:r w:rsidRPr="003E2A55">
        <w:rPr>
          <w:rFonts w:ascii="Times New Roman" w:hAnsi="Times New Roman" w:cs="Times New Roman"/>
        </w:rPr>
        <w:lastRenderedPageBreak/>
        <w:t xml:space="preserve">1 summarises the variables included in the analysis, distinguishing between movers and stayers for the </w:t>
      </w:r>
      <w:r w:rsidR="001772F0">
        <w:rPr>
          <w:rFonts w:ascii="Times New Roman" w:hAnsi="Times New Roman" w:cs="Times New Roman"/>
        </w:rPr>
        <w:t>NZ</w:t>
      </w:r>
      <w:r w:rsidRPr="003E2A55">
        <w:rPr>
          <w:rFonts w:ascii="Times New Roman" w:hAnsi="Times New Roman" w:cs="Times New Roman"/>
        </w:rPr>
        <w:t xml:space="preserve"> cohort of participants. </w:t>
      </w:r>
    </w:p>
    <w:p w14:paraId="0356F317" w14:textId="77777777" w:rsidR="00871C96" w:rsidRDefault="00871C96" w:rsidP="00871C96">
      <w:pPr>
        <w:spacing w:line="480" w:lineRule="auto"/>
        <w:jc w:val="both"/>
        <w:rPr>
          <w:rFonts w:ascii="Times New Roman" w:hAnsi="Times New Roman" w:cs="Times New Roman"/>
          <w:i/>
        </w:rPr>
      </w:pPr>
      <w:r>
        <w:rPr>
          <w:rFonts w:ascii="Times New Roman" w:hAnsi="Times New Roman" w:cs="Times New Roman"/>
          <w:i/>
        </w:rPr>
        <w:t>Analysis</w:t>
      </w:r>
    </w:p>
    <w:p w14:paraId="39B868DC" w14:textId="1DAC6DD9" w:rsidR="00871C96" w:rsidRPr="000B6913" w:rsidRDefault="00871C96" w:rsidP="00871C96">
      <w:pPr>
        <w:spacing w:line="480" w:lineRule="auto"/>
        <w:jc w:val="both"/>
        <w:rPr>
          <w:rFonts w:ascii="Times New Roman" w:hAnsi="Times New Roman" w:cs="Times New Roman"/>
        </w:rPr>
      </w:pPr>
      <w:r>
        <w:rPr>
          <w:rFonts w:ascii="Times New Roman" w:hAnsi="Times New Roman" w:cs="Times New Roman"/>
        </w:rPr>
        <w:t xml:space="preserve">We used binary logistic regression to model risk of CVD for different ethnic groups in </w:t>
      </w:r>
      <w:r w:rsidR="001772F0">
        <w:rPr>
          <w:rFonts w:ascii="Times New Roman" w:hAnsi="Times New Roman" w:cs="Times New Roman"/>
        </w:rPr>
        <w:t>NZ</w:t>
      </w:r>
      <w:r>
        <w:rPr>
          <w:rFonts w:ascii="Times New Roman" w:hAnsi="Times New Roman" w:cs="Times New Roman"/>
        </w:rPr>
        <w:t xml:space="preserve">. All results are expressed as odds ratios (ORs) and accompanied by 95% confidence intervals (CIs). We constructed five models adjusting for: 1) mover status; 2) mover status and baseline deprivation; 3) </w:t>
      </w:r>
      <w:r w:rsidR="00C52AA4">
        <w:rPr>
          <w:rFonts w:ascii="Times New Roman" w:hAnsi="Times New Roman" w:cs="Times New Roman"/>
        </w:rPr>
        <w:t>deprivation mobility status</w:t>
      </w:r>
      <w:r>
        <w:rPr>
          <w:rFonts w:ascii="Times New Roman" w:hAnsi="Times New Roman" w:cs="Times New Roman"/>
        </w:rPr>
        <w:t>; 4) d</w:t>
      </w:r>
      <w:r w:rsidR="00C52AA4">
        <w:rPr>
          <w:rFonts w:ascii="Times New Roman" w:hAnsi="Times New Roman" w:cs="Times New Roman"/>
        </w:rPr>
        <w:t>etailed d</w:t>
      </w:r>
      <w:r>
        <w:rPr>
          <w:rFonts w:ascii="Times New Roman" w:hAnsi="Times New Roman" w:cs="Times New Roman"/>
        </w:rPr>
        <w:t xml:space="preserve">eprivation transitions; and 5) deprivation circumstances for stayers. </w:t>
      </w:r>
      <w:r w:rsidR="00C52AA4">
        <w:rPr>
          <w:rFonts w:ascii="Times New Roman" w:hAnsi="Times New Roman" w:cs="Times New Roman"/>
        </w:rPr>
        <w:t xml:space="preserve">Deprivation mobility status identifies the overall nature of the deprivation mobility experienced by each participant- moving to more deprivation; churning within comparable deprivation; or moving to less deprivation. The detailed deprivation transitions </w:t>
      </w:r>
      <w:r w:rsidR="00A00FBD">
        <w:rPr>
          <w:rFonts w:ascii="Times New Roman" w:hAnsi="Times New Roman" w:cs="Times New Roman"/>
        </w:rPr>
        <w:t xml:space="preserve">expand on this, in particular identifying moves into, out of or within the least (Q1) and most (Q5) deprived areas, as well as those who move within Q2 to Q4. </w:t>
      </w:r>
      <w:r>
        <w:rPr>
          <w:rFonts w:ascii="Times New Roman" w:hAnsi="Times New Roman" w:cs="Times New Roman"/>
        </w:rPr>
        <w:t>Given the anticipated role of deprivation in contributing to risk of CVD, the results begin with a discussion of the ethnic profile of the deprivation quintiles (according to baseline deprivation). In the first instance, all models were run using the total sample population, adjusting for age, sex and ethnicity. Then, the five models were stratified by ethnic group, adjusting for age and sex</w:t>
      </w:r>
      <w:r w:rsidR="00A602F3">
        <w:rPr>
          <w:rFonts w:ascii="Times New Roman" w:hAnsi="Times New Roman" w:cs="Times New Roman"/>
        </w:rPr>
        <w:t xml:space="preserve"> (models 1</w:t>
      </w:r>
      <w:r w:rsidR="00A602F3">
        <w:rPr>
          <w:rFonts w:ascii="Times New Roman" w:hAnsi="Times New Roman" w:cs="Times New Roman"/>
          <w:i/>
        </w:rPr>
        <w:t xml:space="preserve">e </w:t>
      </w:r>
      <w:r w:rsidR="00A602F3">
        <w:rPr>
          <w:rFonts w:ascii="Times New Roman" w:hAnsi="Times New Roman" w:cs="Times New Roman"/>
        </w:rPr>
        <w:t>to 5</w:t>
      </w:r>
      <w:r w:rsidR="00A602F3">
        <w:rPr>
          <w:rFonts w:ascii="Times New Roman" w:hAnsi="Times New Roman" w:cs="Times New Roman"/>
          <w:i/>
        </w:rPr>
        <w:t>e</w:t>
      </w:r>
      <w:r w:rsidR="00A602F3">
        <w:rPr>
          <w:rFonts w:ascii="Times New Roman" w:hAnsi="Times New Roman" w:cs="Times New Roman"/>
        </w:rPr>
        <w:t>)</w:t>
      </w:r>
      <w:r>
        <w:rPr>
          <w:rFonts w:ascii="Times New Roman" w:hAnsi="Times New Roman" w:cs="Times New Roman"/>
        </w:rPr>
        <w:t xml:space="preserve">. For the models adjusting for stable deprivation, movers are the reference group. For all other models, we use stayers as the reference group in the relevant variables. We take females and NZEO as the reference group for gender and ethnicity. </w:t>
      </w:r>
      <w:r w:rsidR="002F21CD">
        <w:rPr>
          <w:rFonts w:ascii="Times New Roman" w:hAnsi="Times New Roman" w:cs="Times New Roman"/>
        </w:rPr>
        <w:t>As mentioned above,</w:t>
      </w:r>
      <w:r>
        <w:rPr>
          <w:rFonts w:ascii="Times New Roman" w:hAnsi="Times New Roman" w:cs="Times New Roman"/>
        </w:rPr>
        <w:t xml:space="preserve"> we take those aged 55-64 as the reference group in line with wider literature investigating CVD</w:t>
      </w:r>
      <w:r w:rsidR="000770E5">
        <w:rPr>
          <w:rFonts w:ascii="Times New Roman" w:hAnsi="Times New Roman" w:cs="Times New Roman"/>
        </w:rPr>
        <w:t xml:space="preserve"> (e.g. Warin et al., 2016)</w:t>
      </w:r>
      <w:r>
        <w:rPr>
          <w:rFonts w:ascii="Times New Roman" w:hAnsi="Times New Roman" w:cs="Times New Roman"/>
        </w:rPr>
        <w:t>. The models were stratified by ethnic group as we hypothesised that the relationships between residential mobility and risk of CVD may vary by ethnic group. Ethnic-specific models illuminate how the relationship between residential mobility and risk of CVD may interact differently with different ethnic groups: this is not captured in models only adjusting for ethnicity.</w:t>
      </w:r>
      <w:r w:rsidR="00D305A6">
        <w:rPr>
          <w:rFonts w:ascii="Times New Roman" w:hAnsi="Times New Roman" w:cs="Times New Roman"/>
        </w:rPr>
        <w:t xml:space="preserve"> </w:t>
      </w:r>
      <w:r>
        <w:rPr>
          <w:rFonts w:ascii="Times New Roman" w:hAnsi="Times New Roman" w:cs="Times New Roman"/>
        </w:rPr>
        <w:t>Results for the ethnic-specific models are presented as modelled probabilities.</w:t>
      </w:r>
      <w:r w:rsidR="00D305A6">
        <w:rPr>
          <w:rFonts w:ascii="Times New Roman" w:hAnsi="Times New Roman" w:cs="Times New Roman"/>
        </w:rPr>
        <w:t xml:space="preserve"> Modelled probabilities are more comparable than ORs which only summarise the constant effect of the predictor variable (e.g. becoming less deprived) on risk of CVD. Modelled probabilities quantify the likelihood of CVD for the predictor variable (e.g. becoming less deprived), holding all other variables constant. </w:t>
      </w:r>
      <w:r>
        <w:rPr>
          <w:rFonts w:ascii="Times New Roman" w:hAnsi="Times New Roman" w:cs="Times New Roman"/>
        </w:rPr>
        <w:t xml:space="preserve"> All analyses were conducted in IBM SPSS Statistics 2</w:t>
      </w:r>
      <w:r w:rsidR="000770E5">
        <w:rPr>
          <w:rFonts w:ascii="Times New Roman" w:hAnsi="Times New Roman" w:cs="Times New Roman"/>
        </w:rPr>
        <w:t>3</w:t>
      </w:r>
      <w:r>
        <w:rPr>
          <w:rFonts w:ascii="Times New Roman" w:hAnsi="Times New Roman" w:cs="Times New Roman"/>
        </w:rPr>
        <w:t xml:space="preserve">. </w:t>
      </w:r>
    </w:p>
    <w:p w14:paraId="729B9FE7" w14:textId="397251BE" w:rsidR="00871C96" w:rsidRPr="003E2A55" w:rsidRDefault="00871C96" w:rsidP="00871C96">
      <w:pPr>
        <w:spacing w:line="480" w:lineRule="auto"/>
        <w:jc w:val="both"/>
        <w:rPr>
          <w:rFonts w:ascii="Times New Roman" w:hAnsi="Times New Roman" w:cs="Times New Roman"/>
        </w:rPr>
      </w:pPr>
      <w:r w:rsidRPr="003E2A55">
        <w:rPr>
          <w:rFonts w:ascii="Times New Roman" w:hAnsi="Times New Roman" w:cs="Times New Roman"/>
        </w:rPr>
        <w:lastRenderedPageBreak/>
        <w:t xml:space="preserve">Table 1. </w:t>
      </w:r>
      <w:r>
        <w:rPr>
          <w:rFonts w:ascii="Times New Roman" w:hAnsi="Times New Roman" w:cs="Times New Roman"/>
        </w:rPr>
        <w:t>Demographics</w:t>
      </w:r>
      <w:r w:rsidRPr="003E2A55">
        <w:rPr>
          <w:rFonts w:ascii="Times New Roman" w:hAnsi="Times New Roman" w:cs="Times New Roman"/>
        </w:rPr>
        <w:t xml:space="preserve"> of movers and stayers</w:t>
      </w:r>
      <w:r>
        <w:rPr>
          <w:rFonts w:ascii="Times New Roman" w:hAnsi="Times New Roman" w:cs="Times New Roman"/>
        </w:rPr>
        <w:t xml:space="preserve"> aged 30-</w:t>
      </w:r>
      <w:r w:rsidR="000770E5">
        <w:rPr>
          <w:rFonts w:ascii="Times New Roman" w:hAnsi="Times New Roman" w:cs="Times New Roman"/>
        </w:rPr>
        <w:t xml:space="preserve">85 </w:t>
      </w:r>
      <w:r>
        <w:rPr>
          <w:rFonts w:ascii="Times New Roman" w:hAnsi="Times New Roman" w:cs="Times New Roman"/>
        </w:rPr>
        <w:t>years</w:t>
      </w:r>
      <w:r w:rsidRPr="003E2A55">
        <w:rPr>
          <w:rFonts w:ascii="Times New Roman" w:hAnsi="Times New Roman" w:cs="Times New Roman"/>
        </w:rPr>
        <w:t xml:space="preserve"> in </w:t>
      </w:r>
      <w:r w:rsidR="00206D56">
        <w:rPr>
          <w:rFonts w:ascii="Times New Roman" w:hAnsi="Times New Roman" w:cs="Times New Roman"/>
        </w:rPr>
        <w:t>New Zealand</w:t>
      </w:r>
    </w:p>
    <w:tbl>
      <w:tblPr>
        <w:tblStyle w:val="LightShading"/>
        <w:tblW w:w="5000" w:type="pct"/>
        <w:tblLook w:val="04A0" w:firstRow="1" w:lastRow="0" w:firstColumn="1" w:lastColumn="0" w:noHBand="0" w:noVBand="1"/>
      </w:tblPr>
      <w:tblGrid>
        <w:gridCol w:w="2321"/>
        <w:gridCol w:w="2236"/>
        <w:gridCol w:w="2471"/>
        <w:gridCol w:w="1998"/>
      </w:tblGrid>
      <w:tr w:rsidR="00871C96" w:rsidRPr="00E54C70" w14:paraId="2B327B6E" w14:textId="77777777" w:rsidTr="00064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575254E8" w14:textId="77777777" w:rsidR="00871C96" w:rsidRPr="007C03A5" w:rsidRDefault="00871C96" w:rsidP="00871C96">
            <w:pPr>
              <w:spacing w:line="480" w:lineRule="auto"/>
              <w:jc w:val="center"/>
              <w:rPr>
                <w:rFonts w:ascii="Times New Roman" w:hAnsi="Times New Roman" w:cs="Times New Roman"/>
                <w:sz w:val="20"/>
                <w:szCs w:val="20"/>
              </w:rPr>
            </w:pPr>
            <w:r w:rsidRPr="008E4289">
              <w:rPr>
                <w:rFonts w:ascii="Times New Roman" w:hAnsi="Times New Roman" w:cs="Times New Roman"/>
                <w:sz w:val="20"/>
                <w:szCs w:val="20"/>
              </w:rPr>
              <w:t>Total</w:t>
            </w:r>
          </w:p>
        </w:tc>
        <w:tc>
          <w:tcPr>
            <w:tcW w:w="1238" w:type="pct"/>
            <w:shd w:val="clear" w:color="auto" w:fill="auto"/>
          </w:tcPr>
          <w:p w14:paraId="0C902904"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E54C70">
              <w:rPr>
                <w:rFonts w:ascii="Times New Roman" w:hAnsi="Times New Roman" w:cs="Times New Roman"/>
                <w:sz w:val="20"/>
                <w:szCs w:val="20"/>
              </w:rPr>
              <w:t>Stayers</w:t>
            </w:r>
          </w:p>
          <w:p w14:paraId="1182450A"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(n =950,151 45.7%)</w:t>
            </w:r>
          </w:p>
        </w:tc>
        <w:tc>
          <w:tcPr>
            <w:tcW w:w="1369" w:type="pct"/>
            <w:shd w:val="clear" w:color="auto" w:fill="auto"/>
          </w:tcPr>
          <w:p w14:paraId="4D9F4827"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Movers</w:t>
            </w:r>
          </w:p>
          <w:p w14:paraId="729FF0DB"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 xml:space="preserve">(n = 1,127,319 </w:t>
            </w:r>
            <w:r>
              <w:rPr>
                <w:rFonts w:ascii="Times New Roman" w:hAnsi="Times New Roman" w:cs="Times New Roman"/>
                <w:sz w:val="20"/>
                <w:szCs w:val="20"/>
              </w:rPr>
              <w:t>5</w:t>
            </w:r>
            <w:r w:rsidRPr="00E54C70">
              <w:rPr>
                <w:rFonts w:ascii="Times New Roman" w:hAnsi="Times New Roman" w:cs="Times New Roman"/>
                <w:sz w:val="20"/>
                <w:szCs w:val="20"/>
              </w:rPr>
              <w:t>4.3%)</w:t>
            </w:r>
          </w:p>
        </w:tc>
        <w:tc>
          <w:tcPr>
            <w:tcW w:w="1107" w:type="pct"/>
            <w:shd w:val="clear" w:color="auto" w:fill="auto"/>
          </w:tcPr>
          <w:p w14:paraId="7CE808F3"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Total</w:t>
            </w:r>
          </w:p>
          <w:p w14:paraId="6CAC5B2B" w14:textId="77777777" w:rsidR="00871C96" w:rsidRPr="00E54C70"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(n = 2,077,470)</w:t>
            </w:r>
          </w:p>
        </w:tc>
      </w:tr>
      <w:tr w:rsidR="00871C96" w:rsidRPr="003E2A55" w14:paraId="2BC9B96C" w14:textId="77777777" w:rsidTr="000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4AB5F9B6"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CVD event</w:t>
            </w:r>
          </w:p>
          <w:p w14:paraId="42399149"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Yes</w:t>
            </w:r>
          </w:p>
          <w:p w14:paraId="35877304"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No</w:t>
            </w:r>
          </w:p>
        </w:tc>
        <w:tc>
          <w:tcPr>
            <w:tcW w:w="1238" w:type="pct"/>
            <w:shd w:val="clear" w:color="auto" w:fill="auto"/>
          </w:tcPr>
          <w:p w14:paraId="28541D9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E003273"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75,263 (7.9%)</w:t>
            </w:r>
          </w:p>
          <w:p w14:paraId="289C44A3"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874,888 (92.1%)</w:t>
            </w:r>
          </w:p>
        </w:tc>
        <w:tc>
          <w:tcPr>
            <w:tcW w:w="1369" w:type="pct"/>
            <w:shd w:val="clear" w:color="auto" w:fill="auto"/>
          </w:tcPr>
          <w:p w14:paraId="0E01F96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CC9DC9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78,867 (7.0%)</w:t>
            </w:r>
          </w:p>
          <w:p w14:paraId="6720E745"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1,048,452 (93.0%)</w:t>
            </w:r>
          </w:p>
        </w:tc>
        <w:tc>
          <w:tcPr>
            <w:tcW w:w="1107" w:type="pct"/>
            <w:shd w:val="clear" w:color="auto" w:fill="auto"/>
          </w:tcPr>
          <w:p w14:paraId="74552E7C"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2E544E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154,130 (7.4%)</w:t>
            </w:r>
          </w:p>
          <w:p w14:paraId="309052EA"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1,923,340 (92.6%)</w:t>
            </w:r>
          </w:p>
        </w:tc>
      </w:tr>
      <w:tr w:rsidR="00871C96" w:rsidRPr="00E54C70" w14:paraId="58FC1B75" w14:textId="77777777" w:rsidTr="00064025">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74DB299D"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Gender</w:t>
            </w:r>
          </w:p>
          <w:p w14:paraId="16D873E2"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Male</w:t>
            </w:r>
          </w:p>
          <w:p w14:paraId="08E264B8"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Female</w:t>
            </w:r>
          </w:p>
        </w:tc>
        <w:tc>
          <w:tcPr>
            <w:tcW w:w="1238" w:type="pct"/>
            <w:shd w:val="clear" w:color="auto" w:fill="auto"/>
          </w:tcPr>
          <w:p w14:paraId="703EA27C"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DEC5F5E"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460,004 (48.4%)</w:t>
            </w:r>
          </w:p>
          <w:p w14:paraId="6013576A"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490,147 (51.6%)</w:t>
            </w:r>
          </w:p>
        </w:tc>
        <w:tc>
          <w:tcPr>
            <w:tcW w:w="1369" w:type="pct"/>
            <w:shd w:val="clear" w:color="auto" w:fill="auto"/>
          </w:tcPr>
          <w:p w14:paraId="610D552C"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78966C1"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532,608 (47.2%)</w:t>
            </w:r>
          </w:p>
          <w:p w14:paraId="4D37D7EC"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594,711 (52.8%)</w:t>
            </w:r>
          </w:p>
        </w:tc>
        <w:tc>
          <w:tcPr>
            <w:tcW w:w="1107" w:type="pct"/>
            <w:shd w:val="clear" w:color="auto" w:fill="auto"/>
          </w:tcPr>
          <w:p w14:paraId="72636275"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9C507A8"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992,612 (47.8%)</w:t>
            </w:r>
          </w:p>
          <w:p w14:paraId="46C39A1D"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1,084,858 (52.2%)</w:t>
            </w:r>
          </w:p>
        </w:tc>
      </w:tr>
      <w:tr w:rsidR="00871C96" w:rsidRPr="00E54C70" w14:paraId="78F8D7DA" w14:textId="77777777" w:rsidTr="000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5AB637EF"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Age</w:t>
            </w:r>
          </w:p>
          <w:p w14:paraId="1B8CC343"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30-44</w:t>
            </w:r>
          </w:p>
          <w:p w14:paraId="022BA95A"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45-54</w:t>
            </w:r>
          </w:p>
          <w:p w14:paraId="600C8429"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55-64</w:t>
            </w:r>
          </w:p>
          <w:p w14:paraId="5B370804"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65-74</w:t>
            </w:r>
          </w:p>
          <w:p w14:paraId="693B5A3E" w14:textId="71B6B897" w:rsidR="00871C96" w:rsidRPr="00E54C70" w:rsidRDefault="00871C96" w:rsidP="00206D5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75-8</w:t>
            </w:r>
            <w:r w:rsidR="00A602F3">
              <w:rPr>
                <w:rFonts w:ascii="Times New Roman" w:hAnsi="Times New Roman" w:cs="Times New Roman"/>
                <w:b w:val="0"/>
                <w:sz w:val="20"/>
                <w:szCs w:val="20"/>
              </w:rPr>
              <w:t>5</w:t>
            </w:r>
          </w:p>
        </w:tc>
        <w:tc>
          <w:tcPr>
            <w:tcW w:w="1238" w:type="pct"/>
            <w:shd w:val="clear" w:color="auto" w:fill="auto"/>
          </w:tcPr>
          <w:p w14:paraId="2501DFBB"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3F0CF4A"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333,784 (35.1%)</w:t>
            </w:r>
          </w:p>
          <w:p w14:paraId="584D393A"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242,051 (25.5%)</w:t>
            </w:r>
          </w:p>
          <w:p w14:paraId="25993CC4"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191,279 (20.1%)</w:t>
            </w:r>
          </w:p>
          <w:p w14:paraId="02BCE4C1"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119,198 (12.5%)</w:t>
            </w:r>
          </w:p>
          <w:p w14:paraId="23A0606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63,839 (6.7%)</w:t>
            </w:r>
          </w:p>
        </w:tc>
        <w:tc>
          <w:tcPr>
            <w:tcW w:w="1369" w:type="pct"/>
            <w:shd w:val="clear" w:color="auto" w:fill="auto"/>
          </w:tcPr>
          <w:p w14:paraId="5A9F5AA3"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E64FC6D"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581,225 (51.6%)</w:t>
            </w:r>
          </w:p>
          <w:p w14:paraId="7334B9EF"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251,287 (22.3%)</w:t>
            </w:r>
          </w:p>
          <w:p w14:paraId="48CE0BF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159,863 (14.2%)</w:t>
            </w:r>
          </w:p>
          <w:p w14:paraId="23AD2200"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83,915 (7.4%)</w:t>
            </w:r>
          </w:p>
          <w:p w14:paraId="43FE20BB"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51,029 (4.5%)</w:t>
            </w:r>
          </w:p>
        </w:tc>
        <w:tc>
          <w:tcPr>
            <w:tcW w:w="1107" w:type="pct"/>
            <w:shd w:val="clear" w:color="auto" w:fill="auto"/>
          </w:tcPr>
          <w:p w14:paraId="073A91C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CF68190"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915,009 (44.0%)</w:t>
            </w:r>
          </w:p>
          <w:p w14:paraId="47D55318"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493,338 (23.7%)</w:t>
            </w:r>
          </w:p>
          <w:p w14:paraId="5DE19B34"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351,142 (16.9%)</w:t>
            </w:r>
          </w:p>
          <w:p w14:paraId="330C11C7"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203,113 (9.8%)</w:t>
            </w:r>
          </w:p>
          <w:p w14:paraId="7112CABE"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114,868 (5.5%)</w:t>
            </w:r>
          </w:p>
        </w:tc>
      </w:tr>
      <w:tr w:rsidR="00871C96" w:rsidRPr="00E54C70" w14:paraId="518C083A" w14:textId="77777777" w:rsidTr="00064025">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7D7DB78F"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Ethnic</w:t>
            </w:r>
          </w:p>
          <w:p w14:paraId="5AF7E268"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 xml:space="preserve">Māori </w:t>
            </w:r>
          </w:p>
          <w:p w14:paraId="72B59A8D"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Pacific</w:t>
            </w:r>
          </w:p>
          <w:p w14:paraId="3BF70D35"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Indian</w:t>
            </w:r>
          </w:p>
          <w:p w14:paraId="0FC27902"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Other Asian</w:t>
            </w:r>
          </w:p>
          <w:p w14:paraId="32A8F188"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NZEO</w:t>
            </w:r>
          </w:p>
        </w:tc>
        <w:tc>
          <w:tcPr>
            <w:tcW w:w="1238" w:type="pct"/>
            <w:shd w:val="clear" w:color="auto" w:fill="auto"/>
          </w:tcPr>
          <w:p w14:paraId="1646C3E7"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3D6320F"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65,741 (6.9%)</w:t>
            </w:r>
          </w:p>
          <w:p w14:paraId="3B4B4BAE"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49,620 (5.2%)</w:t>
            </w:r>
          </w:p>
          <w:p w14:paraId="52A33112"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22,716 (2.4%)</w:t>
            </w:r>
          </w:p>
          <w:p w14:paraId="599E57BA"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61,759 (6.5%)</w:t>
            </w:r>
          </w:p>
          <w:p w14:paraId="2A9872C2"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750,279 (79.0%)</w:t>
            </w:r>
          </w:p>
        </w:tc>
        <w:tc>
          <w:tcPr>
            <w:tcW w:w="1369" w:type="pct"/>
            <w:shd w:val="clear" w:color="auto" w:fill="auto"/>
          </w:tcPr>
          <w:p w14:paraId="35773D71"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A7CDE09"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111,876 (9.9%)</w:t>
            </w:r>
          </w:p>
          <w:p w14:paraId="635ECBC5"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61,641 (5.5%)</w:t>
            </w:r>
          </w:p>
          <w:p w14:paraId="46BC2FDD"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32,000 (2.6%)</w:t>
            </w:r>
          </w:p>
          <w:p w14:paraId="3C850F52"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67,166 (6.0%)</w:t>
            </w:r>
          </w:p>
          <w:p w14:paraId="57A9950E"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854,636 (75.8%)</w:t>
            </w:r>
          </w:p>
        </w:tc>
        <w:tc>
          <w:tcPr>
            <w:tcW w:w="1107" w:type="pct"/>
            <w:shd w:val="clear" w:color="auto" w:fill="auto"/>
          </w:tcPr>
          <w:p w14:paraId="1FC812E1"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988FE94"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177,617 (8.5%)</w:t>
            </w:r>
          </w:p>
          <w:p w14:paraId="779B607C" w14:textId="77777777" w:rsidR="00871C96"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111,261 (5.4%)</w:t>
            </w:r>
          </w:p>
          <w:p w14:paraId="1ED16465" w14:textId="77777777" w:rsidR="00871C96"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54,716 (6.5%)</w:t>
            </w:r>
          </w:p>
          <w:p w14:paraId="62052705"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128,961 (6.2%)</w:t>
            </w:r>
          </w:p>
          <w:p w14:paraId="7AB6CAB9"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1,604,915 (77.3%)</w:t>
            </w:r>
          </w:p>
        </w:tc>
      </w:tr>
      <w:tr w:rsidR="00871C96" w:rsidRPr="00E54C70" w14:paraId="490F3612" w14:textId="77777777" w:rsidTr="000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04247E01"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Baseline deprivation</w:t>
            </w:r>
          </w:p>
          <w:p w14:paraId="0702932E"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Q1 – least deprived</w:t>
            </w:r>
          </w:p>
          <w:p w14:paraId="08D502A3"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Q2</w:t>
            </w:r>
          </w:p>
          <w:p w14:paraId="6ED2E028"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Q3</w:t>
            </w:r>
          </w:p>
          <w:p w14:paraId="2AEE6089"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Q4</w:t>
            </w:r>
          </w:p>
          <w:p w14:paraId="15FA20F1"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Q5</w:t>
            </w:r>
            <w:r>
              <w:rPr>
                <w:rFonts w:ascii="Times New Roman" w:hAnsi="Times New Roman" w:cs="Times New Roman"/>
                <w:b w:val="0"/>
                <w:sz w:val="20"/>
                <w:szCs w:val="20"/>
              </w:rPr>
              <w:t xml:space="preserve"> – most deprived</w:t>
            </w:r>
          </w:p>
        </w:tc>
        <w:tc>
          <w:tcPr>
            <w:tcW w:w="1238" w:type="pct"/>
            <w:shd w:val="clear" w:color="auto" w:fill="auto"/>
          </w:tcPr>
          <w:p w14:paraId="37CE87BB"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939E408"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235,253 (24.8%)</w:t>
            </w:r>
          </w:p>
          <w:p w14:paraId="0CEDCB3F"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206,990 (21.8%)</w:t>
            </w:r>
          </w:p>
          <w:p w14:paraId="199AD62E"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186,050 (19.6%)</w:t>
            </w:r>
          </w:p>
          <w:p w14:paraId="64174F37"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169,273 (17.8%)</w:t>
            </w:r>
          </w:p>
          <w:p w14:paraId="6D46ED2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152,585 (16.1%)</w:t>
            </w:r>
          </w:p>
        </w:tc>
        <w:tc>
          <w:tcPr>
            <w:tcW w:w="1369" w:type="pct"/>
            <w:shd w:val="clear" w:color="auto" w:fill="auto"/>
          </w:tcPr>
          <w:p w14:paraId="550430BB"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CCE47AF"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243,123 (21.6%)</w:t>
            </w:r>
          </w:p>
          <w:p w14:paraId="30A0BE9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235,474 (20.9%)</w:t>
            </w:r>
          </w:p>
          <w:p w14:paraId="21BBB125"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222,702 (19.8%)</w:t>
            </w:r>
          </w:p>
          <w:p w14:paraId="3887A492"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220,189 (19.5%)</w:t>
            </w:r>
          </w:p>
          <w:p w14:paraId="46C13D7F"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205,831 (18.3%)</w:t>
            </w:r>
          </w:p>
        </w:tc>
        <w:tc>
          <w:tcPr>
            <w:tcW w:w="1107" w:type="pct"/>
            <w:shd w:val="clear" w:color="auto" w:fill="auto"/>
          </w:tcPr>
          <w:p w14:paraId="7E60FD6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9E6A1E6"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478,376 (23.0%)</w:t>
            </w:r>
          </w:p>
          <w:p w14:paraId="4FDDDF07"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442,464 (21.3%)</w:t>
            </w:r>
          </w:p>
          <w:p w14:paraId="0DC1EDA8"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408,752 (19.7%)</w:t>
            </w:r>
          </w:p>
          <w:p w14:paraId="63C6FEE6"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389,462 (18.7%)</w:t>
            </w:r>
          </w:p>
          <w:p w14:paraId="642DB896"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358,416 (17.3%)</w:t>
            </w:r>
          </w:p>
        </w:tc>
      </w:tr>
      <w:tr w:rsidR="00871C96" w:rsidRPr="00E54C70" w14:paraId="037B2237" w14:textId="77777777" w:rsidTr="00064025">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679A39BC"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Of movers:</w:t>
            </w:r>
          </w:p>
          <w:p w14:paraId="22A5E267"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Deprivation change</w:t>
            </w:r>
          </w:p>
          <w:p w14:paraId="50EB3B9F" w14:textId="77777777" w:rsidR="00871C96" w:rsidRPr="00E54C70"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lastRenderedPageBreak/>
              <w:t>To less deprived area</w:t>
            </w:r>
          </w:p>
          <w:p w14:paraId="6B5B110F"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Moved within</w:t>
            </w:r>
            <w:r>
              <w:rPr>
                <w:rFonts w:ascii="Times New Roman" w:hAnsi="Times New Roman" w:cs="Times New Roman"/>
                <w:b w:val="0"/>
                <w:sz w:val="20"/>
                <w:szCs w:val="20"/>
              </w:rPr>
              <w:t xml:space="preserve"> same level</w:t>
            </w:r>
          </w:p>
          <w:p w14:paraId="1FAA6589" w14:textId="77777777" w:rsidR="00871C96" w:rsidRPr="00E54C70"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To more deprived area</w:t>
            </w:r>
          </w:p>
          <w:p w14:paraId="670600A0"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Deprivation transitions</w:t>
            </w:r>
          </w:p>
          <w:p w14:paraId="6C52DB61"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Within Q1</w:t>
            </w:r>
          </w:p>
          <w:p w14:paraId="41B70F99"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Into Q1</w:t>
            </w:r>
          </w:p>
          <w:p w14:paraId="26DE480F"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Out of Q1</w:t>
            </w:r>
          </w:p>
          <w:p w14:paraId="387F3B5F"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Within Q2-Q4</w:t>
            </w:r>
          </w:p>
          <w:p w14:paraId="04156FC6"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Out of Q5</w:t>
            </w:r>
          </w:p>
          <w:p w14:paraId="456DC49D"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Into Q5</w:t>
            </w:r>
          </w:p>
          <w:p w14:paraId="1F1C9207"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Within Q5</w:t>
            </w:r>
          </w:p>
        </w:tc>
        <w:tc>
          <w:tcPr>
            <w:tcW w:w="1238" w:type="pct"/>
            <w:shd w:val="clear" w:color="auto" w:fill="auto"/>
          </w:tcPr>
          <w:p w14:paraId="261AEBF7"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9" w:type="pct"/>
            <w:shd w:val="clear" w:color="auto" w:fill="auto"/>
          </w:tcPr>
          <w:p w14:paraId="71DB18E7"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D573C44"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6B0018E"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lastRenderedPageBreak/>
              <w:t>374,467 (33.2%)</w:t>
            </w:r>
          </w:p>
          <w:p w14:paraId="79385A02"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421,114 (37.4%)</w:t>
            </w:r>
          </w:p>
          <w:p w14:paraId="01E1EC20"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331,738 (29.4%)</w:t>
            </w:r>
          </w:p>
          <w:p w14:paraId="532C4298"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403992F"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111,072 (9.9%)</w:t>
            </w:r>
          </w:p>
          <w:p w14:paraId="79189A5B"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133,457 (11.8%)</w:t>
            </w:r>
          </w:p>
          <w:p w14:paraId="3FE67FAF" w14:textId="77777777" w:rsidR="00871C96"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118,654 (10.5%)</w:t>
            </w:r>
          </w:p>
          <w:p w14:paraId="08BD2256"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460,532 (40.9%)</w:t>
            </w:r>
          </w:p>
          <w:p w14:paraId="5ADAF4D6"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114,158 (10.1%)</w:t>
            </w:r>
          </w:p>
          <w:p w14:paraId="1CEFAD68"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97,773 (8.7%)</w:t>
            </w:r>
          </w:p>
          <w:p w14:paraId="31DC2555"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91,673 (8.1%)</w:t>
            </w:r>
          </w:p>
        </w:tc>
        <w:tc>
          <w:tcPr>
            <w:tcW w:w="1107" w:type="pct"/>
            <w:shd w:val="clear" w:color="auto" w:fill="auto"/>
          </w:tcPr>
          <w:p w14:paraId="6590EA58" w14:textId="77777777" w:rsidR="00871C96" w:rsidRPr="00E54C70" w:rsidRDefault="00871C96" w:rsidP="00871C9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71C96" w:rsidRPr="00E54C70" w14:paraId="257F84EE" w14:textId="77777777" w:rsidTr="000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shd w:val="clear" w:color="auto" w:fill="auto"/>
          </w:tcPr>
          <w:p w14:paraId="25DC4F34" w14:textId="77777777" w:rsidR="00871C96" w:rsidRPr="00E54C70" w:rsidRDefault="00871C96" w:rsidP="00871C96">
            <w:pPr>
              <w:spacing w:line="480" w:lineRule="auto"/>
              <w:rPr>
                <w:rFonts w:ascii="Times New Roman" w:hAnsi="Times New Roman" w:cs="Times New Roman"/>
                <w:sz w:val="20"/>
                <w:szCs w:val="20"/>
              </w:rPr>
            </w:pPr>
            <w:r w:rsidRPr="00E54C70">
              <w:rPr>
                <w:rFonts w:ascii="Times New Roman" w:hAnsi="Times New Roman" w:cs="Times New Roman"/>
                <w:sz w:val="20"/>
                <w:szCs w:val="20"/>
              </w:rPr>
              <w:t>Of stayers:</w:t>
            </w:r>
          </w:p>
          <w:p w14:paraId="0FD752B6"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Stable Q1 – least deprived</w:t>
            </w:r>
          </w:p>
          <w:p w14:paraId="528CDB45"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Stable Q2</w:t>
            </w:r>
          </w:p>
          <w:p w14:paraId="00C4C707"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Stable Q3</w:t>
            </w:r>
          </w:p>
          <w:p w14:paraId="18140CAB"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Stable Q4</w:t>
            </w:r>
          </w:p>
          <w:p w14:paraId="5436CDA5" w14:textId="77777777" w:rsidR="00871C96" w:rsidRPr="00E54C70" w:rsidRDefault="00871C96" w:rsidP="00871C96">
            <w:pPr>
              <w:spacing w:line="480" w:lineRule="auto"/>
              <w:rPr>
                <w:rFonts w:ascii="Times New Roman" w:hAnsi="Times New Roman" w:cs="Times New Roman"/>
                <w:b w:val="0"/>
                <w:sz w:val="20"/>
                <w:szCs w:val="20"/>
              </w:rPr>
            </w:pPr>
            <w:r w:rsidRPr="00E54C70">
              <w:rPr>
                <w:rFonts w:ascii="Times New Roman" w:hAnsi="Times New Roman" w:cs="Times New Roman"/>
                <w:b w:val="0"/>
                <w:sz w:val="20"/>
                <w:szCs w:val="20"/>
              </w:rPr>
              <w:t>Stable Q5 – most deprived</w:t>
            </w:r>
          </w:p>
        </w:tc>
        <w:tc>
          <w:tcPr>
            <w:tcW w:w="1238" w:type="pct"/>
            <w:shd w:val="clear" w:color="auto" w:fill="auto"/>
          </w:tcPr>
          <w:p w14:paraId="557C09E5"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2947B59"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235,253 (24.8%)</w:t>
            </w:r>
          </w:p>
          <w:p w14:paraId="654CC10C"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206,990 (21.8%)</w:t>
            </w:r>
          </w:p>
          <w:p w14:paraId="4C96E0A5"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186,050 (19.6%)</w:t>
            </w:r>
          </w:p>
          <w:p w14:paraId="5334FA60"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169,273 (17.8%)</w:t>
            </w:r>
          </w:p>
          <w:p w14:paraId="327605F3"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4C70">
              <w:rPr>
                <w:rFonts w:ascii="Times New Roman" w:hAnsi="Times New Roman" w:cs="Times New Roman"/>
                <w:sz w:val="20"/>
                <w:szCs w:val="20"/>
              </w:rPr>
              <w:t>152,585 (16.1%)</w:t>
            </w:r>
          </w:p>
        </w:tc>
        <w:tc>
          <w:tcPr>
            <w:tcW w:w="1369" w:type="pct"/>
            <w:shd w:val="clear" w:color="auto" w:fill="auto"/>
          </w:tcPr>
          <w:p w14:paraId="74CF0348"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4BDD05A"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07" w:type="pct"/>
            <w:shd w:val="clear" w:color="auto" w:fill="auto"/>
          </w:tcPr>
          <w:p w14:paraId="40EED573" w14:textId="77777777" w:rsidR="00871C96" w:rsidRPr="00E54C70"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281B645F" w14:textId="77777777" w:rsidR="00871C96" w:rsidRPr="003E2A55" w:rsidRDefault="00871C96" w:rsidP="00871C96">
      <w:pPr>
        <w:spacing w:line="480" w:lineRule="auto"/>
        <w:jc w:val="both"/>
        <w:rPr>
          <w:rFonts w:ascii="Times New Roman" w:hAnsi="Times New Roman" w:cs="Times New Roman"/>
        </w:rPr>
      </w:pPr>
    </w:p>
    <w:p w14:paraId="3DE6560C" w14:textId="77777777" w:rsidR="00871C96" w:rsidRDefault="00871C96" w:rsidP="00871C96">
      <w:pPr>
        <w:spacing w:line="480" w:lineRule="auto"/>
        <w:rPr>
          <w:rFonts w:ascii="Times New Roman" w:hAnsi="Times New Roman" w:cs="Times New Roman"/>
          <w:b/>
        </w:rPr>
      </w:pPr>
      <w:r>
        <w:rPr>
          <w:rFonts w:ascii="Times New Roman" w:hAnsi="Times New Roman" w:cs="Times New Roman"/>
          <w:b/>
        </w:rPr>
        <w:t>Results</w:t>
      </w:r>
    </w:p>
    <w:p w14:paraId="487FD36A" w14:textId="4796846D" w:rsidR="00871C96" w:rsidRDefault="00871C96" w:rsidP="00871C96">
      <w:pPr>
        <w:pStyle w:val="ListParagraph"/>
        <w:numPr>
          <w:ilvl w:val="0"/>
          <w:numId w:val="8"/>
        </w:numPr>
        <w:spacing w:line="480" w:lineRule="auto"/>
        <w:rPr>
          <w:rFonts w:ascii="Times New Roman" w:hAnsi="Times New Roman" w:cs="Times New Roman"/>
          <w:b/>
          <w:i/>
        </w:rPr>
      </w:pPr>
      <w:r>
        <w:rPr>
          <w:rFonts w:ascii="Times New Roman" w:hAnsi="Times New Roman" w:cs="Times New Roman"/>
          <w:b/>
          <w:i/>
        </w:rPr>
        <w:t xml:space="preserve">Ethnic profile of deprivation quintiles in </w:t>
      </w:r>
      <w:r w:rsidR="001772F0">
        <w:rPr>
          <w:rFonts w:ascii="Times New Roman" w:hAnsi="Times New Roman" w:cs="Times New Roman"/>
          <w:b/>
          <w:i/>
        </w:rPr>
        <w:t>NZ</w:t>
      </w:r>
    </w:p>
    <w:p w14:paraId="6ADE672A" w14:textId="382C3B13" w:rsidR="00871C96" w:rsidRPr="00EC7458" w:rsidRDefault="00871C96" w:rsidP="00871C96">
      <w:pPr>
        <w:spacing w:line="480" w:lineRule="auto"/>
        <w:jc w:val="both"/>
        <w:rPr>
          <w:rFonts w:ascii="Times New Roman" w:hAnsi="Times New Roman" w:cs="Times New Roman"/>
        </w:rPr>
      </w:pPr>
      <w:r>
        <w:rPr>
          <w:rFonts w:ascii="Times New Roman" w:hAnsi="Times New Roman" w:cs="Times New Roman"/>
        </w:rPr>
        <w:t xml:space="preserve">Table 2 summarises the distribution of each ethnic group across the baseline deprivation quintiles. </w:t>
      </w:r>
      <w:r w:rsidR="00D85309">
        <w:rPr>
          <w:rFonts w:ascii="Times New Roman" w:hAnsi="Times New Roman" w:cs="Times New Roman"/>
        </w:rPr>
        <w:t>Māori</w:t>
      </w:r>
      <w:r>
        <w:rPr>
          <w:rFonts w:ascii="Times New Roman" w:hAnsi="Times New Roman" w:cs="Times New Roman"/>
        </w:rPr>
        <w:t xml:space="preserve"> and Pacific peoples, and to a lesser extent Indians, are disproportionately represented in the more deprived quintiles (Q4 and Q5). For </w:t>
      </w:r>
      <w:r w:rsidR="00D85309">
        <w:rPr>
          <w:rFonts w:ascii="Times New Roman" w:hAnsi="Times New Roman" w:cs="Times New Roman"/>
        </w:rPr>
        <w:t>Māori</w:t>
      </w:r>
      <w:r>
        <w:rPr>
          <w:rFonts w:ascii="Times New Roman" w:hAnsi="Times New Roman" w:cs="Times New Roman"/>
        </w:rPr>
        <w:t xml:space="preserve"> and Pacific, this accounts for the majority of the population. NZEO peoples are skewed towards the less deprived quintiles (Q1-Q3) whilst Other Asian peoples are fairly evenly distributed between Q1 and Q4. Given the unequivocal relationship between poor health </w:t>
      </w:r>
      <w:r>
        <w:rPr>
          <w:rFonts w:ascii="Times New Roman" w:hAnsi="Times New Roman" w:cs="Times New Roman"/>
        </w:rPr>
        <w:lastRenderedPageBreak/>
        <w:t xml:space="preserve">and increasing deprivation (e.g. Boyle </w:t>
      </w:r>
      <w:r w:rsidRPr="00E23043">
        <w:rPr>
          <w:rFonts w:ascii="Times New Roman" w:hAnsi="Times New Roman" w:cs="Times New Roman"/>
        </w:rPr>
        <w:t>et al., 2005</w:t>
      </w:r>
      <w:r>
        <w:rPr>
          <w:rFonts w:ascii="Times New Roman" w:hAnsi="Times New Roman" w:cs="Times New Roman"/>
        </w:rPr>
        <w:t xml:space="preserve">), the distribution of </w:t>
      </w:r>
      <w:r w:rsidR="001772F0">
        <w:rPr>
          <w:rFonts w:ascii="Times New Roman" w:hAnsi="Times New Roman" w:cs="Times New Roman"/>
        </w:rPr>
        <w:t>NZ</w:t>
      </w:r>
      <w:r>
        <w:rPr>
          <w:rFonts w:ascii="Times New Roman" w:hAnsi="Times New Roman" w:cs="Times New Roman"/>
        </w:rPr>
        <w:t xml:space="preserve">’s population across the deprivation quintiles will be pertinent to experiences of specific health outcomes, including CVD. </w:t>
      </w:r>
    </w:p>
    <w:p w14:paraId="7128B868" w14:textId="77777777" w:rsidR="00871C96" w:rsidRPr="00EC6DAC" w:rsidRDefault="00871C96" w:rsidP="00871C96">
      <w:pPr>
        <w:spacing w:line="480" w:lineRule="auto"/>
        <w:rPr>
          <w:rFonts w:ascii="Times New Roman" w:hAnsi="Times New Roman" w:cs="Times New Roman"/>
        </w:rPr>
      </w:pPr>
      <w:r w:rsidRPr="00EC6DAC">
        <w:rPr>
          <w:rFonts w:ascii="Times New Roman" w:hAnsi="Times New Roman" w:cs="Times New Roman"/>
        </w:rPr>
        <w:t>Table 2. Population by ethnic group and baseline deprivation quintile</w:t>
      </w:r>
    </w:p>
    <w:tbl>
      <w:tblPr>
        <w:tblStyle w:val="LightShading"/>
        <w:tblW w:w="5000" w:type="pct"/>
        <w:tblLook w:val="04A0" w:firstRow="1" w:lastRow="0" w:firstColumn="1" w:lastColumn="0" w:noHBand="0" w:noVBand="1"/>
      </w:tblPr>
      <w:tblGrid>
        <w:gridCol w:w="1277"/>
        <w:gridCol w:w="1747"/>
        <w:gridCol w:w="1502"/>
        <w:gridCol w:w="1500"/>
        <w:gridCol w:w="1500"/>
        <w:gridCol w:w="1500"/>
      </w:tblGrid>
      <w:tr w:rsidR="00871C96" w:rsidRPr="00E54C70" w14:paraId="36A82226" w14:textId="77777777" w:rsidTr="00064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14:paraId="42375B40" w14:textId="77777777" w:rsidR="00871C96" w:rsidRPr="007C03A5" w:rsidRDefault="00871C96" w:rsidP="00871C96">
            <w:pPr>
              <w:spacing w:line="480" w:lineRule="auto"/>
              <w:jc w:val="center"/>
              <w:rPr>
                <w:rFonts w:ascii="Times New Roman" w:hAnsi="Times New Roman" w:cs="Times New Roman"/>
                <w:sz w:val="20"/>
                <w:szCs w:val="20"/>
              </w:rPr>
            </w:pPr>
          </w:p>
        </w:tc>
        <w:tc>
          <w:tcPr>
            <w:tcW w:w="968" w:type="pct"/>
            <w:shd w:val="clear" w:color="auto" w:fill="auto"/>
          </w:tcPr>
          <w:p w14:paraId="60B48EA0" w14:textId="77777777" w:rsidR="00871C96"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Q1 Least deprived</w:t>
            </w:r>
          </w:p>
        </w:tc>
        <w:tc>
          <w:tcPr>
            <w:tcW w:w="832" w:type="pct"/>
            <w:shd w:val="clear" w:color="auto" w:fill="auto"/>
          </w:tcPr>
          <w:p w14:paraId="09D06AF1" w14:textId="77777777" w:rsidR="00871C96"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Q2</w:t>
            </w:r>
          </w:p>
        </w:tc>
        <w:tc>
          <w:tcPr>
            <w:tcW w:w="831" w:type="pct"/>
            <w:shd w:val="clear" w:color="auto" w:fill="auto"/>
          </w:tcPr>
          <w:p w14:paraId="1BA358B9" w14:textId="77777777" w:rsidR="00871C96"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Q3</w:t>
            </w:r>
          </w:p>
        </w:tc>
        <w:tc>
          <w:tcPr>
            <w:tcW w:w="831" w:type="pct"/>
            <w:shd w:val="clear" w:color="auto" w:fill="auto"/>
          </w:tcPr>
          <w:p w14:paraId="648F7B62" w14:textId="77777777" w:rsidR="00871C96"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Q4</w:t>
            </w:r>
          </w:p>
        </w:tc>
        <w:tc>
          <w:tcPr>
            <w:tcW w:w="831" w:type="pct"/>
            <w:shd w:val="clear" w:color="auto" w:fill="auto"/>
          </w:tcPr>
          <w:p w14:paraId="6F7D580F" w14:textId="77777777" w:rsidR="00871C96" w:rsidRDefault="00871C96" w:rsidP="00871C9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Q5 Most deprived</w:t>
            </w:r>
          </w:p>
        </w:tc>
      </w:tr>
      <w:tr w:rsidR="00871C96" w:rsidRPr="00E54C70" w14:paraId="2F818643" w14:textId="77777777" w:rsidTr="0006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14:paraId="6B32D874" w14:textId="13E31F1F" w:rsidR="00871C96" w:rsidRDefault="00D85309"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Māori</w:t>
            </w:r>
          </w:p>
          <w:p w14:paraId="18A6D361" w14:textId="77777777" w:rsidR="00871C96"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Pacific</w:t>
            </w:r>
          </w:p>
          <w:p w14:paraId="5307DFAB" w14:textId="77777777" w:rsidR="00871C96"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Indian</w:t>
            </w:r>
          </w:p>
          <w:p w14:paraId="701C7C22" w14:textId="77777777" w:rsidR="00871C96"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Other Asian</w:t>
            </w:r>
          </w:p>
          <w:p w14:paraId="0FD31C77" w14:textId="77777777" w:rsidR="00871C96"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NZEO</w:t>
            </w:r>
          </w:p>
          <w:p w14:paraId="30F7BB4D" w14:textId="77777777" w:rsidR="00871C96" w:rsidRPr="00E54C70" w:rsidRDefault="00871C96" w:rsidP="00871C96">
            <w:pPr>
              <w:spacing w:line="480" w:lineRule="auto"/>
              <w:rPr>
                <w:rFonts w:ascii="Times New Roman" w:hAnsi="Times New Roman" w:cs="Times New Roman"/>
                <w:b w:val="0"/>
                <w:sz w:val="20"/>
                <w:szCs w:val="20"/>
              </w:rPr>
            </w:pPr>
            <w:r>
              <w:rPr>
                <w:rFonts w:ascii="Times New Roman" w:hAnsi="Times New Roman" w:cs="Times New Roman"/>
                <w:b w:val="0"/>
                <w:sz w:val="20"/>
                <w:szCs w:val="20"/>
              </w:rPr>
              <w:t xml:space="preserve">Total </w:t>
            </w:r>
          </w:p>
        </w:tc>
        <w:tc>
          <w:tcPr>
            <w:tcW w:w="968" w:type="pct"/>
            <w:shd w:val="clear" w:color="auto" w:fill="auto"/>
          </w:tcPr>
          <w:p w14:paraId="2AD94A0C"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12,535 (7.1%)</w:t>
            </w:r>
          </w:p>
          <w:p w14:paraId="6CFA765D"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4,992 (4.5%)</w:t>
            </w:r>
          </w:p>
          <w:p w14:paraId="5F9BBCFA"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7,341 (13.4%)</w:t>
            </w:r>
          </w:p>
          <w:p w14:paraId="74ADB1F0"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28,917 (22.4%)</w:t>
            </w:r>
          </w:p>
          <w:p w14:paraId="46902C56"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424,591(26.5%)</w:t>
            </w:r>
          </w:p>
          <w:p w14:paraId="2401CB84"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478,376 (23.0%)</w:t>
            </w:r>
          </w:p>
        </w:tc>
        <w:tc>
          <w:tcPr>
            <w:tcW w:w="832" w:type="pct"/>
            <w:shd w:val="clear" w:color="auto" w:fill="auto"/>
          </w:tcPr>
          <w:p w14:paraId="73E94C7C"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18,181 (10.2%)</w:t>
            </w:r>
          </w:p>
          <w:p w14:paraId="58282077"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7,889 (7.1%)</w:t>
            </w:r>
          </w:p>
          <w:p w14:paraId="167252F8"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9,330 (17.1%)</w:t>
            </w:r>
          </w:p>
          <w:p w14:paraId="3AE5B07D"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29,455 (22.8%)</w:t>
            </w:r>
          </w:p>
          <w:p w14:paraId="18B06E53"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377,609 (23.5%)</w:t>
            </w:r>
          </w:p>
          <w:p w14:paraId="4385217F"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442,464 (21.3%)</w:t>
            </w:r>
          </w:p>
        </w:tc>
        <w:tc>
          <w:tcPr>
            <w:tcW w:w="831" w:type="pct"/>
            <w:shd w:val="clear" w:color="auto" w:fill="auto"/>
          </w:tcPr>
          <w:p w14:paraId="6562D994"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26,096 (14.7%)</w:t>
            </w:r>
          </w:p>
          <w:p w14:paraId="1C41F7CE"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12,150 (10.9%)</w:t>
            </w:r>
          </w:p>
          <w:p w14:paraId="29CC6909"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10,850 (19.8%)</w:t>
            </w:r>
          </w:p>
          <w:p w14:paraId="21E657E3"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26,286 (20.4%)</w:t>
            </w:r>
          </w:p>
          <w:p w14:paraId="1CC65C3C"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333,370 (20.8%)</w:t>
            </w:r>
          </w:p>
          <w:p w14:paraId="00CD2931"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408,752 (19.7%)</w:t>
            </w:r>
          </w:p>
        </w:tc>
        <w:tc>
          <w:tcPr>
            <w:tcW w:w="831" w:type="pct"/>
            <w:shd w:val="clear" w:color="auto" w:fill="auto"/>
          </w:tcPr>
          <w:p w14:paraId="59B1E38A"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41,383 (23.3%)</w:t>
            </w:r>
          </w:p>
          <w:p w14:paraId="1872FB74"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23,077 (20.7%)</w:t>
            </w:r>
          </w:p>
          <w:p w14:paraId="0E2559AD"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14,777 (27.0%)</w:t>
            </w:r>
          </w:p>
          <w:p w14:paraId="49EDEEBB"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25,199 (19.5%)</w:t>
            </w:r>
          </w:p>
          <w:p w14:paraId="47EC4E34"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285,026 (17.8%)</w:t>
            </w:r>
          </w:p>
          <w:p w14:paraId="4F810BAA"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389,462 (18.7%)</w:t>
            </w:r>
          </w:p>
        </w:tc>
        <w:tc>
          <w:tcPr>
            <w:tcW w:w="831" w:type="pct"/>
            <w:shd w:val="clear" w:color="auto" w:fill="auto"/>
          </w:tcPr>
          <w:p w14:paraId="24A94C61"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381DD9">
              <w:rPr>
                <w:rFonts w:ascii="Times New Roman" w:hAnsi="Times New Roman" w:cs="Times New Roman"/>
                <w:sz w:val="19"/>
                <w:szCs w:val="19"/>
              </w:rPr>
              <w:t>79,422 (44.7%)</w:t>
            </w:r>
          </w:p>
          <w:p w14:paraId="0DE3F3FE"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63,153 (56.8%)</w:t>
            </w:r>
          </w:p>
          <w:p w14:paraId="7D140713"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12,418 (22.7%)</w:t>
            </w:r>
          </w:p>
          <w:p w14:paraId="04605FC3"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19,104 (14.8%)</w:t>
            </w:r>
          </w:p>
          <w:p w14:paraId="0046790F" w14:textId="77777777" w:rsidR="00871C96"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184,319 (11.5%)</w:t>
            </w:r>
          </w:p>
          <w:p w14:paraId="2A9EF749" w14:textId="77777777" w:rsidR="00871C96" w:rsidRPr="00381DD9" w:rsidRDefault="00871C96" w:rsidP="00871C9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358,416 (17.3%)</w:t>
            </w:r>
          </w:p>
        </w:tc>
      </w:tr>
    </w:tbl>
    <w:p w14:paraId="170878EE" w14:textId="77777777" w:rsidR="00871C96" w:rsidRDefault="00871C96" w:rsidP="00871C96">
      <w:pPr>
        <w:spacing w:line="480" w:lineRule="auto"/>
        <w:rPr>
          <w:rFonts w:ascii="Times New Roman" w:hAnsi="Times New Roman" w:cs="Times New Roman"/>
        </w:rPr>
      </w:pPr>
    </w:p>
    <w:p w14:paraId="3B140BF7" w14:textId="77777777" w:rsidR="00871C96" w:rsidRPr="007C03A5" w:rsidRDefault="00871C96" w:rsidP="00871C96">
      <w:pPr>
        <w:pStyle w:val="ListParagraph"/>
        <w:numPr>
          <w:ilvl w:val="0"/>
          <w:numId w:val="8"/>
        </w:numPr>
        <w:spacing w:line="480" w:lineRule="auto"/>
        <w:rPr>
          <w:rFonts w:ascii="Times New Roman" w:hAnsi="Times New Roman" w:cs="Times New Roman"/>
          <w:b/>
          <w:i/>
        </w:rPr>
      </w:pPr>
      <w:r w:rsidRPr="007C03A5">
        <w:rPr>
          <w:rFonts w:ascii="Times New Roman" w:hAnsi="Times New Roman" w:cs="Times New Roman"/>
          <w:b/>
          <w:i/>
        </w:rPr>
        <w:t>The influence of mobility on CVD in a national health database cohort</w:t>
      </w:r>
    </w:p>
    <w:p w14:paraId="0B1BE3D7" w14:textId="0B2DAC3A" w:rsidR="00871C96" w:rsidRPr="003E2A55" w:rsidRDefault="00871C96" w:rsidP="00871C96">
      <w:pPr>
        <w:spacing w:line="480" w:lineRule="auto"/>
        <w:jc w:val="both"/>
        <w:rPr>
          <w:rFonts w:ascii="Times New Roman" w:hAnsi="Times New Roman" w:cs="Times New Roman"/>
        </w:rPr>
      </w:pPr>
      <w:r>
        <w:rPr>
          <w:rFonts w:ascii="Times New Roman" w:hAnsi="Times New Roman" w:cs="Times New Roman"/>
        </w:rPr>
        <w:t>We summarise the results of each model first for all persons, and then by ethnic group. Table 3 presents ORs and CIs for the five all-person models. Statistically significant ORs are starred. Males consistently have significantly higher odds of CVD than females. Adjusting for different residential mobility or deprivation mobility variables has only a marginal impact on the size of the ORs for males. A clear age-gradient in CVD risk is apparent across all models, whereby participants aged 30-44 and 45-54 years have significantly lower odds of CVD than participants aged 55-64. This reverses in the older age groups: those aged 65-74 and 75-8</w:t>
      </w:r>
      <w:r w:rsidR="00A602F3">
        <w:rPr>
          <w:rFonts w:ascii="Times New Roman" w:hAnsi="Times New Roman" w:cs="Times New Roman"/>
        </w:rPr>
        <w:t>5</w:t>
      </w:r>
      <w:r>
        <w:rPr>
          <w:rFonts w:ascii="Times New Roman" w:hAnsi="Times New Roman" w:cs="Times New Roman"/>
        </w:rPr>
        <w:t xml:space="preserve"> years have a significantly higher risk of CVD than the reference group. As with the ORs for gender, adjusting for different residential mobility or deprivation mobility variables has only a marginal impact on the ORs for each age group. This does not affect the statistical significance of the variables, or the interpretation of the ORs. </w:t>
      </w:r>
      <w:r w:rsidRPr="003E2A55">
        <w:rPr>
          <w:rFonts w:ascii="Times New Roman" w:hAnsi="Times New Roman" w:cs="Times New Roman"/>
        </w:rPr>
        <w:br w:type="page"/>
      </w:r>
    </w:p>
    <w:p w14:paraId="4800722B" w14:textId="77777777" w:rsidR="00871C96" w:rsidRDefault="00871C96" w:rsidP="00871C96">
      <w:pPr>
        <w:spacing w:line="480" w:lineRule="auto"/>
        <w:jc w:val="both"/>
        <w:rPr>
          <w:rFonts w:ascii="Times New Roman" w:hAnsi="Times New Roman" w:cs="Times New Roman"/>
          <w:b/>
        </w:rPr>
        <w:sectPr w:rsidR="00871C96" w:rsidSect="00064025">
          <w:footerReference w:type="default" r:id="rId8"/>
          <w:pgSz w:w="11906" w:h="16838"/>
          <w:pgMar w:top="1440" w:right="1440" w:bottom="1440" w:left="1440" w:header="708" w:footer="708" w:gutter="0"/>
          <w:lnNumType w:countBy="1" w:restart="continuous"/>
          <w:cols w:space="708"/>
          <w:docGrid w:linePitch="360"/>
        </w:sectPr>
      </w:pPr>
    </w:p>
    <w:p w14:paraId="5428A4E6" w14:textId="7D8E9276" w:rsidR="00871C96" w:rsidRPr="00EC6DAC" w:rsidRDefault="00871C96" w:rsidP="00871C96">
      <w:pPr>
        <w:spacing w:line="480" w:lineRule="auto"/>
        <w:jc w:val="both"/>
        <w:rPr>
          <w:rFonts w:ascii="Times New Roman" w:hAnsi="Times New Roman" w:cs="Times New Roman"/>
        </w:rPr>
      </w:pPr>
      <w:r w:rsidRPr="00EC6DAC">
        <w:rPr>
          <w:rFonts w:ascii="Times New Roman" w:hAnsi="Times New Roman" w:cs="Times New Roman"/>
        </w:rPr>
        <w:lastRenderedPageBreak/>
        <w:t xml:space="preserve">Table 3. Binary logistic regression modelling CVD events in </w:t>
      </w:r>
      <w:r w:rsidR="001772F0" w:rsidRPr="00EC6DAC">
        <w:rPr>
          <w:rFonts w:ascii="Times New Roman" w:hAnsi="Times New Roman" w:cs="Times New Roman"/>
        </w:rPr>
        <w:t>NZ</w:t>
      </w:r>
      <w:r w:rsidRPr="00EC6DAC">
        <w:rPr>
          <w:rFonts w:ascii="Times New Roman" w:hAnsi="Times New Roman" w:cs="Times New Roman"/>
        </w:rPr>
        <w:t xml:space="preserve"> adult population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324"/>
        <w:gridCol w:w="2326"/>
        <w:gridCol w:w="2327"/>
        <w:gridCol w:w="2327"/>
        <w:gridCol w:w="2328"/>
      </w:tblGrid>
      <w:tr w:rsidR="005534E6" w:rsidRPr="00E164B3" w14:paraId="40BAEAAC" w14:textId="77777777" w:rsidTr="005534E6">
        <w:trPr>
          <w:trHeight w:val="557"/>
        </w:trPr>
        <w:tc>
          <w:tcPr>
            <w:tcW w:w="2362" w:type="dxa"/>
            <w:tcBorders>
              <w:bottom w:val="nil"/>
            </w:tcBorders>
            <w:vAlign w:val="center"/>
          </w:tcPr>
          <w:p w14:paraId="7A290D18" w14:textId="77777777" w:rsidR="005534E6" w:rsidRPr="00E164B3" w:rsidRDefault="005534E6" w:rsidP="005534E6">
            <w:pPr>
              <w:jc w:val="right"/>
              <w:rPr>
                <w:rFonts w:ascii="Times New Roman" w:hAnsi="Times New Roman" w:cs="Times New Roman"/>
                <w:sz w:val="20"/>
              </w:rPr>
            </w:pPr>
            <w:r>
              <w:rPr>
                <w:rFonts w:ascii="Times New Roman" w:hAnsi="Times New Roman" w:cs="Times New Roman"/>
                <w:sz w:val="20"/>
              </w:rPr>
              <w:t>Model description</w:t>
            </w:r>
          </w:p>
        </w:tc>
        <w:tc>
          <w:tcPr>
            <w:tcW w:w="2362" w:type="dxa"/>
            <w:tcBorders>
              <w:bottom w:val="nil"/>
            </w:tcBorders>
            <w:vAlign w:val="center"/>
          </w:tcPr>
          <w:p w14:paraId="13E85C30"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sz w:val="20"/>
              </w:rPr>
              <w:t xml:space="preserve">Model 1 </w:t>
            </w:r>
            <w:r>
              <w:rPr>
                <w:rFonts w:ascii="Times New Roman" w:hAnsi="Times New Roman" w:cs="Times New Roman"/>
                <w:sz w:val="20"/>
              </w:rPr>
              <w:br/>
            </w:r>
            <w:r w:rsidRPr="00E164B3">
              <w:rPr>
                <w:rFonts w:ascii="Times New Roman" w:hAnsi="Times New Roman" w:cs="Times New Roman"/>
                <w:sz w:val="20"/>
              </w:rPr>
              <w:t>Odds Ratio</w:t>
            </w:r>
            <w:r>
              <w:rPr>
                <w:rFonts w:ascii="Times New Roman" w:hAnsi="Times New Roman" w:cs="Times New Roman"/>
                <w:sz w:val="20"/>
              </w:rPr>
              <w:t xml:space="preserve"> </w:t>
            </w:r>
            <w:r w:rsidRPr="00E164B3">
              <w:rPr>
                <w:rFonts w:ascii="Times New Roman" w:hAnsi="Times New Roman" w:cs="Times New Roman"/>
                <w:sz w:val="20"/>
              </w:rPr>
              <w:t>(95% CI)</w:t>
            </w:r>
          </w:p>
        </w:tc>
        <w:tc>
          <w:tcPr>
            <w:tcW w:w="2362" w:type="dxa"/>
            <w:tcBorders>
              <w:bottom w:val="nil"/>
            </w:tcBorders>
            <w:vAlign w:val="center"/>
          </w:tcPr>
          <w:p w14:paraId="54256AB0"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sz w:val="20"/>
              </w:rPr>
              <w:t xml:space="preserve">Model 2 </w:t>
            </w:r>
            <w:r>
              <w:rPr>
                <w:rFonts w:ascii="Times New Roman" w:hAnsi="Times New Roman" w:cs="Times New Roman"/>
                <w:sz w:val="20"/>
              </w:rPr>
              <w:br/>
            </w:r>
            <w:r w:rsidRPr="00E164B3">
              <w:rPr>
                <w:rFonts w:ascii="Times New Roman" w:hAnsi="Times New Roman" w:cs="Times New Roman"/>
                <w:sz w:val="20"/>
              </w:rPr>
              <w:t>Odds Ratio (95% CI)</w:t>
            </w:r>
          </w:p>
        </w:tc>
        <w:tc>
          <w:tcPr>
            <w:tcW w:w="2362" w:type="dxa"/>
            <w:tcBorders>
              <w:bottom w:val="nil"/>
            </w:tcBorders>
            <w:vAlign w:val="center"/>
          </w:tcPr>
          <w:p w14:paraId="3A7AC631"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sz w:val="20"/>
              </w:rPr>
              <w:t xml:space="preserve">Model 3 </w:t>
            </w:r>
            <w:r>
              <w:rPr>
                <w:rFonts w:ascii="Times New Roman" w:hAnsi="Times New Roman" w:cs="Times New Roman"/>
                <w:sz w:val="20"/>
              </w:rPr>
              <w:br/>
            </w:r>
            <w:r w:rsidRPr="00E164B3">
              <w:rPr>
                <w:rFonts w:ascii="Times New Roman" w:hAnsi="Times New Roman" w:cs="Times New Roman"/>
                <w:sz w:val="20"/>
              </w:rPr>
              <w:t>Odds Ratio (95% CI)</w:t>
            </w:r>
          </w:p>
        </w:tc>
        <w:tc>
          <w:tcPr>
            <w:tcW w:w="2363" w:type="dxa"/>
            <w:tcBorders>
              <w:bottom w:val="nil"/>
            </w:tcBorders>
            <w:vAlign w:val="center"/>
          </w:tcPr>
          <w:p w14:paraId="131220FE"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sz w:val="20"/>
              </w:rPr>
              <w:t xml:space="preserve">Model 4 </w:t>
            </w:r>
            <w:r>
              <w:rPr>
                <w:rFonts w:ascii="Times New Roman" w:hAnsi="Times New Roman" w:cs="Times New Roman"/>
                <w:sz w:val="20"/>
              </w:rPr>
              <w:br/>
            </w:r>
            <w:r w:rsidRPr="00E164B3">
              <w:rPr>
                <w:rFonts w:ascii="Times New Roman" w:hAnsi="Times New Roman" w:cs="Times New Roman"/>
                <w:sz w:val="20"/>
              </w:rPr>
              <w:t>Odds Ratio (95% CI)</w:t>
            </w:r>
          </w:p>
        </w:tc>
        <w:tc>
          <w:tcPr>
            <w:tcW w:w="2363" w:type="dxa"/>
            <w:tcBorders>
              <w:bottom w:val="nil"/>
            </w:tcBorders>
            <w:vAlign w:val="center"/>
          </w:tcPr>
          <w:p w14:paraId="398865EC"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sz w:val="20"/>
              </w:rPr>
              <w:t xml:space="preserve">Model 5 </w:t>
            </w:r>
            <w:r>
              <w:rPr>
                <w:rFonts w:ascii="Times New Roman" w:hAnsi="Times New Roman" w:cs="Times New Roman"/>
                <w:sz w:val="20"/>
              </w:rPr>
              <w:br/>
            </w:r>
            <w:r w:rsidRPr="00E164B3">
              <w:rPr>
                <w:rFonts w:ascii="Times New Roman" w:hAnsi="Times New Roman" w:cs="Times New Roman"/>
                <w:sz w:val="20"/>
              </w:rPr>
              <w:t>Odds Ratio (95% CI)</w:t>
            </w:r>
          </w:p>
        </w:tc>
      </w:tr>
      <w:tr w:rsidR="005534E6" w:rsidRPr="00E164B3" w14:paraId="6141884F" w14:textId="77777777" w:rsidTr="005534E6">
        <w:trPr>
          <w:trHeight w:val="557"/>
        </w:trPr>
        <w:tc>
          <w:tcPr>
            <w:tcW w:w="2362" w:type="dxa"/>
            <w:tcBorders>
              <w:top w:val="nil"/>
              <w:bottom w:val="single" w:sz="4" w:space="0" w:color="auto"/>
            </w:tcBorders>
            <w:vAlign w:val="center"/>
          </w:tcPr>
          <w:p w14:paraId="5DC99D74" w14:textId="77777777" w:rsidR="005534E6" w:rsidRPr="00E164B3" w:rsidRDefault="005534E6" w:rsidP="005534E6">
            <w:pPr>
              <w:jc w:val="right"/>
              <w:rPr>
                <w:rFonts w:ascii="Times New Roman" w:hAnsi="Times New Roman" w:cs="Times New Roman"/>
                <w:sz w:val="20"/>
              </w:rPr>
            </w:pPr>
            <w:r>
              <w:rPr>
                <w:rFonts w:ascii="Times New Roman" w:hAnsi="Times New Roman" w:cs="Times New Roman"/>
                <w:sz w:val="20"/>
              </w:rPr>
              <w:t>Adjusts for gender, age ethnicity plus:</w:t>
            </w:r>
          </w:p>
        </w:tc>
        <w:tc>
          <w:tcPr>
            <w:tcW w:w="2362" w:type="dxa"/>
            <w:tcBorders>
              <w:top w:val="nil"/>
              <w:bottom w:val="single" w:sz="4" w:space="0" w:color="auto"/>
            </w:tcBorders>
            <w:vAlign w:val="center"/>
          </w:tcPr>
          <w:p w14:paraId="1AAA443C" w14:textId="77777777" w:rsidR="005534E6" w:rsidRPr="00E164B3" w:rsidRDefault="005534E6" w:rsidP="005534E6">
            <w:pPr>
              <w:jc w:val="center"/>
              <w:rPr>
                <w:rFonts w:ascii="Times New Roman" w:hAnsi="Times New Roman" w:cs="Times New Roman"/>
                <w:sz w:val="20"/>
              </w:rPr>
            </w:pPr>
            <w:r>
              <w:rPr>
                <w:rFonts w:ascii="Times New Roman" w:hAnsi="Times New Roman" w:cs="Times New Roman"/>
                <w:sz w:val="20"/>
              </w:rPr>
              <w:t xml:space="preserve">Mover status </w:t>
            </w:r>
          </w:p>
        </w:tc>
        <w:tc>
          <w:tcPr>
            <w:tcW w:w="2362" w:type="dxa"/>
            <w:tcBorders>
              <w:top w:val="nil"/>
              <w:bottom w:val="single" w:sz="4" w:space="0" w:color="auto"/>
            </w:tcBorders>
            <w:vAlign w:val="center"/>
          </w:tcPr>
          <w:p w14:paraId="11086427" w14:textId="77777777" w:rsidR="005534E6" w:rsidRPr="00E164B3" w:rsidRDefault="005534E6" w:rsidP="005534E6">
            <w:pPr>
              <w:jc w:val="center"/>
              <w:rPr>
                <w:rFonts w:ascii="Times New Roman" w:hAnsi="Times New Roman" w:cs="Times New Roman"/>
                <w:sz w:val="20"/>
              </w:rPr>
            </w:pPr>
            <w:r>
              <w:rPr>
                <w:rFonts w:ascii="Times New Roman" w:hAnsi="Times New Roman" w:cs="Times New Roman"/>
                <w:sz w:val="20"/>
              </w:rPr>
              <w:t>Mover status, baseline deprivation</w:t>
            </w:r>
          </w:p>
        </w:tc>
        <w:tc>
          <w:tcPr>
            <w:tcW w:w="2362" w:type="dxa"/>
            <w:tcBorders>
              <w:top w:val="nil"/>
              <w:bottom w:val="single" w:sz="4" w:space="0" w:color="auto"/>
            </w:tcBorders>
            <w:vAlign w:val="center"/>
          </w:tcPr>
          <w:p w14:paraId="09F6E20C" w14:textId="77777777" w:rsidR="005534E6" w:rsidRPr="00E164B3" w:rsidRDefault="005534E6" w:rsidP="005534E6">
            <w:pPr>
              <w:jc w:val="center"/>
              <w:rPr>
                <w:rFonts w:ascii="Times New Roman" w:hAnsi="Times New Roman" w:cs="Times New Roman"/>
                <w:sz w:val="20"/>
              </w:rPr>
            </w:pPr>
            <w:r>
              <w:rPr>
                <w:rFonts w:ascii="Times New Roman" w:hAnsi="Times New Roman" w:cs="Times New Roman"/>
                <w:sz w:val="20"/>
              </w:rPr>
              <w:t>Deprivation mobility status</w:t>
            </w:r>
          </w:p>
        </w:tc>
        <w:tc>
          <w:tcPr>
            <w:tcW w:w="2363" w:type="dxa"/>
            <w:tcBorders>
              <w:top w:val="nil"/>
              <w:bottom w:val="single" w:sz="4" w:space="0" w:color="auto"/>
            </w:tcBorders>
            <w:vAlign w:val="center"/>
          </w:tcPr>
          <w:p w14:paraId="5F4A8A79" w14:textId="77777777" w:rsidR="005534E6" w:rsidRPr="00E164B3" w:rsidRDefault="005534E6" w:rsidP="005534E6">
            <w:pPr>
              <w:jc w:val="center"/>
              <w:rPr>
                <w:rFonts w:ascii="Times New Roman" w:hAnsi="Times New Roman" w:cs="Times New Roman"/>
                <w:sz w:val="20"/>
              </w:rPr>
            </w:pPr>
            <w:r>
              <w:rPr>
                <w:rFonts w:ascii="Times New Roman" w:hAnsi="Times New Roman" w:cs="Times New Roman"/>
                <w:sz w:val="20"/>
              </w:rPr>
              <w:t>Detailed deprivation transitions</w:t>
            </w:r>
          </w:p>
        </w:tc>
        <w:tc>
          <w:tcPr>
            <w:tcW w:w="2363" w:type="dxa"/>
            <w:tcBorders>
              <w:top w:val="nil"/>
              <w:bottom w:val="single" w:sz="4" w:space="0" w:color="auto"/>
            </w:tcBorders>
            <w:vAlign w:val="center"/>
          </w:tcPr>
          <w:p w14:paraId="49AF32ED" w14:textId="77777777" w:rsidR="005534E6" w:rsidRPr="00E164B3" w:rsidRDefault="005534E6" w:rsidP="005534E6">
            <w:pPr>
              <w:jc w:val="center"/>
              <w:rPr>
                <w:rFonts w:ascii="Times New Roman" w:hAnsi="Times New Roman" w:cs="Times New Roman"/>
                <w:sz w:val="20"/>
              </w:rPr>
            </w:pPr>
            <w:r>
              <w:rPr>
                <w:rFonts w:ascii="Times New Roman" w:hAnsi="Times New Roman" w:cs="Times New Roman"/>
                <w:sz w:val="20"/>
              </w:rPr>
              <w:t>Deprivation quintile for stayers</w:t>
            </w:r>
          </w:p>
        </w:tc>
      </w:tr>
      <w:tr w:rsidR="005534E6" w:rsidRPr="00E164B3" w14:paraId="571489C3" w14:textId="77777777" w:rsidTr="005534E6">
        <w:tc>
          <w:tcPr>
            <w:tcW w:w="14174" w:type="dxa"/>
            <w:gridSpan w:val="6"/>
            <w:tcBorders>
              <w:top w:val="single" w:sz="4" w:space="0" w:color="auto"/>
            </w:tcBorders>
            <w:vAlign w:val="center"/>
          </w:tcPr>
          <w:p w14:paraId="2A173337" w14:textId="77777777" w:rsidR="005534E6" w:rsidRPr="00E164B3" w:rsidRDefault="005534E6" w:rsidP="005534E6">
            <w:pPr>
              <w:rPr>
                <w:rFonts w:ascii="Times New Roman" w:hAnsi="Times New Roman" w:cs="Times New Roman"/>
                <w:b/>
                <w:sz w:val="20"/>
              </w:rPr>
            </w:pPr>
            <w:r w:rsidRPr="00E164B3">
              <w:rPr>
                <w:rFonts w:ascii="Times New Roman" w:hAnsi="Times New Roman" w:cs="Times New Roman"/>
                <w:b/>
                <w:sz w:val="20"/>
              </w:rPr>
              <w:t>Gender</w:t>
            </w:r>
          </w:p>
        </w:tc>
      </w:tr>
      <w:tr w:rsidR="005534E6" w:rsidRPr="00E164B3" w14:paraId="05BB8386" w14:textId="77777777" w:rsidTr="005534E6">
        <w:tc>
          <w:tcPr>
            <w:tcW w:w="2362" w:type="dxa"/>
            <w:vAlign w:val="center"/>
          </w:tcPr>
          <w:p w14:paraId="49F5F44D"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Female</w:t>
            </w:r>
          </w:p>
        </w:tc>
        <w:tc>
          <w:tcPr>
            <w:tcW w:w="2362" w:type="dxa"/>
            <w:vAlign w:val="center"/>
          </w:tcPr>
          <w:p w14:paraId="7BAA0E7A" w14:textId="77777777" w:rsidR="005534E6" w:rsidRPr="00E164B3" w:rsidRDefault="005534E6" w:rsidP="005534E6">
            <w:pPr>
              <w:jc w:val="center"/>
              <w:rPr>
                <w:rFonts w:ascii="Times New Roman" w:hAnsi="Times New Roman" w:cs="Times New Roman"/>
                <w:b/>
                <w:sz w:val="20"/>
              </w:rPr>
            </w:pPr>
            <w:r w:rsidRPr="00E164B3">
              <w:rPr>
                <w:rFonts w:ascii="Times New Roman" w:hAnsi="Times New Roman" w:cs="Times New Roman"/>
                <w:b/>
                <w:sz w:val="20"/>
              </w:rPr>
              <w:t>REF</w:t>
            </w:r>
          </w:p>
        </w:tc>
        <w:tc>
          <w:tcPr>
            <w:tcW w:w="2362" w:type="dxa"/>
            <w:vAlign w:val="center"/>
          </w:tcPr>
          <w:p w14:paraId="45FA5CB9"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2" w:type="dxa"/>
            <w:vAlign w:val="center"/>
          </w:tcPr>
          <w:p w14:paraId="30C40F88"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3" w:type="dxa"/>
            <w:vAlign w:val="center"/>
          </w:tcPr>
          <w:p w14:paraId="6C94A494"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3" w:type="dxa"/>
            <w:vAlign w:val="center"/>
          </w:tcPr>
          <w:p w14:paraId="1D7AA93E"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r>
      <w:tr w:rsidR="005534E6" w:rsidRPr="00E164B3" w14:paraId="666F7508" w14:textId="77777777" w:rsidTr="005534E6">
        <w:tc>
          <w:tcPr>
            <w:tcW w:w="2362" w:type="dxa"/>
            <w:vAlign w:val="center"/>
          </w:tcPr>
          <w:p w14:paraId="05B1508C"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Male</w:t>
            </w:r>
          </w:p>
        </w:tc>
        <w:tc>
          <w:tcPr>
            <w:tcW w:w="2362" w:type="dxa"/>
            <w:vAlign w:val="center"/>
          </w:tcPr>
          <w:p w14:paraId="7E6BCC6B"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1.66*</w:t>
            </w:r>
            <w:r>
              <w:rPr>
                <w:rFonts w:ascii="Times New Roman" w:hAnsi="Times New Roman" w:cs="Times New Roman"/>
                <w:color w:val="000000"/>
                <w:sz w:val="20"/>
              </w:rPr>
              <w:t xml:space="preserve"> </w:t>
            </w:r>
            <w:r w:rsidRPr="00E164B3">
              <w:rPr>
                <w:rFonts w:ascii="Times New Roman" w:hAnsi="Times New Roman" w:cs="Times New Roman"/>
                <w:color w:val="000000"/>
                <w:sz w:val="20"/>
              </w:rPr>
              <w:t>(1.64 – 1.68)</w:t>
            </w:r>
          </w:p>
        </w:tc>
        <w:tc>
          <w:tcPr>
            <w:tcW w:w="2362" w:type="dxa"/>
            <w:vAlign w:val="center"/>
          </w:tcPr>
          <w:p w14:paraId="088E229B"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1.66*(1.64 – 1.68)</w:t>
            </w:r>
          </w:p>
        </w:tc>
        <w:tc>
          <w:tcPr>
            <w:tcW w:w="2362" w:type="dxa"/>
            <w:vAlign w:val="center"/>
          </w:tcPr>
          <w:p w14:paraId="4FD23FD7"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1.66*(1.64 – 1.68)</w:t>
            </w:r>
          </w:p>
        </w:tc>
        <w:tc>
          <w:tcPr>
            <w:tcW w:w="2363" w:type="dxa"/>
            <w:vAlign w:val="center"/>
          </w:tcPr>
          <w:p w14:paraId="4FE80966" w14:textId="3E18DAFA"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1.6</w:t>
            </w:r>
            <w:r w:rsidR="00D71304">
              <w:rPr>
                <w:rFonts w:ascii="Times New Roman" w:hAnsi="Times New Roman" w:cs="Times New Roman"/>
                <w:color w:val="000000"/>
                <w:sz w:val="20"/>
              </w:rPr>
              <w:t>6</w:t>
            </w:r>
            <w:r w:rsidRPr="00E164B3">
              <w:rPr>
                <w:rFonts w:ascii="Times New Roman" w:hAnsi="Times New Roman" w:cs="Times New Roman"/>
                <w:color w:val="000000"/>
                <w:sz w:val="20"/>
              </w:rPr>
              <w:t>*(1.6</w:t>
            </w:r>
            <w:r w:rsidR="00D71304">
              <w:rPr>
                <w:rFonts w:ascii="Times New Roman" w:hAnsi="Times New Roman" w:cs="Times New Roman"/>
                <w:color w:val="000000"/>
                <w:sz w:val="20"/>
              </w:rPr>
              <w:t>4</w:t>
            </w:r>
            <w:r w:rsidRPr="00E164B3">
              <w:rPr>
                <w:rFonts w:ascii="Times New Roman" w:hAnsi="Times New Roman" w:cs="Times New Roman"/>
                <w:color w:val="000000"/>
                <w:sz w:val="20"/>
              </w:rPr>
              <w:t xml:space="preserve"> – 1.6</w:t>
            </w:r>
            <w:r w:rsidR="00D71304">
              <w:rPr>
                <w:rFonts w:ascii="Times New Roman" w:hAnsi="Times New Roman" w:cs="Times New Roman"/>
                <w:color w:val="000000"/>
                <w:sz w:val="20"/>
              </w:rPr>
              <w:t>8</w:t>
            </w:r>
            <w:r w:rsidRPr="00E164B3">
              <w:rPr>
                <w:rFonts w:ascii="Times New Roman" w:hAnsi="Times New Roman" w:cs="Times New Roman"/>
                <w:color w:val="000000"/>
                <w:sz w:val="20"/>
              </w:rPr>
              <w:t>)</w:t>
            </w:r>
          </w:p>
        </w:tc>
        <w:tc>
          <w:tcPr>
            <w:tcW w:w="2363" w:type="dxa"/>
            <w:vAlign w:val="center"/>
          </w:tcPr>
          <w:p w14:paraId="13BD7648"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1.66*(1.64 – 1.68)</w:t>
            </w:r>
          </w:p>
        </w:tc>
      </w:tr>
      <w:tr w:rsidR="005534E6" w:rsidRPr="00E164B3" w14:paraId="471BACA0" w14:textId="77777777" w:rsidTr="005534E6">
        <w:tc>
          <w:tcPr>
            <w:tcW w:w="2362" w:type="dxa"/>
            <w:vAlign w:val="center"/>
          </w:tcPr>
          <w:p w14:paraId="5CE99BAE" w14:textId="77777777" w:rsidR="005534E6" w:rsidRPr="00E164B3" w:rsidRDefault="005534E6" w:rsidP="005534E6">
            <w:pPr>
              <w:rPr>
                <w:rFonts w:ascii="Times New Roman" w:hAnsi="Times New Roman" w:cs="Times New Roman"/>
                <w:b/>
                <w:sz w:val="20"/>
              </w:rPr>
            </w:pPr>
            <w:r w:rsidRPr="00E164B3">
              <w:rPr>
                <w:rFonts w:ascii="Times New Roman" w:hAnsi="Times New Roman" w:cs="Times New Roman"/>
                <w:b/>
                <w:sz w:val="20"/>
              </w:rPr>
              <w:t>Age</w:t>
            </w:r>
            <w:r>
              <w:rPr>
                <w:rFonts w:ascii="Times New Roman" w:hAnsi="Times New Roman" w:cs="Times New Roman"/>
                <w:b/>
                <w:sz w:val="20"/>
              </w:rPr>
              <w:t xml:space="preserve"> group</w:t>
            </w:r>
          </w:p>
        </w:tc>
        <w:tc>
          <w:tcPr>
            <w:tcW w:w="2362" w:type="dxa"/>
            <w:vAlign w:val="center"/>
          </w:tcPr>
          <w:p w14:paraId="09065202" w14:textId="77777777" w:rsidR="005534E6" w:rsidRPr="00E164B3" w:rsidRDefault="005534E6" w:rsidP="005534E6">
            <w:pPr>
              <w:rPr>
                <w:rFonts w:ascii="Times New Roman" w:hAnsi="Times New Roman" w:cs="Times New Roman"/>
                <w:b/>
                <w:color w:val="000000"/>
                <w:sz w:val="20"/>
              </w:rPr>
            </w:pPr>
          </w:p>
        </w:tc>
        <w:tc>
          <w:tcPr>
            <w:tcW w:w="2362" w:type="dxa"/>
            <w:vAlign w:val="center"/>
          </w:tcPr>
          <w:p w14:paraId="5284CA80" w14:textId="77777777" w:rsidR="005534E6" w:rsidRPr="00E164B3" w:rsidRDefault="005534E6" w:rsidP="005534E6">
            <w:pPr>
              <w:rPr>
                <w:rFonts w:ascii="Times New Roman" w:hAnsi="Times New Roman" w:cs="Times New Roman"/>
                <w:b/>
                <w:color w:val="000000"/>
                <w:sz w:val="20"/>
              </w:rPr>
            </w:pPr>
          </w:p>
        </w:tc>
        <w:tc>
          <w:tcPr>
            <w:tcW w:w="2362" w:type="dxa"/>
            <w:vAlign w:val="center"/>
          </w:tcPr>
          <w:p w14:paraId="4B597E0B" w14:textId="77777777" w:rsidR="005534E6" w:rsidRPr="00E164B3" w:rsidRDefault="005534E6" w:rsidP="005534E6">
            <w:pPr>
              <w:rPr>
                <w:rFonts w:ascii="Times New Roman" w:hAnsi="Times New Roman" w:cs="Times New Roman"/>
                <w:b/>
                <w:color w:val="000000"/>
                <w:sz w:val="20"/>
              </w:rPr>
            </w:pPr>
          </w:p>
        </w:tc>
        <w:tc>
          <w:tcPr>
            <w:tcW w:w="2363" w:type="dxa"/>
            <w:vAlign w:val="center"/>
          </w:tcPr>
          <w:p w14:paraId="43455B44" w14:textId="77777777" w:rsidR="005534E6" w:rsidRPr="00E164B3" w:rsidRDefault="005534E6" w:rsidP="005534E6">
            <w:pPr>
              <w:rPr>
                <w:rFonts w:ascii="Times New Roman" w:hAnsi="Times New Roman" w:cs="Times New Roman"/>
                <w:b/>
                <w:color w:val="000000"/>
                <w:sz w:val="20"/>
              </w:rPr>
            </w:pPr>
          </w:p>
        </w:tc>
        <w:tc>
          <w:tcPr>
            <w:tcW w:w="2363" w:type="dxa"/>
            <w:vAlign w:val="center"/>
          </w:tcPr>
          <w:p w14:paraId="56CB0F6D" w14:textId="77777777" w:rsidR="005534E6" w:rsidRPr="00E164B3" w:rsidRDefault="005534E6" w:rsidP="005534E6">
            <w:pPr>
              <w:rPr>
                <w:rFonts w:ascii="Times New Roman" w:hAnsi="Times New Roman" w:cs="Times New Roman"/>
                <w:b/>
                <w:color w:val="000000"/>
                <w:sz w:val="20"/>
              </w:rPr>
            </w:pPr>
          </w:p>
        </w:tc>
      </w:tr>
      <w:tr w:rsidR="005534E6" w:rsidRPr="00E164B3" w14:paraId="3EA8EE23" w14:textId="77777777" w:rsidTr="005534E6">
        <w:tc>
          <w:tcPr>
            <w:tcW w:w="2362" w:type="dxa"/>
            <w:vAlign w:val="center"/>
          </w:tcPr>
          <w:p w14:paraId="0BBA62C6"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30-44</w:t>
            </w:r>
          </w:p>
        </w:tc>
        <w:tc>
          <w:tcPr>
            <w:tcW w:w="2362" w:type="dxa"/>
            <w:vAlign w:val="center"/>
          </w:tcPr>
          <w:p w14:paraId="086C07F2"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0.12*</w:t>
            </w:r>
            <w:r>
              <w:rPr>
                <w:rFonts w:ascii="Times New Roman" w:hAnsi="Times New Roman" w:cs="Times New Roman"/>
                <w:color w:val="000000"/>
                <w:sz w:val="20"/>
              </w:rPr>
              <w:t xml:space="preserve"> </w:t>
            </w:r>
            <w:r w:rsidRPr="00E164B3">
              <w:rPr>
                <w:rFonts w:ascii="Times New Roman" w:hAnsi="Times New Roman" w:cs="Times New Roman"/>
                <w:color w:val="000000"/>
                <w:sz w:val="20"/>
              </w:rPr>
              <w:t>(0.12-0.12)</w:t>
            </w:r>
          </w:p>
        </w:tc>
        <w:tc>
          <w:tcPr>
            <w:tcW w:w="2362" w:type="dxa"/>
            <w:vAlign w:val="center"/>
          </w:tcPr>
          <w:p w14:paraId="3379835D"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0.12*(0.12-0.12)</w:t>
            </w:r>
          </w:p>
        </w:tc>
        <w:tc>
          <w:tcPr>
            <w:tcW w:w="2362" w:type="dxa"/>
            <w:vAlign w:val="center"/>
          </w:tcPr>
          <w:p w14:paraId="57B16651"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0.12*</w:t>
            </w:r>
            <w:r>
              <w:rPr>
                <w:rFonts w:ascii="Times New Roman" w:hAnsi="Times New Roman" w:cs="Times New Roman"/>
                <w:color w:val="000000"/>
                <w:sz w:val="20"/>
              </w:rPr>
              <w:t xml:space="preserve"> </w:t>
            </w:r>
            <w:r w:rsidRPr="00E164B3">
              <w:rPr>
                <w:rFonts w:ascii="Times New Roman" w:hAnsi="Times New Roman" w:cs="Times New Roman"/>
                <w:color w:val="000000"/>
                <w:sz w:val="20"/>
              </w:rPr>
              <w:t>(0.12-0.12)</w:t>
            </w:r>
          </w:p>
        </w:tc>
        <w:tc>
          <w:tcPr>
            <w:tcW w:w="2363" w:type="dxa"/>
            <w:vAlign w:val="center"/>
          </w:tcPr>
          <w:p w14:paraId="4BAF21F8" w14:textId="5A95741F"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0.12*</w:t>
            </w:r>
            <w:r>
              <w:rPr>
                <w:rFonts w:ascii="Times New Roman" w:hAnsi="Times New Roman" w:cs="Times New Roman"/>
                <w:color w:val="000000"/>
                <w:sz w:val="20"/>
              </w:rPr>
              <w:t xml:space="preserve"> </w:t>
            </w:r>
            <w:r w:rsidRPr="00E164B3">
              <w:rPr>
                <w:rFonts w:ascii="Times New Roman" w:hAnsi="Times New Roman" w:cs="Times New Roman"/>
                <w:color w:val="000000"/>
                <w:sz w:val="20"/>
              </w:rPr>
              <w:t>(0.12-0.1</w:t>
            </w:r>
            <w:r w:rsidR="00D71304">
              <w:rPr>
                <w:rFonts w:ascii="Times New Roman" w:hAnsi="Times New Roman" w:cs="Times New Roman"/>
                <w:color w:val="000000"/>
                <w:sz w:val="20"/>
              </w:rPr>
              <w:t>2</w:t>
            </w:r>
            <w:r w:rsidRPr="00E164B3">
              <w:rPr>
                <w:rFonts w:ascii="Times New Roman" w:hAnsi="Times New Roman" w:cs="Times New Roman"/>
                <w:color w:val="000000"/>
                <w:sz w:val="20"/>
              </w:rPr>
              <w:t>)</w:t>
            </w:r>
          </w:p>
        </w:tc>
        <w:tc>
          <w:tcPr>
            <w:tcW w:w="2363" w:type="dxa"/>
            <w:vAlign w:val="center"/>
          </w:tcPr>
          <w:p w14:paraId="18B6FA31"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0.12*(0.12-0.12)</w:t>
            </w:r>
          </w:p>
        </w:tc>
      </w:tr>
      <w:tr w:rsidR="005534E6" w:rsidRPr="00E164B3" w14:paraId="155A4478" w14:textId="77777777" w:rsidTr="005534E6">
        <w:tc>
          <w:tcPr>
            <w:tcW w:w="2362" w:type="dxa"/>
            <w:vAlign w:val="center"/>
          </w:tcPr>
          <w:p w14:paraId="71C4815D"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45-54</w:t>
            </w:r>
          </w:p>
        </w:tc>
        <w:tc>
          <w:tcPr>
            <w:tcW w:w="2362" w:type="dxa"/>
            <w:vAlign w:val="center"/>
          </w:tcPr>
          <w:p w14:paraId="1AA3C606"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0.42*</w:t>
            </w:r>
            <w:r>
              <w:rPr>
                <w:rFonts w:ascii="Times New Roman" w:hAnsi="Times New Roman" w:cs="Times New Roman"/>
                <w:color w:val="000000"/>
                <w:sz w:val="20"/>
              </w:rPr>
              <w:t xml:space="preserve"> </w:t>
            </w:r>
            <w:r w:rsidRPr="00E164B3">
              <w:rPr>
                <w:rFonts w:ascii="Times New Roman" w:hAnsi="Times New Roman" w:cs="Times New Roman"/>
                <w:color w:val="000000"/>
                <w:sz w:val="20"/>
              </w:rPr>
              <w:t>(0.42 -0.43)</w:t>
            </w:r>
          </w:p>
        </w:tc>
        <w:tc>
          <w:tcPr>
            <w:tcW w:w="2362" w:type="dxa"/>
            <w:vAlign w:val="center"/>
          </w:tcPr>
          <w:p w14:paraId="17F0839D"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0.42*</w:t>
            </w:r>
            <w:r>
              <w:rPr>
                <w:rFonts w:ascii="Times New Roman" w:hAnsi="Times New Roman" w:cs="Times New Roman"/>
                <w:color w:val="000000"/>
                <w:sz w:val="20"/>
              </w:rPr>
              <w:t xml:space="preserve"> </w:t>
            </w:r>
            <w:r w:rsidRPr="00E164B3">
              <w:rPr>
                <w:rFonts w:ascii="Times New Roman" w:hAnsi="Times New Roman" w:cs="Times New Roman"/>
                <w:color w:val="000000"/>
                <w:sz w:val="20"/>
              </w:rPr>
              <w:t>(0.42 -0.43)</w:t>
            </w:r>
          </w:p>
        </w:tc>
        <w:tc>
          <w:tcPr>
            <w:tcW w:w="2362" w:type="dxa"/>
            <w:vAlign w:val="center"/>
          </w:tcPr>
          <w:p w14:paraId="00F5D0B1"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0.42*</w:t>
            </w:r>
            <w:r>
              <w:rPr>
                <w:rFonts w:ascii="Times New Roman" w:hAnsi="Times New Roman" w:cs="Times New Roman"/>
                <w:color w:val="000000"/>
                <w:sz w:val="20"/>
              </w:rPr>
              <w:t xml:space="preserve"> </w:t>
            </w:r>
            <w:r w:rsidRPr="00E164B3">
              <w:rPr>
                <w:rFonts w:ascii="Times New Roman" w:hAnsi="Times New Roman" w:cs="Times New Roman"/>
                <w:color w:val="000000"/>
                <w:sz w:val="20"/>
              </w:rPr>
              <w:t>(0.42 -0.43)</w:t>
            </w:r>
          </w:p>
        </w:tc>
        <w:tc>
          <w:tcPr>
            <w:tcW w:w="2363" w:type="dxa"/>
            <w:vAlign w:val="center"/>
          </w:tcPr>
          <w:p w14:paraId="7153C1AE" w14:textId="3294B828"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0.4</w:t>
            </w:r>
            <w:r w:rsidR="00D71304">
              <w:rPr>
                <w:rFonts w:ascii="Times New Roman" w:hAnsi="Times New Roman" w:cs="Times New Roman"/>
                <w:color w:val="000000"/>
                <w:sz w:val="20"/>
              </w:rPr>
              <w:t>2</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(0.42 -0.43)</w:t>
            </w:r>
          </w:p>
        </w:tc>
        <w:tc>
          <w:tcPr>
            <w:tcW w:w="2363" w:type="dxa"/>
            <w:vAlign w:val="center"/>
          </w:tcPr>
          <w:p w14:paraId="353A36EF" w14:textId="0E69A9C8" w:rsidR="005534E6" w:rsidRPr="00E164B3" w:rsidRDefault="005534E6" w:rsidP="00A0513C">
            <w:pPr>
              <w:jc w:val="center"/>
              <w:rPr>
                <w:rFonts w:ascii="Times New Roman" w:hAnsi="Times New Roman" w:cs="Times New Roman"/>
                <w:color w:val="000000"/>
                <w:sz w:val="20"/>
              </w:rPr>
            </w:pPr>
            <w:r w:rsidRPr="00E164B3">
              <w:rPr>
                <w:rFonts w:ascii="Times New Roman" w:hAnsi="Times New Roman" w:cs="Times New Roman"/>
                <w:color w:val="000000"/>
                <w:sz w:val="20"/>
              </w:rPr>
              <w:t>0.4</w:t>
            </w:r>
            <w:r w:rsidR="00A0513C">
              <w:rPr>
                <w:rFonts w:ascii="Times New Roman" w:hAnsi="Times New Roman" w:cs="Times New Roman"/>
                <w:color w:val="000000"/>
                <w:sz w:val="20"/>
              </w:rPr>
              <w:t>3</w:t>
            </w:r>
            <w:r w:rsidRPr="00E164B3">
              <w:rPr>
                <w:rFonts w:ascii="Times New Roman" w:hAnsi="Times New Roman" w:cs="Times New Roman"/>
                <w:color w:val="000000"/>
                <w:sz w:val="20"/>
              </w:rPr>
              <w:t>*(0.42 -0.43)</w:t>
            </w:r>
          </w:p>
        </w:tc>
      </w:tr>
      <w:tr w:rsidR="005534E6" w:rsidRPr="00E164B3" w14:paraId="089D2F8D" w14:textId="77777777" w:rsidTr="005534E6">
        <w:tc>
          <w:tcPr>
            <w:tcW w:w="2362" w:type="dxa"/>
            <w:vAlign w:val="center"/>
          </w:tcPr>
          <w:p w14:paraId="43017AAC"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55-64</w:t>
            </w:r>
          </w:p>
        </w:tc>
        <w:tc>
          <w:tcPr>
            <w:tcW w:w="2362" w:type="dxa"/>
            <w:vAlign w:val="center"/>
          </w:tcPr>
          <w:p w14:paraId="2ACBF27A"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c>
          <w:tcPr>
            <w:tcW w:w="2362" w:type="dxa"/>
            <w:vAlign w:val="center"/>
          </w:tcPr>
          <w:p w14:paraId="6D21EB90"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c>
          <w:tcPr>
            <w:tcW w:w="2362" w:type="dxa"/>
            <w:vAlign w:val="center"/>
          </w:tcPr>
          <w:p w14:paraId="4956EAD3"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c>
          <w:tcPr>
            <w:tcW w:w="2363" w:type="dxa"/>
            <w:vAlign w:val="center"/>
          </w:tcPr>
          <w:p w14:paraId="267B6FB4"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c>
          <w:tcPr>
            <w:tcW w:w="2363" w:type="dxa"/>
            <w:vAlign w:val="center"/>
          </w:tcPr>
          <w:p w14:paraId="68791811"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r>
      <w:tr w:rsidR="005534E6" w:rsidRPr="00E164B3" w14:paraId="4D6AEFBD" w14:textId="77777777" w:rsidTr="005534E6">
        <w:tc>
          <w:tcPr>
            <w:tcW w:w="2362" w:type="dxa"/>
            <w:vAlign w:val="center"/>
          </w:tcPr>
          <w:p w14:paraId="1135F2DE"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65-74</w:t>
            </w:r>
          </w:p>
        </w:tc>
        <w:tc>
          <w:tcPr>
            <w:tcW w:w="2362" w:type="dxa"/>
            <w:vAlign w:val="center"/>
          </w:tcPr>
          <w:p w14:paraId="5DB2DC6E" w14:textId="6019539C"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2.4</w:t>
            </w:r>
            <w:r w:rsidR="00D71304">
              <w:rPr>
                <w:rFonts w:ascii="Times New Roman" w:hAnsi="Times New Roman" w:cs="Times New Roman"/>
                <w:color w:val="000000"/>
                <w:sz w:val="20"/>
              </w:rPr>
              <w:t>1</w:t>
            </w:r>
            <w:r w:rsidRPr="00E164B3">
              <w:rPr>
                <w:rFonts w:ascii="Times New Roman" w:hAnsi="Times New Roman" w:cs="Times New Roman"/>
                <w:color w:val="000000"/>
                <w:sz w:val="20"/>
              </w:rPr>
              <w:t>*(2.3</w:t>
            </w:r>
            <w:r w:rsidR="00D71304">
              <w:rPr>
                <w:rFonts w:ascii="Times New Roman" w:hAnsi="Times New Roman" w:cs="Times New Roman"/>
                <w:color w:val="000000"/>
                <w:sz w:val="20"/>
              </w:rPr>
              <w:t>7</w:t>
            </w:r>
            <w:r w:rsidRPr="00E164B3">
              <w:rPr>
                <w:rFonts w:ascii="Times New Roman" w:hAnsi="Times New Roman" w:cs="Times New Roman"/>
                <w:color w:val="000000"/>
                <w:sz w:val="20"/>
              </w:rPr>
              <w:t xml:space="preserve"> – 2.4</w:t>
            </w:r>
            <w:r w:rsidR="00D71304">
              <w:rPr>
                <w:rFonts w:ascii="Times New Roman" w:hAnsi="Times New Roman" w:cs="Times New Roman"/>
                <w:color w:val="000000"/>
                <w:sz w:val="20"/>
              </w:rPr>
              <w:t>4</w:t>
            </w:r>
            <w:r w:rsidRPr="00E164B3">
              <w:rPr>
                <w:rFonts w:ascii="Times New Roman" w:hAnsi="Times New Roman" w:cs="Times New Roman"/>
                <w:color w:val="000000"/>
                <w:sz w:val="20"/>
              </w:rPr>
              <w:t>)</w:t>
            </w:r>
          </w:p>
        </w:tc>
        <w:tc>
          <w:tcPr>
            <w:tcW w:w="2362" w:type="dxa"/>
            <w:vAlign w:val="center"/>
          </w:tcPr>
          <w:p w14:paraId="31BF4120" w14:textId="79AB63ED"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w:t>
            </w:r>
            <w:r w:rsidR="00D71304">
              <w:rPr>
                <w:rFonts w:ascii="Times New Roman" w:hAnsi="Times New Roman" w:cs="Times New Roman"/>
                <w:color w:val="000000"/>
                <w:sz w:val="20"/>
              </w:rPr>
              <w:t>38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(2.3</w:t>
            </w:r>
            <w:r w:rsidR="00D71304">
              <w:rPr>
                <w:rFonts w:ascii="Times New Roman" w:hAnsi="Times New Roman" w:cs="Times New Roman"/>
                <w:color w:val="000000"/>
                <w:sz w:val="20"/>
              </w:rPr>
              <w:t>4</w:t>
            </w:r>
            <w:r w:rsidRPr="00E164B3">
              <w:rPr>
                <w:rFonts w:ascii="Times New Roman" w:hAnsi="Times New Roman" w:cs="Times New Roman"/>
                <w:color w:val="000000"/>
                <w:sz w:val="20"/>
              </w:rPr>
              <w:t xml:space="preserve"> – 2.4</w:t>
            </w:r>
            <w:r w:rsidR="00D71304">
              <w:rPr>
                <w:rFonts w:ascii="Times New Roman" w:hAnsi="Times New Roman" w:cs="Times New Roman"/>
                <w:color w:val="000000"/>
                <w:sz w:val="20"/>
              </w:rPr>
              <w:t>2</w:t>
            </w:r>
            <w:r w:rsidRPr="00E164B3">
              <w:rPr>
                <w:rFonts w:ascii="Times New Roman" w:hAnsi="Times New Roman" w:cs="Times New Roman"/>
                <w:color w:val="000000"/>
                <w:sz w:val="20"/>
              </w:rPr>
              <w:t>)</w:t>
            </w:r>
          </w:p>
        </w:tc>
        <w:tc>
          <w:tcPr>
            <w:tcW w:w="2362" w:type="dxa"/>
            <w:vAlign w:val="center"/>
          </w:tcPr>
          <w:p w14:paraId="11324850" w14:textId="1581DAFE"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2.4</w:t>
            </w:r>
            <w:r w:rsidR="00D71304">
              <w:rPr>
                <w:rFonts w:ascii="Times New Roman" w:hAnsi="Times New Roman" w:cs="Times New Roman"/>
                <w:color w:val="000000"/>
                <w:sz w:val="20"/>
              </w:rPr>
              <w:t>0</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(2.3</w:t>
            </w:r>
            <w:r w:rsidR="00D71304">
              <w:rPr>
                <w:rFonts w:ascii="Times New Roman" w:hAnsi="Times New Roman" w:cs="Times New Roman"/>
                <w:color w:val="000000"/>
                <w:sz w:val="20"/>
              </w:rPr>
              <w:t>7</w:t>
            </w:r>
            <w:r w:rsidRPr="00E164B3">
              <w:rPr>
                <w:rFonts w:ascii="Times New Roman" w:hAnsi="Times New Roman" w:cs="Times New Roman"/>
                <w:color w:val="000000"/>
                <w:sz w:val="20"/>
              </w:rPr>
              <w:t xml:space="preserve"> – 2.4</w:t>
            </w:r>
            <w:r w:rsidR="00D71304">
              <w:rPr>
                <w:rFonts w:ascii="Times New Roman" w:hAnsi="Times New Roman" w:cs="Times New Roman"/>
                <w:color w:val="000000"/>
                <w:sz w:val="20"/>
              </w:rPr>
              <w:t>4</w:t>
            </w:r>
            <w:r w:rsidRPr="00E164B3">
              <w:rPr>
                <w:rFonts w:ascii="Times New Roman" w:hAnsi="Times New Roman" w:cs="Times New Roman"/>
                <w:color w:val="000000"/>
                <w:sz w:val="20"/>
              </w:rPr>
              <w:t>)</w:t>
            </w:r>
          </w:p>
        </w:tc>
        <w:tc>
          <w:tcPr>
            <w:tcW w:w="2363" w:type="dxa"/>
            <w:vAlign w:val="center"/>
          </w:tcPr>
          <w:p w14:paraId="510CD6D0"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2.39*</w:t>
            </w:r>
            <w:r>
              <w:rPr>
                <w:rFonts w:ascii="Times New Roman" w:hAnsi="Times New Roman" w:cs="Times New Roman"/>
                <w:color w:val="000000"/>
                <w:sz w:val="20"/>
              </w:rPr>
              <w:t xml:space="preserve"> </w:t>
            </w:r>
            <w:r w:rsidRPr="00E164B3">
              <w:rPr>
                <w:rFonts w:ascii="Times New Roman" w:hAnsi="Times New Roman" w:cs="Times New Roman"/>
                <w:color w:val="000000"/>
                <w:sz w:val="20"/>
              </w:rPr>
              <w:t>(2.35 – 2.43)</w:t>
            </w:r>
          </w:p>
        </w:tc>
        <w:tc>
          <w:tcPr>
            <w:tcW w:w="2363" w:type="dxa"/>
            <w:vAlign w:val="center"/>
          </w:tcPr>
          <w:p w14:paraId="7499DAC7" w14:textId="7F80787E" w:rsidR="005534E6" w:rsidRPr="00E164B3" w:rsidRDefault="005534E6" w:rsidP="00A0513C">
            <w:pPr>
              <w:jc w:val="center"/>
              <w:rPr>
                <w:rFonts w:ascii="Times New Roman" w:hAnsi="Times New Roman" w:cs="Times New Roman"/>
                <w:color w:val="000000"/>
                <w:sz w:val="20"/>
              </w:rPr>
            </w:pPr>
            <w:r w:rsidRPr="00E164B3">
              <w:rPr>
                <w:rFonts w:ascii="Times New Roman" w:hAnsi="Times New Roman" w:cs="Times New Roman"/>
                <w:color w:val="000000"/>
                <w:sz w:val="20"/>
              </w:rPr>
              <w:t>2.</w:t>
            </w:r>
            <w:r w:rsidR="00A0513C">
              <w:rPr>
                <w:rFonts w:ascii="Times New Roman" w:hAnsi="Times New Roman" w:cs="Times New Roman"/>
                <w:color w:val="000000"/>
                <w:sz w:val="20"/>
              </w:rPr>
              <w:t>39</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(2.3</w:t>
            </w:r>
            <w:r w:rsidR="00A0513C">
              <w:rPr>
                <w:rFonts w:ascii="Times New Roman" w:hAnsi="Times New Roman" w:cs="Times New Roman"/>
                <w:color w:val="000000"/>
                <w:sz w:val="20"/>
              </w:rPr>
              <w:t>6</w:t>
            </w:r>
            <w:r w:rsidRPr="00E164B3">
              <w:rPr>
                <w:rFonts w:ascii="Times New Roman" w:hAnsi="Times New Roman" w:cs="Times New Roman"/>
                <w:color w:val="000000"/>
                <w:sz w:val="20"/>
              </w:rPr>
              <w:t xml:space="preserve"> – 2.4</w:t>
            </w:r>
            <w:r w:rsidR="00A0513C">
              <w:rPr>
                <w:rFonts w:ascii="Times New Roman" w:hAnsi="Times New Roman" w:cs="Times New Roman"/>
                <w:color w:val="000000"/>
                <w:sz w:val="20"/>
              </w:rPr>
              <w:t>3</w:t>
            </w:r>
            <w:r w:rsidRPr="00E164B3">
              <w:rPr>
                <w:rFonts w:ascii="Times New Roman" w:hAnsi="Times New Roman" w:cs="Times New Roman"/>
                <w:color w:val="000000"/>
                <w:sz w:val="20"/>
              </w:rPr>
              <w:t>)</w:t>
            </w:r>
          </w:p>
        </w:tc>
      </w:tr>
      <w:tr w:rsidR="005534E6" w:rsidRPr="00E164B3" w14:paraId="18A780FF" w14:textId="77777777" w:rsidTr="005534E6">
        <w:tc>
          <w:tcPr>
            <w:tcW w:w="2362" w:type="dxa"/>
            <w:vAlign w:val="center"/>
          </w:tcPr>
          <w:p w14:paraId="1A7C11A2" w14:textId="7E9B79D3" w:rsidR="005534E6" w:rsidRPr="00E164B3" w:rsidRDefault="005534E6" w:rsidP="00A602F3">
            <w:pPr>
              <w:jc w:val="right"/>
              <w:rPr>
                <w:rFonts w:ascii="Times New Roman" w:hAnsi="Times New Roman" w:cs="Times New Roman"/>
                <w:sz w:val="20"/>
              </w:rPr>
            </w:pPr>
            <w:r w:rsidRPr="00E164B3">
              <w:rPr>
                <w:rFonts w:ascii="Times New Roman" w:hAnsi="Times New Roman" w:cs="Times New Roman"/>
                <w:sz w:val="20"/>
              </w:rPr>
              <w:t>75-8</w:t>
            </w:r>
            <w:r w:rsidR="00A602F3">
              <w:rPr>
                <w:rFonts w:ascii="Times New Roman" w:hAnsi="Times New Roman" w:cs="Times New Roman"/>
                <w:sz w:val="20"/>
              </w:rPr>
              <w:t>5</w:t>
            </w:r>
          </w:p>
        </w:tc>
        <w:tc>
          <w:tcPr>
            <w:tcW w:w="2362" w:type="dxa"/>
            <w:vAlign w:val="center"/>
          </w:tcPr>
          <w:p w14:paraId="24BD43E1" w14:textId="6F4096D6"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5.</w:t>
            </w:r>
            <w:r w:rsidR="00D71304">
              <w:rPr>
                <w:rFonts w:ascii="Times New Roman" w:hAnsi="Times New Roman" w:cs="Times New Roman"/>
                <w:color w:val="000000"/>
                <w:sz w:val="20"/>
              </w:rPr>
              <w:t>54</w:t>
            </w:r>
            <w:r w:rsidRPr="00E164B3">
              <w:rPr>
                <w:rFonts w:ascii="Times New Roman" w:hAnsi="Times New Roman" w:cs="Times New Roman"/>
                <w:color w:val="000000"/>
                <w:sz w:val="20"/>
              </w:rPr>
              <w:t>*(5.</w:t>
            </w:r>
            <w:r w:rsidR="00D71304">
              <w:rPr>
                <w:rFonts w:ascii="Times New Roman" w:hAnsi="Times New Roman" w:cs="Times New Roman"/>
                <w:color w:val="000000"/>
                <w:sz w:val="20"/>
              </w:rPr>
              <w:t>45</w:t>
            </w:r>
            <w:r w:rsidRPr="00E164B3">
              <w:rPr>
                <w:rFonts w:ascii="Times New Roman" w:hAnsi="Times New Roman" w:cs="Times New Roman"/>
                <w:color w:val="000000"/>
                <w:sz w:val="20"/>
              </w:rPr>
              <w:t xml:space="preserve"> – 5.</w:t>
            </w:r>
            <w:r w:rsidR="00D71304">
              <w:rPr>
                <w:rFonts w:ascii="Times New Roman" w:hAnsi="Times New Roman" w:cs="Times New Roman"/>
                <w:color w:val="000000"/>
                <w:sz w:val="20"/>
              </w:rPr>
              <w:t>63</w:t>
            </w:r>
            <w:r w:rsidRPr="00E164B3">
              <w:rPr>
                <w:rFonts w:ascii="Times New Roman" w:hAnsi="Times New Roman" w:cs="Times New Roman"/>
                <w:color w:val="000000"/>
                <w:sz w:val="20"/>
              </w:rPr>
              <w:t>)</w:t>
            </w:r>
          </w:p>
        </w:tc>
        <w:tc>
          <w:tcPr>
            <w:tcW w:w="2362" w:type="dxa"/>
            <w:vAlign w:val="center"/>
          </w:tcPr>
          <w:p w14:paraId="0BE1C1EB" w14:textId="4BDF8B7F"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5.</w:t>
            </w:r>
            <w:r w:rsidR="00D71304">
              <w:rPr>
                <w:rFonts w:ascii="Times New Roman" w:hAnsi="Times New Roman" w:cs="Times New Roman"/>
                <w:color w:val="000000"/>
                <w:sz w:val="20"/>
              </w:rPr>
              <w:t>43</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(5.3</w:t>
            </w:r>
            <w:r w:rsidR="00D71304">
              <w:rPr>
                <w:rFonts w:ascii="Times New Roman" w:hAnsi="Times New Roman" w:cs="Times New Roman"/>
                <w:color w:val="000000"/>
                <w:sz w:val="20"/>
              </w:rPr>
              <w:t>4</w:t>
            </w:r>
            <w:r w:rsidRPr="00E164B3">
              <w:rPr>
                <w:rFonts w:ascii="Times New Roman" w:hAnsi="Times New Roman" w:cs="Times New Roman"/>
                <w:color w:val="000000"/>
                <w:sz w:val="20"/>
              </w:rPr>
              <w:t xml:space="preserve"> – 5.</w:t>
            </w:r>
            <w:r w:rsidR="00D71304">
              <w:rPr>
                <w:rFonts w:ascii="Times New Roman" w:hAnsi="Times New Roman" w:cs="Times New Roman"/>
                <w:color w:val="000000"/>
                <w:sz w:val="20"/>
              </w:rPr>
              <w:t>52</w:t>
            </w:r>
            <w:r w:rsidRPr="00E164B3">
              <w:rPr>
                <w:rFonts w:ascii="Times New Roman" w:hAnsi="Times New Roman" w:cs="Times New Roman"/>
                <w:color w:val="000000"/>
                <w:sz w:val="20"/>
              </w:rPr>
              <w:t>)</w:t>
            </w:r>
          </w:p>
        </w:tc>
        <w:tc>
          <w:tcPr>
            <w:tcW w:w="2362" w:type="dxa"/>
            <w:vAlign w:val="center"/>
          </w:tcPr>
          <w:p w14:paraId="6ED90A2B" w14:textId="37D8E38B"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5.</w:t>
            </w:r>
            <w:r w:rsidR="00D71304" w:rsidRPr="00E164B3" w:rsidDel="00D71304">
              <w:rPr>
                <w:rFonts w:ascii="Times New Roman" w:hAnsi="Times New Roman" w:cs="Times New Roman"/>
                <w:color w:val="000000"/>
                <w:sz w:val="20"/>
              </w:rPr>
              <w:t xml:space="preserve"> </w:t>
            </w:r>
            <w:r w:rsidR="00D71304">
              <w:rPr>
                <w:rFonts w:ascii="Times New Roman" w:hAnsi="Times New Roman" w:cs="Times New Roman"/>
                <w:color w:val="000000"/>
                <w:sz w:val="20"/>
              </w:rPr>
              <w:t>54</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(5.</w:t>
            </w:r>
            <w:r w:rsidR="00D71304">
              <w:rPr>
                <w:rFonts w:ascii="Times New Roman" w:hAnsi="Times New Roman" w:cs="Times New Roman"/>
                <w:color w:val="000000"/>
                <w:sz w:val="20"/>
              </w:rPr>
              <w:t>4</w:t>
            </w:r>
            <w:r w:rsidRPr="00E164B3">
              <w:rPr>
                <w:rFonts w:ascii="Times New Roman" w:hAnsi="Times New Roman" w:cs="Times New Roman"/>
                <w:color w:val="000000"/>
                <w:sz w:val="20"/>
              </w:rPr>
              <w:t>4 – 5.</w:t>
            </w:r>
            <w:r w:rsidR="00D71304">
              <w:rPr>
                <w:rFonts w:ascii="Times New Roman" w:hAnsi="Times New Roman" w:cs="Times New Roman"/>
                <w:color w:val="000000"/>
                <w:sz w:val="20"/>
              </w:rPr>
              <w:t>63</w:t>
            </w:r>
            <w:r w:rsidRPr="00E164B3">
              <w:rPr>
                <w:rFonts w:ascii="Times New Roman" w:hAnsi="Times New Roman" w:cs="Times New Roman"/>
                <w:color w:val="000000"/>
                <w:sz w:val="20"/>
              </w:rPr>
              <w:t>)</w:t>
            </w:r>
          </w:p>
        </w:tc>
        <w:tc>
          <w:tcPr>
            <w:tcW w:w="2363" w:type="dxa"/>
            <w:vAlign w:val="center"/>
          </w:tcPr>
          <w:p w14:paraId="1767FD7F" w14:textId="4C10E5A8"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5.</w:t>
            </w:r>
            <w:r w:rsidR="00D71304">
              <w:rPr>
                <w:rFonts w:ascii="Times New Roman" w:hAnsi="Times New Roman" w:cs="Times New Roman"/>
                <w:color w:val="000000"/>
                <w:sz w:val="20"/>
              </w:rPr>
              <w:t>48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(5.</w:t>
            </w:r>
            <w:r w:rsidR="00D71304">
              <w:rPr>
                <w:rFonts w:ascii="Times New Roman" w:hAnsi="Times New Roman" w:cs="Times New Roman"/>
                <w:color w:val="000000"/>
                <w:sz w:val="20"/>
              </w:rPr>
              <w:t>39</w:t>
            </w:r>
            <w:r w:rsidRPr="00E164B3">
              <w:rPr>
                <w:rFonts w:ascii="Times New Roman" w:hAnsi="Times New Roman" w:cs="Times New Roman"/>
                <w:color w:val="000000"/>
                <w:sz w:val="20"/>
              </w:rPr>
              <w:t xml:space="preserve"> – 5.</w:t>
            </w:r>
            <w:r w:rsidR="00D71304">
              <w:rPr>
                <w:rFonts w:ascii="Times New Roman" w:hAnsi="Times New Roman" w:cs="Times New Roman"/>
                <w:color w:val="000000"/>
                <w:sz w:val="20"/>
              </w:rPr>
              <w:t>57</w:t>
            </w:r>
            <w:r w:rsidRPr="00E164B3">
              <w:rPr>
                <w:rFonts w:ascii="Times New Roman" w:hAnsi="Times New Roman" w:cs="Times New Roman"/>
                <w:color w:val="000000"/>
                <w:sz w:val="20"/>
              </w:rPr>
              <w:t>)</w:t>
            </w:r>
          </w:p>
        </w:tc>
        <w:tc>
          <w:tcPr>
            <w:tcW w:w="2363" w:type="dxa"/>
            <w:vAlign w:val="center"/>
          </w:tcPr>
          <w:p w14:paraId="0B74BDF1" w14:textId="2B7812A6" w:rsidR="005534E6" w:rsidRPr="00E164B3" w:rsidRDefault="005534E6" w:rsidP="00A0513C">
            <w:pPr>
              <w:jc w:val="center"/>
              <w:rPr>
                <w:rFonts w:ascii="Times New Roman" w:hAnsi="Times New Roman" w:cs="Times New Roman"/>
                <w:color w:val="000000"/>
                <w:sz w:val="20"/>
              </w:rPr>
            </w:pPr>
            <w:r w:rsidRPr="00E164B3">
              <w:rPr>
                <w:rFonts w:ascii="Times New Roman" w:hAnsi="Times New Roman" w:cs="Times New Roman"/>
                <w:color w:val="000000"/>
                <w:sz w:val="20"/>
              </w:rPr>
              <w:t>5.</w:t>
            </w:r>
            <w:r w:rsidR="00A0513C">
              <w:rPr>
                <w:rFonts w:ascii="Times New Roman" w:hAnsi="Times New Roman" w:cs="Times New Roman"/>
                <w:color w:val="000000"/>
                <w:sz w:val="20"/>
              </w:rPr>
              <w:t>4</w:t>
            </w:r>
            <w:r w:rsidRPr="00E164B3">
              <w:rPr>
                <w:rFonts w:ascii="Times New Roman" w:hAnsi="Times New Roman" w:cs="Times New Roman"/>
                <w:color w:val="000000"/>
                <w:sz w:val="20"/>
              </w:rPr>
              <w:t>8*</w:t>
            </w:r>
            <w:r>
              <w:rPr>
                <w:rFonts w:ascii="Times New Roman" w:hAnsi="Times New Roman" w:cs="Times New Roman"/>
                <w:color w:val="000000"/>
                <w:sz w:val="20"/>
              </w:rPr>
              <w:t xml:space="preserve"> </w:t>
            </w:r>
            <w:r w:rsidRPr="00E164B3">
              <w:rPr>
                <w:rFonts w:ascii="Times New Roman" w:hAnsi="Times New Roman" w:cs="Times New Roman"/>
                <w:color w:val="000000"/>
                <w:sz w:val="20"/>
              </w:rPr>
              <w:t>(5.</w:t>
            </w:r>
            <w:r w:rsidR="00A0513C">
              <w:rPr>
                <w:rFonts w:ascii="Times New Roman" w:hAnsi="Times New Roman" w:cs="Times New Roman"/>
                <w:color w:val="000000"/>
                <w:sz w:val="20"/>
              </w:rPr>
              <w:t>39</w:t>
            </w:r>
            <w:r w:rsidRPr="00E164B3">
              <w:rPr>
                <w:rFonts w:ascii="Times New Roman" w:hAnsi="Times New Roman" w:cs="Times New Roman"/>
                <w:color w:val="000000"/>
                <w:sz w:val="20"/>
              </w:rPr>
              <w:t xml:space="preserve"> – 5.</w:t>
            </w:r>
            <w:r w:rsidR="00A0513C">
              <w:rPr>
                <w:rFonts w:ascii="Times New Roman" w:hAnsi="Times New Roman" w:cs="Times New Roman"/>
                <w:color w:val="000000"/>
                <w:sz w:val="20"/>
              </w:rPr>
              <w:t>58</w:t>
            </w:r>
            <w:r w:rsidRPr="00E164B3">
              <w:rPr>
                <w:rFonts w:ascii="Times New Roman" w:hAnsi="Times New Roman" w:cs="Times New Roman"/>
                <w:color w:val="000000"/>
                <w:sz w:val="20"/>
              </w:rPr>
              <w:t>)</w:t>
            </w:r>
          </w:p>
        </w:tc>
      </w:tr>
      <w:tr w:rsidR="005534E6" w:rsidRPr="00E164B3" w14:paraId="1437FF34" w14:textId="77777777" w:rsidTr="005534E6">
        <w:tc>
          <w:tcPr>
            <w:tcW w:w="14174" w:type="dxa"/>
            <w:gridSpan w:val="6"/>
            <w:vAlign w:val="center"/>
          </w:tcPr>
          <w:p w14:paraId="6D0C842F" w14:textId="77777777" w:rsidR="005534E6" w:rsidRPr="00E164B3" w:rsidRDefault="005534E6" w:rsidP="005534E6">
            <w:pPr>
              <w:rPr>
                <w:rFonts w:ascii="Times New Roman" w:hAnsi="Times New Roman" w:cs="Times New Roman"/>
                <w:b/>
                <w:color w:val="000000"/>
                <w:sz w:val="20"/>
              </w:rPr>
            </w:pPr>
            <w:r w:rsidRPr="00E164B3">
              <w:rPr>
                <w:rFonts w:ascii="Times New Roman" w:hAnsi="Times New Roman" w:cs="Times New Roman"/>
                <w:b/>
                <w:sz w:val="20"/>
              </w:rPr>
              <w:t>Ethnicity</w:t>
            </w:r>
          </w:p>
        </w:tc>
      </w:tr>
      <w:tr w:rsidR="005534E6" w:rsidRPr="00E164B3" w14:paraId="050BAA97" w14:textId="77777777" w:rsidTr="005534E6">
        <w:tc>
          <w:tcPr>
            <w:tcW w:w="2362" w:type="dxa"/>
            <w:vAlign w:val="center"/>
          </w:tcPr>
          <w:p w14:paraId="43463898"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NZEO</w:t>
            </w:r>
          </w:p>
        </w:tc>
        <w:tc>
          <w:tcPr>
            <w:tcW w:w="2362" w:type="dxa"/>
            <w:vAlign w:val="center"/>
          </w:tcPr>
          <w:p w14:paraId="77F5FCBA" w14:textId="77777777" w:rsidR="005534E6" w:rsidRPr="00E164B3" w:rsidRDefault="005534E6" w:rsidP="005534E6">
            <w:pPr>
              <w:jc w:val="center"/>
              <w:rPr>
                <w:rFonts w:ascii="Times New Roman" w:hAnsi="Times New Roman" w:cs="Times New Roman"/>
                <w:b/>
                <w:sz w:val="20"/>
              </w:rPr>
            </w:pPr>
            <w:r w:rsidRPr="00E164B3">
              <w:rPr>
                <w:rFonts w:ascii="Times New Roman" w:hAnsi="Times New Roman" w:cs="Times New Roman"/>
                <w:b/>
                <w:sz w:val="20"/>
              </w:rPr>
              <w:t>REF</w:t>
            </w:r>
          </w:p>
        </w:tc>
        <w:tc>
          <w:tcPr>
            <w:tcW w:w="2362" w:type="dxa"/>
            <w:vAlign w:val="center"/>
          </w:tcPr>
          <w:p w14:paraId="32ED5FC9"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2" w:type="dxa"/>
            <w:vAlign w:val="center"/>
          </w:tcPr>
          <w:p w14:paraId="5780715E"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3" w:type="dxa"/>
            <w:vAlign w:val="center"/>
          </w:tcPr>
          <w:p w14:paraId="758A0AB2"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3" w:type="dxa"/>
            <w:vAlign w:val="center"/>
          </w:tcPr>
          <w:p w14:paraId="4BC94FEA"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r>
      <w:tr w:rsidR="005534E6" w:rsidRPr="00E164B3" w14:paraId="4DC95606" w14:textId="77777777" w:rsidTr="005534E6">
        <w:tc>
          <w:tcPr>
            <w:tcW w:w="2362" w:type="dxa"/>
            <w:vAlign w:val="center"/>
          </w:tcPr>
          <w:p w14:paraId="2B9C0985"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Māori</w:t>
            </w:r>
          </w:p>
        </w:tc>
        <w:tc>
          <w:tcPr>
            <w:tcW w:w="2362" w:type="dxa"/>
            <w:vAlign w:val="center"/>
          </w:tcPr>
          <w:p w14:paraId="1C2602AB" w14:textId="098E214F"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2.2</w:t>
            </w:r>
            <w:r w:rsidR="00D71304">
              <w:rPr>
                <w:rFonts w:ascii="Times New Roman" w:hAnsi="Times New Roman" w:cs="Times New Roman"/>
                <w:color w:val="000000"/>
                <w:sz w:val="20"/>
              </w:rPr>
              <w:t>5</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w:t>
            </w:r>
            <w:r w:rsidR="00D71304">
              <w:rPr>
                <w:rFonts w:ascii="Times New Roman" w:hAnsi="Times New Roman" w:cs="Times New Roman"/>
                <w:color w:val="000000"/>
                <w:sz w:val="20"/>
              </w:rPr>
              <w:t>21</w:t>
            </w:r>
            <w:r w:rsidRPr="00E164B3">
              <w:rPr>
                <w:rFonts w:ascii="Times New Roman" w:hAnsi="Times New Roman" w:cs="Times New Roman"/>
                <w:color w:val="000000"/>
                <w:sz w:val="20"/>
              </w:rPr>
              <w:t xml:space="preserve"> – 2.</w:t>
            </w:r>
            <w:r w:rsidR="00D71304">
              <w:rPr>
                <w:rFonts w:ascii="Times New Roman" w:hAnsi="Times New Roman" w:cs="Times New Roman"/>
                <w:color w:val="000000"/>
                <w:sz w:val="20"/>
              </w:rPr>
              <w:t>30</w:t>
            </w:r>
            <w:r w:rsidRPr="00E164B3">
              <w:rPr>
                <w:rFonts w:ascii="Times New Roman" w:hAnsi="Times New Roman" w:cs="Times New Roman"/>
                <w:color w:val="000000"/>
                <w:sz w:val="20"/>
              </w:rPr>
              <w:t>)</w:t>
            </w:r>
          </w:p>
        </w:tc>
        <w:tc>
          <w:tcPr>
            <w:tcW w:w="2362" w:type="dxa"/>
            <w:vAlign w:val="center"/>
          </w:tcPr>
          <w:p w14:paraId="79411B4E" w14:textId="3467EF20"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1.9</w:t>
            </w:r>
            <w:r w:rsidR="00D71304">
              <w:rPr>
                <w:rFonts w:ascii="Times New Roman" w:hAnsi="Times New Roman" w:cs="Times New Roman"/>
                <w:color w:val="000000"/>
                <w:sz w:val="20"/>
              </w:rPr>
              <w:t>7</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(1.9</w:t>
            </w:r>
            <w:r w:rsidR="00D71304">
              <w:rPr>
                <w:rFonts w:ascii="Times New Roman" w:hAnsi="Times New Roman" w:cs="Times New Roman"/>
                <w:color w:val="000000"/>
                <w:sz w:val="20"/>
              </w:rPr>
              <w:t>3</w:t>
            </w:r>
            <w:r w:rsidRPr="00E164B3">
              <w:rPr>
                <w:rFonts w:ascii="Times New Roman" w:hAnsi="Times New Roman" w:cs="Times New Roman"/>
                <w:color w:val="000000"/>
                <w:sz w:val="20"/>
              </w:rPr>
              <w:t>– 2.0</w:t>
            </w:r>
            <w:r w:rsidR="00D71304">
              <w:rPr>
                <w:rFonts w:ascii="Times New Roman" w:hAnsi="Times New Roman" w:cs="Times New Roman"/>
                <w:color w:val="000000"/>
                <w:sz w:val="20"/>
              </w:rPr>
              <w:t>1</w:t>
            </w:r>
            <w:r w:rsidRPr="00E164B3">
              <w:rPr>
                <w:rFonts w:ascii="Times New Roman" w:hAnsi="Times New Roman" w:cs="Times New Roman"/>
                <w:color w:val="000000"/>
                <w:sz w:val="20"/>
              </w:rPr>
              <w:t>)</w:t>
            </w:r>
          </w:p>
        </w:tc>
        <w:tc>
          <w:tcPr>
            <w:tcW w:w="2362" w:type="dxa"/>
            <w:vAlign w:val="center"/>
          </w:tcPr>
          <w:p w14:paraId="51C18096" w14:textId="3D058D97"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2.2</w:t>
            </w:r>
            <w:r w:rsidR="00D71304">
              <w:rPr>
                <w:rFonts w:ascii="Times New Roman" w:hAnsi="Times New Roman" w:cs="Times New Roman"/>
                <w:color w:val="000000"/>
                <w:sz w:val="20"/>
              </w:rPr>
              <w:t>6</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w:t>
            </w:r>
            <w:r w:rsidR="00D71304">
              <w:rPr>
                <w:rFonts w:ascii="Times New Roman" w:hAnsi="Times New Roman" w:cs="Times New Roman"/>
                <w:color w:val="000000"/>
                <w:sz w:val="20"/>
              </w:rPr>
              <w:t>21</w:t>
            </w:r>
            <w:r w:rsidRPr="00E164B3">
              <w:rPr>
                <w:rFonts w:ascii="Times New Roman" w:hAnsi="Times New Roman" w:cs="Times New Roman"/>
                <w:color w:val="000000"/>
                <w:sz w:val="20"/>
              </w:rPr>
              <w:t xml:space="preserve"> – 2.</w:t>
            </w:r>
            <w:r w:rsidR="00D71304">
              <w:rPr>
                <w:rFonts w:ascii="Times New Roman" w:hAnsi="Times New Roman" w:cs="Times New Roman"/>
                <w:color w:val="000000"/>
                <w:sz w:val="20"/>
              </w:rPr>
              <w:t>30</w:t>
            </w:r>
            <w:r w:rsidRPr="00E164B3">
              <w:rPr>
                <w:rFonts w:ascii="Times New Roman" w:hAnsi="Times New Roman" w:cs="Times New Roman"/>
                <w:color w:val="000000"/>
                <w:sz w:val="20"/>
              </w:rPr>
              <w:t>)</w:t>
            </w:r>
          </w:p>
        </w:tc>
        <w:tc>
          <w:tcPr>
            <w:tcW w:w="2363" w:type="dxa"/>
            <w:vAlign w:val="center"/>
          </w:tcPr>
          <w:p w14:paraId="076EE113" w14:textId="569BD4A4"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2.0</w:t>
            </w:r>
            <w:r w:rsidR="00D71304">
              <w:rPr>
                <w:rFonts w:ascii="Times New Roman" w:hAnsi="Times New Roman" w:cs="Times New Roman"/>
                <w:color w:val="000000"/>
                <w:sz w:val="20"/>
              </w:rPr>
              <w:t>5</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w:t>
            </w:r>
            <w:r w:rsidR="00D71304">
              <w:rPr>
                <w:rFonts w:ascii="Times New Roman" w:hAnsi="Times New Roman" w:cs="Times New Roman"/>
                <w:color w:val="000000"/>
                <w:sz w:val="20"/>
              </w:rPr>
              <w:t>2.01</w:t>
            </w:r>
            <w:r w:rsidRPr="00E164B3">
              <w:rPr>
                <w:rFonts w:ascii="Times New Roman" w:hAnsi="Times New Roman" w:cs="Times New Roman"/>
                <w:color w:val="000000"/>
                <w:sz w:val="20"/>
              </w:rPr>
              <w:t xml:space="preserve"> – 2.0</w:t>
            </w:r>
            <w:r w:rsidR="00D71304">
              <w:rPr>
                <w:rFonts w:ascii="Times New Roman" w:hAnsi="Times New Roman" w:cs="Times New Roman"/>
                <w:color w:val="000000"/>
                <w:sz w:val="20"/>
              </w:rPr>
              <w:t>9</w:t>
            </w:r>
            <w:r w:rsidRPr="00E164B3">
              <w:rPr>
                <w:rFonts w:ascii="Times New Roman" w:hAnsi="Times New Roman" w:cs="Times New Roman"/>
                <w:color w:val="000000"/>
                <w:sz w:val="20"/>
              </w:rPr>
              <w:t>)</w:t>
            </w:r>
          </w:p>
        </w:tc>
        <w:tc>
          <w:tcPr>
            <w:tcW w:w="2363" w:type="dxa"/>
            <w:vAlign w:val="center"/>
          </w:tcPr>
          <w:p w14:paraId="43BD3C91" w14:textId="1069C2B6" w:rsidR="005534E6" w:rsidRPr="00E164B3" w:rsidRDefault="005534E6" w:rsidP="00A0513C">
            <w:pPr>
              <w:jc w:val="center"/>
              <w:rPr>
                <w:rFonts w:ascii="Times New Roman" w:hAnsi="Times New Roman" w:cs="Times New Roman"/>
                <w:color w:val="000000"/>
                <w:sz w:val="20"/>
              </w:rPr>
            </w:pPr>
            <w:r w:rsidRPr="00E164B3">
              <w:rPr>
                <w:rFonts w:ascii="Times New Roman" w:hAnsi="Times New Roman" w:cs="Times New Roman"/>
                <w:color w:val="000000"/>
                <w:sz w:val="20"/>
              </w:rPr>
              <w:t>2.1</w:t>
            </w:r>
            <w:r w:rsidR="00A0513C">
              <w:rPr>
                <w:rFonts w:ascii="Times New Roman" w:hAnsi="Times New Roman" w:cs="Times New Roman"/>
                <w:color w:val="000000"/>
                <w:sz w:val="20"/>
              </w:rPr>
              <w:t>5</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(2.</w:t>
            </w:r>
            <w:r w:rsidR="00A0513C">
              <w:rPr>
                <w:rFonts w:ascii="Times New Roman" w:hAnsi="Times New Roman" w:cs="Times New Roman"/>
                <w:color w:val="000000"/>
                <w:sz w:val="20"/>
              </w:rPr>
              <w:t>1</w:t>
            </w:r>
            <w:r w:rsidRPr="00E164B3">
              <w:rPr>
                <w:rFonts w:ascii="Times New Roman" w:hAnsi="Times New Roman" w:cs="Times New Roman"/>
                <w:color w:val="000000"/>
                <w:sz w:val="20"/>
              </w:rPr>
              <w:t>0 – 2.1</w:t>
            </w:r>
            <w:r w:rsidR="00A0513C">
              <w:rPr>
                <w:rFonts w:ascii="Times New Roman" w:hAnsi="Times New Roman" w:cs="Times New Roman"/>
                <w:color w:val="000000"/>
                <w:sz w:val="20"/>
              </w:rPr>
              <w:t>9</w:t>
            </w:r>
            <w:r w:rsidRPr="00E164B3">
              <w:rPr>
                <w:rFonts w:ascii="Times New Roman" w:hAnsi="Times New Roman" w:cs="Times New Roman"/>
                <w:color w:val="000000"/>
                <w:sz w:val="20"/>
              </w:rPr>
              <w:t>)</w:t>
            </w:r>
          </w:p>
        </w:tc>
      </w:tr>
      <w:tr w:rsidR="005534E6" w:rsidRPr="00E164B3" w14:paraId="39AB4300" w14:textId="77777777" w:rsidTr="005534E6">
        <w:tc>
          <w:tcPr>
            <w:tcW w:w="2362" w:type="dxa"/>
            <w:vAlign w:val="center"/>
          </w:tcPr>
          <w:p w14:paraId="3FF60BBB"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Pacific</w:t>
            </w:r>
          </w:p>
        </w:tc>
        <w:tc>
          <w:tcPr>
            <w:tcW w:w="2362" w:type="dxa"/>
            <w:vAlign w:val="center"/>
          </w:tcPr>
          <w:p w14:paraId="5D2CDFD2" w14:textId="445F82A7"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1.63*</w:t>
            </w:r>
            <w:r>
              <w:rPr>
                <w:rFonts w:ascii="Times New Roman" w:hAnsi="Times New Roman" w:cs="Times New Roman"/>
                <w:color w:val="000000"/>
                <w:sz w:val="20"/>
              </w:rPr>
              <w:t xml:space="preserve"> </w:t>
            </w:r>
            <w:r w:rsidRPr="00E164B3">
              <w:rPr>
                <w:rFonts w:ascii="Times New Roman" w:hAnsi="Times New Roman" w:cs="Times New Roman"/>
                <w:color w:val="000000"/>
                <w:sz w:val="20"/>
              </w:rPr>
              <w:t>(1.</w:t>
            </w:r>
            <w:r w:rsidR="00D71304">
              <w:rPr>
                <w:rFonts w:ascii="Times New Roman" w:hAnsi="Times New Roman" w:cs="Times New Roman"/>
                <w:color w:val="000000"/>
                <w:sz w:val="20"/>
              </w:rPr>
              <w:t>59</w:t>
            </w:r>
            <w:r w:rsidRPr="00E164B3">
              <w:rPr>
                <w:rFonts w:ascii="Times New Roman" w:hAnsi="Times New Roman" w:cs="Times New Roman"/>
                <w:color w:val="000000"/>
                <w:sz w:val="20"/>
              </w:rPr>
              <w:t xml:space="preserve"> – 1.67)</w:t>
            </w:r>
          </w:p>
        </w:tc>
        <w:tc>
          <w:tcPr>
            <w:tcW w:w="2362" w:type="dxa"/>
            <w:vAlign w:val="center"/>
          </w:tcPr>
          <w:p w14:paraId="1D9361CB" w14:textId="1F2425E6"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1.3</w:t>
            </w:r>
            <w:r w:rsidR="00D71304">
              <w:rPr>
                <w:rFonts w:ascii="Times New Roman" w:hAnsi="Times New Roman" w:cs="Times New Roman"/>
                <w:color w:val="000000"/>
                <w:sz w:val="20"/>
              </w:rPr>
              <w:t>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(1.35 – 1.42)</w:t>
            </w:r>
          </w:p>
        </w:tc>
        <w:tc>
          <w:tcPr>
            <w:tcW w:w="2362" w:type="dxa"/>
            <w:vAlign w:val="center"/>
          </w:tcPr>
          <w:p w14:paraId="3A1B6ECE" w14:textId="0D0CEEF7"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1.6</w:t>
            </w:r>
            <w:r w:rsidR="00D71304">
              <w:rPr>
                <w:rFonts w:ascii="Times New Roman" w:hAnsi="Times New Roman" w:cs="Times New Roman"/>
                <w:color w:val="000000"/>
                <w:sz w:val="20"/>
              </w:rPr>
              <w:t>4</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w:t>
            </w:r>
            <w:r w:rsidR="00D71304">
              <w:rPr>
                <w:rFonts w:ascii="Times New Roman" w:hAnsi="Times New Roman" w:cs="Times New Roman"/>
                <w:color w:val="000000"/>
                <w:sz w:val="20"/>
              </w:rPr>
              <w:t>60</w:t>
            </w:r>
            <w:r w:rsidRPr="00E164B3">
              <w:rPr>
                <w:rFonts w:ascii="Times New Roman" w:hAnsi="Times New Roman" w:cs="Times New Roman"/>
                <w:color w:val="000000"/>
                <w:sz w:val="20"/>
              </w:rPr>
              <w:t xml:space="preserve"> – 1.6</w:t>
            </w:r>
            <w:r w:rsidR="00D71304">
              <w:rPr>
                <w:rFonts w:ascii="Times New Roman" w:hAnsi="Times New Roman" w:cs="Times New Roman"/>
                <w:color w:val="000000"/>
                <w:sz w:val="20"/>
              </w:rPr>
              <w:t>8</w:t>
            </w:r>
            <w:r w:rsidRPr="00E164B3">
              <w:rPr>
                <w:rFonts w:ascii="Times New Roman" w:hAnsi="Times New Roman" w:cs="Times New Roman"/>
                <w:color w:val="000000"/>
                <w:sz w:val="20"/>
              </w:rPr>
              <w:t>)</w:t>
            </w:r>
          </w:p>
        </w:tc>
        <w:tc>
          <w:tcPr>
            <w:tcW w:w="2363" w:type="dxa"/>
            <w:vAlign w:val="center"/>
          </w:tcPr>
          <w:p w14:paraId="4976A84E" w14:textId="7DBF566A"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1.4</w:t>
            </w:r>
            <w:r w:rsidR="00D71304">
              <w:rPr>
                <w:rFonts w:ascii="Times New Roman" w:hAnsi="Times New Roman" w:cs="Times New Roman"/>
                <w:color w:val="000000"/>
                <w:sz w:val="20"/>
              </w:rPr>
              <w:t>7</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(1.4</w:t>
            </w:r>
            <w:r w:rsidR="00D71304">
              <w:rPr>
                <w:rFonts w:ascii="Times New Roman" w:hAnsi="Times New Roman" w:cs="Times New Roman"/>
                <w:color w:val="000000"/>
                <w:sz w:val="20"/>
              </w:rPr>
              <w:t>3</w:t>
            </w:r>
            <w:r w:rsidRPr="00E164B3">
              <w:rPr>
                <w:rFonts w:ascii="Times New Roman" w:hAnsi="Times New Roman" w:cs="Times New Roman"/>
                <w:color w:val="000000"/>
                <w:sz w:val="20"/>
              </w:rPr>
              <w:t xml:space="preserve"> – 1.</w:t>
            </w:r>
            <w:r w:rsidR="00D71304">
              <w:rPr>
                <w:rFonts w:ascii="Times New Roman" w:hAnsi="Times New Roman" w:cs="Times New Roman"/>
                <w:color w:val="000000"/>
                <w:sz w:val="20"/>
              </w:rPr>
              <w:t>51</w:t>
            </w:r>
            <w:r w:rsidRPr="00E164B3">
              <w:rPr>
                <w:rFonts w:ascii="Times New Roman" w:hAnsi="Times New Roman" w:cs="Times New Roman"/>
                <w:color w:val="000000"/>
                <w:sz w:val="20"/>
              </w:rPr>
              <w:t>)</w:t>
            </w:r>
          </w:p>
        </w:tc>
        <w:tc>
          <w:tcPr>
            <w:tcW w:w="2363" w:type="dxa"/>
            <w:vAlign w:val="center"/>
          </w:tcPr>
          <w:p w14:paraId="68239F83"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1.53*</w:t>
            </w:r>
            <w:r>
              <w:rPr>
                <w:rFonts w:ascii="Times New Roman" w:hAnsi="Times New Roman" w:cs="Times New Roman"/>
                <w:color w:val="000000"/>
                <w:sz w:val="20"/>
              </w:rPr>
              <w:t xml:space="preserve"> </w:t>
            </w:r>
            <w:r w:rsidRPr="00E164B3">
              <w:rPr>
                <w:rFonts w:ascii="Times New Roman" w:hAnsi="Times New Roman" w:cs="Times New Roman"/>
                <w:color w:val="000000"/>
                <w:sz w:val="20"/>
              </w:rPr>
              <w:t>(1.49 – 1.57)</w:t>
            </w:r>
          </w:p>
        </w:tc>
      </w:tr>
      <w:tr w:rsidR="005534E6" w:rsidRPr="00E164B3" w14:paraId="24FC72BE" w14:textId="77777777" w:rsidTr="005534E6">
        <w:tc>
          <w:tcPr>
            <w:tcW w:w="2362" w:type="dxa"/>
            <w:vAlign w:val="center"/>
          </w:tcPr>
          <w:p w14:paraId="7A362BBE"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Indian</w:t>
            </w:r>
          </w:p>
        </w:tc>
        <w:tc>
          <w:tcPr>
            <w:tcW w:w="2362" w:type="dxa"/>
            <w:vAlign w:val="center"/>
          </w:tcPr>
          <w:p w14:paraId="0B390293" w14:textId="66779173"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w:t>
            </w:r>
            <w:r w:rsidR="00D71304">
              <w:rPr>
                <w:rFonts w:ascii="Times New Roman" w:hAnsi="Times New Roman" w:cs="Times New Roman"/>
                <w:color w:val="000000"/>
                <w:sz w:val="20"/>
              </w:rPr>
              <w:t>1</w:t>
            </w:r>
            <w:r w:rsidRPr="00E164B3">
              <w:rPr>
                <w:rFonts w:ascii="Times New Roman" w:hAnsi="Times New Roman" w:cs="Times New Roman"/>
                <w:color w:val="000000"/>
                <w:sz w:val="20"/>
              </w:rPr>
              <w:t>*(1.17 - 1.2</w:t>
            </w:r>
            <w:r w:rsidR="00D71304">
              <w:rPr>
                <w:rFonts w:ascii="Times New Roman" w:hAnsi="Times New Roman" w:cs="Times New Roman"/>
                <w:color w:val="000000"/>
                <w:sz w:val="20"/>
              </w:rPr>
              <w:t>6</w:t>
            </w:r>
            <w:r w:rsidRPr="00E164B3">
              <w:rPr>
                <w:rFonts w:ascii="Times New Roman" w:hAnsi="Times New Roman" w:cs="Times New Roman"/>
                <w:color w:val="000000"/>
                <w:sz w:val="20"/>
              </w:rPr>
              <w:t>)</w:t>
            </w:r>
          </w:p>
        </w:tc>
        <w:tc>
          <w:tcPr>
            <w:tcW w:w="2362" w:type="dxa"/>
            <w:vAlign w:val="center"/>
          </w:tcPr>
          <w:p w14:paraId="2524801F" w14:textId="1413DE6B"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1.1</w:t>
            </w:r>
            <w:r w:rsidR="00D71304">
              <w:rPr>
                <w:rFonts w:ascii="Times New Roman" w:hAnsi="Times New Roman" w:cs="Times New Roman"/>
                <w:color w:val="000000"/>
                <w:sz w:val="20"/>
              </w:rPr>
              <w:t>4</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(1.10 - 1.19)</w:t>
            </w:r>
          </w:p>
        </w:tc>
        <w:tc>
          <w:tcPr>
            <w:tcW w:w="2362" w:type="dxa"/>
            <w:vAlign w:val="center"/>
          </w:tcPr>
          <w:p w14:paraId="0453DA04" w14:textId="49F4765D"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w:t>
            </w:r>
            <w:r w:rsidR="00D71304">
              <w:rPr>
                <w:rFonts w:ascii="Times New Roman" w:hAnsi="Times New Roman" w:cs="Times New Roman"/>
                <w:color w:val="000000"/>
                <w:sz w:val="20"/>
              </w:rPr>
              <w:t>1</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(1.17 - 1.2</w:t>
            </w:r>
            <w:r w:rsidR="00D71304">
              <w:rPr>
                <w:rFonts w:ascii="Times New Roman" w:hAnsi="Times New Roman" w:cs="Times New Roman"/>
                <w:color w:val="000000"/>
                <w:sz w:val="20"/>
              </w:rPr>
              <w:t>6</w:t>
            </w:r>
            <w:r w:rsidRPr="00E164B3">
              <w:rPr>
                <w:rFonts w:ascii="Times New Roman" w:hAnsi="Times New Roman" w:cs="Times New Roman"/>
                <w:color w:val="000000"/>
                <w:sz w:val="20"/>
              </w:rPr>
              <w:t>)</w:t>
            </w:r>
          </w:p>
        </w:tc>
        <w:tc>
          <w:tcPr>
            <w:tcW w:w="2363" w:type="dxa"/>
            <w:vAlign w:val="center"/>
          </w:tcPr>
          <w:p w14:paraId="1FDF7A23" w14:textId="426DB3EA"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1.17*</w:t>
            </w:r>
            <w:r>
              <w:rPr>
                <w:rFonts w:ascii="Times New Roman" w:hAnsi="Times New Roman" w:cs="Times New Roman"/>
                <w:color w:val="000000"/>
                <w:sz w:val="20"/>
              </w:rPr>
              <w:t xml:space="preserve"> </w:t>
            </w:r>
            <w:r w:rsidRPr="00E164B3">
              <w:rPr>
                <w:rFonts w:ascii="Times New Roman" w:hAnsi="Times New Roman" w:cs="Times New Roman"/>
                <w:color w:val="000000"/>
                <w:sz w:val="20"/>
              </w:rPr>
              <w:t>(1.1</w:t>
            </w:r>
            <w:r w:rsidR="00D71304">
              <w:rPr>
                <w:rFonts w:ascii="Times New Roman" w:hAnsi="Times New Roman" w:cs="Times New Roman"/>
                <w:color w:val="000000"/>
                <w:sz w:val="20"/>
              </w:rPr>
              <w:t>2</w:t>
            </w:r>
            <w:r w:rsidRPr="00E164B3">
              <w:rPr>
                <w:rFonts w:ascii="Times New Roman" w:hAnsi="Times New Roman" w:cs="Times New Roman"/>
                <w:color w:val="000000"/>
                <w:sz w:val="20"/>
              </w:rPr>
              <w:t xml:space="preserve"> - 1.22)</w:t>
            </w:r>
          </w:p>
        </w:tc>
        <w:tc>
          <w:tcPr>
            <w:tcW w:w="2363" w:type="dxa"/>
            <w:vAlign w:val="center"/>
          </w:tcPr>
          <w:p w14:paraId="5B5D4A69" w14:textId="059BE197" w:rsidR="005534E6" w:rsidRPr="00E164B3" w:rsidRDefault="005534E6" w:rsidP="00A0513C">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A0513C">
              <w:rPr>
                <w:rFonts w:ascii="Times New Roman" w:hAnsi="Times New Roman" w:cs="Times New Roman"/>
                <w:color w:val="000000"/>
                <w:sz w:val="20"/>
              </w:rPr>
              <w:t>19</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(1.15 - 1.24)</w:t>
            </w:r>
          </w:p>
        </w:tc>
      </w:tr>
      <w:tr w:rsidR="005534E6" w:rsidRPr="00E164B3" w14:paraId="1F638076" w14:textId="77777777" w:rsidTr="005534E6">
        <w:tc>
          <w:tcPr>
            <w:tcW w:w="2362" w:type="dxa"/>
            <w:vAlign w:val="center"/>
          </w:tcPr>
          <w:p w14:paraId="03CA9947"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Other Asian</w:t>
            </w:r>
          </w:p>
        </w:tc>
        <w:tc>
          <w:tcPr>
            <w:tcW w:w="2362" w:type="dxa"/>
            <w:vAlign w:val="center"/>
          </w:tcPr>
          <w:p w14:paraId="0E66D964"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0.56*(0.54 - 0.58)</w:t>
            </w:r>
            <w:r>
              <w:rPr>
                <w:rFonts w:ascii="Times New Roman" w:hAnsi="Times New Roman" w:cs="Times New Roman"/>
                <w:color w:val="000000"/>
                <w:sz w:val="20"/>
              </w:rPr>
              <w:t xml:space="preserve"> </w:t>
            </w:r>
          </w:p>
        </w:tc>
        <w:tc>
          <w:tcPr>
            <w:tcW w:w="2362" w:type="dxa"/>
            <w:vAlign w:val="center"/>
          </w:tcPr>
          <w:p w14:paraId="1AAE8555"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0.55*</w:t>
            </w:r>
            <w:r>
              <w:rPr>
                <w:rFonts w:ascii="Times New Roman" w:hAnsi="Times New Roman" w:cs="Times New Roman"/>
                <w:color w:val="000000"/>
                <w:sz w:val="20"/>
              </w:rPr>
              <w:t xml:space="preserve"> </w:t>
            </w:r>
            <w:r w:rsidRPr="00E164B3">
              <w:rPr>
                <w:rFonts w:ascii="Times New Roman" w:hAnsi="Times New Roman" w:cs="Times New Roman"/>
                <w:color w:val="000000"/>
                <w:sz w:val="20"/>
              </w:rPr>
              <w:t>(0.54 - 0.57)</w:t>
            </w:r>
          </w:p>
        </w:tc>
        <w:tc>
          <w:tcPr>
            <w:tcW w:w="2362" w:type="dxa"/>
            <w:vAlign w:val="center"/>
          </w:tcPr>
          <w:p w14:paraId="343DC39B"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0.56*</w:t>
            </w:r>
            <w:r>
              <w:rPr>
                <w:rFonts w:ascii="Times New Roman" w:hAnsi="Times New Roman" w:cs="Times New Roman"/>
                <w:color w:val="000000"/>
                <w:sz w:val="20"/>
              </w:rPr>
              <w:t xml:space="preserve"> </w:t>
            </w:r>
            <w:r w:rsidRPr="00E164B3">
              <w:rPr>
                <w:rFonts w:ascii="Times New Roman" w:hAnsi="Times New Roman" w:cs="Times New Roman"/>
                <w:color w:val="000000"/>
                <w:sz w:val="20"/>
              </w:rPr>
              <w:t>(0.54 - 0.58)</w:t>
            </w:r>
          </w:p>
        </w:tc>
        <w:tc>
          <w:tcPr>
            <w:tcW w:w="2363" w:type="dxa"/>
            <w:vAlign w:val="center"/>
          </w:tcPr>
          <w:p w14:paraId="4085CDDA" w14:textId="1309E2FB" w:rsidR="005534E6" w:rsidRPr="00E164B3" w:rsidRDefault="005534E6" w:rsidP="00331FF5">
            <w:pPr>
              <w:jc w:val="center"/>
              <w:rPr>
                <w:rFonts w:ascii="Times New Roman" w:hAnsi="Times New Roman" w:cs="Times New Roman"/>
                <w:color w:val="000000"/>
                <w:sz w:val="20"/>
              </w:rPr>
            </w:pPr>
            <w:r>
              <w:rPr>
                <w:rFonts w:ascii="Times New Roman" w:hAnsi="Times New Roman" w:cs="Times New Roman"/>
                <w:color w:val="000000"/>
                <w:sz w:val="20"/>
              </w:rPr>
              <w:t>0.5</w:t>
            </w:r>
            <w:r w:rsidR="00331FF5">
              <w:rPr>
                <w:rFonts w:ascii="Times New Roman" w:hAnsi="Times New Roman" w:cs="Times New Roman"/>
                <w:color w:val="000000"/>
                <w:sz w:val="20"/>
              </w:rPr>
              <w:t>6</w:t>
            </w:r>
            <w:r>
              <w:rPr>
                <w:rFonts w:ascii="Times New Roman" w:hAnsi="Times New Roman" w:cs="Times New Roman"/>
                <w:color w:val="000000"/>
                <w:sz w:val="20"/>
              </w:rPr>
              <w:t>* (0.54 – 0.5</w:t>
            </w:r>
            <w:r w:rsidR="00331FF5">
              <w:rPr>
                <w:rFonts w:ascii="Times New Roman" w:hAnsi="Times New Roman" w:cs="Times New Roman"/>
                <w:color w:val="000000"/>
                <w:sz w:val="20"/>
              </w:rPr>
              <w:t>7</w:t>
            </w:r>
            <w:r>
              <w:rPr>
                <w:rFonts w:ascii="Times New Roman" w:hAnsi="Times New Roman" w:cs="Times New Roman"/>
                <w:color w:val="000000"/>
                <w:sz w:val="20"/>
              </w:rPr>
              <w:t>)</w:t>
            </w:r>
          </w:p>
        </w:tc>
        <w:tc>
          <w:tcPr>
            <w:tcW w:w="2363" w:type="dxa"/>
            <w:vAlign w:val="center"/>
          </w:tcPr>
          <w:p w14:paraId="6836F50A"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0.56*</w:t>
            </w:r>
            <w:r>
              <w:rPr>
                <w:rFonts w:ascii="Times New Roman" w:hAnsi="Times New Roman" w:cs="Times New Roman"/>
                <w:color w:val="000000"/>
                <w:sz w:val="20"/>
              </w:rPr>
              <w:t xml:space="preserve"> </w:t>
            </w:r>
            <w:r w:rsidRPr="00E164B3">
              <w:rPr>
                <w:rFonts w:ascii="Times New Roman" w:hAnsi="Times New Roman" w:cs="Times New Roman"/>
                <w:color w:val="000000"/>
                <w:sz w:val="20"/>
              </w:rPr>
              <w:t>(0.54 - 0.58)</w:t>
            </w:r>
          </w:p>
        </w:tc>
      </w:tr>
      <w:tr w:rsidR="005534E6" w:rsidRPr="00E164B3" w14:paraId="175CA172" w14:textId="77777777" w:rsidTr="005534E6">
        <w:tc>
          <w:tcPr>
            <w:tcW w:w="14174" w:type="dxa"/>
            <w:gridSpan w:val="6"/>
            <w:vAlign w:val="center"/>
          </w:tcPr>
          <w:p w14:paraId="4744040F" w14:textId="77777777" w:rsidR="005534E6" w:rsidRPr="00E164B3" w:rsidRDefault="005534E6" w:rsidP="005534E6">
            <w:pPr>
              <w:rPr>
                <w:rFonts w:ascii="Times New Roman" w:hAnsi="Times New Roman" w:cs="Times New Roman"/>
                <w:b/>
                <w:sz w:val="20"/>
              </w:rPr>
            </w:pPr>
            <w:r w:rsidRPr="00E164B3">
              <w:rPr>
                <w:rFonts w:ascii="Times New Roman" w:hAnsi="Times New Roman" w:cs="Times New Roman"/>
                <w:b/>
                <w:sz w:val="20"/>
              </w:rPr>
              <w:t>Mover status</w:t>
            </w:r>
          </w:p>
        </w:tc>
      </w:tr>
      <w:tr w:rsidR="005534E6" w:rsidRPr="00E164B3" w14:paraId="329A4ECB" w14:textId="77777777" w:rsidTr="005534E6">
        <w:tc>
          <w:tcPr>
            <w:tcW w:w="2362" w:type="dxa"/>
            <w:vAlign w:val="center"/>
          </w:tcPr>
          <w:p w14:paraId="57AA5EC4"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Stayer</w:t>
            </w:r>
          </w:p>
        </w:tc>
        <w:tc>
          <w:tcPr>
            <w:tcW w:w="2362" w:type="dxa"/>
            <w:vAlign w:val="center"/>
          </w:tcPr>
          <w:p w14:paraId="3E026290" w14:textId="77777777" w:rsidR="005534E6" w:rsidRPr="00E164B3" w:rsidRDefault="005534E6" w:rsidP="005534E6">
            <w:pPr>
              <w:jc w:val="center"/>
              <w:rPr>
                <w:rFonts w:ascii="Times New Roman" w:hAnsi="Times New Roman" w:cs="Times New Roman"/>
                <w:b/>
                <w:sz w:val="20"/>
              </w:rPr>
            </w:pPr>
            <w:r w:rsidRPr="00E164B3">
              <w:rPr>
                <w:rFonts w:ascii="Times New Roman" w:hAnsi="Times New Roman" w:cs="Times New Roman"/>
                <w:b/>
                <w:sz w:val="20"/>
              </w:rPr>
              <w:t>REF</w:t>
            </w:r>
          </w:p>
        </w:tc>
        <w:tc>
          <w:tcPr>
            <w:tcW w:w="2362" w:type="dxa"/>
            <w:vAlign w:val="center"/>
          </w:tcPr>
          <w:p w14:paraId="7C8C1496"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2" w:type="dxa"/>
            <w:vAlign w:val="center"/>
          </w:tcPr>
          <w:p w14:paraId="24FEBC60"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B8D6858"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AE8DE05" w14:textId="77777777" w:rsidR="005534E6" w:rsidRPr="00E164B3" w:rsidRDefault="005534E6" w:rsidP="005534E6">
            <w:pPr>
              <w:jc w:val="center"/>
              <w:rPr>
                <w:rFonts w:ascii="Times New Roman" w:hAnsi="Times New Roman" w:cs="Times New Roman"/>
                <w:sz w:val="20"/>
              </w:rPr>
            </w:pPr>
          </w:p>
        </w:tc>
      </w:tr>
      <w:tr w:rsidR="005534E6" w:rsidRPr="00E164B3" w14:paraId="109AB0A8" w14:textId="77777777" w:rsidTr="005534E6">
        <w:tc>
          <w:tcPr>
            <w:tcW w:w="2362" w:type="dxa"/>
            <w:vAlign w:val="center"/>
          </w:tcPr>
          <w:p w14:paraId="64CD8794"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Mover</w:t>
            </w:r>
          </w:p>
        </w:tc>
        <w:tc>
          <w:tcPr>
            <w:tcW w:w="2362" w:type="dxa"/>
            <w:vAlign w:val="center"/>
          </w:tcPr>
          <w:p w14:paraId="3BD71DB2" w14:textId="29B9D4AA"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w:t>
            </w:r>
            <w:r w:rsidR="00D71304">
              <w:rPr>
                <w:rFonts w:ascii="Times New Roman" w:hAnsi="Times New Roman" w:cs="Times New Roman"/>
                <w:color w:val="000000"/>
                <w:sz w:val="20"/>
              </w:rPr>
              <w:t>6</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(1.2</w:t>
            </w:r>
            <w:r w:rsidR="00D71304">
              <w:rPr>
                <w:rFonts w:ascii="Times New Roman" w:hAnsi="Times New Roman" w:cs="Times New Roman"/>
                <w:color w:val="000000"/>
                <w:sz w:val="20"/>
              </w:rPr>
              <w:t>5</w:t>
            </w:r>
            <w:r w:rsidRPr="00E164B3">
              <w:rPr>
                <w:rFonts w:ascii="Times New Roman" w:hAnsi="Times New Roman" w:cs="Times New Roman"/>
                <w:color w:val="000000"/>
                <w:sz w:val="20"/>
              </w:rPr>
              <w:t xml:space="preserve"> – 1.</w:t>
            </w:r>
            <w:r w:rsidR="00D71304">
              <w:rPr>
                <w:rFonts w:ascii="Times New Roman" w:hAnsi="Times New Roman" w:cs="Times New Roman"/>
                <w:color w:val="000000"/>
                <w:sz w:val="20"/>
              </w:rPr>
              <w:t>28</w:t>
            </w:r>
            <w:r w:rsidRPr="00E164B3">
              <w:rPr>
                <w:rFonts w:ascii="Times New Roman" w:hAnsi="Times New Roman" w:cs="Times New Roman"/>
                <w:color w:val="000000"/>
                <w:sz w:val="20"/>
              </w:rPr>
              <w:t>)</w:t>
            </w:r>
          </w:p>
        </w:tc>
        <w:tc>
          <w:tcPr>
            <w:tcW w:w="2362" w:type="dxa"/>
            <w:vAlign w:val="center"/>
          </w:tcPr>
          <w:p w14:paraId="469B02D7" w14:textId="42E09F35"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w:t>
            </w:r>
            <w:r w:rsidR="00D71304">
              <w:rPr>
                <w:rFonts w:ascii="Times New Roman" w:hAnsi="Times New Roman" w:cs="Times New Roman"/>
                <w:color w:val="000000"/>
                <w:sz w:val="20"/>
              </w:rPr>
              <w:t>6</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(1.2</w:t>
            </w:r>
            <w:r w:rsidR="00D71304">
              <w:rPr>
                <w:rFonts w:ascii="Times New Roman" w:hAnsi="Times New Roman" w:cs="Times New Roman"/>
                <w:color w:val="000000"/>
                <w:sz w:val="20"/>
              </w:rPr>
              <w:t>4</w:t>
            </w:r>
            <w:r w:rsidRPr="00E164B3">
              <w:rPr>
                <w:rFonts w:ascii="Times New Roman" w:hAnsi="Times New Roman" w:cs="Times New Roman"/>
                <w:color w:val="000000"/>
                <w:sz w:val="20"/>
              </w:rPr>
              <w:t xml:space="preserve"> – 1.</w:t>
            </w:r>
            <w:r w:rsidR="00D71304">
              <w:rPr>
                <w:rFonts w:ascii="Times New Roman" w:hAnsi="Times New Roman" w:cs="Times New Roman"/>
                <w:color w:val="000000"/>
                <w:sz w:val="20"/>
              </w:rPr>
              <w:t>27</w:t>
            </w:r>
            <w:r w:rsidRPr="00E164B3">
              <w:rPr>
                <w:rFonts w:ascii="Times New Roman" w:hAnsi="Times New Roman" w:cs="Times New Roman"/>
                <w:color w:val="000000"/>
                <w:sz w:val="20"/>
              </w:rPr>
              <w:t>)</w:t>
            </w:r>
          </w:p>
        </w:tc>
        <w:tc>
          <w:tcPr>
            <w:tcW w:w="2362" w:type="dxa"/>
            <w:vAlign w:val="center"/>
          </w:tcPr>
          <w:p w14:paraId="43C8CF64"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09C90EA4"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01435EDB" w14:textId="77777777" w:rsidR="005534E6" w:rsidRPr="00E164B3" w:rsidRDefault="005534E6" w:rsidP="005534E6">
            <w:pPr>
              <w:jc w:val="center"/>
              <w:rPr>
                <w:rFonts w:ascii="Times New Roman" w:hAnsi="Times New Roman" w:cs="Times New Roman"/>
                <w:sz w:val="20"/>
              </w:rPr>
            </w:pPr>
          </w:p>
        </w:tc>
      </w:tr>
      <w:tr w:rsidR="005534E6" w:rsidRPr="00E164B3" w14:paraId="26E28D3E" w14:textId="77777777" w:rsidTr="005534E6">
        <w:tc>
          <w:tcPr>
            <w:tcW w:w="14174" w:type="dxa"/>
            <w:gridSpan w:val="6"/>
            <w:vAlign w:val="center"/>
          </w:tcPr>
          <w:p w14:paraId="1977E03F" w14:textId="77777777" w:rsidR="005534E6" w:rsidRPr="00E164B3" w:rsidRDefault="005534E6" w:rsidP="005534E6">
            <w:pPr>
              <w:rPr>
                <w:rFonts w:ascii="Times New Roman" w:hAnsi="Times New Roman" w:cs="Times New Roman"/>
                <w:b/>
                <w:sz w:val="20"/>
              </w:rPr>
            </w:pPr>
            <w:r w:rsidRPr="00E164B3">
              <w:rPr>
                <w:rFonts w:ascii="Times New Roman" w:hAnsi="Times New Roman" w:cs="Times New Roman"/>
                <w:b/>
                <w:sz w:val="20"/>
              </w:rPr>
              <w:t>Baseline deprivation</w:t>
            </w:r>
            <w:r>
              <w:rPr>
                <w:rFonts w:ascii="Times New Roman" w:hAnsi="Times New Roman" w:cs="Times New Roman"/>
                <w:b/>
                <w:sz w:val="20"/>
              </w:rPr>
              <w:t xml:space="preserve"> (NZDep2006)</w:t>
            </w:r>
          </w:p>
        </w:tc>
      </w:tr>
      <w:tr w:rsidR="005534E6" w:rsidRPr="00E164B3" w14:paraId="06EFB31C" w14:textId="77777777" w:rsidTr="005534E6">
        <w:tc>
          <w:tcPr>
            <w:tcW w:w="2362" w:type="dxa"/>
            <w:vAlign w:val="center"/>
          </w:tcPr>
          <w:p w14:paraId="5C515621"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Q1</w:t>
            </w:r>
            <w:r>
              <w:rPr>
                <w:rFonts w:ascii="Times New Roman" w:hAnsi="Times New Roman" w:cs="Times New Roman"/>
                <w:sz w:val="20"/>
              </w:rPr>
              <w:t>(least deprived)</w:t>
            </w:r>
          </w:p>
        </w:tc>
        <w:tc>
          <w:tcPr>
            <w:tcW w:w="2362" w:type="dxa"/>
            <w:vAlign w:val="center"/>
          </w:tcPr>
          <w:p w14:paraId="376226F0" w14:textId="77777777" w:rsidR="005534E6" w:rsidRPr="00E164B3" w:rsidRDefault="005534E6" w:rsidP="005534E6">
            <w:pPr>
              <w:jc w:val="center"/>
              <w:rPr>
                <w:rFonts w:ascii="Times New Roman" w:hAnsi="Times New Roman" w:cs="Times New Roman"/>
                <w:b/>
                <w:sz w:val="20"/>
              </w:rPr>
            </w:pPr>
          </w:p>
        </w:tc>
        <w:tc>
          <w:tcPr>
            <w:tcW w:w="2362" w:type="dxa"/>
            <w:vAlign w:val="center"/>
          </w:tcPr>
          <w:p w14:paraId="4B7C997B"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2" w:type="dxa"/>
            <w:vAlign w:val="center"/>
          </w:tcPr>
          <w:p w14:paraId="0618EACA"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04F3F877"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1E8F9FBC" w14:textId="77777777" w:rsidR="005534E6" w:rsidRPr="00E164B3" w:rsidRDefault="005534E6" w:rsidP="005534E6">
            <w:pPr>
              <w:jc w:val="center"/>
              <w:rPr>
                <w:rFonts w:ascii="Times New Roman" w:hAnsi="Times New Roman" w:cs="Times New Roman"/>
                <w:sz w:val="20"/>
              </w:rPr>
            </w:pPr>
          </w:p>
        </w:tc>
      </w:tr>
      <w:tr w:rsidR="005534E6" w:rsidRPr="00E164B3" w14:paraId="51734CC6" w14:textId="77777777" w:rsidTr="005534E6">
        <w:tc>
          <w:tcPr>
            <w:tcW w:w="2362" w:type="dxa"/>
            <w:vAlign w:val="center"/>
          </w:tcPr>
          <w:p w14:paraId="34B6FB69"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Q2</w:t>
            </w:r>
          </w:p>
        </w:tc>
        <w:tc>
          <w:tcPr>
            <w:tcW w:w="2362" w:type="dxa"/>
            <w:vAlign w:val="center"/>
          </w:tcPr>
          <w:p w14:paraId="6AD7B47F"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703465AB"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1.14*</w:t>
            </w:r>
            <w:r>
              <w:rPr>
                <w:rFonts w:ascii="Times New Roman" w:hAnsi="Times New Roman" w:cs="Times New Roman"/>
                <w:color w:val="000000"/>
                <w:sz w:val="20"/>
              </w:rPr>
              <w:t xml:space="preserve"> </w:t>
            </w:r>
            <w:r w:rsidRPr="00E164B3">
              <w:rPr>
                <w:rFonts w:ascii="Times New Roman" w:hAnsi="Times New Roman" w:cs="Times New Roman"/>
                <w:color w:val="000000"/>
                <w:sz w:val="20"/>
              </w:rPr>
              <w:t>(1.12 – 1.16)</w:t>
            </w:r>
          </w:p>
        </w:tc>
        <w:tc>
          <w:tcPr>
            <w:tcW w:w="2362" w:type="dxa"/>
            <w:vAlign w:val="center"/>
          </w:tcPr>
          <w:p w14:paraId="252D42CA"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46807FD"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36074F20" w14:textId="77777777" w:rsidR="005534E6" w:rsidRPr="00E164B3" w:rsidRDefault="005534E6" w:rsidP="005534E6">
            <w:pPr>
              <w:jc w:val="center"/>
              <w:rPr>
                <w:rFonts w:ascii="Times New Roman" w:hAnsi="Times New Roman" w:cs="Times New Roman"/>
                <w:sz w:val="20"/>
              </w:rPr>
            </w:pPr>
          </w:p>
        </w:tc>
      </w:tr>
      <w:tr w:rsidR="005534E6" w:rsidRPr="00E164B3" w14:paraId="2DA5C82A" w14:textId="77777777" w:rsidTr="005534E6">
        <w:tc>
          <w:tcPr>
            <w:tcW w:w="2362" w:type="dxa"/>
            <w:vAlign w:val="center"/>
          </w:tcPr>
          <w:p w14:paraId="4F553314"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Q3</w:t>
            </w:r>
          </w:p>
        </w:tc>
        <w:tc>
          <w:tcPr>
            <w:tcW w:w="2362" w:type="dxa"/>
            <w:vAlign w:val="center"/>
          </w:tcPr>
          <w:p w14:paraId="1295565E"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061F0E4C" w14:textId="3E488B52"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1.26*</w:t>
            </w:r>
            <w:r>
              <w:rPr>
                <w:rFonts w:ascii="Times New Roman" w:hAnsi="Times New Roman" w:cs="Times New Roman"/>
                <w:color w:val="000000"/>
                <w:sz w:val="20"/>
              </w:rPr>
              <w:t xml:space="preserve"> </w:t>
            </w:r>
            <w:r w:rsidRPr="00E164B3">
              <w:rPr>
                <w:rFonts w:ascii="Times New Roman" w:hAnsi="Times New Roman" w:cs="Times New Roman"/>
                <w:color w:val="000000"/>
                <w:sz w:val="20"/>
              </w:rPr>
              <w:t>(1.24 – 1.2</w:t>
            </w:r>
            <w:r w:rsidR="00D71304">
              <w:rPr>
                <w:rFonts w:ascii="Times New Roman" w:hAnsi="Times New Roman" w:cs="Times New Roman"/>
                <w:color w:val="000000"/>
                <w:sz w:val="20"/>
              </w:rPr>
              <w:t>9</w:t>
            </w:r>
            <w:r w:rsidRPr="00E164B3">
              <w:rPr>
                <w:rFonts w:ascii="Times New Roman" w:hAnsi="Times New Roman" w:cs="Times New Roman"/>
                <w:color w:val="000000"/>
                <w:sz w:val="20"/>
              </w:rPr>
              <w:t>)</w:t>
            </w:r>
          </w:p>
        </w:tc>
        <w:tc>
          <w:tcPr>
            <w:tcW w:w="2362" w:type="dxa"/>
            <w:vAlign w:val="center"/>
          </w:tcPr>
          <w:p w14:paraId="70742B49"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33AD79C5"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212543C6" w14:textId="77777777" w:rsidR="005534E6" w:rsidRPr="00E164B3" w:rsidRDefault="005534E6" w:rsidP="005534E6">
            <w:pPr>
              <w:jc w:val="center"/>
              <w:rPr>
                <w:rFonts w:ascii="Times New Roman" w:hAnsi="Times New Roman" w:cs="Times New Roman"/>
                <w:sz w:val="20"/>
              </w:rPr>
            </w:pPr>
          </w:p>
        </w:tc>
      </w:tr>
      <w:tr w:rsidR="005534E6" w:rsidRPr="00E164B3" w14:paraId="15583296" w14:textId="77777777" w:rsidTr="005534E6">
        <w:tc>
          <w:tcPr>
            <w:tcW w:w="2362" w:type="dxa"/>
            <w:vAlign w:val="center"/>
          </w:tcPr>
          <w:p w14:paraId="4BFCC6CD"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Q4</w:t>
            </w:r>
          </w:p>
        </w:tc>
        <w:tc>
          <w:tcPr>
            <w:tcW w:w="2362" w:type="dxa"/>
            <w:vAlign w:val="center"/>
          </w:tcPr>
          <w:p w14:paraId="3B63949E"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76494BAF"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1.39*</w:t>
            </w:r>
            <w:r>
              <w:rPr>
                <w:rFonts w:ascii="Times New Roman" w:hAnsi="Times New Roman" w:cs="Times New Roman"/>
                <w:color w:val="000000"/>
                <w:sz w:val="20"/>
              </w:rPr>
              <w:t xml:space="preserve"> </w:t>
            </w:r>
            <w:r w:rsidRPr="00E164B3">
              <w:rPr>
                <w:rFonts w:ascii="Times New Roman" w:hAnsi="Times New Roman" w:cs="Times New Roman"/>
                <w:color w:val="000000"/>
                <w:sz w:val="20"/>
              </w:rPr>
              <w:t>(1.37 – 1.42)</w:t>
            </w:r>
          </w:p>
        </w:tc>
        <w:tc>
          <w:tcPr>
            <w:tcW w:w="2362" w:type="dxa"/>
            <w:vAlign w:val="center"/>
          </w:tcPr>
          <w:p w14:paraId="74E9740E"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3B16241D"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B743D15" w14:textId="77777777" w:rsidR="005534E6" w:rsidRPr="00E164B3" w:rsidRDefault="005534E6" w:rsidP="005534E6">
            <w:pPr>
              <w:jc w:val="center"/>
              <w:rPr>
                <w:rFonts w:ascii="Times New Roman" w:hAnsi="Times New Roman" w:cs="Times New Roman"/>
                <w:sz w:val="20"/>
              </w:rPr>
            </w:pPr>
          </w:p>
        </w:tc>
      </w:tr>
      <w:tr w:rsidR="005534E6" w:rsidRPr="00E164B3" w14:paraId="57ECB7DE" w14:textId="77777777" w:rsidTr="005534E6">
        <w:tc>
          <w:tcPr>
            <w:tcW w:w="2362" w:type="dxa"/>
            <w:vAlign w:val="center"/>
          </w:tcPr>
          <w:p w14:paraId="739963CE"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Q5</w:t>
            </w:r>
          </w:p>
        </w:tc>
        <w:tc>
          <w:tcPr>
            <w:tcW w:w="2362" w:type="dxa"/>
            <w:vAlign w:val="center"/>
          </w:tcPr>
          <w:p w14:paraId="5E96C255"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58AA1151" w14:textId="005B2A92"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1.5</w:t>
            </w:r>
            <w:r w:rsidR="00D71304">
              <w:rPr>
                <w:rFonts w:ascii="Times New Roman" w:hAnsi="Times New Roman" w:cs="Times New Roman"/>
                <w:color w:val="000000"/>
                <w:sz w:val="20"/>
              </w:rPr>
              <w:t>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(1.5</w:t>
            </w:r>
            <w:r w:rsidR="00D71304">
              <w:rPr>
                <w:rFonts w:ascii="Times New Roman" w:hAnsi="Times New Roman" w:cs="Times New Roman"/>
                <w:color w:val="000000"/>
                <w:sz w:val="20"/>
              </w:rPr>
              <w:t>5</w:t>
            </w:r>
            <w:r w:rsidRPr="00E164B3">
              <w:rPr>
                <w:rFonts w:ascii="Times New Roman" w:hAnsi="Times New Roman" w:cs="Times New Roman"/>
                <w:color w:val="000000"/>
                <w:sz w:val="20"/>
              </w:rPr>
              <w:t xml:space="preserve"> – 1.</w:t>
            </w:r>
            <w:r w:rsidR="00D71304">
              <w:rPr>
                <w:rFonts w:ascii="Times New Roman" w:hAnsi="Times New Roman" w:cs="Times New Roman"/>
                <w:color w:val="000000"/>
                <w:sz w:val="20"/>
              </w:rPr>
              <w:t>61</w:t>
            </w:r>
            <w:r w:rsidRPr="00E164B3">
              <w:rPr>
                <w:rFonts w:ascii="Times New Roman" w:hAnsi="Times New Roman" w:cs="Times New Roman"/>
                <w:color w:val="000000"/>
                <w:sz w:val="20"/>
              </w:rPr>
              <w:t>)</w:t>
            </w:r>
          </w:p>
        </w:tc>
        <w:tc>
          <w:tcPr>
            <w:tcW w:w="2362" w:type="dxa"/>
            <w:vAlign w:val="center"/>
          </w:tcPr>
          <w:p w14:paraId="0F67337C"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052ED479"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7099D0D0" w14:textId="77777777" w:rsidR="005534E6" w:rsidRPr="00E164B3" w:rsidRDefault="005534E6" w:rsidP="005534E6">
            <w:pPr>
              <w:jc w:val="center"/>
              <w:rPr>
                <w:rFonts w:ascii="Times New Roman" w:hAnsi="Times New Roman" w:cs="Times New Roman"/>
                <w:sz w:val="20"/>
              </w:rPr>
            </w:pPr>
          </w:p>
        </w:tc>
      </w:tr>
      <w:tr w:rsidR="005534E6" w:rsidRPr="00E164B3" w14:paraId="2A450B53" w14:textId="77777777" w:rsidTr="005534E6">
        <w:tc>
          <w:tcPr>
            <w:tcW w:w="14174" w:type="dxa"/>
            <w:gridSpan w:val="6"/>
            <w:vAlign w:val="center"/>
          </w:tcPr>
          <w:p w14:paraId="2F56A6AD" w14:textId="77777777" w:rsidR="005534E6" w:rsidRPr="00E164B3" w:rsidRDefault="005534E6" w:rsidP="005534E6">
            <w:pPr>
              <w:rPr>
                <w:rFonts w:ascii="Times New Roman" w:hAnsi="Times New Roman" w:cs="Times New Roman"/>
                <w:b/>
                <w:sz w:val="20"/>
              </w:rPr>
            </w:pPr>
            <w:r>
              <w:rPr>
                <w:rFonts w:ascii="Times New Roman" w:hAnsi="Times New Roman" w:cs="Times New Roman"/>
                <w:b/>
                <w:sz w:val="20"/>
              </w:rPr>
              <w:t>Deprivation mobility status</w:t>
            </w:r>
          </w:p>
        </w:tc>
      </w:tr>
      <w:tr w:rsidR="005534E6" w:rsidRPr="00E164B3" w14:paraId="0455C076" w14:textId="77777777" w:rsidTr="005534E6">
        <w:tc>
          <w:tcPr>
            <w:tcW w:w="2362" w:type="dxa"/>
            <w:vAlign w:val="center"/>
          </w:tcPr>
          <w:p w14:paraId="35D025C7"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Stayer</w:t>
            </w:r>
          </w:p>
        </w:tc>
        <w:tc>
          <w:tcPr>
            <w:tcW w:w="2362" w:type="dxa"/>
            <w:vAlign w:val="center"/>
          </w:tcPr>
          <w:p w14:paraId="0D4606BB" w14:textId="77777777" w:rsidR="005534E6" w:rsidRPr="00E164B3" w:rsidRDefault="005534E6" w:rsidP="005534E6">
            <w:pPr>
              <w:jc w:val="center"/>
              <w:rPr>
                <w:rFonts w:ascii="Times New Roman" w:hAnsi="Times New Roman" w:cs="Times New Roman"/>
                <w:b/>
                <w:sz w:val="20"/>
              </w:rPr>
            </w:pPr>
          </w:p>
        </w:tc>
        <w:tc>
          <w:tcPr>
            <w:tcW w:w="2362" w:type="dxa"/>
            <w:vAlign w:val="center"/>
          </w:tcPr>
          <w:p w14:paraId="527CF9B1"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1F83D943" w14:textId="77777777" w:rsidR="005534E6" w:rsidRPr="00E164B3" w:rsidRDefault="005534E6" w:rsidP="005534E6">
            <w:pPr>
              <w:jc w:val="center"/>
              <w:rPr>
                <w:rFonts w:ascii="Times New Roman" w:hAnsi="Times New Roman" w:cs="Times New Roman"/>
                <w:sz w:val="20"/>
              </w:rPr>
            </w:pPr>
            <w:r w:rsidRPr="00E164B3">
              <w:rPr>
                <w:rFonts w:ascii="Times New Roman" w:hAnsi="Times New Roman" w:cs="Times New Roman"/>
                <w:b/>
                <w:sz w:val="20"/>
              </w:rPr>
              <w:t>REF</w:t>
            </w:r>
          </w:p>
        </w:tc>
        <w:tc>
          <w:tcPr>
            <w:tcW w:w="2363" w:type="dxa"/>
            <w:vAlign w:val="center"/>
          </w:tcPr>
          <w:p w14:paraId="2032B0A4"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3AF3A20" w14:textId="77777777" w:rsidR="005534E6" w:rsidRPr="00E164B3" w:rsidRDefault="005534E6" w:rsidP="005534E6">
            <w:pPr>
              <w:jc w:val="center"/>
              <w:rPr>
                <w:rFonts w:ascii="Times New Roman" w:hAnsi="Times New Roman" w:cs="Times New Roman"/>
                <w:sz w:val="20"/>
              </w:rPr>
            </w:pPr>
          </w:p>
        </w:tc>
      </w:tr>
      <w:tr w:rsidR="005534E6" w:rsidRPr="00E164B3" w14:paraId="226F01F1" w14:textId="77777777" w:rsidTr="005534E6">
        <w:tc>
          <w:tcPr>
            <w:tcW w:w="2362" w:type="dxa"/>
            <w:vAlign w:val="center"/>
          </w:tcPr>
          <w:p w14:paraId="68C51262"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Moves up</w:t>
            </w:r>
          </w:p>
        </w:tc>
        <w:tc>
          <w:tcPr>
            <w:tcW w:w="2362" w:type="dxa"/>
            <w:vAlign w:val="center"/>
          </w:tcPr>
          <w:p w14:paraId="6B5F172F"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3A096142"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14E4EC22" w14:textId="42E3F95D"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D71304">
              <w:rPr>
                <w:rFonts w:ascii="Times New Roman" w:hAnsi="Times New Roman" w:cs="Times New Roman"/>
                <w:color w:val="000000"/>
                <w:sz w:val="20"/>
              </w:rPr>
              <w:t>29</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(1.2</w:t>
            </w:r>
            <w:r w:rsidR="00D71304">
              <w:rPr>
                <w:rFonts w:ascii="Times New Roman" w:hAnsi="Times New Roman" w:cs="Times New Roman"/>
                <w:color w:val="000000"/>
                <w:sz w:val="20"/>
              </w:rPr>
              <w:t>7</w:t>
            </w:r>
            <w:r w:rsidRPr="00E164B3">
              <w:rPr>
                <w:rFonts w:ascii="Times New Roman" w:hAnsi="Times New Roman" w:cs="Times New Roman"/>
                <w:color w:val="000000"/>
                <w:sz w:val="20"/>
              </w:rPr>
              <w:t xml:space="preserve"> – 1.3</w:t>
            </w:r>
            <w:r w:rsidR="00D71304">
              <w:rPr>
                <w:rFonts w:ascii="Times New Roman" w:hAnsi="Times New Roman" w:cs="Times New Roman"/>
                <w:color w:val="000000"/>
                <w:sz w:val="20"/>
              </w:rPr>
              <w:t>1</w:t>
            </w:r>
            <w:r w:rsidRPr="00E164B3">
              <w:rPr>
                <w:rFonts w:ascii="Times New Roman" w:hAnsi="Times New Roman" w:cs="Times New Roman"/>
                <w:color w:val="000000"/>
                <w:sz w:val="20"/>
              </w:rPr>
              <w:t>)</w:t>
            </w:r>
          </w:p>
        </w:tc>
        <w:tc>
          <w:tcPr>
            <w:tcW w:w="2363" w:type="dxa"/>
            <w:vAlign w:val="center"/>
          </w:tcPr>
          <w:p w14:paraId="2D438EF2"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13CFB568" w14:textId="77777777" w:rsidR="005534E6" w:rsidRPr="00E164B3" w:rsidRDefault="005534E6" w:rsidP="005534E6">
            <w:pPr>
              <w:jc w:val="center"/>
              <w:rPr>
                <w:rFonts w:ascii="Times New Roman" w:hAnsi="Times New Roman" w:cs="Times New Roman"/>
                <w:sz w:val="20"/>
              </w:rPr>
            </w:pPr>
          </w:p>
        </w:tc>
      </w:tr>
      <w:tr w:rsidR="005534E6" w:rsidRPr="00E164B3" w14:paraId="1BB6B890" w14:textId="77777777" w:rsidTr="005534E6">
        <w:tc>
          <w:tcPr>
            <w:tcW w:w="2362" w:type="dxa"/>
            <w:vAlign w:val="center"/>
          </w:tcPr>
          <w:p w14:paraId="17AA4602"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Moves w/in</w:t>
            </w:r>
          </w:p>
        </w:tc>
        <w:tc>
          <w:tcPr>
            <w:tcW w:w="2362" w:type="dxa"/>
            <w:vAlign w:val="center"/>
          </w:tcPr>
          <w:p w14:paraId="7A4C6AD4"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60AB3861"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239EDAB3" w14:textId="741D20B4"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D71304">
              <w:rPr>
                <w:rFonts w:ascii="Times New Roman" w:hAnsi="Times New Roman" w:cs="Times New Roman"/>
                <w:color w:val="000000"/>
                <w:sz w:val="20"/>
              </w:rPr>
              <w:t>23</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(1.2</w:t>
            </w:r>
            <w:r w:rsidR="00D71304">
              <w:rPr>
                <w:rFonts w:ascii="Times New Roman" w:hAnsi="Times New Roman" w:cs="Times New Roman"/>
                <w:color w:val="000000"/>
                <w:sz w:val="20"/>
              </w:rPr>
              <w:t>1</w:t>
            </w:r>
            <w:r w:rsidRPr="00E164B3">
              <w:rPr>
                <w:rFonts w:ascii="Times New Roman" w:hAnsi="Times New Roman" w:cs="Times New Roman"/>
                <w:color w:val="000000"/>
                <w:sz w:val="20"/>
              </w:rPr>
              <w:t xml:space="preserve"> – 1.</w:t>
            </w:r>
            <w:r w:rsidR="00D71304">
              <w:rPr>
                <w:rFonts w:ascii="Times New Roman" w:hAnsi="Times New Roman" w:cs="Times New Roman"/>
                <w:color w:val="000000"/>
                <w:sz w:val="20"/>
              </w:rPr>
              <w:t>25</w:t>
            </w:r>
            <w:r w:rsidRPr="00E164B3">
              <w:rPr>
                <w:rFonts w:ascii="Times New Roman" w:hAnsi="Times New Roman" w:cs="Times New Roman"/>
                <w:color w:val="000000"/>
                <w:sz w:val="20"/>
              </w:rPr>
              <w:t>)</w:t>
            </w:r>
          </w:p>
        </w:tc>
        <w:tc>
          <w:tcPr>
            <w:tcW w:w="2363" w:type="dxa"/>
            <w:vAlign w:val="center"/>
          </w:tcPr>
          <w:p w14:paraId="2038C95D"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3D91C170" w14:textId="77777777" w:rsidR="005534E6" w:rsidRPr="00E164B3" w:rsidRDefault="005534E6" w:rsidP="005534E6">
            <w:pPr>
              <w:jc w:val="center"/>
              <w:rPr>
                <w:rFonts w:ascii="Times New Roman" w:hAnsi="Times New Roman" w:cs="Times New Roman"/>
                <w:sz w:val="20"/>
              </w:rPr>
            </w:pPr>
          </w:p>
        </w:tc>
      </w:tr>
      <w:tr w:rsidR="005534E6" w:rsidRPr="00E164B3" w14:paraId="26230AD6" w14:textId="77777777" w:rsidTr="005534E6">
        <w:tc>
          <w:tcPr>
            <w:tcW w:w="2362" w:type="dxa"/>
            <w:vAlign w:val="center"/>
          </w:tcPr>
          <w:p w14:paraId="4BD31BBE"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Moves down</w:t>
            </w:r>
          </w:p>
        </w:tc>
        <w:tc>
          <w:tcPr>
            <w:tcW w:w="2362" w:type="dxa"/>
            <w:vAlign w:val="center"/>
          </w:tcPr>
          <w:p w14:paraId="7CDC2109"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23EC4E62"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3B87BFAC" w14:textId="7483C102" w:rsidR="005534E6" w:rsidRPr="00E164B3" w:rsidRDefault="005534E6" w:rsidP="00D71304">
            <w:pPr>
              <w:jc w:val="center"/>
              <w:rPr>
                <w:rFonts w:ascii="Times New Roman" w:hAnsi="Times New Roman" w:cs="Times New Roman"/>
                <w:color w:val="000000"/>
                <w:sz w:val="20"/>
              </w:rPr>
            </w:pPr>
            <w:r w:rsidRPr="00E164B3">
              <w:rPr>
                <w:rFonts w:ascii="Times New Roman" w:hAnsi="Times New Roman" w:cs="Times New Roman"/>
                <w:color w:val="000000"/>
                <w:sz w:val="20"/>
              </w:rPr>
              <w:t>1.2</w:t>
            </w:r>
            <w:r w:rsidR="00D71304">
              <w:rPr>
                <w:rFonts w:ascii="Times New Roman" w:hAnsi="Times New Roman" w:cs="Times New Roman"/>
                <w:color w:val="000000"/>
                <w:sz w:val="20"/>
              </w:rPr>
              <w:t>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(1.2</w:t>
            </w:r>
            <w:r w:rsidR="00D71304">
              <w:rPr>
                <w:rFonts w:ascii="Times New Roman" w:hAnsi="Times New Roman" w:cs="Times New Roman"/>
                <w:color w:val="000000"/>
                <w:sz w:val="20"/>
              </w:rPr>
              <w:t>6</w:t>
            </w:r>
            <w:r w:rsidRPr="00E164B3">
              <w:rPr>
                <w:rFonts w:ascii="Times New Roman" w:hAnsi="Times New Roman" w:cs="Times New Roman"/>
                <w:color w:val="000000"/>
                <w:sz w:val="20"/>
              </w:rPr>
              <w:t xml:space="preserve"> – 1.3</w:t>
            </w:r>
            <w:r w:rsidR="00D71304">
              <w:rPr>
                <w:rFonts w:ascii="Times New Roman" w:hAnsi="Times New Roman" w:cs="Times New Roman"/>
                <w:color w:val="000000"/>
                <w:sz w:val="20"/>
              </w:rPr>
              <w:t>0</w:t>
            </w:r>
            <w:r w:rsidRPr="00E164B3">
              <w:rPr>
                <w:rFonts w:ascii="Times New Roman" w:hAnsi="Times New Roman" w:cs="Times New Roman"/>
                <w:color w:val="000000"/>
                <w:sz w:val="20"/>
              </w:rPr>
              <w:t>)</w:t>
            </w:r>
          </w:p>
        </w:tc>
        <w:tc>
          <w:tcPr>
            <w:tcW w:w="2363" w:type="dxa"/>
            <w:vAlign w:val="center"/>
          </w:tcPr>
          <w:p w14:paraId="61D0FA8E"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292907F5" w14:textId="77777777" w:rsidR="005534E6" w:rsidRPr="00E164B3" w:rsidRDefault="005534E6" w:rsidP="005534E6">
            <w:pPr>
              <w:jc w:val="center"/>
              <w:rPr>
                <w:rFonts w:ascii="Times New Roman" w:hAnsi="Times New Roman" w:cs="Times New Roman"/>
                <w:sz w:val="20"/>
              </w:rPr>
            </w:pPr>
          </w:p>
        </w:tc>
      </w:tr>
      <w:tr w:rsidR="005534E6" w:rsidRPr="00E164B3" w14:paraId="68ABFC49" w14:textId="77777777" w:rsidTr="005534E6">
        <w:tc>
          <w:tcPr>
            <w:tcW w:w="14174" w:type="dxa"/>
            <w:gridSpan w:val="6"/>
            <w:vAlign w:val="center"/>
          </w:tcPr>
          <w:p w14:paraId="29637C80" w14:textId="77777777" w:rsidR="005534E6" w:rsidRPr="00E164B3" w:rsidRDefault="005534E6" w:rsidP="005534E6">
            <w:pPr>
              <w:rPr>
                <w:rFonts w:ascii="Times New Roman" w:hAnsi="Times New Roman" w:cs="Times New Roman"/>
                <w:sz w:val="20"/>
              </w:rPr>
            </w:pPr>
            <w:r>
              <w:rPr>
                <w:rFonts w:ascii="Times New Roman" w:hAnsi="Times New Roman" w:cs="Times New Roman"/>
                <w:b/>
                <w:sz w:val="20"/>
              </w:rPr>
              <w:t xml:space="preserve">Deprivation transitions (detailed moves between quintiles) </w:t>
            </w:r>
          </w:p>
        </w:tc>
      </w:tr>
      <w:tr w:rsidR="005534E6" w:rsidRPr="00E164B3" w14:paraId="062CDD3B" w14:textId="77777777" w:rsidTr="005534E6">
        <w:tc>
          <w:tcPr>
            <w:tcW w:w="2362" w:type="dxa"/>
            <w:vAlign w:val="center"/>
          </w:tcPr>
          <w:p w14:paraId="28FA68CB" w14:textId="77777777" w:rsidR="005534E6" w:rsidRPr="00E164B3" w:rsidRDefault="005534E6" w:rsidP="005534E6">
            <w:pPr>
              <w:jc w:val="right"/>
              <w:rPr>
                <w:rFonts w:ascii="Times New Roman" w:hAnsi="Times New Roman" w:cs="Times New Roman"/>
                <w:sz w:val="20"/>
              </w:rPr>
            </w:pPr>
            <w:r>
              <w:rPr>
                <w:rFonts w:ascii="Times New Roman" w:hAnsi="Times New Roman" w:cs="Times New Roman"/>
                <w:sz w:val="20"/>
              </w:rPr>
              <w:t>Stayer</w:t>
            </w:r>
          </w:p>
        </w:tc>
        <w:tc>
          <w:tcPr>
            <w:tcW w:w="2362" w:type="dxa"/>
            <w:vAlign w:val="center"/>
          </w:tcPr>
          <w:p w14:paraId="2992F948"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06720837"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5FB1DD47"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4582C895" w14:textId="77777777" w:rsidR="005534E6" w:rsidRPr="003A3DEB" w:rsidRDefault="005534E6" w:rsidP="005534E6">
            <w:pPr>
              <w:jc w:val="center"/>
              <w:rPr>
                <w:rFonts w:ascii="Times New Roman" w:hAnsi="Times New Roman" w:cs="Times New Roman"/>
                <w:b/>
                <w:color w:val="000000"/>
                <w:sz w:val="20"/>
              </w:rPr>
            </w:pPr>
            <w:r>
              <w:rPr>
                <w:rFonts w:ascii="Times New Roman" w:hAnsi="Times New Roman" w:cs="Times New Roman"/>
                <w:b/>
                <w:color w:val="000000"/>
                <w:sz w:val="20"/>
              </w:rPr>
              <w:t>REF</w:t>
            </w:r>
          </w:p>
        </w:tc>
        <w:tc>
          <w:tcPr>
            <w:tcW w:w="2363" w:type="dxa"/>
            <w:vAlign w:val="center"/>
          </w:tcPr>
          <w:p w14:paraId="4555C329" w14:textId="77777777" w:rsidR="005534E6" w:rsidRPr="00E164B3" w:rsidRDefault="005534E6" w:rsidP="005534E6">
            <w:pPr>
              <w:jc w:val="center"/>
              <w:rPr>
                <w:rFonts w:ascii="Times New Roman" w:hAnsi="Times New Roman" w:cs="Times New Roman"/>
                <w:sz w:val="20"/>
              </w:rPr>
            </w:pPr>
          </w:p>
        </w:tc>
      </w:tr>
      <w:tr w:rsidR="005534E6" w:rsidRPr="00E164B3" w14:paraId="6EEA2FA5" w14:textId="77777777" w:rsidTr="005534E6">
        <w:tc>
          <w:tcPr>
            <w:tcW w:w="2362" w:type="dxa"/>
            <w:vAlign w:val="center"/>
          </w:tcPr>
          <w:p w14:paraId="022FD20A"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lastRenderedPageBreak/>
              <w:t>Within Q1</w:t>
            </w:r>
          </w:p>
        </w:tc>
        <w:tc>
          <w:tcPr>
            <w:tcW w:w="2362" w:type="dxa"/>
            <w:vAlign w:val="center"/>
          </w:tcPr>
          <w:p w14:paraId="7F99868C"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3FCB9C8D"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0141A904"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4EFD9F1F" w14:textId="60FCF1AC"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0.8</w:t>
            </w:r>
            <w:r w:rsidR="00331FF5">
              <w:rPr>
                <w:rFonts w:ascii="Times New Roman" w:hAnsi="Times New Roman" w:cs="Times New Roman"/>
                <w:color w:val="000000"/>
                <w:sz w:val="20"/>
              </w:rPr>
              <w:t>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(0.8</w:t>
            </w:r>
            <w:r w:rsidR="00331FF5">
              <w:rPr>
                <w:rFonts w:ascii="Times New Roman" w:hAnsi="Times New Roman" w:cs="Times New Roman"/>
                <w:color w:val="000000"/>
                <w:sz w:val="20"/>
              </w:rPr>
              <w:t>5</w:t>
            </w:r>
            <w:r w:rsidRPr="00E164B3">
              <w:rPr>
                <w:rFonts w:ascii="Times New Roman" w:hAnsi="Times New Roman" w:cs="Times New Roman"/>
                <w:color w:val="000000"/>
                <w:sz w:val="20"/>
              </w:rPr>
              <w:t xml:space="preserve"> – 0.</w:t>
            </w:r>
            <w:r w:rsidR="00331FF5">
              <w:rPr>
                <w:rFonts w:ascii="Times New Roman" w:hAnsi="Times New Roman" w:cs="Times New Roman"/>
                <w:color w:val="000000"/>
                <w:sz w:val="20"/>
              </w:rPr>
              <w:t>91</w:t>
            </w:r>
            <w:r w:rsidRPr="00E164B3">
              <w:rPr>
                <w:rFonts w:ascii="Times New Roman" w:hAnsi="Times New Roman" w:cs="Times New Roman"/>
                <w:color w:val="000000"/>
                <w:sz w:val="20"/>
              </w:rPr>
              <w:t>)</w:t>
            </w:r>
          </w:p>
        </w:tc>
        <w:tc>
          <w:tcPr>
            <w:tcW w:w="2363" w:type="dxa"/>
            <w:vAlign w:val="center"/>
          </w:tcPr>
          <w:p w14:paraId="72CE4998" w14:textId="77777777" w:rsidR="005534E6" w:rsidRPr="00E164B3" w:rsidRDefault="005534E6" w:rsidP="005534E6">
            <w:pPr>
              <w:jc w:val="center"/>
              <w:rPr>
                <w:rFonts w:ascii="Times New Roman" w:hAnsi="Times New Roman" w:cs="Times New Roman"/>
                <w:sz w:val="20"/>
              </w:rPr>
            </w:pPr>
          </w:p>
        </w:tc>
      </w:tr>
      <w:tr w:rsidR="005534E6" w:rsidRPr="00E164B3" w14:paraId="6EB566DA" w14:textId="77777777" w:rsidTr="005534E6">
        <w:tc>
          <w:tcPr>
            <w:tcW w:w="2362" w:type="dxa"/>
            <w:vAlign w:val="center"/>
          </w:tcPr>
          <w:p w14:paraId="2932CEA5"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Into Q1</w:t>
            </w:r>
          </w:p>
        </w:tc>
        <w:tc>
          <w:tcPr>
            <w:tcW w:w="2362" w:type="dxa"/>
            <w:vAlign w:val="center"/>
          </w:tcPr>
          <w:p w14:paraId="1D2E539B"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154A159D"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562BD345"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6A54D07C" w14:textId="21B653DA"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1.0</w:t>
            </w:r>
            <w:r w:rsidR="00331FF5">
              <w:rPr>
                <w:rFonts w:ascii="Times New Roman" w:hAnsi="Times New Roman" w:cs="Times New Roman"/>
                <w:color w:val="000000"/>
                <w:sz w:val="20"/>
              </w:rPr>
              <w:t>8</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(1.0</w:t>
            </w:r>
            <w:r w:rsidR="00331FF5">
              <w:rPr>
                <w:rFonts w:ascii="Times New Roman" w:hAnsi="Times New Roman" w:cs="Times New Roman"/>
                <w:color w:val="000000"/>
                <w:sz w:val="20"/>
              </w:rPr>
              <w:t>5</w:t>
            </w:r>
            <w:r w:rsidRPr="00E164B3">
              <w:rPr>
                <w:rFonts w:ascii="Times New Roman" w:hAnsi="Times New Roman" w:cs="Times New Roman"/>
                <w:color w:val="000000"/>
                <w:sz w:val="20"/>
              </w:rPr>
              <w:t xml:space="preserve"> – 1.</w:t>
            </w:r>
            <w:r w:rsidR="00331FF5">
              <w:rPr>
                <w:rFonts w:ascii="Times New Roman" w:hAnsi="Times New Roman" w:cs="Times New Roman"/>
                <w:color w:val="000000"/>
                <w:sz w:val="20"/>
              </w:rPr>
              <w:t>11</w:t>
            </w:r>
            <w:r w:rsidRPr="00E164B3">
              <w:rPr>
                <w:rFonts w:ascii="Times New Roman" w:hAnsi="Times New Roman" w:cs="Times New Roman"/>
                <w:color w:val="000000"/>
                <w:sz w:val="20"/>
              </w:rPr>
              <w:t>)</w:t>
            </w:r>
          </w:p>
        </w:tc>
        <w:tc>
          <w:tcPr>
            <w:tcW w:w="2363" w:type="dxa"/>
            <w:vAlign w:val="center"/>
          </w:tcPr>
          <w:p w14:paraId="52CF1DC1" w14:textId="77777777" w:rsidR="005534E6" w:rsidRPr="00E164B3" w:rsidRDefault="005534E6" w:rsidP="005534E6">
            <w:pPr>
              <w:jc w:val="center"/>
              <w:rPr>
                <w:rFonts w:ascii="Times New Roman" w:hAnsi="Times New Roman" w:cs="Times New Roman"/>
                <w:sz w:val="20"/>
              </w:rPr>
            </w:pPr>
          </w:p>
        </w:tc>
      </w:tr>
      <w:tr w:rsidR="005534E6" w:rsidRPr="00E164B3" w14:paraId="411BB0CC" w14:textId="77777777" w:rsidTr="005534E6">
        <w:tc>
          <w:tcPr>
            <w:tcW w:w="2362" w:type="dxa"/>
            <w:vAlign w:val="center"/>
          </w:tcPr>
          <w:p w14:paraId="4037AF0F"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Out of Q1</w:t>
            </w:r>
          </w:p>
        </w:tc>
        <w:tc>
          <w:tcPr>
            <w:tcW w:w="2362" w:type="dxa"/>
            <w:vAlign w:val="center"/>
          </w:tcPr>
          <w:p w14:paraId="3343A1A6"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449D36EB"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5E50B880"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9C2EC40" w14:textId="6ABBA956"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1.0</w:t>
            </w:r>
            <w:r w:rsidR="00331FF5">
              <w:rPr>
                <w:rFonts w:ascii="Times New Roman" w:hAnsi="Times New Roman" w:cs="Times New Roman"/>
                <w:color w:val="000000"/>
                <w:sz w:val="20"/>
              </w:rPr>
              <w:t>6*</w:t>
            </w:r>
            <w:r>
              <w:rPr>
                <w:rFonts w:ascii="Times New Roman" w:hAnsi="Times New Roman" w:cs="Times New Roman"/>
                <w:color w:val="000000"/>
                <w:sz w:val="20"/>
              </w:rPr>
              <w:t xml:space="preserve"> </w:t>
            </w:r>
            <w:r w:rsidRPr="00E164B3">
              <w:rPr>
                <w:rFonts w:ascii="Times New Roman" w:hAnsi="Times New Roman" w:cs="Times New Roman"/>
                <w:color w:val="000000"/>
                <w:sz w:val="20"/>
              </w:rPr>
              <w:t>(</w:t>
            </w:r>
            <w:r w:rsidR="00331FF5">
              <w:rPr>
                <w:rFonts w:ascii="Times New Roman" w:hAnsi="Times New Roman" w:cs="Times New Roman"/>
                <w:color w:val="000000"/>
                <w:sz w:val="20"/>
              </w:rPr>
              <w:t>1.03 – 1.08</w:t>
            </w:r>
            <w:r w:rsidRPr="00E164B3">
              <w:rPr>
                <w:rFonts w:ascii="Times New Roman" w:hAnsi="Times New Roman" w:cs="Times New Roman"/>
                <w:color w:val="000000"/>
                <w:sz w:val="20"/>
              </w:rPr>
              <w:t>)</w:t>
            </w:r>
          </w:p>
        </w:tc>
        <w:tc>
          <w:tcPr>
            <w:tcW w:w="2363" w:type="dxa"/>
            <w:vAlign w:val="center"/>
          </w:tcPr>
          <w:p w14:paraId="25EE46B7" w14:textId="77777777" w:rsidR="005534E6" w:rsidRPr="00E164B3" w:rsidRDefault="005534E6" w:rsidP="005534E6">
            <w:pPr>
              <w:jc w:val="center"/>
              <w:rPr>
                <w:rFonts w:ascii="Times New Roman" w:hAnsi="Times New Roman" w:cs="Times New Roman"/>
                <w:sz w:val="20"/>
              </w:rPr>
            </w:pPr>
          </w:p>
        </w:tc>
      </w:tr>
      <w:tr w:rsidR="005534E6" w:rsidRPr="00E164B3" w14:paraId="40FA86BF" w14:textId="77777777" w:rsidTr="005534E6">
        <w:tc>
          <w:tcPr>
            <w:tcW w:w="2362" w:type="dxa"/>
            <w:vAlign w:val="center"/>
          </w:tcPr>
          <w:p w14:paraId="5E5A658A"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Within Q2-4</w:t>
            </w:r>
          </w:p>
        </w:tc>
        <w:tc>
          <w:tcPr>
            <w:tcW w:w="2362" w:type="dxa"/>
            <w:vAlign w:val="center"/>
          </w:tcPr>
          <w:p w14:paraId="4CF63A65"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1D2B17AD"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1937F94E"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1363D452" w14:textId="3C5C2B99"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331FF5">
              <w:rPr>
                <w:rFonts w:ascii="Times New Roman" w:hAnsi="Times New Roman" w:cs="Times New Roman"/>
                <w:color w:val="000000"/>
                <w:sz w:val="20"/>
              </w:rPr>
              <w:t>26</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w:t>
            </w:r>
            <w:r w:rsidR="00331FF5">
              <w:rPr>
                <w:rFonts w:ascii="Times New Roman" w:hAnsi="Times New Roman" w:cs="Times New Roman"/>
                <w:color w:val="000000"/>
                <w:sz w:val="20"/>
              </w:rPr>
              <w:t>24</w:t>
            </w:r>
            <w:r w:rsidRPr="00E164B3">
              <w:rPr>
                <w:rFonts w:ascii="Times New Roman" w:hAnsi="Times New Roman" w:cs="Times New Roman"/>
                <w:color w:val="000000"/>
                <w:sz w:val="20"/>
              </w:rPr>
              <w:t xml:space="preserve"> – 1.</w:t>
            </w:r>
            <w:r w:rsidR="00331FF5">
              <w:rPr>
                <w:rFonts w:ascii="Times New Roman" w:hAnsi="Times New Roman" w:cs="Times New Roman"/>
                <w:color w:val="000000"/>
                <w:sz w:val="20"/>
              </w:rPr>
              <w:t>28</w:t>
            </w:r>
            <w:r w:rsidRPr="00E164B3">
              <w:rPr>
                <w:rFonts w:ascii="Times New Roman" w:hAnsi="Times New Roman" w:cs="Times New Roman"/>
                <w:color w:val="000000"/>
                <w:sz w:val="20"/>
              </w:rPr>
              <w:t>)</w:t>
            </w:r>
          </w:p>
        </w:tc>
        <w:tc>
          <w:tcPr>
            <w:tcW w:w="2363" w:type="dxa"/>
            <w:vAlign w:val="center"/>
          </w:tcPr>
          <w:p w14:paraId="77D4FCFE" w14:textId="77777777" w:rsidR="005534E6" w:rsidRPr="00E164B3" w:rsidRDefault="005534E6" w:rsidP="005534E6">
            <w:pPr>
              <w:jc w:val="center"/>
              <w:rPr>
                <w:rFonts w:ascii="Times New Roman" w:hAnsi="Times New Roman" w:cs="Times New Roman"/>
                <w:sz w:val="20"/>
              </w:rPr>
            </w:pPr>
          </w:p>
        </w:tc>
      </w:tr>
      <w:tr w:rsidR="005534E6" w:rsidRPr="00E164B3" w14:paraId="3F1B85DE" w14:textId="77777777" w:rsidTr="005534E6">
        <w:tc>
          <w:tcPr>
            <w:tcW w:w="2362" w:type="dxa"/>
            <w:vAlign w:val="center"/>
          </w:tcPr>
          <w:p w14:paraId="66102B92"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Out of Q5</w:t>
            </w:r>
          </w:p>
        </w:tc>
        <w:tc>
          <w:tcPr>
            <w:tcW w:w="2362" w:type="dxa"/>
            <w:vAlign w:val="center"/>
          </w:tcPr>
          <w:p w14:paraId="1564663F"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47B32912"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3F3B7B7E"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67FD7673" w14:textId="4AEE587A"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331FF5">
              <w:rPr>
                <w:rFonts w:ascii="Times New Roman" w:hAnsi="Times New Roman" w:cs="Times New Roman"/>
                <w:color w:val="000000"/>
                <w:sz w:val="20"/>
              </w:rPr>
              <w:t>55</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w:t>
            </w:r>
            <w:r w:rsidR="00331FF5">
              <w:rPr>
                <w:rFonts w:ascii="Times New Roman" w:hAnsi="Times New Roman" w:cs="Times New Roman"/>
                <w:color w:val="000000"/>
                <w:sz w:val="20"/>
              </w:rPr>
              <w:t>51</w:t>
            </w:r>
            <w:r w:rsidR="00331FF5" w:rsidRPr="00E164B3">
              <w:rPr>
                <w:rFonts w:ascii="Times New Roman" w:hAnsi="Times New Roman" w:cs="Times New Roman"/>
                <w:color w:val="000000"/>
                <w:sz w:val="20"/>
              </w:rPr>
              <w:t xml:space="preserve"> </w:t>
            </w:r>
            <w:r w:rsidRPr="00E164B3">
              <w:rPr>
                <w:rFonts w:ascii="Times New Roman" w:hAnsi="Times New Roman" w:cs="Times New Roman"/>
                <w:color w:val="000000"/>
                <w:sz w:val="20"/>
              </w:rPr>
              <w:t>– 1.</w:t>
            </w:r>
            <w:r w:rsidR="00331FF5">
              <w:rPr>
                <w:rFonts w:ascii="Times New Roman" w:hAnsi="Times New Roman" w:cs="Times New Roman"/>
                <w:color w:val="000000"/>
                <w:sz w:val="20"/>
              </w:rPr>
              <w:t>58</w:t>
            </w:r>
            <w:r w:rsidRPr="00E164B3">
              <w:rPr>
                <w:rFonts w:ascii="Times New Roman" w:hAnsi="Times New Roman" w:cs="Times New Roman"/>
                <w:color w:val="000000"/>
                <w:sz w:val="20"/>
              </w:rPr>
              <w:t>)</w:t>
            </w:r>
          </w:p>
        </w:tc>
        <w:tc>
          <w:tcPr>
            <w:tcW w:w="2363" w:type="dxa"/>
            <w:vAlign w:val="center"/>
          </w:tcPr>
          <w:p w14:paraId="01B60647" w14:textId="77777777" w:rsidR="005534E6" w:rsidRPr="00E164B3" w:rsidRDefault="005534E6" w:rsidP="005534E6">
            <w:pPr>
              <w:jc w:val="center"/>
              <w:rPr>
                <w:rFonts w:ascii="Times New Roman" w:hAnsi="Times New Roman" w:cs="Times New Roman"/>
                <w:sz w:val="20"/>
              </w:rPr>
            </w:pPr>
          </w:p>
        </w:tc>
      </w:tr>
      <w:tr w:rsidR="005534E6" w:rsidRPr="00E164B3" w14:paraId="633E5AEE" w14:textId="77777777" w:rsidTr="005534E6">
        <w:tc>
          <w:tcPr>
            <w:tcW w:w="2362" w:type="dxa"/>
            <w:vAlign w:val="center"/>
          </w:tcPr>
          <w:p w14:paraId="1DEB78B5"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Into Q5</w:t>
            </w:r>
          </w:p>
        </w:tc>
        <w:tc>
          <w:tcPr>
            <w:tcW w:w="2362" w:type="dxa"/>
            <w:vAlign w:val="center"/>
          </w:tcPr>
          <w:p w14:paraId="6D82872D"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4388B7DE"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6F02967D"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51542741" w14:textId="51B01F90" w:rsidR="005534E6" w:rsidRPr="00E164B3" w:rsidRDefault="005534E6" w:rsidP="00331FF5">
            <w:pPr>
              <w:jc w:val="center"/>
              <w:rPr>
                <w:rFonts w:ascii="Times New Roman" w:hAnsi="Times New Roman" w:cs="Times New Roman"/>
                <w:color w:val="000000"/>
                <w:sz w:val="20"/>
              </w:rPr>
            </w:pPr>
            <w:r w:rsidRPr="00E164B3">
              <w:rPr>
                <w:rFonts w:ascii="Times New Roman" w:hAnsi="Times New Roman" w:cs="Times New Roman"/>
                <w:color w:val="000000"/>
                <w:sz w:val="20"/>
              </w:rPr>
              <w:t>1.</w:t>
            </w:r>
            <w:r w:rsidR="00331FF5">
              <w:rPr>
                <w:rFonts w:ascii="Times New Roman" w:hAnsi="Times New Roman" w:cs="Times New Roman"/>
                <w:color w:val="000000"/>
                <w:sz w:val="20"/>
              </w:rPr>
              <w:t>52</w:t>
            </w:r>
            <w:r w:rsidRPr="00E164B3">
              <w:rPr>
                <w:rFonts w:ascii="Times New Roman" w:hAnsi="Times New Roman" w:cs="Times New Roman"/>
                <w:color w:val="000000"/>
                <w:sz w:val="20"/>
              </w:rPr>
              <w:t>*</w:t>
            </w:r>
            <w:r>
              <w:rPr>
                <w:rFonts w:ascii="Times New Roman" w:hAnsi="Times New Roman" w:cs="Times New Roman"/>
                <w:color w:val="000000"/>
                <w:sz w:val="20"/>
              </w:rPr>
              <w:t xml:space="preserve"> </w:t>
            </w:r>
            <w:r w:rsidRPr="00E164B3">
              <w:rPr>
                <w:rFonts w:ascii="Times New Roman" w:hAnsi="Times New Roman" w:cs="Times New Roman"/>
                <w:color w:val="000000"/>
                <w:sz w:val="20"/>
              </w:rPr>
              <w:t>(1.</w:t>
            </w:r>
            <w:r w:rsidR="00331FF5" w:rsidRPr="00E164B3">
              <w:rPr>
                <w:rFonts w:ascii="Times New Roman" w:hAnsi="Times New Roman" w:cs="Times New Roman"/>
                <w:color w:val="000000"/>
                <w:sz w:val="20"/>
              </w:rPr>
              <w:t>4</w:t>
            </w:r>
            <w:r w:rsidR="00331FF5">
              <w:rPr>
                <w:rFonts w:ascii="Times New Roman" w:hAnsi="Times New Roman" w:cs="Times New Roman"/>
                <w:color w:val="000000"/>
                <w:sz w:val="20"/>
              </w:rPr>
              <w:t>8</w:t>
            </w:r>
            <w:r w:rsidR="00331FF5" w:rsidRPr="00E164B3">
              <w:rPr>
                <w:rFonts w:ascii="Times New Roman" w:hAnsi="Times New Roman" w:cs="Times New Roman"/>
                <w:color w:val="000000"/>
                <w:sz w:val="20"/>
              </w:rPr>
              <w:t xml:space="preserve"> </w:t>
            </w:r>
            <w:r w:rsidRPr="00E164B3">
              <w:rPr>
                <w:rFonts w:ascii="Times New Roman" w:hAnsi="Times New Roman" w:cs="Times New Roman"/>
                <w:color w:val="000000"/>
                <w:sz w:val="20"/>
              </w:rPr>
              <w:t>– 1.5</w:t>
            </w:r>
            <w:r w:rsidR="00331FF5">
              <w:rPr>
                <w:rFonts w:ascii="Times New Roman" w:hAnsi="Times New Roman" w:cs="Times New Roman"/>
                <w:color w:val="000000"/>
                <w:sz w:val="20"/>
              </w:rPr>
              <w:t>6</w:t>
            </w:r>
            <w:r w:rsidRPr="00E164B3">
              <w:rPr>
                <w:rFonts w:ascii="Times New Roman" w:hAnsi="Times New Roman" w:cs="Times New Roman"/>
                <w:color w:val="000000"/>
                <w:sz w:val="20"/>
              </w:rPr>
              <w:t>)</w:t>
            </w:r>
          </w:p>
        </w:tc>
        <w:tc>
          <w:tcPr>
            <w:tcW w:w="2363" w:type="dxa"/>
            <w:vAlign w:val="center"/>
          </w:tcPr>
          <w:p w14:paraId="2472CD65" w14:textId="77777777" w:rsidR="005534E6" w:rsidRPr="00E164B3" w:rsidRDefault="005534E6" w:rsidP="005534E6">
            <w:pPr>
              <w:jc w:val="center"/>
              <w:rPr>
                <w:rFonts w:ascii="Times New Roman" w:hAnsi="Times New Roman" w:cs="Times New Roman"/>
                <w:sz w:val="20"/>
              </w:rPr>
            </w:pPr>
          </w:p>
        </w:tc>
      </w:tr>
      <w:tr w:rsidR="005534E6" w:rsidRPr="00E164B3" w14:paraId="3997FDDC" w14:textId="77777777" w:rsidTr="005534E6">
        <w:tc>
          <w:tcPr>
            <w:tcW w:w="2362" w:type="dxa"/>
            <w:vAlign w:val="center"/>
          </w:tcPr>
          <w:p w14:paraId="6A3341FD" w14:textId="77777777" w:rsidR="005534E6" w:rsidRPr="00E164B3" w:rsidRDefault="005534E6" w:rsidP="005534E6">
            <w:pPr>
              <w:jc w:val="right"/>
              <w:rPr>
                <w:rFonts w:ascii="Times New Roman" w:hAnsi="Times New Roman" w:cs="Times New Roman"/>
                <w:sz w:val="20"/>
              </w:rPr>
            </w:pPr>
            <w:r w:rsidRPr="00E164B3">
              <w:rPr>
                <w:rFonts w:ascii="Times New Roman" w:hAnsi="Times New Roman" w:cs="Times New Roman"/>
                <w:sz w:val="20"/>
              </w:rPr>
              <w:t>Within Q5</w:t>
            </w:r>
          </w:p>
        </w:tc>
        <w:tc>
          <w:tcPr>
            <w:tcW w:w="2362" w:type="dxa"/>
            <w:vAlign w:val="center"/>
          </w:tcPr>
          <w:p w14:paraId="4B776578"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3E7C8F46" w14:textId="77777777" w:rsidR="005534E6" w:rsidRPr="00E164B3" w:rsidRDefault="005534E6" w:rsidP="005534E6">
            <w:pPr>
              <w:jc w:val="center"/>
              <w:rPr>
                <w:rFonts w:ascii="Times New Roman" w:hAnsi="Times New Roman" w:cs="Times New Roman"/>
                <w:sz w:val="20"/>
              </w:rPr>
            </w:pPr>
          </w:p>
        </w:tc>
        <w:tc>
          <w:tcPr>
            <w:tcW w:w="2362" w:type="dxa"/>
            <w:vAlign w:val="center"/>
          </w:tcPr>
          <w:p w14:paraId="4B9152BC" w14:textId="77777777" w:rsidR="005534E6" w:rsidRPr="00E164B3" w:rsidRDefault="005534E6" w:rsidP="005534E6">
            <w:pPr>
              <w:jc w:val="center"/>
              <w:rPr>
                <w:rFonts w:ascii="Times New Roman" w:hAnsi="Times New Roman" w:cs="Times New Roman"/>
                <w:sz w:val="20"/>
              </w:rPr>
            </w:pPr>
          </w:p>
        </w:tc>
        <w:tc>
          <w:tcPr>
            <w:tcW w:w="2363" w:type="dxa"/>
            <w:vAlign w:val="center"/>
          </w:tcPr>
          <w:p w14:paraId="211FDC20" w14:textId="77777777" w:rsidR="005534E6" w:rsidRPr="00E164B3" w:rsidRDefault="005534E6" w:rsidP="005534E6">
            <w:pPr>
              <w:jc w:val="center"/>
              <w:rPr>
                <w:rFonts w:ascii="Times New Roman" w:hAnsi="Times New Roman" w:cs="Times New Roman"/>
                <w:color w:val="000000"/>
                <w:sz w:val="20"/>
              </w:rPr>
            </w:pPr>
            <w:r w:rsidRPr="00E164B3">
              <w:rPr>
                <w:rFonts w:ascii="Times New Roman" w:hAnsi="Times New Roman" w:cs="Times New Roman"/>
                <w:color w:val="000000"/>
                <w:sz w:val="20"/>
              </w:rPr>
              <w:t>1.71*</w:t>
            </w:r>
            <w:r>
              <w:rPr>
                <w:rFonts w:ascii="Times New Roman" w:hAnsi="Times New Roman" w:cs="Times New Roman"/>
                <w:color w:val="000000"/>
                <w:sz w:val="20"/>
              </w:rPr>
              <w:t xml:space="preserve"> </w:t>
            </w:r>
            <w:r w:rsidRPr="00E164B3">
              <w:rPr>
                <w:rFonts w:ascii="Times New Roman" w:hAnsi="Times New Roman" w:cs="Times New Roman"/>
                <w:color w:val="000000"/>
                <w:sz w:val="20"/>
              </w:rPr>
              <w:t>(1.66 – 1.76)</w:t>
            </w:r>
          </w:p>
        </w:tc>
        <w:tc>
          <w:tcPr>
            <w:tcW w:w="2363" w:type="dxa"/>
            <w:vAlign w:val="center"/>
          </w:tcPr>
          <w:p w14:paraId="5E4C8BB1" w14:textId="77777777" w:rsidR="005534E6" w:rsidRPr="00E164B3" w:rsidRDefault="005534E6" w:rsidP="005534E6">
            <w:pPr>
              <w:jc w:val="center"/>
              <w:rPr>
                <w:rFonts w:ascii="Times New Roman" w:hAnsi="Times New Roman" w:cs="Times New Roman"/>
                <w:sz w:val="20"/>
              </w:rPr>
            </w:pPr>
          </w:p>
        </w:tc>
      </w:tr>
      <w:tr w:rsidR="005534E6" w:rsidRPr="00E164B3" w14:paraId="7A71EB4F" w14:textId="77777777" w:rsidTr="005534E6">
        <w:tc>
          <w:tcPr>
            <w:tcW w:w="14174" w:type="dxa"/>
            <w:gridSpan w:val="6"/>
            <w:vAlign w:val="center"/>
          </w:tcPr>
          <w:p w14:paraId="16F2C4BB" w14:textId="77777777" w:rsidR="005534E6" w:rsidRPr="00E164B3" w:rsidRDefault="005534E6" w:rsidP="005534E6">
            <w:pPr>
              <w:rPr>
                <w:rFonts w:ascii="Times New Roman" w:hAnsi="Times New Roman" w:cs="Times New Roman"/>
                <w:b/>
                <w:color w:val="000000"/>
                <w:sz w:val="20"/>
              </w:rPr>
            </w:pPr>
            <w:r w:rsidRPr="00E164B3">
              <w:rPr>
                <w:rFonts w:ascii="Times New Roman" w:hAnsi="Times New Roman" w:cs="Times New Roman"/>
                <w:b/>
                <w:sz w:val="20"/>
              </w:rPr>
              <w:t>Stable deprivation</w:t>
            </w:r>
          </w:p>
        </w:tc>
      </w:tr>
      <w:tr w:rsidR="005534E6" w:rsidRPr="003A3DEB" w14:paraId="63F8DB7C" w14:textId="77777777" w:rsidTr="005534E6">
        <w:tc>
          <w:tcPr>
            <w:tcW w:w="2362" w:type="dxa"/>
            <w:vAlign w:val="center"/>
          </w:tcPr>
          <w:p w14:paraId="7F5D2A6F"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Mover</w:t>
            </w:r>
          </w:p>
        </w:tc>
        <w:tc>
          <w:tcPr>
            <w:tcW w:w="2362" w:type="dxa"/>
            <w:vAlign w:val="center"/>
          </w:tcPr>
          <w:p w14:paraId="3431E461"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7913210C"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6DE7B1F5"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6CA2F3B8"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426CD374" w14:textId="77777777" w:rsidR="005534E6" w:rsidRPr="003A3DEB" w:rsidRDefault="005534E6" w:rsidP="005534E6">
            <w:pPr>
              <w:jc w:val="center"/>
              <w:rPr>
                <w:rFonts w:ascii="Times New Roman" w:hAnsi="Times New Roman" w:cs="Times New Roman"/>
                <w:sz w:val="20"/>
              </w:rPr>
            </w:pPr>
            <w:r w:rsidRPr="003A3DEB">
              <w:rPr>
                <w:rFonts w:ascii="Times New Roman" w:hAnsi="Times New Roman" w:cs="Times New Roman"/>
                <w:sz w:val="20"/>
              </w:rPr>
              <w:t>REF</w:t>
            </w:r>
          </w:p>
        </w:tc>
      </w:tr>
      <w:tr w:rsidR="005534E6" w:rsidRPr="003A3DEB" w14:paraId="39C6B4C3" w14:textId="77777777" w:rsidTr="005534E6">
        <w:tc>
          <w:tcPr>
            <w:tcW w:w="2362" w:type="dxa"/>
            <w:vAlign w:val="center"/>
          </w:tcPr>
          <w:p w14:paraId="5D0915C9"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Stable Q1</w:t>
            </w:r>
          </w:p>
        </w:tc>
        <w:tc>
          <w:tcPr>
            <w:tcW w:w="2362" w:type="dxa"/>
            <w:vAlign w:val="center"/>
          </w:tcPr>
          <w:p w14:paraId="4095B5E2"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4A6F6E3A"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2FE479B8"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6B1E48BB"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03D91351" w14:textId="1B20EC08" w:rsidR="005534E6" w:rsidRPr="003A3DEB" w:rsidRDefault="005534E6" w:rsidP="00A0513C">
            <w:pPr>
              <w:jc w:val="center"/>
              <w:rPr>
                <w:rFonts w:ascii="Times New Roman" w:hAnsi="Times New Roman" w:cs="Times New Roman"/>
                <w:color w:val="000000"/>
                <w:sz w:val="20"/>
              </w:rPr>
            </w:pPr>
            <w:r w:rsidRPr="003A3DEB">
              <w:rPr>
                <w:rFonts w:ascii="Times New Roman" w:hAnsi="Times New Roman" w:cs="Times New Roman"/>
                <w:color w:val="000000"/>
                <w:sz w:val="20"/>
              </w:rPr>
              <w:t>0.6</w:t>
            </w:r>
            <w:r w:rsidR="00A0513C">
              <w:rPr>
                <w:rFonts w:ascii="Times New Roman" w:hAnsi="Times New Roman" w:cs="Times New Roman"/>
                <w:color w:val="000000"/>
                <w:sz w:val="20"/>
              </w:rPr>
              <w:t>5</w:t>
            </w:r>
            <w:r w:rsidRPr="003A3DEB">
              <w:rPr>
                <w:rFonts w:ascii="Times New Roman" w:hAnsi="Times New Roman" w:cs="Times New Roman"/>
                <w:color w:val="000000"/>
                <w:sz w:val="20"/>
              </w:rPr>
              <w:t>* (0.6</w:t>
            </w:r>
            <w:r w:rsidR="00A0513C">
              <w:rPr>
                <w:rFonts w:ascii="Times New Roman" w:hAnsi="Times New Roman" w:cs="Times New Roman"/>
                <w:color w:val="000000"/>
                <w:sz w:val="20"/>
              </w:rPr>
              <w:t>4</w:t>
            </w:r>
            <w:r w:rsidRPr="003A3DEB">
              <w:rPr>
                <w:rFonts w:ascii="Times New Roman" w:hAnsi="Times New Roman" w:cs="Times New Roman"/>
                <w:color w:val="000000"/>
                <w:sz w:val="20"/>
              </w:rPr>
              <w:t xml:space="preserve"> – 0.6</w:t>
            </w:r>
            <w:r w:rsidR="00A0513C">
              <w:rPr>
                <w:rFonts w:ascii="Times New Roman" w:hAnsi="Times New Roman" w:cs="Times New Roman"/>
                <w:color w:val="000000"/>
                <w:sz w:val="20"/>
              </w:rPr>
              <w:t>7</w:t>
            </w:r>
            <w:r w:rsidRPr="003A3DEB">
              <w:rPr>
                <w:rFonts w:ascii="Times New Roman" w:hAnsi="Times New Roman" w:cs="Times New Roman"/>
                <w:color w:val="000000"/>
                <w:sz w:val="20"/>
              </w:rPr>
              <w:t>)</w:t>
            </w:r>
          </w:p>
        </w:tc>
      </w:tr>
      <w:tr w:rsidR="005534E6" w:rsidRPr="003A3DEB" w14:paraId="1C4F3A2A" w14:textId="77777777" w:rsidTr="005534E6">
        <w:tc>
          <w:tcPr>
            <w:tcW w:w="2362" w:type="dxa"/>
            <w:vAlign w:val="center"/>
          </w:tcPr>
          <w:p w14:paraId="1711685F"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Stable Q2</w:t>
            </w:r>
          </w:p>
        </w:tc>
        <w:tc>
          <w:tcPr>
            <w:tcW w:w="2362" w:type="dxa"/>
            <w:vAlign w:val="center"/>
          </w:tcPr>
          <w:p w14:paraId="11DDBB96"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02723061"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71B6A644"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07158548"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5FA6C7E3" w14:textId="730366E1" w:rsidR="005534E6" w:rsidRPr="003A3DEB" w:rsidRDefault="005534E6" w:rsidP="00A0513C">
            <w:pPr>
              <w:jc w:val="center"/>
              <w:rPr>
                <w:rFonts w:ascii="Times New Roman" w:hAnsi="Times New Roman" w:cs="Times New Roman"/>
                <w:color w:val="000000"/>
                <w:sz w:val="20"/>
              </w:rPr>
            </w:pPr>
            <w:r w:rsidRPr="003A3DEB">
              <w:rPr>
                <w:rFonts w:ascii="Times New Roman" w:hAnsi="Times New Roman" w:cs="Times New Roman"/>
                <w:color w:val="000000"/>
                <w:sz w:val="20"/>
              </w:rPr>
              <w:t>0.7</w:t>
            </w:r>
            <w:r w:rsidR="00A0513C">
              <w:rPr>
                <w:rFonts w:ascii="Times New Roman" w:hAnsi="Times New Roman" w:cs="Times New Roman"/>
                <w:color w:val="000000"/>
                <w:sz w:val="20"/>
              </w:rPr>
              <w:t>3</w:t>
            </w:r>
            <w:r w:rsidRPr="003A3DEB">
              <w:rPr>
                <w:rFonts w:ascii="Times New Roman" w:hAnsi="Times New Roman" w:cs="Times New Roman"/>
                <w:color w:val="000000"/>
                <w:sz w:val="20"/>
              </w:rPr>
              <w:t>* (0.7</w:t>
            </w:r>
            <w:r w:rsidR="00A0513C">
              <w:rPr>
                <w:rFonts w:ascii="Times New Roman" w:hAnsi="Times New Roman" w:cs="Times New Roman"/>
                <w:color w:val="000000"/>
                <w:sz w:val="20"/>
              </w:rPr>
              <w:t>2</w:t>
            </w:r>
            <w:r w:rsidRPr="003A3DEB">
              <w:rPr>
                <w:rFonts w:ascii="Times New Roman" w:hAnsi="Times New Roman" w:cs="Times New Roman"/>
                <w:color w:val="000000"/>
                <w:sz w:val="20"/>
              </w:rPr>
              <w:t xml:space="preserve"> – 0.7</w:t>
            </w:r>
            <w:r w:rsidR="00A0513C">
              <w:rPr>
                <w:rFonts w:ascii="Times New Roman" w:hAnsi="Times New Roman" w:cs="Times New Roman"/>
                <w:color w:val="000000"/>
                <w:sz w:val="20"/>
              </w:rPr>
              <w:t>5</w:t>
            </w:r>
            <w:r w:rsidRPr="003A3DEB">
              <w:rPr>
                <w:rFonts w:ascii="Times New Roman" w:hAnsi="Times New Roman" w:cs="Times New Roman"/>
                <w:color w:val="000000"/>
                <w:sz w:val="20"/>
              </w:rPr>
              <w:t>)</w:t>
            </w:r>
          </w:p>
        </w:tc>
      </w:tr>
      <w:tr w:rsidR="005534E6" w:rsidRPr="003A3DEB" w14:paraId="37F49E81" w14:textId="77777777" w:rsidTr="005534E6">
        <w:tc>
          <w:tcPr>
            <w:tcW w:w="2362" w:type="dxa"/>
            <w:vAlign w:val="center"/>
          </w:tcPr>
          <w:p w14:paraId="267729E9"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Stable Q3</w:t>
            </w:r>
          </w:p>
        </w:tc>
        <w:tc>
          <w:tcPr>
            <w:tcW w:w="2362" w:type="dxa"/>
            <w:vAlign w:val="center"/>
          </w:tcPr>
          <w:p w14:paraId="448FA284"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555A77BF"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0AB0B368"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37DF482A"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0BE0539E" w14:textId="552D8C26" w:rsidR="005534E6" w:rsidRPr="003A3DEB" w:rsidRDefault="005534E6" w:rsidP="00A0513C">
            <w:pPr>
              <w:jc w:val="center"/>
              <w:rPr>
                <w:rFonts w:ascii="Times New Roman" w:hAnsi="Times New Roman" w:cs="Times New Roman"/>
                <w:color w:val="000000"/>
                <w:sz w:val="20"/>
              </w:rPr>
            </w:pPr>
            <w:r w:rsidRPr="003A3DEB">
              <w:rPr>
                <w:rFonts w:ascii="Times New Roman" w:hAnsi="Times New Roman" w:cs="Times New Roman"/>
                <w:color w:val="000000"/>
                <w:sz w:val="20"/>
              </w:rPr>
              <w:t>0.</w:t>
            </w:r>
            <w:r w:rsidR="00A0513C">
              <w:rPr>
                <w:rFonts w:ascii="Times New Roman" w:hAnsi="Times New Roman" w:cs="Times New Roman"/>
                <w:color w:val="000000"/>
                <w:sz w:val="20"/>
              </w:rPr>
              <w:t>81</w:t>
            </w:r>
            <w:r w:rsidRPr="003A3DEB">
              <w:rPr>
                <w:rFonts w:ascii="Times New Roman" w:hAnsi="Times New Roman" w:cs="Times New Roman"/>
                <w:color w:val="000000"/>
                <w:sz w:val="20"/>
              </w:rPr>
              <w:t>* (0.7</w:t>
            </w:r>
            <w:r w:rsidR="00A0513C">
              <w:rPr>
                <w:rFonts w:ascii="Times New Roman" w:hAnsi="Times New Roman" w:cs="Times New Roman"/>
                <w:color w:val="000000"/>
                <w:sz w:val="20"/>
              </w:rPr>
              <w:t>9</w:t>
            </w:r>
            <w:r w:rsidRPr="003A3DEB">
              <w:rPr>
                <w:rFonts w:ascii="Times New Roman" w:hAnsi="Times New Roman" w:cs="Times New Roman"/>
                <w:color w:val="000000"/>
                <w:sz w:val="20"/>
              </w:rPr>
              <w:t xml:space="preserve"> – 0.8</w:t>
            </w:r>
            <w:r w:rsidR="00A0513C">
              <w:rPr>
                <w:rFonts w:ascii="Times New Roman" w:hAnsi="Times New Roman" w:cs="Times New Roman"/>
                <w:color w:val="000000"/>
                <w:sz w:val="20"/>
              </w:rPr>
              <w:t>2</w:t>
            </w:r>
            <w:r w:rsidRPr="003A3DEB">
              <w:rPr>
                <w:rFonts w:ascii="Times New Roman" w:hAnsi="Times New Roman" w:cs="Times New Roman"/>
                <w:color w:val="000000"/>
                <w:sz w:val="20"/>
              </w:rPr>
              <w:t>)</w:t>
            </w:r>
          </w:p>
        </w:tc>
      </w:tr>
      <w:tr w:rsidR="005534E6" w:rsidRPr="003A3DEB" w14:paraId="436B718F" w14:textId="77777777" w:rsidTr="005534E6">
        <w:tc>
          <w:tcPr>
            <w:tcW w:w="2362" w:type="dxa"/>
            <w:vAlign w:val="center"/>
          </w:tcPr>
          <w:p w14:paraId="3E7186FE"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Stable Q4</w:t>
            </w:r>
          </w:p>
        </w:tc>
        <w:tc>
          <w:tcPr>
            <w:tcW w:w="2362" w:type="dxa"/>
            <w:vAlign w:val="center"/>
          </w:tcPr>
          <w:p w14:paraId="245486BB"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59C18036"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6F606E02"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61692D1F"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1AF4FBC5" w14:textId="35365A56" w:rsidR="005534E6" w:rsidRPr="003A3DEB" w:rsidRDefault="005534E6" w:rsidP="00A0513C">
            <w:pPr>
              <w:jc w:val="center"/>
              <w:rPr>
                <w:rFonts w:ascii="Times New Roman" w:hAnsi="Times New Roman" w:cs="Times New Roman"/>
                <w:color w:val="000000"/>
                <w:sz w:val="20"/>
              </w:rPr>
            </w:pPr>
            <w:r w:rsidRPr="003A3DEB">
              <w:rPr>
                <w:rFonts w:ascii="Times New Roman" w:hAnsi="Times New Roman" w:cs="Times New Roman"/>
                <w:color w:val="000000"/>
                <w:sz w:val="20"/>
              </w:rPr>
              <w:t>0.8</w:t>
            </w:r>
            <w:r w:rsidR="00A0513C">
              <w:rPr>
                <w:rFonts w:ascii="Times New Roman" w:hAnsi="Times New Roman" w:cs="Times New Roman"/>
                <w:color w:val="000000"/>
                <w:sz w:val="20"/>
              </w:rPr>
              <w:t>9</w:t>
            </w:r>
            <w:r w:rsidRPr="003A3DEB">
              <w:rPr>
                <w:rFonts w:ascii="Times New Roman" w:hAnsi="Times New Roman" w:cs="Times New Roman"/>
                <w:color w:val="000000"/>
                <w:sz w:val="20"/>
              </w:rPr>
              <w:t>* (0.8</w:t>
            </w:r>
            <w:r w:rsidR="00A0513C">
              <w:rPr>
                <w:rFonts w:ascii="Times New Roman" w:hAnsi="Times New Roman" w:cs="Times New Roman"/>
                <w:color w:val="000000"/>
                <w:sz w:val="20"/>
              </w:rPr>
              <w:t>7</w:t>
            </w:r>
            <w:r w:rsidRPr="003A3DEB">
              <w:rPr>
                <w:rFonts w:ascii="Times New Roman" w:hAnsi="Times New Roman" w:cs="Times New Roman"/>
                <w:color w:val="000000"/>
                <w:sz w:val="20"/>
              </w:rPr>
              <w:t xml:space="preserve"> – 0.</w:t>
            </w:r>
            <w:r w:rsidR="00A0513C">
              <w:rPr>
                <w:rFonts w:ascii="Times New Roman" w:hAnsi="Times New Roman" w:cs="Times New Roman"/>
                <w:color w:val="000000"/>
                <w:sz w:val="20"/>
              </w:rPr>
              <w:t>90</w:t>
            </w:r>
            <w:r w:rsidRPr="003A3DEB">
              <w:rPr>
                <w:rFonts w:ascii="Times New Roman" w:hAnsi="Times New Roman" w:cs="Times New Roman"/>
                <w:color w:val="000000"/>
                <w:sz w:val="20"/>
              </w:rPr>
              <w:t>)</w:t>
            </w:r>
          </w:p>
        </w:tc>
      </w:tr>
      <w:tr w:rsidR="005534E6" w:rsidRPr="003A3DEB" w14:paraId="0C21E48C" w14:textId="77777777" w:rsidTr="005534E6">
        <w:tc>
          <w:tcPr>
            <w:tcW w:w="2362" w:type="dxa"/>
            <w:vAlign w:val="center"/>
          </w:tcPr>
          <w:p w14:paraId="0BF04F3F" w14:textId="77777777" w:rsidR="005534E6" w:rsidRPr="003A3DEB" w:rsidRDefault="005534E6" w:rsidP="005534E6">
            <w:pPr>
              <w:jc w:val="right"/>
              <w:rPr>
                <w:rFonts w:ascii="Times New Roman" w:hAnsi="Times New Roman" w:cs="Times New Roman"/>
                <w:sz w:val="20"/>
              </w:rPr>
            </w:pPr>
            <w:r w:rsidRPr="003A3DEB">
              <w:rPr>
                <w:rFonts w:ascii="Times New Roman" w:hAnsi="Times New Roman" w:cs="Times New Roman"/>
                <w:sz w:val="20"/>
              </w:rPr>
              <w:t>Stable Q5</w:t>
            </w:r>
          </w:p>
        </w:tc>
        <w:tc>
          <w:tcPr>
            <w:tcW w:w="2362" w:type="dxa"/>
            <w:vAlign w:val="center"/>
          </w:tcPr>
          <w:p w14:paraId="1D1CE4A1"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787BA590" w14:textId="77777777" w:rsidR="005534E6" w:rsidRPr="003A3DEB" w:rsidRDefault="005534E6" w:rsidP="005534E6">
            <w:pPr>
              <w:jc w:val="center"/>
              <w:rPr>
                <w:rFonts w:ascii="Times New Roman" w:hAnsi="Times New Roman" w:cs="Times New Roman"/>
                <w:sz w:val="20"/>
              </w:rPr>
            </w:pPr>
          </w:p>
        </w:tc>
        <w:tc>
          <w:tcPr>
            <w:tcW w:w="2362" w:type="dxa"/>
            <w:vAlign w:val="center"/>
          </w:tcPr>
          <w:p w14:paraId="3A8B848B"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15688C4F" w14:textId="77777777" w:rsidR="005534E6" w:rsidRPr="003A3DEB" w:rsidRDefault="005534E6" w:rsidP="005534E6">
            <w:pPr>
              <w:jc w:val="center"/>
              <w:rPr>
                <w:rFonts w:ascii="Times New Roman" w:hAnsi="Times New Roman" w:cs="Times New Roman"/>
                <w:sz w:val="20"/>
              </w:rPr>
            </w:pPr>
          </w:p>
        </w:tc>
        <w:tc>
          <w:tcPr>
            <w:tcW w:w="2363" w:type="dxa"/>
            <w:vAlign w:val="center"/>
          </w:tcPr>
          <w:p w14:paraId="66DB74EF" w14:textId="57FC6BD6" w:rsidR="005534E6" w:rsidRPr="003A3DEB" w:rsidRDefault="005534E6" w:rsidP="00A0513C">
            <w:pPr>
              <w:jc w:val="center"/>
              <w:rPr>
                <w:rFonts w:ascii="Times New Roman" w:hAnsi="Times New Roman" w:cs="Times New Roman"/>
                <w:color w:val="000000"/>
                <w:sz w:val="20"/>
              </w:rPr>
            </w:pPr>
            <w:r w:rsidRPr="003A3DEB">
              <w:rPr>
                <w:rFonts w:ascii="Times New Roman" w:hAnsi="Times New Roman" w:cs="Times New Roman"/>
                <w:color w:val="000000"/>
                <w:sz w:val="20"/>
              </w:rPr>
              <w:t>0.9</w:t>
            </w:r>
            <w:r w:rsidR="00A0513C">
              <w:rPr>
                <w:rFonts w:ascii="Times New Roman" w:hAnsi="Times New Roman" w:cs="Times New Roman"/>
                <w:color w:val="000000"/>
                <w:sz w:val="20"/>
              </w:rPr>
              <w:t>4</w:t>
            </w:r>
            <w:r w:rsidRPr="003A3DEB">
              <w:rPr>
                <w:rFonts w:ascii="Times New Roman" w:hAnsi="Times New Roman" w:cs="Times New Roman"/>
                <w:color w:val="000000"/>
                <w:sz w:val="20"/>
              </w:rPr>
              <w:t>* (0.9</w:t>
            </w:r>
            <w:r w:rsidR="00A0513C">
              <w:rPr>
                <w:rFonts w:ascii="Times New Roman" w:hAnsi="Times New Roman" w:cs="Times New Roman"/>
                <w:color w:val="000000"/>
                <w:sz w:val="20"/>
              </w:rPr>
              <w:t>2</w:t>
            </w:r>
            <w:r w:rsidRPr="003A3DEB">
              <w:rPr>
                <w:rFonts w:ascii="Times New Roman" w:hAnsi="Times New Roman" w:cs="Times New Roman"/>
                <w:color w:val="000000"/>
                <w:sz w:val="20"/>
              </w:rPr>
              <w:t xml:space="preserve"> – 0.9</w:t>
            </w:r>
            <w:r w:rsidR="00A0513C">
              <w:rPr>
                <w:rFonts w:ascii="Times New Roman" w:hAnsi="Times New Roman" w:cs="Times New Roman"/>
                <w:color w:val="000000"/>
                <w:sz w:val="20"/>
              </w:rPr>
              <w:t>6</w:t>
            </w:r>
            <w:r w:rsidRPr="003A3DEB">
              <w:rPr>
                <w:rFonts w:ascii="Times New Roman" w:hAnsi="Times New Roman" w:cs="Times New Roman"/>
                <w:color w:val="000000"/>
                <w:sz w:val="20"/>
              </w:rPr>
              <w:t>)</w:t>
            </w:r>
          </w:p>
        </w:tc>
      </w:tr>
    </w:tbl>
    <w:p w14:paraId="344A7BE8" w14:textId="6E98D96B" w:rsidR="00871C96" w:rsidRDefault="00871C96" w:rsidP="00871C96">
      <w:pPr>
        <w:spacing w:line="480" w:lineRule="auto"/>
        <w:jc w:val="both"/>
        <w:rPr>
          <w:rFonts w:ascii="Times New Roman" w:hAnsi="Times New Roman" w:cs="Times New Roman"/>
        </w:rPr>
      </w:pPr>
      <w:r>
        <w:rPr>
          <w:rFonts w:ascii="Times New Roman" w:hAnsi="Times New Roman" w:cs="Times New Roman"/>
        </w:rPr>
        <w:t>Note: statistically signi</w:t>
      </w:r>
      <w:r w:rsidR="005534E6">
        <w:rPr>
          <w:rFonts w:ascii="Times New Roman" w:hAnsi="Times New Roman" w:cs="Times New Roman"/>
        </w:rPr>
        <w:t>ficant ORs are starred: p &lt; 0.001</w:t>
      </w:r>
      <w:r w:rsidR="000770E5">
        <w:rPr>
          <w:rFonts w:ascii="Times New Roman" w:hAnsi="Times New Roman" w:cs="Times New Roman"/>
        </w:rPr>
        <w:t>.</w:t>
      </w:r>
    </w:p>
    <w:p w14:paraId="2880487A" w14:textId="77777777" w:rsidR="00871C96" w:rsidRDefault="00871C96" w:rsidP="00871C96">
      <w:pPr>
        <w:spacing w:line="480" w:lineRule="auto"/>
        <w:rPr>
          <w:rFonts w:ascii="Times New Roman" w:hAnsi="Times New Roman" w:cs="Times New Roman"/>
        </w:rPr>
      </w:pPr>
      <w:r>
        <w:rPr>
          <w:rFonts w:ascii="Times New Roman" w:hAnsi="Times New Roman" w:cs="Times New Roman"/>
        </w:rPr>
        <w:br w:type="page"/>
      </w:r>
    </w:p>
    <w:p w14:paraId="5C6937F3" w14:textId="77777777" w:rsidR="00871C96" w:rsidRDefault="00871C96" w:rsidP="00871C96">
      <w:pPr>
        <w:spacing w:line="480" w:lineRule="auto"/>
        <w:jc w:val="both"/>
        <w:rPr>
          <w:rFonts w:ascii="Times New Roman" w:hAnsi="Times New Roman" w:cs="Times New Roman"/>
        </w:rPr>
        <w:sectPr w:rsidR="00871C96" w:rsidSect="00064025">
          <w:pgSz w:w="16838" w:h="11906" w:orient="landscape"/>
          <w:pgMar w:top="1440" w:right="1440" w:bottom="1440" w:left="1440" w:header="709" w:footer="709" w:gutter="0"/>
          <w:lnNumType w:countBy="1" w:restart="continuous"/>
          <w:cols w:space="708"/>
          <w:docGrid w:linePitch="360"/>
        </w:sectPr>
      </w:pPr>
    </w:p>
    <w:p w14:paraId="4B9457FE" w14:textId="2C3A9155" w:rsidR="00871C96" w:rsidRDefault="00206D56" w:rsidP="00871C96">
      <w:pPr>
        <w:spacing w:line="480" w:lineRule="auto"/>
        <w:jc w:val="both"/>
        <w:rPr>
          <w:rFonts w:ascii="Times New Roman" w:hAnsi="Times New Roman" w:cs="Times New Roman"/>
        </w:rPr>
      </w:pPr>
      <w:r>
        <w:rPr>
          <w:rFonts w:ascii="Times New Roman" w:hAnsi="Times New Roman" w:cs="Times New Roman"/>
        </w:rPr>
        <w:lastRenderedPageBreak/>
        <w:t xml:space="preserve">Adjusting </w:t>
      </w:r>
      <w:r w:rsidR="00871C96">
        <w:rPr>
          <w:rFonts w:ascii="Times New Roman" w:hAnsi="Times New Roman" w:cs="Times New Roman"/>
        </w:rPr>
        <w:t xml:space="preserve">for residential or deprivation mobility has a more discernible impact on the ORs for certain ethnic groups. Across all five models, the highest odds of CVD are consistently observed for </w:t>
      </w:r>
      <w:r w:rsidR="00D85309">
        <w:rPr>
          <w:rFonts w:ascii="Times New Roman" w:hAnsi="Times New Roman" w:cs="Times New Roman"/>
        </w:rPr>
        <w:t>Māori</w:t>
      </w:r>
      <w:r w:rsidR="00871C96">
        <w:rPr>
          <w:rFonts w:ascii="Times New Roman" w:hAnsi="Times New Roman" w:cs="Times New Roman"/>
        </w:rPr>
        <w:t xml:space="preserve"> groups, ranging from </w:t>
      </w:r>
      <w:r w:rsidR="00026D9C">
        <w:rPr>
          <w:rFonts w:ascii="Times New Roman" w:hAnsi="Times New Roman" w:cs="Times New Roman"/>
        </w:rPr>
        <w:t xml:space="preserve">an OR of </w:t>
      </w:r>
      <w:r w:rsidR="00871C96">
        <w:rPr>
          <w:rFonts w:ascii="Times New Roman" w:hAnsi="Times New Roman" w:cs="Times New Roman"/>
        </w:rPr>
        <w:t>2.2</w:t>
      </w:r>
      <w:r w:rsidR="00026D9C">
        <w:rPr>
          <w:rFonts w:ascii="Times New Roman" w:hAnsi="Times New Roman" w:cs="Times New Roman"/>
        </w:rPr>
        <w:t>6</w:t>
      </w:r>
      <w:r w:rsidR="00871C96">
        <w:rPr>
          <w:rFonts w:ascii="Times New Roman" w:hAnsi="Times New Roman" w:cs="Times New Roman"/>
        </w:rPr>
        <w:t xml:space="preserve"> (</w:t>
      </w:r>
      <w:r w:rsidR="00026D9C">
        <w:rPr>
          <w:rFonts w:ascii="Times New Roman" w:hAnsi="Times New Roman" w:cs="Times New Roman"/>
        </w:rPr>
        <w:t xml:space="preserve">95% CI </w:t>
      </w:r>
      <w:r w:rsidR="00871C96">
        <w:rPr>
          <w:rFonts w:ascii="Times New Roman" w:hAnsi="Times New Roman" w:cs="Times New Roman"/>
        </w:rPr>
        <w:t>2.</w:t>
      </w:r>
      <w:r w:rsidR="00026D9C">
        <w:rPr>
          <w:rFonts w:ascii="Times New Roman" w:hAnsi="Times New Roman" w:cs="Times New Roman"/>
        </w:rPr>
        <w:t>21</w:t>
      </w:r>
      <w:r w:rsidR="00871C96">
        <w:rPr>
          <w:rFonts w:ascii="Times New Roman" w:hAnsi="Times New Roman" w:cs="Times New Roman"/>
        </w:rPr>
        <w:t>-2.</w:t>
      </w:r>
      <w:r w:rsidR="00026D9C">
        <w:rPr>
          <w:rFonts w:ascii="Times New Roman" w:hAnsi="Times New Roman" w:cs="Times New Roman"/>
        </w:rPr>
        <w:t>30</w:t>
      </w:r>
      <w:r w:rsidR="00871C96">
        <w:rPr>
          <w:rFonts w:ascii="Times New Roman" w:hAnsi="Times New Roman" w:cs="Times New Roman"/>
        </w:rPr>
        <w:t>) in model</w:t>
      </w:r>
      <w:r w:rsidR="00026D9C">
        <w:rPr>
          <w:rFonts w:ascii="Times New Roman" w:hAnsi="Times New Roman" w:cs="Times New Roman"/>
        </w:rPr>
        <w:t xml:space="preserve"> </w:t>
      </w:r>
      <w:r w:rsidR="00871C96">
        <w:rPr>
          <w:rFonts w:ascii="Times New Roman" w:hAnsi="Times New Roman" w:cs="Times New Roman"/>
        </w:rPr>
        <w:t>3 to 1.9</w:t>
      </w:r>
      <w:r w:rsidR="00026D9C">
        <w:rPr>
          <w:rFonts w:ascii="Times New Roman" w:hAnsi="Times New Roman" w:cs="Times New Roman"/>
        </w:rPr>
        <w:t>7</w:t>
      </w:r>
      <w:r w:rsidR="00871C96">
        <w:rPr>
          <w:rFonts w:ascii="Times New Roman" w:hAnsi="Times New Roman" w:cs="Times New Roman"/>
        </w:rPr>
        <w:t xml:space="preserve"> (1.9</w:t>
      </w:r>
      <w:r w:rsidR="00026D9C">
        <w:rPr>
          <w:rFonts w:ascii="Times New Roman" w:hAnsi="Times New Roman" w:cs="Times New Roman"/>
        </w:rPr>
        <w:t>3</w:t>
      </w:r>
      <w:r w:rsidR="00871C96">
        <w:rPr>
          <w:rFonts w:ascii="Times New Roman" w:hAnsi="Times New Roman" w:cs="Times New Roman"/>
        </w:rPr>
        <w:t>-2.0</w:t>
      </w:r>
      <w:r w:rsidR="00026D9C">
        <w:rPr>
          <w:rFonts w:ascii="Times New Roman" w:hAnsi="Times New Roman" w:cs="Times New Roman"/>
        </w:rPr>
        <w:t>1</w:t>
      </w:r>
      <w:r w:rsidR="00871C96">
        <w:rPr>
          <w:rFonts w:ascii="Times New Roman" w:hAnsi="Times New Roman" w:cs="Times New Roman"/>
        </w:rPr>
        <w:t xml:space="preserve">) in model 2. The odds of </w:t>
      </w:r>
      <w:r w:rsidR="00D85309">
        <w:rPr>
          <w:rFonts w:ascii="Times New Roman" w:hAnsi="Times New Roman" w:cs="Times New Roman"/>
        </w:rPr>
        <w:t>Māori</w:t>
      </w:r>
      <w:r w:rsidR="00871C96">
        <w:rPr>
          <w:rFonts w:ascii="Times New Roman" w:hAnsi="Times New Roman" w:cs="Times New Roman"/>
        </w:rPr>
        <w:t xml:space="preserve"> having CVD, however, are attenuated by baseline deprivation, evident in the reduction of the odds of CVD for </w:t>
      </w:r>
      <w:r w:rsidR="00D85309">
        <w:rPr>
          <w:rFonts w:ascii="Times New Roman" w:hAnsi="Times New Roman" w:cs="Times New Roman"/>
        </w:rPr>
        <w:t>Māori</w:t>
      </w:r>
      <w:r w:rsidR="00871C96">
        <w:rPr>
          <w:rFonts w:ascii="Times New Roman" w:hAnsi="Times New Roman" w:cs="Times New Roman"/>
        </w:rPr>
        <w:t xml:space="preserve"> in model 2 compared to the other models. Models 1, 3, 4 and 5 all suggest that the odds of </w:t>
      </w:r>
      <w:r w:rsidR="00D85309">
        <w:rPr>
          <w:rFonts w:ascii="Times New Roman" w:hAnsi="Times New Roman" w:cs="Times New Roman"/>
        </w:rPr>
        <w:t>Māori</w:t>
      </w:r>
      <w:r w:rsidR="00871C96">
        <w:rPr>
          <w:rFonts w:ascii="Times New Roman" w:hAnsi="Times New Roman" w:cs="Times New Roman"/>
        </w:rPr>
        <w:t xml:space="preserve"> being hospitalised for CVD is more than twice that of NZEO. However, when adjusting for baseline deprivation the odds are significantly lower (1.9</w:t>
      </w:r>
      <w:r w:rsidR="00026D9C">
        <w:rPr>
          <w:rFonts w:ascii="Times New Roman" w:hAnsi="Times New Roman" w:cs="Times New Roman"/>
        </w:rPr>
        <w:t>7</w:t>
      </w:r>
      <w:r w:rsidR="00871C96">
        <w:rPr>
          <w:rFonts w:ascii="Times New Roman" w:hAnsi="Times New Roman" w:cs="Times New Roman"/>
        </w:rPr>
        <w:t xml:space="preserve">). The importance of baseline deprivation in explaining odds of CVD is not limited to </w:t>
      </w:r>
      <w:r w:rsidR="00D85309">
        <w:rPr>
          <w:rFonts w:ascii="Times New Roman" w:hAnsi="Times New Roman" w:cs="Times New Roman"/>
        </w:rPr>
        <w:t>Māori</w:t>
      </w:r>
      <w:r w:rsidR="00871C96">
        <w:rPr>
          <w:rFonts w:ascii="Times New Roman" w:hAnsi="Times New Roman" w:cs="Times New Roman"/>
        </w:rPr>
        <w:t xml:space="preserve">, as the odds of CVD also notably declines for Pacific and Indian participants in model 2. Baseline deprivation appears to exert a stronger influence on odds of CVD for each ethnic group than mover status alone. Indeed the ORs for each deprivation quintile are all significantly different from each other, increasing in size with increasing deprivation with Q2 at 1.14 (1.12-1.16) and Q5 climbing to 1.57 (1.54-1.59). </w:t>
      </w:r>
      <w:r w:rsidR="00026D9C">
        <w:rPr>
          <w:rFonts w:ascii="Times New Roman" w:hAnsi="Times New Roman" w:cs="Times New Roman"/>
        </w:rPr>
        <w:t>Odds of CVD for Māori and Pacific groups are more notably attenuated when adjusting for deprivation than the other ethnic groups. It is possible this is largely driven by the likelihood of Māori, Pacific, and to a lesser extent, Indian groups, living in more deprived areas as CVD is socially graded.</w:t>
      </w:r>
    </w:p>
    <w:p w14:paraId="150088A3" w14:textId="09D0AFE0" w:rsidR="00871C96" w:rsidRDefault="00026D9C" w:rsidP="00026D9C">
      <w:pPr>
        <w:spacing w:line="480" w:lineRule="auto"/>
        <w:jc w:val="both"/>
        <w:rPr>
          <w:rFonts w:ascii="Times New Roman" w:hAnsi="Times New Roman" w:cs="Times New Roman"/>
        </w:rPr>
      </w:pPr>
      <w:r>
        <w:rPr>
          <w:rFonts w:ascii="Times New Roman" w:hAnsi="Times New Roman" w:cs="Times New Roman"/>
        </w:rPr>
        <w:t xml:space="preserve">Results of models 4 and 5 further demonstrate the importance of deprivation in explaining risk of CVD for different ethnic groups. ORs are attenuated when adjusting for detailed deprivation transitions (model 4) and stable deprivation for stayers (model 5). </w:t>
      </w:r>
      <w:r w:rsidR="00871C96">
        <w:rPr>
          <w:rFonts w:ascii="Times New Roman" w:hAnsi="Times New Roman" w:cs="Times New Roman"/>
        </w:rPr>
        <w:t xml:space="preserve">Although the reduction in the ORs for each ethnic group is smaller in models 4 and 5 than observed in model 2, it is still notable. Despite the apparent importance of deprivation, it is important to note that even after adjusting for deprivation and deprivation transition, the odds of CVD for </w:t>
      </w:r>
      <w:r w:rsidR="00D85309">
        <w:rPr>
          <w:rFonts w:ascii="Times New Roman" w:hAnsi="Times New Roman" w:cs="Times New Roman"/>
        </w:rPr>
        <w:t>Māori</w:t>
      </w:r>
      <w:r w:rsidR="00871C96">
        <w:rPr>
          <w:rFonts w:ascii="Times New Roman" w:hAnsi="Times New Roman" w:cs="Times New Roman"/>
        </w:rPr>
        <w:t xml:space="preserve"> and Pacific groups are still notably high. Variables not adjusted for in these models, such as social class, tenure, education and employment may explain some of the variation observed here. The importance of these variables in relation to risk factors for CVD has been determined in the wider literature (e.g. </w:t>
      </w:r>
      <w:r w:rsidR="00871C96" w:rsidRPr="00E23043">
        <w:rPr>
          <w:rFonts w:ascii="Times New Roman" w:hAnsi="Times New Roman" w:cs="Times New Roman"/>
        </w:rPr>
        <w:t>Albert et al., 2006</w:t>
      </w:r>
      <w:r w:rsidR="00871C96">
        <w:rPr>
          <w:rFonts w:ascii="Times New Roman" w:hAnsi="Times New Roman" w:cs="Times New Roman"/>
        </w:rPr>
        <w:t xml:space="preserve">). </w:t>
      </w:r>
    </w:p>
    <w:p w14:paraId="50869521" w14:textId="18B976CF" w:rsidR="00871C96" w:rsidRDefault="00871C96" w:rsidP="00871C96">
      <w:pPr>
        <w:spacing w:line="480" w:lineRule="auto"/>
        <w:jc w:val="both"/>
        <w:rPr>
          <w:rFonts w:ascii="Times New Roman" w:hAnsi="Times New Roman" w:cs="Times New Roman"/>
        </w:rPr>
      </w:pPr>
      <w:r>
        <w:rPr>
          <w:rFonts w:ascii="Times New Roman" w:hAnsi="Times New Roman" w:cs="Times New Roman"/>
        </w:rPr>
        <w:t xml:space="preserve">After </w:t>
      </w:r>
      <w:r w:rsidR="00D85309">
        <w:rPr>
          <w:rFonts w:ascii="Times New Roman" w:hAnsi="Times New Roman" w:cs="Times New Roman"/>
        </w:rPr>
        <w:t>Māori</w:t>
      </w:r>
      <w:r>
        <w:rPr>
          <w:rFonts w:ascii="Times New Roman" w:hAnsi="Times New Roman" w:cs="Times New Roman"/>
        </w:rPr>
        <w:t xml:space="preserve">, Pacific people have the highest odds of CVD, followed by Indians. These three ethnic groups consistently have significantly higher odds of CVD than NZEO, whether adjusting for residential or deprivation mobility. Conversely, Other Asian peoples have significantly lower odds of </w:t>
      </w:r>
      <w:r>
        <w:rPr>
          <w:rFonts w:ascii="Times New Roman" w:hAnsi="Times New Roman" w:cs="Times New Roman"/>
        </w:rPr>
        <w:lastRenderedPageBreak/>
        <w:t xml:space="preserve">CVD relative to NZEO in all </w:t>
      </w:r>
      <w:r w:rsidR="00026D9C">
        <w:rPr>
          <w:rFonts w:ascii="Times New Roman" w:hAnsi="Times New Roman" w:cs="Times New Roman"/>
        </w:rPr>
        <w:t>five</w:t>
      </w:r>
      <w:r>
        <w:rPr>
          <w:rFonts w:ascii="Times New Roman" w:hAnsi="Times New Roman" w:cs="Times New Roman"/>
        </w:rPr>
        <w:t xml:space="preserve"> models. While the ORs for </w:t>
      </w:r>
      <w:r w:rsidR="00D85309">
        <w:rPr>
          <w:rFonts w:ascii="Times New Roman" w:hAnsi="Times New Roman" w:cs="Times New Roman"/>
        </w:rPr>
        <w:t>Māori</w:t>
      </w:r>
      <w:r>
        <w:rPr>
          <w:rFonts w:ascii="Times New Roman" w:hAnsi="Times New Roman" w:cs="Times New Roman"/>
        </w:rPr>
        <w:t xml:space="preserve">, Pacific and Indian peoples are attenuated when adjusting for residential or deprivation mobility, this is not true for Other Asians. </w:t>
      </w:r>
      <w:r w:rsidR="00026D9C">
        <w:rPr>
          <w:rFonts w:ascii="Times New Roman" w:hAnsi="Times New Roman" w:cs="Times New Roman"/>
        </w:rPr>
        <w:t>T</w:t>
      </w:r>
      <w:r>
        <w:rPr>
          <w:rFonts w:ascii="Times New Roman" w:hAnsi="Times New Roman" w:cs="Times New Roman"/>
        </w:rPr>
        <w:t>he odds of Other Asians being hospitalised for CVD are</w:t>
      </w:r>
      <w:r w:rsidR="00026D9C">
        <w:rPr>
          <w:rFonts w:ascii="Times New Roman" w:hAnsi="Times New Roman" w:cs="Times New Roman"/>
        </w:rPr>
        <w:t xml:space="preserve"> consistently</w:t>
      </w:r>
      <w:r>
        <w:rPr>
          <w:rFonts w:ascii="Times New Roman" w:hAnsi="Times New Roman" w:cs="Times New Roman"/>
        </w:rPr>
        <w:t xml:space="preserve"> about 45% less likely than for NZEO participants. </w:t>
      </w:r>
    </w:p>
    <w:p w14:paraId="5613EA81" w14:textId="38BB48AC" w:rsidR="00871C96" w:rsidRDefault="00871C96" w:rsidP="00871C96">
      <w:pPr>
        <w:spacing w:line="480" w:lineRule="auto"/>
        <w:jc w:val="both"/>
        <w:rPr>
          <w:rFonts w:ascii="Times New Roman" w:hAnsi="Times New Roman" w:cs="Times New Roman"/>
        </w:rPr>
      </w:pPr>
      <w:r>
        <w:rPr>
          <w:rFonts w:ascii="Times New Roman" w:hAnsi="Times New Roman" w:cs="Times New Roman"/>
        </w:rPr>
        <w:t xml:space="preserve">In models 1 and 2, movers have significantly higher odds of CVD than stayers </w:t>
      </w:r>
      <w:r w:rsidR="00026D9C">
        <w:rPr>
          <w:rFonts w:ascii="Times New Roman" w:hAnsi="Times New Roman" w:cs="Times New Roman"/>
        </w:rPr>
        <w:t>(</w:t>
      </w:r>
      <w:r>
        <w:rPr>
          <w:rFonts w:ascii="Times New Roman" w:hAnsi="Times New Roman" w:cs="Times New Roman"/>
        </w:rPr>
        <w:t>1.2</w:t>
      </w:r>
      <w:r w:rsidR="00026D9C">
        <w:rPr>
          <w:rFonts w:ascii="Times New Roman" w:hAnsi="Times New Roman" w:cs="Times New Roman"/>
        </w:rPr>
        <w:t>6</w:t>
      </w:r>
      <w:r>
        <w:rPr>
          <w:rFonts w:ascii="Times New Roman" w:hAnsi="Times New Roman" w:cs="Times New Roman"/>
        </w:rPr>
        <w:t xml:space="preserve"> (1.2</w:t>
      </w:r>
      <w:r w:rsidR="00A427A7">
        <w:rPr>
          <w:rFonts w:ascii="Times New Roman" w:hAnsi="Times New Roman" w:cs="Times New Roman"/>
        </w:rPr>
        <w:t>4</w:t>
      </w:r>
      <w:r>
        <w:rPr>
          <w:rFonts w:ascii="Times New Roman" w:hAnsi="Times New Roman" w:cs="Times New Roman"/>
        </w:rPr>
        <w:t>-1.</w:t>
      </w:r>
      <w:r w:rsidR="00A427A7">
        <w:rPr>
          <w:rFonts w:ascii="Times New Roman" w:hAnsi="Times New Roman" w:cs="Times New Roman"/>
        </w:rPr>
        <w:t>27</w:t>
      </w:r>
      <w:r>
        <w:rPr>
          <w:rFonts w:ascii="Times New Roman" w:hAnsi="Times New Roman" w:cs="Times New Roman"/>
        </w:rPr>
        <w:t xml:space="preserve">) when adjusting for baseline deprivation). There is no change in the size of the ORs or the size of the confidence interval between these two models. The influence of residential mobility on the odds of being hospitalised for CVD can also be seen in model 3: after adjusting for deprivation </w:t>
      </w:r>
      <w:r w:rsidR="00A427A7">
        <w:rPr>
          <w:rFonts w:ascii="Times New Roman" w:hAnsi="Times New Roman" w:cs="Times New Roman"/>
        </w:rPr>
        <w:t>mobility status</w:t>
      </w:r>
      <w:r>
        <w:rPr>
          <w:rFonts w:ascii="Times New Roman" w:hAnsi="Times New Roman" w:cs="Times New Roman"/>
        </w:rPr>
        <w:t xml:space="preserve">, the odds of CVD are significantly higher for movers </w:t>
      </w:r>
      <w:r w:rsidR="00A427A7">
        <w:rPr>
          <w:rFonts w:ascii="Times New Roman" w:hAnsi="Times New Roman" w:cs="Times New Roman"/>
        </w:rPr>
        <w:t>regardless of their deprivation mobility status. Further, the odds of</w:t>
      </w:r>
      <w:r>
        <w:rPr>
          <w:rFonts w:ascii="Times New Roman" w:hAnsi="Times New Roman" w:cs="Times New Roman"/>
        </w:rPr>
        <w:t xml:space="preserve"> CVD for these differently mobile groups are not significantly different from each other. However, as demonstrated in model 4, the odds of CVD are influenced by d</w:t>
      </w:r>
      <w:r w:rsidR="00A427A7">
        <w:rPr>
          <w:rFonts w:ascii="Times New Roman" w:hAnsi="Times New Roman" w:cs="Times New Roman"/>
        </w:rPr>
        <w:t>etailed d</w:t>
      </w:r>
      <w:r>
        <w:rPr>
          <w:rFonts w:ascii="Times New Roman" w:hAnsi="Times New Roman" w:cs="Times New Roman"/>
        </w:rPr>
        <w:t>eprivation transition</w:t>
      </w:r>
      <w:r w:rsidR="00A427A7">
        <w:rPr>
          <w:rFonts w:ascii="Times New Roman" w:hAnsi="Times New Roman" w:cs="Times New Roman"/>
        </w:rPr>
        <w:t xml:space="preserve">: variations begin to emerge when looking at residential mobility in the context of transitions into and out of the extremes of the deprivation spectrum. </w:t>
      </w:r>
    </w:p>
    <w:p w14:paraId="551836B2" w14:textId="7D10103F" w:rsidR="00871C96" w:rsidRDefault="00871C96" w:rsidP="00871C96">
      <w:pPr>
        <w:spacing w:line="480" w:lineRule="auto"/>
        <w:jc w:val="both"/>
        <w:rPr>
          <w:rFonts w:ascii="Times New Roman" w:hAnsi="Times New Roman" w:cs="Times New Roman"/>
        </w:rPr>
      </w:pPr>
      <w:r>
        <w:rPr>
          <w:rFonts w:ascii="Times New Roman" w:hAnsi="Times New Roman" w:cs="Times New Roman"/>
        </w:rPr>
        <w:t>Movers who churn within the least deprived quintile (Q1) are the only mobile group to have significantly lower odds of CVD than stayers (0.8</w:t>
      </w:r>
      <w:r w:rsidR="00A427A7">
        <w:rPr>
          <w:rFonts w:ascii="Times New Roman" w:hAnsi="Times New Roman" w:cs="Times New Roman"/>
        </w:rPr>
        <w:t>8</w:t>
      </w:r>
      <w:r>
        <w:rPr>
          <w:rFonts w:ascii="Times New Roman" w:hAnsi="Times New Roman" w:cs="Times New Roman"/>
        </w:rPr>
        <w:t xml:space="preserve"> (0.</w:t>
      </w:r>
      <w:r w:rsidR="00A427A7">
        <w:rPr>
          <w:rFonts w:ascii="Times New Roman" w:hAnsi="Times New Roman" w:cs="Times New Roman"/>
        </w:rPr>
        <w:t>85</w:t>
      </w:r>
      <w:r>
        <w:rPr>
          <w:rFonts w:ascii="Times New Roman" w:hAnsi="Times New Roman" w:cs="Times New Roman"/>
        </w:rPr>
        <w:t>-0.</w:t>
      </w:r>
      <w:r w:rsidR="00A427A7">
        <w:rPr>
          <w:rFonts w:ascii="Times New Roman" w:hAnsi="Times New Roman" w:cs="Times New Roman"/>
        </w:rPr>
        <w:t>91</w:t>
      </w:r>
      <w:r>
        <w:rPr>
          <w:rFonts w:ascii="Times New Roman" w:hAnsi="Times New Roman" w:cs="Times New Roman"/>
        </w:rPr>
        <w:t>)). Model 4 shows that the odds of CVD generally increases successively with each transition down the deprivation spectrum. Of those moving within the same deprivation quintile (i.e. churning), the highest odds of CVD are for those churning within the most deprived quintile (Q5) (1.71 (1.66-1.76)), followed by those who move out of or into Q5. There is no significant difference in the odds of CVD among those moving into Q5 (1.</w:t>
      </w:r>
      <w:r w:rsidR="00A427A7">
        <w:rPr>
          <w:rFonts w:ascii="Times New Roman" w:hAnsi="Times New Roman" w:cs="Times New Roman"/>
        </w:rPr>
        <w:t>52</w:t>
      </w:r>
      <w:r>
        <w:rPr>
          <w:rFonts w:ascii="Times New Roman" w:hAnsi="Times New Roman" w:cs="Times New Roman"/>
        </w:rPr>
        <w:t xml:space="preserve"> (1.4</w:t>
      </w:r>
      <w:r w:rsidR="00A427A7">
        <w:rPr>
          <w:rFonts w:ascii="Times New Roman" w:hAnsi="Times New Roman" w:cs="Times New Roman"/>
        </w:rPr>
        <w:t>8</w:t>
      </w:r>
      <w:r>
        <w:rPr>
          <w:rFonts w:ascii="Times New Roman" w:hAnsi="Times New Roman" w:cs="Times New Roman"/>
        </w:rPr>
        <w:t>-1.5</w:t>
      </w:r>
      <w:r w:rsidR="00A427A7">
        <w:rPr>
          <w:rFonts w:ascii="Times New Roman" w:hAnsi="Times New Roman" w:cs="Times New Roman"/>
        </w:rPr>
        <w:t>6</w:t>
      </w:r>
      <w:r>
        <w:rPr>
          <w:rFonts w:ascii="Times New Roman" w:hAnsi="Times New Roman" w:cs="Times New Roman"/>
        </w:rPr>
        <w:t>)) or out of Q5 (1.</w:t>
      </w:r>
      <w:r w:rsidR="00A427A7">
        <w:rPr>
          <w:rFonts w:ascii="Times New Roman" w:hAnsi="Times New Roman" w:cs="Times New Roman"/>
        </w:rPr>
        <w:t xml:space="preserve">55 </w:t>
      </w:r>
      <w:r>
        <w:rPr>
          <w:rFonts w:ascii="Times New Roman" w:hAnsi="Times New Roman" w:cs="Times New Roman"/>
        </w:rPr>
        <w:t>(1.</w:t>
      </w:r>
      <w:r w:rsidR="00A427A7">
        <w:rPr>
          <w:rFonts w:ascii="Times New Roman" w:hAnsi="Times New Roman" w:cs="Times New Roman"/>
        </w:rPr>
        <w:t>51</w:t>
      </w:r>
      <w:r>
        <w:rPr>
          <w:rFonts w:ascii="Times New Roman" w:hAnsi="Times New Roman" w:cs="Times New Roman"/>
        </w:rPr>
        <w:t>-1.5</w:t>
      </w:r>
      <w:r w:rsidR="00A427A7">
        <w:rPr>
          <w:rFonts w:ascii="Times New Roman" w:hAnsi="Times New Roman" w:cs="Times New Roman"/>
        </w:rPr>
        <w:t>8</w:t>
      </w:r>
      <w:r>
        <w:rPr>
          <w:rFonts w:ascii="Times New Roman" w:hAnsi="Times New Roman" w:cs="Times New Roman"/>
        </w:rPr>
        <w:t>))</w:t>
      </w:r>
      <w:r w:rsidR="00A427A7">
        <w:rPr>
          <w:rFonts w:ascii="Times New Roman" w:hAnsi="Times New Roman" w:cs="Times New Roman"/>
        </w:rPr>
        <w:t>, or between those moving into (1.08 (1.05-1.11)) or out of (1.06 (1.03-1.08)) Q1</w:t>
      </w:r>
      <w:r>
        <w:rPr>
          <w:rFonts w:ascii="Times New Roman" w:hAnsi="Times New Roman" w:cs="Times New Roman"/>
        </w:rPr>
        <w:t xml:space="preserve">. </w:t>
      </w:r>
    </w:p>
    <w:p w14:paraId="1CF730B8" w14:textId="6C4C2D9B" w:rsidR="00871C96" w:rsidRDefault="00871C96" w:rsidP="00871C96">
      <w:pPr>
        <w:spacing w:line="480" w:lineRule="auto"/>
        <w:jc w:val="both"/>
        <w:rPr>
          <w:rFonts w:ascii="Times New Roman" w:hAnsi="Times New Roman" w:cs="Times New Roman"/>
        </w:rPr>
      </w:pPr>
      <w:r>
        <w:rPr>
          <w:rFonts w:ascii="Times New Roman" w:hAnsi="Times New Roman" w:cs="Times New Roman"/>
        </w:rPr>
        <w:t xml:space="preserve">Model 5 further </w:t>
      </w:r>
      <w:r w:rsidR="00A427A7">
        <w:rPr>
          <w:rFonts w:ascii="Times New Roman" w:hAnsi="Times New Roman" w:cs="Times New Roman"/>
        </w:rPr>
        <w:t>demonstrates</w:t>
      </w:r>
      <w:r>
        <w:rPr>
          <w:rFonts w:ascii="Times New Roman" w:hAnsi="Times New Roman" w:cs="Times New Roman"/>
        </w:rPr>
        <w:t xml:space="preserve"> that movers are, generally, at significantly higher risk of CVD than stayers. Odds of CVD for stayers (in model 5) are consistently significantly lower than for the reference group of movers. Here, we see a clear deprivation gradient with the odds of CVD increasing significantly for stayers with increasing levels of area deprivation. However, despite these significant </w:t>
      </w:r>
      <w:r>
        <w:rPr>
          <w:rFonts w:ascii="Times New Roman" w:hAnsi="Times New Roman" w:cs="Times New Roman"/>
        </w:rPr>
        <w:lastRenderedPageBreak/>
        <w:t xml:space="preserve">increases stayers in Q5, the most deprived area, are still significantly </w:t>
      </w:r>
      <w:r>
        <w:rPr>
          <w:rFonts w:ascii="Times New Roman" w:hAnsi="Times New Roman" w:cs="Times New Roman"/>
          <w:i/>
        </w:rPr>
        <w:t xml:space="preserve">less </w:t>
      </w:r>
      <w:r>
        <w:rPr>
          <w:rFonts w:ascii="Times New Roman" w:hAnsi="Times New Roman" w:cs="Times New Roman"/>
        </w:rPr>
        <w:t>likely than movers to have CVD.</w:t>
      </w:r>
    </w:p>
    <w:p w14:paraId="02B12936" w14:textId="767527A5" w:rsidR="00097B14" w:rsidRDefault="00097B14" w:rsidP="00871C96">
      <w:pPr>
        <w:spacing w:line="480" w:lineRule="auto"/>
        <w:jc w:val="both"/>
        <w:rPr>
          <w:rFonts w:ascii="Times New Roman" w:hAnsi="Times New Roman" w:cs="Times New Roman"/>
        </w:rPr>
      </w:pPr>
      <w:r>
        <w:rPr>
          <w:rFonts w:ascii="Times New Roman" w:hAnsi="Times New Roman" w:cs="Times New Roman"/>
        </w:rPr>
        <w:t>The results of the all-person models suggest: a) there is an important relationship between residential mobility and CVD but that the</w:t>
      </w:r>
      <w:r w:rsidR="00A427A7">
        <w:rPr>
          <w:rFonts w:ascii="Times New Roman" w:hAnsi="Times New Roman" w:cs="Times New Roman"/>
        </w:rPr>
        <w:t xml:space="preserve"> overall</w:t>
      </w:r>
      <w:r>
        <w:rPr>
          <w:rFonts w:ascii="Times New Roman" w:hAnsi="Times New Roman" w:cs="Times New Roman"/>
        </w:rPr>
        <w:t xml:space="preserve"> direction of the move is less important than the move itself, and b) CVD is socially graded. This is apparent in the clear deprivation gradient in odds of CVD by baseline deprivation, stable deprivation (for stayers), and when accounting for specific moves into and out of the most and least deprived areas. Importantly, we also see clear and consistent disparities in the odds of CVD by ethnic group, each somewhat attenuated by residential mobility and deprivation (change). The following set of results explore the social gradient to CVD and the influence of residential mobility and deprivation (change) in more detail for each ethnic group. </w:t>
      </w:r>
    </w:p>
    <w:p w14:paraId="5214C574" w14:textId="77777777" w:rsidR="00871C96" w:rsidRPr="007C03A5" w:rsidRDefault="00871C96" w:rsidP="00871C96">
      <w:pPr>
        <w:pStyle w:val="ListParagraph"/>
        <w:numPr>
          <w:ilvl w:val="0"/>
          <w:numId w:val="8"/>
        </w:numPr>
        <w:spacing w:line="480" w:lineRule="auto"/>
        <w:jc w:val="both"/>
        <w:rPr>
          <w:rFonts w:ascii="Times New Roman" w:hAnsi="Times New Roman" w:cs="Times New Roman"/>
          <w:b/>
          <w:i/>
        </w:rPr>
      </w:pPr>
      <w:r w:rsidRPr="007C03A5">
        <w:rPr>
          <w:rFonts w:ascii="Times New Roman" w:hAnsi="Times New Roman" w:cs="Times New Roman"/>
          <w:b/>
          <w:i/>
        </w:rPr>
        <w:t>Ethnic-specific influences of mobility on CVD</w:t>
      </w:r>
    </w:p>
    <w:p w14:paraId="01E7DF57" w14:textId="37120AB9" w:rsidR="00871C96" w:rsidRPr="00191B93" w:rsidRDefault="00871C96" w:rsidP="00871C96">
      <w:pPr>
        <w:spacing w:line="480" w:lineRule="auto"/>
        <w:jc w:val="both"/>
        <w:rPr>
          <w:rFonts w:ascii="Times New Roman" w:hAnsi="Times New Roman" w:cs="Times New Roman"/>
        </w:rPr>
      </w:pPr>
      <w:r>
        <w:rPr>
          <w:rFonts w:ascii="Times New Roman" w:hAnsi="Times New Roman" w:cs="Times New Roman"/>
        </w:rPr>
        <w:t>For models 1</w:t>
      </w:r>
      <w:r>
        <w:rPr>
          <w:rFonts w:ascii="Times New Roman" w:hAnsi="Times New Roman" w:cs="Times New Roman"/>
          <w:i/>
        </w:rPr>
        <w:t xml:space="preserve">e </w:t>
      </w:r>
      <w:r>
        <w:rPr>
          <w:rFonts w:ascii="Times New Roman" w:hAnsi="Times New Roman" w:cs="Times New Roman"/>
        </w:rPr>
        <w:t>to 5</w:t>
      </w:r>
      <w:r>
        <w:rPr>
          <w:rFonts w:ascii="Times New Roman" w:hAnsi="Times New Roman" w:cs="Times New Roman"/>
          <w:i/>
        </w:rPr>
        <w:t>e</w:t>
      </w:r>
      <w:r w:rsidR="00A427A7">
        <w:rPr>
          <w:rFonts w:ascii="Times New Roman" w:hAnsi="Times New Roman" w:cs="Times New Roman"/>
          <w:i/>
        </w:rPr>
        <w:t xml:space="preserve"> </w:t>
      </w:r>
      <w:r w:rsidR="00A427A7">
        <w:rPr>
          <w:rFonts w:ascii="Times New Roman" w:hAnsi="Times New Roman" w:cs="Times New Roman"/>
        </w:rPr>
        <w:t>(subset by ethnic group)</w:t>
      </w:r>
      <w:r>
        <w:rPr>
          <w:rFonts w:ascii="Times New Roman" w:hAnsi="Times New Roman" w:cs="Times New Roman"/>
        </w:rPr>
        <w:t xml:space="preserve">, modelled probabilities of CVD are calculated for each ethnic group by origin deprivation, deprivation </w:t>
      </w:r>
      <w:r w:rsidR="00097B14">
        <w:rPr>
          <w:rFonts w:ascii="Times New Roman" w:hAnsi="Times New Roman" w:cs="Times New Roman"/>
        </w:rPr>
        <w:t>mobility status, detailed</w:t>
      </w:r>
      <w:r>
        <w:rPr>
          <w:rFonts w:ascii="Times New Roman" w:hAnsi="Times New Roman" w:cs="Times New Roman"/>
        </w:rPr>
        <w:t xml:space="preserve"> deprivation transitions, and stable deprivation for stayers. These are compared to the modelled probabilities of CVD for the total population. </w:t>
      </w:r>
      <w:r w:rsidR="00A427A7">
        <w:rPr>
          <w:rFonts w:ascii="Times New Roman" w:hAnsi="Times New Roman" w:cs="Times New Roman"/>
        </w:rPr>
        <w:t>All</w:t>
      </w:r>
      <w:r w:rsidR="00F45423">
        <w:rPr>
          <w:rFonts w:ascii="Times New Roman" w:hAnsi="Times New Roman" w:cs="Times New Roman"/>
        </w:rPr>
        <w:t xml:space="preserve"> probabilities are derived from models adjust</w:t>
      </w:r>
      <w:r w:rsidR="00A427A7">
        <w:rPr>
          <w:rFonts w:ascii="Times New Roman" w:hAnsi="Times New Roman" w:cs="Times New Roman"/>
        </w:rPr>
        <w:t>ing</w:t>
      </w:r>
      <w:r w:rsidR="00F45423">
        <w:rPr>
          <w:rFonts w:ascii="Times New Roman" w:hAnsi="Times New Roman" w:cs="Times New Roman"/>
        </w:rPr>
        <w:t xml:space="preserve"> for age and sex in addition to the relevant residential mobility or deprivation-related variable</w:t>
      </w:r>
      <w:r w:rsidR="00A427A7">
        <w:rPr>
          <w:rFonts w:ascii="Times New Roman" w:hAnsi="Times New Roman" w:cs="Times New Roman"/>
        </w:rPr>
        <w:t>s</w:t>
      </w:r>
      <w:r w:rsidR="00F45423">
        <w:rPr>
          <w:rFonts w:ascii="Times New Roman" w:hAnsi="Times New Roman" w:cs="Times New Roman"/>
        </w:rPr>
        <w:t xml:space="preserve">. Probabilities derived from the all-persons models discussed above also adjust for ethnicity. </w:t>
      </w:r>
      <w:r w:rsidR="00A427A7">
        <w:rPr>
          <w:rFonts w:ascii="Times New Roman" w:hAnsi="Times New Roman" w:cs="Times New Roman"/>
        </w:rPr>
        <w:t xml:space="preserve">Error bars are presented on each graph to represent the 95% confidence intervals. </w:t>
      </w:r>
    </w:p>
    <w:p w14:paraId="376FCB2C" w14:textId="4243BA57" w:rsidR="00871C96" w:rsidRDefault="00871C96" w:rsidP="00871C96">
      <w:pPr>
        <w:spacing w:line="480" w:lineRule="auto"/>
        <w:jc w:val="both"/>
        <w:rPr>
          <w:rFonts w:ascii="Times New Roman" w:hAnsi="Times New Roman" w:cs="Times New Roman"/>
        </w:rPr>
      </w:pPr>
      <w:r>
        <w:rPr>
          <w:rFonts w:ascii="Times New Roman" w:hAnsi="Times New Roman" w:cs="Times New Roman"/>
        </w:rPr>
        <w:t>Figure 2 presents the modelled probability of CVD by mover status stratified by ethnicity</w:t>
      </w:r>
      <w:r w:rsidR="00A427A7">
        <w:rPr>
          <w:rFonts w:ascii="Times New Roman" w:hAnsi="Times New Roman" w:cs="Times New Roman"/>
        </w:rPr>
        <w:t xml:space="preserve"> </w:t>
      </w:r>
      <w:r>
        <w:rPr>
          <w:rFonts w:ascii="Times New Roman" w:hAnsi="Times New Roman" w:cs="Times New Roman"/>
        </w:rPr>
        <w:t>from models 1</w:t>
      </w:r>
      <w:r>
        <w:rPr>
          <w:rFonts w:ascii="Times New Roman" w:hAnsi="Times New Roman" w:cs="Times New Roman"/>
          <w:i/>
        </w:rPr>
        <w:t>e.</w:t>
      </w:r>
      <w:r>
        <w:rPr>
          <w:rFonts w:ascii="Times New Roman" w:hAnsi="Times New Roman" w:cs="Times New Roman"/>
        </w:rPr>
        <w:t xml:space="preserve"> For all ethnic groups, the probability of CVD is </w:t>
      </w:r>
      <w:r w:rsidR="00E9460E">
        <w:rPr>
          <w:rFonts w:ascii="Times New Roman" w:hAnsi="Times New Roman" w:cs="Times New Roman"/>
        </w:rPr>
        <w:t xml:space="preserve">significantly </w:t>
      </w:r>
      <w:r>
        <w:rPr>
          <w:rFonts w:ascii="Times New Roman" w:hAnsi="Times New Roman" w:cs="Times New Roman"/>
        </w:rPr>
        <w:t>higher for movers than for stayers.</w:t>
      </w:r>
      <w:r w:rsidR="00097B14">
        <w:rPr>
          <w:rFonts w:ascii="Times New Roman" w:hAnsi="Times New Roman" w:cs="Times New Roman"/>
        </w:rPr>
        <w:t xml:space="preserve"> Compared to the total population, </w:t>
      </w:r>
      <w:r w:rsidR="00D85309">
        <w:rPr>
          <w:rFonts w:ascii="Times New Roman" w:hAnsi="Times New Roman" w:cs="Times New Roman"/>
        </w:rPr>
        <w:t>Māori</w:t>
      </w:r>
      <w:r w:rsidR="00097B14">
        <w:rPr>
          <w:rFonts w:ascii="Times New Roman" w:hAnsi="Times New Roman" w:cs="Times New Roman"/>
        </w:rPr>
        <w:t xml:space="preserve"> and Pacific movers and stayers, and Indian movers have</w:t>
      </w:r>
      <w:r w:rsidR="00C63990">
        <w:rPr>
          <w:rFonts w:ascii="Times New Roman" w:hAnsi="Times New Roman" w:cs="Times New Roman"/>
        </w:rPr>
        <w:t xml:space="preserve"> significantly</w:t>
      </w:r>
      <w:r w:rsidR="00097B14">
        <w:rPr>
          <w:rFonts w:ascii="Times New Roman" w:hAnsi="Times New Roman" w:cs="Times New Roman"/>
        </w:rPr>
        <w:t xml:space="preserve"> higher probabilities of CVD. </w:t>
      </w:r>
      <w:r w:rsidR="00C63990">
        <w:rPr>
          <w:rFonts w:ascii="Times New Roman" w:hAnsi="Times New Roman" w:cs="Times New Roman"/>
        </w:rPr>
        <w:t xml:space="preserve">Probability of CVD for Other Asian stayers is significantly lower than the probability of CVD for all other groups </w:t>
      </w:r>
      <w:r>
        <w:rPr>
          <w:rFonts w:ascii="Times New Roman" w:hAnsi="Times New Roman" w:cs="Times New Roman"/>
        </w:rPr>
        <w:t xml:space="preserve">(3.31% compared to 17.47% for </w:t>
      </w:r>
      <w:r w:rsidR="00D85309">
        <w:rPr>
          <w:rFonts w:ascii="Times New Roman" w:hAnsi="Times New Roman" w:cs="Times New Roman"/>
        </w:rPr>
        <w:t>Māori</w:t>
      </w:r>
      <w:r>
        <w:rPr>
          <w:rFonts w:ascii="Times New Roman" w:hAnsi="Times New Roman" w:cs="Times New Roman"/>
        </w:rPr>
        <w:t xml:space="preserve"> movers). </w:t>
      </w:r>
    </w:p>
    <w:p w14:paraId="56C22D2F" w14:textId="0E8E71AB" w:rsidR="00871C96" w:rsidRDefault="00FE0338" w:rsidP="00871C96">
      <w:pPr>
        <w:spacing w:line="480" w:lineRule="auto"/>
        <w:jc w:val="both"/>
        <w:rPr>
          <w:rFonts w:ascii="Times New Roman" w:hAnsi="Times New Roman" w:cs="Times New Roman"/>
        </w:rPr>
      </w:pPr>
      <w:r>
        <w:rPr>
          <w:noProof/>
          <w:lang w:val="en-US"/>
        </w:rPr>
        <w:lastRenderedPageBreak/>
        <w:drawing>
          <wp:inline distT="0" distB="0" distL="0" distR="0" wp14:anchorId="237F4BDE" wp14:editId="59B936EE">
            <wp:extent cx="5731510" cy="373761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37610"/>
                    </a:xfrm>
                    <a:prstGeom prst="rect">
                      <a:avLst/>
                    </a:prstGeom>
                  </pic:spPr>
                </pic:pic>
              </a:graphicData>
            </a:graphic>
          </wp:inline>
        </w:drawing>
      </w:r>
    </w:p>
    <w:p w14:paraId="724C3A50" w14:textId="60BD5772" w:rsidR="00871C96" w:rsidRPr="00EC6DAC" w:rsidRDefault="00EC6DAC" w:rsidP="00EC6DAC">
      <w:pPr>
        <w:pStyle w:val="Caption"/>
        <w:rPr>
          <w:rFonts w:ascii="Times New Roman" w:hAnsi="Times New Roman" w:cs="Times New Roman"/>
          <w:b w:val="0"/>
          <w:color w:val="auto"/>
          <w:sz w:val="22"/>
        </w:rPr>
      </w:pPr>
      <w:r w:rsidRPr="00EC6DAC">
        <w:rPr>
          <w:rFonts w:ascii="Times New Roman" w:hAnsi="Times New Roman" w:cs="Times New Roman"/>
          <w:b w:val="0"/>
          <w:color w:val="auto"/>
          <w:sz w:val="22"/>
        </w:rPr>
        <w:t xml:space="preserve">Figure </w:t>
      </w:r>
      <w:r w:rsidRPr="00EC6DAC">
        <w:rPr>
          <w:rFonts w:ascii="Times New Roman" w:hAnsi="Times New Roman" w:cs="Times New Roman"/>
          <w:b w:val="0"/>
          <w:color w:val="auto"/>
          <w:sz w:val="22"/>
        </w:rPr>
        <w:fldChar w:fldCharType="begin"/>
      </w:r>
      <w:r w:rsidRPr="00EC6DAC">
        <w:rPr>
          <w:rFonts w:ascii="Times New Roman" w:hAnsi="Times New Roman" w:cs="Times New Roman"/>
          <w:b w:val="0"/>
          <w:color w:val="auto"/>
          <w:sz w:val="22"/>
        </w:rPr>
        <w:instrText xml:space="preserve"> SEQ Figure \* ARABIC </w:instrText>
      </w:r>
      <w:r w:rsidRPr="00EC6DAC">
        <w:rPr>
          <w:rFonts w:ascii="Times New Roman" w:hAnsi="Times New Roman" w:cs="Times New Roman"/>
          <w:b w:val="0"/>
          <w:color w:val="auto"/>
          <w:sz w:val="22"/>
        </w:rPr>
        <w:fldChar w:fldCharType="separate"/>
      </w:r>
      <w:r w:rsidRPr="00EC6DAC">
        <w:rPr>
          <w:rFonts w:ascii="Times New Roman" w:hAnsi="Times New Roman" w:cs="Times New Roman"/>
          <w:b w:val="0"/>
          <w:noProof/>
          <w:color w:val="auto"/>
          <w:sz w:val="22"/>
        </w:rPr>
        <w:t>2</w:t>
      </w:r>
      <w:r w:rsidRPr="00EC6DAC">
        <w:rPr>
          <w:rFonts w:ascii="Times New Roman" w:hAnsi="Times New Roman" w:cs="Times New Roman"/>
          <w:b w:val="0"/>
          <w:color w:val="auto"/>
          <w:sz w:val="22"/>
        </w:rPr>
        <w:fldChar w:fldCharType="end"/>
      </w:r>
      <w:r w:rsidRPr="00EC6DAC">
        <w:rPr>
          <w:rFonts w:ascii="Times New Roman" w:hAnsi="Times New Roman" w:cs="Times New Roman"/>
          <w:b w:val="0"/>
          <w:color w:val="auto"/>
          <w:sz w:val="22"/>
        </w:rPr>
        <w:t xml:space="preserve"> Probability of CVD (%) by mover status, stratified by ethnic group (adjusting for age, gender, [and ethnicity])</w:t>
      </w:r>
    </w:p>
    <w:p w14:paraId="716611E2" w14:textId="4DF6AA56" w:rsidR="00871C96" w:rsidRDefault="00871C96" w:rsidP="00871C96">
      <w:pPr>
        <w:spacing w:line="480" w:lineRule="auto"/>
        <w:jc w:val="both"/>
        <w:rPr>
          <w:rFonts w:ascii="Times New Roman" w:hAnsi="Times New Roman" w:cs="Times New Roman"/>
        </w:rPr>
      </w:pPr>
      <w:r>
        <w:rPr>
          <w:rFonts w:ascii="Times New Roman" w:hAnsi="Times New Roman" w:cs="Times New Roman"/>
        </w:rPr>
        <w:t>Figure 3 summarises results from models 2</w:t>
      </w:r>
      <w:r>
        <w:rPr>
          <w:rFonts w:ascii="Times New Roman" w:hAnsi="Times New Roman" w:cs="Times New Roman"/>
          <w:i/>
        </w:rPr>
        <w:t>e</w:t>
      </w:r>
      <w:r>
        <w:rPr>
          <w:rFonts w:ascii="Times New Roman" w:hAnsi="Times New Roman" w:cs="Times New Roman"/>
        </w:rPr>
        <w:t>: the probability of having CVD by baseline deprivation</w:t>
      </w:r>
      <w:r w:rsidR="00097B14">
        <w:rPr>
          <w:rFonts w:ascii="Times New Roman" w:hAnsi="Times New Roman" w:cs="Times New Roman"/>
        </w:rPr>
        <w:t xml:space="preserve"> stratified by ethnic group</w:t>
      </w:r>
      <w:r w:rsidR="00A427A7">
        <w:rPr>
          <w:rFonts w:ascii="Times New Roman" w:hAnsi="Times New Roman" w:cs="Times New Roman"/>
        </w:rPr>
        <w:t>.</w:t>
      </w:r>
      <w:r>
        <w:rPr>
          <w:rFonts w:ascii="Times New Roman" w:hAnsi="Times New Roman" w:cs="Times New Roman"/>
        </w:rPr>
        <w:t xml:space="preserve"> Whilst a deprivation gradient is apparent for all ethnic groups, the steepness of this gradient varies. It is steepest for </w:t>
      </w:r>
      <w:bookmarkStart w:id="1" w:name="OLE_LINK2"/>
      <w:r w:rsidR="00D85309">
        <w:rPr>
          <w:rFonts w:ascii="Times New Roman" w:hAnsi="Times New Roman" w:cs="Times New Roman"/>
        </w:rPr>
        <w:t>Māori</w:t>
      </w:r>
      <w:bookmarkEnd w:id="1"/>
      <w:r>
        <w:rPr>
          <w:rFonts w:ascii="Times New Roman" w:hAnsi="Times New Roman" w:cs="Times New Roman"/>
        </w:rPr>
        <w:t xml:space="preserve"> and Pacific groups who have a disproportionate share of their population in the more deprived quintiles (see Table 2). Further, although increasing deprivation is generally associated with increasing probabilities of CVD for </w:t>
      </w:r>
      <w:r>
        <w:rPr>
          <w:rFonts w:ascii="Times New Roman" w:hAnsi="Times New Roman" w:cs="Times New Roman"/>
          <w:i/>
        </w:rPr>
        <w:t xml:space="preserve">all </w:t>
      </w:r>
      <w:r>
        <w:rPr>
          <w:rFonts w:ascii="Times New Roman" w:hAnsi="Times New Roman" w:cs="Times New Roman"/>
        </w:rPr>
        <w:t xml:space="preserve">groups, </w:t>
      </w:r>
      <w:r w:rsidR="00D85309">
        <w:rPr>
          <w:rFonts w:ascii="Times New Roman" w:hAnsi="Times New Roman" w:cs="Times New Roman"/>
        </w:rPr>
        <w:t>Māori</w:t>
      </w:r>
      <w:r>
        <w:rPr>
          <w:rFonts w:ascii="Times New Roman" w:hAnsi="Times New Roman" w:cs="Times New Roman"/>
        </w:rPr>
        <w:t xml:space="preserve"> groups in Q1-Q5 (9.76% - 16.38%), Pacific groups in Q1-Q5 (</w:t>
      </w:r>
      <w:r w:rsidR="00097B14">
        <w:rPr>
          <w:rFonts w:ascii="Times New Roman" w:hAnsi="Times New Roman" w:cs="Times New Roman"/>
        </w:rPr>
        <w:t>7.91</w:t>
      </w:r>
      <w:r>
        <w:rPr>
          <w:rFonts w:ascii="Times New Roman" w:hAnsi="Times New Roman" w:cs="Times New Roman"/>
        </w:rPr>
        <w:t>% - 10.</w:t>
      </w:r>
      <w:r w:rsidR="00097B14">
        <w:rPr>
          <w:rFonts w:ascii="Times New Roman" w:hAnsi="Times New Roman" w:cs="Times New Roman"/>
        </w:rPr>
        <w:t>81</w:t>
      </w:r>
      <w:r>
        <w:rPr>
          <w:rFonts w:ascii="Times New Roman" w:hAnsi="Times New Roman" w:cs="Times New Roman"/>
        </w:rPr>
        <w:t xml:space="preserve">%) and Indian groups in Q1 (6.24%) have a higher probability of CVD than observed for corresponding quintiles of the NZEO population. </w:t>
      </w:r>
      <w:r w:rsidR="00A86AE1">
        <w:rPr>
          <w:rFonts w:ascii="Times New Roman" w:hAnsi="Times New Roman" w:cs="Times New Roman"/>
        </w:rPr>
        <w:t xml:space="preserve">Differences are significant for Māori. </w:t>
      </w:r>
      <w:r>
        <w:rPr>
          <w:rFonts w:ascii="Times New Roman" w:hAnsi="Times New Roman" w:cs="Times New Roman"/>
        </w:rPr>
        <w:t xml:space="preserve">The distribution of probability of CVD by deprivation is flatter around Q2-Q4 for Other Asian, Indian and Pacific groups than for the total population, or for </w:t>
      </w:r>
      <w:r w:rsidR="00D85309">
        <w:rPr>
          <w:rFonts w:ascii="Times New Roman" w:hAnsi="Times New Roman" w:cs="Times New Roman"/>
        </w:rPr>
        <w:t>Māori</w:t>
      </w:r>
      <w:r>
        <w:rPr>
          <w:rFonts w:ascii="Times New Roman" w:hAnsi="Times New Roman" w:cs="Times New Roman"/>
        </w:rPr>
        <w:t xml:space="preserve"> and NZEO groups. </w:t>
      </w:r>
    </w:p>
    <w:p w14:paraId="138FADCF" w14:textId="72EA5F4F" w:rsidR="00EC6DAC" w:rsidRDefault="00A86F03" w:rsidP="00EC6DAC">
      <w:pPr>
        <w:keepNext/>
        <w:spacing w:line="480" w:lineRule="auto"/>
        <w:jc w:val="both"/>
      </w:pPr>
      <w:r w:rsidRPr="00A86F03">
        <w:rPr>
          <w:noProof/>
          <w:lang w:val="en-US"/>
        </w:rPr>
        <w:lastRenderedPageBreak/>
        <w:t xml:space="preserve"> </w:t>
      </w:r>
      <w:r w:rsidR="00FE0338">
        <w:rPr>
          <w:noProof/>
          <w:lang w:val="en-US"/>
        </w:rPr>
        <w:drawing>
          <wp:inline distT="0" distB="0" distL="0" distR="0" wp14:anchorId="24573EC8" wp14:editId="6D0C69EA">
            <wp:extent cx="5731510" cy="373761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37610"/>
                    </a:xfrm>
                    <a:prstGeom prst="rect">
                      <a:avLst/>
                    </a:prstGeom>
                  </pic:spPr>
                </pic:pic>
              </a:graphicData>
            </a:graphic>
          </wp:inline>
        </w:drawing>
      </w:r>
    </w:p>
    <w:p w14:paraId="1AFCB099" w14:textId="58600D29" w:rsidR="00920D61" w:rsidRPr="00920D61" w:rsidRDefault="00EC6DAC" w:rsidP="00920D61">
      <w:pPr>
        <w:pStyle w:val="Caption"/>
        <w:jc w:val="both"/>
        <w:rPr>
          <w:rFonts w:ascii="Times New Roman" w:hAnsi="Times New Roman" w:cs="Times New Roman"/>
          <w:b w:val="0"/>
          <w:color w:val="auto"/>
          <w:sz w:val="22"/>
          <w:szCs w:val="22"/>
        </w:rPr>
      </w:pPr>
      <w:r w:rsidRPr="00EC6DAC">
        <w:rPr>
          <w:rFonts w:ascii="Times New Roman" w:hAnsi="Times New Roman" w:cs="Times New Roman"/>
          <w:b w:val="0"/>
          <w:color w:val="auto"/>
          <w:sz w:val="22"/>
          <w:szCs w:val="22"/>
        </w:rPr>
        <w:t xml:space="preserve">Figure </w:t>
      </w:r>
      <w:r w:rsidRPr="00EC6DAC">
        <w:rPr>
          <w:rFonts w:ascii="Times New Roman" w:hAnsi="Times New Roman" w:cs="Times New Roman"/>
          <w:b w:val="0"/>
          <w:color w:val="auto"/>
          <w:sz w:val="22"/>
          <w:szCs w:val="22"/>
        </w:rPr>
        <w:fldChar w:fldCharType="begin"/>
      </w:r>
      <w:r w:rsidRPr="00EC6DAC">
        <w:rPr>
          <w:rFonts w:ascii="Times New Roman" w:hAnsi="Times New Roman" w:cs="Times New Roman"/>
          <w:b w:val="0"/>
          <w:color w:val="auto"/>
          <w:sz w:val="22"/>
          <w:szCs w:val="22"/>
        </w:rPr>
        <w:instrText xml:space="preserve"> SEQ Figure \* ARABIC </w:instrText>
      </w:r>
      <w:r w:rsidRPr="00EC6DAC">
        <w:rPr>
          <w:rFonts w:ascii="Times New Roman" w:hAnsi="Times New Roman" w:cs="Times New Roman"/>
          <w:b w:val="0"/>
          <w:color w:val="auto"/>
          <w:sz w:val="22"/>
          <w:szCs w:val="22"/>
        </w:rPr>
        <w:fldChar w:fldCharType="separate"/>
      </w:r>
      <w:r w:rsidRPr="00EC6DAC">
        <w:rPr>
          <w:rFonts w:ascii="Times New Roman" w:hAnsi="Times New Roman" w:cs="Times New Roman"/>
          <w:b w:val="0"/>
          <w:noProof/>
          <w:color w:val="auto"/>
          <w:sz w:val="22"/>
          <w:szCs w:val="22"/>
        </w:rPr>
        <w:t>3</w:t>
      </w:r>
      <w:r w:rsidRPr="00EC6DAC">
        <w:rPr>
          <w:rFonts w:ascii="Times New Roman" w:hAnsi="Times New Roman" w:cs="Times New Roman"/>
          <w:b w:val="0"/>
          <w:color w:val="auto"/>
          <w:sz w:val="22"/>
          <w:szCs w:val="22"/>
        </w:rPr>
        <w:fldChar w:fldCharType="end"/>
      </w:r>
      <w:r w:rsidRPr="00EC6DAC">
        <w:rPr>
          <w:rFonts w:ascii="Times New Roman" w:hAnsi="Times New Roman" w:cs="Times New Roman"/>
          <w:b w:val="0"/>
          <w:color w:val="auto"/>
          <w:sz w:val="22"/>
          <w:szCs w:val="22"/>
        </w:rPr>
        <w:t xml:space="preserve"> Probability of a patient having CVD (%) by baseline deprivation, stratified by ethnic group (adjusting for mover status, age, gender, [and ethnicity])</w:t>
      </w:r>
    </w:p>
    <w:p w14:paraId="18508067" w14:textId="298C1551" w:rsidR="00EC6DAC" w:rsidRDefault="00871C96" w:rsidP="00871C96">
      <w:pPr>
        <w:spacing w:line="480" w:lineRule="auto"/>
        <w:jc w:val="both"/>
        <w:rPr>
          <w:noProof/>
          <w:lang w:val="en-US"/>
        </w:rPr>
      </w:pPr>
      <w:r>
        <w:rPr>
          <w:rFonts w:ascii="Times New Roman" w:hAnsi="Times New Roman" w:cs="Times New Roman"/>
        </w:rPr>
        <w:t xml:space="preserve">The patterning to probability of CVD varies somewhat between ethnic groups according to </w:t>
      </w:r>
      <w:r w:rsidR="00097B14">
        <w:rPr>
          <w:rFonts w:ascii="Times New Roman" w:hAnsi="Times New Roman" w:cs="Times New Roman"/>
        </w:rPr>
        <w:t>their deprivation mobility status</w:t>
      </w:r>
      <w:r w:rsidR="00EC6DAC">
        <w:rPr>
          <w:rFonts w:ascii="Times New Roman" w:hAnsi="Times New Roman" w:cs="Times New Roman"/>
        </w:rPr>
        <w:t xml:space="preserve"> (figure 4)</w:t>
      </w:r>
      <w:r>
        <w:rPr>
          <w:rFonts w:ascii="Times New Roman" w:hAnsi="Times New Roman" w:cs="Times New Roman"/>
        </w:rPr>
        <w:t xml:space="preserve">. For </w:t>
      </w:r>
      <w:bookmarkStart w:id="2" w:name="OLE_LINK3"/>
      <w:r w:rsidR="00D85309">
        <w:rPr>
          <w:rFonts w:ascii="Times New Roman" w:hAnsi="Times New Roman" w:cs="Times New Roman"/>
        </w:rPr>
        <w:t>Māori</w:t>
      </w:r>
      <w:r>
        <w:rPr>
          <w:rFonts w:ascii="Times New Roman" w:hAnsi="Times New Roman" w:cs="Times New Roman"/>
        </w:rPr>
        <w:t xml:space="preserve"> </w:t>
      </w:r>
      <w:bookmarkEnd w:id="2"/>
      <w:r>
        <w:rPr>
          <w:rFonts w:ascii="Times New Roman" w:hAnsi="Times New Roman" w:cs="Times New Roman"/>
        </w:rPr>
        <w:t>and Pacific groups</w:t>
      </w:r>
      <w:r w:rsidR="005B7C67">
        <w:rPr>
          <w:rFonts w:ascii="Times New Roman" w:hAnsi="Times New Roman" w:cs="Times New Roman"/>
        </w:rPr>
        <w:t xml:space="preserve"> (18.42% and 14.01% respectively)</w:t>
      </w:r>
      <w:r w:rsidR="00097B14">
        <w:rPr>
          <w:rFonts w:ascii="Times New Roman" w:hAnsi="Times New Roman" w:cs="Times New Roman"/>
        </w:rPr>
        <w:t>,</w:t>
      </w:r>
      <w:r>
        <w:rPr>
          <w:rFonts w:ascii="Times New Roman" w:hAnsi="Times New Roman" w:cs="Times New Roman"/>
        </w:rPr>
        <w:t xml:space="preserve"> the highest probability of CVD is for movers who churn within the same deprivation quintile. </w:t>
      </w:r>
      <w:r w:rsidR="0054292A">
        <w:rPr>
          <w:rFonts w:ascii="Times New Roman" w:hAnsi="Times New Roman" w:cs="Times New Roman"/>
        </w:rPr>
        <w:t xml:space="preserve">Differences are significant for Māori. </w:t>
      </w:r>
      <w:r>
        <w:rPr>
          <w:rFonts w:ascii="Times New Roman" w:hAnsi="Times New Roman" w:cs="Times New Roman"/>
        </w:rPr>
        <w:t>Conversely, for all other ethnic groups movers churning within the same deprivation quintile tend to have lower probabilities of CVD than those who either become more or less deprived</w:t>
      </w:r>
      <w:r w:rsidR="0054292A">
        <w:rPr>
          <w:rFonts w:ascii="Times New Roman" w:hAnsi="Times New Roman" w:cs="Times New Roman"/>
        </w:rPr>
        <w:t>, significantly lower for NZEO.</w:t>
      </w:r>
      <w:r w:rsidR="0054292A" w:rsidRPr="0054292A">
        <w:rPr>
          <w:noProof/>
          <w:lang w:val="en-US"/>
        </w:rPr>
        <w:t xml:space="preserve"> </w:t>
      </w:r>
    </w:p>
    <w:p w14:paraId="227D350C" w14:textId="46DDC904" w:rsidR="00EC6DAC" w:rsidRDefault="00FE0338" w:rsidP="00EC6DAC">
      <w:pPr>
        <w:keepNext/>
        <w:spacing w:line="480" w:lineRule="auto"/>
        <w:jc w:val="both"/>
      </w:pPr>
      <w:r>
        <w:rPr>
          <w:noProof/>
          <w:lang w:val="en-US"/>
        </w:rPr>
        <w:lastRenderedPageBreak/>
        <w:drawing>
          <wp:inline distT="0" distB="0" distL="0" distR="0" wp14:anchorId="45756ABB" wp14:editId="1FC96B24">
            <wp:extent cx="5731510" cy="373761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37610"/>
                    </a:xfrm>
                    <a:prstGeom prst="rect">
                      <a:avLst/>
                    </a:prstGeom>
                  </pic:spPr>
                </pic:pic>
              </a:graphicData>
            </a:graphic>
          </wp:inline>
        </w:drawing>
      </w:r>
    </w:p>
    <w:p w14:paraId="3868CEB3" w14:textId="5B414411" w:rsidR="00EC6DAC" w:rsidRDefault="00EC6DAC" w:rsidP="00EC6DAC">
      <w:pPr>
        <w:pStyle w:val="Caption"/>
        <w:jc w:val="both"/>
        <w:rPr>
          <w:rFonts w:ascii="Times New Roman" w:hAnsi="Times New Roman" w:cs="Times New Roman"/>
          <w:b w:val="0"/>
          <w:color w:val="auto"/>
          <w:sz w:val="22"/>
          <w:szCs w:val="22"/>
        </w:rPr>
      </w:pPr>
      <w:r w:rsidRPr="00EC6DAC">
        <w:rPr>
          <w:rFonts w:ascii="Times New Roman" w:hAnsi="Times New Roman" w:cs="Times New Roman"/>
          <w:b w:val="0"/>
          <w:color w:val="auto"/>
          <w:sz w:val="22"/>
          <w:szCs w:val="22"/>
        </w:rPr>
        <w:t xml:space="preserve">Figure </w:t>
      </w:r>
      <w:r w:rsidRPr="00EC6DAC">
        <w:rPr>
          <w:rFonts w:ascii="Times New Roman" w:hAnsi="Times New Roman" w:cs="Times New Roman"/>
          <w:b w:val="0"/>
          <w:color w:val="auto"/>
          <w:sz w:val="22"/>
          <w:szCs w:val="22"/>
        </w:rPr>
        <w:fldChar w:fldCharType="begin"/>
      </w:r>
      <w:r w:rsidRPr="00EC6DAC">
        <w:rPr>
          <w:rFonts w:ascii="Times New Roman" w:hAnsi="Times New Roman" w:cs="Times New Roman"/>
          <w:b w:val="0"/>
          <w:color w:val="auto"/>
          <w:sz w:val="22"/>
          <w:szCs w:val="22"/>
        </w:rPr>
        <w:instrText xml:space="preserve"> SEQ Figure \* ARABIC </w:instrText>
      </w:r>
      <w:r w:rsidRPr="00EC6DAC">
        <w:rPr>
          <w:rFonts w:ascii="Times New Roman" w:hAnsi="Times New Roman" w:cs="Times New Roman"/>
          <w:b w:val="0"/>
          <w:color w:val="auto"/>
          <w:sz w:val="22"/>
          <w:szCs w:val="22"/>
        </w:rPr>
        <w:fldChar w:fldCharType="separate"/>
      </w:r>
      <w:r w:rsidRPr="00EC6DAC">
        <w:rPr>
          <w:rFonts w:ascii="Times New Roman" w:hAnsi="Times New Roman" w:cs="Times New Roman"/>
          <w:b w:val="0"/>
          <w:noProof/>
          <w:color w:val="auto"/>
          <w:sz w:val="22"/>
          <w:szCs w:val="22"/>
        </w:rPr>
        <w:t>4</w:t>
      </w:r>
      <w:r w:rsidRPr="00EC6DAC">
        <w:rPr>
          <w:rFonts w:ascii="Times New Roman" w:hAnsi="Times New Roman" w:cs="Times New Roman"/>
          <w:b w:val="0"/>
          <w:color w:val="auto"/>
          <w:sz w:val="22"/>
          <w:szCs w:val="22"/>
        </w:rPr>
        <w:fldChar w:fldCharType="end"/>
      </w:r>
      <w:r w:rsidRPr="00EC6DAC">
        <w:rPr>
          <w:rFonts w:ascii="Times New Roman" w:hAnsi="Times New Roman" w:cs="Times New Roman"/>
          <w:b w:val="0"/>
          <w:color w:val="auto"/>
          <w:sz w:val="22"/>
          <w:szCs w:val="22"/>
        </w:rPr>
        <w:t xml:space="preserve"> Probability of CVD (%) by deprivation mobility status, stratified by ethnic group (adjusting for age gender, [ethnicity])</w:t>
      </w:r>
    </w:p>
    <w:p w14:paraId="0591DCE5" w14:textId="3983A105" w:rsidR="00871C96" w:rsidRDefault="00097B14" w:rsidP="00871C96">
      <w:pPr>
        <w:spacing w:line="480" w:lineRule="auto"/>
        <w:jc w:val="both"/>
        <w:rPr>
          <w:rFonts w:ascii="Times New Roman" w:hAnsi="Times New Roman" w:cs="Times New Roman"/>
        </w:rPr>
      </w:pPr>
      <w:r>
        <w:rPr>
          <w:rFonts w:ascii="Times New Roman" w:hAnsi="Times New Roman" w:cs="Times New Roman"/>
        </w:rPr>
        <w:t xml:space="preserve">This likely reflects the high concentrations of </w:t>
      </w:r>
      <w:r w:rsidR="00D85309">
        <w:rPr>
          <w:rFonts w:ascii="Times New Roman" w:hAnsi="Times New Roman" w:cs="Times New Roman"/>
        </w:rPr>
        <w:t>Māori</w:t>
      </w:r>
      <w:r>
        <w:rPr>
          <w:rFonts w:ascii="Times New Roman" w:hAnsi="Times New Roman" w:cs="Times New Roman"/>
        </w:rPr>
        <w:t xml:space="preserve"> (68.0%) and Pacific (67.5%) populations residing in Q4 and Q5 at baseline: the majority of their moves will therefore be within very deprived areas. </w:t>
      </w:r>
      <w:r w:rsidR="00871C96">
        <w:rPr>
          <w:rFonts w:ascii="Times New Roman" w:hAnsi="Times New Roman" w:cs="Times New Roman"/>
        </w:rPr>
        <w:t>Differences in the probability of CVD between those whose areas become more or less deprived are small for all ethnic groups</w:t>
      </w:r>
      <w:r>
        <w:rPr>
          <w:rFonts w:ascii="Times New Roman" w:hAnsi="Times New Roman" w:cs="Times New Roman"/>
        </w:rPr>
        <w:t xml:space="preserve"> (less than 0.5% for all groups)</w:t>
      </w:r>
      <w:r w:rsidR="00EC6DAC">
        <w:rPr>
          <w:rFonts w:ascii="Times New Roman" w:hAnsi="Times New Roman" w:cs="Times New Roman"/>
        </w:rPr>
        <w:t>.</w:t>
      </w:r>
    </w:p>
    <w:p w14:paraId="27493E5E" w14:textId="509427A0" w:rsidR="00871C96" w:rsidRPr="00E77179" w:rsidRDefault="00871C96" w:rsidP="00871C96">
      <w:pPr>
        <w:spacing w:line="480" w:lineRule="auto"/>
        <w:jc w:val="both"/>
        <w:rPr>
          <w:rFonts w:ascii="Times New Roman" w:hAnsi="Times New Roman" w:cs="Times New Roman"/>
        </w:rPr>
      </w:pPr>
      <w:r>
        <w:rPr>
          <w:rFonts w:ascii="Times New Roman" w:hAnsi="Times New Roman" w:cs="Times New Roman"/>
        </w:rPr>
        <w:t>To further explore how the nature of a move influences probability of CVD between ethnic groups, we also adjusted for detailed deprivation transitions (models 4</w:t>
      </w:r>
      <w:r>
        <w:rPr>
          <w:rFonts w:ascii="Times New Roman" w:hAnsi="Times New Roman" w:cs="Times New Roman"/>
          <w:i/>
        </w:rPr>
        <w:t>e</w:t>
      </w:r>
      <w:r>
        <w:rPr>
          <w:rFonts w:ascii="Times New Roman" w:hAnsi="Times New Roman" w:cs="Times New Roman"/>
        </w:rPr>
        <w:t xml:space="preserve">). </w:t>
      </w:r>
      <w:r w:rsidR="00D85309">
        <w:rPr>
          <w:rFonts w:ascii="Times New Roman" w:hAnsi="Times New Roman" w:cs="Times New Roman"/>
        </w:rPr>
        <w:t>Māori</w:t>
      </w:r>
      <w:r>
        <w:rPr>
          <w:rFonts w:ascii="Times New Roman" w:hAnsi="Times New Roman" w:cs="Times New Roman"/>
        </w:rPr>
        <w:t xml:space="preserve"> groups consistently have the highest probability of CVD when compared to all other ethnic groups in comparable circumstances. There is a </w:t>
      </w:r>
      <w:r w:rsidR="0054292A">
        <w:rPr>
          <w:rFonts w:ascii="Times New Roman" w:hAnsi="Times New Roman" w:cs="Times New Roman"/>
        </w:rPr>
        <w:t xml:space="preserve">significant </w:t>
      </w:r>
      <w:r w:rsidR="00852DF4">
        <w:rPr>
          <w:rFonts w:ascii="Times New Roman" w:hAnsi="Times New Roman" w:cs="Times New Roman"/>
        </w:rPr>
        <w:t xml:space="preserve">marked </w:t>
      </w:r>
      <w:r>
        <w:rPr>
          <w:rFonts w:ascii="Times New Roman" w:hAnsi="Times New Roman" w:cs="Times New Roman"/>
        </w:rPr>
        <w:t xml:space="preserve">gap between those churning within Q5 (the most deprived quintile) and all other movers within NZEO, Indian and </w:t>
      </w:r>
      <w:r w:rsidR="00D85309">
        <w:rPr>
          <w:rFonts w:ascii="Times New Roman" w:hAnsi="Times New Roman" w:cs="Times New Roman"/>
        </w:rPr>
        <w:t>Māori</w:t>
      </w:r>
      <w:r>
        <w:rPr>
          <w:rFonts w:ascii="Times New Roman" w:hAnsi="Times New Roman" w:cs="Times New Roman"/>
        </w:rPr>
        <w:t xml:space="preserve"> groups (figure 5). Conversely, differences between Other Asian and Pacific groups are much smaller</w:t>
      </w:r>
      <w:r w:rsidR="00852DF4">
        <w:rPr>
          <w:rFonts w:ascii="Times New Roman" w:hAnsi="Times New Roman" w:cs="Times New Roman"/>
        </w:rPr>
        <w:t xml:space="preserve"> (although still significant for Pacific groups)</w:t>
      </w:r>
      <w:r>
        <w:rPr>
          <w:rFonts w:ascii="Times New Roman" w:hAnsi="Times New Roman" w:cs="Times New Roman"/>
        </w:rPr>
        <w:t xml:space="preserve">. Indian and Other Asian stayers had the lowest probability of CVD compared to mobile Indian or Other Asian peoples. </w:t>
      </w:r>
      <w:r w:rsidR="00D85309">
        <w:rPr>
          <w:rFonts w:ascii="Times New Roman" w:hAnsi="Times New Roman" w:cs="Times New Roman"/>
        </w:rPr>
        <w:t>Māori</w:t>
      </w:r>
      <w:r>
        <w:rPr>
          <w:rFonts w:ascii="Times New Roman" w:hAnsi="Times New Roman" w:cs="Times New Roman"/>
        </w:rPr>
        <w:t xml:space="preserve"> stayers have a higher probability of CVD (14.50%) than </w:t>
      </w:r>
      <w:r w:rsidR="00D85309">
        <w:rPr>
          <w:rFonts w:ascii="Times New Roman" w:hAnsi="Times New Roman" w:cs="Times New Roman"/>
        </w:rPr>
        <w:t>Māori</w:t>
      </w:r>
      <w:r>
        <w:rPr>
          <w:rFonts w:ascii="Times New Roman" w:hAnsi="Times New Roman" w:cs="Times New Roman"/>
        </w:rPr>
        <w:t xml:space="preserve"> movers moving across</w:t>
      </w:r>
      <w:r w:rsidR="00852DF4">
        <w:rPr>
          <w:rFonts w:ascii="Times New Roman" w:hAnsi="Times New Roman" w:cs="Times New Roman"/>
        </w:rPr>
        <w:t xml:space="preserve"> (significant difference for this group)</w:t>
      </w:r>
      <w:r>
        <w:rPr>
          <w:rFonts w:ascii="Times New Roman" w:hAnsi="Times New Roman" w:cs="Times New Roman"/>
        </w:rPr>
        <w:t xml:space="preserve">, into or out of the least deprived quintile (9.56%, 13.41% and </w:t>
      </w:r>
      <w:r>
        <w:rPr>
          <w:rFonts w:ascii="Times New Roman" w:hAnsi="Times New Roman" w:cs="Times New Roman"/>
        </w:rPr>
        <w:lastRenderedPageBreak/>
        <w:t>13.81%, respectively).</w:t>
      </w:r>
      <w:r w:rsidR="00A86F03">
        <w:rPr>
          <w:rFonts w:ascii="Times New Roman" w:hAnsi="Times New Roman" w:cs="Times New Roman"/>
        </w:rPr>
        <w:t xml:space="preserve"> However, this is unsurprising given that 68.7% of </w:t>
      </w:r>
      <w:r w:rsidR="00D85309">
        <w:rPr>
          <w:rFonts w:ascii="Times New Roman" w:hAnsi="Times New Roman" w:cs="Times New Roman"/>
        </w:rPr>
        <w:t>Māori</w:t>
      </w:r>
      <w:r w:rsidR="00A86F03">
        <w:rPr>
          <w:rFonts w:ascii="Times New Roman" w:hAnsi="Times New Roman" w:cs="Times New Roman"/>
        </w:rPr>
        <w:t xml:space="preserve"> stayers remain in Q4 and Q5.</w:t>
      </w:r>
      <w:r>
        <w:rPr>
          <w:rFonts w:ascii="Times New Roman" w:hAnsi="Times New Roman" w:cs="Times New Roman"/>
        </w:rPr>
        <w:t xml:space="preserve"> Pacific and NZEO stayers also have a higher probability of CVD than those moving across, into or out of Q1</w:t>
      </w:r>
      <w:r w:rsidR="005B7C67">
        <w:rPr>
          <w:rFonts w:ascii="Times New Roman" w:hAnsi="Times New Roman" w:cs="Times New Roman"/>
        </w:rPr>
        <w:t>,</w:t>
      </w:r>
      <w:r>
        <w:rPr>
          <w:rFonts w:ascii="Times New Roman" w:hAnsi="Times New Roman" w:cs="Times New Roman"/>
        </w:rPr>
        <w:t xml:space="preserve"> but differences are small</w:t>
      </w:r>
      <w:r w:rsidR="00852DF4">
        <w:rPr>
          <w:rFonts w:ascii="Times New Roman" w:hAnsi="Times New Roman" w:cs="Times New Roman"/>
        </w:rPr>
        <w:t xml:space="preserve"> (but significant for NZEO)</w:t>
      </w:r>
      <w:r>
        <w:rPr>
          <w:rFonts w:ascii="Times New Roman" w:hAnsi="Times New Roman" w:cs="Times New Roman"/>
        </w:rPr>
        <w:t xml:space="preserve">. It is important to note that </w:t>
      </w:r>
      <w:r w:rsidR="005B7C67">
        <w:rPr>
          <w:rFonts w:ascii="Times New Roman" w:hAnsi="Times New Roman" w:cs="Times New Roman"/>
        </w:rPr>
        <w:t>as</w:t>
      </w:r>
      <w:r>
        <w:rPr>
          <w:rFonts w:ascii="Times New Roman" w:hAnsi="Times New Roman" w:cs="Times New Roman"/>
        </w:rPr>
        <w:t xml:space="preserve"> only 4.5% of Pacific reside in Q1 (at baseline) compared to 26.5% of NZEO, the reasons for these similar probabilities will vary. </w:t>
      </w:r>
    </w:p>
    <w:p w14:paraId="393F2976" w14:textId="64002115" w:rsidR="00EC6DAC" w:rsidRDefault="00852DF4" w:rsidP="00EC6DAC">
      <w:pPr>
        <w:keepNext/>
        <w:spacing w:line="480" w:lineRule="auto"/>
        <w:jc w:val="both"/>
      </w:pPr>
      <w:r w:rsidRPr="00852DF4">
        <w:rPr>
          <w:noProof/>
          <w:lang w:val="en-US"/>
        </w:rPr>
        <w:t xml:space="preserve"> </w:t>
      </w:r>
      <w:r w:rsidR="00FE0338">
        <w:rPr>
          <w:noProof/>
          <w:lang w:val="en-US"/>
        </w:rPr>
        <w:drawing>
          <wp:inline distT="0" distB="0" distL="0" distR="0" wp14:anchorId="74021A23" wp14:editId="4AE1AE92">
            <wp:extent cx="5731510" cy="373761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37610"/>
                    </a:xfrm>
                    <a:prstGeom prst="rect">
                      <a:avLst/>
                    </a:prstGeom>
                  </pic:spPr>
                </pic:pic>
              </a:graphicData>
            </a:graphic>
          </wp:inline>
        </w:drawing>
      </w:r>
    </w:p>
    <w:p w14:paraId="1E281A54" w14:textId="2F45E7A7" w:rsidR="00871C96" w:rsidRPr="00EC6DAC" w:rsidRDefault="00EC6DAC" w:rsidP="00EC6DAC">
      <w:pPr>
        <w:pStyle w:val="Caption"/>
        <w:jc w:val="both"/>
        <w:rPr>
          <w:rFonts w:ascii="Times New Roman" w:hAnsi="Times New Roman" w:cs="Times New Roman"/>
          <w:b w:val="0"/>
          <w:color w:val="auto"/>
          <w:sz w:val="22"/>
        </w:rPr>
      </w:pPr>
      <w:r w:rsidRPr="00EC6DAC">
        <w:rPr>
          <w:rFonts w:ascii="Times New Roman" w:hAnsi="Times New Roman" w:cs="Times New Roman"/>
          <w:b w:val="0"/>
          <w:color w:val="auto"/>
          <w:sz w:val="22"/>
        </w:rPr>
        <w:t xml:space="preserve">Figure </w:t>
      </w:r>
      <w:r w:rsidRPr="00EC6DAC">
        <w:rPr>
          <w:rFonts w:ascii="Times New Roman" w:hAnsi="Times New Roman" w:cs="Times New Roman"/>
          <w:b w:val="0"/>
          <w:color w:val="auto"/>
          <w:sz w:val="22"/>
        </w:rPr>
        <w:fldChar w:fldCharType="begin"/>
      </w:r>
      <w:r w:rsidRPr="00EC6DAC">
        <w:rPr>
          <w:rFonts w:ascii="Times New Roman" w:hAnsi="Times New Roman" w:cs="Times New Roman"/>
          <w:b w:val="0"/>
          <w:color w:val="auto"/>
          <w:sz w:val="22"/>
        </w:rPr>
        <w:instrText xml:space="preserve"> SEQ Figure \* ARABIC </w:instrText>
      </w:r>
      <w:r w:rsidRPr="00EC6DAC">
        <w:rPr>
          <w:rFonts w:ascii="Times New Roman" w:hAnsi="Times New Roman" w:cs="Times New Roman"/>
          <w:b w:val="0"/>
          <w:color w:val="auto"/>
          <w:sz w:val="22"/>
        </w:rPr>
        <w:fldChar w:fldCharType="separate"/>
      </w:r>
      <w:r w:rsidRPr="00EC6DAC">
        <w:rPr>
          <w:rFonts w:ascii="Times New Roman" w:hAnsi="Times New Roman" w:cs="Times New Roman"/>
          <w:b w:val="0"/>
          <w:noProof/>
          <w:color w:val="auto"/>
          <w:sz w:val="22"/>
        </w:rPr>
        <w:t>5</w:t>
      </w:r>
      <w:r w:rsidRPr="00EC6DAC">
        <w:rPr>
          <w:rFonts w:ascii="Times New Roman" w:hAnsi="Times New Roman" w:cs="Times New Roman"/>
          <w:b w:val="0"/>
          <w:color w:val="auto"/>
          <w:sz w:val="22"/>
        </w:rPr>
        <w:fldChar w:fldCharType="end"/>
      </w:r>
      <w:r w:rsidRPr="00EC6DAC">
        <w:rPr>
          <w:rFonts w:ascii="Times New Roman" w:hAnsi="Times New Roman" w:cs="Times New Roman"/>
          <w:b w:val="0"/>
          <w:color w:val="auto"/>
          <w:sz w:val="22"/>
        </w:rPr>
        <w:t xml:space="preserve">  Probability of CVD (%) by detailed deprivation transition, stratified by ethnic group (adjusting for age, gender, [ethnicity])</w:t>
      </w:r>
    </w:p>
    <w:p w14:paraId="4C18186D" w14:textId="77777777" w:rsidR="00EC6DAC" w:rsidRDefault="00871C96" w:rsidP="00871C96">
      <w:pPr>
        <w:spacing w:line="480" w:lineRule="auto"/>
        <w:jc w:val="both"/>
        <w:rPr>
          <w:rFonts w:ascii="Times New Roman" w:hAnsi="Times New Roman" w:cs="Times New Roman"/>
        </w:rPr>
      </w:pPr>
      <w:r>
        <w:rPr>
          <w:rFonts w:ascii="Times New Roman" w:hAnsi="Times New Roman" w:cs="Times New Roman"/>
        </w:rPr>
        <w:t>Figure 6 illustrates the results of models 5</w:t>
      </w:r>
      <w:r>
        <w:rPr>
          <w:rFonts w:ascii="Times New Roman" w:hAnsi="Times New Roman" w:cs="Times New Roman"/>
          <w:i/>
        </w:rPr>
        <w:t>e</w:t>
      </w:r>
      <w:r>
        <w:rPr>
          <w:rFonts w:ascii="Times New Roman" w:hAnsi="Times New Roman" w:cs="Times New Roman"/>
        </w:rPr>
        <w:t xml:space="preserve"> as probabilities of CVD by experience of deprivation for stayers compared to movers</w:t>
      </w:r>
      <w:r w:rsidR="00A86F03">
        <w:rPr>
          <w:rFonts w:ascii="Times New Roman" w:hAnsi="Times New Roman" w:cs="Times New Roman"/>
        </w:rPr>
        <w:t>, stratified by ethnic group</w:t>
      </w:r>
      <w:r>
        <w:rPr>
          <w:rFonts w:ascii="Times New Roman" w:hAnsi="Times New Roman" w:cs="Times New Roman"/>
        </w:rPr>
        <w:t xml:space="preserve">. The similarities in the patterning of health for stayers by deprivation quintile and for movers by baseline deprivation quintile are striking. The steepest gradient is observed for </w:t>
      </w:r>
      <w:r w:rsidR="00D85309">
        <w:rPr>
          <w:rFonts w:ascii="Times New Roman" w:hAnsi="Times New Roman" w:cs="Times New Roman"/>
        </w:rPr>
        <w:t>Māori</w:t>
      </w:r>
      <w:r>
        <w:rPr>
          <w:rFonts w:ascii="Times New Roman" w:hAnsi="Times New Roman" w:cs="Times New Roman"/>
        </w:rPr>
        <w:t xml:space="preserve"> stayers</w:t>
      </w:r>
      <w:r w:rsidR="006F3C62">
        <w:rPr>
          <w:rFonts w:ascii="Times New Roman" w:hAnsi="Times New Roman" w:cs="Times New Roman"/>
        </w:rPr>
        <w:t xml:space="preserve"> (differences between quintiles are generally significant)</w:t>
      </w:r>
      <w:r>
        <w:rPr>
          <w:rFonts w:ascii="Times New Roman" w:hAnsi="Times New Roman" w:cs="Times New Roman"/>
        </w:rPr>
        <w:t xml:space="preserve">. Probability of CVD for </w:t>
      </w:r>
      <w:r w:rsidR="00D85309">
        <w:rPr>
          <w:rFonts w:ascii="Times New Roman" w:hAnsi="Times New Roman" w:cs="Times New Roman"/>
        </w:rPr>
        <w:t>Māori</w:t>
      </w:r>
      <w:r>
        <w:rPr>
          <w:rFonts w:ascii="Times New Roman" w:hAnsi="Times New Roman" w:cs="Times New Roman"/>
        </w:rPr>
        <w:t xml:space="preserve"> stayers who remain in Q5 (16.31%) is more than 1.5 times that of </w:t>
      </w:r>
      <w:r w:rsidR="00D85309">
        <w:rPr>
          <w:rFonts w:ascii="Times New Roman" w:hAnsi="Times New Roman" w:cs="Times New Roman"/>
        </w:rPr>
        <w:t>Māori</w:t>
      </w:r>
      <w:r>
        <w:rPr>
          <w:rFonts w:ascii="Times New Roman" w:hAnsi="Times New Roman" w:cs="Times New Roman"/>
        </w:rPr>
        <w:t xml:space="preserve"> stayers who remain in Q1 (9.17%). </w:t>
      </w:r>
      <w:r w:rsidR="00740D0F">
        <w:rPr>
          <w:rFonts w:ascii="Times New Roman" w:hAnsi="Times New Roman" w:cs="Times New Roman"/>
        </w:rPr>
        <w:t xml:space="preserve">However, probability of CVD for stayers in Q5 is not significantly different from movers. </w:t>
      </w:r>
      <w:r>
        <w:rPr>
          <w:rFonts w:ascii="Times New Roman" w:hAnsi="Times New Roman" w:cs="Times New Roman"/>
        </w:rPr>
        <w:t xml:space="preserve">Conversely, the gradient for Pacific, Indian and Other Asian stayers is less </w:t>
      </w:r>
      <w:r>
        <w:rPr>
          <w:rFonts w:ascii="Times New Roman" w:hAnsi="Times New Roman" w:cs="Times New Roman"/>
        </w:rPr>
        <w:lastRenderedPageBreak/>
        <w:t xml:space="preserve">marked with probability of CVD only about 1.2 times greater for stayers in Q5 than for stayers in Q1. </w:t>
      </w:r>
      <w:r w:rsidR="00740D0F">
        <w:rPr>
          <w:rFonts w:ascii="Times New Roman" w:hAnsi="Times New Roman" w:cs="Times New Roman"/>
        </w:rPr>
        <w:t xml:space="preserve">Movers for these groups consistently have a significantly higher probability of CVD than stayers, irrespective of deprivation. </w:t>
      </w:r>
      <w:r>
        <w:rPr>
          <w:rFonts w:ascii="Times New Roman" w:hAnsi="Times New Roman" w:cs="Times New Roman"/>
        </w:rPr>
        <w:t xml:space="preserve">The lowest probabilities of CVD for stayers are consistently found for those remaining in the least deprived areas for all ethnic groups. </w:t>
      </w:r>
    </w:p>
    <w:p w14:paraId="60B7024B" w14:textId="2515825B" w:rsidR="00EC6DAC" w:rsidRDefault="00FE0338" w:rsidP="00EC6DAC">
      <w:pPr>
        <w:keepNext/>
        <w:spacing w:line="480" w:lineRule="auto"/>
        <w:jc w:val="both"/>
      </w:pPr>
      <w:r>
        <w:rPr>
          <w:noProof/>
          <w:lang w:val="en-US"/>
        </w:rPr>
        <w:drawing>
          <wp:inline distT="0" distB="0" distL="0" distR="0" wp14:anchorId="4536A990" wp14:editId="6C9F4CF8">
            <wp:extent cx="5731510" cy="373761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37610"/>
                    </a:xfrm>
                    <a:prstGeom prst="rect">
                      <a:avLst/>
                    </a:prstGeom>
                  </pic:spPr>
                </pic:pic>
              </a:graphicData>
            </a:graphic>
          </wp:inline>
        </w:drawing>
      </w:r>
    </w:p>
    <w:p w14:paraId="25D5EE62" w14:textId="26B8448C" w:rsidR="00871C96" w:rsidRPr="00EC6DAC" w:rsidRDefault="00EC6DAC" w:rsidP="00EC6DAC">
      <w:pPr>
        <w:pStyle w:val="Caption"/>
        <w:jc w:val="both"/>
        <w:rPr>
          <w:rFonts w:ascii="Times New Roman" w:hAnsi="Times New Roman" w:cs="Times New Roman"/>
          <w:b w:val="0"/>
          <w:color w:val="auto"/>
          <w:sz w:val="22"/>
        </w:rPr>
      </w:pPr>
      <w:r w:rsidRPr="00EC6DAC">
        <w:rPr>
          <w:rFonts w:ascii="Times New Roman" w:hAnsi="Times New Roman" w:cs="Times New Roman"/>
          <w:b w:val="0"/>
          <w:color w:val="auto"/>
          <w:sz w:val="22"/>
        </w:rPr>
        <w:t xml:space="preserve">Figure </w:t>
      </w:r>
      <w:r w:rsidRPr="00EC6DAC">
        <w:rPr>
          <w:rFonts w:ascii="Times New Roman" w:hAnsi="Times New Roman" w:cs="Times New Roman"/>
          <w:b w:val="0"/>
          <w:color w:val="auto"/>
          <w:sz w:val="22"/>
        </w:rPr>
        <w:fldChar w:fldCharType="begin"/>
      </w:r>
      <w:r w:rsidRPr="00EC6DAC">
        <w:rPr>
          <w:rFonts w:ascii="Times New Roman" w:hAnsi="Times New Roman" w:cs="Times New Roman"/>
          <w:b w:val="0"/>
          <w:color w:val="auto"/>
          <w:sz w:val="22"/>
        </w:rPr>
        <w:instrText xml:space="preserve"> SEQ Figure \* ARABIC </w:instrText>
      </w:r>
      <w:r w:rsidRPr="00EC6DAC">
        <w:rPr>
          <w:rFonts w:ascii="Times New Roman" w:hAnsi="Times New Roman" w:cs="Times New Roman"/>
          <w:b w:val="0"/>
          <w:color w:val="auto"/>
          <w:sz w:val="22"/>
        </w:rPr>
        <w:fldChar w:fldCharType="separate"/>
      </w:r>
      <w:r w:rsidRPr="00EC6DAC">
        <w:rPr>
          <w:rFonts w:ascii="Times New Roman" w:hAnsi="Times New Roman" w:cs="Times New Roman"/>
          <w:b w:val="0"/>
          <w:noProof/>
          <w:color w:val="auto"/>
          <w:sz w:val="22"/>
        </w:rPr>
        <w:t>6</w:t>
      </w:r>
      <w:r w:rsidRPr="00EC6DAC">
        <w:rPr>
          <w:rFonts w:ascii="Times New Roman" w:hAnsi="Times New Roman" w:cs="Times New Roman"/>
          <w:b w:val="0"/>
          <w:color w:val="auto"/>
          <w:sz w:val="22"/>
        </w:rPr>
        <w:fldChar w:fldCharType="end"/>
      </w:r>
      <w:r w:rsidRPr="00EC6DAC">
        <w:rPr>
          <w:rFonts w:ascii="Times New Roman" w:hAnsi="Times New Roman" w:cs="Times New Roman"/>
          <w:b w:val="0"/>
          <w:color w:val="auto"/>
          <w:sz w:val="22"/>
        </w:rPr>
        <w:t xml:space="preserve"> Probability of CVD (%) by stable deprivation for stayers compared to movers, stratified by ethnic group (adjusting for age, gender, [ethnicity])</w:t>
      </w:r>
    </w:p>
    <w:p w14:paraId="7B173104" w14:textId="61DD95A0" w:rsidR="00276B20" w:rsidRPr="00DD5599" w:rsidRDefault="00871C96" w:rsidP="00DD5599">
      <w:pPr>
        <w:spacing w:line="480" w:lineRule="auto"/>
        <w:jc w:val="both"/>
        <w:rPr>
          <w:rFonts w:ascii="Times New Roman" w:hAnsi="Times New Roman" w:cs="Times New Roman"/>
          <w:b/>
        </w:rPr>
      </w:pPr>
      <w:r w:rsidRPr="00FF60EE">
        <w:rPr>
          <w:rFonts w:ascii="Times New Roman" w:hAnsi="Times New Roman" w:cs="Times New Roman"/>
          <w:b/>
        </w:rPr>
        <w:t>Discussion</w:t>
      </w:r>
    </w:p>
    <w:p w14:paraId="43C069CD" w14:textId="2FF88668" w:rsidR="00276B20" w:rsidRPr="009B597F" w:rsidRDefault="00276B20" w:rsidP="00276B20">
      <w:pPr>
        <w:spacing w:before="240" w:line="480" w:lineRule="auto"/>
        <w:jc w:val="both"/>
        <w:rPr>
          <w:rFonts w:ascii="Times New Roman" w:hAnsi="Times New Roman" w:cs="Times New Roman"/>
          <w:lang w:val="en-US"/>
        </w:rPr>
      </w:pPr>
      <w:r>
        <w:rPr>
          <w:rFonts w:ascii="Times New Roman" w:hAnsi="Times New Roman" w:cs="Times New Roman"/>
        </w:rPr>
        <w:t>T</w:t>
      </w:r>
      <w:r w:rsidRPr="004C3925">
        <w:rPr>
          <w:rFonts w:ascii="Times New Roman" w:hAnsi="Times New Roman" w:cs="Times New Roman"/>
        </w:rPr>
        <w:t xml:space="preserve">his paper </w:t>
      </w:r>
      <w:r>
        <w:rPr>
          <w:rFonts w:ascii="Times New Roman" w:hAnsi="Times New Roman" w:cs="Times New Roman"/>
        </w:rPr>
        <w:t>aimed</w:t>
      </w:r>
      <w:r w:rsidRPr="004C3925">
        <w:rPr>
          <w:rFonts w:ascii="Times New Roman" w:hAnsi="Times New Roman" w:cs="Times New Roman"/>
        </w:rPr>
        <w:t xml:space="preserve"> to investigate the relationship between residential mobility and risk of CVD for different ethnic </w:t>
      </w:r>
      <w:r w:rsidRPr="00C352FA">
        <w:rPr>
          <w:rFonts w:ascii="Times New Roman" w:hAnsi="Times New Roman" w:cs="Times New Roman"/>
        </w:rPr>
        <w:t xml:space="preserve">groups, building on </w:t>
      </w:r>
      <w:r w:rsidR="000B5389">
        <w:rPr>
          <w:rFonts w:ascii="Times New Roman" w:hAnsi="Times New Roman" w:cs="Times New Roman"/>
        </w:rPr>
        <w:t xml:space="preserve">previous </w:t>
      </w:r>
      <w:r w:rsidRPr="00C352FA">
        <w:rPr>
          <w:rFonts w:ascii="Times New Roman" w:hAnsi="Times New Roman" w:cs="Times New Roman"/>
        </w:rPr>
        <w:t>results of a study of Auckland</w:t>
      </w:r>
      <w:r>
        <w:rPr>
          <w:rFonts w:ascii="Times New Roman" w:hAnsi="Times New Roman" w:cs="Times New Roman"/>
        </w:rPr>
        <w:t>’s</w:t>
      </w:r>
      <w:r w:rsidRPr="00C352FA">
        <w:rPr>
          <w:rFonts w:ascii="Times New Roman" w:hAnsi="Times New Roman" w:cs="Times New Roman"/>
        </w:rPr>
        <w:t xml:space="preserve"> adults. We expanded the research, exploring whether the relationship between residential mobility and CVD varies between ethnic groups across the whole of </w:t>
      </w:r>
      <w:r>
        <w:rPr>
          <w:rFonts w:ascii="Times New Roman" w:hAnsi="Times New Roman" w:cs="Times New Roman"/>
        </w:rPr>
        <w:t>NZ</w:t>
      </w:r>
      <w:r w:rsidRPr="00C352FA">
        <w:rPr>
          <w:rFonts w:ascii="Times New Roman" w:hAnsi="Times New Roman" w:cs="Times New Roman"/>
        </w:rPr>
        <w:t xml:space="preserve">. Further, we addressed the role of immobility in explaining differences in health between ethnic groups, an idea that </w:t>
      </w:r>
      <w:r>
        <w:rPr>
          <w:rFonts w:ascii="Times New Roman" w:hAnsi="Times New Roman" w:cs="Times New Roman"/>
        </w:rPr>
        <w:t>has not been extensively explored in</w:t>
      </w:r>
      <w:r w:rsidRPr="00C352FA">
        <w:rPr>
          <w:rFonts w:ascii="Times New Roman" w:hAnsi="Times New Roman" w:cs="Times New Roman"/>
        </w:rPr>
        <w:t xml:space="preserve"> comparable literature. </w:t>
      </w:r>
    </w:p>
    <w:p w14:paraId="47A7C759" w14:textId="77777777"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lastRenderedPageBreak/>
        <w:t xml:space="preserve">The key findings of this paper are a) movers have a higher risk of CVD than stayers across the adult population of NZ (similar to the results of XXXX for Auckland’s adults); the influence of residential mobility on risk of CVD gains in importance through its relationship with deprivation mobility; and c) the relationship between residential mobility and risk of CVD varies notably between ethnic groups. Interpretation of the all-person models (see Table 3) suggested that the salience of residential mobility varied for each ethnic group through the complex relationship with deprivation, whether at baseline or through changing deprivation trajectories. Adjusting for baseline deprivation, deprivation mobility status or detailed deprivation transitions attenuated the odds of CVD for all ethnic groups, apart from Other Asians. The importance of deprivation was also apparent in the clear gradient to odds of CVD for stayers by deprivation quintile (model 5). </w:t>
      </w:r>
    </w:p>
    <w:p w14:paraId="0A976E10"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lang w:val="en-GB"/>
        </w:rPr>
        <w:t>To explore the attenuation of the odds of CVD by ethnic group observed in models 1-5, we calculated modelled probabilities of CVD, sub-setting each of the models by ethnic group. We refer to the results of these models as 1</w:t>
      </w:r>
      <w:r>
        <w:rPr>
          <w:rFonts w:ascii="Times New Roman" w:hAnsi="Times New Roman" w:cs="Times New Roman"/>
          <w:i/>
          <w:lang w:val="en-GB"/>
        </w:rPr>
        <w:t xml:space="preserve">e </w:t>
      </w:r>
      <w:r>
        <w:rPr>
          <w:rFonts w:ascii="Times New Roman" w:hAnsi="Times New Roman" w:cs="Times New Roman"/>
          <w:lang w:val="en-GB"/>
        </w:rPr>
        <w:t>to 5</w:t>
      </w:r>
      <w:r>
        <w:rPr>
          <w:rFonts w:ascii="Times New Roman" w:hAnsi="Times New Roman" w:cs="Times New Roman"/>
          <w:i/>
          <w:lang w:val="en-GB"/>
        </w:rPr>
        <w:t>e</w:t>
      </w:r>
      <w:r>
        <w:rPr>
          <w:rFonts w:ascii="Times New Roman" w:hAnsi="Times New Roman" w:cs="Times New Roman"/>
          <w:lang w:val="en-GB"/>
        </w:rPr>
        <w:t xml:space="preserve">. Calculating modelled probabilities allows comparisons within and between ethnic groups and reveal a more nuanced picture of the relationships between residential mobility, deprivation and CVD for different ethnic groups in NZ. As with the all-person models, we found that movers consistently have a significantly higher probability of CVD than stayers for all ethnic groups. This is consistent with wider literatures investigating the relationship between residential mobility and health (albeit not ethnically differentiated): </w:t>
      </w:r>
      <w:r>
        <w:rPr>
          <w:rFonts w:ascii="Times New Roman" w:hAnsi="Times New Roman" w:cs="Times New Roman"/>
        </w:rPr>
        <w:t>at the individual level, Morris et al. (2016) note that residential mobility is often associated with poorer health outcomes for movers compared to stayers (see Jelleyman and Spencer, 2008; Scanlon and Devine, 2001;</w:t>
      </w:r>
      <w:r w:rsidRPr="00C352FA">
        <w:rPr>
          <w:rFonts w:ascii="Times New Roman" w:hAnsi="Times New Roman" w:cs="Times New Roman"/>
        </w:rPr>
        <w:t xml:space="preserve"> </w:t>
      </w:r>
      <w:proofErr w:type="spellStart"/>
      <w:r w:rsidRPr="00C352FA">
        <w:rPr>
          <w:rFonts w:ascii="Times New Roman" w:hAnsi="Times New Roman" w:cs="Times New Roman"/>
        </w:rPr>
        <w:t>Piro</w:t>
      </w:r>
      <w:proofErr w:type="spellEnd"/>
      <w:r w:rsidRPr="00C352FA">
        <w:rPr>
          <w:rFonts w:ascii="Times New Roman" w:hAnsi="Times New Roman" w:cs="Times New Roman"/>
        </w:rPr>
        <w:t xml:space="preserve"> </w:t>
      </w:r>
      <w:r w:rsidRPr="00E23043">
        <w:rPr>
          <w:rFonts w:ascii="Times New Roman" w:hAnsi="Times New Roman" w:cs="Times New Roman"/>
        </w:rPr>
        <w:t>et al.</w:t>
      </w:r>
      <w:r>
        <w:rPr>
          <w:rFonts w:ascii="Times New Roman" w:hAnsi="Times New Roman" w:cs="Times New Roman"/>
        </w:rPr>
        <w:t>, 2</w:t>
      </w:r>
      <w:r w:rsidRPr="00C352FA">
        <w:rPr>
          <w:rFonts w:ascii="Times New Roman" w:hAnsi="Times New Roman" w:cs="Times New Roman"/>
        </w:rPr>
        <w:t>007)</w:t>
      </w:r>
      <w:r>
        <w:rPr>
          <w:rFonts w:ascii="Times New Roman" w:hAnsi="Times New Roman" w:cs="Times New Roman"/>
        </w:rPr>
        <w:t xml:space="preserve">. However, the nature of the residential mobility event will vary markedly between ethnic groups: disadvantaged groups will have very different motivations and opportunities for residential mobility to those of advantaged groups. This, in turn, will influence the relationship with CVD. </w:t>
      </w:r>
    </w:p>
    <w:p w14:paraId="6E660F49"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To effectively disentangle these relationships, we should look to the detailed health, social and physical histories of individuals. Morris et al. (2016: 2) advocate such an analytical framework, also drawing on individual experiences and personal biographies. Within the scope of this study, we use baseline deprivation and deprivation change (measured as deprivation mobility status and detailed deprivation </w:t>
      </w:r>
      <w:r>
        <w:rPr>
          <w:rFonts w:ascii="Times New Roman" w:hAnsi="Times New Roman" w:cs="Times New Roman"/>
        </w:rPr>
        <w:lastRenderedPageBreak/>
        <w:t xml:space="preserve">transitions) to try and unpack the relationship between residential mobility and CVD for different ethnic groups. </w:t>
      </w:r>
    </w:p>
    <w:p w14:paraId="5C655B8E"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In the Auckland study, the odds of CVD were lower for those moving up the deprivation spectrum (to lower deprivation) compared to those moving down (to more deprivation). XXX question whether health status is more associated with an individual’s current residence, or where they have been. However, it is more complex than that. We must also examine whether the extent of the influence of current or previous residence varies by, for example, deprivation, and consider the relationship with literatures on selective sorting (see Norman et al., 2005). In terms of the results in Auckland, we might assume that movers take some of the health advantage of more prosperous areas with them when moving from less to more deprived areas, while those moving out of more deprived areas may inherit the health status of the less deprived areas they move to, particularly if those groups of movers have been sorted into less deprived areas by virtue of their better health. </w:t>
      </w:r>
    </w:p>
    <w:p w14:paraId="37763020"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Our results reveal a more nuanced picture for different ethnic groups across NZ, and one with marginal differences when looking at the population as a whole. Maori, Pacific and NZEO movers who move to less deprived areas have a (marginally) higher risk of CVD than their peers moving to move deprived areas, perhaps suggesting they inherit the health status of the areas they move to </w:t>
      </w:r>
      <w:r>
        <w:rPr>
          <w:rFonts w:ascii="Times New Roman" w:hAnsi="Times New Roman" w:cs="Times New Roman"/>
          <w:i/>
        </w:rPr>
        <w:t xml:space="preserve">or </w:t>
      </w:r>
      <w:r>
        <w:rPr>
          <w:rFonts w:ascii="Times New Roman" w:hAnsi="Times New Roman" w:cs="Times New Roman"/>
        </w:rPr>
        <w:t xml:space="preserve">are sorted into these less deprived areas due to their good health. However, differences between the mobile groups are too small to be significant. Conversely, Indian and Other Asian movers who become more deprived have a higher probability of CVD than their peers who become less deprived. Are these down the deprivation spectrum precipitated by poor health?  This downward deprivation mobility is the most detrimental to Indian and Other Asian groups as this is associated with the highest probability of CVD. Yet for Maori and Pacific movers, the highest probability of CVD is associated with churning within the same deprivation quintile. Indeed for Maori, churning with the same level deprivation results in significantly higher probabilities of CVD than for any other deprivation mobility status. In contrast, churning within the same level of deprivation for NZEO movers results in a significantly lower probability of CVD. This likely reflects the markedly higher concentration of Maori and Pacific groups in the most deprived quintiles (see Table 2; Salmond and Crampton, 2012): the health of those churning within these </w:t>
      </w:r>
      <w:r>
        <w:rPr>
          <w:rFonts w:ascii="Times New Roman" w:hAnsi="Times New Roman" w:cs="Times New Roman"/>
        </w:rPr>
        <w:lastRenderedPageBreak/>
        <w:t xml:space="preserve">deprived areas will likely be poorer than those who have spent time in less deprived areas and then moved down. </w:t>
      </w:r>
    </w:p>
    <w:p w14:paraId="4C2117C9"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These results highlight the importance of looking, insofar as possible, to the wider experiences of differently mobile groups in order to understand the relationship with risk of CVD. Results of models 4</w:t>
      </w:r>
      <w:r>
        <w:rPr>
          <w:rFonts w:ascii="Times New Roman" w:hAnsi="Times New Roman" w:cs="Times New Roman"/>
          <w:i/>
        </w:rPr>
        <w:t xml:space="preserve">e </w:t>
      </w:r>
      <w:r>
        <w:rPr>
          <w:rFonts w:ascii="Times New Roman" w:hAnsi="Times New Roman" w:cs="Times New Roman"/>
        </w:rPr>
        <w:t xml:space="preserve">further illustrate this: Maori and Pacific movers who move within, into or out of the least deprived quintile (Q1) all have a lower probability of CVD than their stable counterparts, significantly lower for those moving within Q1. Similarly, NZEO movers churning with Q1 also have a significantly lower probability of CVD than their stable counterparts. This strengthens the conclusions drawn above: the health advantage of those groups in Q1 likely reflects their relatively social advantage, here defined by residency in the least deprived quintiles. Maori and Pacific groups residing in the least deprived quintiles will be particularly advantaged compared to their stable peers given the overwhelming concentration of these ethnic groups in the most advantaged areas. </w:t>
      </w:r>
    </w:p>
    <w:p w14:paraId="2C9A63E5"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It seems likely that deprivation histories interact with the opportunities for residential mobility and the nature of the move itself (in terms of changing deprivation). We must therefore ask, are there different causal pathways operating which might be explaining these results and the marked (often significant) variations within and between ethnic groups? </w:t>
      </w:r>
    </w:p>
    <w:p w14:paraId="39F714EB" w14:textId="77777777"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t>Firstly, those MEGS which concentrate in more deprived areas may have a heightened risk of CVD, irrespective of any residential mobility or the nature of the move, as CVD is socially graded. Those living in socially deprived areas may also be individually deprived, perhaps with lower levels of educational attainment and working in lower occupational classes. Each are associated with a higher risk of CVD mortality (Mackenbach et al., 2000): lower educational attainment may mean individuals are less able to participate in health promotion activities or are less aware of appropriate life-style choices and health-enabling behaviours (</w:t>
      </w:r>
      <w:proofErr w:type="spellStart"/>
      <w:r>
        <w:rPr>
          <w:rFonts w:ascii="Times New Roman" w:hAnsi="Times New Roman" w:cs="Times New Roman"/>
          <w:lang w:val="en-GB"/>
        </w:rPr>
        <w:t>Glymour</w:t>
      </w:r>
      <w:proofErr w:type="spellEnd"/>
      <w:r>
        <w:rPr>
          <w:rFonts w:ascii="Times New Roman" w:hAnsi="Times New Roman" w:cs="Times New Roman"/>
          <w:lang w:val="en-GB"/>
        </w:rPr>
        <w:t xml:space="preserve"> et al., 2014). However, those living in more deprived areas may also have access to fewer facilities or services which promote health-enabling behaviours, thus contributing to an increased risk of CVD. These compositional and contextual factors may collectively contribute to ethnic and social disparities in CVD. </w:t>
      </w:r>
    </w:p>
    <w:p w14:paraId="56EA5536" w14:textId="77777777"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lastRenderedPageBreak/>
        <w:t>Secondly, residential mobility is associated with poorer health outcomes as already noted, and this is consistent across ethnic groups. However, the relationship varies, evidenced by the ratio of the probabilities of CVD for movers compared to stayers in models 1</w:t>
      </w:r>
      <w:r>
        <w:rPr>
          <w:rFonts w:ascii="Times New Roman" w:hAnsi="Times New Roman" w:cs="Times New Roman"/>
          <w:i/>
          <w:lang w:val="en-GB"/>
        </w:rPr>
        <w:t>e</w:t>
      </w:r>
      <w:r>
        <w:rPr>
          <w:rFonts w:ascii="Times New Roman" w:hAnsi="Times New Roman" w:cs="Times New Roman"/>
          <w:lang w:val="en-GB"/>
        </w:rPr>
        <w:t xml:space="preserve">: probability of CVD is 1.5 times as likely for NZEO movers compared to stayers, this increases to 1.8 times as likely for Other Asians 2.6 times as likely for Indians, and more than 3 times as likely for Maori and Pacific movers. This may be explained by their contrasting deprivation experiences and the extent to which this determines the nature of the move itself. To understand this, we must revisit the concept of ‘malign migration’ and the notion that marginalised, socially excluded groups in inner city, deprived areas “experience higher than average levels of residential mobility which is detrimental to health” (Warfa et al., 2006: 504). 26% of the Maori population who moved during the study period moved more than 4 times within the most deprived areas.  This increases to 37% of Pacific movers, yet only accounts for 4% of NZEO movers. The interaction between deprivation and higher than average levels of residential mobility may be particularly pertinent to our understanding of the causal pathways driving the varying relationships between residential mobility and CVD for ethnic groups through uptake of health-related behaviours and the relationship with access to healthcare. </w:t>
      </w:r>
    </w:p>
    <w:p w14:paraId="76D3CA49" w14:textId="77777777"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t xml:space="preserve">Increased residential mobility is associated with increased participation in risk behaviours, including smoking, alcohol consumption even drug use (see Morris et al., 2016 for a review of relevant literatures): these risk factors, particularly smoking, may influence risk of CVD. Participation in these health-related behaviours is socially graded and varies between ethnic groups: while relative deprivation is the most important predictor of smoking uptake in NZ, increased inequality between Maori and non-Maori groups leads to higher smoking rates amongst Maori (Barnett et al., 2005). </w:t>
      </w:r>
    </w:p>
    <w:p w14:paraId="36045246" w14:textId="51EB6D1B"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t xml:space="preserve">Residential mobility, particularly amongst those concentrated in more </w:t>
      </w:r>
      <w:r w:rsidR="00876190">
        <w:rPr>
          <w:rFonts w:ascii="Times New Roman" w:hAnsi="Times New Roman" w:cs="Times New Roman"/>
          <w:lang w:val="en-GB"/>
        </w:rPr>
        <w:t>deprived</w:t>
      </w:r>
      <w:r>
        <w:rPr>
          <w:rFonts w:ascii="Times New Roman" w:hAnsi="Times New Roman" w:cs="Times New Roman"/>
          <w:lang w:val="en-GB"/>
        </w:rPr>
        <w:t xml:space="preserve"> areas, may disrupt access to preventative healthcare services (see Warfa et al., 2006; Jelleyman and Spencer, 2008). However, it is likely that there are additional salient interactions. Healthcare provision has famously been found to follow an inverse care law (Hart, 1971) whereby services are inversely distributed according to need. In NZ, recent research concluded that despite improvements in cardiac interventions, the inverse care law in the context of ischaemic heart disease persist for the Maori population (Sandiford </w:t>
      </w:r>
      <w:r>
        <w:rPr>
          <w:rFonts w:ascii="Times New Roman" w:hAnsi="Times New Roman" w:cs="Times New Roman"/>
          <w:lang w:val="en-GB"/>
        </w:rPr>
        <w:lastRenderedPageBreak/>
        <w:t>et al., 2015: 974). Ethnic differences in access or utilisation of healthcare may be variously explained by cultural, linguistic or religious factors influencing perceptions of healthcare services (e.g. willingness or perceived ability to access services) and participation in in health promotion activities (Zanchetta and Poureslami, 2006). However, these barriers extend past patient-level characteristics, including factors such as the attitudes of healthcare providers or structural barriers in the organisation of the healthcare system (see Scheppers et al., 2006).</w:t>
      </w:r>
    </w:p>
    <w:p w14:paraId="5ED515BA" w14:textId="6BB2A1AE" w:rsidR="00276B20" w:rsidRDefault="00276B20" w:rsidP="00276B20">
      <w:pPr>
        <w:spacing w:before="240" w:line="480" w:lineRule="auto"/>
        <w:jc w:val="both"/>
        <w:rPr>
          <w:rFonts w:ascii="Times New Roman" w:hAnsi="Times New Roman" w:cs="Times New Roman"/>
          <w:lang w:val="en-GB"/>
        </w:rPr>
      </w:pPr>
      <w:r>
        <w:rPr>
          <w:rFonts w:ascii="Times New Roman" w:hAnsi="Times New Roman" w:cs="Times New Roman"/>
          <w:lang w:val="en-GB"/>
        </w:rPr>
        <w:t xml:space="preserve">We might therefore assume that the higher risk of CVD for MEGs churning with more </w:t>
      </w:r>
      <w:r w:rsidR="00876190">
        <w:rPr>
          <w:rFonts w:ascii="Times New Roman" w:hAnsi="Times New Roman" w:cs="Times New Roman"/>
          <w:lang w:val="en-GB"/>
        </w:rPr>
        <w:t>deprived</w:t>
      </w:r>
      <w:r>
        <w:rPr>
          <w:rFonts w:ascii="Times New Roman" w:hAnsi="Times New Roman" w:cs="Times New Roman"/>
          <w:lang w:val="en-GB"/>
        </w:rPr>
        <w:t xml:space="preserve"> areas can, in part, be explained by the interaction between deprivation, residential mobility (or perhaps ‘malign migration’), ethnicity and access to preventative healthcare. Each are associated with a heightened risk of CVD, and collectively reflect a significant policy concern. To extent Jelleyman and Spencer’s (2008) arguments in the context of child health outcomes, CVD preventative healthcare services should be reoriented to effectively engage residentially mobile Maori, Pacific and Indian populations living in more deprived areas already vulnerable to CVD. </w:t>
      </w:r>
    </w:p>
    <w:p w14:paraId="2FAF79A8"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lang w:val="en-GB"/>
        </w:rPr>
        <w:t xml:space="preserve">Notwithstanding the likely important of the interactions outlined above, the reported results may be confounded by cultural factors differently influencing the patterning of residential mobility between ethnic groups, or by ethnically differentiated experiences of tenure and housing conditions across NZ. Firstly, despite broad similarities important differences in the age profile of movers across ethnic groups have been observed in the UK (Finney and Simpson, 2008; Simpson and Finney, 2009). Although younger adults are consistently the most mobile, South Asian groups are less likely to move than other ethnic groups. </w:t>
      </w:r>
      <w:r w:rsidRPr="00D81945">
        <w:rPr>
          <w:rFonts w:ascii="Times New Roman" w:hAnsi="Times New Roman" w:cs="Times New Roman"/>
        </w:rPr>
        <w:t xml:space="preserve">Finney and Simpson (2008) attribute this to differences in household formation as South Asian young adults are more likely to remain the family home until marriage contrasting with non-South Asian young adults who are more likely to live alone before marriage. It is reasonable to assume that patterns of residential mobility may be similarly influenced by different cultural traditions in the </w:t>
      </w:r>
      <w:r>
        <w:rPr>
          <w:rFonts w:ascii="Times New Roman" w:hAnsi="Times New Roman" w:cs="Times New Roman"/>
        </w:rPr>
        <w:t xml:space="preserve">NZ </w:t>
      </w:r>
      <w:r w:rsidRPr="00D81945">
        <w:rPr>
          <w:rFonts w:ascii="Times New Roman" w:hAnsi="Times New Roman" w:cs="Times New Roman"/>
        </w:rPr>
        <w:t>population which may be pertinent.</w:t>
      </w:r>
    </w:p>
    <w:p w14:paraId="79DAE9E2" w14:textId="0AA32DDB"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Secondly, recent research has shown that falls in owner-occupied housing have been greater in Maori (20%) and Pacific (35%) groups than for the total population (15%) between the 1986 and 2013 NZ </w:t>
      </w:r>
      <w:r>
        <w:rPr>
          <w:rFonts w:ascii="Times New Roman" w:hAnsi="Times New Roman" w:cs="Times New Roman"/>
        </w:rPr>
        <w:lastRenderedPageBreak/>
        <w:t>censuses. This may be explained by increasing housing costs prices, the younger age structure for Māori and Pacific people</w:t>
      </w:r>
      <w:r w:rsidR="00023B75">
        <w:rPr>
          <w:rFonts w:ascii="Times New Roman" w:hAnsi="Times New Roman" w:cs="Times New Roman"/>
        </w:rPr>
        <w:t xml:space="preserve"> and</w:t>
      </w:r>
      <w:r>
        <w:rPr>
          <w:rFonts w:ascii="Times New Roman" w:hAnsi="Times New Roman" w:cs="Times New Roman"/>
        </w:rPr>
        <w:t xml:space="preserve"> lower rates of employment and income levels among these ethnic groups (Statistics New Zealand 2016). Other important factors include ethnic differences in intergenerational attitudes to home ownership Statistics New Zealand 2016) and institutionalised racism (</w:t>
      </w:r>
      <w:r w:rsidRPr="00937656">
        <w:rPr>
          <w:rFonts w:ascii="Times New Roman" w:hAnsi="Times New Roman" w:cs="Times New Roman"/>
        </w:rPr>
        <w:t>Houkamau</w:t>
      </w:r>
      <w:r>
        <w:rPr>
          <w:rFonts w:ascii="Times New Roman" w:hAnsi="Times New Roman" w:cs="Times New Roman"/>
        </w:rPr>
        <w:t xml:space="preserve"> and Sibley, 2015). Data from the 2002/3 New Zealand Health Survey found that the odds of Māori experiencing racism in the context of housing was 13 times higher than NZ Europeans (Harris et al. 2006). Decreasing owner-occupation pushes groups into rental accommodation, insecure by nature and therefore related to residential mobility. A recent survey found that Maori (58%) and Pacific (71%) peoples were more likely to be renters than Asian (41%) or NZ Europeans (27%). To address the issues raised here, future research should assess the impact of transitions within and between tenures on ethnic differences in CVD as well as exploring whether and why propensity to migrate varies between ethnic groups. </w:t>
      </w:r>
    </w:p>
    <w:p w14:paraId="5E4B8AB8" w14:textId="3122E022" w:rsidR="00276B20" w:rsidRPr="00E23043"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In addition to these confounding factors, it is worth drawing out a final key point of interest from these data. </w:t>
      </w:r>
      <w:r w:rsidRPr="004C3925">
        <w:rPr>
          <w:rFonts w:ascii="Times New Roman" w:hAnsi="Times New Roman" w:cs="Times New Roman"/>
        </w:rPr>
        <w:t xml:space="preserve">Despite the relative disadvantage of </w:t>
      </w:r>
      <w:r>
        <w:rPr>
          <w:rFonts w:ascii="Times New Roman" w:hAnsi="Times New Roman" w:cs="Times New Roman"/>
        </w:rPr>
        <w:t>Māori</w:t>
      </w:r>
      <w:r w:rsidRPr="00C352FA">
        <w:rPr>
          <w:rFonts w:ascii="Times New Roman" w:hAnsi="Times New Roman" w:cs="Times New Roman"/>
        </w:rPr>
        <w:t xml:space="preserve"> populations who generally </w:t>
      </w:r>
      <w:r>
        <w:rPr>
          <w:rFonts w:ascii="Times New Roman" w:hAnsi="Times New Roman" w:cs="Times New Roman"/>
        </w:rPr>
        <w:t>have</w:t>
      </w:r>
      <w:r w:rsidRPr="00C352FA">
        <w:rPr>
          <w:rFonts w:ascii="Times New Roman" w:hAnsi="Times New Roman" w:cs="Times New Roman"/>
        </w:rPr>
        <w:t xml:space="preserve"> some of the highest probabilities</w:t>
      </w:r>
      <w:r w:rsidRPr="00FF60EE">
        <w:rPr>
          <w:rFonts w:ascii="Times New Roman" w:hAnsi="Times New Roman" w:cs="Times New Roman"/>
        </w:rPr>
        <w:t xml:space="preserve"> </w:t>
      </w:r>
      <w:r w:rsidRPr="004C3925">
        <w:rPr>
          <w:rFonts w:ascii="Times New Roman" w:hAnsi="Times New Roman" w:cs="Times New Roman"/>
        </w:rPr>
        <w:t xml:space="preserve">of CVD, the patterning </w:t>
      </w:r>
      <w:r>
        <w:rPr>
          <w:rFonts w:ascii="Times New Roman" w:hAnsi="Times New Roman" w:cs="Times New Roman"/>
        </w:rPr>
        <w:t>of</w:t>
      </w:r>
      <w:r w:rsidRPr="004C3925">
        <w:rPr>
          <w:rFonts w:ascii="Times New Roman" w:hAnsi="Times New Roman" w:cs="Times New Roman"/>
        </w:rPr>
        <w:t xml:space="preserve"> health for </w:t>
      </w:r>
      <w:r>
        <w:rPr>
          <w:rFonts w:ascii="Times New Roman" w:hAnsi="Times New Roman" w:cs="Times New Roman"/>
        </w:rPr>
        <w:t>Maori</w:t>
      </w:r>
      <w:r w:rsidRPr="004C3925">
        <w:rPr>
          <w:rFonts w:ascii="Times New Roman" w:hAnsi="Times New Roman" w:cs="Times New Roman"/>
        </w:rPr>
        <w:t xml:space="preserve"> </w:t>
      </w:r>
      <w:r>
        <w:rPr>
          <w:rFonts w:ascii="Times New Roman" w:hAnsi="Times New Roman" w:cs="Times New Roman"/>
        </w:rPr>
        <w:t>is</w:t>
      </w:r>
      <w:r w:rsidRPr="004C3925">
        <w:rPr>
          <w:rFonts w:ascii="Times New Roman" w:hAnsi="Times New Roman" w:cs="Times New Roman"/>
        </w:rPr>
        <w:t xml:space="preserve"> closely al</w:t>
      </w:r>
      <w:r>
        <w:rPr>
          <w:rFonts w:ascii="Times New Roman" w:hAnsi="Times New Roman" w:cs="Times New Roman"/>
        </w:rPr>
        <w:t xml:space="preserve">igned to the experiences of the </w:t>
      </w:r>
      <w:r w:rsidRPr="004C3925">
        <w:rPr>
          <w:rFonts w:ascii="Times New Roman" w:hAnsi="Times New Roman" w:cs="Times New Roman"/>
        </w:rPr>
        <w:t>NZEO. This contrast</w:t>
      </w:r>
      <w:r>
        <w:rPr>
          <w:rFonts w:ascii="Times New Roman" w:hAnsi="Times New Roman" w:cs="Times New Roman"/>
        </w:rPr>
        <w:t>s</w:t>
      </w:r>
      <w:r w:rsidRPr="004C3925">
        <w:rPr>
          <w:rFonts w:ascii="Times New Roman" w:hAnsi="Times New Roman" w:cs="Times New Roman"/>
        </w:rPr>
        <w:t xml:space="preserve"> </w:t>
      </w:r>
      <w:r w:rsidRPr="00C352FA">
        <w:rPr>
          <w:rFonts w:ascii="Times New Roman" w:hAnsi="Times New Roman" w:cs="Times New Roman"/>
        </w:rPr>
        <w:t xml:space="preserve">with the </w:t>
      </w:r>
      <w:r w:rsidRPr="004C3925">
        <w:rPr>
          <w:rFonts w:ascii="Times New Roman" w:hAnsi="Times New Roman" w:cs="Times New Roman"/>
        </w:rPr>
        <w:t xml:space="preserve">similarities in the patterning to </w:t>
      </w:r>
      <w:r w:rsidRPr="00C352FA">
        <w:rPr>
          <w:rFonts w:ascii="Times New Roman" w:hAnsi="Times New Roman" w:cs="Times New Roman"/>
        </w:rPr>
        <w:t>probabilit</w:t>
      </w:r>
      <w:r w:rsidR="00023B75">
        <w:rPr>
          <w:rFonts w:ascii="Times New Roman" w:hAnsi="Times New Roman" w:cs="Times New Roman"/>
        </w:rPr>
        <w:t>ies</w:t>
      </w:r>
      <w:r w:rsidRPr="00C352FA">
        <w:rPr>
          <w:rFonts w:ascii="Times New Roman" w:hAnsi="Times New Roman" w:cs="Times New Roman"/>
        </w:rPr>
        <w:t xml:space="preserve"> </w:t>
      </w:r>
      <w:r w:rsidRPr="004C3925">
        <w:rPr>
          <w:rFonts w:ascii="Times New Roman" w:hAnsi="Times New Roman" w:cs="Times New Roman"/>
        </w:rPr>
        <w:t>of CVD for Pacific, Indian and Other Asian groups.</w:t>
      </w:r>
      <w:r w:rsidRPr="00C352FA">
        <w:rPr>
          <w:rFonts w:ascii="Times New Roman" w:hAnsi="Times New Roman" w:cs="Times New Roman"/>
        </w:rPr>
        <w:t xml:space="preserve"> </w:t>
      </w:r>
      <w:r>
        <w:rPr>
          <w:rFonts w:ascii="Times New Roman" w:hAnsi="Times New Roman" w:cs="Times New Roman"/>
        </w:rPr>
        <w:t>We</w:t>
      </w:r>
      <w:r w:rsidRPr="00C352FA">
        <w:rPr>
          <w:rFonts w:ascii="Times New Roman" w:hAnsi="Times New Roman" w:cs="Times New Roman"/>
        </w:rPr>
        <w:t xml:space="preserve"> may speculate that the similarities</w:t>
      </w:r>
      <w:r>
        <w:rPr>
          <w:rFonts w:ascii="Times New Roman" w:hAnsi="Times New Roman" w:cs="Times New Roman"/>
        </w:rPr>
        <w:t xml:space="preserve"> in the distribution of risk of CVD</w:t>
      </w:r>
      <w:r w:rsidRPr="00C352FA">
        <w:rPr>
          <w:rFonts w:ascii="Times New Roman" w:hAnsi="Times New Roman" w:cs="Times New Roman"/>
        </w:rPr>
        <w:t xml:space="preserve"> between these two sets of ethnic groups are related to wider migration and settlement patterns in </w:t>
      </w:r>
      <w:r>
        <w:rPr>
          <w:rFonts w:ascii="Times New Roman" w:hAnsi="Times New Roman" w:cs="Times New Roman"/>
        </w:rPr>
        <w:t>NZ</w:t>
      </w:r>
      <w:r w:rsidRPr="00C352FA">
        <w:rPr>
          <w:rFonts w:ascii="Times New Roman" w:hAnsi="Times New Roman" w:cs="Times New Roman"/>
        </w:rPr>
        <w:t xml:space="preserve">. Pacific, Indian and Other Asian populations are more likely to comprise recent migrants whose health may follow from their place of origin or are not yet similarly susceptible to the determinants influencing </w:t>
      </w:r>
      <w:r>
        <w:rPr>
          <w:rFonts w:ascii="Times New Roman" w:hAnsi="Times New Roman" w:cs="Times New Roman"/>
        </w:rPr>
        <w:t>Māori</w:t>
      </w:r>
      <w:r w:rsidRPr="00C352FA">
        <w:rPr>
          <w:rFonts w:ascii="Times New Roman" w:hAnsi="Times New Roman" w:cs="Times New Roman"/>
        </w:rPr>
        <w:t xml:space="preserve"> and NZEO health. The similarities between </w:t>
      </w:r>
      <w:r>
        <w:rPr>
          <w:rFonts w:ascii="Times New Roman" w:hAnsi="Times New Roman" w:cs="Times New Roman"/>
        </w:rPr>
        <w:t>Māori</w:t>
      </w:r>
      <w:r w:rsidRPr="00C352FA">
        <w:rPr>
          <w:rFonts w:ascii="Times New Roman" w:hAnsi="Times New Roman" w:cs="Times New Roman"/>
        </w:rPr>
        <w:t xml:space="preserve"> and NZEO groups on the one hand, and Pacific, Indian and Other Asian on the other</w:t>
      </w:r>
      <w:r>
        <w:rPr>
          <w:rFonts w:ascii="Times New Roman" w:hAnsi="Times New Roman" w:cs="Times New Roman"/>
        </w:rPr>
        <w:t>,</w:t>
      </w:r>
      <w:r w:rsidRPr="00C352FA">
        <w:rPr>
          <w:rFonts w:ascii="Times New Roman" w:hAnsi="Times New Roman" w:cs="Times New Roman"/>
        </w:rPr>
        <w:t xml:space="preserve"> may therefore be attributed to longevity in </w:t>
      </w:r>
      <w:r>
        <w:rPr>
          <w:rFonts w:ascii="Times New Roman" w:hAnsi="Times New Roman" w:cs="Times New Roman"/>
        </w:rPr>
        <w:t>NZ</w:t>
      </w:r>
      <w:r w:rsidRPr="00C352FA">
        <w:rPr>
          <w:rFonts w:ascii="Times New Roman" w:hAnsi="Times New Roman" w:cs="Times New Roman"/>
        </w:rPr>
        <w:t xml:space="preserve"> and the resulting gradual convergence between cultural and socio-political heritages. As we were unable to exclude (recent) international migrants from the cohort, a common practice in research into selective migration and health (e.g. </w:t>
      </w:r>
      <w:r w:rsidRPr="00E23043">
        <w:rPr>
          <w:rFonts w:ascii="Times New Roman" w:hAnsi="Times New Roman" w:cs="Times New Roman"/>
        </w:rPr>
        <w:t xml:space="preserve">Norman et al., </w:t>
      </w:r>
      <w:r>
        <w:rPr>
          <w:rFonts w:ascii="Times New Roman" w:hAnsi="Times New Roman" w:cs="Times New Roman"/>
        </w:rPr>
        <w:t>2005</w:t>
      </w:r>
      <w:r w:rsidRPr="00E23043">
        <w:rPr>
          <w:rFonts w:ascii="Times New Roman" w:hAnsi="Times New Roman" w:cs="Times New Roman"/>
        </w:rPr>
        <w:t xml:space="preserve">), this cannot be further tested. However, future work should explore how the influence of residential mobility and deprivation mobility on health may not only vary between ethnic groups in terms of the magnitude of the influence, but also may vary according </w:t>
      </w:r>
      <w:r w:rsidRPr="00E23043">
        <w:rPr>
          <w:rFonts w:ascii="Times New Roman" w:hAnsi="Times New Roman" w:cs="Times New Roman"/>
        </w:rPr>
        <w:lastRenderedPageBreak/>
        <w:t xml:space="preserve">to length of residence in a country. Such work would build on literatures exploring the ‘healthy migrant effect’ and wider international migration (e.g. Silventoinen et al., 2008; Norredam et al., 2013; Blair and Schneeberg, 2014), rather than internal migration or residential mobility.  </w:t>
      </w:r>
    </w:p>
    <w:p w14:paraId="1315AC5C" w14:textId="77777777" w:rsidR="00276B20" w:rsidRDefault="00276B20" w:rsidP="00276B20">
      <w:pPr>
        <w:spacing w:before="240" w:line="480" w:lineRule="auto"/>
        <w:jc w:val="both"/>
        <w:rPr>
          <w:rFonts w:ascii="Times New Roman" w:hAnsi="Times New Roman" w:cs="Times New Roman"/>
        </w:rPr>
      </w:pPr>
      <w:r w:rsidRPr="00C352FA">
        <w:rPr>
          <w:rFonts w:ascii="Times New Roman" w:hAnsi="Times New Roman" w:cs="Times New Roman"/>
        </w:rPr>
        <w:t xml:space="preserve">We have shown that the relationship between residential mobility and risk of CVD varies notably between ethnic groups. However, much of this variation is attributable to the contrasting deprivation experiences of different ethnic groups in </w:t>
      </w:r>
      <w:r>
        <w:rPr>
          <w:rFonts w:ascii="Times New Roman" w:hAnsi="Times New Roman" w:cs="Times New Roman"/>
        </w:rPr>
        <w:t>NZ</w:t>
      </w:r>
      <w:r w:rsidRPr="00C352FA">
        <w:rPr>
          <w:rFonts w:ascii="Times New Roman" w:hAnsi="Times New Roman" w:cs="Times New Roman"/>
        </w:rPr>
        <w:t xml:space="preserve">, evident in the attenuating influence of baseline deprivation circumstances on </w:t>
      </w:r>
      <w:r>
        <w:rPr>
          <w:rFonts w:ascii="Times New Roman" w:hAnsi="Times New Roman" w:cs="Times New Roman"/>
        </w:rPr>
        <w:t xml:space="preserve">the </w:t>
      </w:r>
      <w:r w:rsidRPr="00C352FA">
        <w:rPr>
          <w:rFonts w:ascii="Times New Roman" w:hAnsi="Times New Roman" w:cs="Times New Roman"/>
        </w:rPr>
        <w:t>odds of CVD by ethnic group, the consistent deprivation gradient in probability</w:t>
      </w:r>
      <w:r w:rsidRPr="00FF60EE">
        <w:rPr>
          <w:rFonts w:ascii="Times New Roman" w:hAnsi="Times New Roman" w:cs="Times New Roman"/>
        </w:rPr>
        <w:t xml:space="preserve"> </w:t>
      </w:r>
      <w:r w:rsidRPr="004C3925">
        <w:rPr>
          <w:rFonts w:ascii="Times New Roman" w:hAnsi="Times New Roman" w:cs="Times New Roman"/>
        </w:rPr>
        <w:t xml:space="preserve">of CVD for stayers, and the varying </w:t>
      </w:r>
      <w:r w:rsidRPr="00C352FA">
        <w:rPr>
          <w:rFonts w:ascii="Times New Roman" w:hAnsi="Times New Roman" w:cs="Times New Roman"/>
        </w:rPr>
        <w:t xml:space="preserve">probabilities </w:t>
      </w:r>
      <w:r w:rsidRPr="00FF60EE">
        <w:rPr>
          <w:rFonts w:ascii="Times New Roman" w:hAnsi="Times New Roman" w:cs="Times New Roman"/>
        </w:rPr>
        <w:t xml:space="preserve">of CVD for different ethnic groups according to the nature of the move. It is apparent that while residential mobility is an important determinant of CVD in </w:t>
      </w:r>
      <w:r>
        <w:rPr>
          <w:rFonts w:ascii="Times New Roman" w:hAnsi="Times New Roman" w:cs="Times New Roman"/>
        </w:rPr>
        <w:t>NZ</w:t>
      </w:r>
      <w:r w:rsidRPr="00FF60EE">
        <w:rPr>
          <w:rFonts w:ascii="Times New Roman" w:hAnsi="Times New Roman" w:cs="Times New Roman"/>
        </w:rPr>
        <w:t>, as was found in the Auckland study, the e</w:t>
      </w:r>
      <w:r w:rsidRPr="004C3925">
        <w:rPr>
          <w:rFonts w:ascii="Times New Roman" w:hAnsi="Times New Roman" w:cs="Times New Roman"/>
        </w:rPr>
        <w:t xml:space="preserve">xtent of the influence will vary by ethnic group according to their deprivation experiences. </w:t>
      </w:r>
      <w:r>
        <w:rPr>
          <w:rFonts w:ascii="Times New Roman" w:hAnsi="Times New Roman" w:cs="Times New Roman"/>
        </w:rPr>
        <w:t xml:space="preserve">Further differences may also arise if ethnic groups are differentiated by sex as gendered differences in risk of CVD have been determined in the literature </w:t>
      </w:r>
      <w:r>
        <w:rPr>
          <w:rFonts w:ascii="Times New Roman" w:hAnsi="Times New Roman" w:cs="Times New Roman"/>
        </w:rPr>
        <w:fldChar w:fldCharType="begin">
          <w:fldData xml:space="preserve">PEVuZE5vdGU+PENpdGU+PEF1dGhvcj5NYWFzPC9BdXRob3I+PFllYXI+MjAxMDwvWWVhcj48UmVj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</w:fldData>
        </w:fldChar>
      </w:r>
      <w:r w:rsidRPr="00206D56">
        <w:rPr>
          <w:rFonts w:ascii="Times New Roman" w:hAnsi="Times New Roman" w:cs="Times New Roman"/>
        </w:rPr>
        <w:instrText xml:space="preserve"> ADDIN EN.CITE </w:instrText>
      </w:r>
      <w:r w:rsidRPr="00206D56">
        <w:rPr>
          <w:rFonts w:ascii="Times New Roman" w:hAnsi="Times New Roman" w:cs="Times New Roman"/>
        </w:rPr>
        <w:fldChar w:fldCharType="begin">
          <w:fldData xml:space="preserve">PEVuZE5vdGU+PENpdGU+PEF1dGhvcj5NYWFzPC9BdXRob3I+PFllYXI+MjAxMDwvWWVhcj48UmVj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</w:fldData>
        </w:fldChar>
      </w:r>
      <w:r w:rsidRPr="00206D56">
        <w:rPr>
          <w:rFonts w:ascii="Times New Roman" w:hAnsi="Times New Roman" w:cs="Times New Roman"/>
        </w:rPr>
        <w:instrText xml:space="preserve"> ADDIN EN.CITE.DATA </w:instrText>
      </w:r>
      <w:r w:rsidRPr="00206D56">
        <w:rPr>
          <w:rFonts w:ascii="Times New Roman" w:hAnsi="Times New Roman" w:cs="Times New Roman"/>
        </w:rPr>
      </w:r>
      <w:r w:rsidRPr="00206D56">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(Mieres 2005, Maas and Appelman 2010, Mosca et al., 2011; Brunner, 2016)</w:t>
      </w:r>
      <w:r>
        <w:rPr>
          <w:rFonts w:ascii="Times New Roman" w:hAnsi="Times New Roman" w:cs="Times New Roman"/>
        </w:rPr>
        <w:fldChar w:fldCharType="end"/>
      </w:r>
      <w:r>
        <w:rPr>
          <w:rFonts w:ascii="Times New Roman" w:hAnsi="Times New Roman" w:cs="Times New Roman"/>
        </w:rPr>
        <w:t xml:space="preserve">. There may also be gendered differences in migration propensities between ethnic groups. Future work should investigate whether gendered differences in risk of CVD interact with possible gendered differences in propensity to migrate by ethnic group. </w:t>
      </w:r>
    </w:p>
    <w:p w14:paraId="4181EE09" w14:textId="77777777" w:rsidR="00276B20" w:rsidRPr="00D81945" w:rsidRDefault="00276B20" w:rsidP="00276B20">
      <w:pPr>
        <w:spacing w:before="240" w:line="480" w:lineRule="auto"/>
        <w:jc w:val="both"/>
        <w:rPr>
          <w:rFonts w:ascii="Times New Roman" w:hAnsi="Times New Roman" w:cs="Times New Roman"/>
        </w:rPr>
      </w:pPr>
      <w:r>
        <w:rPr>
          <w:rFonts w:ascii="Times New Roman" w:hAnsi="Times New Roman" w:cs="Times New Roman"/>
        </w:rPr>
        <w:t xml:space="preserve">Despite the strengths of this study, particularly in the value of the dataset used, there are a number of limitations. Firstly, we are not able to fully disentangle the complexities of the relationship between residential mobility and health in the absence of richer socioeconomic data on the participants included. However, deprivation acts as a good proxy for individual-level socioeconomic data and reveals much as to the socially graded risk of CVD and how this varies between ethnic groups. Secondly, </w:t>
      </w:r>
      <w:r w:rsidRPr="00D81945">
        <w:rPr>
          <w:rFonts w:ascii="Times New Roman" w:hAnsi="Times New Roman" w:cs="Times New Roman"/>
        </w:rPr>
        <w:t>we are not able to account for</w:t>
      </w:r>
      <w:r>
        <w:rPr>
          <w:rFonts w:ascii="Times New Roman" w:hAnsi="Times New Roman" w:cs="Times New Roman"/>
        </w:rPr>
        <w:t xml:space="preserve"> certain factors </w:t>
      </w:r>
      <w:r w:rsidRPr="00D81945">
        <w:rPr>
          <w:rFonts w:ascii="Times New Roman" w:hAnsi="Times New Roman" w:cs="Times New Roman"/>
        </w:rPr>
        <w:t>such as access to healthcare or cultural differences influencing residential mobility patterns. In the case of the latter, it is important to recognise that we are not necessarily comparing like-for-like when looking at different ethnic groups. Relatedly</w:t>
      </w:r>
      <w:r>
        <w:rPr>
          <w:rFonts w:ascii="Times New Roman" w:hAnsi="Times New Roman" w:cs="Times New Roman"/>
        </w:rPr>
        <w:t>, we must ask whether</w:t>
      </w:r>
      <w:r w:rsidRPr="00D81945">
        <w:rPr>
          <w:rFonts w:ascii="Times New Roman" w:hAnsi="Times New Roman" w:cs="Times New Roman"/>
        </w:rPr>
        <w:t xml:space="preserve"> comparisons between movers and stayers are not necessarily comparing like-for-like: are differences in health outcomes the result of mover or stayer status, or merely an ‘artefact of differences in their demographic composition’ (Green et al., 2015: 30). While the distinct characteristics of mobile </w:t>
      </w:r>
      <w:r w:rsidRPr="00D81945">
        <w:rPr>
          <w:rFonts w:ascii="Times New Roman" w:hAnsi="Times New Roman" w:cs="Times New Roman"/>
        </w:rPr>
        <w:lastRenderedPageBreak/>
        <w:t xml:space="preserve">groups compared to immobile groups are the basis of theories of health-selective migration, </w:t>
      </w:r>
      <w:r>
        <w:rPr>
          <w:rFonts w:ascii="Times New Roman" w:hAnsi="Times New Roman" w:cs="Times New Roman"/>
        </w:rPr>
        <w:t xml:space="preserve">the inherent bias in the data is problematic (note the different composition of movers compared to stayers in Table 1). </w:t>
      </w:r>
    </w:p>
    <w:p w14:paraId="309593FB" w14:textId="77777777" w:rsidR="00276B20" w:rsidRDefault="00276B20" w:rsidP="00276B20">
      <w:pPr>
        <w:spacing w:before="240" w:line="480" w:lineRule="auto"/>
        <w:jc w:val="both"/>
        <w:rPr>
          <w:rFonts w:ascii="Times New Roman" w:hAnsi="Times New Roman" w:cs="Times New Roman"/>
        </w:rPr>
      </w:pPr>
      <w:r w:rsidRPr="00D81945">
        <w:rPr>
          <w:rFonts w:ascii="Times New Roman" w:hAnsi="Times New Roman" w:cs="Times New Roman"/>
        </w:rPr>
        <w:t>Green et al. (2015) note that this inherent bias is rarely adequately accounted for in migratory research. To overcome this bias, they advocate the use of ‘matching’, comparing the change in status of one group (e.g. the migration event) with the manually changed status of an alternative control group. Using this pseudo-experimental design, the authors of the study find that migration, regardless of the nature of the move, increased the likelihood that an individual reported poor health. Thus, while the process of matching might help reduce selection bias in the data given the contrasting demographic characteristics of</w:t>
      </w:r>
      <w:r>
        <w:rPr>
          <w:rFonts w:ascii="Times New Roman" w:hAnsi="Times New Roman" w:cs="Times New Roman"/>
        </w:rPr>
        <w:t xml:space="preserve"> movers compared to stayers</w:t>
      </w:r>
      <w:r w:rsidRPr="00D81945">
        <w:rPr>
          <w:rFonts w:ascii="Times New Roman" w:hAnsi="Times New Roman" w:cs="Times New Roman"/>
        </w:rPr>
        <w:t xml:space="preserve">, the results of their study are similar to those reported here. Namely, probability of CVD is greater for movers compared to stayers, regardless of the nature of the move. </w:t>
      </w:r>
      <w:r>
        <w:rPr>
          <w:rFonts w:ascii="Times New Roman" w:hAnsi="Times New Roman" w:cs="Times New Roman"/>
        </w:rPr>
        <w:t xml:space="preserve">Although this reflects a limitation of the study, our interpretation of the results are still significant. </w:t>
      </w:r>
    </w:p>
    <w:p w14:paraId="755ACD50" w14:textId="77777777" w:rsidR="00276B20" w:rsidRDefault="00276B20" w:rsidP="00276B20">
      <w:pPr>
        <w:spacing w:before="240" w:line="480" w:lineRule="auto"/>
        <w:jc w:val="both"/>
        <w:rPr>
          <w:rFonts w:ascii="Times New Roman" w:hAnsi="Times New Roman" w:cs="Times New Roman"/>
        </w:rPr>
      </w:pPr>
      <w:r>
        <w:rPr>
          <w:rFonts w:ascii="Times New Roman" w:hAnsi="Times New Roman" w:cs="Times New Roman"/>
        </w:rPr>
        <w:t>We must look to d</w:t>
      </w:r>
      <w:r w:rsidRPr="00D81945">
        <w:rPr>
          <w:rFonts w:ascii="Times New Roman" w:hAnsi="Times New Roman" w:cs="Times New Roman"/>
        </w:rPr>
        <w:t xml:space="preserve">iscussions of health-selective migration </w:t>
      </w:r>
      <w:r>
        <w:rPr>
          <w:rFonts w:ascii="Times New Roman" w:hAnsi="Times New Roman" w:cs="Times New Roman"/>
        </w:rPr>
        <w:t>to expand on</w:t>
      </w:r>
      <w:r w:rsidRPr="00D81945">
        <w:rPr>
          <w:rFonts w:ascii="Times New Roman" w:hAnsi="Times New Roman" w:cs="Times New Roman"/>
        </w:rPr>
        <w:t xml:space="preserve"> these results. How confident can we be that there is a causal relationship between residential mobility and risk of CVD? The findings presented in this paper contrast with some of the wider literature on migration and health</w:t>
      </w:r>
      <w:r w:rsidRPr="00C352FA">
        <w:rPr>
          <w:rFonts w:ascii="Times New Roman" w:hAnsi="Times New Roman" w:cs="Times New Roman"/>
        </w:rPr>
        <w:t xml:space="preserve"> which finds that migrants, or at least younger migrants, are in better health than their stable counterparts (Bentham, 1988; </w:t>
      </w:r>
      <w:r w:rsidRPr="00E23043">
        <w:rPr>
          <w:rFonts w:ascii="Times New Roman" w:hAnsi="Times New Roman" w:cs="Times New Roman"/>
        </w:rPr>
        <w:t>Larson et al.,</w:t>
      </w:r>
      <w:r w:rsidRPr="00C352FA">
        <w:rPr>
          <w:rFonts w:ascii="Times New Roman" w:hAnsi="Times New Roman" w:cs="Times New Roman"/>
        </w:rPr>
        <w:t xml:space="preserve"> 2004). </w:t>
      </w:r>
      <w:r w:rsidRPr="00D81945">
        <w:rPr>
          <w:rFonts w:ascii="Times New Roman" w:hAnsi="Times New Roman" w:cs="Times New Roman"/>
        </w:rPr>
        <w:t>On the one hand, this may reflect the neglect of ‘malign migration’ in the literature, something that has also been explored in terms of the ‘drift’ hypothesis in research exploring mental health and selective migration (see Curtis et al., 2006; De Verteuil et al., 2007). The heightened risk of CVD for marginalised minority groups in more deprived areas may be attributed to higher rates of residential mobility. Future research should examine the frequency of moves and the deprivation trajectory of these moves over time to address this issue. On the other hand, the health outcome may be important</w:t>
      </w:r>
      <w:r w:rsidRPr="00C352FA">
        <w:rPr>
          <w:rFonts w:ascii="Times New Roman" w:hAnsi="Times New Roman" w:cs="Times New Roman"/>
        </w:rPr>
        <w:t xml:space="preserve"> in assessing the influence of health-selective migration or residential mobility on health inequalities in a population, as is the nature of the move itself in terms of changing deprivation. </w:t>
      </w:r>
      <w:r>
        <w:rPr>
          <w:rFonts w:ascii="Times New Roman" w:hAnsi="Times New Roman" w:cs="Times New Roman"/>
        </w:rPr>
        <w:t>I</w:t>
      </w:r>
      <w:r w:rsidRPr="00C352FA">
        <w:rPr>
          <w:rFonts w:ascii="Times New Roman" w:hAnsi="Times New Roman" w:cs="Times New Roman"/>
        </w:rPr>
        <w:t xml:space="preserve">t is possible that movers may have a heightened susceptibility to certain morbidities such as CVD as a consequence of the move itself. </w:t>
      </w:r>
      <w:r>
        <w:rPr>
          <w:rFonts w:ascii="Times New Roman" w:hAnsi="Times New Roman" w:cs="Times New Roman"/>
        </w:rPr>
        <w:t>Apart from not having experienced a CVD event by the start of the study period,</w:t>
      </w:r>
      <w:r w:rsidRPr="00C352FA">
        <w:rPr>
          <w:rFonts w:ascii="Times New Roman" w:hAnsi="Times New Roman" w:cs="Times New Roman"/>
        </w:rPr>
        <w:t xml:space="preserve"> the sequencing of the </w:t>
      </w:r>
      <w:r>
        <w:rPr>
          <w:rFonts w:ascii="Times New Roman" w:hAnsi="Times New Roman" w:cs="Times New Roman"/>
        </w:rPr>
        <w:t xml:space="preserve">CVD and migration </w:t>
      </w:r>
      <w:r w:rsidRPr="00C352FA">
        <w:rPr>
          <w:rFonts w:ascii="Times New Roman" w:hAnsi="Times New Roman" w:cs="Times New Roman"/>
        </w:rPr>
        <w:t>event</w:t>
      </w:r>
      <w:r>
        <w:rPr>
          <w:rFonts w:ascii="Times New Roman" w:hAnsi="Times New Roman" w:cs="Times New Roman"/>
        </w:rPr>
        <w:t>s</w:t>
      </w:r>
      <w:r w:rsidRPr="00C352FA">
        <w:rPr>
          <w:rFonts w:ascii="Times New Roman" w:hAnsi="Times New Roman" w:cs="Times New Roman"/>
        </w:rPr>
        <w:t xml:space="preserve"> </w:t>
      </w:r>
      <w:r>
        <w:rPr>
          <w:rFonts w:ascii="Times New Roman" w:hAnsi="Times New Roman" w:cs="Times New Roman"/>
        </w:rPr>
        <w:t>are</w:t>
      </w:r>
      <w:r w:rsidRPr="00C352FA">
        <w:rPr>
          <w:rFonts w:ascii="Times New Roman" w:hAnsi="Times New Roman" w:cs="Times New Roman"/>
        </w:rPr>
        <w:t xml:space="preserve"> not accounted for </w:t>
      </w:r>
      <w:r>
        <w:rPr>
          <w:rFonts w:ascii="Times New Roman" w:hAnsi="Times New Roman" w:cs="Times New Roman"/>
        </w:rPr>
        <w:t>here</w:t>
      </w:r>
      <w:r w:rsidRPr="00C352FA">
        <w:rPr>
          <w:rFonts w:ascii="Times New Roman" w:hAnsi="Times New Roman" w:cs="Times New Roman"/>
        </w:rPr>
        <w:t xml:space="preserve">. Thus, for </w:t>
      </w:r>
      <w:r w:rsidRPr="00C352FA">
        <w:rPr>
          <w:rFonts w:ascii="Times New Roman" w:hAnsi="Times New Roman" w:cs="Times New Roman"/>
        </w:rPr>
        <w:lastRenderedPageBreak/>
        <w:t xml:space="preserve">different ethnic groups in </w:t>
      </w:r>
      <w:r>
        <w:rPr>
          <w:rFonts w:ascii="Times New Roman" w:hAnsi="Times New Roman" w:cs="Times New Roman"/>
        </w:rPr>
        <w:t xml:space="preserve">NZ, are CVD events the reason for the move (for informal care, for example), </w:t>
      </w:r>
      <w:r w:rsidRPr="00C352FA">
        <w:rPr>
          <w:rFonts w:ascii="Times New Roman" w:hAnsi="Times New Roman" w:cs="Times New Roman"/>
        </w:rPr>
        <w:t xml:space="preserve">are CVD events associated with the move </w:t>
      </w:r>
      <w:r>
        <w:rPr>
          <w:rFonts w:ascii="Times New Roman" w:hAnsi="Times New Roman" w:cs="Times New Roman"/>
        </w:rPr>
        <w:t xml:space="preserve">(relating to the stress of moving), </w:t>
      </w:r>
      <w:r w:rsidRPr="00C352FA">
        <w:rPr>
          <w:rFonts w:ascii="Times New Roman" w:hAnsi="Times New Roman" w:cs="Times New Roman"/>
        </w:rPr>
        <w:t>or are certain characteristics of movers associated with a higher risk of CVD</w:t>
      </w:r>
      <w:r>
        <w:rPr>
          <w:rFonts w:ascii="Times New Roman" w:hAnsi="Times New Roman" w:cs="Times New Roman"/>
        </w:rPr>
        <w:t xml:space="preserve"> (see forthcoming research)</w:t>
      </w:r>
      <w:r w:rsidRPr="00C352FA">
        <w:rPr>
          <w:rFonts w:ascii="Times New Roman" w:hAnsi="Times New Roman" w:cs="Times New Roman"/>
        </w:rPr>
        <w:t>?</w:t>
      </w:r>
      <w:r>
        <w:rPr>
          <w:rFonts w:ascii="Times New Roman" w:hAnsi="Times New Roman" w:cs="Times New Roman"/>
        </w:rPr>
        <w:t xml:space="preserve"> </w:t>
      </w:r>
    </w:p>
    <w:p w14:paraId="37835AB1" w14:textId="77777777" w:rsidR="00276B20" w:rsidRPr="001E0AA8" w:rsidRDefault="00276B20" w:rsidP="00276B20">
      <w:pPr>
        <w:spacing w:before="240" w:line="480" w:lineRule="auto"/>
        <w:jc w:val="both"/>
        <w:rPr>
          <w:rFonts w:ascii="Times New Roman" w:hAnsi="Times New Roman" w:cs="Times New Roman"/>
          <w:b/>
          <w:lang w:val="en-GB"/>
        </w:rPr>
      </w:pPr>
      <w:r>
        <w:rPr>
          <w:rFonts w:ascii="Times New Roman" w:hAnsi="Times New Roman" w:cs="Times New Roman"/>
        </w:rPr>
        <w:t xml:space="preserve">Notwithstanding these limitations, this study clearly identifies a number of fruitful avenues for future research. Further, ethnic inequalities in CVD are a major policy concern in NZ, and of international relevance given the existence of these inequalities in countries across the world.  The policy implications of this study are clear. Residentially </w:t>
      </w:r>
      <w:r w:rsidRPr="004C3925">
        <w:rPr>
          <w:rFonts w:ascii="Times New Roman" w:hAnsi="Times New Roman" w:cs="Times New Roman"/>
        </w:rPr>
        <w:t xml:space="preserve">mobile </w:t>
      </w:r>
      <w:r>
        <w:rPr>
          <w:rFonts w:ascii="Times New Roman" w:hAnsi="Times New Roman" w:cs="Times New Roman"/>
        </w:rPr>
        <w:t>Māori</w:t>
      </w:r>
      <w:r w:rsidRPr="004C3925">
        <w:rPr>
          <w:rFonts w:ascii="Times New Roman" w:hAnsi="Times New Roman" w:cs="Times New Roman"/>
        </w:rPr>
        <w:t>, Pacific and South Asian populations who already have a heightened risk of CVD livin</w:t>
      </w:r>
      <w:r w:rsidRPr="00C352FA">
        <w:rPr>
          <w:rFonts w:ascii="Times New Roman" w:hAnsi="Times New Roman" w:cs="Times New Roman"/>
        </w:rPr>
        <w:t xml:space="preserve">g in more deprived areas must be the focus of policies aiming to reduce inequalities in CVD within </w:t>
      </w:r>
      <w:r>
        <w:rPr>
          <w:rFonts w:ascii="Times New Roman" w:hAnsi="Times New Roman" w:cs="Times New Roman"/>
        </w:rPr>
        <w:t>NZ</w:t>
      </w:r>
      <w:r w:rsidRPr="00C352FA">
        <w:rPr>
          <w:rFonts w:ascii="Times New Roman" w:hAnsi="Times New Roman" w:cs="Times New Roman"/>
        </w:rPr>
        <w:t>.</w:t>
      </w:r>
      <w:r>
        <w:rPr>
          <w:rFonts w:ascii="Times New Roman" w:hAnsi="Times New Roman" w:cs="Times New Roman"/>
        </w:rPr>
        <w:t xml:space="preserve"> Moreover, healthcare providers must effectively engage with those mobile vulnerable groups if health inequalities are to reduce.</w:t>
      </w:r>
    </w:p>
    <w:p w14:paraId="0ABE483C" w14:textId="77777777" w:rsidR="00876190" w:rsidRDefault="00876190">
      <w:pPr>
        <w:rPr>
          <w:rFonts w:ascii="Times New Roman" w:hAnsi="Times New Roman" w:cs="Times New Roman"/>
          <w:b/>
        </w:rPr>
      </w:pPr>
      <w:r>
        <w:rPr>
          <w:rFonts w:ascii="Times New Roman" w:hAnsi="Times New Roman" w:cs="Times New Roman"/>
          <w:b/>
        </w:rPr>
        <w:br w:type="page"/>
      </w:r>
    </w:p>
    <w:p w14:paraId="1192F47B" w14:textId="50027E90" w:rsidR="00871C96" w:rsidRPr="00541A11" w:rsidRDefault="00876190" w:rsidP="00871C96">
      <w:pPr>
        <w:spacing w:line="480" w:lineRule="auto"/>
        <w:rPr>
          <w:rFonts w:ascii="Times New Roman" w:hAnsi="Times New Roman" w:cs="Times New Roman"/>
          <w:b/>
        </w:rPr>
      </w:pPr>
      <w:r>
        <w:rPr>
          <w:rFonts w:ascii="Times New Roman" w:hAnsi="Times New Roman" w:cs="Times New Roman"/>
          <w:b/>
        </w:rPr>
        <w:lastRenderedPageBreak/>
        <w:t>B</w:t>
      </w:r>
      <w:r w:rsidR="00871C96" w:rsidRPr="00541A11">
        <w:rPr>
          <w:rFonts w:ascii="Times New Roman" w:hAnsi="Times New Roman" w:cs="Times New Roman"/>
          <w:b/>
        </w:rPr>
        <w:t>ibliography</w:t>
      </w:r>
    </w:p>
    <w:p w14:paraId="1C7BE15A"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Albert, M.A., Glynn, R.J., Buring, J. and Ridker, P.M. (2006) Impact of traditional and novel risk factors on the relationship between socioeconomic status and incident cardiovascular events, </w:t>
      </w:r>
      <w:r w:rsidRPr="00BB60FF">
        <w:rPr>
          <w:rFonts w:ascii="Times New Roman" w:hAnsi="Times New Roman" w:cs="Times New Roman"/>
          <w:i/>
        </w:rPr>
        <w:t>Circulation,</w:t>
      </w:r>
      <w:r w:rsidRPr="00BB60FF">
        <w:rPr>
          <w:rFonts w:ascii="Times New Roman" w:hAnsi="Times New Roman" w:cs="Times New Roman"/>
        </w:rPr>
        <w:t xml:space="preserve"> 114: 2619-2626.</w:t>
      </w:r>
    </w:p>
    <w:p w14:paraId="076B0A6B"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Bajekal, M., Sholes, S., Love, H., Hawkins, N., O’Flaherty, M., Raine, R. and </w:t>
      </w:r>
      <w:proofErr w:type="spellStart"/>
      <w:r w:rsidRPr="00BB60FF">
        <w:rPr>
          <w:rFonts w:ascii="Times New Roman" w:hAnsi="Times New Roman" w:cs="Times New Roman"/>
        </w:rPr>
        <w:t>Capewell</w:t>
      </w:r>
      <w:proofErr w:type="spellEnd"/>
      <w:r w:rsidRPr="00BB60FF">
        <w:rPr>
          <w:rFonts w:ascii="Times New Roman" w:hAnsi="Times New Roman" w:cs="Times New Roman"/>
        </w:rPr>
        <w:t xml:space="preserve">, S. (2012) Analysing recent socioeconomic trends in coronary heart disease mortality in England, 2000-2007: A population modelling study, </w:t>
      </w:r>
      <w:r w:rsidRPr="00BB60FF">
        <w:rPr>
          <w:rFonts w:ascii="Times New Roman" w:hAnsi="Times New Roman" w:cs="Times New Roman"/>
          <w:i/>
        </w:rPr>
        <w:t>PLoS Medicine</w:t>
      </w:r>
      <w:r w:rsidRPr="00BB60FF">
        <w:rPr>
          <w:rFonts w:ascii="Times New Roman" w:hAnsi="Times New Roman" w:cs="Times New Roman"/>
        </w:rPr>
        <w:t>, 9 (6): e1001237.</w:t>
      </w:r>
    </w:p>
    <w:p w14:paraId="618EF198" w14:textId="61816B1C" w:rsidR="00F57155" w:rsidRPr="00F57155" w:rsidRDefault="00F57155" w:rsidP="00BB60FF">
      <w:pPr>
        <w:spacing w:line="480" w:lineRule="auto"/>
        <w:jc w:val="both"/>
        <w:rPr>
          <w:rFonts w:ascii="Times New Roman" w:hAnsi="Times New Roman" w:cs="Times New Roman"/>
        </w:rPr>
      </w:pPr>
      <w:r>
        <w:rPr>
          <w:rFonts w:ascii="Times New Roman" w:hAnsi="Times New Roman" w:cs="Times New Roman"/>
        </w:rPr>
        <w:t>Barnett, R., Pearce, J. and Moon, G. (2005) Does social inequality matter? Changing ethnic socio-economic disparities and Maori s</w:t>
      </w:r>
      <w:r w:rsidR="00111D9E">
        <w:rPr>
          <w:rFonts w:ascii="Times New Roman" w:hAnsi="Times New Roman" w:cs="Times New Roman"/>
        </w:rPr>
        <w:t>mokin</w:t>
      </w:r>
      <w:r>
        <w:rPr>
          <w:rFonts w:ascii="Times New Roman" w:hAnsi="Times New Roman" w:cs="Times New Roman"/>
        </w:rPr>
        <w:t xml:space="preserve">g in New Zealand, 1981-1996, </w:t>
      </w:r>
      <w:r>
        <w:rPr>
          <w:rFonts w:ascii="Times New Roman" w:hAnsi="Times New Roman" w:cs="Times New Roman"/>
          <w:i/>
        </w:rPr>
        <w:t>Social Science &amp; Medicine</w:t>
      </w:r>
      <w:r>
        <w:rPr>
          <w:rFonts w:ascii="Times New Roman" w:hAnsi="Times New Roman" w:cs="Times New Roman"/>
        </w:rPr>
        <w:t>, 60: 1515-1526.</w:t>
      </w:r>
    </w:p>
    <w:p w14:paraId="0A5D714C" w14:textId="43D750F9"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Bentham, G. (1988) Migration and morbidity: Implications for geographical studies of disease, </w:t>
      </w:r>
      <w:r w:rsidRPr="00BB60FF">
        <w:rPr>
          <w:rFonts w:ascii="Times New Roman" w:hAnsi="Times New Roman" w:cs="Times New Roman"/>
          <w:i/>
        </w:rPr>
        <w:t>Social Science &amp; Medicine</w:t>
      </w:r>
      <w:r w:rsidRPr="00BB60FF">
        <w:rPr>
          <w:rFonts w:ascii="Times New Roman" w:hAnsi="Times New Roman" w:cs="Times New Roman"/>
        </w:rPr>
        <w:t>, 26 (1): 49-54.</w:t>
      </w:r>
    </w:p>
    <w:p w14:paraId="3DD0297B"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Blair, A.H. and Schneeberg, A. (2014) Changes in the ‘Healthy Migrant Effect’ in Canada: Are recent immigrants healthier than they were a decade ago? </w:t>
      </w:r>
      <w:r w:rsidRPr="00BB60FF">
        <w:rPr>
          <w:rFonts w:ascii="Times New Roman" w:hAnsi="Times New Roman" w:cs="Times New Roman"/>
          <w:i/>
        </w:rPr>
        <w:t>Journal of Immigrant and Minority Health</w:t>
      </w:r>
      <w:r w:rsidRPr="00BB60FF">
        <w:rPr>
          <w:rFonts w:ascii="Times New Roman" w:hAnsi="Times New Roman" w:cs="Times New Roman"/>
        </w:rPr>
        <w:t xml:space="preserve"> 16 (1): 136-142.</w:t>
      </w:r>
    </w:p>
    <w:p w14:paraId="75D42859"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Blakely, T., Ajwani, S., Robson, B., Tobias, M. and Bonne, M. (2004) Decades of disparity: widening ethnic mortality gaps from 1980 to 1999, </w:t>
      </w:r>
      <w:r w:rsidRPr="00BB60FF">
        <w:rPr>
          <w:rFonts w:ascii="Times New Roman" w:hAnsi="Times New Roman" w:cs="Times New Roman"/>
          <w:i/>
        </w:rPr>
        <w:t>New Zealand Medical Journal</w:t>
      </w:r>
      <w:r w:rsidRPr="00BB60FF">
        <w:rPr>
          <w:rFonts w:ascii="Times New Roman" w:hAnsi="Times New Roman" w:cs="Times New Roman"/>
        </w:rPr>
        <w:t>, 117 (1199): U995.</w:t>
      </w:r>
    </w:p>
    <w:p w14:paraId="671CE846"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Blakely, T., Tobias, M., Robson, B., Ajwani, S., Bonne, M. and Woodward, A. (2005) Widening ethnic mortality disparities in New Zealand, 1981-99, </w:t>
      </w:r>
      <w:r w:rsidRPr="00BB60FF">
        <w:rPr>
          <w:rFonts w:ascii="Times New Roman" w:hAnsi="Times New Roman" w:cs="Times New Roman"/>
          <w:i/>
        </w:rPr>
        <w:t>Social Science &amp; Medicine</w:t>
      </w:r>
      <w:r w:rsidRPr="00BB60FF">
        <w:rPr>
          <w:rFonts w:ascii="Times New Roman" w:hAnsi="Times New Roman" w:cs="Times New Roman"/>
        </w:rPr>
        <w:t xml:space="preserve">, 61: 2233-2251. </w:t>
      </w:r>
    </w:p>
    <w:p w14:paraId="5B07AEB4" w14:textId="77777777" w:rsid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Boyle, P. (2004) Population geography: migration and inequalities in mortality and morbidity, </w:t>
      </w:r>
      <w:r w:rsidRPr="00BB60FF">
        <w:rPr>
          <w:rFonts w:ascii="Times New Roman" w:hAnsi="Times New Roman" w:cs="Times New Roman"/>
          <w:i/>
        </w:rPr>
        <w:t>Progress in Human Geography</w:t>
      </w:r>
      <w:r w:rsidRPr="00BB60FF">
        <w:rPr>
          <w:rFonts w:ascii="Times New Roman" w:hAnsi="Times New Roman" w:cs="Times New Roman"/>
        </w:rPr>
        <w:t>, 28 (6): 767-776.</w:t>
      </w:r>
    </w:p>
    <w:p w14:paraId="3A62907A" w14:textId="7BF97FEE" w:rsidR="00EA5F78" w:rsidRPr="00EA5F78" w:rsidRDefault="00EA5F78" w:rsidP="00BB60FF">
      <w:pPr>
        <w:spacing w:line="480" w:lineRule="auto"/>
        <w:jc w:val="both"/>
        <w:rPr>
          <w:rFonts w:ascii="Times New Roman" w:hAnsi="Times New Roman" w:cs="Times New Roman"/>
        </w:rPr>
      </w:pPr>
      <w:r>
        <w:rPr>
          <w:rFonts w:ascii="Times New Roman" w:hAnsi="Times New Roman" w:cs="Times New Roman"/>
        </w:rPr>
        <w:t xml:space="preserve">Boyle, P. and Norman, P. (2009) Migration and Health in Brown, T., McLafferty, S. and Moon, G. (eds) </w:t>
      </w:r>
      <w:r>
        <w:rPr>
          <w:rFonts w:ascii="Times New Roman" w:hAnsi="Times New Roman" w:cs="Times New Roman"/>
          <w:i/>
        </w:rPr>
        <w:t>A Companion to Health and Medical Geography</w:t>
      </w:r>
      <w:r>
        <w:rPr>
          <w:rFonts w:ascii="Times New Roman" w:hAnsi="Times New Roman" w:cs="Times New Roman"/>
        </w:rPr>
        <w:t xml:space="preserve">. Oxford: Wiley Blackwell, 346-374. </w:t>
      </w:r>
    </w:p>
    <w:p w14:paraId="598AC086"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lastRenderedPageBreak/>
        <w:t xml:space="preserve">Boyle, P., Norman, P. and Rees, P. (2004) Changing places: do changes in the relative deprivation of areas influence limiting long-term illness and mortality among non-migrant people living in non-deprived households? </w:t>
      </w:r>
      <w:r w:rsidRPr="00BB60FF">
        <w:rPr>
          <w:rFonts w:ascii="Times New Roman" w:hAnsi="Times New Roman" w:cs="Times New Roman"/>
          <w:i/>
        </w:rPr>
        <w:t>Social Science &amp; Medicine</w:t>
      </w:r>
      <w:r w:rsidRPr="00BB60FF">
        <w:rPr>
          <w:rFonts w:ascii="Times New Roman" w:hAnsi="Times New Roman" w:cs="Times New Roman"/>
        </w:rPr>
        <w:t>, 58:2459-2471.</w:t>
      </w:r>
    </w:p>
    <w:p w14:paraId="3B08C9B8"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Brown, D., O’Reilly, D., Gayle, V., Macintyre, S., Benzeval, M. and Leyland, A.H. (2012) Socio-demographic and health characteristics of individuals left behind in deprived and declining areas in Scotland, </w:t>
      </w:r>
      <w:r w:rsidRPr="00BB60FF">
        <w:rPr>
          <w:rFonts w:ascii="Times New Roman" w:hAnsi="Times New Roman" w:cs="Times New Roman"/>
          <w:i/>
        </w:rPr>
        <w:t>Health &amp; Place</w:t>
      </w:r>
      <w:r w:rsidRPr="00BB60FF">
        <w:rPr>
          <w:rFonts w:ascii="Times New Roman" w:hAnsi="Times New Roman" w:cs="Times New Roman"/>
        </w:rPr>
        <w:t xml:space="preserve">, 18: 440-444. </w:t>
      </w:r>
    </w:p>
    <w:p w14:paraId="5B2F670B"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Cheuk Chan, W., Wright, C., Riddell, T., Wells, S., Kerr, A.J., Gala, G. and Jackson, R. (2008) Ethnic and socioeconomic disparities in the prevalence of cardiovascular disease in New Zealand, </w:t>
      </w:r>
      <w:r w:rsidRPr="00BB60FF">
        <w:rPr>
          <w:rFonts w:ascii="Times New Roman" w:hAnsi="Times New Roman" w:cs="Times New Roman"/>
          <w:i/>
        </w:rPr>
        <w:t>The New Zealand Medical Journal</w:t>
      </w:r>
      <w:r w:rsidRPr="00BB60FF">
        <w:rPr>
          <w:rFonts w:ascii="Times New Roman" w:hAnsi="Times New Roman" w:cs="Times New Roman"/>
        </w:rPr>
        <w:t xml:space="preserve">, 121 (1285): 11-19. </w:t>
      </w:r>
    </w:p>
    <w:p w14:paraId="4490EA9C"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Clark, A.M., DesMeules, M., Luo, W., Duncan, A.S. and Wielgosz, A. (2009) Socioeconomic status and cardiovascular disease: risks and implications for care, </w:t>
      </w:r>
      <w:r w:rsidRPr="00BB60FF">
        <w:rPr>
          <w:rFonts w:ascii="Times New Roman" w:hAnsi="Times New Roman" w:cs="Times New Roman"/>
          <w:i/>
        </w:rPr>
        <w:t xml:space="preserve">Nature Reviews Cardiology, </w:t>
      </w:r>
      <w:r w:rsidRPr="00BB60FF">
        <w:rPr>
          <w:rFonts w:ascii="Times New Roman" w:hAnsi="Times New Roman" w:cs="Times New Roman"/>
        </w:rPr>
        <w:t>6: 712-722.</w:t>
      </w:r>
    </w:p>
    <w:p w14:paraId="068545CE"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Curtis, S., Copeland, A., </w:t>
      </w:r>
      <w:proofErr w:type="spellStart"/>
      <w:r w:rsidRPr="00BB60FF">
        <w:rPr>
          <w:rFonts w:ascii="Times New Roman" w:hAnsi="Times New Roman" w:cs="Times New Roman"/>
        </w:rPr>
        <w:t>Fagg</w:t>
      </w:r>
      <w:proofErr w:type="spellEnd"/>
      <w:r w:rsidRPr="00BB60FF">
        <w:rPr>
          <w:rFonts w:ascii="Times New Roman" w:hAnsi="Times New Roman" w:cs="Times New Roman"/>
        </w:rPr>
        <w:t xml:space="preserve">, J., Congdon, P., </w:t>
      </w:r>
      <w:proofErr w:type="spellStart"/>
      <w:r w:rsidRPr="00BB60FF">
        <w:rPr>
          <w:rFonts w:ascii="Times New Roman" w:hAnsi="Times New Roman" w:cs="Times New Roman"/>
        </w:rPr>
        <w:t>Almog</w:t>
      </w:r>
      <w:proofErr w:type="spellEnd"/>
      <w:r w:rsidRPr="00BB60FF">
        <w:rPr>
          <w:rFonts w:ascii="Times New Roman" w:hAnsi="Times New Roman" w:cs="Times New Roman"/>
        </w:rPr>
        <w:t xml:space="preserve">, M. Fitzpatrick, J. (2006) The ecological relationship between deprivation, social isolation and rates of hospital admission for acute psychiatric care: a comparison of London and New York City, </w:t>
      </w:r>
      <w:r w:rsidRPr="00BB60FF">
        <w:rPr>
          <w:rFonts w:ascii="Times New Roman" w:hAnsi="Times New Roman" w:cs="Times New Roman"/>
          <w:i/>
        </w:rPr>
        <w:t>Health &amp; Place</w:t>
      </w:r>
      <w:r w:rsidRPr="00BB60FF">
        <w:rPr>
          <w:rFonts w:ascii="Times New Roman" w:hAnsi="Times New Roman" w:cs="Times New Roman"/>
        </w:rPr>
        <w:t>, 12: 19-37.</w:t>
      </w:r>
    </w:p>
    <w:p w14:paraId="41D3AF3A"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Exeter, D. J., Moss, L., Zhao, J., Kyle, C., Riddell, T., Jackson, R. and Wells, S. (2015) The distribution and frequency of blood lipid testing by sociodemographic status among adults in Auckland, New Zealand, </w:t>
      </w:r>
      <w:r w:rsidRPr="00BB60FF">
        <w:rPr>
          <w:rFonts w:ascii="Times New Roman" w:hAnsi="Times New Roman" w:cs="Times New Roman"/>
          <w:i/>
        </w:rPr>
        <w:t xml:space="preserve">Journal of Primary Health Care, </w:t>
      </w:r>
      <w:r w:rsidRPr="00BB60FF">
        <w:rPr>
          <w:rFonts w:ascii="Times New Roman" w:hAnsi="Times New Roman" w:cs="Times New Roman"/>
        </w:rPr>
        <w:t>7 (3): 182-191.</w:t>
      </w:r>
    </w:p>
    <w:p w14:paraId="70F6112B"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Exeter, D.J., Boyle, P. and Norman, P. (2011) Deprivation (im)mobility and cause-specific premature mortality in Scotland, </w:t>
      </w:r>
      <w:r w:rsidRPr="00BB60FF">
        <w:rPr>
          <w:rFonts w:ascii="Times New Roman" w:hAnsi="Times New Roman" w:cs="Times New Roman"/>
          <w:i/>
        </w:rPr>
        <w:t>Social Science &amp; Medicine</w:t>
      </w:r>
      <w:r w:rsidRPr="00BB60FF">
        <w:rPr>
          <w:rFonts w:ascii="Times New Roman" w:hAnsi="Times New Roman" w:cs="Times New Roman"/>
        </w:rPr>
        <w:t xml:space="preserve">, 72: 389-397. </w:t>
      </w:r>
    </w:p>
    <w:p w14:paraId="2AFD9B4E" w14:textId="77777777" w:rsid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Findley, S. (1988) The Directionality and Age Selectivity of the Health-Migration Relation: Evidence from Sequences of Disability and Mobility in the United States, </w:t>
      </w:r>
      <w:r w:rsidRPr="00BB60FF">
        <w:rPr>
          <w:rFonts w:ascii="Times New Roman" w:hAnsi="Times New Roman" w:cs="Times New Roman"/>
          <w:i/>
        </w:rPr>
        <w:t>International Migration Review</w:t>
      </w:r>
      <w:r w:rsidRPr="00BB60FF">
        <w:rPr>
          <w:rFonts w:ascii="Times New Roman" w:hAnsi="Times New Roman" w:cs="Times New Roman"/>
        </w:rPr>
        <w:t>, 22 (3): 4-29.</w:t>
      </w:r>
    </w:p>
    <w:p w14:paraId="0A5C6D4F" w14:textId="424C850C" w:rsidR="00A22BA7" w:rsidRPr="00A22BA7" w:rsidRDefault="00A22BA7" w:rsidP="00BB60FF">
      <w:pPr>
        <w:spacing w:line="480" w:lineRule="auto"/>
        <w:jc w:val="both"/>
        <w:rPr>
          <w:rFonts w:ascii="Times New Roman" w:hAnsi="Times New Roman" w:cs="Times New Roman"/>
        </w:rPr>
      </w:pPr>
      <w:proofErr w:type="spellStart"/>
      <w:r>
        <w:rPr>
          <w:rFonts w:ascii="Times New Roman" w:hAnsi="Times New Roman" w:cs="Times New Roman"/>
        </w:rPr>
        <w:t>Glymour</w:t>
      </w:r>
      <w:proofErr w:type="spellEnd"/>
      <w:r>
        <w:rPr>
          <w:rFonts w:ascii="Times New Roman" w:hAnsi="Times New Roman" w:cs="Times New Roman"/>
        </w:rPr>
        <w:t xml:space="preserve">, M.M., Clark, C.R. and Patton, K.K. (2014) Socioeconomic determinants of cardiovascular disease: recent findings and future directions, </w:t>
      </w:r>
      <w:r>
        <w:rPr>
          <w:rFonts w:ascii="Times New Roman" w:hAnsi="Times New Roman" w:cs="Times New Roman"/>
          <w:i/>
        </w:rPr>
        <w:t xml:space="preserve">Current Epidemiology Reports, </w:t>
      </w:r>
      <w:r>
        <w:rPr>
          <w:rFonts w:ascii="Times New Roman" w:hAnsi="Times New Roman" w:cs="Times New Roman"/>
        </w:rPr>
        <w:t xml:space="preserve">1 (2): 89-97. </w:t>
      </w:r>
    </w:p>
    <w:p w14:paraId="5E3BBC67"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lastRenderedPageBreak/>
        <w:t xml:space="preserve">Green, M.A., Subramanian, S.V., Vickers, D. and Dorling, D. (2015) Internal migration, area effects and health: Does where you move to impact upon your health? </w:t>
      </w:r>
      <w:r w:rsidRPr="00BB60FF">
        <w:rPr>
          <w:rFonts w:ascii="Times New Roman" w:hAnsi="Times New Roman" w:cs="Times New Roman"/>
          <w:i/>
        </w:rPr>
        <w:t>Social Science &amp; Medicine</w:t>
      </w:r>
      <w:r w:rsidRPr="00BB60FF">
        <w:rPr>
          <w:rFonts w:ascii="Times New Roman" w:hAnsi="Times New Roman" w:cs="Times New Roman"/>
        </w:rPr>
        <w:t>, 136-137: 27-34.</w:t>
      </w:r>
    </w:p>
    <w:p w14:paraId="34B796AF"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Grey, C., Jackson, R., Wells, S., Marshall, R., Riddell, T. and Kerr, A.J. (2014) Twenty-eight day and one-year case fatality  after hospitalisation with an acute coronary syndrome: a nationwide data linkage study, </w:t>
      </w:r>
      <w:r w:rsidRPr="00BB60FF">
        <w:rPr>
          <w:rFonts w:ascii="Times New Roman" w:hAnsi="Times New Roman" w:cs="Times New Roman"/>
          <w:i/>
        </w:rPr>
        <w:t>Australian and New Zealand Journal of Public Health</w:t>
      </w:r>
      <w:r w:rsidRPr="00BB60FF">
        <w:rPr>
          <w:rFonts w:ascii="Times New Roman" w:hAnsi="Times New Roman" w:cs="Times New Roman"/>
        </w:rPr>
        <w:t xml:space="preserve">, 38 (3): 216-220. </w:t>
      </w:r>
    </w:p>
    <w:p w14:paraId="021C7432"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Grey, C., Wells, S., Riddell, T., Pylypchuk, R., Marshall, R., Drury, P., Elley, R., Ameratunga, S., Gentles, D., Erick-Peletiy, S., Bell, F., Kerr, A. and Jackson, R. (2010) A comparative analysis of cardiovascular disease risk profiles of five Pacific ethnic groups assessed in New Zealand primary care practice: PREDICT CVD-13, </w:t>
      </w:r>
      <w:r w:rsidRPr="00BB60FF">
        <w:rPr>
          <w:rFonts w:ascii="Times New Roman" w:hAnsi="Times New Roman" w:cs="Times New Roman"/>
          <w:i/>
        </w:rPr>
        <w:t>NZ Medical Journal</w:t>
      </w:r>
      <w:r w:rsidRPr="00BB60FF">
        <w:rPr>
          <w:rFonts w:ascii="Times New Roman" w:hAnsi="Times New Roman" w:cs="Times New Roman"/>
        </w:rPr>
        <w:t xml:space="preserve">, 123 (1325): 41-52. </w:t>
      </w:r>
    </w:p>
    <w:p w14:paraId="18A2539F"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Gupta, R., Deedwania, P.C., Sharma, K., Gupta, A., Guptha, S., Achari, V., Asirvatham, A.J., Bhansali, A., Gupta, B., Gupta, S., Jali, M.V., Mahanta, T.G., Maheshwari, A., Saboo, B., Singh, J. and Gupta, R. (2012) Association of educational, occupational and socioeconomic status with cardiovascular risk factors in Asian Indians: A cross-sectional study, </w:t>
      </w:r>
      <w:r w:rsidRPr="00BB60FF">
        <w:rPr>
          <w:rFonts w:ascii="Times New Roman" w:hAnsi="Times New Roman" w:cs="Times New Roman"/>
          <w:i/>
        </w:rPr>
        <w:t xml:space="preserve">PLOS One, </w:t>
      </w:r>
      <w:r w:rsidRPr="00BB60FF">
        <w:rPr>
          <w:rFonts w:ascii="Times New Roman" w:hAnsi="Times New Roman" w:cs="Times New Roman"/>
        </w:rPr>
        <w:t xml:space="preserve"> 7 (8): 1-10 (e44098).</w:t>
      </w:r>
    </w:p>
    <w:p w14:paraId="266EA9BF"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Harris, R., Tobias, M., Jeffreys, J., Waldegrave, K., Karlsen, S. and </w:t>
      </w:r>
      <w:proofErr w:type="spellStart"/>
      <w:r w:rsidRPr="00BB60FF">
        <w:rPr>
          <w:rFonts w:ascii="Times New Roman" w:hAnsi="Times New Roman" w:cs="Times New Roman"/>
        </w:rPr>
        <w:t>NAzroo</w:t>
      </w:r>
      <w:proofErr w:type="spellEnd"/>
      <w:r w:rsidRPr="00BB60FF">
        <w:rPr>
          <w:rFonts w:ascii="Times New Roman" w:hAnsi="Times New Roman" w:cs="Times New Roman"/>
        </w:rPr>
        <w:t xml:space="preserve">, J. (2006) Effects of self-reported racial discrimination and deprivation on Maori health and inequalities in New Zealand: cross-sectional study, </w:t>
      </w:r>
      <w:r w:rsidRPr="00BB60FF">
        <w:rPr>
          <w:rFonts w:ascii="Times New Roman" w:hAnsi="Times New Roman" w:cs="Times New Roman"/>
          <w:i/>
        </w:rPr>
        <w:t>The Lancet</w:t>
      </w:r>
      <w:r w:rsidRPr="00BB60FF">
        <w:rPr>
          <w:rFonts w:ascii="Times New Roman" w:hAnsi="Times New Roman" w:cs="Times New Roman"/>
        </w:rPr>
        <w:t xml:space="preserve">, 367 (9527): 2005-2009. </w:t>
      </w:r>
    </w:p>
    <w:p w14:paraId="7E72CA97" w14:textId="77777777" w:rsidR="00BB60FF" w:rsidRPr="00BB60FF" w:rsidRDefault="00BB60FF" w:rsidP="00BB60FF">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sz w:val="22"/>
          <w:szCs w:val="22"/>
        </w:rPr>
        <w:t>Houkamau, C.A. and Sibley, C.G. (2015) Looking M</w:t>
      </w:r>
      <w:r w:rsidRPr="00BB60FF">
        <w:rPr>
          <w:rFonts w:ascii="Times New Roman" w:hAnsi="Times New Roman" w:cs="Times New Roman"/>
        </w:rPr>
        <w:t xml:space="preserve">āori predicts decreased rates of home ownership: Institutional racism in housing based on perceived appearance. </w:t>
      </w:r>
      <w:r w:rsidRPr="00BB60FF">
        <w:rPr>
          <w:rFonts w:ascii="Times New Roman" w:hAnsi="Times New Roman" w:cs="Times New Roman"/>
          <w:i/>
        </w:rPr>
        <w:t>PLoS One</w:t>
      </w:r>
      <w:r w:rsidRPr="00BB60FF">
        <w:rPr>
          <w:rFonts w:ascii="Times New Roman" w:hAnsi="Times New Roman" w:cs="Times New Roman"/>
        </w:rPr>
        <w:t xml:space="preserve">, 10 (3): e0118540. </w:t>
      </w:r>
    </w:p>
    <w:p w14:paraId="14D30AA1"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Jatrana, S. and Blakely, T. (2008) Ethnic inequalities in mortality among the elderly in New Zealand, </w:t>
      </w:r>
      <w:r w:rsidRPr="00BB60FF">
        <w:rPr>
          <w:rFonts w:ascii="Times New Roman" w:hAnsi="Times New Roman" w:cs="Times New Roman"/>
          <w:i/>
        </w:rPr>
        <w:t>Australia and NZ Journal of Public Health</w:t>
      </w:r>
      <w:r w:rsidRPr="00BB60FF">
        <w:rPr>
          <w:rFonts w:ascii="Times New Roman" w:hAnsi="Times New Roman" w:cs="Times New Roman"/>
        </w:rPr>
        <w:t xml:space="preserve">, 32 (5): 437-443. </w:t>
      </w:r>
    </w:p>
    <w:p w14:paraId="0DBCCD9D" w14:textId="524207F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Jelleyman, T. and Spencer, N. (2008) Residential mobility in childhood and health outcomes: a systematic review, </w:t>
      </w:r>
      <w:r w:rsidRPr="00BB60FF">
        <w:rPr>
          <w:rFonts w:ascii="Times New Roman" w:hAnsi="Times New Roman" w:cs="Times New Roman"/>
          <w:i/>
        </w:rPr>
        <w:t>Journal of Epidemiology and Community Health</w:t>
      </w:r>
      <w:r w:rsidRPr="00BB60FF">
        <w:rPr>
          <w:rFonts w:ascii="Times New Roman" w:hAnsi="Times New Roman" w:cs="Times New Roman"/>
        </w:rPr>
        <w:t>, 62: 584-592.</w:t>
      </w:r>
    </w:p>
    <w:p w14:paraId="1F28A786"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lastRenderedPageBreak/>
        <w:t xml:space="preserve">Kanjilal, S., Gregg, E.W., Cheng, Y.J., Zhang, P., Nelson, D.E., Mensah, G. and Beckles, G.L.A. (2006) Socioeconomic status and trends in disparities in 4major risk factors for cardiovascular disease among US adults, 1971-2002, </w:t>
      </w:r>
      <w:r w:rsidRPr="00BB60FF">
        <w:rPr>
          <w:rFonts w:ascii="Times New Roman" w:hAnsi="Times New Roman" w:cs="Times New Roman"/>
          <w:i/>
        </w:rPr>
        <w:t xml:space="preserve">Archives of International Medicine, </w:t>
      </w:r>
      <w:r w:rsidRPr="00BB60FF">
        <w:rPr>
          <w:rFonts w:ascii="Times New Roman" w:hAnsi="Times New Roman" w:cs="Times New Roman"/>
        </w:rPr>
        <w:t>166: 2348-2355.</w:t>
      </w:r>
    </w:p>
    <w:p w14:paraId="75AF8EF3"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Kerr, A., Exeter, D., Hanham, G., Grey, C., Zhao, J., Riddell, T., Lee, M., Jackson, R. and Wells, S. (2014) Effect of age, gender, ethnicity, socioeconomic status and region on dispensing of CVD secondary  prevention medication in New Zealand: the Atlas of Health Care Variation CVD cohort (VIEW-1), </w:t>
      </w:r>
      <w:r w:rsidRPr="00BB60FF">
        <w:rPr>
          <w:rFonts w:ascii="Times New Roman" w:hAnsi="Times New Roman" w:cs="Times New Roman"/>
          <w:i/>
        </w:rPr>
        <w:t>NZ Medical Journal</w:t>
      </w:r>
      <w:r w:rsidRPr="00BB60FF">
        <w:rPr>
          <w:rFonts w:ascii="Times New Roman" w:hAnsi="Times New Roman" w:cs="Times New Roman"/>
        </w:rPr>
        <w:t>, 127 (1400): 39-69.</w:t>
      </w:r>
    </w:p>
    <w:p w14:paraId="6B0C0739"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Kerr, A., J., McLachlan, A., Furness, S., Broad, J., Riddell, T., Jackson, R. and Wells, S. (2008) The burden of modifiable cardiovascular risk factors in the coronary care unit by age, ethnicity, and socioeconomic status--PREDICT CVD-9, </w:t>
      </w:r>
      <w:r w:rsidRPr="00BB60FF">
        <w:rPr>
          <w:rFonts w:ascii="Times New Roman" w:hAnsi="Times New Roman" w:cs="Times New Roman"/>
          <w:i/>
        </w:rPr>
        <w:t>NZ Medical Journal</w:t>
      </w:r>
      <w:r w:rsidRPr="00BB60FF">
        <w:rPr>
          <w:rFonts w:ascii="Times New Roman" w:hAnsi="Times New Roman" w:cs="Times New Roman"/>
        </w:rPr>
        <w:t>, 121 (1285): 20-33.</w:t>
      </w:r>
    </w:p>
    <w:p w14:paraId="477DF4CA"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Larson, A., Bell, M. and Young, A.F. (2004) Clarifying the relationships between health and residential mobility, </w:t>
      </w:r>
      <w:r w:rsidRPr="00BB60FF">
        <w:rPr>
          <w:rFonts w:ascii="Times New Roman" w:hAnsi="Times New Roman" w:cs="Times New Roman"/>
          <w:i/>
        </w:rPr>
        <w:t>Social Science &amp; Medicine</w:t>
      </w:r>
      <w:r w:rsidRPr="00BB60FF">
        <w:rPr>
          <w:rFonts w:ascii="Times New Roman" w:hAnsi="Times New Roman" w:cs="Times New Roman"/>
        </w:rPr>
        <w:t xml:space="preserve">, 59: 2149-2160. </w:t>
      </w:r>
    </w:p>
    <w:p w14:paraId="53C193C7" w14:textId="77777777" w:rsidR="00F57155" w:rsidRDefault="00BB60FF" w:rsidP="00F57155">
      <w:pPr>
        <w:spacing w:line="480" w:lineRule="auto"/>
        <w:jc w:val="both"/>
        <w:rPr>
          <w:rFonts w:ascii="Times New Roman" w:hAnsi="Times New Roman" w:cs="Times New Roman"/>
        </w:rPr>
      </w:pPr>
      <w:r w:rsidRPr="00BB60FF">
        <w:rPr>
          <w:rFonts w:ascii="Times New Roman" w:hAnsi="Times New Roman" w:cs="Times New Roman"/>
        </w:rPr>
        <w:t xml:space="preserve">Maas, A. and Appelman, Y.E.A. (201) Gender differences in coronary heart disease, </w:t>
      </w:r>
      <w:r w:rsidRPr="00BB60FF">
        <w:rPr>
          <w:rFonts w:ascii="Times New Roman" w:hAnsi="Times New Roman" w:cs="Times New Roman"/>
          <w:i/>
        </w:rPr>
        <w:t>Netherlands Heart Journal</w:t>
      </w:r>
      <w:r w:rsidRPr="00BB60FF">
        <w:rPr>
          <w:rFonts w:ascii="Times New Roman" w:hAnsi="Times New Roman" w:cs="Times New Roman"/>
        </w:rPr>
        <w:t>, 18 (12): 598-602.</w:t>
      </w:r>
    </w:p>
    <w:p w14:paraId="0E47D204" w14:textId="444F0964" w:rsidR="00BB60FF" w:rsidRDefault="00BB60FF" w:rsidP="00F57155">
      <w:pPr>
        <w:spacing w:line="480" w:lineRule="auto"/>
        <w:jc w:val="both"/>
        <w:rPr>
          <w:rFonts w:ascii="Times New Roman" w:hAnsi="Times New Roman" w:cs="Times New Roman"/>
        </w:rPr>
      </w:pPr>
      <w:r w:rsidRPr="00BB60FF">
        <w:rPr>
          <w:rFonts w:ascii="Times New Roman" w:hAnsi="Times New Roman" w:cs="Times New Roman"/>
        </w:rPr>
        <w:t xml:space="preserve">Mackenbach, J.P., </w:t>
      </w:r>
      <w:proofErr w:type="spellStart"/>
      <w:r w:rsidRPr="00BB60FF">
        <w:rPr>
          <w:rFonts w:ascii="Times New Roman" w:hAnsi="Times New Roman" w:cs="Times New Roman"/>
        </w:rPr>
        <w:t>Cavelaars</w:t>
      </w:r>
      <w:proofErr w:type="spellEnd"/>
      <w:r w:rsidRPr="00BB60FF">
        <w:rPr>
          <w:rFonts w:ascii="Times New Roman" w:hAnsi="Times New Roman" w:cs="Times New Roman"/>
        </w:rPr>
        <w:t xml:space="preserve">, A.E., Kunst, A.E. and </w:t>
      </w:r>
      <w:proofErr w:type="spellStart"/>
      <w:r w:rsidRPr="00BB60FF">
        <w:rPr>
          <w:rFonts w:ascii="Times New Roman" w:hAnsi="Times New Roman" w:cs="Times New Roman"/>
        </w:rPr>
        <w:t>Groenhof</w:t>
      </w:r>
      <w:proofErr w:type="spellEnd"/>
      <w:r w:rsidRPr="00BB60FF">
        <w:rPr>
          <w:rFonts w:ascii="Times New Roman" w:hAnsi="Times New Roman" w:cs="Times New Roman"/>
        </w:rPr>
        <w:t xml:space="preserve">, F. (2000) Socioeconomic inequalities in cardiovascular disease mortality; an international study, </w:t>
      </w:r>
      <w:r w:rsidRPr="00BB60FF">
        <w:rPr>
          <w:rFonts w:ascii="Times New Roman" w:hAnsi="Times New Roman" w:cs="Times New Roman"/>
          <w:i/>
        </w:rPr>
        <w:t>European Heart Journal</w:t>
      </w:r>
      <w:r w:rsidRPr="00BB60FF">
        <w:rPr>
          <w:rFonts w:ascii="Times New Roman" w:hAnsi="Times New Roman" w:cs="Times New Roman"/>
        </w:rPr>
        <w:t>, 21 (14): 1141-1151.</w:t>
      </w:r>
    </w:p>
    <w:p w14:paraId="7450A16A"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Mehta, S., Wells, S., Grey, C., Riddell, T., Kerr, A., Marshall, R., Ameratunga, S., Harrison, J., Kenealy, T., Bramley, C., Chan, W.C., Thornley, S., Sundborn, G. and Jackson, R. (2014) Initiation and maintenance of cardiovascular medications following cardiovascular risk assessment in a large primary care cohort: PREDICT CVD-16, </w:t>
      </w:r>
      <w:r w:rsidRPr="00BB60FF">
        <w:rPr>
          <w:rFonts w:ascii="Times New Roman" w:hAnsi="Times New Roman" w:cs="Times New Roman"/>
          <w:i/>
        </w:rPr>
        <w:t>European Journal  of Preventive Cardiology</w:t>
      </w:r>
      <w:r w:rsidRPr="00BB60FF">
        <w:rPr>
          <w:rFonts w:ascii="Times New Roman" w:hAnsi="Times New Roman" w:cs="Times New Roman"/>
        </w:rPr>
        <w:t>, 21 (2): 192-202.</w:t>
      </w:r>
    </w:p>
    <w:p w14:paraId="544D6807"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Mehta, S., Wells, S., Riddell, T., Kerr, A., Pylypchuk, R., Marshall, R., Ameratunga, S., Chan, W.C., Thornley, S., </w:t>
      </w:r>
      <w:proofErr w:type="spellStart"/>
      <w:r w:rsidRPr="00BB60FF">
        <w:rPr>
          <w:rFonts w:ascii="Times New Roman" w:hAnsi="Times New Roman" w:cs="Times New Roman"/>
        </w:rPr>
        <w:t>Crengle</w:t>
      </w:r>
      <w:proofErr w:type="spellEnd"/>
      <w:r w:rsidRPr="00BB60FF">
        <w:rPr>
          <w:rFonts w:ascii="Times New Roman" w:hAnsi="Times New Roman" w:cs="Times New Roman"/>
        </w:rPr>
        <w:t xml:space="preserve">, S., Harrison, J., Drury, P., Elley, C.R., Bell, F. and Jackson, R. (2011) Under-utilisation of preventive medication in patients with cardiovascular diseases is greatest in younger age groups (PREDICT-CVD 15), </w:t>
      </w:r>
      <w:r w:rsidRPr="00BB60FF">
        <w:rPr>
          <w:rFonts w:ascii="Times New Roman" w:hAnsi="Times New Roman" w:cs="Times New Roman"/>
          <w:i/>
        </w:rPr>
        <w:t>Journal of Primary Health Care</w:t>
      </w:r>
      <w:r w:rsidRPr="00BB60FF">
        <w:rPr>
          <w:rFonts w:ascii="Times New Roman" w:hAnsi="Times New Roman" w:cs="Times New Roman"/>
        </w:rPr>
        <w:t xml:space="preserve">, 3 (2): 93-101. </w:t>
      </w:r>
    </w:p>
    <w:p w14:paraId="6D95BA60" w14:textId="77777777" w:rsidR="00BB60FF" w:rsidRPr="00BB60FF" w:rsidRDefault="00BB60FF" w:rsidP="00BB60FF">
      <w:pPr>
        <w:spacing w:line="480" w:lineRule="auto"/>
        <w:jc w:val="both"/>
        <w:rPr>
          <w:rFonts w:ascii="Times New Roman" w:hAnsi="Times New Roman" w:cs="Times New Roman"/>
        </w:rPr>
      </w:pPr>
      <w:proofErr w:type="spellStart"/>
      <w:r w:rsidRPr="00BB60FF">
        <w:rPr>
          <w:rFonts w:ascii="Times New Roman" w:hAnsi="Times New Roman" w:cs="Times New Roman"/>
        </w:rPr>
        <w:lastRenderedPageBreak/>
        <w:t>Mieres</w:t>
      </w:r>
      <w:proofErr w:type="spellEnd"/>
      <w:r w:rsidRPr="00BB60FF">
        <w:rPr>
          <w:rFonts w:ascii="Times New Roman" w:hAnsi="Times New Roman" w:cs="Times New Roman"/>
        </w:rPr>
        <w:t xml:space="preserve">, J.H. (2005) Gender- and race-based differences in CVD, </w:t>
      </w:r>
      <w:r w:rsidRPr="00BB60FF">
        <w:rPr>
          <w:rFonts w:ascii="Times New Roman" w:hAnsi="Times New Roman" w:cs="Times New Roman"/>
          <w:i/>
        </w:rPr>
        <w:t>Journal of Family Practice</w:t>
      </w:r>
      <w:r w:rsidRPr="00BB60FF">
        <w:rPr>
          <w:rFonts w:ascii="Times New Roman" w:hAnsi="Times New Roman" w:cs="Times New Roman"/>
        </w:rPr>
        <w:t>, Supplement 3.</w:t>
      </w:r>
    </w:p>
    <w:p w14:paraId="4BD6F23E" w14:textId="45C66506" w:rsidR="00F57155" w:rsidRPr="00F57155" w:rsidRDefault="00F57155" w:rsidP="00BB60FF">
      <w:pPr>
        <w:spacing w:line="480" w:lineRule="auto"/>
        <w:jc w:val="both"/>
        <w:rPr>
          <w:rFonts w:ascii="Times New Roman" w:hAnsi="Times New Roman" w:cs="Times New Roman"/>
        </w:rPr>
      </w:pPr>
      <w:r>
        <w:rPr>
          <w:rFonts w:ascii="Times New Roman" w:hAnsi="Times New Roman" w:cs="Times New Roman"/>
        </w:rPr>
        <w:t xml:space="preserve">Morris, T., Manley, D. and Sabel, C.E. (2016) Residential mobility: Towards progress in mobility health research, </w:t>
      </w:r>
      <w:r>
        <w:rPr>
          <w:rFonts w:ascii="Times New Roman" w:hAnsi="Times New Roman" w:cs="Times New Roman"/>
          <w:i/>
        </w:rPr>
        <w:t>Progress in Human Geography</w:t>
      </w:r>
      <w:r>
        <w:rPr>
          <w:rFonts w:ascii="Times New Roman" w:hAnsi="Times New Roman" w:cs="Times New Roman"/>
        </w:rPr>
        <w:t xml:space="preserve">, 1-22. </w:t>
      </w:r>
    </w:p>
    <w:p w14:paraId="241BE472"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Mosca, L., Barrett-Connor, E., Wenger, N.K. (2011) Sex/gender differences in cardiovascular disease prevention: what a difference a decade makes, </w:t>
      </w:r>
      <w:r w:rsidRPr="00BB60FF">
        <w:rPr>
          <w:rFonts w:ascii="Times New Roman" w:hAnsi="Times New Roman" w:cs="Times New Roman"/>
          <w:i/>
        </w:rPr>
        <w:t>Circulation</w:t>
      </w:r>
      <w:r w:rsidRPr="00BB60FF">
        <w:rPr>
          <w:rFonts w:ascii="Times New Roman" w:hAnsi="Times New Roman" w:cs="Times New Roman"/>
        </w:rPr>
        <w:t>, 124 (19): 2145-2154.</w:t>
      </w:r>
    </w:p>
    <w:p w14:paraId="5D17AEB9" w14:textId="77777777" w:rsidR="00BB60FF" w:rsidRPr="00BB60FF" w:rsidRDefault="00BB60FF" w:rsidP="00BB60FF">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sz w:val="22"/>
          <w:szCs w:val="22"/>
        </w:rPr>
        <w:t xml:space="preserve">Norman, P. (2010) Identifying change over time in small area socio-economic deprivation, </w:t>
      </w:r>
      <w:r w:rsidRPr="00BB60FF">
        <w:rPr>
          <w:rFonts w:ascii="Times New Roman" w:hAnsi="Times New Roman" w:cs="Times New Roman"/>
          <w:i/>
          <w:sz w:val="22"/>
          <w:szCs w:val="22"/>
        </w:rPr>
        <w:t xml:space="preserve">Applied Spatial Analysis and Policy </w:t>
      </w:r>
      <w:r w:rsidRPr="00BB60FF">
        <w:rPr>
          <w:rFonts w:ascii="Times New Roman" w:hAnsi="Times New Roman" w:cs="Times New Roman"/>
          <w:sz w:val="22"/>
          <w:szCs w:val="22"/>
        </w:rPr>
        <w:t>3(2-3) 107-138</w:t>
      </w:r>
    </w:p>
    <w:p w14:paraId="7096C9B8" w14:textId="77777777" w:rsidR="00BB60FF" w:rsidRPr="00BB60FF" w:rsidRDefault="00BB60FF" w:rsidP="00BB60FF">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sz w:val="22"/>
          <w:szCs w:val="22"/>
        </w:rPr>
        <w:t xml:space="preserve">Norman, P. &amp; Darlington-Pollock, F. (2016) The Changing Geography of Deprivation in Great Britain: Exploiting Small Area Census Data, 1971 to 2011. Chapter 30 in Stillwell, J &amp; Duke-Williams O. </w:t>
      </w:r>
      <w:r w:rsidRPr="00BB60FF">
        <w:rPr>
          <w:rFonts w:ascii="Times New Roman" w:hAnsi="Times New Roman" w:cs="Times New Roman"/>
          <w:i/>
          <w:sz w:val="22"/>
          <w:szCs w:val="22"/>
        </w:rPr>
        <w:t>Unlocking the UK 2011 Census: Handbook of Census Resources, Methods and Applications.</w:t>
      </w:r>
    </w:p>
    <w:p w14:paraId="63C581DE"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Norman, P., Boyle, P. and Rees, P. (2005) Selective migration, health and deprivation: a longitudinal analysis, </w:t>
      </w:r>
      <w:r w:rsidRPr="00BB60FF">
        <w:rPr>
          <w:rFonts w:ascii="Times New Roman" w:hAnsi="Times New Roman" w:cs="Times New Roman"/>
          <w:i/>
        </w:rPr>
        <w:t>Social Science &amp; Medicine</w:t>
      </w:r>
      <w:r w:rsidRPr="00BB60FF">
        <w:rPr>
          <w:rFonts w:ascii="Times New Roman" w:hAnsi="Times New Roman" w:cs="Times New Roman"/>
        </w:rPr>
        <w:t>, 60 (12): 2755-2771.</w:t>
      </w:r>
    </w:p>
    <w:p w14:paraId="2B13FC63"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Norman, P., Boyle, P., Exeter, D., Feng, Z. and Popham, F. (2011) Rising premature mortality in the UK’s persistently deprived areas: Only a Scottish phenomenon? </w:t>
      </w:r>
      <w:r w:rsidRPr="00BB60FF">
        <w:rPr>
          <w:rFonts w:ascii="Times New Roman" w:hAnsi="Times New Roman" w:cs="Times New Roman"/>
          <w:i/>
        </w:rPr>
        <w:t>Social Science &amp; Medicine</w:t>
      </w:r>
      <w:r w:rsidRPr="00BB60FF">
        <w:rPr>
          <w:rFonts w:ascii="Times New Roman" w:hAnsi="Times New Roman" w:cs="Times New Roman"/>
        </w:rPr>
        <w:t>, 73: 1575-1584.</w:t>
      </w:r>
    </w:p>
    <w:p w14:paraId="38C63A88"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Norredam, M., </w:t>
      </w:r>
      <w:proofErr w:type="spellStart"/>
      <w:r w:rsidRPr="00BB60FF">
        <w:rPr>
          <w:rFonts w:ascii="Times New Roman" w:hAnsi="Times New Roman" w:cs="Times New Roman"/>
        </w:rPr>
        <w:t>Hoejbjerg</w:t>
      </w:r>
      <w:proofErr w:type="spellEnd"/>
      <w:r w:rsidRPr="00BB60FF">
        <w:rPr>
          <w:rFonts w:ascii="Times New Roman" w:hAnsi="Times New Roman" w:cs="Times New Roman"/>
        </w:rPr>
        <w:t xml:space="preserve"> Hansen, O., Holm Pedersen, J., </w:t>
      </w:r>
      <w:proofErr w:type="spellStart"/>
      <w:r w:rsidRPr="00BB60FF">
        <w:rPr>
          <w:rFonts w:ascii="Times New Roman" w:hAnsi="Times New Roman" w:cs="Times New Roman"/>
        </w:rPr>
        <w:t>Byberg</w:t>
      </w:r>
      <w:proofErr w:type="spellEnd"/>
      <w:r w:rsidRPr="00BB60FF">
        <w:rPr>
          <w:rFonts w:ascii="Times New Roman" w:hAnsi="Times New Roman" w:cs="Times New Roman"/>
        </w:rPr>
        <w:t xml:space="preserve">, S., Krasnik, A., Agyemang, C., Kunst, A.E. (2013) Exploring disease trajectories according to migrant status – does the ‘healthy migrant effect’ last? </w:t>
      </w:r>
      <w:r w:rsidRPr="00BB60FF">
        <w:rPr>
          <w:rFonts w:ascii="Times New Roman" w:hAnsi="Times New Roman" w:cs="Times New Roman"/>
          <w:i/>
        </w:rPr>
        <w:t>The European Journal of Public Health</w:t>
      </w:r>
      <w:r w:rsidRPr="00BB60FF">
        <w:rPr>
          <w:rFonts w:ascii="Times New Roman" w:hAnsi="Times New Roman" w:cs="Times New Roman"/>
        </w:rPr>
        <w:t xml:space="preserve"> 23 (1): 234.</w:t>
      </w:r>
    </w:p>
    <w:p w14:paraId="27C041B5"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Perumal, L., Wells, S., Ameratunga, S., Pylypchuk, R.D., Elley, C.R., Riddell, T., Kerr, A., </w:t>
      </w:r>
      <w:proofErr w:type="spellStart"/>
      <w:r w:rsidRPr="00BB60FF">
        <w:rPr>
          <w:rFonts w:ascii="Times New Roman" w:hAnsi="Times New Roman" w:cs="Times New Roman"/>
        </w:rPr>
        <w:t>Crengle</w:t>
      </w:r>
      <w:proofErr w:type="spellEnd"/>
      <w:r w:rsidRPr="00BB60FF">
        <w:rPr>
          <w:rFonts w:ascii="Times New Roman" w:hAnsi="Times New Roman" w:cs="Times New Roman"/>
        </w:rPr>
        <w:t xml:space="preserve">, S., Gentles, D. and Jackson, R. (2012) Markedly different clustering of CVD risk factors in New Zealand Indian and European people but similar risk scores (PREDICT-14), </w:t>
      </w:r>
      <w:r w:rsidRPr="00BB60FF">
        <w:rPr>
          <w:rFonts w:ascii="Times New Roman" w:hAnsi="Times New Roman" w:cs="Times New Roman"/>
          <w:i/>
        </w:rPr>
        <w:t>Australia NZ Journal of Public Health</w:t>
      </w:r>
      <w:r w:rsidRPr="00BB60FF">
        <w:rPr>
          <w:rFonts w:ascii="Times New Roman" w:hAnsi="Times New Roman" w:cs="Times New Roman"/>
        </w:rPr>
        <w:t>, 36 (2): 141-144.</w:t>
      </w:r>
    </w:p>
    <w:p w14:paraId="15A58F7A" w14:textId="77777777" w:rsidR="00BB60FF" w:rsidRPr="00BB60FF" w:rsidRDefault="00BB60FF" w:rsidP="00BB60FF">
      <w:pPr>
        <w:spacing w:line="480" w:lineRule="auto"/>
        <w:jc w:val="both"/>
        <w:rPr>
          <w:rFonts w:ascii="Times New Roman" w:hAnsi="Times New Roman" w:cs="Times New Roman"/>
        </w:rPr>
      </w:pPr>
      <w:proofErr w:type="spellStart"/>
      <w:r w:rsidRPr="00BB60FF">
        <w:rPr>
          <w:rFonts w:ascii="Times New Roman" w:hAnsi="Times New Roman" w:cs="Times New Roman"/>
        </w:rPr>
        <w:lastRenderedPageBreak/>
        <w:t>Piro</w:t>
      </w:r>
      <w:proofErr w:type="spellEnd"/>
      <w:r w:rsidRPr="00BB60FF">
        <w:rPr>
          <w:rFonts w:ascii="Times New Roman" w:hAnsi="Times New Roman" w:cs="Times New Roman"/>
        </w:rPr>
        <w:t xml:space="preserve">, F.N., </w:t>
      </w:r>
      <w:proofErr w:type="spellStart"/>
      <w:r w:rsidRPr="00BB60FF">
        <w:rPr>
          <w:rFonts w:ascii="Times New Roman" w:hAnsi="Times New Roman" w:cs="Times New Roman"/>
        </w:rPr>
        <w:t>Naess</w:t>
      </w:r>
      <w:proofErr w:type="spellEnd"/>
      <w:r w:rsidRPr="00BB60FF">
        <w:rPr>
          <w:rFonts w:ascii="Times New Roman" w:hAnsi="Times New Roman" w:cs="Times New Roman"/>
        </w:rPr>
        <w:t xml:space="preserve">, O. and Claussen, B. (2007) Area deprivation and its association with health in a cross-sectional study: are the results biased by recent migration? </w:t>
      </w:r>
      <w:r w:rsidRPr="00BB60FF">
        <w:rPr>
          <w:rFonts w:ascii="Times New Roman" w:hAnsi="Times New Roman" w:cs="Times New Roman"/>
          <w:i/>
        </w:rPr>
        <w:t>International Journal of Equity and Health</w:t>
      </w:r>
      <w:r w:rsidRPr="00BB60FF">
        <w:rPr>
          <w:rFonts w:ascii="Times New Roman" w:hAnsi="Times New Roman" w:cs="Times New Roman"/>
        </w:rPr>
        <w:t xml:space="preserve"> 6 (10). </w:t>
      </w:r>
    </w:p>
    <w:p w14:paraId="0B7E032E"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Riddell, T., Jackson, R. T., Wells, S., Broad, J. and Bannink, L. (2007) Assessing Māori/non-Māori differences in cardiovascular disease risk and risk management in routine primary care practice using web-based clinical decision support: (PREDICT CVD-2), </w:t>
      </w:r>
      <w:r w:rsidRPr="00BB60FF">
        <w:rPr>
          <w:rFonts w:ascii="Times New Roman" w:hAnsi="Times New Roman" w:cs="Times New Roman"/>
          <w:i/>
        </w:rPr>
        <w:t>NZ Medical Journal</w:t>
      </w:r>
      <w:r w:rsidRPr="00BB60FF">
        <w:rPr>
          <w:rFonts w:ascii="Times New Roman" w:hAnsi="Times New Roman" w:cs="Times New Roman"/>
        </w:rPr>
        <w:t>, 120 (1250): U2445.</w:t>
      </w:r>
    </w:p>
    <w:p w14:paraId="7C4CB69A"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Salmond C, Crampton P and Atkinson J (2007). </w:t>
      </w:r>
      <w:r w:rsidRPr="00BB60FF">
        <w:rPr>
          <w:rFonts w:ascii="Times New Roman" w:hAnsi="Times New Roman" w:cs="Times New Roman"/>
          <w:i/>
        </w:rPr>
        <w:t xml:space="preserve">NZDep2006 Index of Deprivation. </w:t>
      </w:r>
      <w:r w:rsidRPr="00BB60FF">
        <w:rPr>
          <w:rFonts w:ascii="Times New Roman" w:hAnsi="Times New Roman" w:cs="Times New Roman"/>
        </w:rPr>
        <w:t xml:space="preserve">Department of Public Health, University of Otago, Wellington: Wellington. </w:t>
      </w:r>
    </w:p>
    <w:p w14:paraId="2606294F"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Salmond, C.E. and Crampton, P. (2012) Development of New Zealand’s deprivation index (NZDep) and its uptake as a national policy tool, </w:t>
      </w:r>
      <w:r w:rsidRPr="00BB60FF">
        <w:rPr>
          <w:rFonts w:ascii="Times New Roman" w:hAnsi="Times New Roman" w:cs="Times New Roman"/>
          <w:i/>
        </w:rPr>
        <w:t>Canadian Journal of Public Health</w:t>
      </w:r>
      <w:r w:rsidRPr="00BB60FF">
        <w:rPr>
          <w:rFonts w:ascii="Times New Roman" w:hAnsi="Times New Roman" w:cs="Times New Roman"/>
        </w:rPr>
        <w:t xml:space="preserve">, 103 (8 </w:t>
      </w:r>
      <w:proofErr w:type="spellStart"/>
      <w:r w:rsidRPr="00BB60FF">
        <w:rPr>
          <w:rFonts w:ascii="Times New Roman" w:hAnsi="Times New Roman" w:cs="Times New Roman"/>
        </w:rPr>
        <w:t>Suppl</w:t>
      </w:r>
      <w:proofErr w:type="spellEnd"/>
      <w:r w:rsidRPr="00BB60FF">
        <w:rPr>
          <w:rFonts w:ascii="Times New Roman" w:hAnsi="Times New Roman" w:cs="Times New Roman"/>
        </w:rPr>
        <w:t xml:space="preserve"> 2): S7-11.</w:t>
      </w:r>
    </w:p>
    <w:p w14:paraId="556B7CD0"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Sandiford, P., Bramley, D.M., El-Jack, S.S., Scott, A.G. (2015) Ethnic differences in coronary artery revascularisation in New Zealand: does the inverse care law still apply? </w:t>
      </w:r>
      <w:r w:rsidRPr="00BB60FF">
        <w:rPr>
          <w:rFonts w:ascii="Times New Roman" w:hAnsi="Times New Roman" w:cs="Times New Roman"/>
          <w:i/>
        </w:rPr>
        <w:t xml:space="preserve">Heart, Lung and Circulation, </w:t>
      </w:r>
      <w:r w:rsidRPr="00BB60FF">
        <w:rPr>
          <w:rFonts w:ascii="Times New Roman" w:hAnsi="Times New Roman" w:cs="Times New Roman"/>
        </w:rPr>
        <w:t xml:space="preserve">24: 969-974. </w:t>
      </w:r>
    </w:p>
    <w:p w14:paraId="17A00B7C"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Scheppers, E., van </w:t>
      </w:r>
      <w:proofErr w:type="spellStart"/>
      <w:r w:rsidRPr="00BB60FF">
        <w:rPr>
          <w:rFonts w:ascii="Times New Roman" w:hAnsi="Times New Roman" w:cs="Times New Roman"/>
        </w:rPr>
        <w:t>Dongen</w:t>
      </w:r>
      <w:proofErr w:type="spellEnd"/>
      <w:r w:rsidRPr="00BB60FF">
        <w:rPr>
          <w:rFonts w:ascii="Times New Roman" w:hAnsi="Times New Roman" w:cs="Times New Roman"/>
        </w:rPr>
        <w:t xml:space="preserve">, E., Dekker, J., </w:t>
      </w:r>
      <w:proofErr w:type="spellStart"/>
      <w:r w:rsidRPr="00BB60FF">
        <w:rPr>
          <w:rFonts w:ascii="Times New Roman" w:hAnsi="Times New Roman" w:cs="Times New Roman"/>
        </w:rPr>
        <w:t>Geertzen</w:t>
      </w:r>
      <w:proofErr w:type="spellEnd"/>
      <w:r w:rsidRPr="00BB60FF">
        <w:rPr>
          <w:rFonts w:ascii="Times New Roman" w:hAnsi="Times New Roman" w:cs="Times New Roman"/>
        </w:rPr>
        <w:t xml:space="preserve">, J. and Dekker, J. (2008) Potential barriers to the use of health services among ethnic minorities: a review. </w:t>
      </w:r>
      <w:r w:rsidRPr="00BB60FF">
        <w:rPr>
          <w:rFonts w:ascii="Times New Roman" w:hAnsi="Times New Roman" w:cs="Times New Roman"/>
          <w:i/>
        </w:rPr>
        <w:t>Family Practice—an international journal</w:t>
      </w:r>
      <w:r w:rsidRPr="00BB60FF">
        <w:rPr>
          <w:rFonts w:ascii="Times New Roman" w:hAnsi="Times New Roman" w:cs="Times New Roman"/>
        </w:rPr>
        <w:t>, 325-248.</w:t>
      </w:r>
    </w:p>
    <w:p w14:paraId="71E5584E"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Silventoinen, K., </w:t>
      </w:r>
      <w:proofErr w:type="spellStart"/>
      <w:r w:rsidRPr="00BB60FF">
        <w:rPr>
          <w:rFonts w:ascii="Times New Roman" w:hAnsi="Times New Roman" w:cs="Times New Roman"/>
        </w:rPr>
        <w:t>Hammar</w:t>
      </w:r>
      <w:proofErr w:type="spellEnd"/>
      <w:r w:rsidRPr="00BB60FF">
        <w:rPr>
          <w:rFonts w:ascii="Times New Roman" w:hAnsi="Times New Roman" w:cs="Times New Roman"/>
        </w:rPr>
        <w:t xml:space="preserve">, N., Hedlund, E., </w:t>
      </w:r>
      <w:proofErr w:type="spellStart"/>
      <w:r w:rsidRPr="00BB60FF">
        <w:rPr>
          <w:rFonts w:ascii="Times New Roman" w:hAnsi="Times New Roman" w:cs="Times New Roman"/>
        </w:rPr>
        <w:t>Koskenvuo</w:t>
      </w:r>
      <w:proofErr w:type="spellEnd"/>
      <w:r w:rsidRPr="00BB60FF">
        <w:rPr>
          <w:rFonts w:ascii="Times New Roman" w:hAnsi="Times New Roman" w:cs="Times New Roman"/>
        </w:rPr>
        <w:t xml:space="preserve">, M., </w:t>
      </w:r>
      <w:proofErr w:type="spellStart"/>
      <w:r w:rsidRPr="00BB60FF">
        <w:rPr>
          <w:rFonts w:ascii="Times New Roman" w:hAnsi="Times New Roman" w:cs="Times New Roman"/>
        </w:rPr>
        <w:t>Rӧnnemaa</w:t>
      </w:r>
      <w:proofErr w:type="spellEnd"/>
      <w:r w:rsidRPr="00BB60FF">
        <w:rPr>
          <w:rFonts w:ascii="Times New Roman" w:hAnsi="Times New Roman" w:cs="Times New Roman"/>
        </w:rPr>
        <w:t xml:space="preserve">, T. and </w:t>
      </w:r>
      <w:proofErr w:type="spellStart"/>
      <w:r w:rsidRPr="00BB60FF">
        <w:rPr>
          <w:rFonts w:ascii="Times New Roman" w:hAnsi="Times New Roman" w:cs="Times New Roman"/>
        </w:rPr>
        <w:t>Kaprio</w:t>
      </w:r>
      <w:proofErr w:type="spellEnd"/>
      <w:r w:rsidRPr="00BB60FF">
        <w:rPr>
          <w:rFonts w:ascii="Times New Roman" w:hAnsi="Times New Roman" w:cs="Times New Roman"/>
        </w:rPr>
        <w:t xml:space="preserve">, J. (2008). Selective international migration by social position, health behaviour and personality,  </w:t>
      </w:r>
      <w:r w:rsidRPr="00BB60FF">
        <w:rPr>
          <w:rFonts w:ascii="Times New Roman" w:hAnsi="Times New Roman" w:cs="Times New Roman"/>
          <w:i/>
        </w:rPr>
        <w:t>European Journal of Public Health</w:t>
      </w:r>
      <w:r w:rsidRPr="00BB60FF">
        <w:rPr>
          <w:rFonts w:ascii="Times New Roman" w:hAnsi="Times New Roman" w:cs="Times New Roman"/>
        </w:rPr>
        <w:t xml:space="preserve"> 18 (2): 150-155. </w:t>
      </w:r>
    </w:p>
    <w:p w14:paraId="06799463"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Singh, G.K., </w:t>
      </w:r>
      <w:proofErr w:type="spellStart"/>
      <w:r w:rsidRPr="00BB60FF">
        <w:rPr>
          <w:rFonts w:ascii="Times New Roman" w:hAnsi="Times New Roman" w:cs="Times New Roman"/>
        </w:rPr>
        <w:t>Siahpush</w:t>
      </w:r>
      <w:proofErr w:type="spellEnd"/>
      <w:r w:rsidRPr="00BB60FF">
        <w:rPr>
          <w:rFonts w:ascii="Times New Roman" w:hAnsi="Times New Roman" w:cs="Times New Roman"/>
        </w:rPr>
        <w:t xml:space="preserve">, M.S., </w:t>
      </w:r>
      <w:proofErr w:type="spellStart"/>
      <w:r w:rsidRPr="00BB60FF">
        <w:rPr>
          <w:rFonts w:ascii="Times New Roman" w:hAnsi="Times New Roman" w:cs="Times New Roman"/>
        </w:rPr>
        <w:t>Azuine</w:t>
      </w:r>
      <w:proofErr w:type="spellEnd"/>
      <w:r w:rsidRPr="00BB60FF">
        <w:rPr>
          <w:rFonts w:ascii="Times New Roman" w:hAnsi="Times New Roman" w:cs="Times New Roman"/>
        </w:rPr>
        <w:t xml:space="preserve">, R.E. and Williams, S.D. (2015) Widening socioeconomic and racial disparities in cardiovascular disease mortality in the United States, 1969-2013, </w:t>
      </w:r>
      <w:r w:rsidRPr="00BB60FF">
        <w:rPr>
          <w:rFonts w:ascii="Times New Roman" w:hAnsi="Times New Roman" w:cs="Times New Roman"/>
          <w:i/>
        </w:rPr>
        <w:t>International Journal of MCH and AIDs</w:t>
      </w:r>
      <w:r w:rsidRPr="00BB60FF">
        <w:rPr>
          <w:rFonts w:ascii="Times New Roman" w:hAnsi="Times New Roman" w:cs="Times New Roman"/>
        </w:rPr>
        <w:t>, 3 (2).</w:t>
      </w:r>
    </w:p>
    <w:p w14:paraId="013E4ABF" w14:textId="77777777" w:rsidR="00BB60FF" w:rsidRPr="00BB60FF" w:rsidRDefault="00BB60FF" w:rsidP="00BB60FF">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sz w:val="22"/>
          <w:szCs w:val="22"/>
        </w:rPr>
        <w:t xml:space="preserve">Statistics New Zealand (2015) Perceptions of housing quality in 2014/15, </w:t>
      </w:r>
      <w:hyperlink r:id="rId14" w:history="1">
        <w:r w:rsidRPr="00BB60FF">
          <w:rPr>
            <w:rStyle w:val="Hyperlink"/>
            <w:rFonts w:ascii="Times New Roman" w:hAnsi="Times New Roman" w:cs="Times New Roman"/>
            <w:sz w:val="22"/>
            <w:szCs w:val="22"/>
          </w:rPr>
          <w:t>www.stats.govt.nz</w:t>
        </w:r>
      </w:hyperlink>
      <w:r w:rsidRPr="00BB60FF">
        <w:rPr>
          <w:rFonts w:ascii="Times New Roman" w:hAnsi="Times New Roman" w:cs="Times New Roman"/>
          <w:sz w:val="22"/>
          <w:szCs w:val="22"/>
        </w:rPr>
        <w:t xml:space="preserve"> [last accessed June 2016]. </w:t>
      </w:r>
    </w:p>
    <w:p w14:paraId="24818A5F" w14:textId="77777777" w:rsidR="00F57155" w:rsidRDefault="00BB60FF" w:rsidP="00F57155">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sz w:val="22"/>
          <w:szCs w:val="22"/>
        </w:rPr>
        <w:lastRenderedPageBreak/>
        <w:t>Statistics New Zealand (2016)</w:t>
      </w:r>
      <w:r w:rsidRPr="00BB60FF">
        <w:rPr>
          <w:rFonts w:ascii="Times New Roman" w:hAnsi="Times New Roman" w:cs="Times New Roman"/>
          <w:i/>
          <w:sz w:val="22"/>
          <w:szCs w:val="22"/>
        </w:rPr>
        <w:t xml:space="preserve"> Changes in home-ownership patterns 1986-2013: Focus on M</w:t>
      </w:r>
      <w:r w:rsidRPr="00BB60FF">
        <w:rPr>
          <w:rFonts w:ascii="Times New Roman" w:hAnsi="Times New Roman" w:cs="Times New Roman"/>
          <w:i/>
        </w:rPr>
        <w:t>ā</w:t>
      </w:r>
      <w:r w:rsidRPr="00BB60FF">
        <w:rPr>
          <w:rFonts w:ascii="Times New Roman" w:hAnsi="Times New Roman" w:cs="Times New Roman"/>
          <w:i/>
          <w:sz w:val="22"/>
          <w:szCs w:val="22"/>
        </w:rPr>
        <w:t>ori and Pacific people</w:t>
      </w:r>
      <w:r w:rsidRPr="00BB60FF">
        <w:rPr>
          <w:rFonts w:ascii="Times New Roman" w:hAnsi="Times New Roman" w:cs="Times New Roman"/>
          <w:sz w:val="22"/>
          <w:szCs w:val="22"/>
        </w:rPr>
        <w:t xml:space="preserve">. Available at </w:t>
      </w:r>
      <w:hyperlink r:id="rId15" w:history="1">
        <w:r w:rsidRPr="00BB60FF">
          <w:rPr>
            <w:rStyle w:val="Hyperlink"/>
            <w:rFonts w:ascii="Times New Roman" w:hAnsi="Times New Roman" w:cs="Times New Roman"/>
            <w:sz w:val="22"/>
            <w:szCs w:val="22"/>
          </w:rPr>
          <w:t>www.stats.govt.nz</w:t>
        </w:r>
      </w:hyperlink>
      <w:r w:rsidRPr="00BB60FF">
        <w:rPr>
          <w:rFonts w:ascii="Times New Roman" w:hAnsi="Times New Roman" w:cs="Times New Roman"/>
          <w:sz w:val="22"/>
          <w:szCs w:val="22"/>
        </w:rPr>
        <w:t xml:space="preserve"> [last accessed June 2016].</w:t>
      </w:r>
    </w:p>
    <w:p w14:paraId="324CCAF9" w14:textId="18A62446" w:rsidR="00BB60FF" w:rsidRPr="00F57155" w:rsidRDefault="00BB60FF" w:rsidP="00F57155">
      <w:pPr>
        <w:pStyle w:val="NormalWeb"/>
        <w:spacing w:before="0" w:beforeAutospacing="0" w:after="60" w:afterAutospacing="0" w:line="480" w:lineRule="auto"/>
        <w:jc w:val="both"/>
        <w:rPr>
          <w:rFonts w:ascii="Times New Roman" w:hAnsi="Times New Roman" w:cs="Times New Roman"/>
          <w:sz w:val="22"/>
          <w:szCs w:val="22"/>
        </w:rPr>
      </w:pPr>
      <w:r w:rsidRPr="00BB60FF">
        <w:rPr>
          <w:rFonts w:ascii="Times New Roman" w:hAnsi="Times New Roman" w:cs="Times New Roman"/>
        </w:rPr>
        <w:t xml:space="preserve">Warfa, N., </w:t>
      </w:r>
      <w:proofErr w:type="spellStart"/>
      <w:r w:rsidRPr="00BB60FF">
        <w:rPr>
          <w:rFonts w:ascii="Times New Roman" w:hAnsi="Times New Roman" w:cs="Times New Roman"/>
        </w:rPr>
        <w:t>Bhui</w:t>
      </w:r>
      <w:proofErr w:type="spellEnd"/>
      <w:r w:rsidRPr="00BB60FF">
        <w:rPr>
          <w:rFonts w:ascii="Times New Roman" w:hAnsi="Times New Roman" w:cs="Times New Roman"/>
        </w:rPr>
        <w:t xml:space="preserve">, K., Craig, T., Curtis, S., Mohamud, S., </w:t>
      </w:r>
      <w:proofErr w:type="spellStart"/>
      <w:r w:rsidRPr="00BB60FF">
        <w:rPr>
          <w:rFonts w:ascii="Times New Roman" w:hAnsi="Times New Roman" w:cs="Times New Roman"/>
        </w:rPr>
        <w:t>Stansfeld</w:t>
      </w:r>
      <w:proofErr w:type="spellEnd"/>
      <w:r w:rsidRPr="00BB60FF">
        <w:rPr>
          <w:rFonts w:ascii="Times New Roman" w:hAnsi="Times New Roman" w:cs="Times New Roman"/>
        </w:rPr>
        <w:t xml:space="preserve">, S., </w:t>
      </w:r>
      <w:proofErr w:type="spellStart"/>
      <w:r w:rsidRPr="00BB60FF">
        <w:rPr>
          <w:rFonts w:ascii="Times New Roman" w:hAnsi="Times New Roman" w:cs="Times New Roman"/>
        </w:rPr>
        <w:t>McCrone</w:t>
      </w:r>
      <w:proofErr w:type="spellEnd"/>
      <w:r w:rsidRPr="00BB60FF">
        <w:rPr>
          <w:rFonts w:ascii="Times New Roman" w:hAnsi="Times New Roman" w:cs="Times New Roman"/>
        </w:rPr>
        <w:t xml:space="preserve">, P. and Thornicroft, G. (2006) Post-migration geographical mobility, mental health and health service utilisation among Somali refugees in the UK: A qualitative study, </w:t>
      </w:r>
      <w:r w:rsidRPr="00BB60FF">
        <w:rPr>
          <w:rFonts w:ascii="Times New Roman" w:hAnsi="Times New Roman" w:cs="Times New Roman"/>
          <w:i/>
        </w:rPr>
        <w:t xml:space="preserve">Health &amp; Place, </w:t>
      </w:r>
      <w:r w:rsidRPr="00BB60FF">
        <w:rPr>
          <w:rFonts w:ascii="Times New Roman" w:hAnsi="Times New Roman" w:cs="Times New Roman"/>
        </w:rPr>
        <w:t xml:space="preserve">12: 503-515. </w:t>
      </w:r>
    </w:p>
    <w:p w14:paraId="471381E2"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Warin, B., Exeter, D.J., Zhao, J., Kenealy, T. and Wells, S. (2016) Geography matters: the prevalence of diabetes in the Auckland Region by age, gender and ethnicity, </w:t>
      </w:r>
      <w:r w:rsidRPr="00BB60FF">
        <w:rPr>
          <w:rFonts w:ascii="Times New Roman" w:hAnsi="Times New Roman" w:cs="Times New Roman"/>
          <w:i/>
        </w:rPr>
        <w:t>New Zealand Medical Journal</w:t>
      </w:r>
      <w:r w:rsidRPr="00BB60FF">
        <w:rPr>
          <w:rFonts w:ascii="Times New Roman" w:hAnsi="Times New Roman" w:cs="Times New Roman"/>
        </w:rPr>
        <w:t xml:space="preserve">, 129 (1436). </w:t>
      </w:r>
    </w:p>
    <w:p w14:paraId="526A8342"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Wells, S., Riddell, T., Kerr, A., Pylypchuk, R., Chelimo, C., Marshall, R., Exeter, D.J., Mehta, S., Harrison, J., Kyle, C., Grey, C., Metcalf, P., Warren, J., Kenealy, T., Drury, P.L., Harwood, M., Bramley, D., Gala, G. and Jackson, R. (2015) Cohort Profile: The PREDICT Cardiovascular Disease Cohort in New Zealand Primary Care (PREDICT-CVD 19), </w:t>
      </w:r>
      <w:r w:rsidRPr="00BB60FF">
        <w:rPr>
          <w:rFonts w:ascii="Times New Roman" w:hAnsi="Times New Roman" w:cs="Times New Roman"/>
          <w:i/>
        </w:rPr>
        <w:t>International Journal of Epidemiology</w:t>
      </w:r>
      <w:r w:rsidRPr="00BB60FF">
        <w:rPr>
          <w:rFonts w:ascii="Times New Roman" w:hAnsi="Times New Roman" w:cs="Times New Roman"/>
        </w:rPr>
        <w:t>, dyv312.</w:t>
      </w:r>
    </w:p>
    <w:p w14:paraId="675ECCE6" w14:textId="77777777" w:rsidR="00BB60FF" w:rsidRPr="00BB60FF" w:rsidRDefault="00BB60FF" w:rsidP="00BB60FF">
      <w:pPr>
        <w:spacing w:line="480" w:lineRule="auto"/>
        <w:jc w:val="both"/>
        <w:rPr>
          <w:rFonts w:ascii="Times New Roman" w:hAnsi="Times New Roman" w:cs="Times New Roman"/>
        </w:rPr>
      </w:pPr>
      <w:r w:rsidRPr="00BB60FF">
        <w:rPr>
          <w:rFonts w:ascii="Times New Roman" w:hAnsi="Times New Roman" w:cs="Times New Roman"/>
        </w:rPr>
        <w:t xml:space="preserve">Zanchetta, M.S. and Poureslami, I.M. (####) Health literacy within the reality of immigrants culture and language, </w:t>
      </w:r>
      <w:r w:rsidRPr="00BB60FF">
        <w:rPr>
          <w:rFonts w:ascii="Times New Roman" w:hAnsi="Times New Roman" w:cs="Times New Roman"/>
          <w:i/>
        </w:rPr>
        <w:t xml:space="preserve">Canadian Journal of Public Health, </w:t>
      </w:r>
      <w:r w:rsidRPr="00BB60FF">
        <w:rPr>
          <w:rFonts w:ascii="Times New Roman" w:hAnsi="Times New Roman" w:cs="Times New Roman"/>
        </w:rPr>
        <w:t>97 (s2): S26-S30.</w:t>
      </w:r>
    </w:p>
    <w:p w14:paraId="70A7B5AA" w14:textId="77777777" w:rsidR="00D305A6" w:rsidRPr="00331D23" w:rsidRDefault="00D305A6" w:rsidP="00871C96">
      <w:pPr>
        <w:spacing w:line="480" w:lineRule="auto"/>
        <w:rPr>
          <w:rFonts w:ascii="Times New Roman" w:hAnsi="Times New Roman" w:cs="Times New Roman"/>
        </w:rPr>
      </w:pPr>
    </w:p>
    <w:sectPr w:rsidR="00D305A6" w:rsidRPr="00331D23" w:rsidSect="006F37A3">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2A0CD" w14:textId="77777777" w:rsidR="00D14825" w:rsidRDefault="00D14825">
      <w:pPr>
        <w:spacing w:after="0" w:line="240" w:lineRule="auto"/>
      </w:pPr>
      <w:r>
        <w:separator/>
      </w:r>
    </w:p>
  </w:endnote>
  <w:endnote w:type="continuationSeparator" w:id="0">
    <w:p w14:paraId="6C7221A8" w14:textId="77777777" w:rsidR="00D14825" w:rsidRDefault="00D1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33979"/>
      <w:docPartObj>
        <w:docPartGallery w:val="Page Numbers (Bottom of Page)"/>
        <w:docPartUnique/>
      </w:docPartObj>
    </w:sdtPr>
    <w:sdtEndPr>
      <w:rPr>
        <w:noProof/>
      </w:rPr>
    </w:sdtEndPr>
    <w:sdtContent>
      <w:p w14:paraId="70CA4C30" w14:textId="77777777" w:rsidR="00920D61" w:rsidRDefault="00920D61">
        <w:pPr>
          <w:pStyle w:val="Footer"/>
          <w:jc w:val="center"/>
        </w:pPr>
        <w:r>
          <w:fldChar w:fldCharType="begin"/>
        </w:r>
        <w:r>
          <w:instrText xml:space="preserve"> PAGE   \* MERGEFORMAT </w:instrText>
        </w:r>
        <w:r>
          <w:fldChar w:fldCharType="separate"/>
        </w:r>
        <w:r w:rsidR="00D53708">
          <w:rPr>
            <w:noProof/>
          </w:rPr>
          <w:t>21</w:t>
        </w:r>
        <w:r>
          <w:rPr>
            <w:noProof/>
          </w:rPr>
          <w:fldChar w:fldCharType="end"/>
        </w:r>
      </w:p>
    </w:sdtContent>
  </w:sdt>
  <w:p w14:paraId="1BD9BD3C" w14:textId="77777777" w:rsidR="00920D61" w:rsidRDefault="00920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A7EAA" w14:textId="77777777" w:rsidR="00D14825" w:rsidRDefault="00D14825">
      <w:pPr>
        <w:spacing w:after="0" w:line="240" w:lineRule="auto"/>
      </w:pPr>
      <w:r>
        <w:separator/>
      </w:r>
    </w:p>
  </w:footnote>
  <w:footnote w:type="continuationSeparator" w:id="0">
    <w:p w14:paraId="74C58ADE" w14:textId="77777777" w:rsidR="00D14825" w:rsidRDefault="00D14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74B6"/>
    <w:multiLevelType w:val="hybridMultilevel"/>
    <w:tmpl w:val="0C8493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34713"/>
    <w:multiLevelType w:val="hybridMultilevel"/>
    <w:tmpl w:val="C1AED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375EBF"/>
    <w:multiLevelType w:val="hybridMultilevel"/>
    <w:tmpl w:val="076C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9410F"/>
    <w:multiLevelType w:val="hybridMultilevel"/>
    <w:tmpl w:val="E1A05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C7F29"/>
    <w:multiLevelType w:val="hybridMultilevel"/>
    <w:tmpl w:val="C9428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B6169"/>
    <w:multiLevelType w:val="hybridMultilevel"/>
    <w:tmpl w:val="A40AA4F2"/>
    <w:lvl w:ilvl="0" w:tplc="6AC212C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AB6EB1"/>
    <w:multiLevelType w:val="hybridMultilevel"/>
    <w:tmpl w:val="450AE874"/>
    <w:lvl w:ilvl="0" w:tplc="6012E5F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9FD2739"/>
    <w:multiLevelType w:val="hybridMultilevel"/>
    <w:tmpl w:val="9170E10E"/>
    <w:lvl w:ilvl="0" w:tplc="CE7052B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A4B68D9"/>
    <w:multiLevelType w:val="hybridMultilevel"/>
    <w:tmpl w:val="62609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CD3C90"/>
    <w:multiLevelType w:val="hybridMultilevel"/>
    <w:tmpl w:val="54CC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5F322D"/>
    <w:multiLevelType w:val="hybridMultilevel"/>
    <w:tmpl w:val="62609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9"/>
  </w:num>
  <w:num w:numId="5">
    <w:abstractNumId w:val="8"/>
  </w:num>
  <w:num w:numId="6">
    <w:abstractNumId w:val="1"/>
  </w:num>
  <w:num w:numId="7">
    <w:abstractNumId w:val="10"/>
  </w:num>
  <w:num w:numId="8">
    <w:abstractNumId w:val="5"/>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E25"/>
    <w:rsid w:val="0000411F"/>
    <w:rsid w:val="00016AEF"/>
    <w:rsid w:val="00023B75"/>
    <w:rsid w:val="00026D9C"/>
    <w:rsid w:val="00064025"/>
    <w:rsid w:val="000770E5"/>
    <w:rsid w:val="00097B14"/>
    <w:rsid w:val="000B5389"/>
    <w:rsid w:val="000D66AB"/>
    <w:rsid w:val="000D7044"/>
    <w:rsid w:val="00106EBF"/>
    <w:rsid w:val="00111D9E"/>
    <w:rsid w:val="0011288A"/>
    <w:rsid w:val="00137F95"/>
    <w:rsid w:val="00142371"/>
    <w:rsid w:val="0017251A"/>
    <w:rsid w:val="001772F0"/>
    <w:rsid w:val="001E7E25"/>
    <w:rsid w:val="00206D56"/>
    <w:rsid w:val="0021016A"/>
    <w:rsid w:val="002104C2"/>
    <w:rsid w:val="0024642C"/>
    <w:rsid w:val="00253B66"/>
    <w:rsid w:val="00271578"/>
    <w:rsid w:val="00273A24"/>
    <w:rsid w:val="00276B20"/>
    <w:rsid w:val="00281868"/>
    <w:rsid w:val="00284D58"/>
    <w:rsid w:val="002C0B6C"/>
    <w:rsid w:val="002F0F73"/>
    <w:rsid w:val="002F15E0"/>
    <w:rsid w:val="002F21CD"/>
    <w:rsid w:val="0032562C"/>
    <w:rsid w:val="00331D23"/>
    <w:rsid w:val="00331FF5"/>
    <w:rsid w:val="00337A03"/>
    <w:rsid w:val="0036644D"/>
    <w:rsid w:val="00384E3A"/>
    <w:rsid w:val="003A2ED1"/>
    <w:rsid w:val="003B5F54"/>
    <w:rsid w:val="003D237A"/>
    <w:rsid w:val="003D357A"/>
    <w:rsid w:val="003E580A"/>
    <w:rsid w:val="00412999"/>
    <w:rsid w:val="00442AA2"/>
    <w:rsid w:val="004571E8"/>
    <w:rsid w:val="00492FB9"/>
    <w:rsid w:val="00496966"/>
    <w:rsid w:val="0049746B"/>
    <w:rsid w:val="004B12F4"/>
    <w:rsid w:val="004B4FFC"/>
    <w:rsid w:val="004C2B8F"/>
    <w:rsid w:val="004C3438"/>
    <w:rsid w:val="004C6D26"/>
    <w:rsid w:val="004D37B1"/>
    <w:rsid w:val="004F1E3C"/>
    <w:rsid w:val="00503342"/>
    <w:rsid w:val="00507F5A"/>
    <w:rsid w:val="0052352E"/>
    <w:rsid w:val="00523A01"/>
    <w:rsid w:val="00525D79"/>
    <w:rsid w:val="0054292A"/>
    <w:rsid w:val="00542A2D"/>
    <w:rsid w:val="005526A1"/>
    <w:rsid w:val="005534E6"/>
    <w:rsid w:val="00572BFA"/>
    <w:rsid w:val="005A5994"/>
    <w:rsid w:val="005A66D7"/>
    <w:rsid w:val="005B7C67"/>
    <w:rsid w:val="005E60F6"/>
    <w:rsid w:val="005F5709"/>
    <w:rsid w:val="0063043D"/>
    <w:rsid w:val="00637F30"/>
    <w:rsid w:val="006517BF"/>
    <w:rsid w:val="00672344"/>
    <w:rsid w:val="006800B6"/>
    <w:rsid w:val="00680412"/>
    <w:rsid w:val="00693C70"/>
    <w:rsid w:val="0069455B"/>
    <w:rsid w:val="006A2BE0"/>
    <w:rsid w:val="006B787D"/>
    <w:rsid w:val="006F2A9E"/>
    <w:rsid w:val="006F37A3"/>
    <w:rsid w:val="006F3C62"/>
    <w:rsid w:val="00725A1B"/>
    <w:rsid w:val="00740D0F"/>
    <w:rsid w:val="0077708D"/>
    <w:rsid w:val="00784F58"/>
    <w:rsid w:val="007C3D24"/>
    <w:rsid w:val="007E7FAC"/>
    <w:rsid w:val="00814ED6"/>
    <w:rsid w:val="00852DF4"/>
    <w:rsid w:val="0085489B"/>
    <w:rsid w:val="00871C96"/>
    <w:rsid w:val="00876190"/>
    <w:rsid w:val="00884380"/>
    <w:rsid w:val="0089111C"/>
    <w:rsid w:val="008B1C36"/>
    <w:rsid w:val="008B3841"/>
    <w:rsid w:val="008C222E"/>
    <w:rsid w:val="008D5FDD"/>
    <w:rsid w:val="008F296D"/>
    <w:rsid w:val="009012A0"/>
    <w:rsid w:val="00902DFE"/>
    <w:rsid w:val="00920D61"/>
    <w:rsid w:val="00937656"/>
    <w:rsid w:val="009714D0"/>
    <w:rsid w:val="00981799"/>
    <w:rsid w:val="00985E49"/>
    <w:rsid w:val="009A3A0C"/>
    <w:rsid w:val="00A00FBD"/>
    <w:rsid w:val="00A02A7E"/>
    <w:rsid w:val="00A0513C"/>
    <w:rsid w:val="00A22BA7"/>
    <w:rsid w:val="00A2306E"/>
    <w:rsid w:val="00A427A7"/>
    <w:rsid w:val="00A602F3"/>
    <w:rsid w:val="00A86AE1"/>
    <w:rsid w:val="00A86F03"/>
    <w:rsid w:val="00B07CAD"/>
    <w:rsid w:val="00B408C8"/>
    <w:rsid w:val="00B61ADE"/>
    <w:rsid w:val="00B64DAB"/>
    <w:rsid w:val="00BA6219"/>
    <w:rsid w:val="00BB41D7"/>
    <w:rsid w:val="00BB60FF"/>
    <w:rsid w:val="00BD4E1D"/>
    <w:rsid w:val="00BE1048"/>
    <w:rsid w:val="00C02C6D"/>
    <w:rsid w:val="00C52AA4"/>
    <w:rsid w:val="00C63990"/>
    <w:rsid w:val="00C72E61"/>
    <w:rsid w:val="00C75A30"/>
    <w:rsid w:val="00C7649A"/>
    <w:rsid w:val="00C82268"/>
    <w:rsid w:val="00C85852"/>
    <w:rsid w:val="00CC5EBD"/>
    <w:rsid w:val="00CD13A1"/>
    <w:rsid w:val="00D14825"/>
    <w:rsid w:val="00D23EFD"/>
    <w:rsid w:val="00D305A6"/>
    <w:rsid w:val="00D35BCF"/>
    <w:rsid w:val="00D36A16"/>
    <w:rsid w:val="00D45296"/>
    <w:rsid w:val="00D535A5"/>
    <w:rsid w:val="00D53708"/>
    <w:rsid w:val="00D71304"/>
    <w:rsid w:val="00D77351"/>
    <w:rsid w:val="00D85309"/>
    <w:rsid w:val="00D86972"/>
    <w:rsid w:val="00DA2E52"/>
    <w:rsid w:val="00DB3268"/>
    <w:rsid w:val="00DC71F8"/>
    <w:rsid w:val="00DD5599"/>
    <w:rsid w:val="00DE6782"/>
    <w:rsid w:val="00DE7EDC"/>
    <w:rsid w:val="00DF21BA"/>
    <w:rsid w:val="00E043A7"/>
    <w:rsid w:val="00E22AF6"/>
    <w:rsid w:val="00E23043"/>
    <w:rsid w:val="00E352FA"/>
    <w:rsid w:val="00E9460E"/>
    <w:rsid w:val="00EA5F78"/>
    <w:rsid w:val="00EA79B4"/>
    <w:rsid w:val="00EC6DAC"/>
    <w:rsid w:val="00EF0282"/>
    <w:rsid w:val="00EF5F41"/>
    <w:rsid w:val="00F156A0"/>
    <w:rsid w:val="00F2037F"/>
    <w:rsid w:val="00F349E5"/>
    <w:rsid w:val="00F35E52"/>
    <w:rsid w:val="00F42180"/>
    <w:rsid w:val="00F45423"/>
    <w:rsid w:val="00F56612"/>
    <w:rsid w:val="00F57155"/>
    <w:rsid w:val="00FA0E47"/>
    <w:rsid w:val="00FA10B7"/>
    <w:rsid w:val="00FA6B76"/>
    <w:rsid w:val="00FC1548"/>
    <w:rsid w:val="00FD1016"/>
    <w:rsid w:val="00FE0338"/>
    <w:rsid w:val="00FE1B9E"/>
    <w:rsid w:val="00FF3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0E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E25"/>
    <w:rPr>
      <w:lang w:val="en-NZ"/>
    </w:rPr>
  </w:style>
  <w:style w:type="paragraph" w:styleId="Heading1">
    <w:name w:val="heading 1"/>
    <w:basedOn w:val="Normal"/>
    <w:link w:val="Heading1Char"/>
    <w:uiPriority w:val="9"/>
    <w:qFormat/>
    <w:rsid w:val="001E7E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Notes">
    <w:name w:val="Table Notes"/>
    <w:basedOn w:val="Normal"/>
    <w:link w:val="TableNotesChar"/>
    <w:qFormat/>
    <w:rsid w:val="00B61ADE"/>
    <w:pPr>
      <w:spacing w:line="240" w:lineRule="auto"/>
      <w:ind w:left="567"/>
    </w:pPr>
    <w:rPr>
      <w:rFonts w:ascii="Arial" w:hAnsi="Arial"/>
      <w:sz w:val="20"/>
      <w:vertAlign w:val="superscript"/>
    </w:rPr>
  </w:style>
  <w:style w:type="character" w:customStyle="1" w:styleId="TableNotesChar">
    <w:name w:val="Table Notes Char"/>
    <w:basedOn w:val="DefaultParagraphFont"/>
    <w:link w:val="TableNotes"/>
    <w:rsid w:val="00B61ADE"/>
    <w:rPr>
      <w:rFonts w:ascii="Arial" w:hAnsi="Arial"/>
      <w:sz w:val="20"/>
      <w:vertAlign w:val="superscript"/>
    </w:rPr>
  </w:style>
  <w:style w:type="character" w:customStyle="1" w:styleId="Heading1Char">
    <w:name w:val="Heading 1 Char"/>
    <w:basedOn w:val="DefaultParagraphFont"/>
    <w:link w:val="Heading1"/>
    <w:uiPriority w:val="9"/>
    <w:rsid w:val="001E7E25"/>
    <w:rPr>
      <w:rFonts w:ascii="Times New Roman" w:eastAsia="Times New Roman" w:hAnsi="Times New Roman" w:cs="Times New Roman"/>
      <w:b/>
      <w:bCs/>
      <w:kern w:val="36"/>
      <w:sz w:val="48"/>
      <w:szCs w:val="48"/>
      <w:lang w:val="en-NZ" w:eastAsia="en-NZ"/>
    </w:rPr>
  </w:style>
  <w:style w:type="paragraph" w:styleId="ListParagraph">
    <w:name w:val="List Paragraph"/>
    <w:basedOn w:val="Normal"/>
    <w:uiPriority w:val="34"/>
    <w:qFormat/>
    <w:rsid w:val="001E7E25"/>
    <w:pPr>
      <w:ind w:left="720"/>
      <w:contextualSpacing/>
    </w:pPr>
  </w:style>
  <w:style w:type="table" w:styleId="LightShading">
    <w:name w:val="Light Shading"/>
    <w:basedOn w:val="TableNormal"/>
    <w:uiPriority w:val="60"/>
    <w:rsid w:val="001E7E25"/>
    <w:pPr>
      <w:spacing w:after="0" w:line="240" w:lineRule="auto"/>
    </w:pPr>
    <w:rPr>
      <w:color w:val="000000" w:themeColor="text1" w:themeShade="BF"/>
      <w:lang w:val="en-N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1E7E25"/>
    <w:pPr>
      <w:spacing w:line="240" w:lineRule="auto"/>
    </w:pPr>
    <w:rPr>
      <w:b/>
      <w:bCs/>
      <w:color w:val="4F81BD" w:themeColor="accent1"/>
      <w:sz w:val="18"/>
      <w:szCs w:val="18"/>
    </w:rPr>
  </w:style>
  <w:style w:type="table" w:styleId="TableGrid">
    <w:name w:val="Table Grid"/>
    <w:basedOn w:val="TableNormal"/>
    <w:uiPriority w:val="59"/>
    <w:rsid w:val="001E7E25"/>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E25"/>
    <w:rPr>
      <w:rFonts w:ascii="Tahoma" w:hAnsi="Tahoma" w:cs="Tahoma"/>
      <w:sz w:val="16"/>
      <w:szCs w:val="16"/>
      <w:lang w:val="en-NZ"/>
    </w:rPr>
  </w:style>
  <w:style w:type="paragraph" w:styleId="Header">
    <w:name w:val="header"/>
    <w:basedOn w:val="Normal"/>
    <w:link w:val="HeaderChar"/>
    <w:uiPriority w:val="99"/>
    <w:unhideWhenUsed/>
    <w:rsid w:val="001E7E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E25"/>
    <w:rPr>
      <w:lang w:val="en-NZ"/>
    </w:rPr>
  </w:style>
  <w:style w:type="paragraph" w:styleId="Footer">
    <w:name w:val="footer"/>
    <w:basedOn w:val="Normal"/>
    <w:link w:val="FooterChar"/>
    <w:uiPriority w:val="99"/>
    <w:unhideWhenUsed/>
    <w:rsid w:val="001E7E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E25"/>
    <w:rPr>
      <w:lang w:val="en-NZ"/>
    </w:rPr>
  </w:style>
  <w:style w:type="character" w:styleId="CommentReference">
    <w:name w:val="annotation reference"/>
    <w:basedOn w:val="DefaultParagraphFont"/>
    <w:uiPriority w:val="99"/>
    <w:semiHidden/>
    <w:unhideWhenUsed/>
    <w:rsid w:val="001E7E25"/>
    <w:rPr>
      <w:sz w:val="16"/>
      <w:szCs w:val="16"/>
    </w:rPr>
  </w:style>
  <w:style w:type="paragraph" w:styleId="CommentText">
    <w:name w:val="annotation text"/>
    <w:basedOn w:val="Normal"/>
    <w:link w:val="CommentTextChar"/>
    <w:uiPriority w:val="99"/>
    <w:unhideWhenUsed/>
    <w:rsid w:val="001E7E25"/>
    <w:pPr>
      <w:spacing w:line="240" w:lineRule="auto"/>
    </w:pPr>
    <w:rPr>
      <w:sz w:val="20"/>
      <w:szCs w:val="20"/>
    </w:rPr>
  </w:style>
  <w:style w:type="character" w:customStyle="1" w:styleId="CommentTextChar">
    <w:name w:val="Comment Text Char"/>
    <w:basedOn w:val="DefaultParagraphFont"/>
    <w:link w:val="CommentText"/>
    <w:uiPriority w:val="99"/>
    <w:rsid w:val="001E7E25"/>
    <w:rPr>
      <w:sz w:val="20"/>
      <w:szCs w:val="20"/>
      <w:lang w:val="en-NZ"/>
    </w:rPr>
  </w:style>
  <w:style w:type="paragraph" w:styleId="CommentSubject">
    <w:name w:val="annotation subject"/>
    <w:basedOn w:val="CommentText"/>
    <w:next w:val="CommentText"/>
    <w:link w:val="CommentSubjectChar"/>
    <w:uiPriority w:val="99"/>
    <w:semiHidden/>
    <w:unhideWhenUsed/>
    <w:rsid w:val="001E7E25"/>
    <w:rPr>
      <w:b/>
      <w:bCs/>
    </w:rPr>
  </w:style>
  <w:style w:type="character" w:customStyle="1" w:styleId="CommentSubjectChar">
    <w:name w:val="Comment Subject Char"/>
    <w:basedOn w:val="CommentTextChar"/>
    <w:link w:val="CommentSubject"/>
    <w:uiPriority w:val="99"/>
    <w:semiHidden/>
    <w:rsid w:val="001E7E25"/>
    <w:rPr>
      <w:b/>
      <w:bCs/>
      <w:sz w:val="20"/>
      <w:szCs w:val="20"/>
      <w:lang w:val="en-NZ"/>
    </w:rPr>
  </w:style>
  <w:style w:type="paragraph" w:styleId="Revision">
    <w:name w:val="Revision"/>
    <w:hidden/>
    <w:uiPriority w:val="99"/>
    <w:semiHidden/>
    <w:rsid w:val="001E7E25"/>
    <w:pPr>
      <w:spacing w:after="0" w:line="240" w:lineRule="auto"/>
    </w:pPr>
    <w:rPr>
      <w:lang w:val="en-NZ"/>
    </w:rPr>
  </w:style>
  <w:style w:type="character" w:styleId="Hyperlink">
    <w:name w:val="Hyperlink"/>
    <w:basedOn w:val="DefaultParagraphFont"/>
    <w:uiPriority w:val="99"/>
    <w:unhideWhenUsed/>
    <w:rsid w:val="001E7E25"/>
    <w:rPr>
      <w:color w:val="0000FF"/>
      <w:u w:val="single"/>
    </w:rPr>
  </w:style>
  <w:style w:type="character" w:customStyle="1" w:styleId="apple-converted-space">
    <w:name w:val="apple-converted-space"/>
    <w:basedOn w:val="DefaultParagraphFont"/>
    <w:rsid w:val="001E7E25"/>
  </w:style>
  <w:style w:type="character" w:customStyle="1" w:styleId="highlight">
    <w:name w:val="highlight"/>
    <w:basedOn w:val="DefaultParagraphFont"/>
    <w:rsid w:val="001E7E25"/>
  </w:style>
  <w:style w:type="paragraph" w:customStyle="1" w:styleId="EndNoteBibliographyTitle">
    <w:name w:val="EndNote Bibliography Title"/>
    <w:basedOn w:val="Normal"/>
    <w:link w:val="EndNoteBibliographyTitleChar"/>
    <w:rsid w:val="001E7E2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E7E25"/>
    <w:rPr>
      <w:rFonts w:ascii="Calibri" w:hAnsi="Calibri"/>
      <w:noProof/>
      <w:lang w:val="en-US"/>
    </w:rPr>
  </w:style>
  <w:style w:type="paragraph" w:customStyle="1" w:styleId="EndNoteBibliography">
    <w:name w:val="EndNote Bibliography"/>
    <w:basedOn w:val="Normal"/>
    <w:link w:val="EndNoteBibliographyChar"/>
    <w:rsid w:val="001E7E25"/>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E7E25"/>
    <w:rPr>
      <w:rFonts w:ascii="Calibri" w:hAnsi="Calibri"/>
      <w:noProof/>
      <w:lang w:val="en-US"/>
    </w:rPr>
  </w:style>
  <w:style w:type="character" w:styleId="FollowedHyperlink">
    <w:name w:val="FollowedHyperlink"/>
    <w:basedOn w:val="DefaultParagraphFont"/>
    <w:uiPriority w:val="99"/>
    <w:semiHidden/>
    <w:unhideWhenUsed/>
    <w:rsid w:val="00FF3D6D"/>
    <w:rPr>
      <w:color w:val="800080" w:themeColor="followedHyperlink"/>
      <w:u w:val="single"/>
    </w:rPr>
  </w:style>
  <w:style w:type="character" w:styleId="LineNumber">
    <w:name w:val="line number"/>
    <w:basedOn w:val="DefaultParagraphFont"/>
    <w:uiPriority w:val="99"/>
    <w:semiHidden/>
    <w:unhideWhenUsed/>
    <w:rsid w:val="00331D23"/>
  </w:style>
  <w:style w:type="paragraph" w:styleId="NormalWeb">
    <w:name w:val="Normal (Web)"/>
    <w:basedOn w:val="Normal"/>
    <w:uiPriority w:val="99"/>
    <w:rsid w:val="00D305A6"/>
    <w:pPr>
      <w:spacing w:before="100" w:beforeAutospacing="1" w:after="100" w:afterAutospacing="1" w:line="240" w:lineRule="auto"/>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198725">
      <w:bodyDiv w:val="1"/>
      <w:marLeft w:val="0"/>
      <w:marRight w:val="0"/>
      <w:marTop w:val="0"/>
      <w:marBottom w:val="0"/>
      <w:divBdr>
        <w:top w:val="none" w:sz="0" w:space="0" w:color="auto"/>
        <w:left w:val="none" w:sz="0" w:space="0" w:color="auto"/>
        <w:bottom w:val="none" w:sz="0" w:space="0" w:color="auto"/>
        <w:right w:val="none" w:sz="0" w:space="0" w:color="auto"/>
      </w:divBdr>
    </w:div>
    <w:div w:id="849175219">
      <w:bodyDiv w:val="1"/>
      <w:marLeft w:val="0"/>
      <w:marRight w:val="0"/>
      <w:marTop w:val="0"/>
      <w:marBottom w:val="0"/>
      <w:divBdr>
        <w:top w:val="none" w:sz="0" w:space="0" w:color="auto"/>
        <w:left w:val="none" w:sz="0" w:space="0" w:color="auto"/>
        <w:bottom w:val="none" w:sz="0" w:space="0" w:color="auto"/>
        <w:right w:val="none" w:sz="0" w:space="0" w:color="auto"/>
      </w:divBdr>
    </w:div>
    <w:div w:id="1020475828">
      <w:bodyDiv w:val="1"/>
      <w:marLeft w:val="0"/>
      <w:marRight w:val="0"/>
      <w:marTop w:val="0"/>
      <w:marBottom w:val="0"/>
      <w:divBdr>
        <w:top w:val="none" w:sz="0" w:space="0" w:color="auto"/>
        <w:left w:val="none" w:sz="0" w:space="0" w:color="auto"/>
        <w:bottom w:val="none" w:sz="0" w:space="0" w:color="auto"/>
        <w:right w:val="none" w:sz="0" w:space="0" w:color="auto"/>
      </w:divBdr>
    </w:div>
    <w:div w:id="15719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stats.govt.nz"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tats.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7DA3C6-2CB0-7E4C-83F9-3C632C5B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10940</Words>
  <Characters>62363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c:creator>
  <cp:lastModifiedBy>Fran Pollock</cp:lastModifiedBy>
  <cp:revision>2</cp:revision>
  <cp:lastPrinted>2016-03-09T11:31:00Z</cp:lastPrinted>
  <dcterms:created xsi:type="dcterms:W3CDTF">2020-07-16T08:31:00Z</dcterms:created>
  <dcterms:modified xsi:type="dcterms:W3CDTF">2020-07-16T08:31:00Z</dcterms:modified>
</cp:coreProperties>
</file>