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8D7C" w14:textId="3C2469D2" w:rsidR="00E9319B" w:rsidRPr="005F73F7" w:rsidRDefault="00E9319B" w:rsidP="00CF6817">
      <w:pPr>
        <w:spacing w:line="480" w:lineRule="auto"/>
        <w:jc w:val="both"/>
        <w:rPr>
          <w:rFonts w:eastAsia="Times New Roman" w:cs="Times New Roman"/>
          <w:b/>
          <w:sz w:val="32"/>
          <w:lang w:val="en-GB"/>
        </w:rPr>
      </w:pPr>
      <w:bookmarkStart w:id="0" w:name="_GoBack"/>
      <w:bookmarkEnd w:id="0"/>
      <w:r w:rsidRPr="005F73F7">
        <w:rPr>
          <w:rFonts w:eastAsia="Times New Roman" w:cs="Times New Roman"/>
          <w:b/>
          <w:sz w:val="32"/>
          <w:lang w:val="en-GB"/>
        </w:rPr>
        <w:t xml:space="preserve">Initial assessment of the </w:t>
      </w:r>
      <w:r w:rsidR="00A52259">
        <w:rPr>
          <w:rFonts w:eastAsia="Times New Roman" w:cs="Times New Roman"/>
          <w:b/>
          <w:sz w:val="32"/>
          <w:lang w:val="en-GB"/>
        </w:rPr>
        <w:t xml:space="preserve">economic </w:t>
      </w:r>
      <w:r w:rsidRPr="005F73F7">
        <w:rPr>
          <w:rFonts w:eastAsia="Times New Roman" w:cs="Times New Roman"/>
          <w:b/>
          <w:sz w:val="32"/>
          <w:lang w:val="en-GB"/>
        </w:rPr>
        <w:t xml:space="preserve">burden of </w:t>
      </w:r>
      <w:r w:rsidR="009520C7">
        <w:rPr>
          <w:rFonts w:eastAsia="Times New Roman" w:cs="Times New Roman"/>
          <w:b/>
          <w:sz w:val="32"/>
          <w:lang w:val="en-GB"/>
        </w:rPr>
        <w:t xml:space="preserve">major </w:t>
      </w:r>
      <w:r w:rsidRPr="005F73F7">
        <w:rPr>
          <w:rFonts w:eastAsia="Times New Roman" w:cs="Times New Roman"/>
          <w:b/>
          <w:sz w:val="32"/>
          <w:lang w:val="en-GB"/>
        </w:rPr>
        <w:t>parasitic helminth infections to the ruminant livestock industry in Europe</w:t>
      </w:r>
    </w:p>
    <w:p w14:paraId="68CCBB37" w14:textId="77777777" w:rsidR="00E9319B" w:rsidRPr="005F73F7" w:rsidRDefault="00E9319B" w:rsidP="00CF6817">
      <w:pPr>
        <w:spacing w:line="480" w:lineRule="auto"/>
        <w:jc w:val="both"/>
        <w:rPr>
          <w:rFonts w:eastAsia="Times New Roman" w:cs="Times New Roman"/>
          <w:b/>
          <w:sz w:val="32"/>
          <w:lang w:val="en-GB"/>
        </w:rPr>
      </w:pPr>
    </w:p>
    <w:p w14:paraId="11371FD9" w14:textId="7438A7B7" w:rsidR="00E9319B" w:rsidRDefault="00E9319B" w:rsidP="00CF6817">
      <w:pPr>
        <w:spacing w:line="480" w:lineRule="auto"/>
        <w:jc w:val="both"/>
        <w:rPr>
          <w:rFonts w:eastAsia="Times New Roman" w:cs="Times New Roman"/>
          <w:sz w:val="24"/>
          <w:vertAlign w:val="superscript"/>
          <w:lang w:val="en-GB"/>
        </w:rPr>
      </w:pPr>
      <w:r w:rsidRPr="005F73F7">
        <w:rPr>
          <w:rFonts w:eastAsia="Times New Roman" w:cs="Times New Roman"/>
          <w:sz w:val="24"/>
          <w:lang w:val="en-GB"/>
        </w:rPr>
        <w:t>J. Charlier</w:t>
      </w:r>
      <w:r w:rsidRPr="005F73F7">
        <w:rPr>
          <w:rFonts w:eastAsia="Times New Roman" w:cs="Times New Roman"/>
          <w:sz w:val="24"/>
          <w:vertAlign w:val="superscript"/>
          <w:lang w:val="en-GB"/>
        </w:rPr>
        <w:t>1</w:t>
      </w:r>
      <w:r>
        <w:rPr>
          <w:rFonts w:eastAsia="Times New Roman" w:cs="Times New Roman"/>
          <w:sz w:val="24"/>
          <w:vertAlign w:val="superscript"/>
          <w:lang w:val="en-GB"/>
        </w:rPr>
        <w:t>,*</w:t>
      </w:r>
      <w:r w:rsidRPr="005F73F7">
        <w:rPr>
          <w:rFonts w:eastAsia="Times New Roman" w:cs="Times New Roman"/>
          <w:sz w:val="24"/>
          <w:lang w:val="en-GB"/>
        </w:rPr>
        <w:t xml:space="preserve">, </w:t>
      </w:r>
      <w:r>
        <w:rPr>
          <w:rFonts w:eastAsia="Times New Roman" w:cs="Times New Roman"/>
          <w:sz w:val="24"/>
          <w:lang w:val="en-GB"/>
        </w:rPr>
        <w:t>L. Rinaldi</w:t>
      </w:r>
      <w:r w:rsidRPr="005F73F7">
        <w:rPr>
          <w:rFonts w:eastAsia="Times New Roman" w:cs="Times New Roman"/>
          <w:sz w:val="24"/>
          <w:vertAlign w:val="superscript"/>
          <w:lang w:val="en-GB"/>
        </w:rPr>
        <w:t>2</w:t>
      </w:r>
      <w:r w:rsidRPr="005F73F7">
        <w:rPr>
          <w:rFonts w:eastAsia="Times New Roman" w:cs="Times New Roman"/>
          <w:sz w:val="24"/>
          <w:lang w:val="en-GB"/>
        </w:rPr>
        <w:t>,</w:t>
      </w:r>
      <w:r>
        <w:rPr>
          <w:rFonts w:eastAsia="Times New Roman" w:cs="Times New Roman"/>
          <w:sz w:val="24"/>
          <w:lang w:val="en-GB"/>
        </w:rPr>
        <w:t xml:space="preserve"> V. Musella</w:t>
      </w:r>
      <w:r w:rsidR="00EB7D12">
        <w:rPr>
          <w:rFonts w:eastAsia="Times New Roman" w:cs="Times New Roman"/>
          <w:sz w:val="24"/>
          <w:vertAlign w:val="superscript"/>
          <w:lang w:val="en-GB"/>
        </w:rPr>
        <w:t>3</w:t>
      </w:r>
      <w:r>
        <w:rPr>
          <w:rFonts w:eastAsia="Times New Roman" w:cs="Times New Roman"/>
          <w:sz w:val="24"/>
          <w:lang w:val="en-GB"/>
        </w:rPr>
        <w:t>,</w:t>
      </w:r>
      <w:r w:rsidRPr="005F73F7">
        <w:rPr>
          <w:rFonts w:eastAsia="Times New Roman" w:cs="Times New Roman"/>
          <w:sz w:val="24"/>
          <w:lang w:val="en-GB"/>
        </w:rPr>
        <w:t xml:space="preserve"> H.</w:t>
      </w:r>
      <w:r w:rsidR="00815F8B">
        <w:rPr>
          <w:rFonts w:eastAsia="Times New Roman" w:cs="Times New Roman"/>
          <w:sz w:val="24"/>
          <w:lang w:val="en-GB"/>
        </w:rPr>
        <w:t>W.</w:t>
      </w:r>
      <w:r w:rsidRPr="005F73F7">
        <w:rPr>
          <w:rFonts w:eastAsia="Times New Roman" w:cs="Times New Roman"/>
          <w:sz w:val="24"/>
          <w:lang w:val="en-GB"/>
        </w:rPr>
        <w:t xml:space="preserve"> Ploeger</w:t>
      </w:r>
      <w:r w:rsidR="00E06DC4">
        <w:rPr>
          <w:rFonts w:eastAsia="Times New Roman" w:cs="Times New Roman"/>
          <w:sz w:val="24"/>
          <w:vertAlign w:val="superscript"/>
          <w:lang w:val="en-GB"/>
        </w:rPr>
        <w:t>4</w:t>
      </w:r>
      <w:r w:rsidRPr="005F73F7">
        <w:rPr>
          <w:rFonts w:eastAsia="Times New Roman" w:cs="Times New Roman"/>
          <w:sz w:val="24"/>
          <w:lang w:val="en-GB"/>
        </w:rPr>
        <w:t>, C. Chartier</w:t>
      </w:r>
      <w:r w:rsidR="00E06DC4">
        <w:rPr>
          <w:rFonts w:eastAsia="Times New Roman" w:cs="Times New Roman"/>
          <w:sz w:val="24"/>
          <w:vertAlign w:val="superscript"/>
          <w:lang w:val="en-GB"/>
        </w:rPr>
        <w:t>5</w:t>
      </w:r>
      <w:r w:rsidRPr="005F73F7">
        <w:rPr>
          <w:rFonts w:eastAsia="Times New Roman" w:cs="Times New Roman"/>
          <w:sz w:val="24"/>
          <w:lang w:val="en-GB"/>
        </w:rPr>
        <w:t>, H. Rose</w:t>
      </w:r>
      <w:r w:rsidR="00A40892">
        <w:rPr>
          <w:rFonts w:eastAsia="Times New Roman" w:cs="Times New Roman"/>
          <w:sz w:val="24"/>
          <w:lang w:val="en-GB"/>
        </w:rPr>
        <w:t xml:space="preserve"> Vineer</w:t>
      </w:r>
      <w:r w:rsidR="00E06DC4">
        <w:rPr>
          <w:rFonts w:eastAsia="Times New Roman" w:cs="Times New Roman"/>
          <w:sz w:val="24"/>
          <w:vertAlign w:val="superscript"/>
          <w:lang w:val="en-GB"/>
        </w:rPr>
        <w:t>6</w:t>
      </w:r>
      <w:r w:rsidRPr="005F73F7">
        <w:rPr>
          <w:rFonts w:eastAsia="Times New Roman" w:cs="Times New Roman"/>
          <w:sz w:val="24"/>
          <w:lang w:val="en-GB"/>
        </w:rPr>
        <w:t>, B. Hinney</w:t>
      </w:r>
      <w:r w:rsidR="00E06DC4">
        <w:rPr>
          <w:rFonts w:eastAsia="Times New Roman" w:cs="Times New Roman"/>
          <w:sz w:val="24"/>
          <w:vertAlign w:val="superscript"/>
          <w:lang w:val="en-GB"/>
        </w:rPr>
        <w:t>7</w:t>
      </w:r>
      <w:r w:rsidRPr="005F73F7">
        <w:rPr>
          <w:rFonts w:eastAsia="Times New Roman" w:cs="Times New Roman"/>
          <w:sz w:val="24"/>
          <w:lang w:val="en-GB"/>
        </w:rPr>
        <w:t>, G. von Samson-Himmelstjerna</w:t>
      </w:r>
      <w:r w:rsidR="00E06DC4">
        <w:rPr>
          <w:rFonts w:eastAsia="Times New Roman" w:cs="Times New Roman"/>
          <w:sz w:val="24"/>
          <w:vertAlign w:val="superscript"/>
          <w:lang w:val="en-GB"/>
        </w:rPr>
        <w:t>8</w:t>
      </w:r>
      <w:r w:rsidRPr="005F73F7">
        <w:rPr>
          <w:rFonts w:eastAsia="Times New Roman" w:cs="Times New Roman"/>
          <w:sz w:val="24"/>
          <w:lang w:val="en-GB"/>
        </w:rPr>
        <w:t xml:space="preserve">, </w:t>
      </w:r>
      <w:r w:rsidR="00642290" w:rsidRPr="00642290">
        <w:rPr>
          <w:rStyle w:val="ydpaeff7443tlid-translation"/>
          <w:rFonts w:eastAsia="Times New Roman" w:cstheme="minorHAnsi"/>
          <w:sz w:val="24"/>
          <w:szCs w:val="24"/>
          <w:lang w:val="en"/>
        </w:rPr>
        <w:t>B. Băcescu</w:t>
      </w:r>
      <w:r w:rsidR="00642290">
        <w:rPr>
          <w:rFonts w:eastAsia="Times New Roman" w:cs="Times New Roman"/>
          <w:sz w:val="24"/>
          <w:vertAlign w:val="superscript"/>
          <w:lang w:val="en-GB"/>
        </w:rPr>
        <w:t xml:space="preserve"> </w:t>
      </w:r>
      <w:r w:rsidR="00E06DC4">
        <w:rPr>
          <w:rFonts w:eastAsia="Times New Roman" w:cs="Times New Roman"/>
          <w:sz w:val="24"/>
          <w:vertAlign w:val="superscript"/>
          <w:lang w:val="en-GB"/>
        </w:rPr>
        <w:t>9</w:t>
      </w:r>
      <w:r w:rsidRPr="005F73F7">
        <w:rPr>
          <w:rFonts w:eastAsia="Times New Roman" w:cs="Times New Roman"/>
          <w:sz w:val="24"/>
          <w:lang w:val="en-GB"/>
        </w:rPr>
        <w:t xml:space="preserve">, </w:t>
      </w:r>
      <w:r w:rsidR="00F76036">
        <w:rPr>
          <w:rFonts w:eastAsia="Times New Roman" w:cs="Times New Roman"/>
          <w:sz w:val="24"/>
          <w:lang w:val="en-GB"/>
        </w:rPr>
        <w:t>M. Mickiewicz</w:t>
      </w:r>
      <w:r w:rsidR="00E06DC4">
        <w:rPr>
          <w:rFonts w:eastAsia="Times New Roman" w:cs="Times New Roman"/>
          <w:sz w:val="24"/>
          <w:vertAlign w:val="superscript"/>
          <w:lang w:val="en-GB"/>
        </w:rPr>
        <w:t>10</w:t>
      </w:r>
      <w:r w:rsidRPr="005F73F7">
        <w:rPr>
          <w:rFonts w:eastAsia="Times New Roman" w:cs="Times New Roman"/>
          <w:sz w:val="24"/>
          <w:lang w:val="en-GB"/>
        </w:rPr>
        <w:t>, T.</w:t>
      </w:r>
      <w:r w:rsidR="00630D3D">
        <w:rPr>
          <w:rFonts w:eastAsia="Times New Roman" w:cs="Times New Roman"/>
          <w:sz w:val="24"/>
          <w:lang w:val="en-GB"/>
        </w:rPr>
        <w:t>L.</w:t>
      </w:r>
      <w:r w:rsidRPr="005F73F7">
        <w:rPr>
          <w:rFonts w:eastAsia="Times New Roman" w:cs="Times New Roman"/>
          <w:sz w:val="24"/>
          <w:lang w:val="en-GB"/>
        </w:rPr>
        <w:t xml:space="preserve"> Mateus</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1,</w:t>
      </w:r>
      <w:r w:rsidR="00630D3D">
        <w:rPr>
          <w:rFonts w:eastAsia="Times New Roman" w:cs="Times New Roman"/>
          <w:sz w:val="24"/>
          <w:vertAlign w:val="superscript"/>
          <w:lang w:val="en-GB"/>
        </w:rPr>
        <w:t xml:space="preserve"> 1</w:t>
      </w:r>
      <w:r w:rsidR="000612BC">
        <w:rPr>
          <w:rFonts w:eastAsia="Times New Roman" w:cs="Times New Roman"/>
          <w:sz w:val="24"/>
          <w:vertAlign w:val="superscript"/>
          <w:lang w:val="en-GB"/>
        </w:rPr>
        <w:t>2</w:t>
      </w:r>
      <w:r w:rsidRPr="005F73F7">
        <w:rPr>
          <w:rFonts w:eastAsia="Times New Roman" w:cs="Times New Roman"/>
          <w:sz w:val="24"/>
          <w:lang w:val="en-GB"/>
        </w:rPr>
        <w:t>,</w:t>
      </w:r>
      <w:r w:rsidR="000C2F24">
        <w:rPr>
          <w:rFonts w:eastAsia="Times New Roman" w:cs="Times New Roman"/>
          <w:sz w:val="24"/>
          <w:lang w:val="en-GB"/>
        </w:rPr>
        <w:t xml:space="preserve"> </w:t>
      </w:r>
      <w:r w:rsidRPr="005F73F7">
        <w:rPr>
          <w:rFonts w:eastAsia="Times New Roman" w:cs="Times New Roman"/>
          <w:sz w:val="24"/>
          <w:lang w:val="en-GB"/>
        </w:rPr>
        <w:t>M. Martinez</w:t>
      </w:r>
      <w:r w:rsidR="00630D3D">
        <w:rPr>
          <w:rFonts w:eastAsia="Times New Roman" w:cs="Times New Roman"/>
          <w:sz w:val="24"/>
          <w:lang w:val="en-GB"/>
        </w:rPr>
        <w:t>-</w:t>
      </w:r>
      <w:r w:rsidRPr="005F73F7">
        <w:rPr>
          <w:rFonts w:eastAsia="Times New Roman" w:cs="Times New Roman"/>
          <w:sz w:val="24"/>
          <w:lang w:val="en-GB"/>
        </w:rPr>
        <w:t>Valladares</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3</w:t>
      </w:r>
      <w:r w:rsidRPr="005F73F7">
        <w:rPr>
          <w:rFonts w:eastAsia="Times New Roman" w:cs="Times New Roman"/>
          <w:sz w:val="24"/>
          <w:lang w:val="en-GB"/>
        </w:rPr>
        <w:t>, S. Quealy</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4</w:t>
      </w:r>
      <w:r w:rsidRPr="005F73F7">
        <w:rPr>
          <w:rFonts w:eastAsia="Times New Roman" w:cs="Times New Roman"/>
          <w:sz w:val="24"/>
          <w:lang w:val="en-GB"/>
        </w:rPr>
        <w:t>, H. Azaizeh</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5</w:t>
      </w:r>
      <w:r w:rsidRPr="005F73F7">
        <w:rPr>
          <w:rFonts w:eastAsia="Times New Roman" w:cs="Times New Roman"/>
          <w:sz w:val="24"/>
          <w:lang w:val="en-GB"/>
        </w:rPr>
        <w:t>, B. Sekovska</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6</w:t>
      </w:r>
      <w:r w:rsidRPr="005F73F7">
        <w:rPr>
          <w:rFonts w:eastAsia="Times New Roman" w:cs="Times New Roman"/>
          <w:sz w:val="24"/>
          <w:lang w:val="en-GB"/>
        </w:rPr>
        <w:t>, H. Akkari</w:t>
      </w:r>
      <w:r w:rsidR="00E06DC4">
        <w:rPr>
          <w:rFonts w:eastAsia="Times New Roman" w:cs="Times New Roman"/>
          <w:sz w:val="24"/>
          <w:vertAlign w:val="superscript"/>
          <w:lang w:val="en-GB"/>
        </w:rPr>
        <w:t>1</w:t>
      </w:r>
      <w:r w:rsidR="000612BC">
        <w:rPr>
          <w:rFonts w:eastAsia="Times New Roman" w:cs="Times New Roman"/>
          <w:sz w:val="24"/>
          <w:vertAlign w:val="superscript"/>
          <w:lang w:val="en-GB"/>
        </w:rPr>
        <w:t>7</w:t>
      </w:r>
      <w:r w:rsidRPr="005F73F7">
        <w:rPr>
          <w:rFonts w:eastAsia="Times New Roman" w:cs="Times New Roman"/>
          <w:sz w:val="24"/>
          <w:lang w:val="en-GB"/>
        </w:rPr>
        <w:t xml:space="preserve">, </w:t>
      </w:r>
      <w:r w:rsidR="00E06DC4">
        <w:rPr>
          <w:rFonts w:eastAsia="Times New Roman" w:cs="Times New Roman"/>
          <w:sz w:val="24"/>
          <w:lang w:val="en-GB"/>
        </w:rPr>
        <w:t>S. Petkevicius</w:t>
      </w:r>
      <w:r w:rsidR="00642290">
        <w:rPr>
          <w:rFonts w:eastAsia="Times New Roman" w:cs="Times New Roman"/>
          <w:sz w:val="24"/>
          <w:vertAlign w:val="superscript"/>
          <w:lang w:val="en-GB"/>
        </w:rPr>
        <w:t>1</w:t>
      </w:r>
      <w:r w:rsidR="000612BC">
        <w:rPr>
          <w:rFonts w:eastAsia="Times New Roman" w:cs="Times New Roman"/>
          <w:sz w:val="24"/>
          <w:vertAlign w:val="superscript"/>
          <w:lang w:val="en-GB"/>
        </w:rPr>
        <w:t>8</w:t>
      </w:r>
      <w:r w:rsidRPr="005F73F7">
        <w:rPr>
          <w:rFonts w:eastAsia="Times New Roman" w:cs="Times New Roman"/>
          <w:sz w:val="24"/>
          <w:lang w:val="en-GB"/>
        </w:rPr>
        <w:t>, L. Hektoen</w:t>
      </w:r>
      <w:r w:rsidR="000612BC">
        <w:rPr>
          <w:rFonts w:eastAsia="Times New Roman" w:cs="Times New Roman"/>
          <w:sz w:val="24"/>
          <w:vertAlign w:val="superscript"/>
          <w:lang w:val="en-GB"/>
        </w:rPr>
        <w:t>19</w:t>
      </w:r>
      <w:r w:rsidRPr="005F73F7">
        <w:rPr>
          <w:rFonts w:eastAsia="Times New Roman" w:cs="Times New Roman"/>
          <w:sz w:val="24"/>
          <w:lang w:val="en-GB"/>
        </w:rPr>
        <w:t>, J. Höglund</w:t>
      </w:r>
      <w:r w:rsidR="00630D3D">
        <w:rPr>
          <w:rFonts w:eastAsia="Times New Roman" w:cs="Times New Roman"/>
          <w:sz w:val="24"/>
          <w:vertAlign w:val="superscript"/>
          <w:lang w:val="en-GB"/>
        </w:rPr>
        <w:t>2</w:t>
      </w:r>
      <w:r w:rsidR="000612BC">
        <w:rPr>
          <w:rFonts w:eastAsia="Times New Roman" w:cs="Times New Roman"/>
          <w:sz w:val="24"/>
          <w:vertAlign w:val="superscript"/>
          <w:lang w:val="en-GB"/>
        </w:rPr>
        <w:t>0</w:t>
      </w:r>
      <w:r w:rsidRPr="005F73F7">
        <w:rPr>
          <w:rFonts w:eastAsia="Times New Roman" w:cs="Times New Roman"/>
          <w:sz w:val="24"/>
          <w:lang w:val="en-GB"/>
        </w:rPr>
        <w:t xml:space="preserve">, </w:t>
      </w:r>
      <w:r w:rsidR="001928AA">
        <w:rPr>
          <w:rFonts w:eastAsia="Times New Roman" w:cs="Times New Roman"/>
          <w:sz w:val="24"/>
          <w:lang w:val="en-GB"/>
        </w:rPr>
        <w:t>E.R. Morgan</w:t>
      </w:r>
      <w:r w:rsidR="00910F4C">
        <w:rPr>
          <w:rFonts w:eastAsia="Times New Roman" w:cs="Times New Roman"/>
          <w:sz w:val="24"/>
          <w:vertAlign w:val="superscript"/>
          <w:lang w:val="en-GB"/>
        </w:rPr>
        <w:t>21</w:t>
      </w:r>
      <w:r w:rsidR="001928AA">
        <w:rPr>
          <w:rFonts w:eastAsia="Times New Roman" w:cs="Times New Roman"/>
          <w:sz w:val="24"/>
          <w:lang w:val="en-GB"/>
        </w:rPr>
        <w:t xml:space="preserve">, </w:t>
      </w:r>
      <w:r>
        <w:rPr>
          <w:rFonts w:eastAsia="Times New Roman" w:cs="Times New Roman"/>
          <w:sz w:val="24"/>
          <w:lang w:val="en-GB"/>
        </w:rPr>
        <w:t xml:space="preserve">D. </w:t>
      </w:r>
      <w:r w:rsidR="00A52259">
        <w:rPr>
          <w:rFonts w:eastAsia="Times New Roman" w:cs="Times New Roman"/>
          <w:sz w:val="24"/>
          <w:lang w:val="en-GB"/>
        </w:rPr>
        <w:t xml:space="preserve">J. </w:t>
      </w:r>
      <w:r>
        <w:rPr>
          <w:rFonts w:eastAsia="Times New Roman" w:cs="Times New Roman"/>
          <w:sz w:val="24"/>
          <w:lang w:val="en-GB"/>
        </w:rPr>
        <w:t>Bartley</w:t>
      </w:r>
      <w:r w:rsidR="00630D3D">
        <w:rPr>
          <w:rFonts w:eastAsia="Times New Roman" w:cs="Times New Roman"/>
          <w:sz w:val="24"/>
          <w:vertAlign w:val="superscript"/>
          <w:lang w:val="en-GB"/>
        </w:rPr>
        <w:t>2</w:t>
      </w:r>
      <w:r w:rsidR="00910F4C">
        <w:rPr>
          <w:rFonts w:eastAsia="Times New Roman" w:cs="Times New Roman"/>
          <w:sz w:val="24"/>
          <w:vertAlign w:val="superscript"/>
          <w:lang w:val="en-GB"/>
        </w:rPr>
        <w:t>2</w:t>
      </w:r>
      <w:r>
        <w:rPr>
          <w:rFonts w:eastAsia="Times New Roman" w:cs="Times New Roman"/>
          <w:sz w:val="24"/>
          <w:lang w:val="en-GB"/>
        </w:rPr>
        <w:t xml:space="preserve">, </w:t>
      </w:r>
      <w:r w:rsidRPr="005F73F7">
        <w:rPr>
          <w:rFonts w:eastAsia="Times New Roman" w:cs="Times New Roman"/>
          <w:sz w:val="24"/>
          <w:lang w:val="en-GB"/>
        </w:rPr>
        <w:t>E. Claerebout</w:t>
      </w:r>
      <w:r w:rsidR="00630D3D">
        <w:rPr>
          <w:rFonts w:eastAsia="Times New Roman" w:cs="Times New Roman"/>
          <w:sz w:val="24"/>
          <w:vertAlign w:val="superscript"/>
          <w:lang w:val="en-GB"/>
        </w:rPr>
        <w:t>2</w:t>
      </w:r>
      <w:r w:rsidR="00910F4C">
        <w:rPr>
          <w:rFonts w:eastAsia="Times New Roman" w:cs="Times New Roman"/>
          <w:sz w:val="24"/>
          <w:vertAlign w:val="superscript"/>
          <w:lang w:val="en-GB"/>
        </w:rPr>
        <w:t>3</w:t>
      </w:r>
    </w:p>
    <w:p w14:paraId="0C328A1F" w14:textId="77777777" w:rsidR="00961BFB" w:rsidRDefault="00961BFB" w:rsidP="00CF6817">
      <w:pPr>
        <w:spacing w:line="480" w:lineRule="auto"/>
        <w:jc w:val="both"/>
        <w:rPr>
          <w:rFonts w:eastAsia="Times New Roman" w:cs="Times New Roman"/>
          <w:sz w:val="24"/>
          <w:vertAlign w:val="superscript"/>
          <w:lang w:val="en-GB"/>
        </w:rPr>
      </w:pPr>
    </w:p>
    <w:p w14:paraId="0ACD8CC5" w14:textId="77777777" w:rsidR="00E9319B" w:rsidRPr="000612BC" w:rsidRDefault="00E9319B" w:rsidP="00CF6817">
      <w:pPr>
        <w:spacing w:after="0" w:line="480" w:lineRule="auto"/>
        <w:jc w:val="both"/>
        <w:rPr>
          <w:rFonts w:eastAsia="Times New Roman" w:cstheme="minorHAnsi"/>
          <w:lang w:val="nl-NL"/>
        </w:rPr>
      </w:pPr>
      <w:r w:rsidRPr="000612BC">
        <w:rPr>
          <w:rFonts w:eastAsia="Times New Roman" w:cstheme="minorHAnsi"/>
          <w:vertAlign w:val="superscript"/>
          <w:lang w:val="nl-NL"/>
        </w:rPr>
        <w:t xml:space="preserve">1 </w:t>
      </w:r>
      <w:r w:rsidRPr="000612BC">
        <w:rPr>
          <w:rFonts w:eastAsia="Times New Roman" w:cstheme="minorHAnsi"/>
          <w:lang w:val="nl-NL"/>
        </w:rPr>
        <w:t>Kreavet, H. Mertensstraat 17, 9150 Kruibeke, Belgium.</w:t>
      </w:r>
    </w:p>
    <w:p w14:paraId="7E729095" w14:textId="45166E2C" w:rsidR="00EB7D12" w:rsidRPr="000612BC" w:rsidRDefault="00E9319B" w:rsidP="00CF6817">
      <w:pPr>
        <w:shd w:val="clear" w:color="auto" w:fill="FFFFFF"/>
        <w:spacing w:after="0" w:line="480" w:lineRule="auto"/>
        <w:rPr>
          <w:rFonts w:eastAsia="Times New Roman" w:cstheme="minorHAnsi"/>
          <w:color w:val="000000"/>
          <w:lang w:val="it-IT" w:eastAsia="it-IT"/>
        </w:rPr>
      </w:pPr>
      <w:r w:rsidRPr="000612BC">
        <w:rPr>
          <w:rFonts w:eastAsia="Times New Roman" w:cstheme="minorHAnsi"/>
          <w:vertAlign w:val="superscript"/>
          <w:lang w:val="en-GB"/>
        </w:rPr>
        <w:t>2</w:t>
      </w:r>
      <w:r w:rsidR="00EB7D12" w:rsidRPr="000612BC">
        <w:rPr>
          <w:rFonts w:eastAsia="Times New Roman" w:cstheme="minorHAnsi"/>
          <w:vertAlign w:val="superscript"/>
          <w:lang w:val="en-GB"/>
        </w:rPr>
        <w:t xml:space="preserve"> </w:t>
      </w:r>
      <w:r w:rsidR="00EB7D12" w:rsidRPr="000612BC">
        <w:rPr>
          <w:rFonts w:eastAsia="Times New Roman" w:cstheme="minorHAnsi"/>
          <w:color w:val="000000"/>
          <w:lang w:val="it-IT" w:eastAsia="it-IT"/>
        </w:rPr>
        <w:t>Department of Veterinary Medicine and Animal Production,</w:t>
      </w:r>
      <w:r w:rsidR="00F926A3">
        <w:rPr>
          <w:rFonts w:eastAsia="Times New Roman" w:cstheme="minorHAnsi"/>
          <w:color w:val="000000"/>
          <w:lang w:val="it-IT" w:eastAsia="it-IT"/>
        </w:rPr>
        <w:t xml:space="preserve"> CREMOPAR,</w:t>
      </w:r>
      <w:r w:rsidR="00EB7D12" w:rsidRPr="000612BC">
        <w:rPr>
          <w:rFonts w:eastAsia="Times New Roman" w:cstheme="minorHAnsi"/>
          <w:color w:val="000000"/>
          <w:lang w:val="it-IT" w:eastAsia="it-IT"/>
        </w:rPr>
        <w:t xml:space="preserve"> University of Naples Federico II, 80137 Napoli, Italy</w:t>
      </w:r>
    </w:p>
    <w:p w14:paraId="6E3B116C" w14:textId="6498B6D6" w:rsidR="00E9319B" w:rsidRPr="000612BC" w:rsidRDefault="00EB7D12" w:rsidP="00CF6817">
      <w:pPr>
        <w:shd w:val="clear" w:color="auto" w:fill="FFFFFF"/>
        <w:spacing w:after="0" w:line="480" w:lineRule="auto"/>
        <w:rPr>
          <w:rFonts w:eastAsia="Times New Roman" w:cstheme="minorHAnsi"/>
          <w:color w:val="000000"/>
          <w:lang w:val="it-IT" w:eastAsia="it-IT"/>
        </w:rPr>
      </w:pPr>
      <w:r w:rsidRPr="000612BC">
        <w:rPr>
          <w:rFonts w:eastAsia="Times New Roman" w:cstheme="minorHAnsi"/>
          <w:color w:val="000000"/>
          <w:vertAlign w:val="superscript"/>
          <w:lang w:val="it-IT" w:eastAsia="it-IT"/>
        </w:rPr>
        <w:t>3</w:t>
      </w:r>
      <w:r w:rsidRPr="000612BC">
        <w:rPr>
          <w:rFonts w:eastAsia="Times New Roman" w:cstheme="minorHAnsi"/>
          <w:color w:val="000000"/>
          <w:lang w:val="it-IT" w:eastAsia="it-IT"/>
        </w:rPr>
        <w:t>Department of Health Sciences, University of Catanzaro "Magna Græcia", CISVetSUA, 88100 Catanzaro, Italy</w:t>
      </w:r>
    </w:p>
    <w:p w14:paraId="6B185B63" w14:textId="4E7BF7F5" w:rsidR="00E9319B" w:rsidRPr="000612BC" w:rsidRDefault="00E9319B" w:rsidP="00CF6817">
      <w:pPr>
        <w:spacing w:after="0" w:line="480" w:lineRule="auto"/>
        <w:rPr>
          <w:rFonts w:eastAsia="Times New Roman" w:cstheme="minorHAnsi"/>
          <w:lang w:val="en-GB"/>
        </w:rPr>
      </w:pPr>
      <w:r w:rsidRPr="000612BC">
        <w:rPr>
          <w:rFonts w:eastAsia="Times New Roman" w:cstheme="minorHAnsi"/>
          <w:vertAlign w:val="superscript"/>
          <w:lang w:val="en-GB"/>
        </w:rPr>
        <w:t>4</w:t>
      </w:r>
      <w:r w:rsidR="00815F8B" w:rsidRPr="000612BC">
        <w:rPr>
          <w:rFonts w:eastAsia="Times New Roman" w:cstheme="minorHAnsi"/>
          <w:lang w:val="en-GB"/>
        </w:rPr>
        <w:t xml:space="preserve"> Department of Infectious Diseases and Immunology, Clinical Infectiology Division, Faculty of Veterinary Medicine, Utrecht University, Yalelaan 1, 3584 CL Utrecht, the Netherlands.</w:t>
      </w:r>
    </w:p>
    <w:p w14:paraId="30E9E22E" w14:textId="185555FD" w:rsidR="00FA3098" w:rsidRPr="00D46F02" w:rsidRDefault="00E9319B" w:rsidP="00CF6817">
      <w:pPr>
        <w:spacing w:after="0" w:line="480" w:lineRule="auto"/>
        <w:rPr>
          <w:rFonts w:eastAsia="Times New Roman" w:cstheme="minorHAnsi"/>
          <w:lang w:val="en-GB"/>
        </w:rPr>
      </w:pPr>
      <w:r w:rsidRPr="00D46F02">
        <w:rPr>
          <w:rFonts w:eastAsia="Times New Roman" w:cstheme="minorHAnsi"/>
          <w:vertAlign w:val="superscript"/>
          <w:lang w:val="en-GB"/>
        </w:rPr>
        <w:t>5</w:t>
      </w:r>
      <w:r w:rsidR="0039396F" w:rsidRPr="00D46F02">
        <w:rPr>
          <w:rFonts w:eastAsia="Times New Roman" w:cstheme="minorHAnsi"/>
          <w:vertAlign w:val="superscript"/>
          <w:lang w:val="en-GB"/>
        </w:rPr>
        <w:t xml:space="preserve"> </w:t>
      </w:r>
      <w:r w:rsidR="0083072E" w:rsidRPr="00D46F02">
        <w:rPr>
          <w:rFonts w:eastAsia="Times New Roman" w:cstheme="minorHAnsi"/>
          <w:lang w:val="en-GB"/>
        </w:rPr>
        <w:t>INRAE,</w:t>
      </w:r>
      <w:r w:rsidR="0083072E" w:rsidRPr="00D46F02">
        <w:rPr>
          <w:rFonts w:eastAsia="Times New Roman" w:cstheme="minorHAnsi"/>
          <w:vertAlign w:val="superscript"/>
          <w:lang w:val="en-GB"/>
        </w:rPr>
        <w:t xml:space="preserve"> </w:t>
      </w:r>
      <w:r w:rsidR="0083072E" w:rsidRPr="00D46F02">
        <w:rPr>
          <w:rFonts w:eastAsia="Times New Roman" w:cstheme="minorHAnsi"/>
          <w:lang w:val="en-GB"/>
        </w:rPr>
        <w:t xml:space="preserve">Oniris, </w:t>
      </w:r>
      <w:r w:rsidR="0039396F" w:rsidRPr="00D46F02">
        <w:rPr>
          <w:rFonts w:eastAsia="Times New Roman" w:cstheme="minorHAnsi"/>
          <w:lang w:val="en-GB"/>
        </w:rPr>
        <w:t>BIOEPAR, 44307, Nantes, France</w:t>
      </w:r>
    </w:p>
    <w:p w14:paraId="07ECE64B" w14:textId="7D1EEB3A" w:rsidR="00E9319B" w:rsidRPr="000612BC" w:rsidRDefault="00E9319B"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6</w:t>
      </w:r>
      <w:r w:rsidR="00E06DC4" w:rsidRPr="000612BC">
        <w:rPr>
          <w:rFonts w:eastAsia="Times New Roman" w:cstheme="minorHAnsi"/>
          <w:lang w:val="en-GB"/>
        </w:rPr>
        <w:t xml:space="preserve"> </w:t>
      </w:r>
      <w:r w:rsidR="002C4C16" w:rsidRPr="000612BC">
        <w:rPr>
          <w:rFonts w:eastAsia="Times New Roman" w:cstheme="minorHAnsi"/>
          <w:lang w:val="en-GB"/>
        </w:rPr>
        <w:t>Department of Infection Biology</w:t>
      </w:r>
      <w:r w:rsidR="002C4C16">
        <w:rPr>
          <w:rFonts w:eastAsia="Times New Roman" w:cstheme="minorHAnsi"/>
          <w:lang w:val="en-GB"/>
        </w:rPr>
        <w:t xml:space="preserve"> and Microbiomes</w:t>
      </w:r>
      <w:r w:rsidR="002C4C16" w:rsidRPr="000612BC">
        <w:rPr>
          <w:rFonts w:eastAsia="Times New Roman" w:cstheme="minorHAnsi"/>
          <w:lang w:val="en-GB"/>
        </w:rPr>
        <w:t>, Institute of Infection</w:t>
      </w:r>
      <w:r w:rsidR="002C4C16">
        <w:rPr>
          <w:rFonts w:eastAsia="Times New Roman" w:cstheme="minorHAnsi"/>
          <w:lang w:val="en-GB"/>
        </w:rPr>
        <w:t>, Veterinary and Ecological Sciences</w:t>
      </w:r>
      <w:r w:rsidR="002C4C16" w:rsidRPr="000612BC">
        <w:rPr>
          <w:rFonts w:eastAsia="Times New Roman" w:cstheme="minorHAnsi"/>
          <w:lang w:val="en-GB"/>
        </w:rPr>
        <w:t>, University of Liverpool, Leahurst, Neston, Cheshire, CH64 7TE, UK</w:t>
      </w:r>
    </w:p>
    <w:p w14:paraId="264B70B6" w14:textId="45BCE973" w:rsidR="00E9319B" w:rsidRPr="000612BC" w:rsidRDefault="00E9319B" w:rsidP="00CF6817">
      <w:pPr>
        <w:spacing w:after="0" w:line="480" w:lineRule="auto"/>
        <w:rPr>
          <w:rFonts w:cstheme="minorHAnsi"/>
          <w:lang w:val="en-GB"/>
        </w:rPr>
      </w:pPr>
      <w:r w:rsidRPr="000612BC">
        <w:rPr>
          <w:rFonts w:eastAsia="Times New Roman" w:cstheme="minorHAnsi"/>
          <w:vertAlign w:val="superscript"/>
          <w:lang w:val="en-GB"/>
        </w:rPr>
        <w:t>7</w:t>
      </w:r>
      <w:r w:rsidR="00740204" w:rsidRPr="000612BC">
        <w:rPr>
          <w:rFonts w:eastAsia="Times New Roman" w:cstheme="minorHAnsi"/>
          <w:vertAlign w:val="superscript"/>
          <w:lang w:val="en-GB"/>
        </w:rPr>
        <w:t xml:space="preserve"> </w:t>
      </w:r>
      <w:r w:rsidR="00740204" w:rsidRPr="000612BC">
        <w:rPr>
          <w:rFonts w:cstheme="minorHAnsi"/>
          <w:lang w:val="en-GB"/>
        </w:rPr>
        <w:t>Institute of Parasitology, Department of Pathobiology, University of Veterinary Medicine Vienna, Veterinaerplatz 1, 1210 Wien, Austria</w:t>
      </w:r>
    </w:p>
    <w:p w14:paraId="372FC910" w14:textId="63825B8C" w:rsidR="00E9319B" w:rsidRPr="000612BC" w:rsidRDefault="00E9319B" w:rsidP="00CF6817">
      <w:pPr>
        <w:spacing w:after="0" w:line="480" w:lineRule="auto"/>
        <w:jc w:val="both"/>
        <w:rPr>
          <w:rFonts w:eastAsia="Times New Roman" w:cstheme="minorHAnsi"/>
          <w:vertAlign w:val="superscript"/>
          <w:lang w:val="en-GB"/>
        </w:rPr>
      </w:pPr>
      <w:r w:rsidRPr="000612BC">
        <w:rPr>
          <w:rFonts w:eastAsia="Times New Roman" w:cstheme="minorHAnsi"/>
          <w:vertAlign w:val="superscript"/>
          <w:lang w:val="en-GB"/>
        </w:rPr>
        <w:t>8</w:t>
      </w:r>
      <w:r w:rsidR="000C2F24" w:rsidRPr="000612BC">
        <w:rPr>
          <w:rFonts w:eastAsia="Times New Roman" w:cstheme="minorHAnsi"/>
          <w:vertAlign w:val="superscript"/>
          <w:lang w:val="en-GB"/>
        </w:rPr>
        <w:t xml:space="preserve"> </w:t>
      </w:r>
      <w:r w:rsidR="000C2F24" w:rsidRPr="000612BC">
        <w:rPr>
          <w:rFonts w:cstheme="minorHAnsi"/>
          <w:color w:val="000000"/>
          <w:shd w:val="clear" w:color="auto" w:fill="FFFFFF"/>
          <w:lang w:val="en-GB"/>
        </w:rPr>
        <w:t>Freie Universität Berlin,</w:t>
      </w:r>
      <w:r w:rsidR="002530BD">
        <w:rPr>
          <w:rFonts w:cstheme="minorHAnsi"/>
          <w:color w:val="000000"/>
          <w:shd w:val="clear" w:color="auto" w:fill="FFFFFF"/>
          <w:lang w:val="en-GB"/>
        </w:rPr>
        <w:t xml:space="preserve"> </w:t>
      </w:r>
      <w:r w:rsidR="000C2F24" w:rsidRPr="000612BC">
        <w:rPr>
          <w:rFonts w:cstheme="minorHAnsi"/>
          <w:color w:val="000000"/>
          <w:shd w:val="clear" w:color="auto" w:fill="FFFFFF"/>
          <w:lang w:val="en-GB"/>
        </w:rPr>
        <w:t>Institute for Parasitology and Tropical Veterinary Medicine, Robert-von-Ostertag-Str. 7-13, 14163 Berlin, Germany</w:t>
      </w:r>
    </w:p>
    <w:p w14:paraId="3F414793" w14:textId="502564BD" w:rsidR="00E9319B" w:rsidRPr="000612BC" w:rsidRDefault="00E9319B" w:rsidP="00CF6817">
      <w:pPr>
        <w:spacing w:after="0" w:line="480" w:lineRule="auto"/>
        <w:jc w:val="both"/>
        <w:rPr>
          <w:rFonts w:eastAsia="Times New Roman" w:cstheme="minorHAnsi"/>
          <w:vertAlign w:val="superscript"/>
          <w:lang w:val="en-GB"/>
        </w:rPr>
      </w:pPr>
      <w:r w:rsidRPr="000612BC">
        <w:rPr>
          <w:rFonts w:eastAsia="Times New Roman" w:cstheme="minorHAnsi"/>
          <w:vertAlign w:val="superscript"/>
          <w:lang w:val="en-GB"/>
        </w:rPr>
        <w:t>9</w:t>
      </w:r>
      <w:r w:rsidR="00642290" w:rsidRPr="000612BC">
        <w:rPr>
          <w:rStyle w:val="Heading1Char"/>
          <w:rFonts w:asciiTheme="minorHAnsi" w:eastAsia="Times New Roman" w:hAnsiTheme="minorHAnsi" w:cstheme="minorHAnsi"/>
          <w:sz w:val="22"/>
          <w:szCs w:val="22"/>
          <w:lang w:val="en"/>
        </w:rPr>
        <w:t xml:space="preserve"> </w:t>
      </w:r>
      <w:r w:rsidR="00642290" w:rsidRPr="000612BC">
        <w:rPr>
          <w:rStyle w:val="Heading1Char"/>
          <w:rFonts w:asciiTheme="minorHAnsi" w:eastAsia="Times New Roman" w:hAnsiTheme="minorHAnsi" w:cstheme="minorHAnsi"/>
          <w:color w:val="auto"/>
          <w:sz w:val="22"/>
          <w:szCs w:val="22"/>
          <w:lang w:val="en"/>
        </w:rPr>
        <w:t xml:space="preserve">Faculty of </w:t>
      </w:r>
      <w:r w:rsidR="00642290" w:rsidRPr="000612BC">
        <w:rPr>
          <w:rStyle w:val="ydpaeff7443tlid-translation"/>
          <w:rFonts w:eastAsia="Times New Roman" w:cstheme="minorHAnsi"/>
          <w:lang w:val="en"/>
        </w:rPr>
        <w:t xml:space="preserve">Veterinary Medicine, Spiru Haret University, </w:t>
      </w:r>
      <w:r w:rsidR="00174DCA">
        <w:rPr>
          <w:rStyle w:val="ydpaeff7443tlid-translation"/>
          <w:rFonts w:eastAsia="Times New Roman" w:cstheme="minorHAnsi"/>
          <w:lang w:val="en"/>
        </w:rPr>
        <w:t xml:space="preserve">Blv. Basarabia 256, </w:t>
      </w:r>
      <w:r w:rsidR="00642290" w:rsidRPr="000612BC">
        <w:rPr>
          <w:rStyle w:val="ydpaeff7443tlid-translation"/>
          <w:rFonts w:eastAsia="Times New Roman" w:cstheme="minorHAnsi"/>
          <w:lang w:val="en"/>
        </w:rPr>
        <w:t>Bucharest, Romania</w:t>
      </w:r>
    </w:p>
    <w:p w14:paraId="4663A74C" w14:textId="50025A63" w:rsidR="00E9319B" w:rsidRPr="000612BC" w:rsidRDefault="00E9319B" w:rsidP="00CF6817">
      <w:pPr>
        <w:pStyle w:val="Default"/>
        <w:spacing w:line="480" w:lineRule="auto"/>
        <w:rPr>
          <w:rFonts w:asciiTheme="minorHAnsi" w:hAnsiTheme="minorHAnsi" w:cstheme="minorHAnsi"/>
          <w:color w:val="auto"/>
          <w:sz w:val="22"/>
          <w:szCs w:val="22"/>
        </w:rPr>
      </w:pPr>
      <w:r w:rsidRPr="000612BC">
        <w:rPr>
          <w:rFonts w:asciiTheme="minorHAnsi" w:eastAsia="Times New Roman" w:hAnsiTheme="minorHAnsi" w:cstheme="minorHAnsi"/>
          <w:color w:val="auto"/>
          <w:sz w:val="22"/>
          <w:szCs w:val="22"/>
          <w:vertAlign w:val="superscript"/>
        </w:rPr>
        <w:lastRenderedPageBreak/>
        <w:t>10</w:t>
      </w:r>
      <w:r w:rsidR="00642290" w:rsidRPr="000612BC">
        <w:rPr>
          <w:rFonts w:asciiTheme="minorHAnsi" w:eastAsia="Times New Roman" w:hAnsiTheme="minorHAnsi" w:cstheme="minorHAnsi"/>
          <w:color w:val="auto"/>
          <w:sz w:val="22"/>
          <w:szCs w:val="22"/>
          <w:vertAlign w:val="superscript"/>
        </w:rPr>
        <w:t xml:space="preserve"> </w:t>
      </w:r>
      <w:r w:rsidR="0083072E">
        <w:rPr>
          <w:rFonts w:asciiTheme="minorHAnsi" w:hAnsiTheme="minorHAnsi" w:cstheme="minorHAnsi"/>
          <w:color w:val="auto"/>
          <w:sz w:val="22"/>
          <w:szCs w:val="22"/>
        </w:rPr>
        <w:t xml:space="preserve">Division </w:t>
      </w:r>
      <w:r w:rsidR="00642290" w:rsidRPr="000612BC">
        <w:rPr>
          <w:rFonts w:asciiTheme="minorHAnsi" w:hAnsiTheme="minorHAnsi" w:cstheme="minorHAnsi"/>
          <w:color w:val="auto"/>
          <w:sz w:val="22"/>
          <w:szCs w:val="22"/>
        </w:rPr>
        <w:t xml:space="preserve">of Veterinary Epidemiology and Economics, </w:t>
      </w:r>
      <w:r w:rsidR="0083072E">
        <w:rPr>
          <w:rFonts w:asciiTheme="minorHAnsi" w:hAnsiTheme="minorHAnsi" w:cstheme="minorHAnsi"/>
          <w:color w:val="auto"/>
          <w:sz w:val="22"/>
          <w:szCs w:val="22"/>
        </w:rPr>
        <w:t>Institute</w:t>
      </w:r>
      <w:r w:rsidR="00642290" w:rsidRPr="000612BC">
        <w:rPr>
          <w:rFonts w:asciiTheme="minorHAnsi" w:hAnsiTheme="minorHAnsi" w:cstheme="minorHAnsi"/>
          <w:color w:val="auto"/>
          <w:sz w:val="22"/>
          <w:szCs w:val="22"/>
        </w:rPr>
        <w:t xml:space="preserve"> of Veterinary Medicine, Warsaw University of Life Sciences, Nowoursynowska 159c, 02-786 Warsaw, Poland</w:t>
      </w:r>
    </w:p>
    <w:p w14:paraId="158ABF14" w14:textId="33FBE9E1" w:rsidR="00630D3D" w:rsidRPr="000612BC" w:rsidRDefault="00E9319B" w:rsidP="00CF6817">
      <w:pPr>
        <w:spacing w:after="0" w:line="480" w:lineRule="auto"/>
        <w:rPr>
          <w:rFonts w:cstheme="minorHAnsi"/>
          <w:lang w:val="en-GB"/>
        </w:rPr>
      </w:pPr>
      <w:r w:rsidRPr="000612BC">
        <w:rPr>
          <w:rFonts w:eastAsia="Times New Roman" w:cstheme="minorHAnsi"/>
          <w:vertAlign w:val="superscript"/>
          <w:lang w:val="en-GB"/>
        </w:rPr>
        <w:t>1</w:t>
      </w:r>
      <w:r w:rsidR="000612BC" w:rsidRPr="000612BC">
        <w:rPr>
          <w:rFonts w:eastAsia="Times New Roman" w:cstheme="minorHAnsi"/>
          <w:vertAlign w:val="superscript"/>
          <w:lang w:val="en-GB"/>
        </w:rPr>
        <w:t>1</w:t>
      </w:r>
      <w:r w:rsidR="00630D3D" w:rsidRPr="000612BC">
        <w:rPr>
          <w:rFonts w:cstheme="minorHAnsi"/>
          <w:lang w:val="en-GB"/>
        </w:rPr>
        <w:t xml:space="preserve"> CISAS - Center for Research and Development in Agrifood Systems and Sustainability, Escola Superior Agrária, Instituto Politécnico de Viana do Castelo, Rua Escola Industrial e Comercial Nun’Álvares, 4900-347 Viana do Castelo, Portugal</w:t>
      </w:r>
    </w:p>
    <w:p w14:paraId="1A1D5B82" w14:textId="6248215F" w:rsidR="00E9319B" w:rsidRPr="00CD71FE" w:rsidRDefault="00630D3D" w:rsidP="00CF6817">
      <w:pPr>
        <w:spacing w:after="0" w:line="480" w:lineRule="auto"/>
        <w:rPr>
          <w:rFonts w:eastAsia="Times New Roman" w:cstheme="minorHAnsi"/>
          <w:lang w:val="fr-FR"/>
        </w:rPr>
      </w:pPr>
      <w:r w:rsidRPr="00CD71FE">
        <w:rPr>
          <w:rFonts w:cstheme="minorHAnsi"/>
          <w:vertAlign w:val="superscript"/>
          <w:lang w:val="fr-FR"/>
        </w:rPr>
        <w:t>1</w:t>
      </w:r>
      <w:r w:rsidR="000612BC" w:rsidRPr="00CD71FE">
        <w:rPr>
          <w:rFonts w:cstheme="minorHAnsi"/>
          <w:vertAlign w:val="superscript"/>
          <w:lang w:val="fr-FR"/>
        </w:rPr>
        <w:t xml:space="preserve">2 </w:t>
      </w:r>
      <w:r w:rsidRPr="00CD71FE">
        <w:rPr>
          <w:rFonts w:cstheme="minorHAnsi"/>
          <w:lang w:val="fr-FR"/>
        </w:rPr>
        <w:t>EpiUnit – Instituto de Saúde Pública da Universidade do Porto, Rua das Taipas, 135, 4050-091 Porto, Portugal</w:t>
      </w:r>
    </w:p>
    <w:p w14:paraId="734C38E7" w14:textId="13F0541A" w:rsidR="00E9319B" w:rsidRPr="009F1E4D" w:rsidRDefault="00E9319B" w:rsidP="00CF6817">
      <w:pPr>
        <w:spacing w:after="0" w:line="480" w:lineRule="auto"/>
        <w:rPr>
          <w:rFonts w:eastAsia="Times New Roman" w:cstheme="minorHAnsi"/>
          <w:lang w:val="en-GB"/>
        </w:rPr>
      </w:pPr>
      <w:r w:rsidRPr="00CD71FE">
        <w:rPr>
          <w:rFonts w:eastAsia="Times New Roman" w:cstheme="minorHAnsi"/>
          <w:vertAlign w:val="superscript"/>
          <w:lang w:val="fr-FR"/>
        </w:rPr>
        <w:t>1</w:t>
      </w:r>
      <w:r w:rsidR="000612BC" w:rsidRPr="00CD71FE">
        <w:rPr>
          <w:rFonts w:eastAsia="Times New Roman" w:cstheme="minorHAnsi"/>
          <w:vertAlign w:val="superscript"/>
          <w:lang w:val="fr-FR"/>
        </w:rPr>
        <w:t xml:space="preserve">3 </w:t>
      </w:r>
      <w:r w:rsidR="00630D3D" w:rsidRPr="000612BC">
        <w:rPr>
          <w:rFonts w:eastAsia="Times New Roman" w:cstheme="minorHAnsi"/>
          <w:lang w:val="es-ES"/>
        </w:rPr>
        <w:t xml:space="preserve">Instituto de Ganadería de Montaña (CSIC-Universidad de León), Departamento de Sanidad Animal.  </w:t>
      </w:r>
      <w:r w:rsidR="00630D3D" w:rsidRPr="009F1E4D">
        <w:rPr>
          <w:rFonts w:eastAsia="Times New Roman" w:cstheme="minorHAnsi"/>
          <w:lang w:val="en-GB"/>
        </w:rPr>
        <w:t>24236 Grulleros, León</w:t>
      </w:r>
      <w:r w:rsidR="00174DCA" w:rsidRPr="009F1E4D">
        <w:rPr>
          <w:rFonts w:eastAsia="Times New Roman" w:cstheme="minorHAnsi"/>
          <w:lang w:val="en-GB"/>
        </w:rPr>
        <w:t xml:space="preserve">, </w:t>
      </w:r>
      <w:r w:rsidR="00630D3D" w:rsidRPr="009F1E4D">
        <w:rPr>
          <w:rFonts w:eastAsia="Times New Roman" w:cstheme="minorHAnsi"/>
          <w:lang w:val="en-GB"/>
        </w:rPr>
        <w:t>Spain</w:t>
      </w:r>
    </w:p>
    <w:p w14:paraId="4E2FFC57" w14:textId="56C6220E" w:rsidR="00E9319B" w:rsidRPr="009F1E4D" w:rsidRDefault="00E9319B" w:rsidP="00CF6817">
      <w:pPr>
        <w:spacing w:after="0" w:line="480" w:lineRule="auto"/>
        <w:jc w:val="both"/>
        <w:rPr>
          <w:rFonts w:eastAsia="Times New Roman" w:cstheme="minorHAnsi"/>
          <w:lang w:val="en-GB"/>
        </w:rPr>
      </w:pPr>
      <w:r w:rsidRPr="009F1E4D">
        <w:rPr>
          <w:rFonts w:eastAsia="Times New Roman" w:cstheme="minorHAnsi"/>
          <w:vertAlign w:val="superscript"/>
          <w:lang w:val="en-GB"/>
        </w:rPr>
        <w:t>1</w:t>
      </w:r>
      <w:r w:rsidR="000612BC" w:rsidRPr="009F1E4D">
        <w:rPr>
          <w:rFonts w:eastAsia="Times New Roman" w:cstheme="minorHAnsi"/>
          <w:vertAlign w:val="superscript"/>
          <w:lang w:val="en-GB"/>
        </w:rPr>
        <w:t>4</w:t>
      </w:r>
      <w:r w:rsidR="00CD71FE" w:rsidRPr="009F1E4D">
        <w:rPr>
          <w:rFonts w:eastAsia="Times New Roman" w:cstheme="minorHAnsi"/>
          <w:vertAlign w:val="superscript"/>
          <w:lang w:val="en-GB"/>
        </w:rPr>
        <w:t xml:space="preserve"> </w:t>
      </w:r>
      <w:r w:rsidR="00CD71FE" w:rsidRPr="009F1E4D">
        <w:rPr>
          <w:lang w:val="en-GB"/>
        </w:rPr>
        <w:t>VirtualVet, Grenan Upper, Kilmacthomas, Co. Waterford, Ireland</w:t>
      </w:r>
    </w:p>
    <w:p w14:paraId="21F06A5A" w14:textId="5A34B4B5" w:rsidR="00E9319B" w:rsidRPr="000612BC" w:rsidRDefault="00E9319B" w:rsidP="00CF6817">
      <w:pPr>
        <w:spacing w:after="0" w:line="480" w:lineRule="auto"/>
        <w:rPr>
          <w:rFonts w:eastAsia="Times New Roman" w:cstheme="minorHAnsi"/>
          <w:lang w:val="en-GB"/>
        </w:rPr>
      </w:pPr>
      <w:r w:rsidRPr="000612BC">
        <w:rPr>
          <w:rFonts w:eastAsia="Times New Roman" w:cstheme="minorHAnsi"/>
          <w:vertAlign w:val="superscript"/>
          <w:lang w:val="en-GB"/>
        </w:rPr>
        <w:t>1</w:t>
      </w:r>
      <w:r w:rsidR="000612BC" w:rsidRPr="000612BC">
        <w:rPr>
          <w:rFonts w:eastAsia="Times New Roman" w:cstheme="minorHAnsi"/>
          <w:vertAlign w:val="superscript"/>
          <w:lang w:val="en-GB"/>
        </w:rPr>
        <w:t>5</w:t>
      </w:r>
      <w:r w:rsidR="006D52AC" w:rsidRPr="000612BC">
        <w:rPr>
          <w:rFonts w:cstheme="minorHAnsi"/>
          <w:lang w:val="en-GB"/>
        </w:rPr>
        <w:t xml:space="preserve"> Institute of Applied Research, University of Haifa, The Galilee Society P.O. Box 437, Shefa-Amr 20200, Israel &amp; Tel Hai College, Department of Environmental Sciences, Upper Galilee 12210, Israel.</w:t>
      </w:r>
    </w:p>
    <w:p w14:paraId="1F2CC2E2" w14:textId="15D48EE9" w:rsidR="00E9319B" w:rsidRPr="000612BC" w:rsidRDefault="000C2F24"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1</w:t>
      </w:r>
      <w:r w:rsidR="000612BC" w:rsidRPr="000612BC">
        <w:rPr>
          <w:rFonts w:eastAsia="Times New Roman" w:cstheme="minorHAnsi"/>
          <w:vertAlign w:val="superscript"/>
          <w:lang w:val="en-GB"/>
        </w:rPr>
        <w:t>6</w:t>
      </w:r>
      <w:r w:rsidR="0041578F" w:rsidRPr="000612BC">
        <w:rPr>
          <w:rFonts w:eastAsia="Times New Roman" w:cstheme="minorHAnsi"/>
          <w:lang w:val="en-GB"/>
        </w:rPr>
        <w:t xml:space="preserve"> Faculty of Veterinary Medicine, University </w:t>
      </w:r>
      <w:r w:rsidR="0041578F" w:rsidRPr="000612BC">
        <w:rPr>
          <w:rFonts w:eastAsia="Times New Roman" w:cstheme="minorHAnsi"/>
          <w:lang w:val="en-US"/>
        </w:rPr>
        <w:t>St. Cyril and Methodius, Skopje, Republic of North Macedonia</w:t>
      </w:r>
    </w:p>
    <w:p w14:paraId="133D16D2" w14:textId="132051AF" w:rsidR="00E9319B" w:rsidRPr="000612BC" w:rsidRDefault="000C2F24"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1</w:t>
      </w:r>
      <w:r w:rsidR="000612BC" w:rsidRPr="000612BC">
        <w:rPr>
          <w:rFonts w:eastAsia="Times New Roman" w:cstheme="minorHAnsi"/>
          <w:vertAlign w:val="superscript"/>
          <w:lang w:val="en-GB"/>
        </w:rPr>
        <w:t>7</w:t>
      </w:r>
      <w:r w:rsidR="0041578F" w:rsidRPr="000612BC">
        <w:rPr>
          <w:rFonts w:eastAsia="Times New Roman" w:cstheme="minorHAnsi"/>
          <w:lang w:val="en-GB"/>
        </w:rPr>
        <w:t xml:space="preserve"> </w:t>
      </w:r>
      <w:r w:rsidR="0041578F" w:rsidRPr="000612BC">
        <w:rPr>
          <w:rFonts w:cstheme="minorHAnsi"/>
          <w:iCs/>
          <w:lang w:val="en-US"/>
        </w:rPr>
        <w:t>Laboratory of Parasitology, University of Manouba, National School of Veterinary Medicine of Sidi Thabet, 2020 Sidi Thabet, Tunisia</w:t>
      </w:r>
    </w:p>
    <w:p w14:paraId="29A12B0A" w14:textId="0CF268E4" w:rsidR="00E9319B" w:rsidRPr="000612BC" w:rsidRDefault="000C2F24"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1</w:t>
      </w:r>
      <w:r w:rsidR="000612BC" w:rsidRPr="000612BC">
        <w:rPr>
          <w:rFonts w:eastAsia="Times New Roman" w:cstheme="minorHAnsi"/>
          <w:vertAlign w:val="superscript"/>
          <w:lang w:val="en-GB"/>
        </w:rPr>
        <w:t>8</w:t>
      </w:r>
      <w:r w:rsidRPr="000612BC">
        <w:rPr>
          <w:rFonts w:eastAsia="Times New Roman" w:cstheme="minorHAnsi"/>
          <w:lang w:val="en-GB"/>
        </w:rPr>
        <w:t xml:space="preserve"> </w:t>
      </w:r>
      <w:r w:rsidR="00961BFB" w:rsidRPr="000612BC">
        <w:rPr>
          <w:rFonts w:eastAsia="Times New Roman" w:cstheme="minorHAnsi"/>
          <w:lang w:val="en-GB"/>
        </w:rPr>
        <w:t>Department of Veterinary Pathobiology, Faculty of Veterinary Medicine, Veterinary Academy, Lithuanian University of Health Sciences, Tilžės 18, LT-47181 Kaunas, Lithuania</w:t>
      </w:r>
    </w:p>
    <w:p w14:paraId="025B62C3" w14:textId="5BFC7674" w:rsidR="00961BFB" w:rsidRDefault="000612BC"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19</w:t>
      </w:r>
      <w:r w:rsidR="000C2F24" w:rsidRPr="000612BC">
        <w:rPr>
          <w:rFonts w:eastAsia="Times New Roman" w:cstheme="minorHAnsi"/>
          <w:lang w:val="en-GB"/>
        </w:rPr>
        <w:t xml:space="preserve"> </w:t>
      </w:r>
      <w:r w:rsidR="00961BFB" w:rsidRPr="000612BC">
        <w:rPr>
          <w:rFonts w:eastAsia="Times New Roman" w:cstheme="minorHAnsi"/>
          <w:lang w:val="en-GB"/>
        </w:rPr>
        <w:t>Department of Production Animal Clinical Sciences, Faculty of Veterinary Medicine, Norwegian University of Life Sciences, P.O.Box 369 Sentrum, 0102 Oslo, Norway</w:t>
      </w:r>
    </w:p>
    <w:p w14:paraId="304458E9" w14:textId="77777777" w:rsidR="009520C7" w:rsidRDefault="009520C7" w:rsidP="00CF6817">
      <w:pPr>
        <w:spacing w:after="0" w:line="480" w:lineRule="auto"/>
        <w:jc w:val="both"/>
        <w:rPr>
          <w:rFonts w:eastAsia="Times New Roman" w:cstheme="minorHAnsi"/>
          <w:lang w:val="en-US"/>
        </w:rPr>
      </w:pPr>
      <w:r w:rsidRPr="000612BC">
        <w:rPr>
          <w:rFonts w:eastAsia="Times New Roman" w:cstheme="minorHAnsi"/>
          <w:vertAlign w:val="superscript"/>
          <w:lang w:val="en-GB"/>
        </w:rPr>
        <w:t>2</w:t>
      </w:r>
      <w:r>
        <w:rPr>
          <w:rFonts w:eastAsia="Times New Roman" w:cstheme="minorHAnsi"/>
          <w:vertAlign w:val="superscript"/>
          <w:lang w:val="en-GB"/>
        </w:rPr>
        <w:t>0</w:t>
      </w:r>
      <w:r w:rsidRPr="000612BC">
        <w:rPr>
          <w:rFonts w:eastAsia="Times New Roman" w:cstheme="minorHAnsi"/>
          <w:lang w:val="en-GB"/>
        </w:rPr>
        <w:t xml:space="preserve"> Swedish University of Agricultural Sciences, Department of Biomedical Sciences and Veterinary Public Health, Section for Parasitology, </w:t>
      </w:r>
      <w:r w:rsidRPr="000612BC">
        <w:rPr>
          <w:rFonts w:eastAsia="Times New Roman" w:cstheme="minorHAnsi"/>
          <w:lang w:val="en-US"/>
        </w:rPr>
        <w:t>P.O. Box 7036, SE-750 07 Uppsala, Sweden.</w:t>
      </w:r>
    </w:p>
    <w:p w14:paraId="00E79E76" w14:textId="08CF8F91" w:rsidR="009520C7" w:rsidRPr="0054052D" w:rsidRDefault="009520C7" w:rsidP="00CF6817">
      <w:pPr>
        <w:spacing w:after="0" w:line="480" w:lineRule="auto"/>
        <w:jc w:val="both"/>
        <w:rPr>
          <w:rFonts w:eastAsia="Times New Roman" w:cs="Times New Roman"/>
          <w:lang w:val="en-GB"/>
        </w:rPr>
      </w:pPr>
      <w:r w:rsidRPr="00910F4C">
        <w:rPr>
          <w:rFonts w:eastAsia="Times New Roman" w:cs="Times New Roman"/>
          <w:vertAlign w:val="superscript"/>
          <w:lang w:val="en-GB"/>
        </w:rPr>
        <w:t>21</w:t>
      </w:r>
      <w:r w:rsidRPr="00910F4C">
        <w:rPr>
          <w:rFonts w:eastAsia="Times New Roman" w:cs="Times New Roman"/>
          <w:lang w:val="en-GB"/>
        </w:rPr>
        <w:t xml:space="preserve"> Institute for Global Food Security, Queen’s University Belfast, 19, Chlorine Gardens, Belfast, BT9 5DL, UK</w:t>
      </w:r>
    </w:p>
    <w:p w14:paraId="50B6BA8E" w14:textId="77777777" w:rsidR="009520C7" w:rsidRDefault="009520C7"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t>2</w:t>
      </w:r>
      <w:r>
        <w:rPr>
          <w:rFonts w:eastAsia="Times New Roman" w:cstheme="minorHAnsi"/>
          <w:vertAlign w:val="superscript"/>
          <w:lang w:val="en-GB"/>
        </w:rPr>
        <w:t>2</w:t>
      </w:r>
      <w:r w:rsidRPr="000612BC">
        <w:rPr>
          <w:rFonts w:eastAsia="Times New Roman" w:cstheme="minorHAnsi"/>
          <w:lang w:val="en-GB"/>
        </w:rPr>
        <w:t xml:space="preserve"> Disease Control, Moredun Research Institute, Pentlands Science Park, Bush Loan, Penicuik, EH26 0PZ, UK</w:t>
      </w:r>
    </w:p>
    <w:p w14:paraId="699ED5F9" w14:textId="1301950A" w:rsidR="00630D3D" w:rsidRPr="000612BC" w:rsidRDefault="000C2F24" w:rsidP="00CF6817">
      <w:pPr>
        <w:spacing w:after="0" w:line="480" w:lineRule="auto"/>
        <w:jc w:val="both"/>
        <w:rPr>
          <w:rFonts w:eastAsia="Times New Roman" w:cstheme="minorHAnsi"/>
          <w:lang w:val="en-GB"/>
        </w:rPr>
      </w:pPr>
      <w:r w:rsidRPr="000612BC">
        <w:rPr>
          <w:rFonts w:eastAsia="Times New Roman" w:cstheme="minorHAnsi"/>
          <w:vertAlign w:val="superscript"/>
          <w:lang w:val="en-GB"/>
        </w:rPr>
        <w:lastRenderedPageBreak/>
        <w:t>2</w:t>
      </w:r>
      <w:r w:rsidR="00910F4C">
        <w:rPr>
          <w:rFonts w:eastAsia="Times New Roman" w:cstheme="minorHAnsi"/>
          <w:vertAlign w:val="superscript"/>
          <w:lang w:val="en-GB"/>
        </w:rPr>
        <w:t>3</w:t>
      </w:r>
      <w:r w:rsidR="00961BFB" w:rsidRPr="000612BC">
        <w:rPr>
          <w:rFonts w:eastAsia="Times New Roman" w:cstheme="minorHAnsi"/>
          <w:lang w:val="en-GB"/>
        </w:rPr>
        <w:t xml:space="preserve"> </w:t>
      </w:r>
      <w:r w:rsidR="00961BFB" w:rsidRPr="000612BC">
        <w:rPr>
          <w:rFonts w:cstheme="minorHAnsi"/>
          <w:lang w:val="en-GB"/>
        </w:rPr>
        <w:t>Ghent University, Faculty of Veterinary Medicine, Laboratory of Parasitology, Salisburylaan 133, 9820 Merelbeke, Belgium</w:t>
      </w:r>
    </w:p>
    <w:p w14:paraId="5D219BCD" w14:textId="77777777" w:rsidR="00961BFB" w:rsidRPr="005F73F7" w:rsidRDefault="00961BFB" w:rsidP="00CF6817">
      <w:pPr>
        <w:spacing w:line="480" w:lineRule="auto"/>
        <w:jc w:val="both"/>
        <w:rPr>
          <w:rFonts w:eastAsia="Times New Roman" w:cs="Times New Roman"/>
          <w:sz w:val="24"/>
          <w:vertAlign w:val="superscript"/>
          <w:lang w:val="en-GB"/>
        </w:rPr>
      </w:pPr>
    </w:p>
    <w:p w14:paraId="5FE390FC" w14:textId="77777777" w:rsidR="00E9319B" w:rsidRPr="00634D38" w:rsidRDefault="00E9319B" w:rsidP="00CF6817">
      <w:pPr>
        <w:spacing w:line="480" w:lineRule="auto"/>
        <w:jc w:val="both"/>
        <w:rPr>
          <w:rFonts w:eastAsia="Times New Roman" w:cs="Times New Roman"/>
          <w:sz w:val="24"/>
          <w:lang w:val="en-GB"/>
        </w:rPr>
      </w:pPr>
      <w:r>
        <w:rPr>
          <w:rFonts w:eastAsia="Times New Roman" w:cs="Times New Roman"/>
          <w:sz w:val="24"/>
          <w:lang w:val="en-GB"/>
        </w:rPr>
        <w:t>*Corresponding author: J. Charlier, jcharlier@kreavet.com</w:t>
      </w:r>
    </w:p>
    <w:p w14:paraId="383E00DE" w14:textId="77777777" w:rsidR="00E9319B" w:rsidRDefault="00E9319B" w:rsidP="00CF6817">
      <w:pPr>
        <w:keepNext/>
        <w:keepLines/>
        <w:spacing w:before="240" w:after="0" w:line="480" w:lineRule="auto"/>
        <w:jc w:val="both"/>
        <w:outlineLvl w:val="0"/>
        <w:rPr>
          <w:rFonts w:asciiTheme="majorHAnsi" w:eastAsiaTheme="majorEastAsia" w:hAnsiTheme="majorHAnsi" w:cs="Times New Roman"/>
          <w:color w:val="2E74B5" w:themeColor="accent1" w:themeShade="BF"/>
          <w:sz w:val="32"/>
          <w:szCs w:val="32"/>
          <w:lang w:val="en-GB"/>
        </w:rPr>
      </w:pPr>
      <w:r w:rsidRPr="005F73F7">
        <w:rPr>
          <w:rFonts w:asciiTheme="majorHAnsi" w:eastAsiaTheme="majorEastAsia" w:hAnsiTheme="majorHAnsi" w:cs="Times New Roman"/>
          <w:color w:val="2E74B5" w:themeColor="accent1" w:themeShade="BF"/>
          <w:sz w:val="32"/>
          <w:szCs w:val="32"/>
          <w:lang w:val="en-GB"/>
        </w:rPr>
        <w:t>Highlights</w:t>
      </w:r>
    </w:p>
    <w:p w14:paraId="3DB41F03" w14:textId="1EB48995" w:rsidR="00E9319B" w:rsidRPr="0078266F" w:rsidRDefault="00E518F6" w:rsidP="00CF6817">
      <w:pPr>
        <w:pStyle w:val="ListParagraph"/>
        <w:numPr>
          <w:ilvl w:val="0"/>
          <w:numId w:val="7"/>
        </w:numPr>
        <w:spacing w:line="480" w:lineRule="auto"/>
        <w:jc w:val="both"/>
        <w:rPr>
          <w:lang w:val="en-GB"/>
        </w:rPr>
      </w:pPr>
      <w:r w:rsidRPr="0078266F">
        <w:rPr>
          <w:lang w:val="en-GB"/>
        </w:rPr>
        <w:t>Initial f</w:t>
      </w:r>
      <w:r w:rsidR="00E9319B" w:rsidRPr="0078266F">
        <w:rPr>
          <w:lang w:val="en-GB"/>
        </w:rPr>
        <w:t xml:space="preserve">ramework to estimate </w:t>
      </w:r>
      <w:r w:rsidR="00A52259" w:rsidRPr="0078266F">
        <w:rPr>
          <w:lang w:val="en-GB"/>
        </w:rPr>
        <w:t xml:space="preserve">economic </w:t>
      </w:r>
      <w:r w:rsidR="00E9319B" w:rsidRPr="0078266F">
        <w:rPr>
          <w:lang w:val="en-GB"/>
        </w:rPr>
        <w:t>burden of helminth</w:t>
      </w:r>
      <w:r w:rsidR="00A52259" w:rsidRPr="0078266F">
        <w:rPr>
          <w:lang w:val="en-GB"/>
        </w:rPr>
        <w:t>s</w:t>
      </w:r>
      <w:r w:rsidR="00E9319B" w:rsidRPr="0078266F">
        <w:rPr>
          <w:lang w:val="en-GB"/>
        </w:rPr>
        <w:t xml:space="preserve"> to the ruminant livestock industry</w:t>
      </w:r>
      <w:r w:rsidR="00A52259" w:rsidRPr="0078266F">
        <w:rPr>
          <w:lang w:val="en-GB"/>
        </w:rPr>
        <w:t xml:space="preserve"> developed</w:t>
      </w:r>
    </w:p>
    <w:p w14:paraId="4216922D" w14:textId="73AD1BE7" w:rsidR="00E9319B" w:rsidRDefault="00A52259" w:rsidP="00CF6817">
      <w:pPr>
        <w:pStyle w:val="ListParagraph"/>
        <w:numPr>
          <w:ilvl w:val="0"/>
          <w:numId w:val="7"/>
        </w:numPr>
        <w:spacing w:line="480" w:lineRule="auto"/>
        <w:jc w:val="both"/>
        <w:rPr>
          <w:lang w:val="en-GB"/>
        </w:rPr>
      </w:pPr>
      <w:r>
        <w:rPr>
          <w:lang w:val="en-GB"/>
        </w:rPr>
        <w:t>A</w:t>
      </w:r>
      <w:r w:rsidR="00E9319B">
        <w:rPr>
          <w:lang w:val="en-GB"/>
        </w:rPr>
        <w:t xml:space="preserve">nnual cost of </w:t>
      </w:r>
      <w:r w:rsidR="006976ED">
        <w:rPr>
          <w:lang w:val="en-GB"/>
        </w:rPr>
        <w:t xml:space="preserve">livestock </w:t>
      </w:r>
      <w:r w:rsidR="00E9319B">
        <w:rPr>
          <w:lang w:val="en-GB"/>
        </w:rPr>
        <w:t xml:space="preserve">infections with </w:t>
      </w:r>
      <w:r>
        <w:rPr>
          <w:lang w:val="en-GB"/>
        </w:rPr>
        <w:t>helminths</w:t>
      </w:r>
      <w:r w:rsidR="00E9319B">
        <w:rPr>
          <w:lang w:val="en-GB"/>
        </w:rPr>
        <w:t xml:space="preserve"> in 18 countries estimated at </w:t>
      </w:r>
      <w:r w:rsidR="00E9319B" w:rsidRPr="005F73F7">
        <w:rPr>
          <w:rFonts w:cstheme="minorHAnsi"/>
          <w:lang w:val="en-GB"/>
        </w:rPr>
        <w:t>€</w:t>
      </w:r>
      <w:r w:rsidR="00E9319B" w:rsidRPr="005F73F7">
        <w:rPr>
          <w:lang w:val="en-GB"/>
        </w:rPr>
        <w:t>1.</w:t>
      </w:r>
      <w:r w:rsidR="00F43447">
        <w:rPr>
          <w:lang w:val="en-GB"/>
        </w:rPr>
        <w:t>8</w:t>
      </w:r>
      <w:r w:rsidR="00E9319B" w:rsidRPr="005F73F7">
        <w:rPr>
          <w:lang w:val="en-GB"/>
        </w:rPr>
        <w:t xml:space="preserve"> billion</w:t>
      </w:r>
    </w:p>
    <w:p w14:paraId="76F2AB40" w14:textId="604EFD1F" w:rsidR="00A52259" w:rsidRDefault="00E9319B" w:rsidP="00CF6817">
      <w:pPr>
        <w:pStyle w:val="ListParagraph"/>
        <w:numPr>
          <w:ilvl w:val="0"/>
          <w:numId w:val="7"/>
        </w:numPr>
        <w:spacing w:line="480" w:lineRule="auto"/>
        <w:jc w:val="both"/>
        <w:rPr>
          <w:lang w:val="en-GB"/>
        </w:rPr>
      </w:pPr>
      <w:r w:rsidRPr="00A52259">
        <w:rPr>
          <w:lang w:val="en-GB"/>
        </w:rPr>
        <w:t xml:space="preserve">The cost of anthelmintic resistant nematodes estimated at </w:t>
      </w:r>
      <w:r w:rsidRPr="00846DD0">
        <w:rPr>
          <w:rFonts w:cstheme="minorHAnsi"/>
          <w:lang w:val="en-GB"/>
        </w:rPr>
        <w:t>€</w:t>
      </w:r>
      <w:r w:rsidR="00820FDF">
        <w:rPr>
          <w:rFonts w:cstheme="minorHAnsi"/>
          <w:lang w:val="en-GB"/>
        </w:rPr>
        <w:t xml:space="preserve"> </w:t>
      </w:r>
      <w:r w:rsidR="00820FDF">
        <w:rPr>
          <w:lang w:val="en-GB"/>
        </w:rPr>
        <w:t>3</w:t>
      </w:r>
      <w:r w:rsidRPr="00846DD0">
        <w:rPr>
          <w:lang w:val="en-GB"/>
        </w:rPr>
        <w:t>7</w:t>
      </w:r>
      <w:r w:rsidR="00DE2FDF">
        <w:rPr>
          <w:lang w:val="en-GB"/>
        </w:rPr>
        <w:t>.5</w:t>
      </w:r>
      <w:r w:rsidRPr="00846DD0">
        <w:rPr>
          <w:lang w:val="en-GB"/>
        </w:rPr>
        <w:t xml:space="preserve"> million annually</w:t>
      </w:r>
    </w:p>
    <w:p w14:paraId="6D2B6167" w14:textId="7A4C4885" w:rsidR="00E9319B" w:rsidRDefault="00E9319B" w:rsidP="00CF6817">
      <w:pPr>
        <w:pStyle w:val="ListParagraph"/>
        <w:numPr>
          <w:ilvl w:val="0"/>
          <w:numId w:val="7"/>
        </w:numPr>
        <w:spacing w:line="480" w:lineRule="auto"/>
        <w:jc w:val="both"/>
        <w:rPr>
          <w:lang w:val="en-GB"/>
        </w:rPr>
      </w:pPr>
      <w:r w:rsidRPr="00A52259">
        <w:rPr>
          <w:lang w:val="en-GB"/>
        </w:rPr>
        <w:t>Data gaps to improve estimations in the future identified</w:t>
      </w:r>
    </w:p>
    <w:p w14:paraId="5B870A87" w14:textId="6EEC27CF" w:rsidR="00FB5FFA" w:rsidRDefault="00FB5FFA">
      <w:pPr>
        <w:rPr>
          <w:lang w:val="en-GB"/>
        </w:rPr>
      </w:pPr>
      <w:r>
        <w:rPr>
          <w:lang w:val="en-GB"/>
        </w:rPr>
        <w:br w:type="page"/>
      </w:r>
    </w:p>
    <w:p w14:paraId="0EF7EA45" w14:textId="77777777" w:rsidR="00FB5FFA" w:rsidRDefault="00E9319B" w:rsidP="00CF6817">
      <w:pPr>
        <w:keepNext/>
        <w:keepLines/>
        <w:spacing w:before="240" w:after="0" w:line="480" w:lineRule="auto"/>
        <w:jc w:val="both"/>
        <w:outlineLvl w:val="0"/>
        <w:rPr>
          <w:rFonts w:asciiTheme="majorHAnsi" w:eastAsiaTheme="majorEastAsia" w:hAnsiTheme="majorHAnsi" w:cs="Times New Roman"/>
          <w:color w:val="2E74B5" w:themeColor="accent1" w:themeShade="BF"/>
          <w:sz w:val="32"/>
          <w:szCs w:val="32"/>
          <w:lang w:val="en-GB"/>
        </w:rPr>
      </w:pPr>
      <w:r w:rsidRPr="005F73F7">
        <w:rPr>
          <w:rFonts w:asciiTheme="majorHAnsi" w:eastAsiaTheme="majorEastAsia" w:hAnsiTheme="majorHAnsi" w:cs="Times New Roman"/>
          <w:color w:val="2E74B5" w:themeColor="accent1" w:themeShade="BF"/>
          <w:sz w:val="32"/>
          <w:szCs w:val="32"/>
          <w:lang w:val="en-GB"/>
        </w:rPr>
        <w:lastRenderedPageBreak/>
        <w:t>Abstract</w:t>
      </w:r>
    </w:p>
    <w:p w14:paraId="49F83D93" w14:textId="2AEC4F28" w:rsidR="00E9319B" w:rsidRPr="0078266F" w:rsidRDefault="3AB19FD3" w:rsidP="310D4388">
      <w:pPr>
        <w:spacing w:before="240" w:after="0" w:line="480" w:lineRule="auto"/>
        <w:jc w:val="both"/>
        <w:outlineLvl w:val="0"/>
        <w:rPr>
          <w:rFonts w:asciiTheme="majorHAnsi" w:eastAsiaTheme="majorEastAsia" w:hAnsiTheme="majorHAnsi" w:cs="Times New Roman"/>
          <w:sz w:val="32"/>
          <w:szCs w:val="32"/>
          <w:lang w:val="en-GB"/>
        </w:rPr>
      </w:pPr>
      <w:r w:rsidRPr="0078266F">
        <w:rPr>
          <w:lang w:val="en-GB"/>
        </w:rPr>
        <w:t xml:space="preserve">We report a European wide assessment of the economic burden of gastrointestinal nematodes, </w:t>
      </w:r>
      <w:r w:rsidRPr="0078266F">
        <w:rPr>
          <w:i/>
          <w:iCs/>
          <w:lang w:val="en-GB"/>
        </w:rPr>
        <w:t>Fasciola hepatica</w:t>
      </w:r>
      <w:r w:rsidRPr="0078266F">
        <w:rPr>
          <w:lang w:val="en-GB"/>
        </w:rPr>
        <w:t xml:space="preserve"> (common liver fluke) and </w:t>
      </w:r>
      <w:r w:rsidRPr="0078266F">
        <w:rPr>
          <w:i/>
          <w:iCs/>
          <w:lang w:val="en-GB"/>
        </w:rPr>
        <w:t>Dictyocaulus viviparus</w:t>
      </w:r>
      <w:r w:rsidRPr="0078266F">
        <w:rPr>
          <w:lang w:val="en-GB"/>
        </w:rPr>
        <w:t xml:space="preserve"> (bovine lungworm) infections to the ruminant livestock industry. The economic impact of these parasitic helminth infections was estimated by a deterministic spreadsheet model as a function of the proportion of the ruminant population exposed to grazing, the infection frequency and intensity, the effect of the infection on animal productivity and mortality and anthelmintic treatment costs. In addition, we estimated the costs of anthelmintic resistant nematode infections and collected information on public research budgets addressing helminth infections in ruminant livestock. The epidemiologic and economic input data were collected from international databases and via expert opinion of the Working Group members of the European Co-operation in Science and Technology (COST) action COMbatting Anthelmintic Resistance in ruminants (COMBAR).  In order to reflect the effects of uncertainty in the input data, low and high cost estimates were obtained by varying uncertain input data arbitrarily in both directions by 20%. The combined annual cost [low estimate-high estimate] of the three helminth infections in 18 participating countries was estimated at € 1.8 billion [€ 1.0 - 2.7 billion]. Eighty-one percent of this cost was due to lost production and 19% was attributed to treatment costs. The cost of gastrointestinal nematode infections with resistance against macrocyclic lactones was estimated to be € 38 million [€ 11 – 87 million] annually. The annual estimated costs of helminth infections per sector were € 941 million [€ 488 – 1,442 million] in dairy cattle, € 423 million [€ 205 - 663 million] </w:t>
      </w:r>
      <w:r w:rsidRPr="0078266F">
        <w:rPr>
          <w:rFonts w:ascii="Calibri" w:hAnsi="Calibri" w:cs="Calibri"/>
          <w:lang w:val="en-GB"/>
        </w:rPr>
        <w:t xml:space="preserve">in beef cattle, </w:t>
      </w:r>
      <w:r w:rsidRPr="0078266F">
        <w:rPr>
          <w:lang w:val="en-GB"/>
        </w:rPr>
        <w:t xml:space="preserve">€ </w:t>
      </w:r>
      <w:r w:rsidRPr="0078266F">
        <w:rPr>
          <w:rFonts w:ascii="Calibri" w:hAnsi="Calibri" w:cs="Calibri"/>
          <w:lang w:val="en-GB"/>
        </w:rPr>
        <w:t>151million [</w:t>
      </w:r>
      <w:r w:rsidRPr="0078266F">
        <w:rPr>
          <w:lang w:val="en-GB"/>
        </w:rPr>
        <w:t xml:space="preserve">€ </w:t>
      </w:r>
      <w:r w:rsidRPr="0078266F">
        <w:rPr>
          <w:rFonts w:ascii="Calibri" w:hAnsi="Calibri" w:cs="Calibri"/>
          <w:lang w:val="en-GB"/>
        </w:rPr>
        <w:t xml:space="preserve">90 - 213 million] in dairy sheep, </w:t>
      </w:r>
      <w:r w:rsidRPr="0078266F">
        <w:rPr>
          <w:lang w:val="en-GB"/>
        </w:rPr>
        <w:t xml:space="preserve">€ </w:t>
      </w:r>
      <w:r w:rsidRPr="0078266F">
        <w:rPr>
          <w:rFonts w:ascii="Calibri" w:hAnsi="Calibri" w:cs="Calibri"/>
          <w:lang w:val="en-GB"/>
        </w:rPr>
        <w:t>206 million [</w:t>
      </w:r>
      <w:r w:rsidRPr="0078266F">
        <w:rPr>
          <w:lang w:val="en-GB"/>
        </w:rPr>
        <w:t xml:space="preserve">€ </w:t>
      </w:r>
      <w:r w:rsidRPr="0078266F">
        <w:rPr>
          <w:rFonts w:ascii="Calibri" w:hAnsi="Calibri" w:cs="Calibri"/>
          <w:lang w:val="en-GB"/>
        </w:rPr>
        <w:t xml:space="preserve">132 - 248 million] in meat sheep and </w:t>
      </w:r>
      <w:r w:rsidRPr="0078266F">
        <w:rPr>
          <w:lang w:val="en-GB"/>
        </w:rPr>
        <w:t xml:space="preserve">€ </w:t>
      </w:r>
      <w:r w:rsidRPr="0078266F">
        <w:rPr>
          <w:rFonts w:ascii="Calibri" w:hAnsi="Calibri" w:cs="Calibri"/>
          <w:lang w:val="en-GB"/>
        </w:rPr>
        <w:t>86 million [</w:t>
      </w:r>
      <w:r w:rsidRPr="0078266F">
        <w:rPr>
          <w:lang w:val="en-GB"/>
        </w:rPr>
        <w:t xml:space="preserve">€ </w:t>
      </w:r>
      <w:r w:rsidRPr="0078266F">
        <w:rPr>
          <w:rFonts w:ascii="Calibri" w:hAnsi="Calibri" w:cs="Calibri"/>
          <w:lang w:val="en-GB"/>
        </w:rPr>
        <w:t xml:space="preserve">67 - 107 million] in dairy goats. </w:t>
      </w:r>
      <w:r w:rsidRPr="0078266F">
        <w:rPr>
          <w:lang w:val="en-GB"/>
        </w:rPr>
        <w:t>Important data gaps were present in all phases of the calculations which lead to large uncertainties around the estimates. Accessibility of more granular animal population datasets at EU level, deeper knowledge of the effects of infection on production, levels of infection and livestock grazing exposure across Europe would make the largest contribution to improved burden assessments. The known current public investment in research on helminth control was 0.1</w:t>
      </w:r>
      <w:r w:rsidR="006153A4" w:rsidRPr="0078266F">
        <w:rPr>
          <w:lang w:val="en-GB"/>
        </w:rPr>
        <w:t>5</w:t>
      </w:r>
      <w:r w:rsidRPr="0078266F">
        <w:rPr>
          <w:lang w:val="en-GB"/>
        </w:rPr>
        <w:t xml:space="preserve"> % of the </w:t>
      </w:r>
      <w:r w:rsidRPr="0078266F">
        <w:rPr>
          <w:lang w:val="en-GB"/>
        </w:rPr>
        <w:lastRenderedPageBreak/>
        <w:t>estimated annual costs for the considered parasitic diseases. Our data suggest that the costs of enzootic helminth infections which usually occur at high prevalence annually in ruminants, are similar or higher than reported costs of epizootic diseases. Our data can support decision making in research and policy to mitigate the negative impacts of helminth infections and anthelmintic resistance in Europe, and provide a baseline against which to measure future changes.</w:t>
      </w:r>
    </w:p>
    <w:p w14:paraId="7B8CC8CC" w14:textId="77777777" w:rsidR="00153654" w:rsidRPr="0078266F" w:rsidRDefault="00153654" w:rsidP="00CF6817">
      <w:pPr>
        <w:spacing w:line="480" w:lineRule="auto"/>
        <w:jc w:val="both"/>
        <w:rPr>
          <w:b/>
          <w:lang w:val="en-GB"/>
        </w:rPr>
      </w:pPr>
    </w:p>
    <w:p w14:paraId="535F0B11" w14:textId="19528F5E" w:rsidR="00E9319B" w:rsidRDefault="3AB19FD3" w:rsidP="00CF6817">
      <w:pPr>
        <w:spacing w:line="480" w:lineRule="auto"/>
        <w:jc w:val="both"/>
        <w:rPr>
          <w:lang w:val="en-GB"/>
        </w:rPr>
      </w:pPr>
      <w:r w:rsidRPr="3AB19FD3">
        <w:rPr>
          <w:b/>
          <w:bCs/>
          <w:lang w:val="en-GB"/>
        </w:rPr>
        <w:t>Keywords:</w:t>
      </w:r>
      <w:r w:rsidRPr="3AB19FD3">
        <w:rPr>
          <w:lang w:val="en-GB"/>
        </w:rPr>
        <w:t xml:space="preserve"> economic costs, direct costs, </w:t>
      </w:r>
      <w:r w:rsidR="0078266F" w:rsidRPr="0078266F">
        <w:rPr>
          <w:i/>
          <w:iCs/>
          <w:lang w:val="en-GB"/>
        </w:rPr>
        <w:t>Ostertagia</w:t>
      </w:r>
      <w:r w:rsidR="0078266F">
        <w:rPr>
          <w:lang w:val="en-GB"/>
        </w:rPr>
        <w:t xml:space="preserve">, </w:t>
      </w:r>
      <w:r w:rsidRPr="3AB19FD3">
        <w:rPr>
          <w:i/>
          <w:iCs/>
          <w:lang w:val="en-GB"/>
        </w:rPr>
        <w:t>Fasciola</w:t>
      </w:r>
      <w:r w:rsidRPr="3AB19FD3">
        <w:rPr>
          <w:lang w:val="en-GB"/>
        </w:rPr>
        <w:t xml:space="preserve">, </w:t>
      </w:r>
      <w:r w:rsidRPr="3AB19FD3">
        <w:rPr>
          <w:i/>
          <w:iCs/>
          <w:lang w:val="en-GB"/>
        </w:rPr>
        <w:t>Dictyocaulus</w:t>
      </w:r>
      <w:r w:rsidRPr="3AB19FD3">
        <w:rPr>
          <w:lang w:val="en-GB"/>
        </w:rPr>
        <w:t>, cattle, sheep, goat, resistance, food security, anthelmintics.</w:t>
      </w:r>
      <w:r w:rsidR="00E9319B" w:rsidRPr="3AB19FD3">
        <w:rPr>
          <w:lang w:val="en-GB"/>
        </w:rPr>
        <w:br w:type="page"/>
      </w:r>
    </w:p>
    <w:p w14:paraId="0D4BEA5B" w14:textId="7BCABC4A" w:rsidR="00E9319B" w:rsidRPr="00FB5FFA" w:rsidRDefault="00E9319B" w:rsidP="00FB5FFA">
      <w:pPr>
        <w:pStyle w:val="Heading1"/>
        <w:numPr>
          <w:ilvl w:val="0"/>
          <w:numId w:val="15"/>
        </w:numPr>
        <w:spacing w:line="480" w:lineRule="auto"/>
      </w:pPr>
      <w:r w:rsidRPr="00FB5FFA">
        <w:lastRenderedPageBreak/>
        <w:t>Introduction</w:t>
      </w:r>
    </w:p>
    <w:p w14:paraId="346A510B" w14:textId="32FEFB40" w:rsidR="00E9319B" w:rsidRPr="005F73F7" w:rsidRDefault="310D4388" w:rsidP="00FB5FFA">
      <w:pPr>
        <w:autoSpaceDE w:val="0"/>
        <w:autoSpaceDN w:val="0"/>
        <w:adjustRightInd w:val="0"/>
        <w:spacing w:after="0" w:line="480" w:lineRule="auto"/>
        <w:jc w:val="both"/>
        <w:rPr>
          <w:lang w:val="en-GB"/>
        </w:rPr>
      </w:pPr>
      <w:r w:rsidRPr="310D4388">
        <w:rPr>
          <w:lang w:val="en-GB"/>
        </w:rPr>
        <w:t xml:space="preserve">Helminth infections of grazing ruminants represent a wide array of parasitic genera and species, but those of highest economic importance in Europe are the gastrointestinal nematodes (mainly </w:t>
      </w:r>
      <w:r w:rsidRPr="310D4388">
        <w:rPr>
          <w:i/>
          <w:iCs/>
          <w:lang w:val="en-GB"/>
        </w:rPr>
        <w:t>Ostertagia ostertagi</w:t>
      </w:r>
      <w:r w:rsidRPr="310D4388">
        <w:rPr>
          <w:lang w:val="en-GB"/>
        </w:rPr>
        <w:t xml:space="preserve">, </w:t>
      </w:r>
      <w:r w:rsidRPr="310D4388">
        <w:rPr>
          <w:i/>
          <w:iCs/>
          <w:lang w:val="en-GB"/>
        </w:rPr>
        <w:t>Cooperia oncophora</w:t>
      </w:r>
      <w:r w:rsidRPr="310D4388">
        <w:rPr>
          <w:lang w:val="en-GB"/>
        </w:rPr>
        <w:t xml:space="preserve">, </w:t>
      </w:r>
      <w:r w:rsidRPr="310D4388">
        <w:rPr>
          <w:i/>
          <w:iCs/>
          <w:lang w:val="en-GB"/>
        </w:rPr>
        <w:t>Teladorsagia circumcincta</w:t>
      </w:r>
      <w:r w:rsidRPr="310D4388">
        <w:rPr>
          <w:lang w:val="en-GB"/>
        </w:rPr>
        <w:t xml:space="preserve">, </w:t>
      </w:r>
      <w:r w:rsidRPr="310D4388">
        <w:rPr>
          <w:i/>
          <w:iCs/>
          <w:lang w:val="en-GB"/>
        </w:rPr>
        <w:t xml:space="preserve">Haemonchus contortus </w:t>
      </w:r>
      <w:r w:rsidRPr="310D4388">
        <w:rPr>
          <w:lang w:val="en-GB"/>
        </w:rPr>
        <w:t>and</w:t>
      </w:r>
      <w:r w:rsidRPr="310D4388">
        <w:rPr>
          <w:i/>
          <w:iCs/>
          <w:lang w:val="en-GB"/>
        </w:rPr>
        <w:t xml:space="preserve"> Trichostrongylus </w:t>
      </w:r>
      <w:r w:rsidRPr="310D4388">
        <w:rPr>
          <w:lang w:val="en-GB"/>
        </w:rPr>
        <w:t>spp.), the common liver fluke (</w:t>
      </w:r>
      <w:r w:rsidRPr="310D4388">
        <w:rPr>
          <w:i/>
          <w:iCs/>
          <w:lang w:val="en-GB"/>
        </w:rPr>
        <w:t>Fasciola hepatica</w:t>
      </w:r>
      <w:r w:rsidRPr="310D4388">
        <w:rPr>
          <w:lang w:val="en-GB"/>
        </w:rPr>
        <w:t>) and the bovine lungworm (</w:t>
      </w:r>
      <w:r w:rsidRPr="310D4388">
        <w:rPr>
          <w:i/>
          <w:iCs/>
          <w:lang w:val="en-GB"/>
        </w:rPr>
        <w:t>Dictyocaulus viviparus</w:t>
      </w:r>
      <w:r w:rsidRPr="310D4388">
        <w:rPr>
          <w:lang w:val="en-GB"/>
        </w:rPr>
        <w:t xml:space="preserve">; </w:t>
      </w:r>
      <w:r w:rsidRPr="310D4388">
        <w:rPr>
          <w:noProof/>
          <w:lang w:val="en-GB"/>
        </w:rPr>
        <w:t>Charlier et al., 2014)</w:t>
      </w:r>
      <w:r w:rsidRPr="310D4388">
        <w:rPr>
          <w:lang w:val="en-GB"/>
        </w:rPr>
        <w:t xml:space="preserve">. These </w:t>
      </w:r>
      <w:r w:rsidRPr="310D4388">
        <w:rPr>
          <w:rFonts w:eastAsia="Times New Roman"/>
          <w:lang w:val="en-GB"/>
        </w:rPr>
        <w:t xml:space="preserve">infections are an important constraint on efficient ruminant livestock production in Europe and globally.  </w:t>
      </w:r>
      <w:r w:rsidRPr="310D4388">
        <w:rPr>
          <w:lang w:val="en-GB"/>
        </w:rPr>
        <w:t xml:space="preserve">All farmed ruminant populations with outdoor access are exposed to these parasites that can negatively impact on feed intake, growth, mortality rates, carcass weight &amp; composition, wool growth, fertility, and milk yield </w:t>
      </w:r>
      <w:r w:rsidRPr="310D4388">
        <w:rPr>
          <w:noProof/>
          <w:lang w:val="en-GB"/>
        </w:rPr>
        <w:t>(Fitzpatrick, 2013)</w:t>
      </w:r>
      <w:r w:rsidRPr="310D4388">
        <w:rPr>
          <w:lang w:val="en-GB"/>
        </w:rPr>
        <w:t xml:space="preserve">. The efficient management and control of helminth infections, therefore has a crucial role to play in increasing livestock production from a shrinking natural resource base, to meet the demands of a growing and nutritionally more demanding world population </w:t>
      </w:r>
      <w:r w:rsidRPr="310D4388">
        <w:rPr>
          <w:noProof/>
          <w:lang w:val="en-GB"/>
        </w:rPr>
        <w:t>(Vercruysse et al., 2018)</w:t>
      </w:r>
      <w:r w:rsidRPr="310D4388">
        <w:rPr>
          <w:lang w:val="en-GB"/>
        </w:rPr>
        <w:t xml:space="preserve">. </w:t>
      </w:r>
    </w:p>
    <w:p w14:paraId="6DB3ECC0" w14:textId="6DB5F171" w:rsidR="00E9319B" w:rsidRPr="005F73F7" w:rsidRDefault="00E9319B" w:rsidP="00CF6817">
      <w:pPr>
        <w:autoSpaceDE w:val="0"/>
        <w:autoSpaceDN w:val="0"/>
        <w:adjustRightInd w:val="0"/>
        <w:spacing w:after="0" w:line="480" w:lineRule="auto"/>
        <w:jc w:val="both"/>
        <w:rPr>
          <w:rFonts w:cstheme="minorHAnsi"/>
          <w:lang w:val="en-GB"/>
        </w:rPr>
      </w:pPr>
      <w:r w:rsidRPr="005F73F7">
        <w:rPr>
          <w:rFonts w:cstheme="minorHAnsi"/>
          <w:lang w:val="en-GB"/>
        </w:rPr>
        <w:t xml:space="preserve">Because </w:t>
      </w:r>
      <w:r w:rsidR="00380260">
        <w:rPr>
          <w:rFonts w:cstheme="minorHAnsi"/>
          <w:lang w:val="en-GB"/>
        </w:rPr>
        <w:t xml:space="preserve">livestock </w:t>
      </w:r>
      <w:r w:rsidRPr="005F73F7">
        <w:rPr>
          <w:rFonts w:cstheme="minorHAnsi"/>
          <w:lang w:val="en-GB"/>
        </w:rPr>
        <w:t xml:space="preserve">helminth infections </w:t>
      </w:r>
      <w:r w:rsidR="00AA75F8">
        <w:rPr>
          <w:rFonts w:cstheme="minorHAnsi"/>
          <w:lang w:val="en-GB"/>
        </w:rPr>
        <w:t xml:space="preserve">are ubiquitous, and </w:t>
      </w:r>
      <w:r w:rsidRPr="005F73F7">
        <w:rPr>
          <w:rFonts w:cstheme="minorHAnsi"/>
          <w:lang w:val="en-GB"/>
        </w:rPr>
        <w:t xml:space="preserve">have no </w:t>
      </w:r>
      <w:r w:rsidR="000E1936">
        <w:rPr>
          <w:rFonts w:cstheme="minorHAnsi"/>
          <w:lang w:val="en-GB"/>
        </w:rPr>
        <w:t xml:space="preserve">major </w:t>
      </w:r>
      <w:r w:rsidR="00AA75F8">
        <w:rPr>
          <w:rFonts w:cstheme="minorHAnsi"/>
          <w:lang w:val="en-GB"/>
        </w:rPr>
        <w:t>regulatory</w:t>
      </w:r>
      <w:r w:rsidRPr="005F73F7">
        <w:rPr>
          <w:rFonts w:cstheme="minorHAnsi"/>
          <w:lang w:val="en-GB"/>
        </w:rPr>
        <w:t xml:space="preserve"> or trade implications, their control has largely remained the responsibility of the farmer</w:t>
      </w:r>
      <w:r w:rsidR="00961BFB">
        <w:rPr>
          <w:rFonts w:cstheme="minorHAnsi"/>
          <w:lang w:val="en-GB"/>
        </w:rPr>
        <w:t xml:space="preserve"> and his</w:t>
      </w:r>
      <w:r w:rsidR="00187CC9">
        <w:rPr>
          <w:rFonts w:cstheme="minorHAnsi"/>
          <w:lang w:val="en-GB"/>
        </w:rPr>
        <w:t>/her</w:t>
      </w:r>
      <w:r w:rsidR="00961BFB">
        <w:rPr>
          <w:rFonts w:cstheme="minorHAnsi"/>
          <w:lang w:val="en-GB"/>
        </w:rPr>
        <w:t xml:space="preserve"> veterinarian</w:t>
      </w:r>
      <w:r w:rsidRPr="005F73F7">
        <w:rPr>
          <w:rFonts w:cstheme="minorHAnsi"/>
          <w:lang w:val="en-GB"/>
        </w:rPr>
        <w:t>. Current control</w:t>
      </w:r>
      <w:r w:rsidR="008F2EF1">
        <w:rPr>
          <w:rFonts w:cstheme="minorHAnsi"/>
          <w:lang w:val="en-GB"/>
        </w:rPr>
        <w:t>,</w:t>
      </w:r>
      <w:r w:rsidRPr="005F73F7">
        <w:rPr>
          <w:rFonts w:cstheme="minorHAnsi"/>
          <w:lang w:val="en-GB"/>
        </w:rPr>
        <w:t xml:space="preserve"> </w:t>
      </w:r>
      <w:r w:rsidR="008F2EF1">
        <w:rPr>
          <w:rFonts w:cstheme="minorHAnsi"/>
          <w:lang w:val="en-GB"/>
        </w:rPr>
        <w:t>largely based on the administration of anthelmintic</w:t>
      </w:r>
      <w:r w:rsidR="00AA75F8">
        <w:rPr>
          <w:rFonts w:cstheme="minorHAnsi"/>
          <w:lang w:val="en-GB"/>
        </w:rPr>
        <w:t xml:space="preserve"> drugs</w:t>
      </w:r>
      <w:r w:rsidR="008F2EF1">
        <w:rPr>
          <w:rFonts w:cstheme="minorHAnsi"/>
          <w:lang w:val="en-GB"/>
        </w:rPr>
        <w:t xml:space="preserve">, </w:t>
      </w:r>
      <w:r w:rsidRPr="005F73F7">
        <w:rPr>
          <w:rFonts w:cstheme="minorHAnsi"/>
          <w:lang w:val="en-GB"/>
        </w:rPr>
        <w:t xml:space="preserve">however is threatened by continuing </w:t>
      </w:r>
      <w:r w:rsidR="00846DD0">
        <w:rPr>
          <w:rFonts w:cstheme="minorHAnsi"/>
          <w:lang w:val="en-GB"/>
        </w:rPr>
        <w:t xml:space="preserve">development and </w:t>
      </w:r>
      <w:r w:rsidRPr="005F73F7">
        <w:rPr>
          <w:rFonts w:cstheme="minorHAnsi"/>
          <w:lang w:val="en-GB"/>
        </w:rPr>
        <w:t xml:space="preserve">spread of helminth populations that have become resistant </w:t>
      </w:r>
      <w:r w:rsidR="00187CC9">
        <w:rPr>
          <w:rFonts w:cstheme="minorHAnsi"/>
          <w:lang w:val="en-GB"/>
        </w:rPr>
        <w:t>to</w:t>
      </w:r>
      <w:r w:rsidRPr="005F73F7">
        <w:rPr>
          <w:rFonts w:cstheme="minorHAnsi"/>
          <w:lang w:val="en-GB"/>
        </w:rPr>
        <w:t xml:space="preserve"> </w:t>
      </w:r>
      <w:r w:rsidR="008F2EF1">
        <w:rPr>
          <w:rFonts w:cstheme="minorHAnsi"/>
          <w:lang w:val="en-GB"/>
        </w:rPr>
        <w:t>these products</w:t>
      </w:r>
      <w:r w:rsidRPr="005F73F7">
        <w:rPr>
          <w:rFonts w:cstheme="minorHAnsi"/>
          <w:lang w:val="en-GB"/>
        </w:rPr>
        <w:t xml:space="preserve"> </w:t>
      </w:r>
      <w:r w:rsidRPr="005F73F7">
        <w:rPr>
          <w:rFonts w:cstheme="minorHAnsi"/>
          <w:noProof/>
          <w:lang w:val="en-GB"/>
        </w:rPr>
        <w:t>(</w:t>
      </w:r>
      <w:r w:rsidR="00381140">
        <w:rPr>
          <w:rFonts w:cstheme="minorHAnsi"/>
          <w:noProof/>
          <w:lang w:val="en-GB"/>
        </w:rPr>
        <w:t xml:space="preserve">Sutherland and Leatwick, 2011; </w:t>
      </w:r>
      <w:r w:rsidR="00187CC9">
        <w:rPr>
          <w:rFonts w:cstheme="minorHAnsi"/>
          <w:noProof/>
          <w:lang w:val="en-GB"/>
        </w:rPr>
        <w:t>Sangster et al., 2018</w:t>
      </w:r>
      <w:r w:rsidRPr="005F73F7">
        <w:rPr>
          <w:rFonts w:cstheme="minorHAnsi"/>
          <w:noProof/>
          <w:lang w:val="en-GB"/>
        </w:rPr>
        <w:t>)</w:t>
      </w:r>
      <w:r w:rsidRPr="005F73F7">
        <w:rPr>
          <w:rFonts w:cstheme="minorHAnsi"/>
          <w:lang w:val="en-GB"/>
        </w:rPr>
        <w:t>.  Today, scientific opinion</w:t>
      </w:r>
      <w:r w:rsidR="00187CC9">
        <w:rPr>
          <w:rFonts w:cstheme="minorHAnsi"/>
          <w:lang w:val="en-GB"/>
        </w:rPr>
        <w:t xml:space="preserve"> supports </w:t>
      </w:r>
      <w:r w:rsidRPr="005F73F7">
        <w:rPr>
          <w:rFonts w:cstheme="minorHAnsi"/>
          <w:lang w:val="en-GB"/>
        </w:rPr>
        <w:t>concerted action and more policy-driven intervention. These</w:t>
      </w:r>
      <w:r w:rsidR="00187CC9">
        <w:rPr>
          <w:rFonts w:cstheme="minorHAnsi"/>
          <w:lang w:val="en-GB"/>
        </w:rPr>
        <w:t xml:space="preserve"> actions</w:t>
      </w:r>
      <w:r w:rsidRPr="005F73F7">
        <w:rPr>
          <w:rFonts w:cstheme="minorHAnsi"/>
          <w:lang w:val="en-GB"/>
        </w:rPr>
        <w:t xml:space="preserve"> could be warranted to (i) promote “best practice” parasite management programmes and reduce the indiscriminate use of anthelmintics at the expense of veterinary consultation and the use of diagnostics to inform anthelmintic treatment decisions </w:t>
      </w:r>
      <w:r w:rsidRPr="005F73F7">
        <w:rPr>
          <w:rFonts w:cstheme="minorHAnsi"/>
          <w:noProof/>
          <w:lang w:val="en-GB"/>
        </w:rPr>
        <w:t>(Charlier et al., 2018; Easton et al., 2018)</w:t>
      </w:r>
      <w:r w:rsidRPr="005F73F7">
        <w:rPr>
          <w:rFonts w:cstheme="minorHAnsi"/>
          <w:lang w:val="en-GB"/>
        </w:rPr>
        <w:t xml:space="preserve"> and (ii) target research and innovation programmes for solutions to combat anthelmintic resistance (AR) </w:t>
      </w:r>
      <w:r w:rsidRPr="005F73F7">
        <w:rPr>
          <w:rFonts w:cstheme="minorHAnsi"/>
          <w:noProof/>
          <w:lang w:val="en-GB"/>
        </w:rPr>
        <w:t>(Morgan et al., 2019)</w:t>
      </w:r>
      <w:r w:rsidRPr="005F73F7">
        <w:rPr>
          <w:rFonts w:cstheme="minorHAnsi"/>
          <w:lang w:val="en-GB"/>
        </w:rPr>
        <w:t xml:space="preserve">. While the first action may slow down the </w:t>
      </w:r>
      <w:r w:rsidR="008F2EF1">
        <w:rPr>
          <w:rFonts w:cstheme="minorHAnsi"/>
          <w:lang w:val="en-GB"/>
        </w:rPr>
        <w:t xml:space="preserve">development and </w:t>
      </w:r>
      <w:r w:rsidRPr="005F73F7">
        <w:rPr>
          <w:rFonts w:cstheme="minorHAnsi"/>
          <w:lang w:val="en-GB"/>
        </w:rPr>
        <w:t xml:space="preserve">spread </w:t>
      </w:r>
      <w:r w:rsidR="008F2EF1">
        <w:rPr>
          <w:rFonts w:cstheme="minorHAnsi"/>
          <w:lang w:val="en-GB"/>
        </w:rPr>
        <w:t xml:space="preserve">of </w:t>
      </w:r>
      <w:r w:rsidRPr="005F73F7">
        <w:rPr>
          <w:rFonts w:cstheme="minorHAnsi"/>
          <w:lang w:val="en-GB"/>
        </w:rPr>
        <w:t xml:space="preserve">AR, the second action </w:t>
      </w:r>
      <w:r w:rsidR="008F2EF1">
        <w:rPr>
          <w:rFonts w:cstheme="minorHAnsi"/>
          <w:lang w:val="en-GB"/>
        </w:rPr>
        <w:t>c</w:t>
      </w:r>
      <w:r w:rsidRPr="005F73F7">
        <w:rPr>
          <w:rFonts w:cstheme="minorHAnsi"/>
          <w:lang w:val="en-GB"/>
        </w:rPr>
        <w:t xml:space="preserve">ould deliver vaccines, improved diagnostics and complementary control methods to secure the effective </w:t>
      </w:r>
      <w:r w:rsidR="00170730">
        <w:rPr>
          <w:rFonts w:cstheme="minorHAnsi"/>
          <w:lang w:val="en-GB"/>
        </w:rPr>
        <w:t>manag</w:t>
      </w:r>
      <w:r w:rsidR="00AA75F8">
        <w:rPr>
          <w:rFonts w:cstheme="minorHAnsi"/>
          <w:lang w:val="en-GB"/>
        </w:rPr>
        <w:t>ement</w:t>
      </w:r>
      <w:r w:rsidR="00170730" w:rsidRPr="005F73F7">
        <w:rPr>
          <w:rFonts w:cstheme="minorHAnsi"/>
          <w:lang w:val="en-GB"/>
        </w:rPr>
        <w:t xml:space="preserve"> </w:t>
      </w:r>
      <w:r w:rsidRPr="005F73F7">
        <w:rPr>
          <w:rFonts w:cstheme="minorHAnsi"/>
          <w:lang w:val="en-GB"/>
        </w:rPr>
        <w:t xml:space="preserve">of production-limiting helminth infections in the future </w:t>
      </w:r>
      <w:r w:rsidRPr="005F73F7">
        <w:rPr>
          <w:rFonts w:cstheme="minorHAnsi"/>
          <w:noProof/>
          <w:lang w:val="en-GB"/>
        </w:rPr>
        <w:t>(Jackson and Miller, 2006)</w:t>
      </w:r>
      <w:r w:rsidRPr="005F73F7">
        <w:rPr>
          <w:rFonts w:cstheme="minorHAnsi"/>
          <w:lang w:val="en-GB"/>
        </w:rPr>
        <w:t xml:space="preserve">. However, improved policy and planning requires more insights into the economic impacts of </w:t>
      </w:r>
      <w:r w:rsidRPr="005F73F7">
        <w:rPr>
          <w:rFonts w:cstheme="minorHAnsi"/>
          <w:lang w:val="en-GB"/>
        </w:rPr>
        <w:lastRenderedPageBreak/>
        <w:t>helminth infections and AR</w:t>
      </w:r>
      <w:r w:rsidR="00771E12">
        <w:rPr>
          <w:rFonts w:cstheme="minorHAnsi"/>
          <w:lang w:val="en-GB"/>
        </w:rPr>
        <w:t>,</w:t>
      </w:r>
      <w:r w:rsidRPr="005F73F7">
        <w:rPr>
          <w:rFonts w:cstheme="minorHAnsi"/>
          <w:lang w:val="en-GB"/>
        </w:rPr>
        <w:t xml:space="preserve"> and monitoring mechanisms to verify the impact of concerted actions at </w:t>
      </w:r>
      <w:r w:rsidR="00722502">
        <w:rPr>
          <w:rFonts w:cstheme="minorHAnsi"/>
          <w:lang w:val="en-GB"/>
        </w:rPr>
        <w:t xml:space="preserve">a </w:t>
      </w:r>
      <w:r w:rsidRPr="005F73F7">
        <w:rPr>
          <w:rFonts w:cstheme="minorHAnsi"/>
          <w:lang w:val="en-GB"/>
        </w:rPr>
        <w:t xml:space="preserve">national and European level. Current studies towards the economic impact of helminth infections are scarce and have mostly been restricted to a limited number of helminth species, host species, production systems and a narrow geographical context (e.g. </w:t>
      </w:r>
      <w:r w:rsidRPr="005F73F7">
        <w:rPr>
          <w:rFonts w:cstheme="minorHAnsi"/>
          <w:noProof/>
          <w:lang w:val="en-GB"/>
        </w:rPr>
        <w:t>Bennett and I</w:t>
      </w:r>
      <w:r w:rsidR="00815F8B">
        <w:rPr>
          <w:rFonts w:cstheme="minorHAnsi"/>
          <w:noProof/>
          <w:lang w:val="en-GB"/>
        </w:rPr>
        <w:t>J</w:t>
      </w:r>
      <w:r w:rsidRPr="005F73F7">
        <w:rPr>
          <w:rFonts w:cstheme="minorHAnsi"/>
          <w:noProof/>
          <w:lang w:val="en-GB"/>
        </w:rPr>
        <w:t>pelaar, 2005; Schweizer et al., 2005; Charlier et al., 2009; Mavrot, 2016)</w:t>
      </w:r>
      <w:r w:rsidRPr="005F73F7">
        <w:rPr>
          <w:rFonts w:cstheme="minorHAnsi"/>
          <w:lang w:val="en-GB"/>
        </w:rPr>
        <w:t xml:space="preserve">. Other models are applicable at the farm level only (see </w:t>
      </w:r>
      <w:r>
        <w:rPr>
          <w:rFonts w:cstheme="minorHAnsi"/>
          <w:noProof/>
          <w:lang w:val="en-GB"/>
        </w:rPr>
        <w:t>Charlier et al., 2016a</w:t>
      </w:r>
      <w:r w:rsidRPr="005F73F7">
        <w:rPr>
          <w:rFonts w:cstheme="minorHAnsi"/>
          <w:lang w:val="en-GB"/>
        </w:rPr>
        <w:t xml:space="preserve"> for a review).</w:t>
      </w:r>
      <w:r w:rsidR="006D3380">
        <w:rPr>
          <w:rFonts w:cstheme="minorHAnsi"/>
          <w:lang w:val="en-GB"/>
        </w:rPr>
        <w:t xml:space="preserve"> </w:t>
      </w:r>
      <w:r w:rsidRPr="005F73F7">
        <w:rPr>
          <w:rFonts w:cstheme="minorHAnsi"/>
          <w:lang w:val="en-GB"/>
        </w:rPr>
        <w:t xml:space="preserve"> </w:t>
      </w:r>
      <w:r w:rsidRPr="005F73F7">
        <w:rPr>
          <w:rFonts w:cstheme="minorHAnsi"/>
          <w:noProof/>
          <w:lang w:val="en-GB"/>
        </w:rPr>
        <w:t xml:space="preserve">Mavrot </w:t>
      </w:r>
      <w:r w:rsidR="00A50244">
        <w:rPr>
          <w:rFonts w:cstheme="minorHAnsi"/>
          <w:noProof/>
          <w:lang w:val="en-GB"/>
        </w:rPr>
        <w:t>(</w:t>
      </w:r>
      <w:r w:rsidRPr="005F73F7">
        <w:rPr>
          <w:rFonts w:cstheme="minorHAnsi"/>
          <w:noProof/>
          <w:lang w:val="en-GB"/>
        </w:rPr>
        <w:t>2016</w:t>
      </w:r>
      <w:r w:rsidR="00A50244">
        <w:rPr>
          <w:rFonts w:cstheme="minorHAnsi"/>
          <w:noProof/>
          <w:lang w:val="en-GB"/>
        </w:rPr>
        <w:t>)</w:t>
      </w:r>
      <w:r w:rsidRPr="005F73F7">
        <w:rPr>
          <w:rFonts w:cstheme="minorHAnsi"/>
          <w:lang w:val="en-GB"/>
        </w:rPr>
        <w:t xml:space="preserve"> provided the first estimate of losses at the European level, but</w:t>
      </w:r>
      <w:r w:rsidR="00AA75F8">
        <w:rPr>
          <w:rFonts w:cstheme="minorHAnsi"/>
          <w:lang w:val="en-GB"/>
        </w:rPr>
        <w:t xml:space="preserve"> </w:t>
      </w:r>
      <w:r w:rsidRPr="005F73F7">
        <w:rPr>
          <w:rFonts w:cstheme="minorHAnsi"/>
          <w:lang w:val="en-GB"/>
        </w:rPr>
        <w:t xml:space="preserve">considered only gastrointestinal nematode (GIN) infections in </w:t>
      </w:r>
      <w:r w:rsidR="000E1936">
        <w:rPr>
          <w:rFonts w:cstheme="minorHAnsi"/>
          <w:lang w:val="en-GB"/>
        </w:rPr>
        <w:t xml:space="preserve">the </w:t>
      </w:r>
      <w:r w:rsidRPr="005F73F7">
        <w:rPr>
          <w:rFonts w:cstheme="minorHAnsi"/>
          <w:lang w:val="en-GB"/>
        </w:rPr>
        <w:t>dairy cattle and sheep meat industr</w:t>
      </w:r>
      <w:r w:rsidR="000E1936">
        <w:rPr>
          <w:rFonts w:cstheme="minorHAnsi"/>
          <w:lang w:val="en-GB"/>
        </w:rPr>
        <w:t>ies</w:t>
      </w:r>
      <w:r w:rsidRPr="005F73F7">
        <w:rPr>
          <w:rFonts w:cstheme="minorHAnsi"/>
          <w:lang w:val="en-GB"/>
        </w:rPr>
        <w:t xml:space="preserve">, where most data are available. Here we report the results of the </w:t>
      </w:r>
      <w:r w:rsidR="00187CC9">
        <w:rPr>
          <w:rFonts w:cstheme="minorHAnsi"/>
          <w:lang w:val="en-GB"/>
        </w:rPr>
        <w:t>W</w:t>
      </w:r>
      <w:r w:rsidRPr="005F73F7">
        <w:rPr>
          <w:rFonts w:cstheme="minorHAnsi"/>
          <w:lang w:val="en-GB"/>
        </w:rPr>
        <w:t xml:space="preserve">orking </w:t>
      </w:r>
      <w:r w:rsidR="00187CC9">
        <w:rPr>
          <w:rFonts w:cstheme="minorHAnsi"/>
          <w:lang w:val="en-GB"/>
        </w:rPr>
        <w:t>G</w:t>
      </w:r>
      <w:r w:rsidRPr="005F73F7">
        <w:rPr>
          <w:rFonts w:cstheme="minorHAnsi"/>
          <w:lang w:val="en-GB"/>
        </w:rPr>
        <w:t xml:space="preserve">roup that was </w:t>
      </w:r>
      <w:r w:rsidR="008B0F0C">
        <w:rPr>
          <w:rFonts w:cstheme="minorHAnsi"/>
          <w:lang w:val="en-GB"/>
        </w:rPr>
        <w:t xml:space="preserve">established </w:t>
      </w:r>
      <w:r w:rsidRPr="005F73F7">
        <w:rPr>
          <w:rFonts w:cstheme="minorHAnsi"/>
          <w:lang w:val="en-GB"/>
        </w:rPr>
        <w:t xml:space="preserve">in the framework of the </w:t>
      </w:r>
      <w:r w:rsidR="00170730">
        <w:rPr>
          <w:rFonts w:cstheme="minorHAnsi"/>
          <w:lang w:val="en-GB"/>
        </w:rPr>
        <w:t xml:space="preserve">European </w:t>
      </w:r>
      <w:r w:rsidRPr="005F73F7">
        <w:rPr>
          <w:rFonts w:cstheme="minorHAnsi"/>
          <w:lang w:val="en-GB"/>
        </w:rPr>
        <w:t xml:space="preserve">COST Action “COMBAR – COMBatting Anthelmintic Resistance in </w:t>
      </w:r>
      <w:r w:rsidR="000178A5">
        <w:rPr>
          <w:rFonts w:cstheme="minorHAnsi"/>
          <w:lang w:val="en-GB"/>
        </w:rPr>
        <w:t>R</w:t>
      </w:r>
      <w:r w:rsidRPr="005F73F7">
        <w:rPr>
          <w:rFonts w:cstheme="minorHAnsi"/>
          <w:lang w:val="en-GB"/>
        </w:rPr>
        <w:t xml:space="preserve">uminants”, to identify and collate epidemiologic and economic information </w:t>
      </w:r>
      <w:r w:rsidR="000E1936">
        <w:rPr>
          <w:rFonts w:cstheme="minorHAnsi"/>
          <w:lang w:val="en-GB"/>
        </w:rPr>
        <w:t>from</w:t>
      </w:r>
      <w:r w:rsidR="000E1936" w:rsidRPr="005F73F7">
        <w:rPr>
          <w:rFonts w:cstheme="minorHAnsi"/>
          <w:lang w:val="en-GB"/>
        </w:rPr>
        <w:t xml:space="preserve"> </w:t>
      </w:r>
      <w:r w:rsidRPr="005F73F7">
        <w:rPr>
          <w:rFonts w:cstheme="minorHAnsi"/>
          <w:lang w:val="en-GB"/>
        </w:rPr>
        <w:t>18 COST Member or Near Neighbour Countries. The overall aim was to estimate the economic burden to the European ruminant livestock industry with a common approach that allows</w:t>
      </w:r>
      <w:r w:rsidR="003D126A">
        <w:rPr>
          <w:rFonts w:cstheme="minorHAnsi"/>
          <w:lang w:val="en-GB"/>
        </w:rPr>
        <w:t xml:space="preserve"> </w:t>
      </w:r>
      <w:r w:rsidRPr="005F73F7">
        <w:rPr>
          <w:rFonts w:cstheme="minorHAnsi"/>
          <w:lang w:val="en-GB"/>
        </w:rPr>
        <w:t>comparisons</w:t>
      </w:r>
      <w:r w:rsidR="003D126A">
        <w:rPr>
          <w:rFonts w:cstheme="minorHAnsi"/>
          <w:lang w:val="en-GB"/>
        </w:rPr>
        <w:t xml:space="preserve"> to be made</w:t>
      </w:r>
      <w:r w:rsidRPr="005F73F7">
        <w:rPr>
          <w:rFonts w:cstheme="minorHAnsi"/>
          <w:lang w:val="en-GB"/>
        </w:rPr>
        <w:t xml:space="preserve"> between countries</w:t>
      </w:r>
      <w:r w:rsidR="00AA75F8">
        <w:rPr>
          <w:rFonts w:cstheme="minorHAnsi"/>
          <w:lang w:val="en-GB"/>
        </w:rPr>
        <w:t>,</w:t>
      </w:r>
      <w:r w:rsidRPr="005F73F7">
        <w:rPr>
          <w:rFonts w:cstheme="minorHAnsi"/>
          <w:lang w:val="en-GB"/>
        </w:rPr>
        <w:t xml:space="preserve"> between different helminth species</w:t>
      </w:r>
      <w:r w:rsidR="00AA75F8">
        <w:rPr>
          <w:rFonts w:cstheme="minorHAnsi"/>
          <w:lang w:val="en-GB"/>
        </w:rPr>
        <w:t>, and over time</w:t>
      </w:r>
      <w:r w:rsidRPr="005F73F7">
        <w:rPr>
          <w:rFonts w:cstheme="minorHAnsi"/>
          <w:lang w:val="en-GB"/>
        </w:rPr>
        <w:t xml:space="preserve">. The specific objectives were to (1) identify data gaps for economic assessment of helminth infections; (2) use the available data to estimate the costs of helminth infections and AR in </w:t>
      </w:r>
      <w:r w:rsidR="00E53537">
        <w:rPr>
          <w:rFonts w:cstheme="minorHAnsi"/>
          <w:lang w:val="en-GB"/>
        </w:rPr>
        <w:t xml:space="preserve">a </w:t>
      </w:r>
      <w:r w:rsidR="00AA75F8">
        <w:rPr>
          <w:rFonts w:cstheme="minorHAnsi"/>
          <w:lang w:val="en-GB"/>
        </w:rPr>
        <w:t xml:space="preserve">representative </w:t>
      </w:r>
      <w:r w:rsidR="00E53537">
        <w:rPr>
          <w:rFonts w:cstheme="minorHAnsi"/>
          <w:lang w:val="en-GB"/>
        </w:rPr>
        <w:t xml:space="preserve">range </w:t>
      </w:r>
      <w:r w:rsidR="006D52AC">
        <w:rPr>
          <w:rFonts w:cstheme="minorHAnsi"/>
          <w:lang w:val="en-GB"/>
        </w:rPr>
        <w:t xml:space="preserve">of </w:t>
      </w:r>
      <w:r w:rsidR="000178A5">
        <w:rPr>
          <w:rFonts w:cstheme="minorHAnsi"/>
          <w:lang w:val="en-GB"/>
        </w:rPr>
        <w:t>European</w:t>
      </w:r>
      <w:r w:rsidR="000178A5" w:rsidRPr="005F73F7">
        <w:rPr>
          <w:rFonts w:cstheme="minorHAnsi"/>
          <w:lang w:val="en-GB"/>
        </w:rPr>
        <w:t xml:space="preserve"> </w:t>
      </w:r>
      <w:r w:rsidRPr="005F73F7">
        <w:rPr>
          <w:rFonts w:cstheme="minorHAnsi"/>
          <w:lang w:val="en-GB"/>
        </w:rPr>
        <w:t>countries and (3) compare the estimated costs of the infections with public research and control budgets in</w:t>
      </w:r>
      <w:r w:rsidR="00187CC9">
        <w:rPr>
          <w:rFonts w:cstheme="minorHAnsi"/>
          <w:lang w:val="en-GB"/>
        </w:rPr>
        <w:t xml:space="preserve"> these countries, insofar as they are available.</w:t>
      </w:r>
      <w:r w:rsidRPr="005F73F7">
        <w:rPr>
          <w:rFonts w:cstheme="minorHAnsi"/>
          <w:lang w:val="en-GB"/>
        </w:rPr>
        <w:t xml:space="preserve"> We discuss how </w:t>
      </w:r>
      <w:r w:rsidR="00187CC9">
        <w:rPr>
          <w:rFonts w:cstheme="minorHAnsi"/>
          <w:lang w:val="en-GB"/>
        </w:rPr>
        <w:t>this framework could</w:t>
      </w:r>
      <w:r w:rsidRPr="005F73F7">
        <w:rPr>
          <w:rFonts w:cstheme="minorHAnsi"/>
          <w:lang w:val="en-GB"/>
        </w:rPr>
        <w:t xml:space="preserve"> improve decision making and planning for managing the negative impacts of helminth infections and AR in </w:t>
      </w:r>
      <w:r w:rsidR="00187CC9">
        <w:rPr>
          <w:rFonts w:cstheme="minorHAnsi"/>
          <w:lang w:val="en-GB"/>
        </w:rPr>
        <w:t>ruminant livestock industries</w:t>
      </w:r>
      <w:r w:rsidR="00170730">
        <w:rPr>
          <w:rFonts w:cstheme="minorHAnsi"/>
          <w:lang w:val="en-GB"/>
        </w:rPr>
        <w:t xml:space="preserve"> in </w:t>
      </w:r>
      <w:r w:rsidRPr="005F73F7">
        <w:rPr>
          <w:rFonts w:cstheme="minorHAnsi"/>
          <w:lang w:val="en-GB"/>
        </w:rPr>
        <w:t xml:space="preserve">Europe. </w:t>
      </w:r>
    </w:p>
    <w:p w14:paraId="338EA3CB" w14:textId="19A0E2EE" w:rsidR="00E9319B" w:rsidRPr="00E75B51" w:rsidRDefault="00E9319B" w:rsidP="00CF6817">
      <w:pPr>
        <w:pStyle w:val="Heading1"/>
        <w:numPr>
          <w:ilvl w:val="0"/>
          <w:numId w:val="1"/>
        </w:numPr>
        <w:spacing w:line="480" w:lineRule="auto"/>
        <w:jc w:val="both"/>
      </w:pPr>
      <w:r w:rsidRPr="005F73F7">
        <w:t>Materials and methods</w:t>
      </w:r>
    </w:p>
    <w:p w14:paraId="022E6EBA" w14:textId="77777777" w:rsidR="00E9319B" w:rsidRPr="005F73F7" w:rsidRDefault="00E9319B" w:rsidP="00CF6817">
      <w:pPr>
        <w:pStyle w:val="Heading2"/>
        <w:spacing w:line="480" w:lineRule="auto"/>
        <w:jc w:val="both"/>
        <w:rPr>
          <w:lang w:val="en-GB"/>
        </w:rPr>
      </w:pPr>
      <w:r w:rsidRPr="005F73F7">
        <w:rPr>
          <w:lang w:val="en-GB"/>
        </w:rPr>
        <w:t>2.1. Concept</w:t>
      </w:r>
    </w:p>
    <w:p w14:paraId="4A5A9017" w14:textId="0845D415" w:rsidR="00E9319B" w:rsidRPr="005F73F7" w:rsidRDefault="00E9319B" w:rsidP="00CF6817">
      <w:pPr>
        <w:autoSpaceDE w:val="0"/>
        <w:autoSpaceDN w:val="0"/>
        <w:adjustRightInd w:val="0"/>
        <w:spacing w:after="0" w:line="480" w:lineRule="auto"/>
        <w:jc w:val="both"/>
        <w:rPr>
          <w:rFonts w:cstheme="minorHAnsi"/>
          <w:lang w:val="en-GB"/>
        </w:rPr>
      </w:pPr>
      <w:r w:rsidRPr="005F73F7">
        <w:rPr>
          <w:rFonts w:cstheme="minorHAnsi"/>
          <w:lang w:val="en-GB"/>
        </w:rPr>
        <w:t xml:space="preserve">A standardised spreadsheet model was previously developed to estimate the annual economic costs of GIN and </w:t>
      </w:r>
      <w:r w:rsidRPr="005F73F7">
        <w:rPr>
          <w:rFonts w:cstheme="minorHAnsi"/>
          <w:i/>
          <w:lang w:val="en-GB"/>
        </w:rPr>
        <w:t>F. hepatica</w:t>
      </w:r>
      <w:r w:rsidRPr="005F73F7">
        <w:rPr>
          <w:rFonts w:cstheme="minorHAnsi"/>
          <w:lang w:val="en-GB"/>
        </w:rPr>
        <w:t xml:space="preserve"> infections on dairy </w:t>
      </w:r>
      <w:r w:rsidR="00187CC9">
        <w:rPr>
          <w:rFonts w:cstheme="minorHAnsi"/>
          <w:lang w:val="en-GB"/>
        </w:rPr>
        <w:t xml:space="preserve">cattle </w:t>
      </w:r>
      <w:r w:rsidRPr="005F73F7">
        <w:rPr>
          <w:rFonts w:cstheme="minorHAnsi"/>
          <w:lang w:val="en-GB"/>
        </w:rPr>
        <w:t xml:space="preserve">farms </w:t>
      </w:r>
      <w:r w:rsidRPr="005F73F7">
        <w:rPr>
          <w:rFonts w:cstheme="minorHAnsi"/>
          <w:noProof/>
          <w:lang w:val="en-GB"/>
        </w:rPr>
        <w:t>(Charlier et al., 2012b)</w:t>
      </w:r>
      <w:r w:rsidRPr="005F73F7">
        <w:rPr>
          <w:rFonts w:cstheme="minorHAnsi"/>
          <w:lang w:val="en-GB"/>
        </w:rPr>
        <w:t xml:space="preserve">. This model was extended and modified to incorporate the estimation of costs </w:t>
      </w:r>
      <w:r w:rsidR="00187CC9">
        <w:rPr>
          <w:rFonts w:cstheme="minorHAnsi"/>
          <w:lang w:val="en-GB"/>
        </w:rPr>
        <w:t>imposed</w:t>
      </w:r>
      <w:r w:rsidRPr="005F73F7">
        <w:rPr>
          <w:rFonts w:cstheme="minorHAnsi"/>
          <w:lang w:val="en-GB"/>
        </w:rPr>
        <w:t xml:space="preserve"> by </w:t>
      </w:r>
      <w:r w:rsidR="006D52AC">
        <w:rPr>
          <w:rFonts w:cstheme="minorHAnsi"/>
          <w:lang w:val="en-GB"/>
        </w:rPr>
        <w:t>GIN</w:t>
      </w:r>
      <w:r w:rsidR="006D3380">
        <w:rPr>
          <w:rFonts w:cstheme="minorHAnsi"/>
          <w:lang w:val="en-GB"/>
        </w:rPr>
        <w:t xml:space="preserve"> and</w:t>
      </w:r>
      <w:r w:rsidR="00664327">
        <w:rPr>
          <w:rFonts w:cstheme="minorHAnsi"/>
          <w:lang w:val="en-GB"/>
        </w:rPr>
        <w:t xml:space="preserve"> </w:t>
      </w:r>
      <w:r w:rsidRPr="005F73F7">
        <w:rPr>
          <w:rFonts w:cstheme="minorHAnsi"/>
          <w:i/>
          <w:lang w:val="en-GB"/>
        </w:rPr>
        <w:t>F. hepatica</w:t>
      </w:r>
      <w:r w:rsidRPr="005F73F7">
        <w:rPr>
          <w:rFonts w:cstheme="minorHAnsi"/>
          <w:lang w:val="en-GB"/>
        </w:rPr>
        <w:t xml:space="preserve"> </w:t>
      </w:r>
      <w:r w:rsidR="006D3380" w:rsidRPr="005F73F7">
        <w:rPr>
          <w:rFonts w:cstheme="minorHAnsi"/>
          <w:lang w:val="en-GB"/>
        </w:rPr>
        <w:t>infections in dairy cattle, dairy sheep, dairy goat</w:t>
      </w:r>
      <w:r w:rsidR="008B0F0C">
        <w:rPr>
          <w:rFonts w:cstheme="minorHAnsi"/>
          <w:lang w:val="en-GB"/>
        </w:rPr>
        <w:t>s</w:t>
      </w:r>
      <w:r w:rsidR="006D3380" w:rsidRPr="005F73F7">
        <w:rPr>
          <w:rFonts w:cstheme="minorHAnsi"/>
          <w:lang w:val="en-GB"/>
        </w:rPr>
        <w:t xml:space="preserve">, beef cattle and meat sheep </w:t>
      </w:r>
      <w:r w:rsidRPr="005F73F7">
        <w:rPr>
          <w:rFonts w:cstheme="minorHAnsi"/>
          <w:lang w:val="en-GB"/>
        </w:rPr>
        <w:t xml:space="preserve">and </w:t>
      </w:r>
      <w:r w:rsidRPr="005F73F7">
        <w:rPr>
          <w:rFonts w:cstheme="minorHAnsi"/>
          <w:i/>
          <w:lang w:val="en-GB"/>
        </w:rPr>
        <w:t>D. viviparus</w:t>
      </w:r>
      <w:r w:rsidRPr="005F73F7">
        <w:rPr>
          <w:rFonts w:cstheme="minorHAnsi"/>
          <w:lang w:val="en-GB"/>
        </w:rPr>
        <w:t xml:space="preserve"> infections in dairy </w:t>
      </w:r>
      <w:r w:rsidR="006D3380">
        <w:rPr>
          <w:rFonts w:cstheme="minorHAnsi"/>
          <w:lang w:val="en-GB"/>
        </w:rPr>
        <w:t xml:space="preserve">and </w:t>
      </w:r>
      <w:r w:rsidR="006D3380">
        <w:rPr>
          <w:rFonts w:cstheme="minorHAnsi"/>
          <w:lang w:val="en-GB"/>
        </w:rPr>
        <w:lastRenderedPageBreak/>
        <w:t xml:space="preserve">beef </w:t>
      </w:r>
      <w:r w:rsidRPr="005F73F7">
        <w:rPr>
          <w:rFonts w:cstheme="minorHAnsi"/>
          <w:lang w:val="en-GB"/>
        </w:rPr>
        <w:t>cattle</w:t>
      </w:r>
      <w:r w:rsidR="00AA75F8">
        <w:rPr>
          <w:rFonts w:cstheme="minorHAnsi"/>
          <w:lang w:val="en-GB"/>
        </w:rPr>
        <w:t>. The model was applied</w:t>
      </w:r>
      <w:r w:rsidR="006D3380">
        <w:rPr>
          <w:rFonts w:cstheme="minorHAnsi"/>
          <w:lang w:val="en-GB"/>
        </w:rPr>
        <w:t xml:space="preserve"> </w:t>
      </w:r>
      <w:r w:rsidRPr="005F73F7">
        <w:rPr>
          <w:rFonts w:cstheme="minorHAnsi"/>
          <w:lang w:val="en-GB"/>
        </w:rPr>
        <w:t xml:space="preserve">at </w:t>
      </w:r>
      <w:r w:rsidR="000E1936">
        <w:rPr>
          <w:rFonts w:cstheme="minorHAnsi"/>
          <w:lang w:val="en-GB"/>
        </w:rPr>
        <w:t xml:space="preserve">a </w:t>
      </w:r>
      <w:r w:rsidRPr="005F73F7">
        <w:rPr>
          <w:rFonts w:cstheme="minorHAnsi"/>
          <w:lang w:val="en-GB"/>
        </w:rPr>
        <w:t xml:space="preserve">national level with available epidemiologic and economic data from public repositories. The economic impact of a pathogen or animal disease is a function of </w:t>
      </w:r>
      <w:r w:rsidR="000E1936">
        <w:rPr>
          <w:rFonts w:cstheme="minorHAnsi"/>
          <w:lang w:val="en-GB"/>
        </w:rPr>
        <w:t xml:space="preserve">many factors such as </w:t>
      </w:r>
      <w:r w:rsidRPr="005F73F7">
        <w:rPr>
          <w:rFonts w:cstheme="minorHAnsi"/>
          <w:lang w:val="en-GB"/>
        </w:rPr>
        <w:t xml:space="preserve">disease frequency, infection intensity, the effect of the disease on mortality and productivity in animals and its effects on human health, and efforts to respond to the disease </w:t>
      </w:r>
      <w:r w:rsidRPr="005F73F7">
        <w:rPr>
          <w:rFonts w:cstheme="minorHAnsi"/>
          <w:noProof/>
          <w:lang w:val="en-GB"/>
        </w:rPr>
        <w:t>(Rushton, 2009)</w:t>
      </w:r>
      <w:r w:rsidRPr="005F73F7">
        <w:rPr>
          <w:rFonts w:cstheme="minorHAnsi"/>
          <w:lang w:val="en-GB"/>
        </w:rPr>
        <w:t>. COMBAR working group members collect</w:t>
      </w:r>
      <w:r w:rsidR="000178A5">
        <w:rPr>
          <w:rFonts w:cstheme="minorHAnsi"/>
          <w:lang w:val="en-GB"/>
        </w:rPr>
        <w:t>ed</w:t>
      </w:r>
      <w:r w:rsidRPr="005F73F7">
        <w:rPr>
          <w:rFonts w:cstheme="minorHAnsi"/>
          <w:lang w:val="en-GB"/>
        </w:rPr>
        <w:t xml:space="preserve"> the above-mentioned data for their </w:t>
      </w:r>
      <w:r w:rsidR="008B0F0C">
        <w:rPr>
          <w:rFonts w:cstheme="minorHAnsi"/>
          <w:lang w:val="en-GB"/>
        </w:rPr>
        <w:t xml:space="preserve">own </w:t>
      </w:r>
      <w:r w:rsidRPr="005F73F7">
        <w:rPr>
          <w:rFonts w:cstheme="minorHAnsi"/>
          <w:lang w:val="en-GB"/>
        </w:rPr>
        <w:t xml:space="preserve">country of residence. When the data were deemed to be not available from public repositories or published studies and reports, the data were either obtained through expert opinion, or not provided when the expert judged him/her-self not to be able to provide a </w:t>
      </w:r>
      <w:r w:rsidR="00AA75F8">
        <w:rPr>
          <w:rFonts w:cstheme="minorHAnsi"/>
          <w:lang w:val="en-GB"/>
        </w:rPr>
        <w:t>robust</w:t>
      </w:r>
      <w:r w:rsidRPr="005F73F7">
        <w:rPr>
          <w:rFonts w:cstheme="minorHAnsi"/>
          <w:lang w:val="en-GB"/>
        </w:rPr>
        <w:t xml:space="preserve"> estimate. The data were obtained through an online survey in two phases. First, the empty spreadsheet was completed by the expert</w:t>
      </w:r>
      <w:r w:rsidR="0054052D">
        <w:rPr>
          <w:rFonts w:cstheme="minorHAnsi"/>
          <w:lang w:val="en-GB"/>
        </w:rPr>
        <w:t>s</w:t>
      </w:r>
      <w:r w:rsidRPr="005F73F7">
        <w:rPr>
          <w:rFonts w:cstheme="minorHAnsi"/>
          <w:lang w:val="en-GB"/>
        </w:rPr>
        <w:t xml:space="preserve"> after the consultation of </w:t>
      </w:r>
      <w:r w:rsidR="00197760">
        <w:rPr>
          <w:rFonts w:cstheme="minorHAnsi"/>
          <w:lang w:val="en-GB"/>
        </w:rPr>
        <w:t>their</w:t>
      </w:r>
      <w:r w:rsidR="00197760" w:rsidRPr="005F73F7">
        <w:rPr>
          <w:rFonts w:cstheme="minorHAnsi"/>
          <w:lang w:val="en-GB"/>
        </w:rPr>
        <w:t xml:space="preserve"> </w:t>
      </w:r>
      <w:r w:rsidRPr="005F73F7">
        <w:rPr>
          <w:rFonts w:cstheme="minorHAnsi"/>
          <w:lang w:val="en-GB"/>
        </w:rPr>
        <w:t>network. After compilation of all the received data, imputation of empty data values and describing the calculation methods, the spreadsheet used for calculation purposes was resent to the experts for review of the country-specific input data.</w:t>
      </w:r>
    </w:p>
    <w:p w14:paraId="0F5696E1" w14:textId="5A6212F3" w:rsidR="00E9319B" w:rsidRPr="005F73F7" w:rsidRDefault="00E9319B" w:rsidP="00CF6817">
      <w:pPr>
        <w:autoSpaceDE w:val="0"/>
        <w:autoSpaceDN w:val="0"/>
        <w:adjustRightInd w:val="0"/>
        <w:spacing w:after="0" w:line="480" w:lineRule="auto"/>
        <w:jc w:val="both"/>
        <w:rPr>
          <w:rFonts w:cstheme="minorHAnsi"/>
          <w:lang w:val="en-GB"/>
        </w:rPr>
      </w:pPr>
      <w:r w:rsidRPr="005F73F7">
        <w:rPr>
          <w:rFonts w:cstheme="minorHAnsi"/>
          <w:lang w:val="en-GB"/>
        </w:rPr>
        <w:t>Imputation was done similar</w:t>
      </w:r>
      <w:r w:rsidR="00206E15">
        <w:rPr>
          <w:rFonts w:cstheme="minorHAnsi"/>
          <w:lang w:val="en-GB"/>
        </w:rPr>
        <w:t>ly</w:t>
      </w:r>
      <w:r w:rsidRPr="005F73F7">
        <w:rPr>
          <w:rFonts w:cstheme="minorHAnsi"/>
          <w:lang w:val="en-GB"/>
        </w:rPr>
        <w:t xml:space="preserve"> to the approach of Mavrot (2016). Countries were grouped into </w:t>
      </w:r>
      <w:r w:rsidR="006D3380">
        <w:rPr>
          <w:rFonts w:cstheme="minorHAnsi"/>
          <w:lang w:val="en-GB"/>
        </w:rPr>
        <w:t>four</w:t>
      </w:r>
      <w:r w:rsidR="006D3380" w:rsidRPr="005F73F7">
        <w:rPr>
          <w:rFonts w:cstheme="minorHAnsi"/>
          <w:lang w:val="en-GB"/>
        </w:rPr>
        <w:t xml:space="preserve"> </w:t>
      </w:r>
      <w:r w:rsidRPr="005F73F7">
        <w:rPr>
          <w:rFonts w:cstheme="minorHAnsi"/>
          <w:lang w:val="en-GB"/>
        </w:rPr>
        <w:t>bio-climatic regions (</w:t>
      </w:r>
      <w:r w:rsidR="006D52AC">
        <w:rPr>
          <w:rFonts w:cstheme="minorHAnsi"/>
          <w:lang w:val="en-GB"/>
        </w:rPr>
        <w:t>A</w:t>
      </w:r>
      <w:r w:rsidRPr="005F73F7">
        <w:rPr>
          <w:rFonts w:cstheme="minorHAnsi"/>
          <w:lang w:val="en-GB"/>
        </w:rPr>
        <w:t>rctic-boreal/</w:t>
      </w:r>
      <w:r w:rsidR="006D3380">
        <w:rPr>
          <w:rFonts w:cstheme="minorHAnsi"/>
          <w:lang w:val="en-GB"/>
        </w:rPr>
        <w:t>A</w:t>
      </w:r>
      <w:r w:rsidRPr="005F73F7">
        <w:rPr>
          <w:rFonts w:cstheme="minorHAnsi"/>
          <w:lang w:val="en-GB"/>
        </w:rPr>
        <w:t>tlantic/</w:t>
      </w:r>
      <w:r w:rsidR="006D52AC">
        <w:rPr>
          <w:rFonts w:cstheme="minorHAnsi"/>
          <w:lang w:val="en-GB"/>
        </w:rPr>
        <w:t>C</w:t>
      </w:r>
      <w:r w:rsidRPr="005F73F7">
        <w:rPr>
          <w:rFonts w:cstheme="minorHAnsi"/>
          <w:lang w:val="en-GB"/>
        </w:rPr>
        <w:t xml:space="preserve">ontinental/Mediterranean) as defined by </w:t>
      </w:r>
      <w:r w:rsidRPr="005F73F7">
        <w:rPr>
          <w:rFonts w:cstheme="minorHAnsi"/>
          <w:noProof/>
          <w:lang w:val="en-GB"/>
        </w:rPr>
        <w:t xml:space="preserve">Peel et al. </w:t>
      </w:r>
      <w:r w:rsidR="00023BA7">
        <w:rPr>
          <w:rFonts w:cstheme="minorHAnsi"/>
          <w:noProof/>
          <w:lang w:val="en-GB"/>
        </w:rPr>
        <w:t>(</w:t>
      </w:r>
      <w:r w:rsidRPr="005F73F7">
        <w:rPr>
          <w:rFonts w:cstheme="minorHAnsi"/>
          <w:noProof/>
          <w:lang w:val="en-GB"/>
        </w:rPr>
        <w:t>2007)</w:t>
      </w:r>
      <w:r w:rsidRPr="005F73F7">
        <w:rPr>
          <w:rFonts w:cstheme="minorHAnsi"/>
          <w:lang w:val="en-GB"/>
        </w:rPr>
        <w:t>.</w:t>
      </w:r>
      <w:r w:rsidR="0055606F">
        <w:rPr>
          <w:rFonts w:cstheme="minorHAnsi"/>
          <w:lang w:val="en-GB"/>
        </w:rPr>
        <w:t xml:space="preserve"> Where countries included more than one climatic type, the dominant type by surface area was chosen. </w:t>
      </w:r>
      <w:r w:rsidRPr="005F73F7">
        <w:rPr>
          <w:rFonts w:cstheme="minorHAnsi"/>
          <w:lang w:val="en-GB"/>
        </w:rPr>
        <w:t>It was assumed that features such as parasite infection levels or management practices (proportion exposed to grazing, anthelmintic treatment frequency) are more similar within than between bio-climatic regions. Therefore, the imputed value on level of infection or management practice was based on the average from the same bio-climatic region if such data were available, or from all available data otherwise.</w:t>
      </w:r>
    </w:p>
    <w:p w14:paraId="07E6FC06" w14:textId="110A9220" w:rsidR="00E9319B" w:rsidRPr="005F73F7" w:rsidRDefault="00E9319B" w:rsidP="00CF6817">
      <w:pPr>
        <w:autoSpaceDE w:val="0"/>
        <w:autoSpaceDN w:val="0"/>
        <w:adjustRightInd w:val="0"/>
        <w:spacing w:after="0" w:line="480" w:lineRule="auto"/>
        <w:jc w:val="both"/>
        <w:rPr>
          <w:rFonts w:cstheme="minorHAnsi"/>
          <w:lang w:val="en-GB"/>
        </w:rPr>
      </w:pPr>
      <w:r w:rsidRPr="005F73F7">
        <w:rPr>
          <w:rFonts w:cstheme="minorHAnsi"/>
          <w:lang w:val="en-GB"/>
        </w:rPr>
        <w:t xml:space="preserve">In this way, </w:t>
      </w:r>
      <w:r w:rsidR="004F298A">
        <w:rPr>
          <w:rFonts w:cstheme="minorHAnsi"/>
          <w:lang w:val="en-GB"/>
        </w:rPr>
        <w:t xml:space="preserve">it was possible to obtain </w:t>
      </w:r>
      <w:r w:rsidRPr="005F73F7">
        <w:rPr>
          <w:rFonts w:cstheme="minorHAnsi"/>
          <w:lang w:val="en-GB"/>
        </w:rPr>
        <w:t>data from 18 countries, including the European countries with the largest ruminant livestock economies (France, Germany, Ireland, Italy, Poland, Spain, UK).  Further details on data collection, handling and processing are provided step-by-step in the sections below.</w:t>
      </w:r>
    </w:p>
    <w:p w14:paraId="435F3431" w14:textId="77777777" w:rsidR="00E9319B" w:rsidRPr="005F73F7" w:rsidRDefault="00E9319B" w:rsidP="00CF6817">
      <w:pPr>
        <w:pStyle w:val="Heading2"/>
        <w:spacing w:before="240" w:line="480" w:lineRule="auto"/>
        <w:jc w:val="both"/>
        <w:rPr>
          <w:lang w:val="en-GB"/>
        </w:rPr>
      </w:pPr>
      <w:r w:rsidRPr="005F73F7">
        <w:rPr>
          <w:lang w:val="en-GB"/>
        </w:rPr>
        <w:lastRenderedPageBreak/>
        <w:t>2.2. Population at risk</w:t>
      </w:r>
    </w:p>
    <w:p w14:paraId="3662169D" w14:textId="31FADF22" w:rsidR="00E9319B" w:rsidRPr="0078266F" w:rsidRDefault="00E9319B" w:rsidP="00CF6817">
      <w:pPr>
        <w:spacing w:line="480" w:lineRule="auto"/>
        <w:jc w:val="both"/>
        <w:rPr>
          <w:lang w:val="en-GB"/>
        </w:rPr>
      </w:pPr>
      <w:r w:rsidRPr="0078266F">
        <w:rPr>
          <w:lang w:val="en-GB"/>
        </w:rPr>
        <w:t xml:space="preserve">The population at risk </w:t>
      </w:r>
      <w:r w:rsidR="000E1936" w:rsidRPr="0078266F">
        <w:rPr>
          <w:lang w:val="en-GB"/>
        </w:rPr>
        <w:t xml:space="preserve">of </w:t>
      </w:r>
      <w:r w:rsidRPr="0078266F">
        <w:rPr>
          <w:lang w:val="en-GB"/>
        </w:rPr>
        <w:t xml:space="preserve">suffering production losses due to helminth infections was based on animal population data, corrected for the estimated proportion of the population that is exposed to grazing. Animal population data were obtained from FAOSTAT </w:t>
      </w:r>
      <w:r w:rsidRPr="0078266F">
        <w:rPr>
          <w:noProof/>
          <w:lang w:val="en-GB"/>
        </w:rPr>
        <w:t>(FAO, 2017)</w:t>
      </w:r>
      <w:r w:rsidRPr="0078266F">
        <w:rPr>
          <w:lang w:val="en-GB"/>
        </w:rPr>
        <w:t xml:space="preserve"> and complemented with data from national data repositories for more specific numbers. Separate population data were obtained for dairy cattle (heifers and adults), beef cattle (number</w:t>
      </w:r>
      <w:r w:rsidR="004D1F22" w:rsidRPr="0078266F">
        <w:rPr>
          <w:lang w:val="en-GB"/>
        </w:rPr>
        <w:t>s</w:t>
      </w:r>
      <w:r w:rsidRPr="0078266F">
        <w:rPr>
          <w:lang w:val="en-GB"/>
        </w:rPr>
        <w:t xml:space="preserve"> slaughtered), dairy sheep (adult</w:t>
      </w:r>
      <w:r w:rsidR="004D1F22" w:rsidRPr="0078266F">
        <w:rPr>
          <w:lang w:val="en-GB"/>
        </w:rPr>
        <w:t>s</w:t>
      </w:r>
      <w:r w:rsidRPr="0078266F">
        <w:rPr>
          <w:lang w:val="en-GB"/>
        </w:rPr>
        <w:t>), meat sheep (number</w:t>
      </w:r>
      <w:r w:rsidR="004D1F22" w:rsidRPr="0078266F">
        <w:rPr>
          <w:lang w:val="en-GB"/>
        </w:rPr>
        <w:t>s</w:t>
      </w:r>
      <w:r w:rsidRPr="0078266F">
        <w:rPr>
          <w:lang w:val="en-GB"/>
        </w:rPr>
        <w:t xml:space="preserve"> slaughtered) and dairy goats (adult</w:t>
      </w:r>
      <w:r w:rsidR="004D1F22" w:rsidRPr="0078266F">
        <w:rPr>
          <w:lang w:val="en-GB"/>
        </w:rPr>
        <w:t>s</w:t>
      </w:r>
      <w:r w:rsidRPr="0078266F">
        <w:rPr>
          <w:lang w:val="en-GB"/>
        </w:rPr>
        <w:t>). Because no specific data are available on the number of young dairy cattle raised for future milk production, this population was estimated by applying a fixed proportion of 0.75 to the adult milk producing population</w:t>
      </w:r>
      <w:r w:rsidR="00DB7B7A" w:rsidRPr="0078266F">
        <w:rPr>
          <w:lang w:val="en-GB"/>
        </w:rPr>
        <w:t>. This number was chosen based on data from the Netherlands</w:t>
      </w:r>
      <w:r w:rsidR="009E4DA9" w:rsidRPr="0078266F">
        <w:rPr>
          <w:lang w:val="en-GB"/>
        </w:rPr>
        <w:t xml:space="preserve"> and Poland from 2015 to 2017</w:t>
      </w:r>
      <w:r w:rsidR="00DB7B7A" w:rsidRPr="0078266F">
        <w:rPr>
          <w:lang w:val="en-GB"/>
        </w:rPr>
        <w:t>, where the</w:t>
      </w:r>
      <w:r w:rsidR="009E4DA9" w:rsidRPr="0078266F">
        <w:rPr>
          <w:lang w:val="en-GB"/>
        </w:rPr>
        <w:t xml:space="preserve"> proportion</w:t>
      </w:r>
      <w:r w:rsidR="00DB7B7A" w:rsidRPr="0078266F">
        <w:rPr>
          <w:lang w:val="en-GB"/>
        </w:rPr>
        <w:t xml:space="preserve"> of </w:t>
      </w:r>
      <w:r w:rsidR="00627EAC" w:rsidRPr="0078266F">
        <w:rPr>
          <w:lang w:val="en-GB"/>
        </w:rPr>
        <w:t xml:space="preserve">dairy </w:t>
      </w:r>
      <w:r w:rsidR="00DB7B7A" w:rsidRPr="0078266F">
        <w:rPr>
          <w:lang w:val="en-GB"/>
        </w:rPr>
        <w:t xml:space="preserve">young stock per </w:t>
      </w:r>
      <w:r w:rsidR="00627EAC" w:rsidRPr="0078266F">
        <w:rPr>
          <w:lang w:val="en-GB"/>
        </w:rPr>
        <w:t>adult</w:t>
      </w:r>
      <w:r w:rsidR="00DB7B7A" w:rsidRPr="0078266F">
        <w:rPr>
          <w:lang w:val="en-GB"/>
        </w:rPr>
        <w:t xml:space="preserve"> cow varied between </w:t>
      </w:r>
      <w:r w:rsidR="00627EAC" w:rsidRPr="0078266F">
        <w:rPr>
          <w:lang w:val="en-GB"/>
        </w:rPr>
        <w:t>0.</w:t>
      </w:r>
      <w:r w:rsidR="00446230" w:rsidRPr="0078266F">
        <w:rPr>
          <w:lang w:val="en-GB"/>
        </w:rPr>
        <w:t>70</w:t>
      </w:r>
      <w:r w:rsidR="009E4DA9" w:rsidRPr="0078266F">
        <w:rPr>
          <w:lang w:val="en-GB"/>
        </w:rPr>
        <w:t>-</w:t>
      </w:r>
      <w:r w:rsidR="00627EAC" w:rsidRPr="0078266F">
        <w:rPr>
          <w:lang w:val="en-GB"/>
        </w:rPr>
        <w:t>0.</w:t>
      </w:r>
      <w:r w:rsidR="00446230" w:rsidRPr="0078266F">
        <w:rPr>
          <w:lang w:val="en-GB"/>
        </w:rPr>
        <w:t>82</w:t>
      </w:r>
      <w:r w:rsidR="009E4DA9" w:rsidRPr="0078266F">
        <w:rPr>
          <w:lang w:val="en-GB"/>
        </w:rPr>
        <w:t xml:space="preserve"> and between 0.74-0.79, respectively</w:t>
      </w:r>
      <w:r w:rsidR="00627EAC" w:rsidRPr="0078266F">
        <w:rPr>
          <w:lang w:val="en-GB"/>
        </w:rPr>
        <w:t xml:space="preserve"> (Statistics Netherlands, 2019</w:t>
      </w:r>
      <w:r w:rsidR="009E4DA9" w:rsidRPr="0078266F">
        <w:rPr>
          <w:lang w:val="en-GB"/>
        </w:rPr>
        <w:t>; Statistics Poland, 2020</w:t>
      </w:r>
      <w:r w:rsidR="00627EAC" w:rsidRPr="0078266F">
        <w:rPr>
          <w:lang w:val="en-GB"/>
        </w:rPr>
        <w:t>)</w:t>
      </w:r>
      <w:r w:rsidRPr="0078266F">
        <w:rPr>
          <w:lang w:val="en-GB"/>
        </w:rPr>
        <w:t xml:space="preserve">. The proportion of the dairy cattle population exposed to grazing was based on a presentation from the European Grassland Federation </w:t>
      </w:r>
      <w:r w:rsidRPr="0078266F">
        <w:rPr>
          <w:noProof/>
          <w:lang w:val="en-GB"/>
        </w:rPr>
        <w:t>(van den Pol-van Dasselaar, 2018)</w:t>
      </w:r>
      <w:r w:rsidRPr="0078266F">
        <w:rPr>
          <w:lang w:val="en-GB"/>
        </w:rPr>
        <w:t>, for the other production systems</w:t>
      </w:r>
      <w:r w:rsidR="00742655" w:rsidRPr="0078266F">
        <w:rPr>
          <w:lang w:val="en-GB"/>
        </w:rPr>
        <w:t xml:space="preserve"> proportions were</w:t>
      </w:r>
      <w:r w:rsidRPr="0078266F">
        <w:rPr>
          <w:lang w:val="en-GB"/>
        </w:rPr>
        <w:t xml:space="preserve"> based on local reports or expert opinion. </w:t>
      </w:r>
    </w:p>
    <w:p w14:paraId="6C0A6491" w14:textId="77777777" w:rsidR="00E9319B" w:rsidRPr="005F73F7" w:rsidRDefault="00E9319B" w:rsidP="00CF6817">
      <w:pPr>
        <w:pStyle w:val="Heading2"/>
        <w:spacing w:before="120" w:after="120" w:line="480" w:lineRule="auto"/>
        <w:jc w:val="both"/>
        <w:rPr>
          <w:lang w:val="en-GB"/>
        </w:rPr>
      </w:pPr>
      <w:r w:rsidRPr="005F73F7">
        <w:rPr>
          <w:lang w:val="en-GB"/>
        </w:rPr>
        <w:t>2.3. Disease frequency and intensity of infection</w:t>
      </w:r>
    </w:p>
    <w:p w14:paraId="65C0FF37" w14:textId="67641C09" w:rsidR="00E9319B" w:rsidRPr="005F73F7" w:rsidRDefault="00E9319B" w:rsidP="00CF6817">
      <w:pPr>
        <w:spacing w:before="120" w:after="120" w:line="480" w:lineRule="auto"/>
        <w:jc w:val="both"/>
        <w:rPr>
          <w:lang w:val="en-GB"/>
        </w:rPr>
      </w:pPr>
      <w:r w:rsidRPr="005F73F7">
        <w:rPr>
          <w:lang w:val="en-GB"/>
        </w:rPr>
        <w:t>Surveys to quantify the level of infection with helminths use various diagnostic measures, and results are seldom directly comparable. Moreover, diagnostic result</w:t>
      </w:r>
      <w:r w:rsidR="006D3380">
        <w:rPr>
          <w:lang w:val="en-GB"/>
        </w:rPr>
        <w:t>s</w:t>
      </w:r>
      <w:r w:rsidRPr="005F73F7">
        <w:rPr>
          <w:lang w:val="en-GB"/>
        </w:rPr>
        <w:t xml:space="preserve"> (e.g. faecal egg count; FEC) may need different interpretation according to the local context (dominant parasite species, method applied, sampling season</w:t>
      </w:r>
      <w:r w:rsidR="007C32F9">
        <w:rPr>
          <w:lang w:val="en-GB"/>
        </w:rPr>
        <w:t>, climatic and environmental factors</w:t>
      </w:r>
      <w:r w:rsidR="006D3380">
        <w:rPr>
          <w:noProof/>
          <w:lang w:val="en-GB"/>
        </w:rPr>
        <w:t xml:space="preserve">; </w:t>
      </w:r>
      <w:r w:rsidRPr="005F73F7">
        <w:rPr>
          <w:noProof/>
          <w:lang w:val="en-GB"/>
        </w:rPr>
        <w:t>Sargison, 2013)</w:t>
      </w:r>
      <w:r w:rsidRPr="005F73F7">
        <w:rPr>
          <w:lang w:val="en-GB"/>
        </w:rPr>
        <w:t xml:space="preserve">. Therefore, each COMBAR participant evaluated the available information for </w:t>
      </w:r>
      <w:r w:rsidR="00197760">
        <w:rPr>
          <w:lang w:val="en-GB"/>
        </w:rPr>
        <w:t>the</w:t>
      </w:r>
      <w:r w:rsidR="004D1F22">
        <w:rPr>
          <w:lang w:val="en-GB"/>
        </w:rPr>
        <w:t>ir</w:t>
      </w:r>
      <w:r w:rsidR="00197760" w:rsidRPr="005F73F7">
        <w:rPr>
          <w:lang w:val="en-GB"/>
        </w:rPr>
        <w:t xml:space="preserve"> </w:t>
      </w:r>
      <w:r w:rsidRPr="005F73F7">
        <w:rPr>
          <w:lang w:val="en-GB"/>
        </w:rPr>
        <w:t xml:space="preserve">country and combined it into a single estimate of the animal level prevalence of “production limiting” infections per livestock category (see population at risk) and per helminth species. </w:t>
      </w:r>
      <w:r w:rsidR="00446E17">
        <w:rPr>
          <w:lang w:val="en-GB"/>
        </w:rPr>
        <w:t>Because production loss is complex and related not only to the level of patent helminth infection, t</w:t>
      </w:r>
      <w:r w:rsidRPr="005F73F7">
        <w:rPr>
          <w:lang w:val="en-GB"/>
        </w:rPr>
        <w:t xml:space="preserve">he thresholds were not used prescriptively, but only as a guide to national respondents in an effort to score the production limiting infections in a </w:t>
      </w:r>
      <w:r w:rsidR="00627EAC">
        <w:rPr>
          <w:lang w:val="en-GB"/>
        </w:rPr>
        <w:t>broadly comparable</w:t>
      </w:r>
      <w:r w:rsidRPr="005F73F7">
        <w:rPr>
          <w:lang w:val="en-GB"/>
        </w:rPr>
        <w:t xml:space="preserve"> way for the different countries. For GIN infections in young dairy cattle, the use of </w:t>
      </w:r>
      <w:r w:rsidRPr="005F73F7">
        <w:rPr>
          <w:lang w:val="en-GB"/>
        </w:rPr>
        <w:lastRenderedPageBreak/>
        <w:t xml:space="preserve">thresholds for production limiting infections of &gt; 3.5 </w:t>
      </w:r>
      <w:r w:rsidR="007A3C5B">
        <w:rPr>
          <w:lang w:val="en-GB"/>
        </w:rPr>
        <w:t xml:space="preserve">units of tyrosine </w:t>
      </w:r>
      <w:r w:rsidRPr="005F73F7">
        <w:rPr>
          <w:lang w:val="en-GB"/>
        </w:rPr>
        <w:t xml:space="preserve">and &gt; </w:t>
      </w:r>
      <w:r w:rsidR="00F943BD">
        <w:rPr>
          <w:lang w:val="en-GB"/>
        </w:rPr>
        <w:t>2</w:t>
      </w:r>
      <w:r w:rsidRPr="005F73F7">
        <w:rPr>
          <w:lang w:val="en-GB"/>
        </w:rPr>
        <w:t xml:space="preserve">00 eggs per gram (EPG) faeces were proposed for surveys using the serum pepsinogen assay </w:t>
      </w:r>
      <w:r>
        <w:rPr>
          <w:noProof/>
          <w:lang w:val="en-GB"/>
        </w:rPr>
        <w:t>(Charlier et al., 2010a)</w:t>
      </w:r>
      <w:r w:rsidRPr="005F73F7">
        <w:rPr>
          <w:lang w:val="en-GB"/>
        </w:rPr>
        <w:t xml:space="preserve"> and FEC methods </w:t>
      </w:r>
      <w:r w:rsidRPr="005F73F7">
        <w:rPr>
          <w:noProof/>
          <w:lang w:val="en-GB"/>
        </w:rPr>
        <w:t>(Shaw et al., 1998)</w:t>
      </w:r>
      <w:r w:rsidRPr="005F73F7">
        <w:rPr>
          <w:lang w:val="en-GB"/>
        </w:rPr>
        <w:t xml:space="preserve">, respectively. For GIN infections in adult dairy cattle, surveys using the bulk tank milk </w:t>
      </w:r>
      <w:r w:rsidRPr="005F73F7">
        <w:rPr>
          <w:i/>
          <w:lang w:val="en-GB"/>
        </w:rPr>
        <w:t>O. ostertagi</w:t>
      </w:r>
      <w:r w:rsidRPr="005F73F7">
        <w:rPr>
          <w:lang w:val="en-GB"/>
        </w:rPr>
        <w:t xml:space="preserve"> ELISA </w:t>
      </w:r>
      <w:r w:rsidRPr="005F73F7">
        <w:rPr>
          <w:noProof/>
          <w:lang w:val="en-GB"/>
        </w:rPr>
        <w:t>(Forbes et al., 2008)</w:t>
      </w:r>
      <w:r w:rsidRPr="005F73F7">
        <w:rPr>
          <w:lang w:val="en-GB"/>
        </w:rPr>
        <w:t xml:space="preserve"> and measuring </w:t>
      </w:r>
      <w:r w:rsidRPr="005F73F7">
        <w:rPr>
          <w:i/>
          <w:lang w:val="en-GB"/>
        </w:rPr>
        <w:t>O. ostertagi</w:t>
      </w:r>
      <w:r w:rsidRPr="005F73F7">
        <w:rPr>
          <w:lang w:val="en-GB"/>
        </w:rPr>
        <w:t xml:space="preserve"> optical density ratios (ODR) were used. First, the average country-level bulk-tank milk </w:t>
      </w:r>
      <w:r w:rsidRPr="005F73F7">
        <w:rPr>
          <w:i/>
          <w:lang w:val="en-GB"/>
        </w:rPr>
        <w:t>O. ostertagi</w:t>
      </w:r>
      <w:r w:rsidRPr="005F73F7">
        <w:rPr>
          <w:lang w:val="en-GB"/>
        </w:rPr>
        <w:t xml:space="preserve"> ODR was obtained. Next, the prevalence of production-limiting GIN infections </w:t>
      </w:r>
      <w:r w:rsidR="004F298A">
        <w:rPr>
          <w:lang w:val="en-GB"/>
        </w:rPr>
        <w:t>at</w:t>
      </w:r>
      <w:r w:rsidRPr="005F73F7">
        <w:rPr>
          <w:lang w:val="en-GB"/>
        </w:rPr>
        <w:t xml:space="preserve"> the animal level was obtained using the formula as described by </w:t>
      </w:r>
      <w:r w:rsidRPr="005F73F7">
        <w:rPr>
          <w:noProof/>
          <w:lang w:val="en-GB"/>
        </w:rPr>
        <w:t>Charlier et al.</w:t>
      </w:r>
      <w:r w:rsidR="00023BA7">
        <w:rPr>
          <w:noProof/>
          <w:lang w:val="en-GB"/>
        </w:rPr>
        <w:t xml:space="preserve"> (</w:t>
      </w:r>
      <w:r w:rsidRPr="005F73F7">
        <w:rPr>
          <w:noProof/>
          <w:lang w:val="en-GB"/>
        </w:rPr>
        <w:t>201</w:t>
      </w:r>
      <w:r w:rsidR="006C3F68">
        <w:rPr>
          <w:noProof/>
          <w:lang w:val="en-GB"/>
        </w:rPr>
        <w:t>0b</w:t>
      </w:r>
      <w:r w:rsidRPr="005F73F7">
        <w:rPr>
          <w:noProof/>
          <w:lang w:val="en-GB"/>
        </w:rPr>
        <w:t>)</w:t>
      </w:r>
      <w:r w:rsidRPr="005F73F7">
        <w:rPr>
          <w:lang w:val="en-GB"/>
        </w:rPr>
        <w:t>. For GIN infections in sheep, the use of FEC</w:t>
      </w:r>
      <w:r w:rsidR="000A59FA">
        <w:rPr>
          <w:lang w:val="en-GB"/>
        </w:rPr>
        <w:t xml:space="preserve"> thresholds of 500 and 1,000 EPG was proposed for cases where </w:t>
      </w:r>
      <w:r w:rsidR="000A59FA" w:rsidRPr="000A59FA">
        <w:rPr>
          <w:i/>
          <w:lang w:val="en-GB"/>
        </w:rPr>
        <w:t>H. contortus</w:t>
      </w:r>
      <w:r w:rsidR="000A59FA">
        <w:rPr>
          <w:lang w:val="en-GB"/>
        </w:rPr>
        <w:t xml:space="preserve"> was absent or present, respectively (Abbott et al., 2012)</w:t>
      </w:r>
      <w:r w:rsidRPr="005F73F7">
        <w:rPr>
          <w:lang w:val="en-GB"/>
        </w:rPr>
        <w:t xml:space="preserve">. For infections with </w:t>
      </w:r>
      <w:r w:rsidRPr="005F73F7">
        <w:rPr>
          <w:i/>
          <w:lang w:val="en-GB"/>
        </w:rPr>
        <w:t>F. hepatica</w:t>
      </w:r>
      <w:r w:rsidR="006D3380" w:rsidRPr="005F73F7">
        <w:rPr>
          <w:lang w:val="en-GB"/>
        </w:rPr>
        <w:t>, the</w:t>
      </w:r>
      <w:r w:rsidRPr="005F73F7">
        <w:rPr>
          <w:lang w:val="en-GB"/>
        </w:rPr>
        <w:t xml:space="preserve"> general prevalence of infection was used because fluke burdens as low as 1 to 10 parasites have been shown to negatively impact on animal productivity </w:t>
      </w:r>
      <w:r w:rsidRPr="005F73F7">
        <w:rPr>
          <w:noProof/>
          <w:lang w:val="en-GB"/>
        </w:rPr>
        <w:t>(Mazeri et al., 2017)</w:t>
      </w:r>
      <w:r w:rsidRPr="005F73F7">
        <w:rPr>
          <w:lang w:val="en-GB"/>
        </w:rPr>
        <w:t xml:space="preserve">. For </w:t>
      </w:r>
      <w:r w:rsidRPr="005F73F7">
        <w:rPr>
          <w:i/>
          <w:lang w:val="en-GB"/>
        </w:rPr>
        <w:t>D. viviparus</w:t>
      </w:r>
      <w:r w:rsidRPr="005F73F7">
        <w:rPr>
          <w:lang w:val="en-GB"/>
        </w:rPr>
        <w:t xml:space="preserve">, the available coprological or serological diagnostics detect only patent infections </w:t>
      </w:r>
      <w:r w:rsidRPr="005F73F7">
        <w:rPr>
          <w:noProof/>
          <w:lang w:val="en-GB"/>
        </w:rPr>
        <w:t>(Ploeger et al., 2014)</w:t>
      </w:r>
      <w:r w:rsidRPr="005F73F7">
        <w:rPr>
          <w:lang w:val="en-GB"/>
        </w:rPr>
        <w:t xml:space="preserve"> and thus the prevalence of patent infections was used.</w:t>
      </w:r>
    </w:p>
    <w:p w14:paraId="380BDA97" w14:textId="77777777" w:rsidR="00E9319B" w:rsidRPr="005F73F7" w:rsidRDefault="00E9319B" w:rsidP="00CF6817">
      <w:pPr>
        <w:pStyle w:val="Heading2"/>
        <w:spacing w:before="120" w:line="480" w:lineRule="auto"/>
        <w:jc w:val="both"/>
        <w:rPr>
          <w:lang w:val="en-GB"/>
        </w:rPr>
      </w:pPr>
      <w:r w:rsidRPr="005F73F7">
        <w:rPr>
          <w:lang w:val="en-GB"/>
        </w:rPr>
        <w:t>2.4. Effects of the disease on mortality and productivity</w:t>
      </w:r>
    </w:p>
    <w:p w14:paraId="39CDA521" w14:textId="5853CDBD" w:rsidR="00E9319B" w:rsidRPr="005F73F7" w:rsidRDefault="00E9319B" w:rsidP="00CF6817">
      <w:pPr>
        <w:spacing w:after="0" w:line="480" w:lineRule="auto"/>
        <w:jc w:val="both"/>
        <w:rPr>
          <w:lang w:val="en-GB"/>
        </w:rPr>
      </w:pPr>
      <w:r w:rsidRPr="005F73F7">
        <w:rPr>
          <w:lang w:val="en-GB"/>
        </w:rPr>
        <w:t xml:space="preserve">The effects of </w:t>
      </w:r>
      <w:r w:rsidR="009672BF">
        <w:rPr>
          <w:lang w:val="en-GB"/>
        </w:rPr>
        <w:t>disease</w:t>
      </w:r>
      <w:r w:rsidRPr="005F73F7">
        <w:rPr>
          <w:lang w:val="en-GB"/>
        </w:rPr>
        <w:t xml:space="preserve"> on production parameters and mortality are summarized per helminth </w:t>
      </w:r>
      <w:r w:rsidR="00735F2E">
        <w:rPr>
          <w:lang w:val="en-GB"/>
        </w:rPr>
        <w:t>group/species</w:t>
      </w:r>
      <w:r w:rsidR="00735F2E" w:rsidRPr="005F73F7">
        <w:rPr>
          <w:lang w:val="en-GB"/>
        </w:rPr>
        <w:t xml:space="preserve"> </w:t>
      </w:r>
      <w:r w:rsidRPr="005F73F7">
        <w:rPr>
          <w:lang w:val="en-GB"/>
        </w:rPr>
        <w:t xml:space="preserve">in Table 1. For GIN and </w:t>
      </w:r>
      <w:r w:rsidRPr="005F73F7">
        <w:rPr>
          <w:i/>
          <w:lang w:val="en-GB"/>
        </w:rPr>
        <w:t>F. hepatica</w:t>
      </w:r>
      <w:r w:rsidRPr="005F73F7">
        <w:rPr>
          <w:lang w:val="en-GB"/>
        </w:rPr>
        <w:t xml:space="preserve"> infections in dairy cattle, the same effects were used as in the previously reported ParaCalc® model (Charlier et al., 2012</w:t>
      </w:r>
      <w:r w:rsidR="00023BA7">
        <w:rPr>
          <w:lang w:val="en-GB"/>
        </w:rPr>
        <w:t>b</w:t>
      </w:r>
      <w:r w:rsidRPr="005F73F7">
        <w:rPr>
          <w:lang w:val="en-GB"/>
        </w:rPr>
        <w:t xml:space="preserve">), with </w:t>
      </w:r>
      <w:r w:rsidR="009672BF">
        <w:rPr>
          <w:lang w:val="en-GB"/>
        </w:rPr>
        <w:t xml:space="preserve">the </w:t>
      </w:r>
      <w:r w:rsidRPr="005F73F7">
        <w:rPr>
          <w:lang w:val="en-GB"/>
        </w:rPr>
        <w:t xml:space="preserve">following modifications. An effect of GIN-associated mortality in young dairy cattle was added as reported by </w:t>
      </w:r>
      <w:r w:rsidRPr="005F73F7">
        <w:rPr>
          <w:noProof/>
          <w:lang w:val="en-GB"/>
        </w:rPr>
        <w:t>(Delafosse, 2013)</w:t>
      </w:r>
      <w:r w:rsidRPr="005F73F7">
        <w:rPr>
          <w:lang w:val="en-GB"/>
        </w:rPr>
        <w:t xml:space="preserve">. The effects of </w:t>
      </w:r>
      <w:r w:rsidRPr="005F73F7">
        <w:rPr>
          <w:i/>
          <w:lang w:val="en-GB"/>
        </w:rPr>
        <w:t>F. hepatica</w:t>
      </w:r>
      <w:r w:rsidRPr="005F73F7">
        <w:rPr>
          <w:lang w:val="en-GB"/>
        </w:rPr>
        <w:t xml:space="preserve"> on fertility were slightly modified to consider animal level (Schweizer et al., 2005) instead of herd-level effects as previously used. For beef cattle, we used production effects for reduced carcass weight for GIN and </w:t>
      </w:r>
      <w:r w:rsidRPr="005F73F7">
        <w:rPr>
          <w:i/>
          <w:lang w:val="en-GB"/>
        </w:rPr>
        <w:t>F. hepatica</w:t>
      </w:r>
      <w:r w:rsidRPr="005F73F7">
        <w:rPr>
          <w:lang w:val="en-GB"/>
        </w:rPr>
        <w:t xml:space="preserve">, and we assumed the same effects on fertility as for dairy cattle. For </w:t>
      </w:r>
      <w:r w:rsidRPr="005F73F7">
        <w:rPr>
          <w:i/>
          <w:lang w:val="en-GB"/>
        </w:rPr>
        <w:t>D. viviparus</w:t>
      </w:r>
      <w:r w:rsidRPr="005F73F7">
        <w:rPr>
          <w:lang w:val="en-GB"/>
        </w:rPr>
        <w:t xml:space="preserve">, we </w:t>
      </w:r>
      <w:r w:rsidR="00AC1A18">
        <w:rPr>
          <w:lang w:val="en-GB"/>
        </w:rPr>
        <w:t>estimated effects on parameters of young stock (Eysker et al., 1997),</w:t>
      </w:r>
      <w:r w:rsidRPr="005F73F7">
        <w:rPr>
          <w:lang w:val="en-GB"/>
        </w:rPr>
        <w:t xml:space="preserve"> on milk production </w:t>
      </w:r>
      <w:r w:rsidRPr="005F73F7">
        <w:rPr>
          <w:noProof/>
          <w:lang w:val="en-GB"/>
        </w:rPr>
        <w:t>(May et al., 2018)</w:t>
      </w:r>
      <w:r w:rsidRPr="005F73F7">
        <w:rPr>
          <w:lang w:val="en-GB"/>
        </w:rPr>
        <w:t xml:space="preserve"> and mortality </w:t>
      </w:r>
      <w:r w:rsidRPr="005F73F7">
        <w:rPr>
          <w:noProof/>
          <w:lang w:val="en-GB"/>
        </w:rPr>
        <w:t>(Holzhauer et al., 2011)</w:t>
      </w:r>
      <w:r w:rsidRPr="005F73F7">
        <w:rPr>
          <w:lang w:val="en-GB"/>
        </w:rPr>
        <w:t xml:space="preserve"> in dairy cattle</w:t>
      </w:r>
      <w:r w:rsidR="00AC1A18">
        <w:rPr>
          <w:lang w:val="en-GB"/>
        </w:rPr>
        <w:t>. Only mortality was</w:t>
      </w:r>
      <w:r w:rsidRPr="005F73F7">
        <w:rPr>
          <w:lang w:val="en-GB"/>
        </w:rPr>
        <w:t xml:space="preserve"> </w:t>
      </w:r>
      <w:r w:rsidR="00AC1A18">
        <w:rPr>
          <w:lang w:val="en-GB"/>
        </w:rPr>
        <w:t>assumed</w:t>
      </w:r>
      <w:r w:rsidRPr="005F73F7">
        <w:rPr>
          <w:lang w:val="en-GB"/>
        </w:rPr>
        <w:t xml:space="preserve"> in beef cattle </w:t>
      </w:r>
      <w:r w:rsidR="00BE47BD">
        <w:rPr>
          <w:lang w:val="en-GB"/>
        </w:rPr>
        <w:t>bec</w:t>
      </w:r>
      <w:r w:rsidRPr="005F73F7">
        <w:rPr>
          <w:lang w:val="en-GB"/>
        </w:rPr>
        <w:t>a</w:t>
      </w:r>
      <w:r w:rsidR="00BE47BD">
        <w:rPr>
          <w:lang w:val="en-GB"/>
        </w:rPr>
        <w:t>u</w:t>
      </w:r>
      <w:r w:rsidRPr="005F73F7">
        <w:rPr>
          <w:lang w:val="en-GB"/>
        </w:rPr>
        <w:t>s</w:t>
      </w:r>
      <w:r w:rsidR="00BE47BD">
        <w:rPr>
          <w:lang w:val="en-GB"/>
        </w:rPr>
        <w:t>e</w:t>
      </w:r>
      <w:r w:rsidRPr="005F73F7">
        <w:rPr>
          <w:lang w:val="en-GB"/>
        </w:rPr>
        <w:t xml:space="preserve"> to the authors’ knowledge no </w:t>
      </w:r>
      <w:r w:rsidR="00AC1A18">
        <w:rPr>
          <w:lang w:val="en-GB"/>
        </w:rPr>
        <w:t>production impact studies are</w:t>
      </w:r>
      <w:r w:rsidRPr="005F73F7">
        <w:rPr>
          <w:lang w:val="en-GB"/>
        </w:rPr>
        <w:t xml:space="preserve"> available </w:t>
      </w:r>
      <w:r w:rsidR="00AC1A18">
        <w:rPr>
          <w:lang w:val="en-GB"/>
        </w:rPr>
        <w:t>for beef cattle</w:t>
      </w:r>
      <w:r w:rsidRPr="005F73F7">
        <w:rPr>
          <w:lang w:val="en-GB"/>
        </w:rPr>
        <w:t xml:space="preserve">. </w:t>
      </w:r>
    </w:p>
    <w:p w14:paraId="61D6C7AC" w14:textId="79138A8B" w:rsidR="00E9319B" w:rsidRPr="005F73F7" w:rsidRDefault="00E9319B" w:rsidP="00CF6817">
      <w:pPr>
        <w:spacing w:after="0" w:line="480" w:lineRule="auto"/>
        <w:jc w:val="both"/>
        <w:rPr>
          <w:lang w:val="en-GB"/>
        </w:rPr>
      </w:pPr>
      <w:r w:rsidRPr="005F73F7">
        <w:rPr>
          <w:lang w:val="en-GB"/>
        </w:rPr>
        <w:t xml:space="preserve">In sheep, the effects of GIN on milk production and carcass weight were based on the meta-analysis of </w:t>
      </w:r>
      <w:r w:rsidRPr="005F73F7">
        <w:rPr>
          <w:noProof/>
          <w:lang w:val="en-GB"/>
        </w:rPr>
        <w:t xml:space="preserve">Mavrot et al. </w:t>
      </w:r>
      <w:r w:rsidR="00023BA7">
        <w:rPr>
          <w:noProof/>
          <w:lang w:val="en-GB"/>
        </w:rPr>
        <w:t>(</w:t>
      </w:r>
      <w:r w:rsidRPr="005F73F7">
        <w:rPr>
          <w:noProof/>
          <w:lang w:val="en-GB"/>
        </w:rPr>
        <w:t>2015)</w:t>
      </w:r>
      <w:r w:rsidRPr="005F73F7">
        <w:rPr>
          <w:lang w:val="en-GB"/>
        </w:rPr>
        <w:t xml:space="preserve">. The same effect was assumed for infection with </w:t>
      </w:r>
      <w:r w:rsidRPr="005F73F7">
        <w:rPr>
          <w:i/>
          <w:lang w:val="en-GB"/>
        </w:rPr>
        <w:t xml:space="preserve">F. hepatica </w:t>
      </w:r>
      <w:r w:rsidRPr="005F73F7">
        <w:rPr>
          <w:lang w:val="en-GB"/>
        </w:rPr>
        <w:t>on milk production</w:t>
      </w:r>
      <w:r w:rsidRPr="005F73F7">
        <w:rPr>
          <w:i/>
          <w:lang w:val="en-GB"/>
        </w:rPr>
        <w:t xml:space="preserve">, </w:t>
      </w:r>
      <w:r w:rsidRPr="005F73F7">
        <w:rPr>
          <w:lang w:val="en-GB"/>
        </w:rPr>
        <w:lastRenderedPageBreak/>
        <w:t xml:space="preserve">while we used the study of </w:t>
      </w:r>
      <w:r w:rsidRPr="005F73F7">
        <w:rPr>
          <w:noProof/>
          <w:lang w:val="en-GB"/>
        </w:rPr>
        <w:t xml:space="preserve">Dargie </w:t>
      </w:r>
      <w:r w:rsidR="00023BA7">
        <w:rPr>
          <w:noProof/>
          <w:lang w:val="en-GB"/>
        </w:rPr>
        <w:t>(</w:t>
      </w:r>
      <w:r w:rsidRPr="005F73F7">
        <w:rPr>
          <w:noProof/>
          <w:lang w:val="en-GB"/>
        </w:rPr>
        <w:t>1987)</w:t>
      </w:r>
      <w:r w:rsidRPr="005F73F7">
        <w:rPr>
          <w:lang w:val="en-GB"/>
        </w:rPr>
        <w:t xml:space="preserve"> for the effects on carcass weight.</w:t>
      </w:r>
      <w:r w:rsidRPr="005F73F7">
        <w:rPr>
          <w:i/>
          <w:lang w:val="en-GB"/>
        </w:rPr>
        <w:t xml:space="preserve"> </w:t>
      </w:r>
      <w:r w:rsidRPr="005F73F7">
        <w:rPr>
          <w:lang w:val="en-GB"/>
        </w:rPr>
        <w:t xml:space="preserve">The effect </w:t>
      </w:r>
      <w:r w:rsidR="004F298A">
        <w:rPr>
          <w:lang w:val="en-GB"/>
        </w:rPr>
        <w:t xml:space="preserve">of </w:t>
      </w:r>
      <w:r w:rsidR="004F298A" w:rsidRPr="004F298A">
        <w:rPr>
          <w:i/>
          <w:iCs/>
          <w:lang w:val="en-GB"/>
        </w:rPr>
        <w:t>F. hepatica</w:t>
      </w:r>
      <w:r w:rsidR="004F298A">
        <w:rPr>
          <w:lang w:val="en-GB"/>
        </w:rPr>
        <w:t xml:space="preserve"> infection </w:t>
      </w:r>
      <w:r w:rsidRPr="005F73F7">
        <w:rPr>
          <w:lang w:val="en-GB"/>
        </w:rPr>
        <w:t xml:space="preserve">on </w:t>
      </w:r>
      <w:r w:rsidR="006D52AC">
        <w:rPr>
          <w:lang w:val="en-GB"/>
        </w:rPr>
        <w:t xml:space="preserve">the </w:t>
      </w:r>
      <w:r w:rsidRPr="005F73F7">
        <w:rPr>
          <w:lang w:val="en-GB"/>
        </w:rPr>
        <w:t xml:space="preserve">interlambing interval </w:t>
      </w:r>
      <w:r w:rsidR="004F298A">
        <w:rPr>
          <w:lang w:val="en-GB"/>
        </w:rPr>
        <w:t xml:space="preserve">for dairy sheep </w:t>
      </w:r>
      <w:r w:rsidRPr="005F73F7">
        <w:rPr>
          <w:lang w:val="en-GB"/>
        </w:rPr>
        <w:t>was proportionally deducted from the effect on intercalving interval in cattle, taking into account a shorter heat cycle in sheep than in cattle (17 v</w:t>
      </w:r>
      <w:r w:rsidR="004D1F22">
        <w:rPr>
          <w:lang w:val="en-GB"/>
        </w:rPr>
        <w:t>er</w:t>
      </w:r>
      <w:r w:rsidRPr="005F73F7">
        <w:rPr>
          <w:lang w:val="en-GB"/>
        </w:rPr>
        <w:t>s</w:t>
      </w:r>
      <w:r w:rsidR="004D1F22">
        <w:rPr>
          <w:lang w:val="en-GB"/>
        </w:rPr>
        <w:t>us</w:t>
      </w:r>
      <w:r w:rsidRPr="005F73F7">
        <w:rPr>
          <w:lang w:val="en-GB"/>
        </w:rPr>
        <w:t xml:space="preserve"> 21 days). The effect on milk production in dairy goats was based on the study of </w:t>
      </w:r>
      <w:r w:rsidRPr="005F73F7">
        <w:rPr>
          <w:noProof/>
          <w:lang w:val="en-GB"/>
        </w:rPr>
        <w:t xml:space="preserve">Veneziano et al. </w:t>
      </w:r>
      <w:r w:rsidR="00023BA7">
        <w:rPr>
          <w:noProof/>
          <w:lang w:val="en-GB"/>
        </w:rPr>
        <w:t>(</w:t>
      </w:r>
      <w:r w:rsidRPr="005F73F7">
        <w:rPr>
          <w:noProof/>
          <w:lang w:val="en-GB"/>
        </w:rPr>
        <w:t>2004)</w:t>
      </w:r>
      <w:r w:rsidRPr="005F73F7">
        <w:rPr>
          <w:lang w:val="en-GB"/>
        </w:rPr>
        <w:t xml:space="preserve">, while the effect </w:t>
      </w:r>
      <w:r w:rsidR="004F298A">
        <w:rPr>
          <w:lang w:val="en-GB"/>
        </w:rPr>
        <w:t xml:space="preserve">of </w:t>
      </w:r>
      <w:r w:rsidR="004F298A" w:rsidRPr="00FE6091">
        <w:rPr>
          <w:i/>
          <w:iCs/>
          <w:lang w:val="en-GB"/>
        </w:rPr>
        <w:t>F. hepatica</w:t>
      </w:r>
      <w:r w:rsidR="004F298A">
        <w:rPr>
          <w:lang w:val="en-GB"/>
        </w:rPr>
        <w:t xml:space="preserve"> infection </w:t>
      </w:r>
      <w:r w:rsidRPr="005F73F7">
        <w:rPr>
          <w:lang w:val="en-GB"/>
        </w:rPr>
        <w:t xml:space="preserve">on interkidding interval was assumed to be the same as </w:t>
      </w:r>
      <w:r w:rsidR="00FE6091">
        <w:rPr>
          <w:lang w:val="en-GB"/>
        </w:rPr>
        <w:t>in dairy sheep.</w:t>
      </w:r>
      <w:r w:rsidR="006804B3">
        <w:rPr>
          <w:lang w:val="en-GB"/>
        </w:rPr>
        <w:t xml:space="preserve"> A general mortality rate of 1% was applied in small ruminants with a production limiting helminth infection.</w:t>
      </w:r>
    </w:p>
    <w:p w14:paraId="07B7069A" w14:textId="77777777" w:rsidR="00E9319B" w:rsidRPr="005F73F7" w:rsidRDefault="00E9319B" w:rsidP="00CF6817">
      <w:pPr>
        <w:pStyle w:val="Heading2"/>
        <w:spacing w:line="480" w:lineRule="auto"/>
        <w:jc w:val="both"/>
        <w:rPr>
          <w:lang w:val="en-GB"/>
        </w:rPr>
      </w:pPr>
      <w:r w:rsidRPr="005F73F7">
        <w:rPr>
          <w:lang w:val="en-GB"/>
        </w:rPr>
        <w:t>2.5. Efforts to respond to the disease</w:t>
      </w:r>
    </w:p>
    <w:p w14:paraId="1384F1C1" w14:textId="55601735" w:rsidR="00E9319B" w:rsidRPr="005F73F7" w:rsidRDefault="00E9319B" w:rsidP="00CF6817">
      <w:pPr>
        <w:spacing w:after="0" w:line="480" w:lineRule="auto"/>
        <w:jc w:val="both"/>
        <w:rPr>
          <w:lang w:val="en-GB"/>
        </w:rPr>
      </w:pPr>
      <w:r w:rsidRPr="005F73F7">
        <w:rPr>
          <w:lang w:val="en-GB"/>
        </w:rPr>
        <w:t xml:space="preserve">Two different kinds of “response” costs were considered. Costs of anthelmintic treatments were estimated by using data on the </w:t>
      </w:r>
      <w:r w:rsidR="002B28AD">
        <w:rPr>
          <w:lang w:val="en-GB"/>
        </w:rPr>
        <w:t>percentage</w:t>
      </w:r>
      <w:r w:rsidRPr="005F73F7">
        <w:rPr>
          <w:lang w:val="en-GB"/>
        </w:rPr>
        <w:t xml:space="preserve"> of animals treated, the average number of anthelmintic treatments per animal per year and an average cost of the treatment.</w:t>
      </w:r>
      <w:r w:rsidR="008A2D23">
        <w:rPr>
          <w:lang w:val="en-GB"/>
        </w:rPr>
        <w:t xml:space="preserve"> Input data were based on local expert’s opinions.</w:t>
      </w:r>
      <w:r w:rsidRPr="005F73F7">
        <w:rPr>
          <w:lang w:val="en-GB"/>
        </w:rPr>
        <w:t xml:space="preserve"> Given there was more variation in prices depending on the product used and the size of the animal (e.g. sheep </w:t>
      </w:r>
      <w:r w:rsidR="004D1F22" w:rsidRPr="005F73F7">
        <w:rPr>
          <w:lang w:val="en-GB"/>
        </w:rPr>
        <w:t>v</w:t>
      </w:r>
      <w:r w:rsidR="004D1F22">
        <w:rPr>
          <w:lang w:val="en-GB"/>
        </w:rPr>
        <w:t>er</w:t>
      </w:r>
      <w:r w:rsidR="004D1F22" w:rsidRPr="005F73F7">
        <w:rPr>
          <w:lang w:val="en-GB"/>
        </w:rPr>
        <w:t>s</w:t>
      </w:r>
      <w:r w:rsidR="004D1F22">
        <w:rPr>
          <w:lang w:val="en-GB"/>
        </w:rPr>
        <w:t>us</w:t>
      </w:r>
      <w:r w:rsidRPr="005F73F7">
        <w:rPr>
          <w:lang w:val="en-GB"/>
        </w:rPr>
        <w:t xml:space="preserve"> cow) than in price variations within countries, fixed treatment costs were applied across all countries. These were </w:t>
      </w:r>
      <w:r w:rsidRPr="005F73F7">
        <w:rPr>
          <w:rFonts w:cstheme="minorHAnsi"/>
          <w:lang w:val="en-GB"/>
        </w:rPr>
        <w:t>€</w:t>
      </w:r>
      <w:r w:rsidRPr="005F73F7">
        <w:rPr>
          <w:lang w:val="en-GB"/>
        </w:rPr>
        <w:t xml:space="preserve"> 0.7, </w:t>
      </w:r>
      <w:r w:rsidRPr="005F73F7">
        <w:rPr>
          <w:rFonts w:cstheme="minorHAnsi"/>
          <w:lang w:val="en-GB"/>
        </w:rPr>
        <w:t>€</w:t>
      </w:r>
      <w:r w:rsidRPr="005F73F7">
        <w:rPr>
          <w:lang w:val="en-GB"/>
        </w:rPr>
        <w:t xml:space="preserve"> 1.5, </w:t>
      </w:r>
      <w:r w:rsidRPr="005F73F7">
        <w:rPr>
          <w:rFonts w:cstheme="minorHAnsi"/>
          <w:lang w:val="en-GB"/>
        </w:rPr>
        <w:t>€</w:t>
      </w:r>
      <w:r w:rsidRPr="005F73F7">
        <w:rPr>
          <w:lang w:val="en-GB"/>
        </w:rPr>
        <w:t xml:space="preserve"> 4</w:t>
      </w:r>
      <w:r w:rsidR="00FE6091">
        <w:rPr>
          <w:lang w:val="en-GB"/>
        </w:rPr>
        <w:t xml:space="preserve"> and </w:t>
      </w:r>
      <w:r w:rsidRPr="005F73F7">
        <w:rPr>
          <w:rFonts w:cstheme="minorHAnsi"/>
          <w:lang w:val="en-GB"/>
        </w:rPr>
        <w:t>€</w:t>
      </w:r>
      <w:r w:rsidRPr="005F73F7">
        <w:rPr>
          <w:lang w:val="en-GB"/>
        </w:rPr>
        <w:t xml:space="preserve"> 8 per dosed lamb</w:t>
      </w:r>
      <w:r w:rsidR="00A57C5D">
        <w:rPr>
          <w:lang w:val="en-GB"/>
        </w:rPr>
        <w:t>/</w:t>
      </w:r>
      <w:r w:rsidRPr="005F73F7">
        <w:rPr>
          <w:lang w:val="en-GB"/>
        </w:rPr>
        <w:t>goat kid, adult sheep/goat, heifer and adult cow, respectively.</w:t>
      </w:r>
    </w:p>
    <w:p w14:paraId="6E3B283E" w14:textId="56CD64A2" w:rsidR="00E9319B" w:rsidRPr="005F73F7" w:rsidRDefault="00E9319B" w:rsidP="00CF6817">
      <w:pPr>
        <w:spacing w:after="0" w:line="480" w:lineRule="auto"/>
        <w:jc w:val="both"/>
        <w:rPr>
          <w:lang w:val="en-GB"/>
        </w:rPr>
      </w:pPr>
      <w:r w:rsidRPr="005F73F7">
        <w:rPr>
          <w:lang w:val="en-GB"/>
        </w:rPr>
        <w:t>In addition, data were collected on publicly funded research programmes at the national and European level that worked on the topic of the</w:t>
      </w:r>
      <w:r w:rsidR="00FE6091">
        <w:rPr>
          <w:lang w:val="en-GB"/>
        </w:rPr>
        <w:t xml:space="preserve"> considered</w:t>
      </w:r>
      <w:r w:rsidRPr="005F73F7">
        <w:rPr>
          <w:lang w:val="en-GB"/>
        </w:rPr>
        <w:t xml:space="preserve"> helminth infections. To this aim, the budgets of research projects were extracted from the Research Project Database of the Collaborative Working Group (CWG) of European Animal Health &amp; Welfare research and STAR-IDAZ International Research Consortium (IRC) </w:t>
      </w:r>
      <w:r w:rsidRPr="005F73F7">
        <w:rPr>
          <w:noProof/>
          <w:lang w:val="en-GB"/>
        </w:rPr>
        <w:t>(STAR-IDAZ, 2019)</w:t>
      </w:r>
      <w:r w:rsidRPr="005F73F7">
        <w:rPr>
          <w:lang w:val="en-GB"/>
        </w:rPr>
        <w:t xml:space="preserve">. Because the database is incomplete, COMBAR working group members complemented these data by </w:t>
      </w:r>
      <w:r w:rsidR="00446E17">
        <w:rPr>
          <w:lang w:val="en-GB"/>
        </w:rPr>
        <w:t>searching national databases and contacting their networks</w:t>
      </w:r>
      <w:r w:rsidRPr="005F73F7">
        <w:rPr>
          <w:lang w:val="en-GB"/>
        </w:rPr>
        <w:t xml:space="preserve">. Only </w:t>
      </w:r>
      <w:r w:rsidR="00AF260A">
        <w:rPr>
          <w:lang w:val="en-GB"/>
        </w:rPr>
        <w:t xml:space="preserve">relevant </w:t>
      </w:r>
      <w:r w:rsidRPr="005F73F7">
        <w:rPr>
          <w:lang w:val="en-GB"/>
        </w:rPr>
        <w:t xml:space="preserve">research projects that started after 1 January 2008 and ended before 31 December 2017 were considered.   </w:t>
      </w:r>
    </w:p>
    <w:p w14:paraId="6E83B607" w14:textId="77777777" w:rsidR="00E9319B" w:rsidRPr="005F73F7" w:rsidRDefault="00E9319B" w:rsidP="00CF6817">
      <w:pPr>
        <w:pStyle w:val="Heading2"/>
        <w:spacing w:line="480" w:lineRule="auto"/>
        <w:jc w:val="both"/>
        <w:rPr>
          <w:lang w:val="en-GB"/>
        </w:rPr>
      </w:pPr>
      <w:r w:rsidRPr="005F73F7">
        <w:rPr>
          <w:lang w:val="en-GB"/>
        </w:rPr>
        <w:t>2.6. The effects of anthelmintic resistance</w:t>
      </w:r>
    </w:p>
    <w:p w14:paraId="4DEB0CC6" w14:textId="7CE08FD6" w:rsidR="00E9319B" w:rsidRPr="005F73F7" w:rsidRDefault="00E9319B" w:rsidP="00CF6817">
      <w:pPr>
        <w:spacing w:after="0" w:line="480" w:lineRule="auto"/>
        <w:jc w:val="both"/>
        <w:rPr>
          <w:lang w:val="en-GB"/>
        </w:rPr>
      </w:pPr>
      <w:r w:rsidRPr="005F73F7">
        <w:rPr>
          <w:lang w:val="en-GB"/>
        </w:rPr>
        <w:t xml:space="preserve">The costs of AR were modelled as a function of the </w:t>
      </w:r>
      <w:r w:rsidR="00FE6091">
        <w:rPr>
          <w:lang w:val="en-GB"/>
        </w:rPr>
        <w:t xml:space="preserve">farm-level </w:t>
      </w:r>
      <w:r w:rsidRPr="005F73F7">
        <w:rPr>
          <w:lang w:val="en-GB"/>
        </w:rPr>
        <w:t>prevalence of AR, the production penalty of using a partial</w:t>
      </w:r>
      <w:r w:rsidR="00FE6091">
        <w:rPr>
          <w:lang w:val="en-GB"/>
        </w:rPr>
        <w:t>ly</w:t>
      </w:r>
      <w:r w:rsidRPr="005F73F7">
        <w:rPr>
          <w:lang w:val="en-GB"/>
        </w:rPr>
        <w:t xml:space="preserve"> v</w:t>
      </w:r>
      <w:r w:rsidR="002B28AD">
        <w:rPr>
          <w:lang w:val="en-GB"/>
        </w:rPr>
        <w:t>ersus</w:t>
      </w:r>
      <w:r w:rsidRPr="005F73F7">
        <w:rPr>
          <w:lang w:val="en-GB"/>
        </w:rPr>
        <w:t xml:space="preserve"> a fully effective </w:t>
      </w:r>
      <w:r w:rsidR="00735F2E">
        <w:rPr>
          <w:lang w:val="en-GB"/>
        </w:rPr>
        <w:t>anthelmintic</w:t>
      </w:r>
      <w:r w:rsidRPr="005F73F7">
        <w:rPr>
          <w:lang w:val="en-GB"/>
        </w:rPr>
        <w:t xml:space="preserve"> and the cost of the</w:t>
      </w:r>
      <w:r w:rsidR="00AF260A">
        <w:rPr>
          <w:lang w:val="en-GB"/>
        </w:rPr>
        <w:t xml:space="preserve"> ineffective</w:t>
      </w:r>
      <w:r w:rsidRPr="005F73F7">
        <w:rPr>
          <w:lang w:val="en-GB"/>
        </w:rPr>
        <w:t xml:space="preserve"> anthelmintic</w:t>
      </w:r>
      <w:r w:rsidR="00735F2E">
        <w:rPr>
          <w:lang w:val="en-GB"/>
        </w:rPr>
        <w:t xml:space="preserve"> as </w:t>
      </w:r>
      <w:r w:rsidR="00735F2E">
        <w:rPr>
          <w:lang w:val="en-GB"/>
        </w:rPr>
        <w:lastRenderedPageBreak/>
        <w:t>described below</w:t>
      </w:r>
      <w:r w:rsidRPr="005F73F7">
        <w:rPr>
          <w:lang w:val="en-GB"/>
        </w:rPr>
        <w:t>.</w:t>
      </w:r>
      <w:r w:rsidR="00AF260A">
        <w:rPr>
          <w:lang w:val="en-GB"/>
        </w:rPr>
        <w:t xml:space="preserve"> Costs of AR were not added to total production loss and treatment costs. Rather, the estimated cost of AR was disaggregated from the total cost of helminth infections.</w:t>
      </w:r>
    </w:p>
    <w:p w14:paraId="320A161B" w14:textId="0A67A205" w:rsidR="009C6C3B" w:rsidRDefault="00E9319B" w:rsidP="00CF6817">
      <w:pPr>
        <w:spacing w:after="0" w:line="480" w:lineRule="auto"/>
        <w:jc w:val="both"/>
        <w:rPr>
          <w:lang w:val="en-GB"/>
        </w:rPr>
      </w:pPr>
      <w:r w:rsidRPr="005F73F7">
        <w:rPr>
          <w:lang w:val="en-GB"/>
        </w:rPr>
        <w:t xml:space="preserve">Although the presence of AR in ruminants has now been confirmed in most European countries </w:t>
      </w:r>
      <w:r w:rsidRPr="005F73F7">
        <w:rPr>
          <w:noProof/>
          <w:lang w:val="en-GB"/>
        </w:rPr>
        <w:t>(Rose et al., 2015)</w:t>
      </w:r>
      <w:r w:rsidRPr="005F73F7">
        <w:rPr>
          <w:lang w:val="en-GB"/>
        </w:rPr>
        <w:t xml:space="preserve">, </w:t>
      </w:r>
      <w:r w:rsidR="00AF260A">
        <w:rPr>
          <w:lang w:val="en-GB"/>
        </w:rPr>
        <w:t>available</w:t>
      </w:r>
      <w:r w:rsidRPr="005F73F7">
        <w:rPr>
          <w:lang w:val="en-GB"/>
        </w:rPr>
        <w:t xml:space="preserve"> data </w:t>
      </w:r>
      <w:r w:rsidR="00AF260A">
        <w:rPr>
          <w:lang w:val="en-GB"/>
        </w:rPr>
        <w:t>on its</w:t>
      </w:r>
      <w:r w:rsidRPr="005F73F7">
        <w:rPr>
          <w:lang w:val="en-GB"/>
        </w:rPr>
        <w:t xml:space="preserve"> prevalence and production impacts </w:t>
      </w:r>
      <w:r w:rsidR="00AF260A">
        <w:rPr>
          <w:lang w:val="en-GB"/>
        </w:rPr>
        <w:t>are few and patchy</w:t>
      </w:r>
      <w:r w:rsidRPr="005F73F7">
        <w:rPr>
          <w:lang w:val="en-GB"/>
        </w:rPr>
        <w:t xml:space="preserve">. Therefore, each scientist was asked to provide a value for the most likely prevalence of resistance against macrocyclic lactones </w:t>
      </w:r>
      <w:r w:rsidR="00FE6091">
        <w:rPr>
          <w:lang w:val="en-GB"/>
        </w:rPr>
        <w:t xml:space="preserve">(ML) </w:t>
      </w:r>
      <w:r w:rsidRPr="005F73F7">
        <w:rPr>
          <w:lang w:val="en-GB"/>
        </w:rPr>
        <w:t xml:space="preserve">in </w:t>
      </w:r>
      <w:r w:rsidR="00197760">
        <w:rPr>
          <w:lang w:val="en-GB"/>
        </w:rPr>
        <w:t>the</w:t>
      </w:r>
      <w:r w:rsidR="004D1F22">
        <w:rPr>
          <w:lang w:val="en-GB"/>
        </w:rPr>
        <w:t>ir</w:t>
      </w:r>
      <w:r w:rsidR="00197760" w:rsidRPr="005F73F7">
        <w:rPr>
          <w:lang w:val="en-GB"/>
        </w:rPr>
        <w:t xml:space="preserve"> </w:t>
      </w:r>
      <w:r w:rsidRPr="005F73F7">
        <w:rPr>
          <w:lang w:val="en-GB"/>
        </w:rPr>
        <w:t xml:space="preserve">country, for cattle, sheep and goats. If no data were provided, the value was imputed based on the overall average by animal species. </w:t>
      </w:r>
      <w:r w:rsidR="00FE6091">
        <w:rPr>
          <w:lang w:val="en-GB"/>
        </w:rPr>
        <w:t>ML</w:t>
      </w:r>
      <w:r w:rsidR="009C6C3B">
        <w:rPr>
          <w:lang w:val="en-GB"/>
        </w:rPr>
        <w:t xml:space="preserve"> were chosen because they are by far the most commonly used anthelmintic class in lactating animals, and in cattle of all ages, across Europe. Moreover, in sheep and goats, resistance to other classes, especially benzimidazoles, is now very common (Rose et al., 2015) and farms experiencing high levels of resistance to one class of drug are likely to progressively switch to other drug classes, favouring the more effective ML. It was therefore considered that the farm-level prevalence of resistance to ML provides the fairest indication of the likelihood of treatment failure, given options available to farmers in a given country.</w:t>
      </w:r>
    </w:p>
    <w:p w14:paraId="4D55E6DD" w14:textId="05640175" w:rsidR="00E9319B" w:rsidRPr="005F73F7" w:rsidRDefault="009C6C3B" w:rsidP="00CF6817">
      <w:pPr>
        <w:spacing w:after="0" w:line="480" w:lineRule="auto"/>
        <w:jc w:val="both"/>
        <w:rPr>
          <w:lang w:val="en-GB"/>
        </w:rPr>
      </w:pPr>
      <w:r>
        <w:rPr>
          <w:lang w:val="en-GB"/>
        </w:rPr>
        <w:t xml:space="preserve">Expert opinion on prevalence of ML resistance was supplemented by estimates of sample size weighted prevalence from published studies and abstracts, listed in Rose et al. (2015) </w:t>
      </w:r>
      <w:r w:rsidR="006B04F4">
        <w:rPr>
          <w:lang w:val="en-GB"/>
        </w:rPr>
        <w:t>complemented with recent stud</w:t>
      </w:r>
      <w:r w:rsidR="00FE6091">
        <w:rPr>
          <w:lang w:val="en-GB"/>
        </w:rPr>
        <w:t>ies</w:t>
      </w:r>
      <w:r>
        <w:rPr>
          <w:lang w:val="en-GB"/>
        </w:rPr>
        <w:t xml:space="preserve">. For countries with no available data, average prevalence across other countries in the same climatic zone was used. Reported prevalence is likely to be strongly influenced by farm selection and publication bias (Rose et al., 2015), while expert opinion can be influenced by various pre-conceptions, so neither measure </w:t>
      </w:r>
      <w:r w:rsidR="00FE6091">
        <w:rPr>
          <w:lang w:val="en-GB"/>
        </w:rPr>
        <w:t>should be considered as</w:t>
      </w:r>
      <w:r>
        <w:rPr>
          <w:lang w:val="en-GB"/>
        </w:rPr>
        <w:t xml:space="preserve"> a gold standard. </w:t>
      </w:r>
      <w:r w:rsidR="008A2D23">
        <w:rPr>
          <w:lang w:val="en-GB"/>
        </w:rPr>
        <w:t>The arithmetic mean</w:t>
      </w:r>
      <w:r>
        <w:rPr>
          <w:lang w:val="en-GB"/>
        </w:rPr>
        <w:t xml:space="preserve"> of the prevalence estimated by experts and that from publications was therefore used in the present analysis.</w:t>
      </w:r>
    </w:p>
    <w:p w14:paraId="73868B71" w14:textId="7AF98E54" w:rsidR="00E9319B" w:rsidRPr="005F73F7" w:rsidRDefault="68EF3517" w:rsidP="00CF6817">
      <w:pPr>
        <w:spacing w:after="0" w:line="480" w:lineRule="auto"/>
        <w:jc w:val="both"/>
        <w:rPr>
          <w:lang w:val="en-GB"/>
        </w:rPr>
      </w:pPr>
      <w:r w:rsidRPr="68EF3517">
        <w:rPr>
          <w:lang w:val="en-GB"/>
        </w:rPr>
        <w:t xml:space="preserve">For production penalties, in their cost-benefit analysis of AR delaying strategies, </w:t>
      </w:r>
      <w:r w:rsidRPr="68EF3517">
        <w:rPr>
          <w:noProof/>
          <w:lang w:val="en-GB"/>
        </w:rPr>
        <w:t>Geurden et al. (2014)</w:t>
      </w:r>
      <w:r w:rsidRPr="68EF3517">
        <w:rPr>
          <w:lang w:val="en-GB"/>
        </w:rPr>
        <w:t xml:space="preserve"> reported a penalty on live weight gain in lambs of 10% following the use of a partial versus fully effective wormer. However, </w:t>
      </w:r>
      <w:r w:rsidRPr="68EF3517">
        <w:rPr>
          <w:noProof/>
          <w:lang w:val="en-GB"/>
        </w:rPr>
        <w:t>Learmount et al. (2018)</w:t>
      </w:r>
      <w:r w:rsidRPr="68EF3517">
        <w:rPr>
          <w:lang w:val="en-GB"/>
        </w:rPr>
        <w:t xml:space="preserve"> argued this may be an underestimation of the true production cost of AR. Study groups co-grazed the same pasture with a negative effect on live weight gain of the treated animals because the pasture became more heavily contaminated by the </w:t>
      </w:r>
      <w:r w:rsidRPr="68EF3517">
        <w:rPr>
          <w:lang w:val="en-GB"/>
        </w:rPr>
        <w:lastRenderedPageBreak/>
        <w:t xml:space="preserve">lambs treated with the ineffective wormers and by untreated sheep. In calves, </w:t>
      </w:r>
      <w:r w:rsidRPr="68EF3517">
        <w:rPr>
          <w:noProof/>
          <w:lang w:val="en-GB"/>
        </w:rPr>
        <w:t>Fazzio et al. (2019)</w:t>
      </w:r>
      <w:r w:rsidRPr="68EF3517">
        <w:rPr>
          <w:lang w:val="en-GB"/>
        </w:rPr>
        <w:t xml:space="preserve"> found a 18% decrease in weight gain comparing the use of partial versus a fully effective wormer. Based on these studies, and as an initial estimate of the production costs of AR, we attributed 15% of the different helminth induced effects on production and mortality of GIN infections to occur due to the presence of AR. In addition, we attributed 15% of the anthelmintic treatment costs to the overall costs of AR, because this part of the treatment could be considered as ineffective. As almost no data are available on the prevalence and production effects of AR in </w:t>
      </w:r>
      <w:r w:rsidRPr="68EF3517">
        <w:rPr>
          <w:i/>
          <w:iCs/>
          <w:lang w:val="en-GB"/>
        </w:rPr>
        <w:t>F. hepatica</w:t>
      </w:r>
      <w:r w:rsidRPr="68EF3517">
        <w:rPr>
          <w:lang w:val="en-GB"/>
        </w:rPr>
        <w:t xml:space="preserve"> and </w:t>
      </w:r>
      <w:r w:rsidRPr="68EF3517">
        <w:rPr>
          <w:i/>
          <w:iCs/>
          <w:lang w:val="en-GB"/>
        </w:rPr>
        <w:t>D. viviparus</w:t>
      </w:r>
      <w:r w:rsidRPr="68EF3517">
        <w:rPr>
          <w:lang w:val="en-GB"/>
        </w:rPr>
        <w:t>, no cost estimate was provided for these parasites. The cost of AR was thus defined according to the formula:</w:t>
      </w:r>
    </w:p>
    <w:p w14:paraId="0BA0621E" w14:textId="6B7C6A58" w:rsidR="00E9319B" w:rsidRPr="005F73F7" w:rsidRDefault="00BE76FF" w:rsidP="00CF6817">
      <w:pPr>
        <w:spacing w:line="480" w:lineRule="auto"/>
        <w:jc w:val="both"/>
        <w:rPr>
          <w:rFonts w:eastAsiaTheme="minorEastAsia"/>
          <w:lang w:val="en-GB"/>
        </w:rPr>
      </w:pPr>
      <m:oMath>
        <m:sSub>
          <m:sSubPr>
            <m:ctrlPr>
              <w:rPr>
                <w:rFonts w:ascii="Cambria Math" w:hAnsi="Cambria Math"/>
                <w:lang w:val="en-GB"/>
              </w:rPr>
            </m:ctrlPr>
          </m:sSubPr>
          <m:e>
            <m:r>
              <w:rPr>
                <w:rFonts w:ascii="Cambria Math" w:hAnsi="Cambria Math"/>
                <w:lang w:val="en-GB"/>
              </w:rPr>
              <m:t>COST</m:t>
            </m:r>
          </m:e>
          <m:sub>
            <m:r>
              <w:rPr>
                <w:rFonts w:ascii="Cambria Math" w:hAnsi="Cambria Math"/>
                <w:lang w:val="en-GB"/>
              </w:rPr>
              <m:t>AR</m:t>
            </m:r>
          </m:sub>
        </m:sSub>
        <m: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i, j</m:t>
            </m:r>
          </m:sub>
          <m:sup/>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*0.15</m:t>
                </m:r>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*L</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e>
            </m:d>
          </m:e>
        </m:nary>
      </m:oMath>
      <w:r w:rsidR="00914F36" w:rsidRPr="68EF3517">
        <w:rPr>
          <w:rFonts w:eastAsiaTheme="minorEastAsia"/>
          <w:lang w:val="en-GB"/>
        </w:rPr>
        <w:t xml:space="preserve"> </w:t>
      </w:r>
    </w:p>
    <w:p w14:paraId="22E0DA50" w14:textId="5F9224D4" w:rsidR="00E9319B" w:rsidRPr="005F73F7" w:rsidRDefault="00E9319B" w:rsidP="00CF6817">
      <w:pPr>
        <w:spacing w:line="480" w:lineRule="auto"/>
        <w:jc w:val="both"/>
        <w:rPr>
          <w:rFonts w:eastAsiaTheme="minorEastAsia"/>
          <w:lang w:val="en-GB"/>
        </w:rPr>
      </w:pPr>
      <w:r w:rsidRPr="0078266F">
        <w:rPr>
          <w:rFonts w:eastAsiaTheme="minorEastAsia"/>
          <w:lang w:val="en-GB"/>
        </w:rPr>
        <w:t xml:space="preserve">Where </w:t>
      </w:r>
      <w:r w:rsidR="00914F36" w:rsidRPr="0078266F">
        <w:rPr>
          <w:rFonts w:eastAsiaTheme="minorEastAsia"/>
          <w:i/>
          <w:lang w:val="en-GB"/>
        </w:rPr>
        <w:t xml:space="preserve">i </w:t>
      </w:r>
      <w:r w:rsidR="00914F36" w:rsidRPr="0078266F">
        <w:rPr>
          <w:rFonts w:eastAsiaTheme="minorEastAsia"/>
          <w:iCs/>
          <w:lang w:val="en-GB"/>
        </w:rPr>
        <w:t>(</w:t>
      </w:r>
      <w:r w:rsidR="00914F36" w:rsidRPr="0078266F">
        <w:rPr>
          <w:rFonts w:eastAsiaTheme="minorEastAsia"/>
          <w:i/>
          <w:lang w:val="en-GB"/>
        </w:rPr>
        <w:t>i</w:t>
      </w:r>
      <w:r w:rsidR="00914F36" w:rsidRPr="0078266F">
        <w:rPr>
          <w:rFonts w:eastAsiaTheme="minorEastAsia"/>
          <w:iCs/>
          <w:lang w:val="en-GB"/>
        </w:rPr>
        <w:t>= 1-6)</w:t>
      </w:r>
      <w:r w:rsidRPr="0078266F">
        <w:rPr>
          <w:rFonts w:eastAsiaTheme="minorEastAsia"/>
          <w:iCs/>
          <w:lang w:val="en-GB"/>
        </w:rPr>
        <w:t xml:space="preserve"> is the</w:t>
      </w:r>
      <w:r w:rsidRPr="0078266F">
        <w:rPr>
          <w:rFonts w:eastAsiaTheme="minorEastAsia"/>
          <w:lang w:val="en-GB"/>
        </w:rPr>
        <w:t xml:space="preserve"> animal category</w:t>
      </w:r>
      <w:r w:rsidR="0011785E" w:rsidRPr="0078266F">
        <w:rPr>
          <w:rFonts w:eastAsiaTheme="minorEastAsia"/>
          <w:lang w:val="en-GB"/>
        </w:rPr>
        <w:t xml:space="preserve"> (e</w:t>
      </w:r>
      <w:r w:rsidR="008B2D63" w:rsidRPr="0078266F">
        <w:rPr>
          <w:rFonts w:eastAsiaTheme="minorEastAsia"/>
          <w:lang w:val="en-GB"/>
        </w:rPr>
        <w:t>.</w:t>
      </w:r>
      <w:r w:rsidR="0011785E" w:rsidRPr="0078266F">
        <w:rPr>
          <w:rFonts w:eastAsiaTheme="minorEastAsia"/>
          <w:lang w:val="en-GB"/>
        </w:rPr>
        <w:t xml:space="preserve">g. </w:t>
      </w:r>
      <w:r w:rsidR="009E4DA9" w:rsidRPr="0078266F">
        <w:rPr>
          <w:rFonts w:eastAsiaTheme="minorEastAsia"/>
          <w:lang w:val="en-GB"/>
        </w:rPr>
        <w:t>d</w:t>
      </w:r>
      <w:r w:rsidR="0011785E" w:rsidRPr="0078266F">
        <w:rPr>
          <w:rFonts w:eastAsiaTheme="minorEastAsia"/>
          <w:lang w:val="en-GB"/>
        </w:rPr>
        <w:t xml:space="preserve">airy young stock, </w:t>
      </w:r>
      <w:r w:rsidR="009E4DA9" w:rsidRPr="0078266F">
        <w:rPr>
          <w:rFonts w:eastAsiaTheme="minorEastAsia"/>
          <w:lang w:val="en-GB"/>
        </w:rPr>
        <w:t>b</w:t>
      </w:r>
      <w:r w:rsidR="0011785E" w:rsidRPr="0078266F">
        <w:rPr>
          <w:rFonts w:eastAsiaTheme="minorEastAsia"/>
          <w:lang w:val="en-GB"/>
        </w:rPr>
        <w:t>eef cattle, …)</w:t>
      </w:r>
      <w:r w:rsidRPr="0078266F">
        <w:rPr>
          <w:rFonts w:eastAsiaTheme="minorEastAsia"/>
          <w:lang w:val="en-GB"/>
        </w:rPr>
        <w:t xml:space="preserve">; </w:t>
      </w:r>
      <w:r w:rsidRPr="0078266F">
        <w:rPr>
          <w:rFonts w:eastAsiaTheme="minorEastAsia"/>
          <w:i/>
          <w:lang w:val="en-GB"/>
        </w:rPr>
        <w:t xml:space="preserve">j </w:t>
      </w:r>
      <w:r w:rsidR="00914F36" w:rsidRPr="0078266F">
        <w:rPr>
          <w:rFonts w:eastAsiaTheme="minorEastAsia"/>
          <w:iCs/>
          <w:lang w:val="en-GB"/>
        </w:rPr>
        <w:t>(</w:t>
      </w:r>
      <w:r w:rsidR="00914F36" w:rsidRPr="0078266F">
        <w:rPr>
          <w:rFonts w:eastAsiaTheme="minorEastAsia"/>
          <w:i/>
          <w:lang w:val="en-GB"/>
        </w:rPr>
        <w:t>j</w:t>
      </w:r>
      <w:r w:rsidR="00914F36" w:rsidRPr="0078266F">
        <w:rPr>
          <w:rFonts w:eastAsiaTheme="minorEastAsia"/>
          <w:iCs/>
          <w:lang w:val="en-GB"/>
        </w:rPr>
        <w:t xml:space="preserve">= 1-3) </w:t>
      </w:r>
      <w:r w:rsidRPr="0078266F">
        <w:rPr>
          <w:rFonts w:eastAsiaTheme="minorEastAsia"/>
          <w:lang w:val="en-GB"/>
        </w:rPr>
        <w:t>is the category of production impact</w:t>
      </w:r>
      <w:r w:rsidR="00914F36" w:rsidRPr="0078266F">
        <w:rPr>
          <w:rFonts w:eastAsiaTheme="minorEastAsia"/>
          <w:lang w:val="en-GB"/>
        </w:rPr>
        <w:t xml:space="preserve"> within animal category</w:t>
      </w:r>
      <w:r w:rsidRPr="0078266F">
        <w:rPr>
          <w:rFonts w:eastAsiaTheme="minorEastAsia"/>
          <w:lang w:val="en-GB"/>
        </w:rPr>
        <w:t xml:space="preserve">; </w:t>
      </w:r>
      <w:r w:rsidRPr="0078266F">
        <w:rPr>
          <w:rFonts w:eastAsiaTheme="minorEastAsia"/>
          <w:i/>
          <w:lang w:val="en-GB"/>
        </w:rPr>
        <w:t>A</w:t>
      </w:r>
      <w:r w:rsidRPr="0078266F">
        <w:rPr>
          <w:rFonts w:eastAsiaTheme="minorEastAsia"/>
          <w:lang w:val="en-GB"/>
        </w:rPr>
        <w:t xml:space="preserve"> is the size of the animal population; </w:t>
      </w:r>
      <w:r w:rsidRPr="0078266F">
        <w:rPr>
          <w:rFonts w:eastAsiaTheme="minorEastAsia"/>
          <w:i/>
          <w:lang w:val="en-GB"/>
        </w:rPr>
        <w:t>G</w:t>
      </w:r>
      <w:r w:rsidRPr="0078266F">
        <w:rPr>
          <w:rFonts w:eastAsiaTheme="minorEastAsia"/>
          <w:lang w:val="en-GB"/>
        </w:rPr>
        <w:t xml:space="preserve"> is the proportion of animals exposed to grazing; </w:t>
      </w:r>
      <w:r w:rsidRPr="0078266F">
        <w:rPr>
          <w:rFonts w:eastAsiaTheme="minorEastAsia"/>
          <w:i/>
          <w:lang w:val="en-GB"/>
        </w:rPr>
        <w:t xml:space="preserve">T </w:t>
      </w:r>
      <w:r w:rsidRPr="0078266F">
        <w:rPr>
          <w:rFonts w:eastAsiaTheme="minorEastAsia"/>
          <w:i/>
          <w:vertAlign w:val="subscript"/>
          <w:lang w:val="en-GB"/>
        </w:rPr>
        <w:t xml:space="preserve"> </w:t>
      </w:r>
      <w:r w:rsidRPr="0078266F">
        <w:rPr>
          <w:rFonts w:eastAsiaTheme="minorEastAsia"/>
          <w:lang w:val="en-GB"/>
        </w:rPr>
        <w:t xml:space="preserve">is the proportion </w:t>
      </w:r>
      <w:r w:rsidRPr="005F73F7">
        <w:rPr>
          <w:rFonts w:eastAsiaTheme="minorEastAsia"/>
          <w:lang w:val="en-GB"/>
        </w:rPr>
        <w:t xml:space="preserve">of animals receiving anthelmintic treatment; 0.15 is the loss coefficient attributed to anthelmintic resistance; </w:t>
      </w:r>
      <w:r w:rsidRPr="005F73F7">
        <w:rPr>
          <w:rFonts w:eastAsiaTheme="minorEastAsia"/>
          <w:i/>
          <w:lang w:val="en-GB"/>
        </w:rPr>
        <w:t>P</w:t>
      </w:r>
      <w:r w:rsidRPr="005F73F7">
        <w:rPr>
          <w:rFonts w:eastAsiaTheme="minorEastAsia"/>
          <w:vertAlign w:val="subscript"/>
          <w:lang w:val="en-GB"/>
        </w:rPr>
        <w:t xml:space="preserve"> </w:t>
      </w:r>
      <w:r w:rsidRPr="005F73F7">
        <w:rPr>
          <w:rFonts w:eastAsiaTheme="minorEastAsia"/>
          <w:lang w:val="en-GB"/>
        </w:rPr>
        <w:t xml:space="preserve">is the prevalence of production limiting infections; </w:t>
      </w:r>
      <w:r w:rsidRPr="005F73F7">
        <w:rPr>
          <w:rFonts w:eastAsiaTheme="minorEastAsia"/>
          <w:i/>
          <w:lang w:val="en-GB"/>
        </w:rPr>
        <w:t xml:space="preserve">L </w:t>
      </w:r>
      <w:r w:rsidRPr="005F73F7">
        <w:rPr>
          <w:rFonts w:eastAsiaTheme="minorEastAsia"/>
          <w:lang w:val="en-GB"/>
        </w:rPr>
        <w:t xml:space="preserve">is the effect of production-limiting infections on production and mortality; </w:t>
      </w:r>
      <w:r w:rsidRPr="005F73F7">
        <w:rPr>
          <w:rFonts w:eastAsiaTheme="minorEastAsia"/>
          <w:i/>
          <w:lang w:val="en-GB"/>
        </w:rPr>
        <w:t>N</w:t>
      </w:r>
      <w:r w:rsidRPr="005F73F7">
        <w:rPr>
          <w:rFonts w:eastAsiaTheme="minorEastAsia"/>
          <w:lang w:val="en-GB"/>
        </w:rPr>
        <w:t xml:space="preserve"> is the average number of anthelmintic treatments per animal;</w:t>
      </w:r>
      <w:r w:rsidRPr="005F73F7">
        <w:rPr>
          <w:rFonts w:eastAsiaTheme="minorEastAsia"/>
          <w:i/>
          <w:lang w:val="en-GB"/>
        </w:rPr>
        <w:t xml:space="preserve"> R</w:t>
      </w:r>
      <w:r w:rsidRPr="005F73F7">
        <w:rPr>
          <w:rFonts w:eastAsiaTheme="minorEastAsia"/>
          <w:lang w:val="en-GB"/>
        </w:rPr>
        <w:t xml:space="preserve"> is the prevalence of anthelmintic resistance and </w:t>
      </w:r>
      <w:r w:rsidRPr="005F73F7">
        <w:rPr>
          <w:rFonts w:eastAsiaTheme="minorEastAsia"/>
          <w:i/>
          <w:lang w:val="en-GB"/>
        </w:rPr>
        <w:t>C</w:t>
      </w:r>
      <w:r w:rsidRPr="005F73F7">
        <w:rPr>
          <w:rFonts w:eastAsiaTheme="minorEastAsia"/>
          <w:lang w:val="en-GB"/>
        </w:rPr>
        <w:t xml:space="preserve"> is the cost spent on anthelmintic treatments.</w:t>
      </w:r>
    </w:p>
    <w:p w14:paraId="2723F87E" w14:textId="77777777" w:rsidR="00E9319B" w:rsidRPr="005F73F7" w:rsidRDefault="00E9319B" w:rsidP="00CF6817">
      <w:pPr>
        <w:pStyle w:val="Heading2"/>
        <w:spacing w:line="480" w:lineRule="auto"/>
        <w:jc w:val="both"/>
        <w:rPr>
          <w:lang w:val="en-GB"/>
        </w:rPr>
      </w:pPr>
      <w:r w:rsidRPr="005F73F7">
        <w:rPr>
          <w:lang w:val="en-GB"/>
        </w:rPr>
        <w:t>2.6. Monetary value of production in- and outputs</w:t>
      </w:r>
    </w:p>
    <w:p w14:paraId="2A00D3EA" w14:textId="111B155D" w:rsidR="00E9319B" w:rsidRPr="005F73F7" w:rsidRDefault="00E9319B" w:rsidP="00CF6817">
      <w:pPr>
        <w:spacing w:line="480" w:lineRule="auto"/>
        <w:jc w:val="both"/>
        <w:rPr>
          <w:lang w:val="en-GB"/>
        </w:rPr>
      </w:pPr>
      <w:r w:rsidRPr="005F73F7">
        <w:rPr>
          <w:lang w:val="en-GB"/>
        </w:rPr>
        <w:t xml:space="preserve">Producer prices for live weight meat, and milk in 2017 were obtained from </w:t>
      </w:r>
      <w:r w:rsidRPr="005F73F7">
        <w:rPr>
          <w:noProof/>
          <w:lang w:val="en-GB"/>
        </w:rPr>
        <w:t>(EUROSTAT, 2017)</w:t>
      </w:r>
      <w:r w:rsidRPr="005F73F7">
        <w:rPr>
          <w:lang w:val="en-GB"/>
        </w:rPr>
        <w:t xml:space="preserve">. For countries, where data were missing, imputed values were used based on the overall average.  Live weight prices were converted to carcass weight prices using a generic dressing percentage (carcass weight/live weight) of 0.50 in cattle and 0.45 in sheep. </w:t>
      </w:r>
      <w:r w:rsidR="00571EA2">
        <w:rPr>
          <w:lang w:val="en-GB"/>
        </w:rPr>
        <w:t xml:space="preserve">According to </w:t>
      </w:r>
      <w:r w:rsidRPr="005F73F7">
        <w:rPr>
          <w:noProof/>
          <w:lang w:val="en-GB"/>
        </w:rPr>
        <w:t xml:space="preserve">van Soest et al. </w:t>
      </w:r>
      <w:r w:rsidR="00023BA7">
        <w:rPr>
          <w:noProof/>
          <w:lang w:val="en-GB"/>
        </w:rPr>
        <w:t>(</w:t>
      </w:r>
      <w:r w:rsidRPr="005F73F7">
        <w:rPr>
          <w:noProof/>
          <w:lang w:val="en-GB"/>
        </w:rPr>
        <w:t>2019</w:t>
      </w:r>
      <w:r w:rsidR="000D550A">
        <w:rPr>
          <w:noProof/>
          <w:lang w:val="en-GB"/>
        </w:rPr>
        <w:t>)</w:t>
      </w:r>
      <w:r w:rsidRPr="005F73F7">
        <w:rPr>
          <w:lang w:val="en-GB"/>
        </w:rPr>
        <w:t xml:space="preserve"> price differences between countries of feed, labour, animal replacement value and destruction costs </w:t>
      </w:r>
      <w:r w:rsidR="00571EA2">
        <w:rPr>
          <w:lang w:val="en-GB"/>
        </w:rPr>
        <w:t xml:space="preserve">are </w:t>
      </w:r>
      <w:r w:rsidRPr="005F73F7">
        <w:rPr>
          <w:lang w:val="en-GB"/>
        </w:rPr>
        <w:t xml:space="preserve">relatively small, at least between Germany, France, Spain and Sweden. Therefore, we used fixed costs across countries, derived from the scientific literature for the following parameters, and accounted for an inflation until 2017 since the original report. Additional rearing costs due to delayed puberty were </w:t>
      </w:r>
      <w:r w:rsidRPr="005F73F7">
        <w:rPr>
          <w:lang w:val="en-GB"/>
        </w:rPr>
        <w:lastRenderedPageBreak/>
        <w:t xml:space="preserve">derived from variable rearing costs in dairy heifers </w:t>
      </w:r>
      <w:r w:rsidRPr="005F73F7">
        <w:rPr>
          <w:noProof/>
          <w:lang w:val="en-GB"/>
        </w:rPr>
        <w:t>(Mohd Nor et al., 2015)</w:t>
      </w:r>
      <w:r w:rsidRPr="005F73F7">
        <w:rPr>
          <w:lang w:val="en-GB"/>
        </w:rPr>
        <w:t xml:space="preserve"> and set at </w:t>
      </w:r>
      <w:r w:rsidRPr="005F73F7">
        <w:rPr>
          <w:rFonts w:cstheme="minorHAnsi"/>
          <w:lang w:val="en-GB"/>
        </w:rPr>
        <w:t xml:space="preserve">€ </w:t>
      </w:r>
      <w:r w:rsidRPr="005F73F7">
        <w:rPr>
          <w:lang w:val="en-GB"/>
        </w:rPr>
        <w:t xml:space="preserve">2.1 per day. Cattle insemination costs were set at </w:t>
      </w:r>
      <w:r w:rsidRPr="005F73F7">
        <w:rPr>
          <w:rFonts w:cstheme="minorHAnsi"/>
          <w:lang w:val="en-GB"/>
        </w:rPr>
        <w:t xml:space="preserve">€ </w:t>
      </w:r>
      <w:r w:rsidRPr="005F73F7">
        <w:rPr>
          <w:lang w:val="en-GB"/>
        </w:rPr>
        <w:t xml:space="preserve">30 per insemination </w:t>
      </w:r>
      <w:r w:rsidRPr="005F73F7">
        <w:rPr>
          <w:noProof/>
          <w:lang w:val="en-GB"/>
        </w:rPr>
        <w:t>(Charlier et al., 2012b)</w:t>
      </w:r>
      <w:r w:rsidRPr="005F73F7">
        <w:rPr>
          <w:lang w:val="en-GB"/>
        </w:rPr>
        <w:t>. Costs for a prolonged inter</w:t>
      </w:r>
      <w:r w:rsidR="008A2D23">
        <w:rPr>
          <w:lang w:val="en-GB"/>
        </w:rPr>
        <w:t>-</w:t>
      </w:r>
      <w:r w:rsidRPr="005F73F7">
        <w:rPr>
          <w:lang w:val="en-GB"/>
        </w:rPr>
        <w:t>calving interval (</w:t>
      </w:r>
      <w:r w:rsidRPr="005F73F7">
        <w:rPr>
          <w:rFonts w:cstheme="minorHAnsi"/>
          <w:lang w:val="en-GB"/>
        </w:rPr>
        <w:t xml:space="preserve">€ </w:t>
      </w:r>
      <w:r w:rsidRPr="005F73F7">
        <w:rPr>
          <w:lang w:val="en-GB"/>
        </w:rPr>
        <w:t xml:space="preserve">0.79 per day) were derived from </w:t>
      </w:r>
      <w:r w:rsidRPr="005F73F7">
        <w:rPr>
          <w:noProof/>
          <w:lang w:val="en-GB"/>
        </w:rPr>
        <w:t>Inchaisri et al.</w:t>
      </w:r>
      <w:r w:rsidR="00023BA7">
        <w:rPr>
          <w:noProof/>
          <w:lang w:val="en-GB"/>
        </w:rPr>
        <w:t xml:space="preserve"> (</w:t>
      </w:r>
      <w:r w:rsidRPr="005F73F7">
        <w:rPr>
          <w:noProof/>
          <w:lang w:val="en-GB"/>
        </w:rPr>
        <w:t>2010)</w:t>
      </w:r>
      <w:r w:rsidRPr="005F73F7">
        <w:rPr>
          <w:lang w:val="en-GB"/>
        </w:rPr>
        <w:t>. Costs for a prolonged inter</w:t>
      </w:r>
      <w:r w:rsidR="008A2D23">
        <w:rPr>
          <w:lang w:val="en-GB"/>
        </w:rPr>
        <w:t>-</w:t>
      </w:r>
      <w:r w:rsidRPr="005F73F7">
        <w:rPr>
          <w:lang w:val="en-GB"/>
        </w:rPr>
        <w:t>lambing or inter</w:t>
      </w:r>
      <w:r w:rsidR="008A2D23">
        <w:rPr>
          <w:lang w:val="en-GB"/>
        </w:rPr>
        <w:t>-</w:t>
      </w:r>
      <w:r w:rsidRPr="005F73F7">
        <w:rPr>
          <w:lang w:val="en-GB"/>
        </w:rPr>
        <w:t xml:space="preserve">kidding interval were set at </w:t>
      </w:r>
      <w:r w:rsidRPr="005F73F7">
        <w:rPr>
          <w:rFonts w:cstheme="minorHAnsi"/>
          <w:lang w:val="en-GB"/>
        </w:rPr>
        <w:t xml:space="preserve">€ </w:t>
      </w:r>
      <w:r w:rsidRPr="005F73F7">
        <w:rPr>
          <w:lang w:val="en-GB"/>
        </w:rPr>
        <w:t xml:space="preserve">0.41 per day, based on an annual rearing cost of </w:t>
      </w:r>
      <w:r w:rsidRPr="005F73F7">
        <w:rPr>
          <w:rFonts w:cstheme="minorHAnsi"/>
          <w:lang w:val="en-GB"/>
        </w:rPr>
        <w:t xml:space="preserve">€ </w:t>
      </w:r>
      <w:r w:rsidRPr="005F73F7">
        <w:rPr>
          <w:lang w:val="en-GB"/>
        </w:rPr>
        <w:t xml:space="preserve">150 per ewe </w:t>
      </w:r>
      <w:r w:rsidRPr="005F73F7">
        <w:rPr>
          <w:noProof/>
          <w:lang w:val="en-GB"/>
        </w:rPr>
        <w:t>(Schoenian, 2019)</w:t>
      </w:r>
      <w:r w:rsidRPr="005F73F7">
        <w:rPr>
          <w:lang w:val="en-GB"/>
        </w:rPr>
        <w:t xml:space="preserve">. </w:t>
      </w:r>
      <w:r w:rsidR="002B5C92">
        <w:rPr>
          <w:lang w:val="en-GB"/>
        </w:rPr>
        <w:t>Animal</w:t>
      </w:r>
      <w:r w:rsidRPr="005F73F7">
        <w:rPr>
          <w:lang w:val="en-GB"/>
        </w:rPr>
        <w:t xml:space="preserve"> mortality led to disposal costs, which were set at </w:t>
      </w:r>
      <w:r w:rsidRPr="005F73F7">
        <w:rPr>
          <w:rFonts w:cstheme="minorHAnsi"/>
          <w:lang w:val="en-GB"/>
        </w:rPr>
        <w:t xml:space="preserve">€ </w:t>
      </w:r>
      <w:r w:rsidRPr="005F73F7">
        <w:rPr>
          <w:lang w:val="en-GB"/>
        </w:rPr>
        <w:t>134</w:t>
      </w:r>
      <w:r w:rsidR="002B5C92">
        <w:rPr>
          <w:lang w:val="en-GB"/>
        </w:rPr>
        <w:t xml:space="preserve"> and </w:t>
      </w:r>
      <w:r w:rsidR="002B5C92" w:rsidRPr="005F73F7">
        <w:rPr>
          <w:rFonts w:cstheme="minorHAnsi"/>
          <w:lang w:val="en-GB"/>
        </w:rPr>
        <w:t xml:space="preserve">€ </w:t>
      </w:r>
      <w:r w:rsidR="002B5C92">
        <w:rPr>
          <w:rFonts w:cstheme="minorHAnsi"/>
          <w:lang w:val="en-GB"/>
        </w:rPr>
        <w:t>20</w:t>
      </w:r>
      <w:r w:rsidRPr="005F73F7">
        <w:rPr>
          <w:lang w:val="en-GB"/>
        </w:rPr>
        <w:t xml:space="preserve"> per dead </w:t>
      </w:r>
      <w:r w:rsidR="002B5C92">
        <w:rPr>
          <w:lang w:val="en-GB"/>
        </w:rPr>
        <w:t>cow</w:t>
      </w:r>
      <w:r w:rsidRPr="005F73F7">
        <w:rPr>
          <w:lang w:val="en-GB"/>
        </w:rPr>
        <w:t xml:space="preserve"> </w:t>
      </w:r>
      <w:r w:rsidRPr="005F73F7">
        <w:rPr>
          <w:noProof/>
          <w:lang w:val="en-GB"/>
        </w:rPr>
        <w:t>(van Soest et al., 2019)</w:t>
      </w:r>
      <w:r w:rsidR="002B5C92">
        <w:rPr>
          <w:noProof/>
          <w:lang w:val="en-GB"/>
        </w:rPr>
        <w:t xml:space="preserve"> and sheep/goat, respectively</w:t>
      </w:r>
      <w:r w:rsidRPr="005F73F7">
        <w:rPr>
          <w:lang w:val="en-GB"/>
        </w:rPr>
        <w:t xml:space="preserve">.  Feeding costs were set at </w:t>
      </w:r>
      <w:r w:rsidRPr="005F73F7">
        <w:rPr>
          <w:rFonts w:cstheme="minorHAnsi"/>
          <w:lang w:val="en-GB"/>
        </w:rPr>
        <w:t xml:space="preserve">€ </w:t>
      </w:r>
      <w:r w:rsidRPr="005F73F7">
        <w:rPr>
          <w:lang w:val="en-GB"/>
        </w:rPr>
        <w:t xml:space="preserve">0.12 per kg milk </w:t>
      </w:r>
      <w:r w:rsidRPr="005F73F7">
        <w:rPr>
          <w:noProof/>
          <w:lang w:val="en-GB"/>
        </w:rPr>
        <w:t>(van Soest et al., 2019)</w:t>
      </w:r>
      <w:r w:rsidRPr="005F73F7">
        <w:rPr>
          <w:lang w:val="en-GB"/>
        </w:rPr>
        <w:t>.</w:t>
      </w:r>
    </w:p>
    <w:p w14:paraId="7CCE7F30" w14:textId="77777777" w:rsidR="00E9319B" w:rsidRPr="005F73F7" w:rsidRDefault="00E9319B" w:rsidP="00CF6817">
      <w:pPr>
        <w:pStyle w:val="Heading2"/>
        <w:spacing w:line="480" w:lineRule="auto"/>
        <w:jc w:val="both"/>
        <w:rPr>
          <w:lang w:val="en-GB"/>
        </w:rPr>
      </w:pPr>
      <w:r w:rsidRPr="005F73F7">
        <w:rPr>
          <w:lang w:val="en-GB"/>
        </w:rPr>
        <w:t>2.7. Cost calculations</w:t>
      </w:r>
    </w:p>
    <w:p w14:paraId="18F243B5" w14:textId="5F55EEF9" w:rsidR="00E9319B" w:rsidRPr="0078266F" w:rsidRDefault="00E9319B" w:rsidP="00CF6817">
      <w:pPr>
        <w:spacing w:after="0" w:line="480" w:lineRule="auto"/>
        <w:jc w:val="both"/>
        <w:rPr>
          <w:lang w:val="en-GB"/>
        </w:rPr>
      </w:pPr>
      <w:r w:rsidRPr="005F73F7">
        <w:rPr>
          <w:lang w:val="en-GB"/>
        </w:rPr>
        <w:t xml:space="preserve">The cost (C) of helminth infections was defined as the value of the loss (L) in expected output together with the treatment (T) costs in trying to mitigate the effects of disease on production (C= L +T) </w:t>
      </w:r>
      <w:r w:rsidRPr="005F73F7">
        <w:rPr>
          <w:noProof/>
          <w:lang w:val="en-GB"/>
        </w:rPr>
        <w:t>(Bennett et al., 1999)</w:t>
      </w:r>
      <w:r w:rsidRPr="005F73F7">
        <w:rPr>
          <w:lang w:val="en-GB"/>
        </w:rPr>
        <w:t xml:space="preserve">. In addition, research budgets were considered as an additional investment cost to preserve the future control of parasitic helminth infections. In order to obtain an idea </w:t>
      </w:r>
      <w:r w:rsidR="006D52AC">
        <w:rPr>
          <w:lang w:val="en-GB"/>
        </w:rPr>
        <w:t>o</w:t>
      </w:r>
      <w:r w:rsidR="002B5C92">
        <w:rPr>
          <w:lang w:val="en-GB"/>
        </w:rPr>
        <w:t>f</w:t>
      </w:r>
      <w:r w:rsidRPr="005F73F7">
        <w:rPr>
          <w:lang w:val="en-GB"/>
        </w:rPr>
        <w:t xml:space="preserve"> the effects of uncertainty in the input data, the input data that did not come from public and regularly updated repositories were increased and decreased by 20% to obtain a low and high estimate of the cost, in addition to the best estimate. A sensitivity analysis was conducted to understand which changes in input data have the greatest effect on the estimated total cost. This was done by modifying the values of a single input class (e.g. levels of infections, impact of infection on production) by – or + 20% and monitor at </w:t>
      </w:r>
      <w:r w:rsidRPr="0078266F">
        <w:rPr>
          <w:lang w:val="en-GB"/>
        </w:rPr>
        <w:t xml:space="preserve">each change the effect on the total cost of helminth infections. </w:t>
      </w:r>
    </w:p>
    <w:p w14:paraId="211C468E" w14:textId="4402127E" w:rsidR="00E9319B" w:rsidRDefault="00E9319B" w:rsidP="00CF6817">
      <w:pPr>
        <w:spacing w:after="0" w:line="480" w:lineRule="auto"/>
        <w:jc w:val="both"/>
        <w:rPr>
          <w:lang w:val="en-GB"/>
        </w:rPr>
      </w:pPr>
      <w:r w:rsidRPr="0078266F">
        <w:rPr>
          <w:lang w:val="en-GB"/>
        </w:rPr>
        <w:t>For calculating the production losses, saved feeding costs (See section 2.6) were deducted from the value of the lost milk production because animals that produce less milk due to helminth infection</w:t>
      </w:r>
      <w:r w:rsidR="008A0003" w:rsidRPr="0078266F">
        <w:rPr>
          <w:lang w:val="en-GB"/>
        </w:rPr>
        <w:t>s</w:t>
      </w:r>
      <w:r w:rsidRPr="0078266F">
        <w:rPr>
          <w:lang w:val="en-GB"/>
        </w:rPr>
        <w:t xml:space="preserve"> can be considered to also eat less </w:t>
      </w:r>
      <w:r w:rsidRPr="0078266F">
        <w:rPr>
          <w:noProof/>
          <w:lang w:val="en-GB"/>
        </w:rPr>
        <w:t>(Forbes et al., 2004)</w:t>
      </w:r>
      <w:r w:rsidRPr="0078266F">
        <w:rPr>
          <w:lang w:val="en-GB"/>
        </w:rPr>
        <w:t xml:space="preserve">. Production losses in carcass weight in sheep were calculated according to the formula of Mavrot </w:t>
      </w:r>
      <w:r w:rsidR="006B499B" w:rsidRPr="0078266F">
        <w:rPr>
          <w:lang w:val="en-GB"/>
        </w:rPr>
        <w:t>(</w:t>
      </w:r>
      <w:r w:rsidRPr="0078266F">
        <w:rPr>
          <w:lang w:val="en-GB"/>
        </w:rPr>
        <w:t xml:space="preserve">2016). This formula </w:t>
      </w:r>
      <w:r w:rsidR="00571EA2" w:rsidRPr="0078266F">
        <w:rPr>
          <w:lang w:val="en-GB"/>
        </w:rPr>
        <w:t>considers</w:t>
      </w:r>
      <w:r w:rsidRPr="0078266F">
        <w:rPr>
          <w:lang w:val="en-GB"/>
        </w:rPr>
        <w:t xml:space="preserve"> </w:t>
      </w:r>
      <w:r w:rsidRPr="005F73F7">
        <w:rPr>
          <w:lang w:val="en-GB"/>
        </w:rPr>
        <w:t>a baseline carcass weight that corresponds to the amount of carcass weight reached by the age of two months, before GIN infection is established. In this way, production losses do not apply to the part of the total carcass weight that is not influenced by GIN infection. The used production losses in milk production or carcass weight in cattle were estimates based on annual milk production or whole carcass weight data.</w:t>
      </w:r>
    </w:p>
    <w:p w14:paraId="1E8C4816" w14:textId="0FD7EEF6" w:rsidR="00212ABC" w:rsidRPr="005F73F7" w:rsidRDefault="00212ABC" w:rsidP="00CF6817">
      <w:pPr>
        <w:spacing w:after="0" w:line="480" w:lineRule="auto"/>
        <w:jc w:val="both"/>
        <w:rPr>
          <w:lang w:val="en-GB"/>
        </w:rPr>
      </w:pPr>
      <w:r>
        <w:rPr>
          <w:lang w:val="en-GB"/>
        </w:rPr>
        <w:lastRenderedPageBreak/>
        <w:t>The annual cost of helminth infections in the EU-28 was estimated by calculating the average cost of infection per animal by production type and multiplying this average cost by the total number of animals in the EU-28 in 2017 (FAO, 2017).</w:t>
      </w:r>
    </w:p>
    <w:p w14:paraId="54CB7A38" w14:textId="04C24B90" w:rsidR="00E9319B" w:rsidRPr="005F73F7" w:rsidRDefault="00E9319B" w:rsidP="00CF6817">
      <w:pPr>
        <w:spacing w:after="0" w:line="480" w:lineRule="auto"/>
        <w:jc w:val="both"/>
        <w:rPr>
          <w:lang w:val="en-GB"/>
        </w:rPr>
      </w:pPr>
      <w:r w:rsidRPr="005F73F7">
        <w:rPr>
          <w:lang w:val="en-GB"/>
        </w:rPr>
        <w:t>Research budgets from collaborative European research projects were divided by the number of countries in our assessment (N=</w:t>
      </w:r>
      <w:r w:rsidR="00905078">
        <w:rPr>
          <w:lang w:val="en-GB"/>
        </w:rPr>
        <w:t xml:space="preserve"> </w:t>
      </w:r>
      <w:r w:rsidRPr="005F73F7">
        <w:rPr>
          <w:lang w:val="en-GB"/>
        </w:rPr>
        <w:t>18) and a</w:t>
      </w:r>
      <w:r w:rsidR="00446230">
        <w:rPr>
          <w:lang w:val="en-GB"/>
        </w:rPr>
        <w:t>n equal</w:t>
      </w:r>
      <w:r w:rsidRPr="005F73F7">
        <w:rPr>
          <w:lang w:val="en-GB"/>
        </w:rPr>
        <w:t xml:space="preserve"> amount was allocated to each country.</w:t>
      </w:r>
    </w:p>
    <w:p w14:paraId="6E079365" w14:textId="2F5150FC" w:rsidR="00E9319B" w:rsidRPr="00E75B51" w:rsidRDefault="00E9319B" w:rsidP="00D34599">
      <w:pPr>
        <w:pStyle w:val="Heading1"/>
        <w:numPr>
          <w:ilvl w:val="0"/>
          <w:numId w:val="16"/>
        </w:numPr>
        <w:spacing w:line="480" w:lineRule="auto"/>
        <w:jc w:val="both"/>
      </w:pPr>
      <w:r w:rsidRPr="005F73F7">
        <w:t>Results</w:t>
      </w:r>
    </w:p>
    <w:p w14:paraId="33AE8759" w14:textId="77777777" w:rsidR="00E9319B" w:rsidRPr="005F73F7" w:rsidRDefault="00E9319B" w:rsidP="00CF6817">
      <w:pPr>
        <w:pStyle w:val="Heading2"/>
        <w:spacing w:line="480" w:lineRule="auto"/>
        <w:jc w:val="both"/>
        <w:rPr>
          <w:lang w:val="en-GB"/>
        </w:rPr>
      </w:pPr>
      <w:r w:rsidRPr="005F73F7">
        <w:rPr>
          <w:lang w:val="en-GB"/>
        </w:rPr>
        <w:t>3.1. Data gaps</w:t>
      </w:r>
    </w:p>
    <w:p w14:paraId="498B2C56" w14:textId="77777777" w:rsidR="00E9319B" w:rsidRPr="005F73F7" w:rsidRDefault="00E9319B" w:rsidP="00CF6817">
      <w:pPr>
        <w:spacing w:line="480" w:lineRule="auto"/>
        <w:jc w:val="both"/>
        <w:rPr>
          <w:lang w:val="en-GB"/>
        </w:rPr>
      </w:pPr>
      <w:r w:rsidRPr="005F73F7">
        <w:rPr>
          <w:lang w:val="en-GB"/>
        </w:rPr>
        <w:t>Data gaps were present in every phase of the data collection. They are listed in Table 2 and are further explained in the discussion.</w:t>
      </w:r>
    </w:p>
    <w:p w14:paraId="7B30B242" w14:textId="77777777" w:rsidR="00E9319B" w:rsidRPr="005F73F7" w:rsidRDefault="00E9319B" w:rsidP="00CF6817">
      <w:pPr>
        <w:pStyle w:val="Heading2"/>
        <w:spacing w:line="480" w:lineRule="auto"/>
        <w:jc w:val="both"/>
        <w:rPr>
          <w:lang w:val="en-GB"/>
        </w:rPr>
      </w:pPr>
      <w:r w:rsidRPr="005F73F7">
        <w:rPr>
          <w:lang w:val="en-GB"/>
        </w:rPr>
        <w:t xml:space="preserve">3.2 Costs of infection and AR </w:t>
      </w:r>
    </w:p>
    <w:p w14:paraId="16339813" w14:textId="399103E8" w:rsidR="00E9319B" w:rsidRPr="005F73F7" w:rsidRDefault="00E9319B" w:rsidP="00905078">
      <w:pPr>
        <w:spacing w:after="0" w:line="480" w:lineRule="auto"/>
        <w:jc w:val="both"/>
        <w:rPr>
          <w:lang w:val="en-GB"/>
        </w:rPr>
      </w:pPr>
      <w:r w:rsidRPr="005F73F7">
        <w:rPr>
          <w:lang w:val="en-GB"/>
        </w:rPr>
        <w:t xml:space="preserve">The estimated combined costs of GIN, </w:t>
      </w:r>
      <w:r w:rsidRPr="005F73F7">
        <w:rPr>
          <w:i/>
          <w:lang w:val="en-GB"/>
        </w:rPr>
        <w:t>F. hepatica</w:t>
      </w:r>
      <w:r w:rsidRPr="005F73F7">
        <w:rPr>
          <w:lang w:val="en-GB"/>
        </w:rPr>
        <w:t xml:space="preserve"> and </w:t>
      </w:r>
      <w:r w:rsidRPr="005F73F7">
        <w:rPr>
          <w:i/>
          <w:lang w:val="en-GB"/>
        </w:rPr>
        <w:t>D. viviparus</w:t>
      </w:r>
      <w:r w:rsidRPr="005F73F7">
        <w:rPr>
          <w:lang w:val="en-GB"/>
        </w:rPr>
        <w:t xml:space="preserve"> infection per country and per livestock sector are detailed in Table 3</w:t>
      </w:r>
      <w:r w:rsidR="0065460F">
        <w:rPr>
          <w:lang w:val="en-GB"/>
        </w:rPr>
        <w:t xml:space="preserve">, and </w:t>
      </w:r>
      <w:r w:rsidR="0008675D">
        <w:rPr>
          <w:lang w:val="en-GB"/>
        </w:rPr>
        <w:t xml:space="preserve">the </w:t>
      </w:r>
      <w:r w:rsidR="0065460F">
        <w:rPr>
          <w:lang w:val="en-GB"/>
        </w:rPr>
        <w:t>total estimated cost per country in Figure 1</w:t>
      </w:r>
      <w:r w:rsidRPr="005F73F7">
        <w:rPr>
          <w:lang w:val="en-GB"/>
        </w:rPr>
        <w:t xml:space="preserve">. </w:t>
      </w:r>
      <w:r w:rsidR="0065460F">
        <w:rPr>
          <w:lang w:val="en-GB"/>
        </w:rPr>
        <w:t xml:space="preserve">The data are also represented as a map in </w:t>
      </w:r>
      <w:r w:rsidR="0065460F" w:rsidRPr="00970DD7">
        <w:rPr>
          <w:lang w:val="en-GB"/>
        </w:rPr>
        <w:t>Annex 1</w:t>
      </w:r>
      <w:r w:rsidR="0065460F" w:rsidRPr="003B25C9">
        <w:rPr>
          <w:lang w:val="en-GB"/>
        </w:rPr>
        <w:t xml:space="preserve">. </w:t>
      </w:r>
      <w:r w:rsidRPr="005F73F7">
        <w:rPr>
          <w:lang w:val="en-GB"/>
        </w:rPr>
        <w:t xml:space="preserve">The combined annual cost [low estimate - high estimate] of the </w:t>
      </w:r>
      <w:r w:rsidR="00862AD5">
        <w:rPr>
          <w:lang w:val="en-GB"/>
        </w:rPr>
        <w:t>three</w:t>
      </w:r>
      <w:r w:rsidR="00862AD5" w:rsidRPr="005F73F7">
        <w:rPr>
          <w:lang w:val="en-GB"/>
        </w:rPr>
        <w:t xml:space="preserve"> </w:t>
      </w:r>
      <w:r w:rsidRPr="005F73F7">
        <w:rPr>
          <w:lang w:val="en-GB"/>
        </w:rPr>
        <w:t xml:space="preserve">helminth infections in 18 participating COMBAR countries was estimated at </w:t>
      </w:r>
      <w:r w:rsidRPr="005F73F7">
        <w:rPr>
          <w:rFonts w:cstheme="minorHAnsi"/>
          <w:lang w:val="en-GB"/>
        </w:rPr>
        <w:t>€</w:t>
      </w:r>
      <w:r w:rsidRPr="005F73F7">
        <w:rPr>
          <w:lang w:val="en-GB"/>
        </w:rPr>
        <w:t xml:space="preserve"> 1.</w:t>
      </w:r>
      <w:r w:rsidR="00BE47BD">
        <w:rPr>
          <w:lang w:val="en-GB"/>
        </w:rPr>
        <w:t>8</w:t>
      </w:r>
      <w:r w:rsidRPr="005F73F7">
        <w:rPr>
          <w:lang w:val="en-GB"/>
        </w:rPr>
        <w:t xml:space="preserve"> billion [</w:t>
      </w:r>
      <w:r w:rsidR="00862AD5" w:rsidRPr="005F73F7">
        <w:rPr>
          <w:rFonts w:cstheme="minorHAnsi"/>
          <w:lang w:val="en-GB"/>
        </w:rPr>
        <w:t>€</w:t>
      </w:r>
      <w:r w:rsidR="00862AD5">
        <w:rPr>
          <w:rFonts w:cstheme="minorHAnsi"/>
          <w:lang w:val="en-GB"/>
        </w:rPr>
        <w:t xml:space="preserve"> </w:t>
      </w:r>
      <w:r w:rsidRPr="005F73F7">
        <w:rPr>
          <w:lang w:val="en-GB"/>
        </w:rPr>
        <w:t>1.0-</w:t>
      </w:r>
      <w:r w:rsidR="00BE47BD">
        <w:rPr>
          <w:lang w:val="en-GB"/>
        </w:rPr>
        <w:t>2.7</w:t>
      </w:r>
      <w:r w:rsidR="00862AD5">
        <w:rPr>
          <w:lang w:val="en-GB"/>
        </w:rPr>
        <w:t xml:space="preserve"> billion</w:t>
      </w:r>
      <w:r w:rsidRPr="005F73F7">
        <w:rPr>
          <w:lang w:val="en-GB"/>
        </w:rPr>
        <w:t>]. Eighty-</w:t>
      </w:r>
      <w:r w:rsidR="00BE47BD">
        <w:rPr>
          <w:lang w:val="en-GB"/>
        </w:rPr>
        <w:t>one</w:t>
      </w:r>
      <w:r w:rsidR="00862AD5">
        <w:rPr>
          <w:lang w:val="en-GB"/>
        </w:rPr>
        <w:t xml:space="preserve"> percent </w:t>
      </w:r>
      <w:r w:rsidRPr="005F73F7">
        <w:rPr>
          <w:lang w:val="en-GB"/>
        </w:rPr>
        <w:t>of this cost (</w:t>
      </w:r>
      <w:r w:rsidRPr="005F73F7">
        <w:rPr>
          <w:rFonts w:cstheme="minorHAnsi"/>
          <w:lang w:val="en-GB"/>
        </w:rPr>
        <w:t xml:space="preserve">€ </w:t>
      </w:r>
      <w:r w:rsidRPr="005F73F7">
        <w:rPr>
          <w:lang w:val="en-GB"/>
        </w:rPr>
        <w:t>1.</w:t>
      </w:r>
      <w:r w:rsidR="00807362">
        <w:rPr>
          <w:lang w:val="en-GB"/>
        </w:rPr>
        <w:t>46</w:t>
      </w:r>
      <w:r w:rsidRPr="005F73F7">
        <w:rPr>
          <w:lang w:val="en-GB"/>
        </w:rPr>
        <w:t xml:space="preserve"> billion [</w:t>
      </w:r>
      <w:r w:rsidR="00862AD5" w:rsidRPr="005F73F7">
        <w:rPr>
          <w:rFonts w:cstheme="minorHAnsi"/>
          <w:lang w:val="en-GB"/>
        </w:rPr>
        <w:t>€</w:t>
      </w:r>
      <w:r w:rsidR="00862AD5">
        <w:rPr>
          <w:rFonts w:cstheme="minorHAnsi"/>
          <w:lang w:val="en-GB"/>
        </w:rPr>
        <w:t xml:space="preserve"> </w:t>
      </w:r>
      <w:r w:rsidRPr="005F73F7">
        <w:rPr>
          <w:lang w:val="en-GB"/>
        </w:rPr>
        <w:t>0.</w:t>
      </w:r>
      <w:r w:rsidR="00BE47BD">
        <w:rPr>
          <w:lang w:val="en-GB"/>
        </w:rPr>
        <w:t>8</w:t>
      </w:r>
      <w:r w:rsidR="00807362">
        <w:rPr>
          <w:lang w:val="en-GB"/>
        </w:rPr>
        <w:t>4</w:t>
      </w:r>
      <w:r w:rsidRPr="005F73F7">
        <w:rPr>
          <w:lang w:val="en-GB"/>
        </w:rPr>
        <w:t>-2.</w:t>
      </w:r>
      <w:r w:rsidR="00BE47BD">
        <w:rPr>
          <w:lang w:val="en-GB"/>
        </w:rPr>
        <w:t>1</w:t>
      </w:r>
      <w:r w:rsidR="00807362">
        <w:rPr>
          <w:lang w:val="en-GB"/>
        </w:rPr>
        <w:t>0</w:t>
      </w:r>
      <w:r w:rsidR="00862AD5">
        <w:rPr>
          <w:lang w:val="en-GB"/>
        </w:rPr>
        <w:t xml:space="preserve"> billion</w:t>
      </w:r>
      <w:r w:rsidRPr="005F73F7">
        <w:rPr>
          <w:lang w:val="en-GB"/>
        </w:rPr>
        <w:t>]) was composed of costs due to lost production and 1</w:t>
      </w:r>
      <w:r w:rsidR="00BE47BD">
        <w:rPr>
          <w:lang w:val="en-GB"/>
        </w:rPr>
        <w:t>9</w:t>
      </w:r>
      <w:r w:rsidRPr="005F73F7">
        <w:rPr>
          <w:lang w:val="en-GB"/>
        </w:rPr>
        <w:t>% (</w:t>
      </w:r>
      <w:r w:rsidRPr="005F73F7">
        <w:rPr>
          <w:rFonts w:cstheme="minorHAnsi"/>
          <w:lang w:val="en-GB"/>
        </w:rPr>
        <w:t>€ 0.3</w:t>
      </w:r>
      <w:r w:rsidR="00807362">
        <w:rPr>
          <w:rFonts w:cstheme="minorHAnsi"/>
          <w:lang w:val="en-GB"/>
        </w:rPr>
        <w:t>5</w:t>
      </w:r>
      <w:r w:rsidRPr="005F73F7">
        <w:rPr>
          <w:rFonts w:cstheme="minorHAnsi"/>
          <w:lang w:val="en-GB"/>
        </w:rPr>
        <w:t xml:space="preserve"> billion [</w:t>
      </w:r>
      <w:r w:rsidR="00862AD5" w:rsidRPr="005F73F7">
        <w:rPr>
          <w:rFonts w:cstheme="minorHAnsi"/>
          <w:lang w:val="en-GB"/>
        </w:rPr>
        <w:t>€</w:t>
      </w:r>
      <w:r w:rsidR="00862AD5">
        <w:rPr>
          <w:rFonts w:cstheme="minorHAnsi"/>
          <w:lang w:val="en-GB"/>
        </w:rPr>
        <w:t xml:space="preserve"> </w:t>
      </w:r>
      <w:r w:rsidRPr="005F73F7">
        <w:rPr>
          <w:rFonts w:cstheme="minorHAnsi"/>
          <w:lang w:val="en-GB"/>
        </w:rPr>
        <w:t>0.1</w:t>
      </w:r>
      <w:r w:rsidR="00807362">
        <w:rPr>
          <w:rFonts w:cstheme="minorHAnsi"/>
          <w:lang w:val="en-GB"/>
        </w:rPr>
        <w:t>4</w:t>
      </w:r>
      <w:r w:rsidRPr="005F73F7">
        <w:rPr>
          <w:rFonts w:cstheme="minorHAnsi"/>
          <w:lang w:val="en-GB"/>
        </w:rPr>
        <w:t>-0.</w:t>
      </w:r>
      <w:r w:rsidR="00807362">
        <w:rPr>
          <w:rFonts w:cstheme="minorHAnsi"/>
          <w:lang w:val="en-GB"/>
        </w:rPr>
        <w:t>57</w:t>
      </w:r>
      <w:r w:rsidR="00862AD5">
        <w:rPr>
          <w:rFonts w:cstheme="minorHAnsi"/>
          <w:lang w:val="en-GB"/>
        </w:rPr>
        <w:t xml:space="preserve"> </w:t>
      </w:r>
      <w:r w:rsidR="00862AD5">
        <w:rPr>
          <w:lang w:val="en-GB"/>
        </w:rPr>
        <w:t>billion</w:t>
      </w:r>
      <w:r w:rsidRPr="005F73F7">
        <w:rPr>
          <w:rFonts w:cstheme="minorHAnsi"/>
          <w:lang w:val="en-GB"/>
        </w:rPr>
        <w:t xml:space="preserve">]) was attributed to treatment costs. The annual costs per sector were </w:t>
      </w:r>
      <w:r w:rsidR="00BE47BD" w:rsidRPr="005F73F7">
        <w:rPr>
          <w:rFonts w:cstheme="minorHAnsi"/>
          <w:lang w:val="en-GB"/>
        </w:rPr>
        <w:t xml:space="preserve">€ </w:t>
      </w:r>
      <w:r w:rsidR="00BE47BD">
        <w:rPr>
          <w:rFonts w:cstheme="minorHAnsi"/>
          <w:lang w:val="en-GB"/>
        </w:rPr>
        <w:t>941</w:t>
      </w:r>
      <w:r w:rsidR="00BE47BD" w:rsidRPr="005F73F7">
        <w:rPr>
          <w:rFonts w:cstheme="minorHAnsi"/>
          <w:lang w:val="en-GB"/>
        </w:rPr>
        <w:t xml:space="preserve"> </w:t>
      </w:r>
      <w:r w:rsidR="00BE47BD">
        <w:rPr>
          <w:rFonts w:cstheme="minorHAnsi"/>
          <w:lang w:val="en-GB"/>
        </w:rPr>
        <w:t>m</w:t>
      </w:r>
      <w:r w:rsidR="00BE47BD" w:rsidRPr="005F73F7">
        <w:rPr>
          <w:rFonts w:cstheme="minorHAnsi"/>
          <w:lang w:val="en-GB"/>
        </w:rPr>
        <w:t>illion [</w:t>
      </w:r>
      <w:r w:rsidR="00BE47BD">
        <w:rPr>
          <w:lang w:val="en-GB"/>
        </w:rPr>
        <w:t xml:space="preserve">€ </w:t>
      </w:r>
      <w:r w:rsidR="00BE47BD">
        <w:rPr>
          <w:rFonts w:cstheme="minorHAnsi"/>
          <w:lang w:val="en-GB"/>
        </w:rPr>
        <w:t xml:space="preserve">488 – </w:t>
      </w:r>
      <w:r w:rsidR="00BE47BD" w:rsidRPr="005F73F7">
        <w:rPr>
          <w:rFonts w:cstheme="minorHAnsi"/>
          <w:lang w:val="en-GB"/>
        </w:rPr>
        <w:t>1</w:t>
      </w:r>
      <w:r w:rsidR="00BE47BD">
        <w:rPr>
          <w:rFonts w:cstheme="minorHAnsi"/>
          <w:lang w:val="en-GB"/>
        </w:rPr>
        <w:t>,442 million</w:t>
      </w:r>
      <w:r w:rsidR="00BE47BD" w:rsidRPr="005F73F7">
        <w:rPr>
          <w:rFonts w:cstheme="minorHAnsi"/>
          <w:lang w:val="en-GB"/>
        </w:rPr>
        <w:t xml:space="preserve">] in dairy cattle, € </w:t>
      </w:r>
      <w:r w:rsidR="00BE47BD">
        <w:rPr>
          <w:rFonts w:cstheme="minorHAnsi"/>
          <w:lang w:val="en-GB"/>
        </w:rPr>
        <w:t>423</w:t>
      </w:r>
      <w:r w:rsidR="00BE47BD" w:rsidRPr="005F73F7">
        <w:rPr>
          <w:rFonts w:cstheme="minorHAnsi"/>
          <w:lang w:val="en-GB"/>
        </w:rPr>
        <w:t xml:space="preserve"> million [</w:t>
      </w:r>
      <w:r w:rsidR="00BE47BD">
        <w:rPr>
          <w:lang w:val="en-GB"/>
        </w:rPr>
        <w:t xml:space="preserve">€ </w:t>
      </w:r>
      <w:r w:rsidR="00BE47BD">
        <w:rPr>
          <w:rFonts w:cstheme="minorHAnsi"/>
          <w:lang w:val="en-GB"/>
        </w:rPr>
        <w:t xml:space="preserve">205 </w:t>
      </w:r>
      <w:r w:rsidR="00BE47BD" w:rsidRPr="005F73F7">
        <w:rPr>
          <w:rFonts w:cstheme="minorHAnsi"/>
          <w:lang w:val="en-GB"/>
        </w:rPr>
        <w:t>-</w:t>
      </w:r>
      <w:r w:rsidR="00BE47BD">
        <w:rPr>
          <w:rFonts w:cstheme="minorHAnsi"/>
          <w:lang w:val="en-GB"/>
        </w:rPr>
        <w:t xml:space="preserve"> </w:t>
      </w:r>
      <w:r w:rsidR="00BE47BD" w:rsidRPr="005F73F7">
        <w:rPr>
          <w:rFonts w:cstheme="minorHAnsi"/>
          <w:lang w:val="en-GB"/>
        </w:rPr>
        <w:t>6</w:t>
      </w:r>
      <w:r w:rsidR="00BE47BD">
        <w:rPr>
          <w:rFonts w:cstheme="minorHAnsi"/>
          <w:lang w:val="en-GB"/>
        </w:rPr>
        <w:t>63 million</w:t>
      </w:r>
      <w:r w:rsidR="00BE47BD" w:rsidRPr="005F73F7">
        <w:rPr>
          <w:rFonts w:cstheme="minorHAnsi"/>
          <w:lang w:val="en-GB"/>
        </w:rPr>
        <w:t xml:space="preserve">] </w:t>
      </w:r>
      <w:r w:rsidR="00BE47BD" w:rsidRPr="005F73F7">
        <w:rPr>
          <w:rFonts w:ascii="Calibri" w:hAnsi="Calibri" w:cs="Calibri"/>
          <w:color w:val="000000"/>
          <w:lang w:val="en-GB"/>
        </w:rPr>
        <w:t xml:space="preserve">in beef cattle, </w:t>
      </w:r>
      <w:r w:rsidR="00BE47BD" w:rsidRPr="005F73F7">
        <w:rPr>
          <w:rFonts w:cstheme="minorHAnsi"/>
          <w:lang w:val="en-GB"/>
        </w:rPr>
        <w:t xml:space="preserve">€ </w:t>
      </w:r>
      <w:r w:rsidR="00BE47BD" w:rsidRPr="005F73F7">
        <w:rPr>
          <w:rFonts w:ascii="Calibri" w:hAnsi="Calibri" w:cs="Calibri"/>
          <w:color w:val="000000"/>
          <w:lang w:val="en-GB"/>
        </w:rPr>
        <w:t>1</w:t>
      </w:r>
      <w:r w:rsidR="00807362">
        <w:rPr>
          <w:rFonts w:ascii="Calibri" w:hAnsi="Calibri" w:cs="Calibri"/>
          <w:color w:val="000000"/>
          <w:lang w:val="en-GB"/>
        </w:rPr>
        <w:t>51</w:t>
      </w:r>
      <w:r w:rsidR="00BE47BD" w:rsidRPr="005F73F7">
        <w:rPr>
          <w:rFonts w:ascii="Calibri" w:hAnsi="Calibri" w:cs="Calibri"/>
          <w:color w:val="000000"/>
          <w:lang w:val="en-GB"/>
        </w:rPr>
        <w:t xml:space="preserve"> million [</w:t>
      </w:r>
      <w:r w:rsidR="00BE47BD">
        <w:rPr>
          <w:lang w:val="en-GB"/>
        </w:rPr>
        <w:t xml:space="preserve">€ </w:t>
      </w:r>
      <w:r w:rsidR="00BE47BD" w:rsidRPr="005F73F7">
        <w:rPr>
          <w:rFonts w:ascii="Calibri" w:hAnsi="Calibri" w:cs="Calibri"/>
          <w:color w:val="000000"/>
          <w:lang w:val="en-GB"/>
        </w:rPr>
        <w:t>9</w:t>
      </w:r>
      <w:r w:rsidR="00807362">
        <w:rPr>
          <w:rFonts w:ascii="Calibri" w:hAnsi="Calibri" w:cs="Calibri"/>
          <w:color w:val="000000"/>
          <w:lang w:val="en-GB"/>
        </w:rPr>
        <w:t>0</w:t>
      </w:r>
      <w:r w:rsidR="00BE47BD">
        <w:rPr>
          <w:rFonts w:ascii="Calibri" w:hAnsi="Calibri" w:cs="Calibri"/>
          <w:color w:val="000000"/>
          <w:lang w:val="en-GB"/>
        </w:rPr>
        <w:t xml:space="preserve"> </w:t>
      </w:r>
      <w:r w:rsidR="00BE47BD" w:rsidRPr="005F73F7">
        <w:rPr>
          <w:rFonts w:ascii="Calibri" w:hAnsi="Calibri" w:cs="Calibri"/>
          <w:color w:val="000000"/>
          <w:lang w:val="en-GB"/>
        </w:rPr>
        <w:t>-</w:t>
      </w:r>
      <w:r w:rsidR="00BE47BD">
        <w:rPr>
          <w:rFonts w:ascii="Calibri" w:hAnsi="Calibri" w:cs="Calibri"/>
          <w:color w:val="000000"/>
          <w:lang w:val="en-GB"/>
        </w:rPr>
        <w:t xml:space="preserve"> 21</w:t>
      </w:r>
      <w:r w:rsidR="00807362">
        <w:rPr>
          <w:rFonts w:ascii="Calibri" w:hAnsi="Calibri" w:cs="Calibri"/>
          <w:color w:val="000000"/>
          <w:lang w:val="en-GB"/>
        </w:rPr>
        <w:t>3</w:t>
      </w:r>
      <w:r w:rsidR="00BE47BD">
        <w:rPr>
          <w:rFonts w:ascii="Calibri" w:hAnsi="Calibri" w:cs="Calibri"/>
          <w:color w:val="000000"/>
          <w:lang w:val="en-GB"/>
        </w:rPr>
        <w:t xml:space="preserve"> million</w:t>
      </w:r>
      <w:r w:rsidR="00BE47BD" w:rsidRPr="005F73F7">
        <w:rPr>
          <w:rFonts w:ascii="Calibri" w:hAnsi="Calibri" w:cs="Calibri"/>
          <w:color w:val="000000"/>
          <w:lang w:val="en-GB"/>
        </w:rPr>
        <w:t xml:space="preserve">] in dairy sheep, </w:t>
      </w:r>
      <w:r w:rsidR="00BE47BD" w:rsidRPr="005F73F7">
        <w:rPr>
          <w:rFonts w:cstheme="minorHAnsi"/>
          <w:lang w:val="en-GB"/>
        </w:rPr>
        <w:t xml:space="preserve">€ </w:t>
      </w:r>
      <w:r w:rsidR="00BE47BD">
        <w:rPr>
          <w:rFonts w:ascii="Calibri" w:hAnsi="Calibri" w:cs="Calibri"/>
          <w:color w:val="000000"/>
          <w:lang w:val="en-GB"/>
        </w:rPr>
        <w:t>20</w:t>
      </w:r>
      <w:r w:rsidR="00807362">
        <w:rPr>
          <w:rFonts w:ascii="Calibri" w:hAnsi="Calibri" w:cs="Calibri"/>
          <w:color w:val="000000"/>
          <w:lang w:val="en-GB"/>
        </w:rPr>
        <w:t>6</w:t>
      </w:r>
      <w:r w:rsidR="00BE47BD" w:rsidRPr="005F73F7">
        <w:rPr>
          <w:rFonts w:ascii="Calibri" w:hAnsi="Calibri" w:cs="Calibri"/>
          <w:color w:val="000000"/>
          <w:lang w:val="en-GB"/>
        </w:rPr>
        <w:t xml:space="preserve"> million [</w:t>
      </w:r>
      <w:r w:rsidR="00BE47BD">
        <w:rPr>
          <w:lang w:val="en-GB"/>
        </w:rPr>
        <w:t xml:space="preserve">€ </w:t>
      </w:r>
      <w:r w:rsidR="00BE47BD">
        <w:rPr>
          <w:rFonts w:ascii="Calibri" w:hAnsi="Calibri" w:cs="Calibri"/>
          <w:color w:val="000000"/>
          <w:lang w:val="en-GB"/>
        </w:rPr>
        <w:t>13</w:t>
      </w:r>
      <w:r w:rsidR="00807362">
        <w:rPr>
          <w:rFonts w:ascii="Calibri" w:hAnsi="Calibri" w:cs="Calibri"/>
          <w:color w:val="000000"/>
          <w:lang w:val="en-GB"/>
        </w:rPr>
        <w:t>2</w:t>
      </w:r>
      <w:r w:rsidR="00BE47BD">
        <w:rPr>
          <w:rFonts w:ascii="Calibri" w:hAnsi="Calibri" w:cs="Calibri"/>
          <w:color w:val="000000"/>
          <w:lang w:val="en-GB"/>
        </w:rPr>
        <w:t xml:space="preserve"> </w:t>
      </w:r>
      <w:r w:rsidR="00BE47BD" w:rsidRPr="005F73F7">
        <w:rPr>
          <w:rFonts w:ascii="Calibri" w:hAnsi="Calibri" w:cs="Calibri"/>
          <w:color w:val="000000"/>
          <w:lang w:val="en-GB"/>
        </w:rPr>
        <w:t>-</w:t>
      </w:r>
      <w:r w:rsidR="00BE47BD">
        <w:rPr>
          <w:rFonts w:ascii="Calibri" w:hAnsi="Calibri" w:cs="Calibri"/>
          <w:color w:val="000000"/>
          <w:lang w:val="en-GB"/>
        </w:rPr>
        <w:t xml:space="preserve"> 24</w:t>
      </w:r>
      <w:r w:rsidR="00807362">
        <w:rPr>
          <w:rFonts w:ascii="Calibri" w:hAnsi="Calibri" w:cs="Calibri"/>
          <w:color w:val="000000"/>
          <w:lang w:val="en-GB"/>
        </w:rPr>
        <w:t>8</w:t>
      </w:r>
      <w:r w:rsidR="00BE47BD">
        <w:rPr>
          <w:rFonts w:ascii="Calibri" w:hAnsi="Calibri" w:cs="Calibri"/>
          <w:color w:val="000000"/>
          <w:lang w:val="en-GB"/>
        </w:rPr>
        <w:t xml:space="preserve"> million</w:t>
      </w:r>
      <w:r w:rsidR="00BE47BD" w:rsidRPr="005F73F7">
        <w:rPr>
          <w:rFonts w:ascii="Calibri" w:hAnsi="Calibri" w:cs="Calibri"/>
          <w:color w:val="000000"/>
          <w:lang w:val="en-GB"/>
        </w:rPr>
        <w:t xml:space="preserve">] in meat sheep and </w:t>
      </w:r>
      <w:r w:rsidR="00BE47BD" w:rsidRPr="005F73F7">
        <w:rPr>
          <w:rFonts w:cstheme="minorHAnsi"/>
          <w:lang w:val="en-GB"/>
        </w:rPr>
        <w:t xml:space="preserve">€ </w:t>
      </w:r>
      <w:r w:rsidR="00807362">
        <w:rPr>
          <w:rFonts w:ascii="Calibri" w:hAnsi="Calibri" w:cs="Calibri"/>
          <w:color w:val="000000"/>
          <w:lang w:val="en-GB"/>
        </w:rPr>
        <w:t>86</w:t>
      </w:r>
      <w:r w:rsidR="00BE47BD" w:rsidRPr="005F73F7">
        <w:rPr>
          <w:rFonts w:ascii="Calibri" w:hAnsi="Calibri" w:cs="Calibri"/>
          <w:color w:val="000000"/>
          <w:lang w:val="en-GB"/>
        </w:rPr>
        <w:t xml:space="preserve"> million [</w:t>
      </w:r>
      <w:r w:rsidR="00BE47BD">
        <w:rPr>
          <w:lang w:val="en-GB"/>
        </w:rPr>
        <w:t xml:space="preserve">€ </w:t>
      </w:r>
      <w:r w:rsidR="00807362">
        <w:rPr>
          <w:rFonts w:ascii="Calibri" w:hAnsi="Calibri" w:cs="Calibri"/>
          <w:color w:val="000000"/>
          <w:lang w:val="en-GB"/>
        </w:rPr>
        <w:t>6</w:t>
      </w:r>
      <w:r w:rsidR="00BE47BD" w:rsidRPr="005F73F7">
        <w:rPr>
          <w:rFonts w:ascii="Calibri" w:hAnsi="Calibri" w:cs="Calibri"/>
          <w:color w:val="000000"/>
          <w:lang w:val="en-GB"/>
        </w:rPr>
        <w:t>7</w:t>
      </w:r>
      <w:r w:rsidR="00BE47BD">
        <w:rPr>
          <w:rFonts w:ascii="Calibri" w:hAnsi="Calibri" w:cs="Calibri"/>
          <w:color w:val="000000"/>
          <w:lang w:val="en-GB"/>
        </w:rPr>
        <w:t xml:space="preserve"> </w:t>
      </w:r>
      <w:r w:rsidR="00BE47BD" w:rsidRPr="005F73F7">
        <w:rPr>
          <w:rFonts w:ascii="Calibri" w:hAnsi="Calibri" w:cs="Calibri"/>
          <w:color w:val="000000"/>
          <w:lang w:val="en-GB"/>
        </w:rPr>
        <w:t>-</w:t>
      </w:r>
      <w:r w:rsidR="00BE47BD">
        <w:rPr>
          <w:rFonts w:ascii="Calibri" w:hAnsi="Calibri" w:cs="Calibri"/>
          <w:color w:val="000000"/>
          <w:lang w:val="en-GB"/>
        </w:rPr>
        <w:t xml:space="preserve"> </w:t>
      </w:r>
      <w:r w:rsidR="00807362">
        <w:rPr>
          <w:rFonts w:ascii="Calibri" w:hAnsi="Calibri" w:cs="Calibri"/>
          <w:color w:val="000000"/>
          <w:lang w:val="en-GB"/>
        </w:rPr>
        <w:t>107</w:t>
      </w:r>
      <w:r w:rsidR="00BE47BD">
        <w:rPr>
          <w:rFonts w:ascii="Calibri" w:hAnsi="Calibri" w:cs="Calibri"/>
          <w:color w:val="000000"/>
          <w:lang w:val="en-GB"/>
        </w:rPr>
        <w:t xml:space="preserve"> million</w:t>
      </w:r>
      <w:r w:rsidR="00BE47BD" w:rsidRPr="005F73F7">
        <w:rPr>
          <w:rFonts w:ascii="Calibri" w:hAnsi="Calibri" w:cs="Calibri"/>
          <w:color w:val="000000"/>
          <w:lang w:val="en-GB"/>
        </w:rPr>
        <w:t>] in dairy goats.</w:t>
      </w:r>
      <w:r w:rsidRPr="005F73F7">
        <w:rPr>
          <w:rFonts w:ascii="Calibri" w:hAnsi="Calibri" w:cs="Calibri"/>
          <w:color w:val="000000"/>
          <w:lang w:val="en-GB"/>
        </w:rPr>
        <w:t xml:space="preserve"> The average annual cost </w:t>
      </w:r>
      <w:r w:rsidRPr="005F73F7">
        <w:rPr>
          <w:lang w:val="en-GB"/>
        </w:rPr>
        <w:t>[low estimate - high estimate]</w:t>
      </w:r>
      <w:r w:rsidRPr="005F73F7">
        <w:rPr>
          <w:rFonts w:ascii="Calibri" w:hAnsi="Calibri" w:cs="Calibri"/>
          <w:color w:val="000000"/>
          <w:lang w:val="en-GB"/>
        </w:rPr>
        <w:t xml:space="preserve"> per adult dairy/slaughtered animal in the population (including non – exposed animals) was </w:t>
      </w:r>
      <w:r w:rsidR="008A0003">
        <w:rPr>
          <w:rFonts w:ascii="Calibri" w:hAnsi="Calibri" w:cs="Calibri"/>
          <w:color w:val="000000"/>
          <w:lang w:val="en-GB"/>
        </w:rPr>
        <w:t xml:space="preserve">estimated at </w:t>
      </w:r>
      <w:r w:rsidRPr="005F73F7">
        <w:rPr>
          <w:rFonts w:cstheme="minorHAnsi"/>
          <w:lang w:val="en-GB"/>
        </w:rPr>
        <w:t xml:space="preserve">€ </w:t>
      </w:r>
      <w:r w:rsidRPr="005F73F7">
        <w:rPr>
          <w:rFonts w:ascii="Calibri" w:hAnsi="Calibri" w:cs="Calibri"/>
          <w:color w:val="000000"/>
          <w:lang w:val="en-GB"/>
        </w:rPr>
        <w:t>4</w:t>
      </w:r>
      <w:r w:rsidR="00BE47BD">
        <w:rPr>
          <w:rFonts w:ascii="Calibri" w:hAnsi="Calibri" w:cs="Calibri"/>
          <w:color w:val="000000"/>
          <w:lang w:val="en-GB"/>
        </w:rPr>
        <w:t>1</w:t>
      </w:r>
      <w:r w:rsidRPr="005F73F7">
        <w:rPr>
          <w:rFonts w:ascii="Calibri" w:hAnsi="Calibri" w:cs="Calibri"/>
          <w:color w:val="000000"/>
          <w:lang w:val="en-GB"/>
        </w:rPr>
        <w:t xml:space="preserve"> [</w:t>
      </w:r>
      <w:r w:rsidR="00862AD5" w:rsidRPr="005F73F7">
        <w:rPr>
          <w:rFonts w:cstheme="minorHAnsi"/>
          <w:lang w:val="en-GB"/>
        </w:rPr>
        <w:t>€</w:t>
      </w:r>
      <w:r w:rsidR="00862AD5">
        <w:rPr>
          <w:rFonts w:cstheme="minorHAnsi"/>
          <w:lang w:val="en-GB"/>
        </w:rPr>
        <w:t xml:space="preserve"> </w:t>
      </w:r>
      <w:r w:rsidRPr="005F73F7">
        <w:rPr>
          <w:rFonts w:ascii="Calibri" w:hAnsi="Calibri" w:cs="Calibri"/>
          <w:color w:val="000000"/>
          <w:lang w:val="en-GB"/>
        </w:rPr>
        <w:t>2</w:t>
      </w:r>
      <w:r w:rsidR="00BE47BD">
        <w:rPr>
          <w:rFonts w:ascii="Calibri" w:hAnsi="Calibri" w:cs="Calibri"/>
          <w:color w:val="000000"/>
          <w:lang w:val="en-GB"/>
        </w:rPr>
        <w:t>1</w:t>
      </w:r>
      <w:r w:rsidRPr="005F73F7">
        <w:rPr>
          <w:rFonts w:ascii="Calibri" w:hAnsi="Calibri" w:cs="Calibri"/>
          <w:color w:val="000000"/>
          <w:lang w:val="en-GB"/>
        </w:rPr>
        <w:t>-</w:t>
      </w:r>
      <w:r w:rsidR="00BE47BD">
        <w:rPr>
          <w:rFonts w:ascii="Calibri" w:hAnsi="Calibri" w:cs="Calibri"/>
          <w:color w:val="000000"/>
          <w:lang w:val="en-GB"/>
        </w:rPr>
        <w:t>63</w:t>
      </w:r>
      <w:r w:rsidRPr="005F73F7">
        <w:rPr>
          <w:rFonts w:ascii="Calibri" w:hAnsi="Calibri" w:cs="Calibri"/>
          <w:color w:val="000000"/>
          <w:lang w:val="en-GB"/>
        </w:rPr>
        <w:t xml:space="preserve">] in dairy cattle, </w:t>
      </w:r>
      <w:r w:rsidRPr="005F73F7">
        <w:rPr>
          <w:rFonts w:cstheme="minorHAnsi"/>
          <w:lang w:val="en-GB"/>
        </w:rPr>
        <w:t xml:space="preserve">€ </w:t>
      </w:r>
      <w:r w:rsidRPr="005F73F7">
        <w:rPr>
          <w:rFonts w:ascii="Calibri" w:hAnsi="Calibri" w:cs="Calibri"/>
          <w:color w:val="000000"/>
          <w:lang w:val="en-GB"/>
        </w:rPr>
        <w:t>13 [</w:t>
      </w:r>
      <w:r w:rsidR="00862AD5" w:rsidRPr="005F73F7">
        <w:rPr>
          <w:rFonts w:cstheme="minorHAnsi"/>
          <w:lang w:val="en-GB"/>
        </w:rPr>
        <w:t>€</w:t>
      </w:r>
      <w:r w:rsidR="00862AD5">
        <w:rPr>
          <w:rFonts w:cstheme="minorHAnsi"/>
          <w:lang w:val="en-GB"/>
        </w:rPr>
        <w:t xml:space="preserve"> </w:t>
      </w:r>
      <w:r w:rsidRPr="005F73F7">
        <w:rPr>
          <w:rFonts w:ascii="Calibri" w:hAnsi="Calibri" w:cs="Calibri"/>
          <w:color w:val="000000"/>
          <w:lang w:val="en-GB"/>
        </w:rPr>
        <w:t>6-2</w:t>
      </w:r>
      <w:r w:rsidR="00BE47BD">
        <w:rPr>
          <w:rFonts w:ascii="Calibri" w:hAnsi="Calibri" w:cs="Calibri"/>
          <w:color w:val="000000"/>
          <w:lang w:val="en-GB"/>
        </w:rPr>
        <w:t>1</w:t>
      </w:r>
      <w:r w:rsidRPr="005F73F7">
        <w:rPr>
          <w:rFonts w:ascii="Calibri" w:hAnsi="Calibri" w:cs="Calibri"/>
          <w:color w:val="000000"/>
          <w:lang w:val="en-GB"/>
        </w:rPr>
        <w:t xml:space="preserve">] in beef cattle, </w:t>
      </w:r>
      <w:r w:rsidRPr="005F73F7">
        <w:rPr>
          <w:rFonts w:cstheme="minorHAnsi"/>
          <w:lang w:val="en-GB"/>
        </w:rPr>
        <w:t xml:space="preserve">€ </w:t>
      </w:r>
      <w:r w:rsidRPr="005F73F7">
        <w:rPr>
          <w:rFonts w:ascii="Calibri" w:hAnsi="Calibri" w:cs="Calibri"/>
          <w:color w:val="000000"/>
          <w:lang w:val="en-GB"/>
        </w:rPr>
        <w:t>1</w:t>
      </w:r>
      <w:r w:rsidR="00807362">
        <w:rPr>
          <w:rFonts w:ascii="Calibri" w:hAnsi="Calibri" w:cs="Calibri"/>
          <w:color w:val="000000"/>
          <w:lang w:val="en-GB"/>
        </w:rPr>
        <w:t>4</w:t>
      </w:r>
      <w:r w:rsidRPr="005F73F7">
        <w:rPr>
          <w:rFonts w:ascii="Calibri" w:hAnsi="Calibri" w:cs="Calibri"/>
          <w:color w:val="000000"/>
          <w:lang w:val="en-GB"/>
        </w:rPr>
        <w:t xml:space="preserve"> [</w:t>
      </w:r>
      <w:r w:rsidR="00862AD5" w:rsidRPr="005F73F7">
        <w:rPr>
          <w:rFonts w:cstheme="minorHAnsi"/>
          <w:lang w:val="en-GB"/>
        </w:rPr>
        <w:t>€</w:t>
      </w:r>
      <w:r w:rsidR="00862AD5">
        <w:rPr>
          <w:rFonts w:cstheme="minorHAnsi"/>
          <w:lang w:val="en-GB"/>
        </w:rPr>
        <w:t xml:space="preserve"> </w:t>
      </w:r>
      <w:r w:rsidRPr="005F73F7">
        <w:rPr>
          <w:rFonts w:ascii="Calibri" w:hAnsi="Calibri" w:cs="Calibri"/>
          <w:color w:val="000000"/>
          <w:lang w:val="en-GB"/>
        </w:rPr>
        <w:t>9-1</w:t>
      </w:r>
      <w:r w:rsidR="00BE47BD">
        <w:rPr>
          <w:rFonts w:ascii="Calibri" w:hAnsi="Calibri" w:cs="Calibri"/>
          <w:color w:val="000000"/>
          <w:lang w:val="en-GB"/>
        </w:rPr>
        <w:t>7</w:t>
      </w:r>
      <w:r w:rsidRPr="005F73F7">
        <w:rPr>
          <w:rFonts w:ascii="Calibri" w:hAnsi="Calibri" w:cs="Calibri"/>
          <w:color w:val="000000"/>
          <w:lang w:val="en-GB"/>
        </w:rPr>
        <w:t xml:space="preserve">] in dairy sheep, </w:t>
      </w:r>
      <w:r w:rsidRPr="005F73F7">
        <w:rPr>
          <w:rFonts w:cstheme="minorHAnsi"/>
          <w:lang w:val="en-GB"/>
        </w:rPr>
        <w:t xml:space="preserve">€ </w:t>
      </w:r>
      <w:r w:rsidRPr="005F73F7">
        <w:rPr>
          <w:rFonts w:ascii="Calibri" w:hAnsi="Calibri" w:cs="Calibri"/>
          <w:color w:val="000000"/>
          <w:lang w:val="en-GB"/>
        </w:rPr>
        <w:t>4 [</w:t>
      </w:r>
      <w:r w:rsidR="00862AD5" w:rsidRPr="005F73F7">
        <w:rPr>
          <w:rFonts w:cstheme="minorHAnsi"/>
          <w:lang w:val="en-GB"/>
        </w:rPr>
        <w:t>€</w:t>
      </w:r>
      <w:r w:rsidR="00862AD5">
        <w:rPr>
          <w:rFonts w:cstheme="minorHAnsi"/>
          <w:lang w:val="en-GB"/>
        </w:rPr>
        <w:t xml:space="preserve"> </w:t>
      </w:r>
      <w:r w:rsidR="00BE47BD">
        <w:rPr>
          <w:rFonts w:ascii="Calibri" w:hAnsi="Calibri" w:cs="Calibri"/>
          <w:color w:val="000000"/>
          <w:lang w:val="en-GB"/>
        </w:rPr>
        <w:t>3</w:t>
      </w:r>
      <w:r w:rsidRPr="005F73F7">
        <w:rPr>
          <w:rFonts w:ascii="Calibri" w:hAnsi="Calibri" w:cs="Calibri"/>
          <w:color w:val="000000"/>
          <w:lang w:val="en-GB"/>
        </w:rPr>
        <w:t xml:space="preserve">-5] in meat sheep and </w:t>
      </w:r>
      <w:r w:rsidRPr="005F73F7">
        <w:rPr>
          <w:rFonts w:cstheme="minorHAnsi"/>
          <w:lang w:val="en-GB"/>
        </w:rPr>
        <w:t xml:space="preserve">€ </w:t>
      </w:r>
      <w:r w:rsidR="00807362">
        <w:rPr>
          <w:rFonts w:ascii="Calibri" w:hAnsi="Calibri" w:cs="Calibri"/>
          <w:color w:val="000000"/>
          <w:lang w:val="en-GB"/>
        </w:rPr>
        <w:t>24</w:t>
      </w:r>
      <w:r w:rsidRPr="005F73F7">
        <w:rPr>
          <w:rFonts w:ascii="Calibri" w:hAnsi="Calibri" w:cs="Calibri"/>
          <w:color w:val="000000"/>
          <w:lang w:val="en-GB"/>
        </w:rPr>
        <w:t xml:space="preserve"> [</w:t>
      </w:r>
      <w:r w:rsidR="00862AD5" w:rsidRPr="005F73F7">
        <w:rPr>
          <w:rFonts w:cstheme="minorHAnsi"/>
          <w:lang w:val="en-GB"/>
        </w:rPr>
        <w:t>€</w:t>
      </w:r>
      <w:r w:rsidR="00862AD5">
        <w:rPr>
          <w:rFonts w:cstheme="minorHAnsi"/>
          <w:lang w:val="en-GB"/>
        </w:rPr>
        <w:t xml:space="preserve"> </w:t>
      </w:r>
      <w:r w:rsidR="00807362">
        <w:rPr>
          <w:rFonts w:ascii="Calibri" w:hAnsi="Calibri" w:cs="Calibri"/>
          <w:color w:val="000000"/>
          <w:lang w:val="en-GB"/>
        </w:rPr>
        <w:t>20</w:t>
      </w:r>
      <w:r w:rsidRPr="005F73F7">
        <w:rPr>
          <w:rFonts w:ascii="Calibri" w:hAnsi="Calibri" w:cs="Calibri"/>
          <w:color w:val="000000"/>
          <w:lang w:val="en-GB"/>
        </w:rPr>
        <w:t>-</w:t>
      </w:r>
      <w:r w:rsidR="00807362">
        <w:rPr>
          <w:rFonts w:ascii="Calibri" w:hAnsi="Calibri" w:cs="Calibri"/>
          <w:color w:val="000000"/>
          <w:lang w:val="en-GB"/>
        </w:rPr>
        <w:t>26</w:t>
      </w:r>
      <w:r w:rsidRPr="005F73F7">
        <w:rPr>
          <w:rFonts w:ascii="Calibri" w:hAnsi="Calibri" w:cs="Calibri"/>
          <w:color w:val="000000"/>
          <w:lang w:val="en-GB"/>
        </w:rPr>
        <w:t xml:space="preserve">] in dairy goats. </w:t>
      </w:r>
      <w:r w:rsidR="00212ABC">
        <w:rPr>
          <w:rFonts w:ascii="Calibri" w:hAnsi="Calibri" w:cs="Calibri"/>
          <w:color w:val="000000"/>
          <w:lang w:val="en-GB"/>
        </w:rPr>
        <w:t>Extrapolating this average cost per animal to the whole EU-2</w:t>
      </w:r>
      <w:r w:rsidR="00807362">
        <w:rPr>
          <w:rFonts w:ascii="Calibri" w:hAnsi="Calibri" w:cs="Calibri"/>
          <w:color w:val="000000"/>
          <w:lang w:val="en-GB"/>
        </w:rPr>
        <w:t>7</w:t>
      </w:r>
      <w:r w:rsidR="00212ABC">
        <w:rPr>
          <w:rFonts w:ascii="Calibri" w:hAnsi="Calibri" w:cs="Calibri"/>
          <w:color w:val="000000"/>
          <w:lang w:val="en-GB"/>
        </w:rPr>
        <w:t xml:space="preserve"> </w:t>
      </w:r>
      <w:r w:rsidR="007212FB">
        <w:rPr>
          <w:rFonts w:ascii="Calibri" w:hAnsi="Calibri" w:cs="Calibri"/>
          <w:color w:val="000000"/>
          <w:lang w:val="en-GB"/>
        </w:rPr>
        <w:t>and EU-28</w:t>
      </w:r>
      <w:r w:rsidR="00446B0B">
        <w:rPr>
          <w:rFonts w:ascii="Calibri" w:hAnsi="Calibri" w:cs="Calibri"/>
          <w:color w:val="000000"/>
          <w:lang w:val="en-GB"/>
        </w:rPr>
        <w:t xml:space="preserve"> </w:t>
      </w:r>
      <w:r w:rsidR="00212ABC">
        <w:rPr>
          <w:rFonts w:ascii="Calibri" w:hAnsi="Calibri" w:cs="Calibri"/>
          <w:color w:val="000000"/>
          <w:lang w:val="en-GB"/>
        </w:rPr>
        <w:t xml:space="preserve">ruminant livestock population yields a total cost of </w:t>
      </w:r>
      <w:r w:rsidR="00212ABC" w:rsidRPr="005F73F7">
        <w:rPr>
          <w:rFonts w:cstheme="minorHAnsi"/>
          <w:lang w:val="en-GB"/>
        </w:rPr>
        <w:t>€</w:t>
      </w:r>
      <w:r w:rsidR="00212ABC">
        <w:rPr>
          <w:rFonts w:ascii="Calibri" w:hAnsi="Calibri" w:cs="Calibri"/>
          <w:color w:val="000000"/>
          <w:lang w:val="en-GB"/>
        </w:rPr>
        <w:t xml:space="preserve"> </w:t>
      </w:r>
      <w:r w:rsidR="00807362">
        <w:rPr>
          <w:rFonts w:ascii="Calibri" w:hAnsi="Calibri" w:cs="Calibri"/>
          <w:color w:val="000000"/>
          <w:lang w:val="en-GB"/>
        </w:rPr>
        <w:t>1.9</w:t>
      </w:r>
      <w:r w:rsidR="00212ABC">
        <w:rPr>
          <w:rFonts w:ascii="Calibri" w:hAnsi="Calibri" w:cs="Calibri"/>
          <w:color w:val="000000"/>
          <w:lang w:val="en-GB"/>
        </w:rPr>
        <w:t xml:space="preserve"> billion</w:t>
      </w:r>
      <w:r w:rsidR="007212FB">
        <w:rPr>
          <w:rFonts w:ascii="Calibri" w:hAnsi="Calibri" w:cs="Calibri"/>
          <w:color w:val="000000"/>
          <w:lang w:val="en-GB"/>
        </w:rPr>
        <w:t xml:space="preserve"> and 2.1 billion</w:t>
      </w:r>
      <w:r w:rsidR="00212ABC">
        <w:rPr>
          <w:rFonts w:ascii="Calibri" w:hAnsi="Calibri" w:cs="Calibri"/>
          <w:color w:val="000000"/>
          <w:lang w:val="en-GB"/>
        </w:rPr>
        <w:t xml:space="preserve"> per year</w:t>
      </w:r>
      <w:r w:rsidR="007212FB">
        <w:rPr>
          <w:rFonts w:ascii="Calibri" w:hAnsi="Calibri" w:cs="Calibri"/>
          <w:color w:val="000000"/>
          <w:lang w:val="en-GB"/>
        </w:rPr>
        <w:t>, respectively</w:t>
      </w:r>
      <w:r w:rsidR="00212ABC">
        <w:rPr>
          <w:rFonts w:ascii="Calibri" w:hAnsi="Calibri" w:cs="Calibri"/>
          <w:color w:val="000000"/>
          <w:lang w:val="en-GB"/>
        </w:rPr>
        <w:t xml:space="preserve">. </w:t>
      </w:r>
      <w:r w:rsidR="0065460F" w:rsidRPr="005F73F7">
        <w:rPr>
          <w:rFonts w:ascii="Calibri" w:hAnsi="Calibri" w:cs="Calibri"/>
          <w:color w:val="000000"/>
          <w:lang w:val="en-GB"/>
        </w:rPr>
        <w:t>The</w:t>
      </w:r>
      <w:r w:rsidR="002B5C92">
        <w:rPr>
          <w:rFonts w:ascii="Calibri" w:hAnsi="Calibri" w:cs="Calibri"/>
          <w:color w:val="000000"/>
          <w:lang w:val="en-GB"/>
        </w:rPr>
        <w:t xml:space="preserve"> helminth</w:t>
      </w:r>
      <w:r w:rsidR="0065460F" w:rsidRPr="005F73F7">
        <w:rPr>
          <w:rFonts w:ascii="Calibri" w:hAnsi="Calibri" w:cs="Calibri"/>
          <w:color w:val="000000"/>
          <w:lang w:val="en-GB"/>
        </w:rPr>
        <w:t xml:space="preserve"> parasite</w:t>
      </w:r>
      <w:r w:rsidR="0065460F">
        <w:rPr>
          <w:rFonts w:ascii="Calibri" w:hAnsi="Calibri" w:cs="Calibri"/>
          <w:color w:val="000000"/>
          <w:lang w:val="en-GB"/>
        </w:rPr>
        <w:t xml:space="preserve"> taxon</w:t>
      </w:r>
      <w:r w:rsidR="0065460F" w:rsidRPr="005F73F7">
        <w:rPr>
          <w:rFonts w:ascii="Calibri" w:hAnsi="Calibri" w:cs="Calibri"/>
          <w:color w:val="000000"/>
          <w:lang w:val="en-GB"/>
        </w:rPr>
        <w:t xml:space="preserve"> representing the </w:t>
      </w:r>
      <w:r w:rsidR="0065460F" w:rsidRPr="005F73F7">
        <w:rPr>
          <w:rFonts w:ascii="Calibri" w:hAnsi="Calibri" w:cs="Calibri"/>
          <w:color w:val="000000"/>
          <w:lang w:val="en-GB"/>
        </w:rPr>
        <w:lastRenderedPageBreak/>
        <w:t xml:space="preserve">highest burden was variable </w:t>
      </w:r>
      <w:r w:rsidR="0065460F">
        <w:rPr>
          <w:rFonts w:ascii="Calibri" w:hAnsi="Calibri" w:cs="Calibri"/>
          <w:color w:val="000000"/>
          <w:lang w:val="en-GB"/>
        </w:rPr>
        <w:t xml:space="preserve">between </w:t>
      </w:r>
      <w:r w:rsidR="0065460F" w:rsidRPr="005F73F7">
        <w:rPr>
          <w:rFonts w:ascii="Calibri" w:hAnsi="Calibri" w:cs="Calibri"/>
          <w:color w:val="000000"/>
          <w:lang w:val="en-GB"/>
        </w:rPr>
        <w:t>countr</w:t>
      </w:r>
      <w:r w:rsidR="0065460F">
        <w:rPr>
          <w:rFonts w:ascii="Calibri" w:hAnsi="Calibri" w:cs="Calibri"/>
          <w:color w:val="000000"/>
          <w:lang w:val="en-GB"/>
        </w:rPr>
        <w:t>ies, and climate zones (Figure 2). Relative impacts across livestock sectors also differed regionally (Figure 3)</w:t>
      </w:r>
      <w:r w:rsidR="0065460F" w:rsidRPr="005F73F7">
        <w:rPr>
          <w:rFonts w:ascii="Calibri" w:hAnsi="Calibri" w:cs="Calibri"/>
          <w:color w:val="000000"/>
          <w:lang w:val="en-GB"/>
        </w:rPr>
        <w:t xml:space="preserve">. </w:t>
      </w:r>
      <w:r w:rsidRPr="005F73F7">
        <w:rPr>
          <w:rFonts w:ascii="Calibri" w:hAnsi="Calibri" w:cs="Calibri"/>
          <w:color w:val="000000"/>
          <w:lang w:val="en-GB"/>
        </w:rPr>
        <w:t xml:space="preserve">Overall the </w:t>
      </w:r>
      <w:r w:rsidR="009C6C3B">
        <w:rPr>
          <w:rFonts w:ascii="Calibri" w:hAnsi="Calibri" w:cs="Calibri"/>
          <w:color w:val="000000"/>
          <w:lang w:val="en-GB"/>
        </w:rPr>
        <w:t xml:space="preserve">annual </w:t>
      </w:r>
      <w:r w:rsidRPr="005F73F7">
        <w:rPr>
          <w:lang w:val="en-GB"/>
        </w:rPr>
        <w:t xml:space="preserve">production </w:t>
      </w:r>
      <w:r w:rsidRPr="005F73F7">
        <w:rPr>
          <w:rFonts w:ascii="Calibri" w:hAnsi="Calibri" w:cs="Calibri"/>
          <w:color w:val="000000"/>
          <w:lang w:val="en-GB"/>
        </w:rPr>
        <w:t>costs were</w:t>
      </w:r>
      <w:r w:rsidR="00862AD5">
        <w:rPr>
          <w:rFonts w:ascii="Calibri" w:hAnsi="Calibri" w:cs="Calibri"/>
          <w:color w:val="000000"/>
          <w:lang w:val="en-GB"/>
        </w:rPr>
        <w:t xml:space="preserve"> estimated to be</w:t>
      </w:r>
      <w:r w:rsidRPr="005F73F7">
        <w:rPr>
          <w:rFonts w:ascii="Calibri" w:hAnsi="Calibri" w:cs="Calibri"/>
          <w:color w:val="000000"/>
          <w:lang w:val="en-GB"/>
        </w:rPr>
        <w:t xml:space="preserve"> </w:t>
      </w:r>
      <w:r w:rsidRPr="005F73F7">
        <w:rPr>
          <w:rFonts w:cstheme="minorHAnsi"/>
          <w:lang w:val="en-GB"/>
        </w:rPr>
        <w:t xml:space="preserve">€ </w:t>
      </w:r>
      <w:r w:rsidR="00B16F38">
        <w:rPr>
          <w:rFonts w:ascii="Calibri" w:hAnsi="Calibri" w:cs="Calibri"/>
          <w:color w:val="000000"/>
          <w:lang w:val="en-GB"/>
        </w:rPr>
        <w:t>6</w:t>
      </w:r>
      <w:r w:rsidR="00807362">
        <w:rPr>
          <w:rFonts w:ascii="Calibri" w:hAnsi="Calibri" w:cs="Calibri"/>
          <w:color w:val="000000"/>
          <w:lang w:val="en-GB"/>
        </w:rPr>
        <w:t>86</w:t>
      </w:r>
      <w:r w:rsidRPr="005F73F7">
        <w:rPr>
          <w:rFonts w:ascii="Calibri" w:hAnsi="Calibri" w:cs="Calibri"/>
          <w:color w:val="000000"/>
          <w:lang w:val="en-GB"/>
        </w:rPr>
        <w:t xml:space="preserve"> million [</w:t>
      </w:r>
      <w:r w:rsidR="00862AD5" w:rsidRPr="005F73F7">
        <w:rPr>
          <w:rFonts w:cstheme="minorHAnsi"/>
          <w:lang w:val="en-GB"/>
        </w:rPr>
        <w:t>€</w:t>
      </w:r>
      <w:r w:rsidR="00862AD5">
        <w:rPr>
          <w:rFonts w:cstheme="minorHAnsi"/>
          <w:lang w:val="en-GB"/>
        </w:rPr>
        <w:t xml:space="preserve"> </w:t>
      </w:r>
      <w:r w:rsidR="00B16F38">
        <w:rPr>
          <w:rFonts w:ascii="Calibri" w:hAnsi="Calibri" w:cs="Calibri"/>
          <w:color w:val="000000"/>
          <w:lang w:val="en-GB"/>
        </w:rPr>
        <w:t>41</w:t>
      </w:r>
      <w:r w:rsidR="00807362">
        <w:rPr>
          <w:rFonts w:ascii="Calibri" w:hAnsi="Calibri" w:cs="Calibri"/>
          <w:color w:val="000000"/>
          <w:lang w:val="en-GB"/>
        </w:rPr>
        <w:t>1</w:t>
      </w:r>
      <w:r w:rsidR="00B16F38">
        <w:rPr>
          <w:rFonts w:ascii="Calibri" w:hAnsi="Calibri" w:cs="Calibri"/>
          <w:color w:val="000000"/>
          <w:lang w:val="en-GB"/>
        </w:rPr>
        <w:t xml:space="preserve"> – </w:t>
      </w:r>
      <w:r w:rsidRPr="005F73F7">
        <w:rPr>
          <w:rFonts w:ascii="Calibri" w:hAnsi="Calibri" w:cs="Calibri"/>
          <w:color w:val="000000"/>
          <w:lang w:val="en-GB"/>
        </w:rPr>
        <w:t>9</w:t>
      </w:r>
      <w:r w:rsidR="00B16F38">
        <w:rPr>
          <w:rFonts w:ascii="Calibri" w:hAnsi="Calibri" w:cs="Calibri"/>
          <w:color w:val="000000"/>
          <w:lang w:val="en-GB"/>
        </w:rPr>
        <w:t>9</w:t>
      </w:r>
      <w:r w:rsidR="00807362">
        <w:rPr>
          <w:rFonts w:ascii="Calibri" w:hAnsi="Calibri" w:cs="Calibri"/>
          <w:color w:val="000000"/>
          <w:lang w:val="en-GB"/>
        </w:rPr>
        <w:t>7</w:t>
      </w:r>
      <w:r w:rsidR="00B16F38">
        <w:rPr>
          <w:rFonts w:ascii="Calibri" w:hAnsi="Calibri" w:cs="Calibri"/>
          <w:color w:val="000000"/>
          <w:lang w:val="en-GB"/>
        </w:rPr>
        <w:t xml:space="preserve"> million</w:t>
      </w:r>
      <w:r w:rsidRPr="005F73F7">
        <w:rPr>
          <w:rFonts w:ascii="Calibri" w:hAnsi="Calibri" w:cs="Calibri"/>
          <w:color w:val="000000"/>
          <w:lang w:val="en-GB"/>
        </w:rPr>
        <w:t xml:space="preserve">] for GIN, </w:t>
      </w:r>
      <w:r w:rsidRPr="005F73F7">
        <w:rPr>
          <w:rFonts w:cstheme="minorHAnsi"/>
          <w:lang w:val="en-GB"/>
        </w:rPr>
        <w:t xml:space="preserve">€ </w:t>
      </w:r>
      <w:r w:rsidR="00B16F38">
        <w:rPr>
          <w:rFonts w:ascii="Calibri" w:hAnsi="Calibri" w:cs="Calibri"/>
          <w:color w:val="000000"/>
          <w:lang w:val="en-GB"/>
        </w:rPr>
        <w:t>63</w:t>
      </w:r>
      <w:r w:rsidR="00807362">
        <w:rPr>
          <w:rFonts w:ascii="Calibri" w:hAnsi="Calibri" w:cs="Calibri"/>
          <w:color w:val="000000"/>
          <w:lang w:val="en-GB"/>
        </w:rPr>
        <w:t>5</w:t>
      </w:r>
      <w:r w:rsidRPr="005F73F7">
        <w:rPr>
          <w:rFonts w:ascii="Calibri" w:hAnsi="Calibri" w:cs="Calibri"/>
          <w:color w:val="000000"/>
          <w:lang w:val="en-GB"/>
        </w:rPr>
        <w:t xml:space="preserve"> million [</w:t>
      </w:r>
      <w:r w:rsidR="00862AD5" w:rsidRPr="005F73F7">
        <w:rPr>
          <w:rFonts w:cstheme="minorHAnsi"/>
          <w:lang w:val="en-GB"/>
        </w:rPr>
        <w:t>€</w:t>
      </w:r>
      <w:r w:rsidR="00862AD5">
        <w:rPr>
          <w:rFonts w:cstheme="minorHAnsi"/>
          <w:lang w:val="en-GB"/>
        </w:rPr>
        <w:t xml:space="preserve"> </w:t>
      </w:r>
      <w:r w:rsidRPr="005F73F7">
        <w:rPr>
          <w:rFonts w:ascii="Calibri" w:hAnsi="Calibri" w:cs="Calibri"/>
          <w:color w:val="000000"/>
          <w:lang w:val="en-GB"/>
        </w:rPr>
        <w:t>3</w:t>
      </w:r>
      <w:r w:rsidR="00B16F38">
        <w:rPr>
          <w:rFonts w:ascii="Calibri" w:hAnsi="Calibri" w:cs="Calibri"/>
          <w:color w:val="000000"/>
          <w:lang w:val="en-GB"/>
        </w:rPr>
        <w:t>4</w:t>
      </w:r>
      <w:r w:rsidR="00807362">
        <w:rPr>
          <w:rFonts w:ascii="Calibri" w:hAnsi="Calibri" w:cs="Calibri"/>
          <w:color w:val="000000"/>
          <w:lang w:val="en-GB"/>
        </w:rPr>
        <w:t>2</w:t>
      </w:r>
      <w:r w:rsidRPr="005F73F7">
        <w:rPr>
          <w:rFonts w:ascii="Calibri" w:hAnsi="Calibri" w:cs="Calibri"/>
          <w:color w:val="000000"/>
          <w:lang w:val="en-GB"/>
        </w:rPr>
        <w:t>-9</w:t>
      </w:r>
      <w:r w:rsidR="006A7346">
        <w:rPr>
          <w:rFonts w:ascii="Calibri" w:hAnsi="Calibri" w:cs="Calibri"/>
          <w:color w:val="000000"/>
          <w:lang w:val="en-GB"/>
        </w:rPr>
        <w:t>70</w:t>
      </w:r>
      <w:r w:rsidR="00862AD5">
        <w:rPr>
          <w:rFonts w:cstheme="minorHAnsi"/>
          <w:lang w:val="en-GB"/>
        </w:rPr>
        <w:t xml:space="preserve"> </w:t>
      </w:r>
      <w:r w:rsidR="00862AD5" w:rsidRPr="005F73F7">
        <w:rPr>
          <w:rFonts w:cstheme="minorHAnsi"/>
          <w:lang w:val="en-GB"/>
        </w:rPr>
        <w:t>million</w:t>
      </w:r>
      <w:r w:rsidRPr="005F73F7">
        <w:rPr>
          <w:rFonts w:ascii="Calibri" w:hAnsi="Calibri" w:cs="Calibri"/>
          <w:color w:val="000000"/>
          <w:lang w:val="en-GB"/>
        </w:rPr>
        <w:t xml:space="preserve">] for </w:t>
      </w:r>
      <w:r w:rsidRPr="005F73F7">
        <w:rPr>
          <w:rFonts w:ascii="Calibri" w:hAnsi="Calibri" w:cs="Calibri"/>
          <w:i/>
          <w:color w:val="000000"/>
          <w:lang w:val="en-GB"/>
        </w:rPr>
        <w:t>F. hepatica</w:t>
      </w:r>
      <w:r w:rsidRPr="005F73F7">
        <w:rPr>
          <w:rFonts w:ascii="Calibri" w:hAnsi="Calibri" w:cs="Calibri"/>
          <w:color w:val="000000"/>
          <w:lang w:val="en-GB"/>
        </w:rPr>
        <w:t xml:space="preserve"> and </w:t>
      </w:r>
      <w:r w:rsidRPr="005F73F7">
        <w:rPr>
          <w:rFonts w:cstheme="minorHAnsi"/>
          <w:lang w:val="en-GB"/>
        </w:rPr>
        <w:t xml:space="preserve">€ </w:t>
      </w:r>
      <w:r w:rsidR="00B16F38">
        <w:rPr>
          <w:rFonts w:ascii="Calibri" w:hAnsi="Calibri" w:cs="Calibri"/>
          <w:color w:val="000000"/>
          <w:lang w:val="en-GB"/>
        </w:rPr>
        <w:t>139</w:t>
      </w:r>
      <w:r w:rsidRPr="005F73F7">
        <w:rPr>
          <w:rFonts w:ascii="Calibri" w:hAnsi="Calibri" w:cs="Calibri"/>
          <w:color w:val="000000"/>
          <w:lang w:val="en-GB"/>
        </w:rPr>
        <w:t xml:space="preserve"> million [</w:t>
      </w:r>
      <w:r w:rsidR="00862AD5" w:rsidRPr="005F73F7">
        <w:rPr>
          <w:rFonts w:cstheme="minorHAnsi"/>
          <w:lang w:val="en-GB"/>
        </w:rPr>
        <w:t>€</w:t>
      </w:r>
      <w:r w:rsidR="00862AD5">
        <w:rPr>
          <w:rFonts w:cstheme="minorHAnsi"/>
          <w:lang w:val="en-GB"/>
        </w:rPr>
        <w:t xml:space="preserve"> </w:t>
      </w:r>
      <w:r w:rsidR="00B16F38">
        <w:rPr>
          <w:rFonts w:ascii="Calibri" w:hAnsi="Calibri" w:cs="Calibri"/>
          <w:color w:val="000000"/>
          <w:lang w:val="en-GB"/>
        </w:rPr>
        <w:t xml:space="preserve">86 </w:t>
      </w:r>
      <w:r w:rsidRPr="005F73F7">
        <w:rPr>
          <w:rFonts w:ascii="Calibri" w:hAnsi="Calibri" w:cs="Calibri"/>
          <w:color w:val="000000"/>
          <w:lang w:val="en-GB"/>
        </w:rPr>
        <w:t>-</w:t>
      </w:r>
      <w:r w:rsidR="00B16F38">
        <w:rPr>
          <w:rFonts w:ascii="Calibri" w:hAnsi="Calibri" w:cs="Calibri"/>
          <w:color w:val="000000"/>
          <w:lang w:val="en-GB"/>
        </w:rPr>
        <w:t xml:space="preserve"> 225</w:t>
      </w:r>
      <w:r w:rsidR="00862AD5">
        <w:rPr>
          <w:rFonts w:cstheme="minorHAnsi"/>
          <w:lang w:val="en-GB"/>
        </w:rPr>
        <w:t xml:space="preserve"> </w:t>
      </w:r>
      <w:r w:rsidR="00862AD5" w:rsidRPr="005F73F7">
        <w:rPr>
          <w:rFonts w:cstheme="minorHAnsi"/>
          <w:lang w:val="en-GB"/>
        </w:rPr>
        <w:t>million</w:t>
      </w:r>
      <w:r w:rsidRPr="005F73F7">
        <w:rPr>
          <w:rFonts w:ascii="Calibri" w:hAnsi="Calibri" w:cs="Calibri"/>
          <w:color w:val="000000"/>
          <w:lang w:val="en-GB"/>
        </w:rPr>
        <w:t>]</w:t>
      </w:r>
      <w:r w:rsidRPr="005F73F7">
        <w:rPr>
          <w:rFonts w:ascii="Calibri" w:hAnsi="Calibri" w:cs="Calibri"/>
          <w:i/>
          <w:color w:val="000000"/>
          <w:lang w:val="en-GB"/>
        </w:rPr>
        <w:t xml:space="preserve"> </w:t>
      </w:r>
      <w:r w:rsidRPr="005F73F7">
        <w:rPr>
          <w:rFonts w:ascii="Calibri" w:hAnsi="Calibri" w:cs="Calibri"/>
          <w:color w:val="000000"/>
          <w:lang w:val="en-GB"/>
        </w:rPr>
        <w:t>for</w:t>
      </w:r>
      <w:r w:rsidRPr="005F73F7">
        <w:rPr>
          <w:rFonts w:ascii="Calibri" w:hAnsi="Calibri" w:cs="Calibri"/>
          <w:i/>
          <w:color w:val="000000"/>
          <w:lang w:val="en-GB"/>
        </w:rPr>
        <w:t xml:space="preserve"> D. viviparus</w:t>
      </w:r>
      <w:r w:rsidRPr="005F73F7">
        <w:rPr>
          <w:rFonts w:ascii="Calibri" w:hAnsi="Calibri" w:cs="Calibri"/>
          <w:color w:val="000000"/>
          <w:lang w:val="en-GB"/>
        </w:rPr>
        <w:t>.</w:t>
      </w:r>
    </w:p>
    <w:p w14:paraId="347C3869" w14:textId="40589200" w:rsidR="00EA24DF" w:rsidRPr="005F73F7" w:rsidRDefault="00EA24DF" w:rsidP="00905078">
      <w:pPr>
        <w:spacing w:after="0" w:line="480" w:lineRule="auto"/>
        <w:jc w:val="both"/>
        <w:rPr>
          <w:lang w:val="en-GB"/>
        </w:rPr>
      </w:pPr>
      <w:r w:rsidRPr="005F73F7">
        <w:rPr>
          <w:lang w:val="en-GB"/>
        </w:rPr>
        <w:t xml:space="preserve">The estimated costs of AR </w:t>
      </w:r>
      <w:r>
        <w:rPr>
          <w:lang w:val="en-GB"/>
        </w:rPr>
        <w:t xml:space="preserve">in </w:t>
      </w:r>
      <w:r w:rsidRPr="005F73F7">
        <w:rPr>
          <w:lang w:val="en-GB"/>
        </w:rPr>
        <w:t>GIN are given in Table 4</w:t>
      </w:r>
      <w:r>
        <w:rPr>
          <w:lang w:val="en-GB"/>
        </w:rPr>
        <w:t xml:space="preserve">, </w:t>
      </w:r>
      <w:r w:rsidRPr="005F73F7">
        <w:rPr>
          <w:lang w:val="en-GB"/>
        </w:rPr>
        <w:t>per country and livestock sector. Overall</w:t>
      </w:r>
      <w:r>
        <w:rPr>
          <w:lang w:val="en-GB"/>
        </w:rPr>
        <w:t xml:space="preserve"> annual costs</w:t>
      </w:r>
      <w:r w:rsidRPr="005F73F7">
        <w:rPr>
          <w:lang w:val="en-GB"/>
        </w:rPr>
        <w:t xml:space="preserve"> were estimated at </w:t>
      </w:r>
      <w:r w:rsidRPr="005F73F7">
        <w:rPr>
          <w:rFonts w:cstheme="minorHAnsi"/>
          <w:lang w:val="en-GB"/>
        </w:rPr>
        <w:t xml:space="preserve">€ </w:t>
      </w:r>
      <w:r w:rsidR="00B16F38">
        <w:rPr>
          <w:lang w:val="en-GB"/>
        </w:rPr>
        <w:t>3</w:t>
      </w:r>
      <w:r w:rsidR="006A7346">
        <w:rPr>
          <w:lang w:val="en-GB"/>
        </w:rPr>
        <w:t>8</w:t>
      </w:r>
      <w:r w:rsidRPr="005F73F7">
        <w:rPr>
          <w:lang w:val="en-GB"/>
        </w:rPr>
        <w:t xml:space="preserve"> million [</w:t>
      </w:r>
      <w:r w:rsidRPr="005F73F7">
        <w:rPr>
          <w:rFonts w:cstheme="minorHAnsi"/>
          <w:lang w:val="en-GB"/>
        </w:rPr>
        <w:t>€</w:t>
      </w:r>
      <w:r>
        <w:rPr>
          <w:rFonts w:cstheme="minorHAnsi"/>
          <w:lang w:val="en-GB"/>
        </w:rPr>
        <w:t xml:space="preserve"> </w:t>
      </w:r>
      <w:r w:rsidRPr="005F73F7">
        <w:rPr>
          <w:lang w:val="en-GB"/>
        </w:rPr>
        <w:t>1</w:t>
      </w:r>
      <w:r w:rsidR="006A7346">
        <w:rPr>
          <w:lang w:val="en-GB"/>
        </w:rPr>
        <w:t>1</w:t>
      </w:r>
      <w:r w:rsidR="00B16F38">
        <w:rPr>
          <w:lang w:val="en-GB"/>
        </w:rPr>
        <w:t xml:space="preserve"> </w:t>
      </w:r>
      <w:r w:rsidR="006A5471">
        <w:rPr>
          <w:lang w:val="en-GB"/>
        </w:rPr>
        <w:t>–</w:t>
      </w:r>
      <w:r w:rsidR="00B16F38">
        <w:rPr>
          <w:lang w:val="en-GB"/>
        </w:rPr>
        <w:t xml:space="preserve"> </w:t>
      </w:r>
      <w:r w:rsidR="006A5471">
        <w:rPr>
          <w:lang w:val="en-GB"/>
        </w:rPr>
        <w:t>8</w:t>
      </w:r>
      <w:r w:rsidR="006A7346">
        <w:rPr>
          <w:lang w:val="en-GB"/>
        </w:rPr>
        <w:t>7</w:t>
      </w:r>
      <w:r w:rsidR="006A5471">
        <w:rPr>
          <w:lang w:val="en-GB"/>
        </w:rPr>
        <w:t xml:space="preserve"> </w:t>
      </w:r>
      <w:r w:rsidRPr="005F73F7">
        <w:rPr>
          <w:rFonts w:cstheme="minorHAnsi"/>
          <w:lang w:val="en-GB"/>
        </w:rPr>
        <w:t>million</w:t>
      </w:r>
      <w:r w:rsidRPr="005F73F7">
        <w:rPr>
          <w:lang w:val="en-GB"/>
        </w:rPr>
        <w:t>] annually (</w:t>
      </w:r>
      <w:r w:rsidR="00B16F38">
        <w:rPr>
          <w:lang w:val="en-GB"/>
        </w:rPr>
        <w:t>6</w:t>
      </w:r>
      <w:r w:rsidRPr="005F73F7">
        <w:rPr>
          <w:lang w:val="en-GB"/>
        </w:rPr>
        <w:t xml:space="preserve"> % of the production cost</w:t>
      </w:r>
      <w:r>
        <w:rPr>
          <w:lang w:val="en-GB"/>
        </w:rPr>
        <w:t xml:space="preserve"> of GIN</w:t>
      </w:r>
      <w:r w:rsidRPr="005F73F7">
        <w:rPr>
          <w:lang w:val="en-GB"/>
        </w:rPr>
        <w:t>). These costs were largest in dairy cattle (</w:t>
      </w:r>
      <w:r w:rsidRPr="005F73F7">
        <w:rPr>
          <w:rFonts w:cstheme="minorHAnsi"/>
          <w:lang w:val="en-GB"/>
        </w:rPr>
        <w:t xml:space="preserve">€ </w:t>
      </w:r>
      <w:r w:rsidR="00B16F38">
        <w:rPr>
          <w:lang w:val="en-GB"/>
        </w:rPr>
        <w:t>17</w:t>
      </w:r>
      <w:r w:rsidR="0026545B">
        <w:rPr>
          <w:lang w:val="en-GB"/>
        </w:rPr>
        <w:t>.2</w:t>
      </w:r>
      <w:r w:rsidRPr="005F73F7">
        <w:rPr>
          <w:lang w:val="en-GB"/>
        </w:rPr>
        <w:t xml:space="preserve"> million [</w:t>
      </w:r>
      <w:r w:rsidRPr="005F73F7">
        <w:rPr>
          <w:rFonts w:cstheme="minorHAnsi"/>
          <w:lang w:val="en-GB"/>
        </w:rPr>
        <w:t>€</w:t>
      </w:r>
      <w:r>
        <w:rPr>
          <w:rFonts w:cstheme="minorHAnsi"/>
          <w:lang w:val="en-GB"/>
        </w:rPr>
        <w:t xml:space="preserve"> </w:t>
      </w:r>
      <w:r w:rsidR="0026545B">
        <w:rPr>
          <w:lang w:val="en-GB"/>
        </w:rPr>
        <w:t>5.6 – 39.3</w:t>
      </w:r>
      <w:r>
        <w:rPr>
          <w:rFonts w:cstheme="minorHAnsi"/>
          <w:lang w:val="en-GB"/>
        </w:rPr>
        <w:t xml:space="preserve"> </w:t>
      </w:r>
      <w:r w:rsidRPr="005F73F7">
        <w:rPr>
          <w:rFonts w:cstheme="minorHAnsi"/>
          <w:lang w:val="en-GB"/>
        </w:rPr>
        <w:t>million</w:t>
      </w:r>
      <w:r w:rsidRPr="005F73F7">
        <w:rPr>
          <w:lang w:val="en-GB"/>
        </w:rPr>
        <w:t>]), followed by beef cattle (</w:t>
      </w:r>
      <w:r w:rsidRPr="005F73F7">
        <w:rPr>
          <w:rFonts w:cstheme="minorHAnsi"/>
          <w:lang w:val="en-GB"/>
        </w:rPr>
        <w:t xml:space="preserve">€ </w:t>
      </w:r>
      <w:r w:rsidR="00B16F38">
        <w:rPr>
          <w:lang w:val="en-GB"/>
        </w:rPr>
        <w:t>9</w:t>
      </w:r>
      <w:r w:rsidR="0026545B">
        <w:rPr>
          <w:lang w:val="en-GB"/>
        </w:rPr>
        <w:t>.3</w:t>
      </w:r>
      <w:r w:rsidRPr="005F73F7">
        <w:rPr>
          <w:lang w:val="en-GB"/>
        </w:rPr>
        <w:t xml:space="preserve"> million [</w:t>
      </w:r>
      <w:r w:rsidRPr="005F73F7">
        <w:rPr>
          <w:rFonts w:cstheme="minorHAnsi"/>
          <w:lang w:val="en-GB"/>
        </w:rPr>
        <w:t>€</w:t>
      </w:r>
      <w:r>
        <w:rPr>
          <w:rFonts w:cstheme="minorHAnsi"/>
          <w:lang w:val="en-GB"/>
        </w:rPr>
        <w:t xml:space="preserve"> </w:t>
      </w:r>
      <w:r w:rsidR="00B16F38">
        <w:rPr>
          <w:lang w:val="en-GB"/>
        </w:rPr>
        <w:t>3</w:t>
      </w:r>
      <w:r w:rsidR="0026545B">
        <w:rPr>
          <w:lang w:val="en-GB"/>
        </w:rPr>
        <w:t>.1</w:t>
      </w:r>
      <w:r w:rsidR="00B16F38">
        <w:rPr>
          <w:lang w:val="en-GB"/>
        </w:rPr>
        <w:t xml:space="preserve"> </w:t>
      </w:r>
      <w:r w:rsidR="0026545B">
        <w:rPr>
          <w:lang w:val="en-GB"/>
        </w:rPr>
        <w:t>– 19.4</w:t>
      </w:r>
      <w:r>
        <w:rPr>
          <w:rFonts w:cstheme="minorHAnsi"/>
          <w:lang w:val="en-GB"/>
        </w:rPr>
        <w:t xml:space="preserve"> </w:t>
      </w:r>
      <w:r w:rsidRPr="005F73F7">
        <w:rPr>
          <w:rFonts w:cstheme="minorHAnsi"/>
          <w:lang w:val="en-GB"/>
        </w:rPr>
        <w:t>million</w:t>
      </w:r>
      <w:r w:rsidRPr="005F73F7">
        <w:rPr>
          <w:lang w:val="en-GB"/>
        </w:rPr>
        <w:t>]), meat sheep (</w:t>
      </w:r>
      <w:r w:rsidRPr="005F73F7">
        <w:rPr>
          <w:rFonts w:cstheme="minorHAnsi"/>
          <w:lang w:val="en-GB"/>
        </w:rPr>
        <w:t xml:space="preserve">€ </w:t>
      </w:r>
      <w:r w:rsidR="006A7346">
        <w:rPr>
          <w:lang w:val="en-GB"/>
        </w:rPr>
        <w:t>8.0</w:t>
      </w:r>
      <w:r w:rsidRPr="005F73F7">
        <w:rPr>
          <w:lang w:val="en-GB"/>
        </w:rPr>
        <w:t xml:space="preserve"> million [</w:t>
      </w:r>
      <w:r w:rsidRPr="005F73F7">
        <w:rPr>
          <w:rFonts w:cstheme="minorHAnsi"/>
          <w:lang w:val="en-GB"/>
        </w:rPr>
        <w:t>€</w:t>
      </w:r>
      <w:r>
        <w:rPr>
          <w:rFonts w:cstheme="minorHAnsi"/>
          <w:lang w:val="en-GB"/>
        </w:rPr>
        <w:t xml:space="preserve"> </w:t>
      </w:r>
      <w:r w:rsidR="0026545B">
        <w:rPr>
          <w:lang w:val="en-GB"/>
        </w:rPr>
        <w:t>1.</w:t>
      </w:r>
      <w:r w:rsidR="006A7346">
        <w:rPr>
          <w:lang w:val="en-GB"/>
        </w:rPr>
        <w:t>4</w:t>
      </w:r>
      <w:r w:rsidR="0026545B">
        <w:rPr>
          <w:lang w:val="en-GB"/>
        </w:rPr>
        <w:t xml:space="preserve"> – </w:t>
      </w:r>
      <w:r w:rsidR="006A7346">
        <w:rPr>
          <w:lang w:val="en-GB"/>
        </w:rPr>
        <w:t>20.4</w:t>
      </w:r>
      <w:r w:rsidR="0026545B">
        <w:rPr>
          <w:lang w:val="en-GB"/>
        </w:rPr>
        <w:t xml:space="preserve"> million</w:t>
      </w:r>
      <w:r w:rsidRPr="005F73F7">
        <w:rPr>
          <w:lang w:val="en-GB"/>
        </w:rPr>
        <w:t>]), dairy sheep (</w:t>
      </w:r>
      <w:r w:rsidRPr="005F73F7">
        <w:rPr>
          <w:rFonts w:cstheme="minorHAnsi"/>
          <w:lang w:val="en-GB"/>
        </w:rPr>
        <w:t xml:space="preserve">€ </w:t>
      </w:r>
      <w:r w:rsidR="00B16F38">
        <w:rPr>
          <w:lang w:val="en-GB"/>
        </w:rPr>
        <w:t>2.</w:t>
      </w:r>
      <w:r w:rsidR="006A7346">
        <w:rPr>
          <w:lang w:val="en-GB"/>
        </w:rPr>
        <w:t>5</w:t>
      </w:r>
      <w:r w:rsidRPr="005F73F7">
        <w:rPr>
          <w:lang w:val="en-GB"/>
        </w:rPr>
        <w:t xml:space="preserve"> million [</w:t>
      </w:r>
      <w:r w:rsidRPr="005F73F7">
        <w:rPr>
          <w:rFonts w:cstheme="minorHAnsi"/>
          <w:lang w:val="en-GB"/>
        </w:rPr>
        <w:t>€</w:t>
      </w:r>
      <w:r>
        <w:rPr>
          <w:rFonts w:cstheme="minorHAnsi"/>
          <w:lang w:val="en-GB"/>
        </w:rPr>
        <w:t xml:space="preserve"> </w:t>
      </w:r>
      <w:r w:rsidRPr="005F73F7">
        <w:rPr>
          <w:lang w:val="en-GB"/>
        </w:rPr>
        <w:t>0.</w:t>
      </w:r>
      <w:r w:rsidR="006A7346">
        <w:rPr>
          <w:lang w:val="en-GB"/>
        </w:rPr>
        <w:t>6</w:t>
      </w:r>
      <w:r w:rsidRPr="005F73F7">
        <w:rPr>
          <w:lang w:val="en-GB"/>
        </w:rPr>
        <w:t>-</w:t>
      </w:r>
      <w:r w:rsidR="0026545B">
        <w:rPr>
          <w:lang w:val="en-GB"/>
        </w:rPr>
        <w:t>5.</w:t>
      </w:r>
      <w:r w:rsidR="006A7346">
        <w:rPr>
          <w:lang w:val="en-GB"/>
        </w:rPr>
        <w:t>5</w:t>
      </w:r>
      <w:r>
        <w:rPr>
          <w:rFonts w:cstheme="minorHAnsi"/>
          <w:lang w:val="en-GB"/>
        </w:rPr>
        <w:t xml:space="preserve"> </w:t>
      </w:r>
      <w:r w:rsidRPr="005F73F7">
        <w:rPr>
          <w:rFonts w:cstheme="minorHAnsi"/>
          <w:lang w:val="en-GB"/>
        </w:rPr>
        <w:t>million</w:t>
      </w:r>
      <w:r w:rsidRPr="005F73F7">
        <w:rPr>
          <w:lang w:val="en-GB"/>
        </w:rPr>
        <w:t>]) and dairy goats (</w:t>
      </w:r>
      <w:r w:rsidRPr="005F73F7">
        <w:rPr>
          <w:rFonts w:cstheme="minorHAnsi"/>
          <w:lang w:val="en-GB"/>
        </w:rPr>
        <w:t xml:space="preserve">€ </w:t>
      </w:r>
      <w:r w:rsidR="006A7346">
        <w:rPr>
          <w:lang w:val="en-GB"/>
        </w:rPr>
        <w:t>1.1</w:t>
      </w:r>
      <w:r w:rsidRPr="005F73F7">
        <w:rPr>
          <w:lang w:val="en-GB"/>
        </w:rPr>
        <w:t xml:space="preserve"> million [</w:t>
      </w:r>
      <w:r w:rsidRPr="005F73F7">
        <w:rPr>
          <w:rFonts w:cstheme="minorHAnsi"/>
          <w:lang w:val="en-GB"/>
        </w:rPr>
        <w:t>€</w:t>
      </w:r>
      <w:r>
        <w:rPr>
          <w:rFonts w:cstheme="minorHAnsi"/>
          <w:lang w:val="en-GB"/>
        </w:rPr>
        <w:t xml:space="preserve"> </w:t>
      </w:r>
      <w:r w:rsidRPr="005F73F7">
        <w:rPr>
          <w:lang w:val="en-GB"/>
        </w:rPr>
        <w:t>0</w:t>
      </w:r>
      <w:r w:rsidR="006A5471">
        <w:rPr>
          <w:lang w:val="en-GB"/>
        </w:rPr>
        <w:t>.</w:t>
      </w:r>
      <w:r w:rsidR="006A7346">
        <w:rPr>
          <w:lang w:val="en-GB"/>
        </w:rPr>
        <w:t>4</w:t>
      </w:r>
      <w:r w:rsidR="0026545B">
        <w:rPr>
          <w:lang w:val="en-GB"/>
        </w:rPr>
        <w:t xml:space="preserve"> </w:t>
      </w:r>
      <w:r w:rsidR="006A7346">
        <w:rPr>
          <w:lang w:val="en-GB"/>
        </w:rPr>
        <w:t>–</w:t>
      </w:r>
      <w:r w:rsidR="0026545B">
        <w:rPr>
          <w:lang w:val="en-GB"/>
        </w:rPr>
        <w:t xml:space="preserve"> </w:t>
      </w:r>
      <w:r w:rsidR="006A7346">
        <w:rPr>
          <w:lang w:val="en-GB"/>
        </w:rPr>
        <w:t>2.5</w:t>
      </w:r>
      <w:r>
        <w:rPr>
          <w:rFonts w:cstheme="minorHAnsi"/>
          <w:lang w:val="en-GB"/>
        </w:rPr>
        <w:t xml:space="preserve"> </w:t>
      </w:r>
      <w:r w:rsidRPr="005F73F7">
        <w:rPr>
          <w:rFonts w:cstheme="minorHAnsi"/>
          <w:lang w:val="en-GB"/>
        </w:rPr>
        <w:t>million</w:t>
      </w:r>
      <w:r w:rsidRPr="005F73F7">
        <w:rPr>
          <w:lang w:val="en-GB"/>
        </w:rPr>
        <w:t>]).</w:t>
      </w:r>
    </w:p>
    <w:p w14:paraId="2AEA9E6E" w14:textId="77777777" w:rsidR="00E9319B" w:rsidRPr="005F73F7" w:rsidRDefault="00E9319B" w:rsidP="00CF6817">
      <w:pPr>
        <w:pStyle w:val="Heading2"/>
        <w:spacing w:line="480" w:lineRule="auto"/>
        <w:jc w:val="both"/>
        <w:rPr>
          <w:lang w:val="en-GB"/>
        </w:rPr>
      </w:pPr>
      <w:r w:rsidRPr="005F73F7">
        <w:rPr>
          <w:lang w:val="en-GB"/>
        </w:rPr>
        <w:t>3.3. Public research budgets</w:t>
      </w:r>
    </w:p>
    <w:p w14:paraId="05CCB729" w14:textId="44A4EDEA" w:rsidR="00E9319B" w:rsidRPr="005F73F7" w:rsidRDefault="00E9319B" w:rsidP="00CF6817">
      <w:pPr>
        <w:spacing w:line="480" w:lineRule="auto"/>
        <w:jc w:val="both"/>
        <w:rPr>
          <w:lang w:val="en-GB"/>
        </w:rPr>
      </w:pPr>
      <w:r w:rsidRPr="005F73F7">
        <w:rPr>
          <w:lang w:val="en-GB"/>
        </w:rPr>
        <w:t xml:space="preserve">The estimated annual public budgets for research on the considered helminth infections, together with the total cost of helminth infections is given per country in Table 5. Overall, the total annual public research budgets of collected projects was </w:t>
      </w:r>
      <w:r w:rsidRPr="005F73F7">
        <w:rPr>
          <w:rFonts w:cstheme="minorHAnsi"/>
          <w:lang w:val="en-GB"/>
        </w:rPr>
        <w:t xml:space="preserve">€ </w:t>
      </w:r>
      <w:r w:rsidRPr="005F73F7">
        <w:rPr>
          <w:lang w:val="en-GB"/>
        </w:rPr>
        <w:t>2.</w:t>
      </w:r>
      <w:r w:rsidR="006153A4">
        <w:rPr>
          <w:lang w:val="en-GB"/>
        </w:rPr>
        <w:t>7</w:t>
      </w:r>
      <w:r w:rsidRPr="005F73F7">
        <w:rPr>
          <w:lang w:val="en-GB"/>
        </w:rPr>
        <w:t xml:space="preserve"> million (0.1</w:t>
      </w:r>
      <w:r w:rsidR="006153A4">
        <w:rPr>
          <w:lang w:val="en-GB"/>
        </w:rPr>
        <w:t>5</w:t>
      </w:r>
      <w:r w:rsidRPr="005F73F7">
        <w:rPr>
          <w:lang w:val="en-GB"/>
        </w:rPr>
        <w:t>% of the total cost); 5</w:t>
      </w:r>
      <w:r w:rsidR="006153A4">
        <w:rPr>
          <w:lang w:val="en-GB"/>
        </w:rPr>
        <w:t>6</w:t>
      </w:r>
      <w:r w:rsidRPr="005F73F7">
        <w:rPr>
          <w:lang w:val="en-GB"/>
        </w:rPr>
        <w:t>% (</w:t>
      </w:r>
      <w:r w:rsidRPr="005F73F7">
        <w:rPr>
          <w:rFonts w:cstheme="minorHAnsi"/>
          <w:lang w:val="en-GB"/>
        </w:rPr>
        <w:t xml:space="preserve">€ </w:t>
      </w:r>
      <w:r w:rsidRPr="005F73F7">
        <w:rPr>
          <w:lang w:val="en-GB"/>
        </w:rPr>
        <w:t>1.</w:t>
      </w:r>
      <w:r w:rsidR="006153A4">
        <w:rPr>
          <w:lang w:val="en-GB"/>
        </w:rPr>
        <w:t>5</w:t>
      </w:r>
      <w:r w:rsidRPr="005F73F7">
        <w:rPr>
          <w:lang w:val="en-GB"/>
        </w:rPr>
        <w:t xml:space="preserve"> million) was spent at the national level while 4</w:t>
      </w:r>
      <w:r w:rsidR="006153A4">
        <w:rPr>
          <w:lang w:val="en-GB"/>
        </w:rPr>
        <w:t>4</w:t>
      </w:r>
      <w:r w:rsidRPr="005F73F7">
        <w:rPr>
          <w:lang w:val="en-GB"/>
        </w:rPr>
        <w:t>% (</w:t>
      </w:r>
      <w:r w:rsidRPr="005F73F7">
        <w:rPr>
          <w:rFonts w:cstheme="minorHAnsi"/>
          <w:lang w:val="en-GB"/>
        </w:rPr>
        <w:t xml:space="preserve">€ </w:t>
      </w:r>
      <w:r w:rsidRPr="005F73F7">
        <w:rPr>
          <w:lang w:val="en-GB"/>
        </w:rPr>
        <w:t xml:space="preserve">1.2 million) was spent at the European level. </w:t>
      </w:r>
    </w:p>
    <w:p w14:paraId="199B412A" w14:textId="77777777" w:rsidR="00E9319B" w:rsidRPr="005F73F7" w:rsidRDefault="00E9319B" w:rsidP="00CF6817">
      <w:pPr>
        <w:pStyle w:val="Heading2"/>
        <w:spacing w:line="480" w:lineRule="auto"/>
        <w:jc w:val="both"/>
        <w:rPr>
          <w:lang w:val="en-GB"/>
        </w:rPr>
      </w:pPr>
      <w:r w:rsidRPr="005F73F7">
        <w:rPr>
          <w:lang w:val="en-GB"/>
        </w:rPr>
        <w:t>3.4. Sensitivity analysis</w:t>
      </w:r>
    </w:p>
    <w:p w14:paraId="741FB49B" w14:textId="231AE236" w:rsidR="00E9319B" w:rsidRPr="005F73F7" w:rsidRDefault="002B5C92" w:rsidP="00CF6817">
      <w:pPr>
        <w:spacing w:line="480" w:lineRule="auto"/>
        <w:jc w:val="both"/>
        <w:rPr>
          <w:lang w:val="en-GB"/>
        </w:rPr>
      </w:pPr>
      <w:r>
        <w:rPr>
          <w:lang w:val="en-GB"/>
        </w:rPr>
        <w:t>T</w:t>
      </w:r>
      <w:r w:rsidR="00E9319B" w:rsidRPr="005F73F7">
        <w:rPr>
          <w:lang w:val="en-GB"/>
        </w:rPr>
        <w:t>he estimated costs of helminth infections were most sensitive to variations</w:t>
      </w:r>
      <w:r w:rsidR="0026545B">
        <w:rPr>
          <w:lang w:val="en-GB"/>
        </w:rPr>
        <w:t xml:space="preserve"> in the assumed effects of infection on production</w:t>
      </w:r>
      <w:r w:rsidR="00E9319B" w:rsidRPr="005F73F7">
        <w:rPr>
          <w:lang w:val="en-GB"/>
        </w:rPr>
        <w:t>, followed by variations in producer prices of livestock products</w:t>
      </w:r>
      <w:r w:rsidR="0026545B">
        <w:rPr>
          <w:lang w:val="en-GB"/>
        </w:rPr>
        <w:t xml:space="preserve">, </w:t>
      </w:r>
      <w:r w:rsidR="00E9319B" w:rsidRPr="005F73F7">
        <w:rPr>
          <w:lang w:val="en-GB"/>
        </w:rPr>
        <w:t>the used levels of infection</w:t>
      </w:r>
      <w:r w:rsidR="00E9319B">
        <w:rPr>
          <w:lang w:val="en-GB"/>
        </w:rPr>
        <w:t xml:space="preserve"> (disease intensity)</w:t>
      </w:r>
      <w:r w:rsidR="0026545B">
        <w:rPr>
          <w:lang w:val="en-GB"/>
        </w:rPr>
        <w:t xml:space="preserve"> and grazing exposure</w:t>
      </w:r>
      <w:r>
        <w:rPr>
          <w:lang w:val="en-GB"/>
        </w:rPr>
        <w:t xml:space="preserve"> (Figure 4)</w:t>
      </w:r>
      <w:r w:rsidR="00E9319B" w:rsidRPr="005F73F7">
        <w:rPr>
          <w:lang w:val="en-GB"/>
        </w:rPr>
        <w:t>. Variation in anthelmintic treatment parameters (fr</w:t>
      </w:r>
      <w:r w:rsidR="00E9319B">
        <w:rPr>
          <w:lang w:val="en-GB"/>
        </w:rPr>
        <w:t xml:space="preserve">equency and cost of treatments) </w:t>
      </w:r>
      <w:r w:rsidR="00E9319B" w:rsidRPr="005F73F7">
        <w:rPr>
          <w:lang w:val="en-GB"/>
        </w:rPr>
        <w:t xml:space="preserve">had a </w:t>
      </w:r>
      <w:r w:rsidR="00E9319B">
        <w:rPr>
          <w:lang w:val="en-GB"/>
        </w:rPr>
        <w:t>much</w:t>
      </w:r>
      <w:r w:rsidR="00E9319B" w:rsidRPr="005F73F7">
        <w:rPr>
          <w:lang w:val="en-GB"/>
        </w:rPr>
        <w:t xml:space="preserve"> low</w:t>
      </w:r>
      <w:r w:rsidR="00E9319B">
        <w:rPr>
          <w:lang w:val="en-GB"/>
        </w:rPr>
        <w:t>er</w:t>
      </w:r>
      <w:r w:rsidR="00E9319B" w:rsidRPr="005F73F7">
        <w:rPr>
          <w:lang w:val="en-GB"/>
        </w:rPr>
        <w:t xml:space="preserve"> impact on the final cost estimate.</w:t>
      </w:r>
    </w:p>
    <w:p w14:paraId="7F60A207" w14:textId="77777777" w:rsidR="00E9319B" w:rsidRPr="005F73F7" w:rsidRDefault="00E9319B" w:rsidP="00D34599">
      <w:pPr>
        <w:pStyle w:val="Heading1"/>
        <w:numPr>
          <w:ilvl w:val="0"/>
          <w:numId w:val="16"/>
        </w:numPr>
        <w:spacing w:line="480" w:lineRule="auto"/>
        <w:jc w:val="both"/>
      </w:pPr>
      <w:r w:rsidRPr="005F73F7">
        <w:t>Discussion</w:t>
      </w:r>
    </w:p>
    <w:p w14:paraId="3934F355" w14:textId="52D622AD" w:rsidR="00E9319B" w:rsidRPr="0078266F" w:rsidRDefault="68EF3517" w:rsidP="00CF6817">
      <w:pPr>
        <w:spacing w:after="0" w:line="480" w:lineRule="auto"/>
        <w:jc w:val="both"/>
        <w:rPr>
          <w:lang w:val="en-GB"/>
        </w:rPr>
      </w:pPr>
      <w:r w:rsidRPr="0078266F">
        <w:rPr>
          <w:lang w:val="en-GB"/>
        </w:rPr>
        <w:t xml:space="preserve">This study represents a comprehensive attempt to assess the economic burden of GIN, </w:t>
      </w:r>
      <w:r w:rsidRPr="0078266F">
        <w:rPr>
          <w:i/>
          <w:iCs/>
          <w:lang w:val="en-GB"/>
        </w:rPr>
        <w:t>F. hepatica</w:t>
      </w:r>
      <w:r w:rsidRPr="0078266F">
        <w:rPr>
          <w:lang w:val="en-GB"/>
        </w:rPr>
        <w:t xml:space="preserve"> and </w:t>
      </w:r>
      <w:r w:rsidRPr="0078266F">
        <w:rPr>
          <w:i/>
          <w:iCs/>
          <w:lang w:val="en-GB"/>
        </w:rPr>
        <w:t>D. viviparus</w:t>
      </w:r>
      <w:r w:rsidRPr="0078266F">
        <w:rPr>
          <w:lang w:val="en-GB"/>
        </w:rPr>
        <w:t xml:space="preserve"> infections to the European ruminant livestock industry. Although the resulting figures are surrounded by considerable levels of uncertainty due to knowledge gaps in the input data (reflected by the large variation between the “low” and “high” cost estimates), our work provides a framework </w:t>
      </w:r>
      <w:r w:rsidRPr="0078266F">
        <w:rPr>
          <w:lang w:val="en-GB"/>
        </w:rPr>
        <w:lastRenderedPageBreak/>
        <w:t>which can be further built upon as more precise data becomes available in the future. We discuss subsequently (1) data gaps and uncertainty, (2) methodological limitations, (3) the study outcomes including comparison with previous studies and (4) how these results can represent a starting point to inform decision making in control programmes and research investments.</w:t>
      </w:r>
    </w:p>
    <w:p w14:paraId="5D0AA7B9" w14:textId="5FD594A3" w:rsidR="0011785E" w:rsidRPr="00905078" w:rsidRDefault="0011785E" w:rsidP="0011785E">
      <w:pPr>
        <w:pStyle w:val="Heading2"/>
        <w:spacing w:line="480" w:lineRule="auto"/>
        <w:rPr>
          <w:lang w:val="en-GB"/>
        </w:rPr>
      </w:pPr>
      <w:r w:rsidRPr="00905078">
        <w:rPr>
          <w:lang w:val="en-GB"/>
        </w:rPr>
        <w:t>4.1. Data gaps and uncertainty</w:t>
      </w:r>
    </w:p>
    <w:p w14:paraId="0E95F997" w14:textId="5E9D8BD7" w:rsidR="00EA24DF" w:rsidRDefault="00E9319B" w:rsidP="0011785E">
      <w:pPr>
        <w:spacing w:after="0" w:line="480" w:lineRule="auto"/>
        <w:jc w:val="both"/>
        <w:rPr>
          <w:lang w:val="en-GB"/>
        </w:rPr>
      </w:pPr>
      <w:r w:rsidRPr="005F73F7">
        <w:rPr>
          <w:lang w:val="en-GB"/>
        </w:rPr>
        <w:t xml:space="preserve">Lack of data is known </w:t>
      </w:r>
      <w:r w:rsidR="00776A74">
        <w:rPr>
          <w:lang w:val="en-GB"/>
        </w:rPr>
        <w:t>to be</w:t>
      </w:r>
      <w:r w:rsidR="00776A74" w:rsidRPr="005F73F7">
        <w:rPr>
          <w:lang w:val="en-GB"/>
        </w:rPr>
        <w:t xml:space="preserve"> </w:t>
      </w:r>
      <w:r w:rsidR="00B665E6">
        <w:rPr>
          <w:lang w:val="en-GB"/>
        </w:rPr>
        <w:t xml:space="preserve">a </w:t>
      </w:r>
      <w:r w:rsidRPr="005F73F7">
        <w:rPr>
          <w:lang w:val="en-GB"/>
        </w:rPr>
        <w:t>common obstacle to the assessment of economic cost of animal</w:t>
      </w:r>
      <w:r w:rsidR="0039396F">
        <w:rPr>
          <w:lang w:val="en-GB"/>
        </w:rPr>
        <w:t xml:space="preserve"> </w:t>
      </w:r>
      <w:r w:rsidR="00776A74">
        <w:rPr>
          <w:lang w:val="en-GB"/>
        </w:rPr>
        <w:t xml:space="preserve">diseases </w:t>
      </w:r>
      <w:r>
        <w:rPr>
          <w:noProof/>
          <w:lang w:val="en-GB"/>
        </w:rPr>
        <w:t>(Rushton, 2017)</w:t>
      </w:r>
      <w:r w:rsidRPr="005F73F7">
        <w:rPr>
          <w:lang w:val="en-GB"/>
        </w:rPr>
        <w:t xml:space="preserve">. Therefore, our first objective was to identify the data gaps that hamper an economic assessment at the </w:t>
      </w:r>
      <w:r w:rsidR="00776A74">
        <w:rPr>
          <w:lang w:val="en-GB"/>
        </w:rPr>
        <w:t xml:space="preserve">country, and subsequently the </w:t>
      </w:r>
      <w:r w:rsidRPr="005F73F7">
        <w:rPr>
          <w:lang w:val="en-GB"/>
        </w:rPr>
        <w:t>European level</w:t>
      </w:r>
      <w:r w:rsidR="00776A74">
        <w:rPr>
          <w:lang w:val="en-GB"/>
        </w:rPr>
        <w:t>,</w:t>
      </w:r>
      <w:r w:rsidRPr="005F73F7">
        <w:rPr>
          <w:lang w:val="en-GB"/>
        </w:rPr>
        <w:t xml:space="preserve"> in order to </w:t>
      </w:r>
      <w:r w:rsidR="00776A74">
        <w:rPr>
          <w:lang w:val="en-GB"/>
        </w:rPr>
        <w:t>help direct</w:t>
      </w:r>
      <w:r w:rsidR="00776A74" w:rsidRPr="005F73F7">
        <w:rPr>
          <w:lang w:val="en-GB"/>
        </w:rPr>
        <w:t xml:space="preserve"> </w:t>
      </w:r>
      <w:r w:rsidRPr="005F73F7">
        <w:rPr>
          <w:lang w:val="en-GB"/>
        </w:rPr>
        <w:t>future effort</w:t>
      </w:r>
      <w:r w:rsidR="00776A74">
        <w:rPr>
          <w:lang w:val="en-GB"/>
        </w:rPr>
        <w:t xml:space="preserve"> and resource</w:t>
      </w:r>
      <w:r w:rsidRPr="005F73F7">
        <w:rPr>
          <w:lang w:val="en-GB"/>
        </w:rPr>
        <w:t xml:space="preserve">s in better collection of epidemiological information. Data gaps were identified in every phase of the data collection. Although general livestock population data are easily available from FAO and EUROSTAT databases, these data lack </w:t>
      </w:r>
      <w:r w:rsidR="002B5C92">
        <w:rPr>
          <w:lang w:val="en-GB"/>
        </w:rPr>
        <w:t xml:space="preserve">the </w:t>
      </w:r>
      <w:r w:rsidRPr="005F73F7">
        <w:rPr>
          <w:lang w:val="en-GB"/>
        </w:rPr>
        <w:t xml:space="preserve">granularity </w:t>
      </w:r>
      <w:r w:rsidR="002B5C92">
        <w:rPr>
          <w:lang w:val="en-GB"/>
        </w:rPr>
        <w:t xml:space="preserve">needed </w:t>
      </w:r>
      <w:r w:rsidRPr="005F73F7">
        <w:rPr>
          <w:lang w:val="en-GB"/>
        </w:rPr>
        <w:t xml:space="preserve">to support detailed economic assessments. In particular, they do not differentiate the production category (dairy, meat) of growing animals. This is a drawback because the economic impacts of helminth and other </w:t>
      </w:r>
      <w:r w:rsidR="009A069C">
        <w:rPr>
          <w:lang w:val="en-GB"/>
        </w:rPr>
        <w:t>infections</w:t>
      </w:r>
      <w:r w:rsidRPr="005F73F7">
        <w:rPr>
          <w:lang w:val="en-GB"/>
        </w:rPr>
        <w:t xml:space="preserve"> will be different according to production system and animal age </w:t>
      </w:r>
      <w:r>
        <w:rPr>
          <w:noProof/>
          <w:lang w:val="en-GB"/>
        </w:rPr>
        <w:t>(Charlier et al., 2014; Waret-Szkuta et al., 2017)</w:t>
      </w:r>
      <w:r w:rsidRPr="005F73F7">
        <w:rPr>
          <w:lang w:val="en-GB"/>
        </w:rPr>
        <w:t>. In addition, in countries where goats and sheep are considered minor species, data on the number of these animals are often lacking. Further, despite its importance for</w:t>
      </w:r>
      <w:r w:rsidR="00EA24DF">
        <w:rPr>
          <w:lang w:val="en-GB"/>
        </w:rPr>
        <w:t xml:space="preserve"> production cost,</w:t>
      </w:r>
      <w:r w:rsidRPr="005F73F7">
        <w:rPr>
          <w:lang w:val="en-GB"/>
        </w:rPr>
        <w:t xml:space="preserve"> landscape conservation and the public’s image o</w:t>
      </w:r>
      <w:r w:rsidR="009E55E9">
        <w:rPr>
          <w:lang w:val="en-GB"/>
        </w:rPr>
        <w:t>f</w:t>
      </w:r>
      <w:r w:rsidRPr="005F73F7">
        <w:rPr>
          <w:lang w:val="en-GB"/>
        </w:rPr>
        <w:t xml:space="preserve"> the ruminant production sector, there is no standardized data collection on grazing exposure in farmed ruminants (van den Pol-van Dasselaar, personal communication). Therefore, we relied on data from a relatively small survey from the European Grassland Federation and the opinion of the local experts. Given this factor </w:t>
      </w:r>
      <w:r w:rsidR="009739F4">
        <w:rPr>
          <w:lang w:val="en-GB"/>
        </w:rPr>
        <w:t>had a significant</w:t>
      </w:r>
      <w:r w:rsidRPr="005F73F7">
        <w:rPr>
          <w:lang w:val="en-GB"/>
        </w:rPr>
        <w:t xml:space="preserve"> impact on our estimates, it would be important to invest in a more reliable data collection on the status of grazing in Europe</w:t>
      </w:r>
      <w:r w:rsidR="00257C9A">
        <w:rPr>
          <w:lang w:val="en-GB"/>
        </w:rPr>
        <w:t xml:space="preserve"> (e.g. timings, seasonality, strategies employed)</w:t>
      </w:r>
      <w:r w:rsidRPr="005F73F7">
        <w:rPr>
          <w:lang w:val="en-GB"/>
        </w:rPr>
        <w:t xml:space="preserve">. </w:t>
      </w:r>
      <w:r w:rsidR="00EA24DF">
        <w:rPr>
          <w:lang w:val="en-GB"/>
        </w:rPr>
        <w:t xml:space="preserve">Grazing season length in Europe is strongly associated with bioclimatic variables, and climate change </w:t>
      </w:r>
      <w:r w:rsidR="00C74216">
        <w:rPr>
          <w:lang w:val="en-GB"/>
        </w:rPr>
        <w:t>and husbandry changes are altering</w:t>
      </w:r>
      <w:r w:rsidR="00EA24DF">
        <w:rPr>
          <w:lang w:val="en-GB"/>
        </w:rPr>
        <w:t xml:space="preserve"> grazing practices with implications for production, directly and through parasitism</w:t>
      </w:r>
      <w:r w:rsidR="007A36EE">
        <w:rPr>
          <w:lang w:val="en-GB"/>
        </w:rPr>
        <w:t xml:space="preserve"> (Phelan et al., 2016).</w:t>
      </w:r>
      <w:r w:rsidR="00EA24DF">
        <w:rPr>
          <w:lang w:val="en-GB"/>
        </w:rPr>
        <w:t xml:space="preserve"> </w:t>
      </w:r>
    </w:p>
    <w:p w14:paraId="3F67E968" w14:textId="1E41D40B" w:rsidR="00E9319B" w:rsidRDefault="00E9319B" w:rsidP="00CF6817">
      <w:pPr>
        <w:spacing w:after="0" w:line="480" w:lineRule="auto"/>
        <w:jc w:val="both"/>
        <w:rPr>
          <w:lang w:val="en-GB"/>
        </w:rPr>
      </w:pPr>
      <w:r w:rsidRPr="005F73F7">
        <w:rPr>
          <w:lang w:val="en-GB"/>
        </w:rPr>
        <w:lastRenderedPageBreak/>
        <w:t xml:space="preserve">Disease frequency data </w:t>
      </w:r>
      <w:r w:rsidR="002530BD">
        <w:rPr>
          <w:lang w:val="en-GB"/>
        </w:rPr>
        <w:t xml:space="preserve">at least for the economically most relevant ruminant species and production systems </w:t>
      </w:r>
      <w:r w:rsidRPr="005F73F7">
        <w:rPr>
          <w:lang w:val="en-GB"/>
        </w:rPr>
        <w:t>are available</w:t>
      </w:r>
      <w:r w:rsidR="002530BD">
        <w:rPr>
          <w:lang w:val="en-GB"/>
        </w:rPr>
        <w:t xml:space="preserve">, but mostly only for </w:t>
      </w:r>
      <w:r w:rsidRPr="005F73F7">
        <w:rPr>
          <w:lang w:val="en-GB"/>
        </w:rPr>
        <w:t>specific region</w:t>
      </w:r>
      <w:r w:rsidR="002530BD">
        <w:rPr>
          <w:lang w:val="en-GB"/>
        </w:rPr>
        <w:t>s within a country,</w:t>
      </w:r>
      <w:r w:rsidRPr="005F73F7">
        <w:rPr>
          <w:lang w:val="en-GB"/>
        </w:rPr>
        <w:t xml:space="preserve"> and it is difficult to deduct nationwide estimates. Moreover, prevalence studies may become rapidly outdated and there is no </w:t>
      </w:r>
      <w:r w:rsidR="00F20827">
        <w:rPr>
          <w:lang w:val="en-GB"/>
        </w:rPr>
        <w:t xml:space="preserve">structured </w:t>
      </w:r>
      <w:r w:rsidRPr="005F73F7">
        <w:rPr>
          <w:lang w:val="en-GB"/>
        </w:rPr>
        <w:t xml:space="preserve">mechanism in place to monitor </w:t>
      </w:r>
      <w:r w:rsidR="009E55E9">
        <w:rPr>
          <w:lang w:val="en-GB"/>
        </w:rPr>
        <w:t xml:space="preserve">livestock helminth </w:t>
      </w:r>
      <w:r w:rsidRPr="005F73F7">
        <w:rPr>
          <w:lang w:val="en-GB"/>
        </w:rPr>
        <w:t xml:space="preserve">prevalence over time </w:t>
      </w:r>
      <w:r w:rsidR="00F20827">
        <w:rPr>
          <w:lang w:val="en-GB"/>
        </w:rPr>
        <w:t>or to gather the data that is available from sources like veterinary practices</w:t>
      </w:r>
      <w:r w:rsidR="009A069C">
        <w:rPr>
          <w:lang w:val="en-GB"/>
        </w:rPr>
        <w:t>, diagnostic laboratories</w:t>
      </w:r>
      <w:r w:rsidR="00F20827">
        <w:rPr>
          <w:lang w:val="en-GB"/>
        </w:rPr>
        <w:t xml:space="preserve"> or abattoirs </w:t>
      </w:r>
      <w:r>
        <w:rPr>
          <w:noProof/>
          <w:lang w:val="en-GB"/>
        </w:rPr>
        <w:t>(Charlier et al., 2016b)</w:t>
      </w:r>
      <w:r w:rsidRPr="005F73F7">
        <w:rPr>
          <w:lang w:val="en-GB"/>
        </w:rPr>
        <w:t xml:space="preserve">. Another difficulty is to deduct from prevalence data the relevant production impacts at </w:t>
      </w:r>
      <w:r w:rsidR="00F20827">
        <w:rPr>
          <w:lang w:val="en-GB"/>
        </w:rPr>
        <w:t>a</w:t>
      </w:r>
      <w:r w:rsidR="00676FF9">
        <w:rPr>
          <w:lang w:val="en-GB"/>
        </w:rPr>
        <w:t xml:space="preserve"> </w:t>
      </w:r>
      <w:r w:rsidRPr="005F73F7">
        <w:rPr>
          <w:lang w:val="en-GB"/>
        </w:rPr>
        <w:t xml:space="preserve">national scale. Production effects of helminth infections have been reasonably well described for GIN and </w:t>
      </w:r>
      <w:r w:rsidRPr="005F73F7">
        <w:rPr>
          <w:i/>
          <w:lang w:val="en-GB"/>
        </w:rPr>
        <w:t>F. hepatica</w:t>
      </w:r>
      <w:r w:rsidR="00F20827">
        <w:rPr>
          <w:lang w:val="en-GB"/>
        </w:rPr>
        <w:t xml:space="preserve"> but generally in controlled studies with mono-infections </w:t>
      </w:r>
      <w:r w:rsidR="007A36EE">
        <w:rPr>
          <w:lang w:val="en-GB"/>
        </w:rPr>
        <w:t>and</w:t>
      </w:r>
      <w:r w:rsidR="00F20827">
        <w:rPr>
          <w:lang w:val="en-GB"/>
        </w:rPr>
        <w:t xml:space="preserve"> rarely as part of co-infections as generally seen in the field</w:t>
      </w:r>
      <w:r w:rsidRPr="005F73F7">
        <w:rPr>
          <w:lang w:val="en-GB"/>
        </w:rPr>
        <w:t>. Yet, in such a high level (European) assessment</w:t>
      </w:r>
      <w:r w:rsidR="00676FF9">
        <w:rPr>
          <w:lang w:val="en-GB"/>
        </w:rPr>
        <w:t>,</w:t>
      </w:r>
      <w:r w:rsidRPr="005F73F7">
        <w:rPr>
          <w:lang w:val="en-GB"/>
        </w:rPr>
        <w:t xml:space="preserve"> and because of lack of granularity in population structure data and missing knowledge, it remains impossible to account for every production impact such as fertility </w:t>
      </w:r>
      <w:r w:rsidR="000D73BF">
        <w:rPr>
          <w:lang w:val="en-GB"/>
        </w:rPr>
        <w:t xml:space="preserve">or mortality </w:t>
      </w:r>
      <w:r w:rsidRPr="005F73F7">
        <w:rPr>
          <w:lang w:val="en-GB"/>
        </w:rPr>
        <w:t xml:space="preserve">effects in young sheep. Therefore, only the major and best described production impacts were used in our study. The production effects may also depend on </w:t>
      </w:r>
      <w:r w:rsidR="00E46EA4">
        <w:rPr>
          <w:lang w:val="en-GB"/>
        </w:rPr>
        <w:t xml:space="preserve">factors such as </w:t>
      </w:r>
      <w:r w:rsidRPr="005F73F7">
        <w:rPr>
          <w:lang w:val="en-GB"/>
        </w:rPr>
        <w:t xml:space="preserve">the local </w:t>
      </w:r>
      <w:r w:rsidR="00E46EA4">
        <w:rPr>
          <w:lang w:val="en-GB"/>
        </w:rPr>
        <w:t>management</w:t>
      </w:r>
      <w:r w:rsidR="00E46EA4" w:rsidRPr="005F73F7">
        <w:rPr>
          <w:lang w:val="en-GB"/>
        </w:rPr>
        <w:t xml:space="preserve"> </w:t>
      </w:r>
      <w:r w:rsidRPr="005F73F7">
        <w:rPr>
          <w:lang w:val="en-GB"/>
        </w:rPr>
        <w:t>system, level of nutrition, breed, the dominant helminth species,</w:t>
      </w:r>
      <w:r w:rsidR="00AB239D">
        <w:rPr>
          <w:lang w:val="en-GB"/>
        </w:rPr>
        <w:t xml:space="preserve"> and</w:t>
      </w:r>
      <w:r w:rsidRPr="005F73F7">
        <w:rPr>
          <w:lang w:val="en-GB"/>
        </w:rPr>
        <w:t xml:space="preserve"> the sampling season </w:t>
      </w:r>
      <w:r>
        <w:rPr>
          <w:noProof/>
          <w:lang w:val="en-GB"/>
        </w:rPr>
        <w:t>(Charlier et al., 2014)</w:t>
      </w:r>
      <w:r w:rsidRPr="005F73F7">
        <w:rPr>
          <w:lang w:val="en-GB"/>
        </w:rPr>
        <w:t xml:space="preserve">. Because </w:t>
      </w:r>
      <w:r w:rsidR="00E46EA4">
        <w:rPr>
          <w:lang w:val="en-GB"/>
        </w:rPr>
        <w:t xml:space="preserve">the </w:t>
      </w:r>
      <w:r w:rsidRPr="005F73F7">
        <w:rPr>
          <w:lang w:val="en-GB"/>
        </w:rPr>
        <w:t>impact of helminth infection</w:t>
      </w:r>
      <w:r w:rsidR="00E46EA4">
        <w:rPr>
          <w:lang w:val="en-GB"/>
        </w:rPr>
        <w:t>s</w:t>
      </w:r>
      <w:r w:rsidRPr="005F73F7">
        <w:rPr>
          <w:lang w:val="en-GB"/>
        </w:rPr>
        <w:t xml:space="preserve"> on productivity had </w:t>
      </w:r>
      <w:r w:rsidR="000D73BF">
        <w:rPr>
          <w:lang w:val="en-GB"/>
        </w:rPr>
        <w:t>the</w:t>
      </w:r>
      <w:r w:rsidRPr="005F73F7">
        <w:rPr>
          <w:lang w:val="en-GB"/>
        </w:rPr>
        <w:t xml:space="preserve"> large</w:t>
      </w:r>
      <w:r w:rsidR="000D73BF">
        <w:rPr>
          <w:lang w:val="en-GB"/>
        </w:rPr>
        <w:t>st</w:t>
      </w:r>
      <w:r w:rsidRPr="005F73F7">
        <w:rPr>
          <w:lang w:val="en-GB"/>
        </w:rPr>
        <w:t xml:space="preserve"> influence on the outcome in the sensitivity analysis, further local assessments of helminth induced production impacts would greatly enhance a more accurate economic assessment; especially in </w:t>
      </w:r>
      <w:r w:rsidR="003B03B3">
        <w:rPr>
          <w:lang w:val="en-GB"/>
        </w:rPr>
        <w:t>E</w:t>
      </w:r>
      <w:r w:rsidRPr="005F73F7">
        <w:rPr>
          <w:lang w:val="en-GB"/>
        </w:rPr>
        <w:t xml:space="preserve">astern Europe, where such studies </w:t>
      </w:r>
      <w:r w:rsidR="00571EA2">
        <w:rPr>
          <w:lang w:val="en-GB"/>
        </w:rPr>
        <w:t xml:space="preserve">generally </w:t>
      </w:r>
      <w:r w:rsidRPr="005F73F7">
        <w:rPr>
          <w:lang w:val="en-GB"/>
        </w:rPr>
        <w:t>are</w:t>
      </w:r>
      <w:r w:rsidR="00571EA2">
        <w:rPr>
          <w:lang w:val="en-GB"/>
        </w:rPr>
        <w:t xml:space="preserve"> </w:t>
      </w:r>
      <w:r w:rsidRPr="005F73F7">
        <w:rPr>
          <w:lang w:val="en-GB"/>
        </w:rPr>
        <w:t>lacking</w:t>
      </w:r>
      <w:r w:rsidR="00571EA2">
        <w:rPr>
          <w:lang w:val="en-GB"/>
        </w:rPr>
        <w:t xml:space="preserve"> today</w:t>
      </w:r>
      <w:r w:rsidRPr="005F73F7">
        <w:rPr>
          <w:lang w:val="en-GB"/>
        </w:rPr>
        <w:t>. Estimation of treatment costs</w:t>
      </w:r>
      <w:r w:rsidR="007A36EE">
        <w:rPr>
          <w:lang w:val="en-GB"/>
        </w:rPr>
        <w:t xml:space="preserve"> for parasite infections</w:t>
      </w:r>
      <w:r w:rsidRPr="005F73F7">
        <w:rPr>
          <w:lang w:val="en-GB"/>
        </w:rPr>
        <w:t xml:space="preserve"> face two </w:t>
      </w:r>
      <w:r w:rsidR="007A36EE">
        <w:rPr>
          <w:lang w:val="en-GB"/>
        </w:rPr>
        <w:t xml:space="preserve">particular </w:t>
      </w:r>
      <w:r w:rsidRPr="005F73F7">
        <w:rPr>
          <w:lang w:val="en-GB"/>
        </w:rPr>
        <w:t>difficulties. First, in contrast to the situation of antibiotics where the sales data are monitored on the European level through the European Medicines Agency, consumption data on anthelmintic drugs are not in the public domain. These data however, will become available once the new regulation (EU) 2019/6 on veterinary medicinal products comes into force (2022). Second, there is a wide range of different products available (different anthelmintic classes, long</w:t>
      </w:r>
      <w:r w:rsidR="00E46EA4">
        <w:rPr>
          <w:lang w:val="en-GB"/>
        </w:rPr>
        <w:t xml:space="preserve"> versus</w:t>
      </w:r>
      <w:r w:rsidRPr="005F73F7">
        <w:rPr>
          <w:lang w:val="en-GB"/>
        </w:rPr>
        <w:t xml:space="preserve"> short action, topical/oral/injectable administration </w:t>
      </w:r>
      <w:r w:rsidR="00E46EA4" w:rsidRPr="005F73F7">
        <w:rPr>
          <w:lang w:val="en-GB"/>
        </w:rPr>
        <w:t>and different</w:t>
      </w:r>
      <w:r w:rsidRPr="005F73F7">
        <w:rPr>
          <w:lang w:val="en-GB"/>
        </w:rPr>
        <w:t xml:space="preserve"> concentrations). For example</w:t>
      </w:r>
      <w:r w:rsidR="009E55E9">
        <w:rPr>
          <w:lang w:val="en-GB"/>
        </w:rPr>
        <w:t>,</w:t>
      </w:r>
      <w:r w:rsidRPr="005F73F7">
        <w:rPr>
          <w:lang w:val="en-GB"/>
        </w:rPr>
        <w:t xml:space="preserve"> in the UK, there are</w:t>
      </w:r>
      <w:r w:rsidR="00700055">
        <w:rPr>
          <w:lang w:val="en-GB"/>
        </w:rPr>
        <w:t xml:space="preserve"> at least</w:t>
      </w:r>
      <w:r w:rsidRPr="005F73F7">
        <w:rPr>
          <w:lang w:val="en-GB"/>
        </w:rPr>
        <w:t xml:space="preserve"> 45 </w:t>
      </w:r>
      <w:r w:rsidR="009D72FB">
        <w:rPr>
          <w:lang w:val="en-GB"/>
        </w:rPr>
        <w:t>single active</w:t>
      </w:r>
      <w:r w:rsidR="009D72FB" w:rsidRPr="005F73F7">
        <w:rPr>
          <w:lang w:val="en-GB"/>
        </w:rPr>
        <w:t xml:space="preserve"> </w:t>
      </w:r>
      <w:r w:rsidRPr="005F73F7">
        <w:rPr>
          <w:lang w:val="en-GB"/>
        </w:rPr>
        <w:t xml:space="preserve">products, marketed by twelve different companies for sheep </w:t>
      </w:r>
      <w:r w:rsidRPr="000D73BF">
        <w:rPr>
          <w:lang w:val="en-GB"/>
        </w:rPr>
        <w:t>alone (</w:t>
      </w:r>
      <w:r w:rsidR="009D72FB" w:rsidRPr="000D73BF">
        <w:rPr>
          <w:lang w:val="en-GB"/>
        </w:rPr>
        <w:t>SCOPS ‘Know your anthelmintics’ guide; https://www.scops.org.uk</w:t>
      </w:r>
      <w:r w:rsidRPr="000D73BF">
        <w:rPr>
          <w:lang w:val="en-GB"/>
        </w:rPr>
        <w:t xml:space="preserve">). In </w:t>
      </w:r>
      <w:r w:rsidRPr="005F73F7">
        <w:rPr>
          <w:lang w:val="en-GB"/>
        </w:rPr>
        <w:t>addition</w:t>
      </w:r>
      <w:r w:rsidR="00AB239D">
        <w:rPr>
          <w:lang w:val="en-GB"/>
        </w:rPr>
        <w:t>,</w:t>
      </w:r>
      <w:r w:rsidRPr="005F73F7">
        <w:rPr>
          <w:lang w:val="en-GB"/>
        </w:rPr>
        <w:t xml:space="preserve"> differences </w:t>
      </w:r>
      <w:r w:rsidR="00E46EA4">
        <w:rPr>
          <w:lang w:val="en-GB"/>
        </w:rPr>
        <w:t xml:space="preserve">also exist due to </w:t>
      </w:r>
      <w:r w:rsidRPr="005F73F7">
        <w:rPr>
          <w:lang w:val="en-GB"/>
        </w:rPr>
        <w:lastRenderedPageBreak/>
        <w:t>local price settings</w:t>
      </w:r>
      <w:r w:rsidR="00F6012E">
        <w:rPr>
          <w:lang w:val="en-GB"/>
        </w:rPr>
        <w:t xml:space="preserve"> and </w:t>
      </w:r>
      <w:r w:rsidR="00E46EA4">
        <w:rPr>
          <w:lang w:val="en-GB"/>
        </w:rPr>
        <w:t xml:space="preserve">breeds </w:t>
      </w:r>
      <w:r w:rsidR="007A36EE">
        <w:rPr>
          <w:lang w:val="en-GB"/>
        </w:rPr>
        <w:t>with</w:t>
      </w:r>
      <w:r w:rsidR="00E46EA4">
        <w:rPr>
          <w:lang w:val="en-GB"/>
        </w:rPr>
        <w:t xml:space="preserve"> </w:t>
      </w:r>
      <w:r w:rsidRPr="005F73F7">
        <w:rPr>
          <w:lang w:val="en-GB"/>
        </w:rPr>
        <w:t>different weight</w:t>
      </w:r>
      <w:r w:rsidR="00E46EA4">
        <w:rPr>
          <w:lang w:val="en-GB"/>
        </w:rPr>
        <w:t xml:space="preserve"> expectations (inherent and due to different management) and requirements for anthelmintic administration</w:t>
      </w:r>
      <w:r w:rsidR="007A36EE">
        <w:rPr>
          <w:lang w:val="en-GB"/>
        </w:rPr>
        <w:t>.</w:t>
      </w:r>
      <w:r w:rsidRPr="005F73F7">
        <w:rPr>
          <w:lang w:val="en-GB"/>
        </w:rPr>
        <w:t xml:space="preserve"> </w:t>
      </w:r>
      <w:r w:rsidR="007A36EE">
        <w:rPr>
          <w:lang w:val="en-GB"/>
        </w:rPr>
        <w:t>T</w:t>
      </w:r>
      <w:r w:rsidRPr="005F73F7">
        <w:rPr>
          <w:lang w:val="en-GB"/>
        </w:rPr>
        <w:t xml:space="preserve">his leads to a wide range of potential costs for an anthelmintic treatment administration (estimated between </w:t>
      </w:r>
      <w:r w:rsidRPr="005F73F7">
        <w:rPr>
          <w:rFonts w:cstheme="minorHAnsi"/>
          <w:lang w:val="en-GB"/>
        </w:rPr>
        <w:t>€</w:t>
      </w:r>
      <w:r w:rsidRPr="005F73F7">
        <w:rPr>
          <w:lang w:val="en-GB"/>
        </w:rPr>
        <w:t xml:space="preserve"> 0.16 to </w:t>
      </w:r>
      <w:r w:rsidR="009E55E9" w:rsidRPr="005F73F7">
        <w:rPr>
          <w:rFonts w:cstheme="minorHAnsi"/>
          <w:lang w:val="en-GB"/>
        </w:rPr>
        <w:t>€</w:t>
      </w:r>
      <w:r w:rsidR="009E55E9" w:rsidRPr="005F73F7">
        <w:rPr>
          <w:lang w:val="en-GB"/>
        </w:rPr>
        <w:t xml:space="preserve"> </w:t>
      </w:r>
      <w:r w:rsidRPr="005F73F7">
        <w:rPr>
          <w:lang w:val="en-GB"/>
        </w:rPr>
        <w:t xml:space="preserve">24 in cattle and </w:t>
      </w:r>
      <w:r w:rsidRPr="005F73F7">
        <w:rPr>
          <w:rFonts w:cstheme="minorHAnsi"/>
          <w:lang w:val="en-GB"/>
        </w:rPr>
        <w:t>€</w:t>
      </w:r>
      <w:r w:rsidRPr="005F73F7">
        <w:rPr>
          <w:lang w:val="en-GB"/>
        </w:rPr>
        <w:t xml:space="preserve"> 0.015 to </w:t>
      </w:r>
      <w:r w:rsidR="009E55E9" w:rsidRPr="005F73F7">
        <w:rPr>
          <w:rFonts w:cstheme="minorHAnsi"/>
          <w:lang w:val="en-GB"/>
        </w:rPr>
        <w:t>€</w:t>
      </w:r>
      <w:r w:rsidR="009E55E9">
        <w:rPr>
          <w:rFonts w:cstheme="minorHAnsi"/>
          <w:lang w:val="en-GB"/>
        </w:rPr>
        <w:t xml:space="preserve"> </w:t>
      </w:r>
      <w:r w:rsidRPr="005F73F7">
        <w:rPr>
          <w:lang w:val="en-GB"/>
        </w:rPr>
        <w:t xml:space="preserve">10 in sheep) and there is a need to develop a standardized measure to quantify anthelmintic usage and treatment costs. Our data on public research budgets </w:t>
      </w:r>
      <w:r w:rsidR="002530BD">
        <w:rPr>
          <w:lang w:val="en-GB"/>
        </w:rPr>
        <w:t>are certainly not complete</w:t>
      </w:r>
      <w:r w:rsidRPr="005F73F7">
        <w:rPr>
          <w:lang w:val="en-GB"/>
        </w:rPr>
        <w:t>. Despite the research project database of the European Animal Health &amp; Welfare CWG and the STAR-IDAZ IRC</w:t>
      </w:r>
      <w:r w:rsidR="009E55E9">
        <w:rPr>
          <w:lang w:val="en-GB"/>
        </w:rPr>
        <w:t xml:space="preserve"> (STAR-IDAZ, 2019)</w:t>
      </w:r>
      <w:r w:rsidRPr="005F73F7">
        <w:rPr>
          <w:lang w:val="en-GB"/>
        </w:rPr>
        <w:t xml:space="preserve">, a comprehensive database where all publicly funded animal health research projects are listed, remains elusive. </w:t>
      </w:r>
      <w:r w:rsidR="002530BD">
        <w:rPr>
          <w:lang w:val="en-GB"/>
        </w:rPr>
        <w:t>N</w:t>
      </w:r>
      <w:r w:rsidR="00D239F2">
        <w:rPr>
          <w:lang w:val="en-GB"/>
        </w:rPr>
        <w:t xml:space="preserve">evertheless, given the wide range of contributors providing input to this data collection and their insight into their respective national ruminant parasite research field, it provides a </w:t>
      </w:r>
      <w:r w:rsidR="000D73BF">
        <w:rPr>
          <w:lang w:val="en-GB"/>
        </w:rPr>
        <w:t>first</w:t>
      </w:r>
      <w:r w:rsidR="00D239F2">
        <w:rPr>
          <w:lang w:val="en-GB"/>
        </w:rPr>
        <w:t xml:space="preserve"> indication of the research investments in this field. </w:t>
      </w:r>
      <w:r w:rsidRPr="005F73F7">
        <w:rPr>
          <w:lang w:val="en-GB"/>
        </w:rPr>
        <w:t xml:space="preserve">Finally, although there are numerous surveys to demonstrate the presence of AR, very few studies provide a useful quantitative estimate on the prevalence of AR </w:t>
      </w:r>
      <w:r>
        <w:rPr>
          <w:noProof/>
          <w:lang w:val="en-GB"/>
        </w:rPr>
        <w:t>(Rose et al., 2015)</w:t>
      </w:r>
      <w:r w:rsidRPr="005F73F7">
        <w:rPr>
          <w:lang w:val="en-GB"/>
        </w:rPr>
        <w:t xml:space="preserve">. Even fewer studies are available to assess the effect of using drugs with incomplete efficacy on production parameters </w:t>
      </w:r>
      <w:r>
        <w:rPr>
          <w:noProof/>
          <w:lang w:val="en-GB"/>
        </w:rPr>
        <w:t>(Candy et al., 2018)</w:t>
      </w:r>
      <w:r w:rsidRPr="005F73F7">
        <w:rPr>
          <w:lang w:val="en-GB"/>
        </w:rPr>
        <w:t>.</w:t>
      </w:r>
    </w:p>
    <w:p w14:paraId="53B9EDA8" w14:textId="55FFDD33" w:rsidR="0011785E" w:rsidRDefault="0011785E" w:rsidP="0011785E">
      <w:pPr>
        <w:pStyle w:val="Heading2"/>
        <w:spacing w:line="480" w:lineRule="auto"/>
        <w:rPr>
          <w:lang w:val="en-GB"/>
        </w:rPr>
      </w:pPr>
      <w:r>
        <w:rPr>
          <w:lang w:val="en-GB"/>
        </w:rPr>
        <w:t>4.2. Methodological limitations</w:t>
      </w:r>
    </w:p>
    <w:p w14:paraId="5E706C28" w14:textId="70E335E3" w:rsidR="00EC56D4" w:rsidRPr="0078266F" w:rsidRDefault="00EC56D4" w:rsidP="0011785E">
      <w:pPr>
        <w:spacing w:after="0" w:line="480" w:lineRule="auto"/>
        <w:jc w:val="both"/>
        <w:rPr>
          <w:lang w:val="en-GB"/>
        </w:rPr>
      </w:pPr>
      <w:r w:rsidRPr="0078266F">
        <w:rPr>
          <w:lang w:val="en-GB"/>
        </w:rPr>
        <w:t xml:space="preserve">Besides data </w:t>
      </w:r>
      <w:r w:rsidR="00E518F6" w:rsidRPr="0078266F">
        <w:rPr>
          <w:lang w:val="en-GB"/>
        </w:rPr>
        <w:t xml:space="preserve">gaps and </w:t>
      </w:r>
      <w:r w:rsidRPr="0078266F">
        <w:rPr>
          <w:lang w:val="en-GB"/>
        </w:rPr>
        <w:t xml:space="preserve">uncertainty, our study also </w:t>
      </w:r>
      <w:r w:rsidR="002C4C16" w:rsidRPr="0078266F">
        <w:rPr>
          <w:lang w:val="en-GB"/>
        </w:rPr>
        <w:t xml:space="preserve">has </w:t>
      </w:r>
      <w:r w:rsidRPr="0078266F">
        <w:rPr>
          <w:lang w:val="en-GB"/>
        </w:rPr>
        <w:t>methodological limitations</w:t>
      </w:r>
      <w:r w:rsidR="00926C41" w:rsidRPr="0078266F">
        <w:rPr>
          <w:lang w:val="en-GB"/>
        </w:rPr>
        <w:t xml:space="preserve">. The use of expert opinion took advantage of the COST Action COMBAR network and was necessary to </w:t>
      </w:r>
      <w:r w:rsidR="0011785E" w:rsidRPr="0078266F">
        <w:rPr>
          <w:lang w:val="en-GB"/>
        </w:rPr>
        <w:t xml:space="preserve">(i) </w:t>
      </w:r>
      <w:r w:rsidR="00926C41" w:rsidRPr="0078266F">
        <w:rPr>
          <w:lang w:val="en-GB"/>
        </w:rPr>
        <w:t xml:space="preserve">cover data gaps and to interpret locally available data which are often only </w:t>
      </w:r>
      <w:r w:rsidR="002C4C16" w:rsidRPr="0078266F">
        <w:rPr>
          <w:lang w:val="en-GB"/>
        </w:rPr>
        <w:t>obtained</w:t>
      </w:r>
      <w:r w:rsidR="00926C41" w:rsidRPr="0078266F">
        <w:rPr>
          <w:lang w:val="en-GB"/>
        </w:rPr>
        <w:t xml:space="preserve"> in specific regions</w:t>
      </w:r>
      <w:r w:rsidR="0011785E" w:rsidRPr="0078266F">
        <w:rPr>
          <w:lang w:val="en-GB"/>
        </w:rPr>
        <w:t xml:space="preserve"> within a country</w:t>
      </w:r>
      <w:r w:rsidR="001D5B3B" w:rsidRPr="0078266F">
        <w:rPr>
          <w:lang w:val="en-GB"/>
        </w:rPr>
        <w:t>,</w:t>
      </w:r>
      <w:r w:rsidR="00926C41" w:rsidRPr="0078266F">
        <w:rPr>
          <w:lang w:val="en-GB"/>
        </w:rPr>
        <w:t xml:space="preserve"> and </w:t>
      </w:r>
      <w:r w:rsidR="0011785E" w:rsidRPr="0078266F">
        <w:rPr>
          <w:lang w:val="en-GB"/>
        </w:rPr>
        <w:t xml:space="preserve">(ii) </w:t>
      </w:r>
      <w:r w:rsidR="001D5B3B" w:rsidRPr="0078266F">
        <w:rPr>
          <w:lang w:val="en-GB"/>
        </w:rPr>
        <w:t xml:space="preserve">to </w:t>
      </w:r>
      <w:r w:rsidR="002C4C16" w:rsidRPr="0078266F">
        <w:rPr>
          <w:lang w:val="en-GB"/>
        </w:rPr>
        <w:t xml:space="preserve">use local data to inform </w:t>
      </w:r>
      <w:r w:rsidR="00926C41" w:rsidRPr="0078266F">
        <w:rPr>
          <w:lang w:val="en-GB"/>
        </w:rPr>
        <w:t xml:space="preserve">national level </w:t>
      </w:r>
      <w:r w:rsidR="002C4C16" w:rsidRPr="0078266F">
        <w:rPr>
          <w:lang w:val="en-GB"/>
        </w:rPr>
        <w:t>e</w:t>
      </w:r>
      <w:r w:rsidR="00926C41" w:rsidRPr="0078266F">
        <w:rPr>
          <w:lang w:val="en-GB"/>
        </w:rPr>
        <w:t>stimates</w:t>
      </w:r>
      <w:r w:rsidR="001D5B3B" w:rsidRPr="0078266F">
        <w:rPr>
          <w:lang w:val="en-GB"/>
        </w:rPr>
        <w:t>. Inevitably, this</w:t>
      </w:r>
      <w:r w:rsidR="00AF45CD" w:rsidRPr="0078266F">
        <w:rPr>
          <w:lang w:val="en-GB"/>
        </w:rPr>
        <w:t xml:space="preserve"> </w:t>
      </w:r>
      <w:r w:rsidR="001D5B3B" w:rsidRPr="0078266F">
        <w:rPr>
          <w:lang w:val="en-GB"/>
        </w:rPr>
        <w:t>will have</w:t>
      </w:r>
      <w:r w:rsidR="00AF45CD" w:rsidRPr="0078266F">
        <w:rPr>
          <w:lang w:val="en-GB"/>
        </w:rPr>
        <w:t xml:space="preserve"> introduce</w:t>
      </w:r>
      <w:r w:rsidR="001D5B3B" w:rsidRPr="0078266F">
        <w:rPr>
          <w:lang w:val="en-GB"/>
        </w:rPr>
        <w:t>d</w:t>
      </w:r>
      <w:r w:rsidR="00AF45CD" w:rsidRPr="0078266F">
        <w:rPr>
          <w:lang w:val="en-GB"/>
        </w:rPr>
        <w:t xml:space="preserve"> bias into the estimations. Other limitations include the use of fixed parameters across countries where country-specific data were difficult to obtain (e.g. some price indices and a fixed method to estimate the number of replacement heifers from the adult number of dairy cows). However, country-specific prices were used for the main factors driving helminth </w:t>
      </w:r>
      <w:r w:rsidR="00907A13" w:rsidRPr="0078266F">
        <w:rPr>
          <w:lang w:val="en-GB"/>
        </w:rPr>
        <w:t xml:space="preserve">economic </w:t>
      </w:r>
      <w:r w:rsidR="00AF45CD" w:rsidRPr="0078266F">
        <w:rPr>
          <w:lang w:val="en-GB"/>
        </w:rPr>
        <w:t xml:space="preserve">cost models (i.e. milk price and carcass value) and using </w:t>
      </w:r>
      <w:r w:rsidR="00907A13" w:rsidRPr="0078266F">
        <w:rPr>
          <w:lang w:val="en-GB"/>
        </w:rPr>
        <w:t xml:space="preserve">a fixed approximation of number of dairy young stock </w:t>
      </w:r>
      <w:r w:rsidR="002C4C16" w:rsidRPr="0078266F">
        <w:rPr>
          <w:lang w:val="en-GB"/>
        </w:rPr>
        <w:t>is justified</w:t>
      </w:r>
      <w:r w:rsidR="00907A13" w:rsidRPr="0078266F">
        <w:rPr>
          <w:lang w:val="en-GB"/>
        </w:rPr>
        <w:t xml:space="preserve"> given similar replacement </w:t>
      </w:r>
      <w:r w:rsidR="002C4C16" w:rsidRPr="0078266F">
        <w:rPr>
          <w:lang w:val="en-GB"/>
        </w:rPr>
        <w:t>rates</w:t>
      </w:r>
      <w:r w:rsidR="00907A13" w:rsidRPr="0078266F">
        <w:rPr>
          <w:lang w:val="en-GB"/>
        </w:rPr>
        <w:t xml:space="preserve"> in differing dairy production systems from West- and Eastern-Europe. Our approach to evaluate data variability and uncertainty </w:t>
      </w:r>
      <w:r w:rsidR="004C42DB" w:rsidRPr="0078266F">
        <w:rPr>
          <w:lang w:val="en-GB"/>
        </w:rPr>
        <w:t xml:space="preserve">(i.e. </w:t>
      </w:r>
      <w:r w:rsidR="00907A13" w:rsidRPr="0078266F">
        <w:rPr>
          <w:lang w:val="en-GB"/>
        </w:rPr>
        <w:t xml:space="preserve">de- and increasing </w:t>
      </w:r>
      <w:r w:rsidR="004C42DB" w:rsidRPr="0078266F">
        <w:rPr>
          <w:lang w:val="en-GB"/>
        </w:rPr>
        <w:t xml:space="preserve">the </w:t>
      </w:r>
      <w:r w:rsidR="00907A13" w:rsidRPr="0078266F">
        <w:rPr>
          <w:lang w:val="en-GB"/>
        </w:rPr>
        <w:lastRenderedPageBreak/>
        <w:t>input data by a fixed</w:t>
      </w:r>
      <w:r w:rsidR="004C42DB" w:rsidRPr="0078266F">
        <w:rPr>
          <w:lang w:val="en-GB"/>
        </w:rPr>
        <w:t xml:space="preserve"> proportion)</w:t>
      </w:r>
      <w:r w:rsidR="00907A13" w:rsidRPr="0078266F">
        <w:rPr>
          <w:lang w:val="en-GB"/>
        </w:rPr>
        <w:t xml:space="preserve"> is arbitrary and </w:t>
      </w:r>
      <w:r w:rsidR="004C42DB" w:rsidRPr="0078266F">
        <w:rPr>
          <w:lang w:val="en-GB"/>
        </w:rPr>
        <w:t>may be replaced by a</w:t>
      </w:r>
      <w:r w:rsidR="00907A13" w:rsidRPr="0078266F">
        <w:rPr>
          <w:lang w:val="en-GB"/>
        </w:rPr>
        <w:t xml:space="preserve"> Monte Carlo </w:t>
      </w:r>
      <w:r w:rsidR="008D42A4" w:rsidRPr="0078266F">
        <w:rPr>
          <w:lang w:val="en-GB"/>
        </w:rPr>
        <w:t xml:space="preserve">simulation </w:t>
      </w:r>
      <w:r w:rsidR="00907A13" w:rsidRPr="0078266F">
        <w:rPr>
          <w:lang w:val="en-GB"/>
        </w:rPr>
        <w:t>approach</w:t>
      </w:r>
      <w:r w:rsidR="004C42DB" w:rsidRPr="0078266F">
        <w:rPr>
          <w:lang w:val="en-GB"/>
        </w:rPr>
        <w:t xml:space="preserve"> (</w:t>
      </w:r>
      <w:r w:rsidR="001D5B3B" w:rsidRPr="0078266F">
        <w:rPr>
          <w:lang w:val="en-GB"/>
        </w:rPr>
        <w:t xml:space="preserve">e.g. </w:t>
      </w:r>
      <w:r w:rsidR="004C42DB" w:rsidRPr="0078266F">
        <w:rPr>
          <w:lang w:val="en-GB"/>
        </w:rPr>
        <w:t xml:space="preserve">Li et al., 2019). </w:t>
      </w:r>
      <w:r w:rsidR="00AF677C" w:rsidRPr="0078266F">
        <w:rPr>
          <w:lang w:val="en-GB"/>
        </w:rPr>
        <w:t xml:space="preserve">For comparison, a previous cost assessment using Monte Carlo simulation in Switzerland resulted in a relative wider uncertainty interval (upper limit being 1.8 times the median value vs. 1.5 times in our study; Schweizer et al., 2005). </w:t>
      </w:r>
      <w:r w:rsidR="004C42DB" w:rsidRPr="0078266F">
        <w:rPr>
          <w:lang w:val="en-GB"/>
        </w:rPr>
        <w:t xml:space="preserve">However, </w:t>
      </w:r>
      <w:r w:rsidR="000D7BA0" w:rsidRPr="0078266F">
        <w:rPr>
          <w:lang w:val="en-GB"/>
        </w:rPr>
        <w:t xml:space="preserve">we argue that variations of 20% on the data provided by expert opinion </w:t>
      </w:r>
      <w:r w:rsidR="004A23B7" w:rsidRPr="0078266F">
        <w:rPr>
          <w:lang w:val="en-GB"/>
        </w:rPr>
        <w:t xml:space="preserve">are </w:t>
      </w:r>
      <w:r w:rsidR="000D7BA0" w:rsidRPr="0078266F">
        <w:rPr>
          <w:lang w:val="en-GB"/>
        </w:rPr>
        <w:t xml:space="preserve">realistic and sufficient to demonstrate the considerable impact of </w:t>
      </w:r>
      <w:r w:rsidR="004C42DB" w:rsidRPr="0078266F">
        <w:rPr>
          <w:lang w:val="en-GB"/>
        </w:rPr>
        <w:t>data uncertaint</w:t>
      </w:r>
      <w:r w:rsidR="000D7BA0" w:rsidRPr="0078266F">
        <w:rPr>
          <w:lang w:val="en-GB"/>
        </w:rPr>
        <w:t>y.</w:t>
      </w:r>
      <w:r w:rsidR="001D5B3B" w:rsidRPr="0078266F">
        <w:rPr>
          <w:lang w:val="en-GB"/>
        </w:rPr>
        <w:t xml:space="preserve"> </w:t>
      </w:r>
      <w:r w:rsidR="004C42DB" w:rsidRPr="0078266F">
        <w:rPr>
          <w:lang w:val="en-GB"/>
        </w:rPr>
        <w:t xml:space="preserve"> </w:t>
      </w:r>
      <w:r w:rsidR="001D5B3B" w:rsidRPr="0078266F">
        <w:rPr>
          <w:lang w:val="en-GB"/>
        </w:rPr>
        <w:t xml:space="preserve">Finally, </w:t>
      </w:r>
      <w:r w:rsidR="008837CB" w:rsidRPr="0078266F">
        <w:rPr>
          <w:lang w:val="en-GB"/>
        </w:rPr>
        <w:t xml:space="preserve">it is not always possible to avoid with certainty double counting of costs. For instance, costs of a prolonged calving interval include costs of a resulting lower milk production and these could be </w:t>
      </w:r>
      <w:r w:rsidR="00B53EC3" w:rsidRPr="0078266F">
        <w:rPr>
          <w:lang w:val="en-GB"/>
        </w:rPr>
        <w:t xml:space="preserve">already </w:t>
      </w:r>
      <w:r w:rsidR="008837CB" w:rsidRPr="0078266F">
        <w:rPr>
          <w:lang w:val="en-GB"/>
        </w:rPr>
        <w:t xml:space="preserve">included in the direct association between infection and milk production. On the other hand, </w:t>
      </w:r>
      <w:r w:rsidR="00B53EC3" w:rsidRPr="0078266F">
        <w:rPr>
          <w:lang w:val="en-GB"/>
        </w:rPr>
        <w:t>direct milk yield responses in the order of magnitude modelled here have been frequently observed following anthelmintic treatment, independent of effects on fertility (Charlier et al., 2014). All of the above issues should be considered in future improvements of the model.</w:t>
      </w:r>
    </w:p>
    <w:p w14:paraId="39A72FF6" w14:textId="535ECE7B" w:rsidR="000D7BA0" w:rsidRDefault="000D7BA0" w:rsidP="000D7BA0">
      <w:pPr>
        <w:pStyle w:val="Heading2"/>
        <w:spacing w:line="480" w:lineRule="auto"/>
        <w:rPr>
          <w:lang w:val="en-GB"/>
        </w:rPr>
      </w:pPr>
      <w:r>
        <w:rPr>
          <w:lang w:val="en-GB"/>
        </w:rPr>
        <w:t xml:space="preserve">4.3 Study outcomes </w:t>
      </w:r>
      <w:r w:rsidR="007533CB">
        <w:rPr>
          <w:lang w:val="en-GB"/>
        </w:rPr>
        <w:t xml:space="preserve">and </w:t>
      </w:r>
      <w:r>
        <w:rPr>
          <w:lang w:val="en-GB"/>
        </w:rPr>
        <w:t>compar</w:t>
      </w:r>
      <w:r w:rsidR="007533CB">
        <w:rPr>
          <w:lang w:val="en-GB"/>
        </w:rPr>
        <w:t>ison</w:t>
      </w:r>
      <w:r>
        <w:rPr>
          <w:lang w:val="en-GB"/>
        </w:rPr>
        <w:t xml:space="preserve"> to previous studies</w:t>
      </w:r>
    </w:p>
    <w:p w14:paraId="1A1DB7A0" w14:textId="22144BE3" w:rsidR="007533CB" w:rsidRPr="0078266F" w:rsidRDefault="007533CB" w:rsidP="000D7BA0">
      <w:pPr>
        <w:spacing w:after="0" w:line="480" w:lineRule="auto"/>
        <w:jc w:val="both"/>
        <w:rPr>
          <w:lang w:val="en-GB"/>
        </w:rPr>
      </w:pPr>
      <w:r w:rsidRPr="0078266F">
        <w:rPr>
          <w:lang w:val="en-GB"/>
        </w:rPr>
        <w:t xml:space="preserve">Comparing our study results between countries yields a number of remarkable findings. For instance, compared to Ireland, Germany has approximately half of the </w:t>
      </w:r>
      <w:r w:rsidR="008D42A4" w:rsidRPr="0078266F">
        <w:rPr>
          <w:lang w:val="en-GB"/>
        </w:rPr>
        <w:t xml:space="preserve">predicted </w:t>
      </w:r>
      <w:r w:rsidRPr="0078266F">
        <w:rPr>
          <w:lang w:val="en-GB"/>
        </w:rPr>
        <w:t xml:space="preserve">losses in dairy cattle while </w:t>
      </w:r>
      <w:r w:rsidR="00220152" w:rsidRPr="0078266F">
        <w:rPr>
          <w:lang w:val="en-GB"/>
        </w:rPr>
        <w:t xml:space="preserve">the size of the dairy population is nearly three times as large. However, these differences are explained by the much lower exposure to grazing in Germany than in Ireland (0.30 vs. 0.95) and the lower infection levels (e.g. </w:t>
      </w:r>
      <w:r w:rsidR="00B813D3" w:rsidRPr="0078266F">
        <w:rPr>
          <w:lang w:val="en-GB"/>
        </w:rPr>
        <w:t xml:space="preserve">0.34 vs. </w:t>
      </w:r>
      <w:r w:rsidR="00220152" w:rsidRPr="0078266F">
        <w:rPr>
          <w:lang w:val="en-GB"/>
        </w:rPr>
        <w:t xml:space="preserve">0.49 for </w:t>
      </w:r>
      <w:r w:rsidR="008D42A4" w:rsidRPr="0078266F">
        <w:rPr>
          <w:lang w:val="en-GB"/>
        </w:rPr>
        <w:t xml:space="preserve">the </w:t>
      </w:r>
      <w:r w:rsidR="00220152" w:rsidRPr="0078266F">
        <w:rPr>
          <w:lang w:val="en-GB"/>
        </w:rPr>
        <w:t xml:space="preserve">proportion of production limiting </w:t>
      </w:r>
      <w:r w:rsidR="0008101A" w:rsidRPr="0078266F">
        <w:rPr>
          <w:lang w:val="en-GB"/>
        </w:rPr>
        <w:t>GIN</w:t>
      </w:r>
      <w:r w:rsidR="00220152" w:rsidRPr="0078266F">
        <w:rPr>
          <w:lang w:val="en-GB"/>
        </w:rPr>
        <w:t xml:space="preserve"> infections</w:t>
      </w:r>
      <w:r w:rsidR="008D42A4" w:rsidRPr="0078266F">
        <w:rPr>
          <w:lang w:val="en-GB"/>
        </w:rPr>
        <w:t xml:space="preserve"> in </w:t>
      </w:r>
      <w:r w:rsidR="00B813D3" w:rsidRPr="0078266F">
        <w:rPr>
          <w:lang w:val="en-GB"/>
        </w:rPr>
        <w:t>Germany</w:t>
      </w:r>
      <w:r w:rsidR="008D42A4" w:rsidRPr="0078266F">
        <w:rPr>
          <w:lang w:val="en-GB"/>
        </w:rPr>
        <w:t xml:space="preserve"> and </w:t>
      </w:r>
      <w:r w:rsidR="00B813D3" w:rsidRPr="0078266F">
        <w:rPr>
          <w:lang w:val="en-GB"/>
        </w:rPr>
        <w:t>Ireland</w:t>
      </w:r>
      <w:r w:rsidR="008D42A4" w:rsidRPr="0078266F">
        <w:rPr>
          <w:lang w:val="en-GB"/>
        </w:rPr>
        <w:t>, respectively</w:t>
      </w:r>
      <w:r w:rsidR="00220152" w:rsidRPr="0078266F">
        <w:rPr>
          <w:lang w:val="en-GB"/>
        </w:rPr>
        <w:t>).</w:t>
      </w:r>
      <w:r w:rsidR="00A909DE" w:rsidRPr="0078266F">
        <w:rPr>
          <w:lang w:val="en-GB"/>
        </w:rPr>
        <w:t xml:space="preserve"> The large cost of AR</w:t>
      </w:r>
      <w:r w:rsidR="00220152" w:rsidRPr="0078266F">
        <w:rPr>
          <w:lang w:val="en-GB"/>
        </w:rPr>
        <w:t xml:space="preserve"> in Ireland </w:t>
      </w:r>
      <w:r w:rsidR="00A909DE" w:rsidRPr="0078266F">
        <w:rPr>
          <w:lang w:val="en-GB"/>
        </w:rPr>
        <w:t>compared to countries</w:t>
      </w:r>
      <w:r w:rsidR="00220152" w:rsidRPr="0078266F">
        <w:rPr>
          <w:lang w:val="en-GB"/>
        </w:rPr>
        <w:t xml:space="preserve"> with a larger livestock population</w:t>
      </w:r>
      <w:r w:rsidR="00A909DE" w:rsidRPr="0078266F">
        <w:rPr>
          <w:lang w:val="en-GB"/>
        </w:rPr>
        <w:t xml:space="preserve"> may also be surprising</w:t>
      </w:r>
      <w:r w:rsidR="00220152" w:rsidRPr="0078266F">
        <w:rPr>
          <w:lang w:val="en-GB"/>
        </w:rPr>
        <w:t>.</w:t>
      </w:r>
      <w:r w:rsidR="00A909DE" w:rsidRPr="0078266F">
        <w:rPr>
          <w:lang w:val="en-GB"/>
        </w:rPr>
        <w:t xml:space="preserve"> A first explanatory factor is our modelling approach. We estimated the cost of AR by disaggregating its cost from the overall cost of </w:t>
      </w:r>
      <w:r w:rsidR="008374F8" w:rsidRPr="0078266F">
        <w:rPr>
          <w:lang w:val="en-GB"/>
        </w:rPr>
        <w:t>GIN</w:t>
      </w:r>
      <w:r w:rsidR="00A909DE" w:rsidRPr="0078266F">
        <w:rPr>
          <w:lang w:val="en-GB"/>
        </w:rPr>
        <w:t xml:space="preserve"> infection. Consequently, the cost of AR will be related to the size of the overall cost. A second factor </w:t>
      </w:r>
      <w:r w:rsidR="00446230" w:rsidRPr="0078266F">
        <w:rPr>
          <w:lang w:val="en-GB"/>
        </w:rPr>
        <w:t>is</w:t>
      </w:r>
      <w:r w:rsidR="00A909DE" w:rsidRPr="0078266F">
        <w:rPr>
          <w:lang w:val="en-GB"/>
        </w:rPr>
        <w:t xml:space="preserve"> </w:t>
      </w:r>
      <w:r w:rsidR="00DE6F9C" w:rsidRPr="0078266F">
        <w:rPr>
          <w:lang w:val="en-GB"/>
        </w:rPr>
        <w:t>the estimate</w:t>
      </w:r>
      <w:r w:rsidR="00715663" w:rsidRPr="0078266F">
        <w:rPr>
          <w:lang w:val="en-GB"/>
        </w:rPr>
        <w:t>s</w:t>
      </w:r>
      <w:r w:rsidR="00DE6F9C" w:rsidRPr="0078266F">
        <w:rPr>
          <w:lang w:val="en-GB"/>
        </w:rPr>
        <w:t xml:space="preserve"> of AR prevalence</w:t>
      </w:r>
      <w:r w:rsidR="008D42A4" w:rsidRPr="0078266F">
        <w:rPr>
          <w:lang w:val="en-GB"/>
        </w:rPr>
        <w:t xml:space="preserve"> used</w:t>
      </w:r>
      <w:r w:rsidR="00DE6F9C" w:rsidRPr="0078266F">
        <w:rPr>
          <w:lang w:val="en-GB"/>
        </w:rPr>
        <w:t xml:space="preserve">. These </w:t>
      </w:r>
      <w:r w:rsidR="008D42A4" w:rsidRPr="0078266F">
        <w:rPr>
          <w:lang w:val="en-GB"/>
        </w:rPr>
        <w:t>are</w:t>
      </w:r>
      <w:r w:rsidR="00DE6F9C" w:rsidRPr="0078266F">
        <w:rPr>
          <w:lang w:val="en-GB"/>
        </w:rPr>
        <w:t xml:space="preserve"> based on </w:t>
      </w:r>
      <w:r w:rsidR="00FC4A41" w:rsidRPr="0078266F">
        <w:rPr>
          <w:lang w:val="en-GB"/>
        </w:rPr>
        <w:t>the average between</w:t>
      </w:r>
      <w:r w:rsidR="00B65F1D" w:rsidRPr="0078266F">
        <w:rPr>
          <w:lang w:val="en-GB"/>
        </w:rPr>
        <w:t xml:space="preserve"> prevalence estimates from a systematic review </w:t>
      </w:r>
      <w:r w:rsidR="00446230" w:rsidRPr="0078266F">
        <w:rPr>
          <w:lang w:val="en-GB"/>
        </w:rPr>
        <w:t xml:space="preserve">(Rose Vineer et al., in prep.) </w:t>
      </w:r>
      <w:r w:rsidR="00B65F1D" w:rsidRPr="0078266F">
        <w:rPr>
          <w:lang w:val="en-GB"/>
        </w:rPr>
        <w:t>and expert elicitation</w:t>
      </w:r>
      <w:r w:rsidR="00715663" w:rsidRPr="0078266F">
        <w:rPr>
          <w:lang w:val="en-GB"/>
        </w:rPr>
        <w:t xml:space="preserve">. The </w:t>
      </w:r>
      <w:r w:rsidR="00A909DE" w:rsidRPr="0078266F">
        <w:rPr>
          <w:lang w:val="en-GB"/>
        </w:rPr>
        <w:t>estimate</w:t>
      </w:r>
      <w:r w:rsidR="00446230" w:rsidRPr="0078266F">
        <w:rPr>
          <w:lang w:val="en-GB"/>
        </w:rPr>
        <w:t>d prevalence of AR</w:t>
      </w:r>
      <w:r w:rsidR="00A909DE" w:rsidRPr="0078266F">
        <w:rPr>
          <w:lang w:val="en-GB"/>
        </w:rPr>
        <w:t xml:space="preserve"> </w:t>
      </w:r>
      <w:r w:rsidR="008D42A4" w:rsidRPr="0078266F">
        <w:rPr>
          <w:lang w:val="en-GB"/>
        </w:rPr>
        <w:t xml:space="preserve">used </w:t>
      </w:r>
      <w:r w:rsidR="00A909DE" w:rsidRPr="0078266F">
        <w:rPr>
          <w:lang w:val="en-GB"/>
        </w:rPr>
        <w:t>for</w:t>
      </w:r>
      <w:r w:rsidR="00715663" w:rsidRPr="0078266F">
        <w:rPr>
          <w:lang w:val="en-GB"/>
        </w:rPr>
        <w:t xml:space="preserve"> Ireland w</w:t>
      </w:r>
      <w:r w:rsidR="00A909DE" w:rsidRPr="0078266F">
        <w:rPr>
          <w:lang w:val="en-GB"/>
        </w:rPr>
        <w:t>ere</w:t>
      </w:r>
      <w:r w:rsidR="00715663" w:rsidRPr="0078266F">
        <w:rPr>
          <w:lang w:val="en-GB"/>
        </w:rPr>
        <w:t xml:space="preserve"> </w:t>
      </w:r>
      <w:r w:rsidR="009509EB" w:rsidRPr="0078266F">
        <w:rPr>
          <w:lang w:val="en-GB"/>
        </w:rPr>
        <w:t>0.33</w:t>
      </w:r>
      <w:r w:rsidR="00715663" w:rsidRPr="0078266F">
        <w:rPr>
          <w:lang w:val="en-GB"/>
        </w:rPr>
        <w:t xml:space="preserve"> in sheep and </w:t>
      </w:r>
      <w:r w:rsidR="009509EB" w:rsidRPr="0078266F">
        <w:rPr>
          <w:lang w:val="en-GB"/>
        </w:rPr>
        <w:t>0.64 in</w:t>
      </w:r>
      <w:r w:rsidR="00715663" w:rsidRPr="0078266F">
        <w:rPr>
          <w:lang w:val="en-GB"/>
        </w:rPr>
        <w:t xml:space="preserve"> cattle</w:t>
      </w:r>
      <w:r w:rsidR="00A909DE" w:rsidRPr="0078266F">
        <w:rPr>
          <w:lang w:val="en-GB"/>
        </w:rPr>
        <w:t>, among the highest prevalence</w:t>
      </w:r>
      <w:r w:rsidR="00726907" w:rsidRPr="0078266F">
        <w:rPr>
          <w:lang w:val="en-GB"/>
        </w:rPr>
        <w:t>s of AR</w:t>
      </w:r>
      <w:r w:rsidR="00A909DE" w:rsidRPr="0078266F">
        <w:rPr>
          <w:lang w:val="en-GB"/>
        </w:rPr>
        <w:t xml:space="preserve"> compared with other countries. </w:t>
      </w:r>
      <w:r w:rsidR="00726907" w:rsidRPr="0078266F">
        <w:rPr>
          <w:lang w:val="en-GB"/>
        </w:rPr>
        <w:t xml:space="preserve">Although </w:t>
      </w:r>
      <w:r w:rsidR="00CF611F" w:rsidRPr="0078266F">
        <w:rPr>
          <w:lang w:val="en-GB"/>
        </w:rPr>
        <w:t xml:space="preserve">these estimates take into account </w:t>
      </w:r>
      <w:r w:rsidR="00726907" w:rsidRPr="0078266F">
        <w:rPr>
          <w:lang w:val="en-GB"/>
        </w:rPr>
        <w:t>published studies</w:t>
      </w:r>
      <w:r w:rsidR="00F65776" w:rsidRPr="0078266F">
        <w:rPr>
          <w:lang w:val="en-GB"/>
        </w:rPr>
        <w:t xml:space="preserve"> (e.g. O’Shaughnessy et al., 2009)</w:t>
      </w:r>
      <w:r w:rsidR="00726907" w:rsidRPr="0078266F">
        <w:rPr>
          <w:lang w:val="en-GB"/>
        </w:rPr>
        <w:t xml:space="preserve">, it </w:t>
      </w:r>
      <w:r w:rsidR="00726907" w:rsidRPr="0078266F">
        <w:rPr>
          <w:lang w:val="en-GB"/>
        </w:rPr>
        <w:lastRenderedPageBreak/>
        <w:t>should be b</w:t>
      </w:r>
      <w:r w:rsidR="008D42A4" w:rsidRPr="0078266F">
        <w:rPr>
          <w:lang w:val="en-GB"/>
        </w:rPr>
        <w:t>orn</w:t>
      </w:r>
      <w:r w:rsidR="00726907" w:rsidRPr="0078266F">
        <w:rPr>
          <w:lang w:val="en-GB"/>
        </w:rPr>
        <w:t xml:space="preserve"> in mind that AR prevalence estimates in most countries are based on</w:t>
      </w:r>
      <w:r w:rsidR="00D734A0" w:rsidRPr="0078266F">
        <w:rPr>
          <w:lang w:val="en-GB"/>
        </w:rPr>
        <w:t xml:space="preserve"> small scale</w:t>
      </w:r>
      <w:r w:rsidR="00726907" w:rsidRPr="0078266F">
        <w:rPr>
          <w:lang w:val="en-GB"/>
        </w:rPr>
        <w:t>, non-randomized</w:t>
      </w:r>
      <w:r w:rsidR="00D734A0" w:rsidRPr="0078266F">
        <w:rPr>
          <w:lang w:val="en-GB"/>
        </w:rPr>
        <w:t xml:space="preserve"> surveys</w:t>
      </w:r>
      <w:r w:rsidR="00446230" w:rsidRPr="0078266F">
        <w:rPr>
          <w:lang w:val="en-GB"/>
        </w:rPr>
        <w:t>, which produce highly variable results</w:t>
      </w:r>
      <w:r w:rsidR="00D734A0" w:rsidRPr="0078266F">
        <w:rPr>
          <w:lang w:val="en-GB"/>
        </w:rPr>
        <w:t>. Therefore</w:t>
      </w:r>
      <w:r w:rsidR="00726907" w:rsidRPr="0078266F">
        <w:rPr>
          <w:lang w:val="en-GB"/>
        </w:rPr>
        <w:t xml:space="preserve">, we recommend </w:t>
      </w:r>
      <w:r w:rsidR="00D734A0" w:rsidRPr="0078266F">
        <w:rPr>
          <w:lang w:val="en-GB"/>
        </w:rPr>
        <w:t xml:space="preserve">consultation of the underlying data </w:t>
      </w:r>
      <w:r w:rsidR="00726907" w:rsidRPr="0078266F">
        <w:rPr>
          <w:lang w:val="en-GB"/>
        </w:rPr>
        <w:t>for interpretation of country-level data (</w:t>
      </w:r>
      <w:r w:rsidR="00D734A0" w:rsidRPr="0078266F">
        <w:rPr>
          <w:lang w:val="en-GB"/>
        </w:rPr>
        <w:t>provided in the Supplementary file</w:t>
      </w:r>
      <w:r w:rsidR="00726907" w:rsidRPr="0078266F">
        <w:rPr>
          <w:lang w:val="en-GB"/>
        </w:rPr>
        <w:t>)</w:t>
      </w:r>
      <w:r w:rsidR="008D788E" w:rsidRPr="0078266F">
        <w:rPr>
          <w:lang w:val="en-GB"/>
        </w:rPr>
        <w:t>.</w:t>
      </w:r>
      <w:r w:rsidR="00B7473F" w:rsidRPr="0078266F">
        <w:rPr>
          <w:lang w:val="en-GB"/>
        </w:rPr>
        <w:t xml:space="preserve"> Moreover, this limitation emphasises the need for more representative surveys of AR in livestock at national level.</w:t>
      </w:r>
    </w:p>
    <w:p w14:paraId="10721958" w14:textId="31992A66" w:rsidR="00E9319B" w:rsidRPr="0078266F" w:rsidRDefault="00E9319B" w:rsidP="000D7BA0">
      <w:pPr>
        <w:spacing w:after="0" w:line="480" w:lineRule="auto"/>
        <w:jc w:val="both"/>
        <w:rPr>
          <w:lang w:val="en-GB"/>
        </w:rPr>
      </w:pPr>
      <w:r w:rsidRPr="005F73F7">
        <w:rPr>
          <w:lang w:val="en-GB"/>
        </w:rPr>
        <w:t xml:space="preserve">Mavrot </w:t>
      </w:r>
      <w:r w:rsidR="00F6012E">
        <w:rPr>
          <w:lang w:val="en-GB"/>
        </w:rPr>
        <w:t>(</w:t>
      </w:r>
      <w:r w:rsidRPr="005F73F7">
        <w:rPr>
          <w:lang w:val="en-GB"/>
        </w:rPr>
        <w:t xml:space="preserve">2016) previously estimated the annual cost of GIN infection in 30 European countries between </w:t>
      </w:r>
      <w:r w:rsidR="00B7473F">
        <w:rPr>
          <w:lang w:val="en-GB"/>
        </w:rPr>
        <w:t xml:space="preserve">at </w:t>
      </w:r>
      <w:r w:rsidRPr="005F73F7">
        <w:rPr>
          <w:rFonts w:cstheme="minorHAnsi"/>
          <w:lang w:val="en-GB"/>
        </w:rPr>
        <w:t xml:space="preserve">€ </w:t>
      </w:r>
      <w:r w:rsidRPr="005F73F7">
        <w:rPr>
          <w:lang w:val="en-GB"/>
        </w:rPr>
        <w:t xml:space="preserve">0.8 </w:t>
      </w:r>
      <w:r w:rsidR="00B7473F">
        <w:rPr>
          <w:lang w:val="en-GB"/>
        </w:rPr>
        <w:t>-</w:t>
      </w:r>
      <w:r w:rsidRPr="005F73F7">
        <w:rPr>
          <w:lang w:val="en-GB"/>
        </w:rPr>
        <w:t xml:space="preserve"> 1.2 billion </w:t>
      </w:r>
      <w:r w:rsidR="00B7473F">
        <w:rPr>
          <w:lang w:val="en-GB"/>
        </w:rPr>
        <w:t xml:space="preserve">in dairy cattle </w:t>
      </w:r>
      <w:r w:rsidRPr="005F73F7">
        <w:rPr>
          <w:lang w:val="en-GB"/>
        </w:rPr>
        <w:t xml:space="preserve">and </w:t>
      </w:r>
      <w:r w:rsidRPr="005F73F7">
        <w:rPr>
          <w:rFonts w:cstheme="minorHAnsi"/>
          <w:lang w:val="en-GB"/>
        </w:rPr>
        <w:t xml:space="preserve">€ </w:t>
      </w:r>
      <w:r w:rsidRPr="005F73F7">
        <w:rPr>
          <w:lang w:val="en-GB"/>
        </w:rPr>
        <w:t xml:space="preserve">157 </w:t>
      </w:r>
      <w:r w:rsidR="00B7473F">
        <w:rPr>
          <w:lang w:val="en-GB"/>
        </w:rPr>
        <w:t xml:space="preserve">- </w:t>
      </w:r>
      <w:r w:rsidRPr="005F73F7">
        <w:rPr>
          <w:lang w:val="en-GB"/>
        </w:rPr>
        <w:t>477 million</w:t>
      </w:r>
      <w:r w:rsidR="00B7473F">
        <w:rPr>
          <w:lang w:val="en-GB"/>
        </w:rPr>
        <w:t xml:space="preserve"> in meat sheep</w:t>
      </w:r>
      <w:r w:rsidRPr="005F73F7">
        <w:rPr>
          <w:lang w:val="en-GB"/>
        </w:rPr>
        <w:t>, considerably higher than our estimates (</w:t>
      </w:r>
      <w:r w:rsidRPr="005F73F7">
        <w:rPr>
          <w:rFonts w:cstheme="minorHAnsi"/>
          <w:lang w:val="en-GB"/>
        </w:rPr>
        <w:t xml:space="preserve">€ </w:t>
      </w:r>
      <w:r w:rsidRPr="005F73F7">
        <w:rPr>
          <w:lang w:val="en-GB"/>
        </w:rPr>
        <w:t xml:space="preserve">404 million and </w:t>
      </w:r>
      <w:r w:rsidRPr="005F73F7">
        <w:rPr>
          <w:rFonts w:cstheme="minorHAnsi"/>
          <w:lang w:val="en-GB"/>
        </w:rPr>
        <w:t xml:space="preserve">€ </w:t>
      </w:r>
      <w:r w:rsidR="00DF352A">
        <w:rPr>
          <w:lang w:val="en-GB"/>
        </w:rPr>
        <w:t>1</w:t>
      </w:r>
      <w:r w:rsidR="006A7346">
        <w:rPr>
          <w:lang w:val="en-GB"/>
        </w:rPr>
        <w:t>20</w:t>
      </w:r>
      <w:r w:rsidRPr="005F73F7">
        <w:rPr>
          <w:lang w:val="en-GB"/>
        </w:rPr>
        <w:t xml:space="preserve"> million, respectively). This is </w:t>
      </w:r>
      <w:r w:rsidR="00D239F2" w:rsidRPr="005F73F7">
        <w:rPr>
          <w:lang w:val="en-GB"/>
        </w:rPr>
        <w:t xml:space="preserve">due to the higher number of countries included </w:t>
      </w:r>
      <w:r w:rsidRPr="005F73F7">
        <w:rPr>
          <w:lang w:val="en-GB"/>
        </w:rPr>
        <w:t xml:space="preserve">by Mavrot </w:t>
      </w:r>
      <w:r w:rsidR="00F6012E">
        <w:rPr>
          <w:lang w:val="en-GB"/>
        </w:rPr>
        <w:t>(</w:t>
      </w:r>
      <w:r w:rsidRPr="005F73F7">
        <w:rPr>
          <w:lang w:val="en-GB"/>
        </w:rPr>
        <w:t xml:space="preserve">2016), </w:t>
      </w:r>
      <w:r w:rsidR="00B7473F">
        <w:rPr>
          <w:lang w:val="en-GB"/>
        </w:rPr>
        <w:t>and</w:t>
      </w:r>
      <w:r w:rsidRPr="005F73F7">
        <w:rPr>
          <w:lang w:val="en-GB"/>
        </w:rPr>
        <w:t xml:space="preserve"> also by the use of lower “production thresholds”.  In dairy cattle, Mavrot </w:t>
      </w:r>
      <w:r w:rsidR="00F6012E">
        <w:rPr>
          <w:lang w:val="en-GB"/>
        </w:rPr>
        <w:t>(</w:t>
      </w:r>
      <w:r w:rsidRPr="005F73F7">
        <w:rPr>
          <w:lang w:val="en-GB"/>
        </w:rPr>
        <w:t xml:space="preserve">2016) applied herd level estimates of GIN infection levels and production impacts at the animal level, which will result in higher burden impacts </w:t>
      </w:r>
      <w:r>
        <w:rPr>
          <w:noProof/>
          <w:lang w:val="en-GB"/>
        </w:rPr>
        <w:t>(Charlier et al., 2010b)</w:t>
      </w:r>
      <w:r w:rsidRPr="005F73F7">
        <w:rPr>
          <w:lang w:val="en-GB"/>
        </w:rPr>
        <w:t xml:space="preserve">. Also, </w:t>
      </w:r>
      <w:r w:rsidR="00B7473F">
        <w:rPr>
          <w:lang w:val="en-GB"/>
        </w:rPr>
        <w:t>our</w:t>
      </w:r>
      <w:r w:rsidRPr="005F73F7">
        <w:rPr>
          <w:lang w:val="en-GB"/>
        </w:rPr>
        <w:t xml:space="preserve"> use of </w:t>
      </w:r>
      <w:r w:rsidR="00023BA7">
        <w:rPr>
          <w:lang w:val="en-GB"/>
        </w:rPr>
        <w:t>a higher production</w:t>
      </w:r>
      <w:r w:rsidRPr="005F73F7">
        <w:rPr>
          <w:lang w:val="en-GB"/>
        </w:rPr>
        <w:t xml:space="preserve"> threshold</w:t>
      </w:r>
      <w:r w:rsidR="00F6012E">
        <w:rPr>
          <w:lang w:val="en-GB"/>
        </w:rPr>
        <w:t xml:space="preserve"> (500-</w:t>
      </w:r>
      <w:r w:rsidR="009E55E9">
        <w:rPr>
          <w:lang w:val="en-GB"/>
        </w:rPr>
        <w:t>1,000</w:t>
      </w:r>
      <w:r w:rsidR="00F6012E">
        <w:rPr>
          <w:lang w:val="en-GB"/>
        </w:rPr>
        <w:t xml:space="preserve"> EPG)</w:t>
      </w:r>
      <w:r w:rsidRPr="005F73F7">
        <w:rPr>
          <w:lang w:val="en-GB"/>
        </w:rPr>
        <w:t xml:space="preserve"> in sheep, may result in lower production impact estimates than in the study of Mavrot (2016), where a continuous relationship with weight gain for lambs with </w:t>
      </w:r>
      <w:r w:rsidR="008D42A4">
        <w:rPr>
          <w:lang w:val="en-GB"/>
        </w:rPr>
        <w:t>FEC</w:t>
      </w:r>
      <w:r w:rsidRPr="005F73F7">
        <w:rPr>
          <w:lang w:val="en-GB"/>
        </w:rPr>
        <w:t xml:space="preserve"> &gt; 40</w:t>
      </w:r>
      <w:r w:rsidR="008D42A4">
        <w:rPr>
          <w:lang w:val="en-GB"/>
        </w:rPr>
        <w:t xml:space="preserve"> EPG</w:t>
      </w:r>
      <w:r w:rsidRPr="005F73F7">
        <w:rPr>
          <w:lang w:val="en-GB"/>
        </w:rPr>
        <w:t xml:space="preserve"> was modelled </w:t>
      </w:r>
      <w:r>
        <w:rPr>
          <w:noProof/>
          <w:lang w:val="en-GB"/>
        </w:rPr>
        <w:t>(Mavrot et al., 2015)</w:t>
      </w:r>
      <w:r w:rsidRPr="005F73F7">
        <w:rPr>
          <w:lang w:val="en-GB"/>
        </w:rPr>
        <w:t xml:space="preserve">. Our estimates of the costs of GIN and </w:t>
      </w:r>
      <w:r w:rsidRPr="00023BA7">
        <w:rPr>
          <w:i/>
          <w:lang w:val="en-GB"/>
        </w:rPr>
        <w:t>F. hepatica</w:t>
      </w:r>
      <w:r w:rsidRPr="005F73F7">
        <w:rPr>
          <w:lang w:val="en-GB"/>
        </w:rPr>
        <w:t xml:space="preserve"> infection in the Belgian dairy population (</w:t>
      </w:r>
      <w:r w:rsidRPr="005F73F7">
        <w:rPr>
          <w:rFonts w:cstheme="minorHAnsi"/>
          <w:lang w:val="en-GB"/>
        </w:rPr>
        <w:t xml:space="preserve">€ </w:t>
      </w:r>
      <w:r w:rsidR="006A7346">
        <w:rPr>
          <w:lang w:val="en-GB"/>
        </w:rPr>
        <w:t>1</w:t>
      </w:r>
      <w:r w:rsidR="004239EE">
        <w:rPr>
          <w:lang w:val="en-GB"/>
        </w:rPr>
        <w:t>9</w:t>
      </w:r>
      <w:r w:rsidRPr="005F73F7">
        <w:rPr>
          <w:lang w:val="en-GB"/>
        </w:rPr>
        <w:t xml:space="preserve"> million) are of the same </w:t>
      </w:r>
      <w:r w:rsidR="00B7473F">
        <w:rPr>
          <w:lang w:val="en-GB"/>
        </w:rPr>
        <w:t xml:space="preserve">order of </w:t>
      </w:r>
      <w:r w:rsidRPr="005F73F7">
        <w:rPr>
          <w:lang w:val="en-GB"/>
        </w:rPr>
        <w:t>magnitude as previous estimat</w:t>
      </w:r>
      <w:r w:rsidR="00B7473F">
        <w:rPr>
          <w:lang w:val="en-GB"/>
        </w:rPr>
        <w:t>es</w:t>
      </w:r>
      <w:r w:rsidRPr="005F73F7">
        <w:rPr>
          <w:lang w:val="en-GB"/>
        </w:rPr>
        <w:t xml:space="preserve"> for the Flemish dairy population only </w:t>
      </w:r>
      <w:r>
        <w:rPr>
          <w:noProof/>
          <w:lang w:val="en-GB"/>
        </w:rPr>
        <w:t>(Charlier et al., 2009)</w:t>
      </w:r>
      <w:r w:rsidRPr="005F73F7">
        <w:rPr>
          <w:lang w:val="en-GB"/>
        </w:rPr>
        <w:t xml:space="preserve">. The Flemish dairy population represents 63% of the Belgian dairy population and the lower estimates in the current study are largely due to the continuing </w:t>
      </w:r>
      <w:r w:rsidR="00B7473F">
        <w:rPr>
          <w:lang w:val="en-GB"/>
        </w:rPr>
        <w:t>trend towards</w:t>
      </w:r>
      <w:r w:rsidRPr="005F73F7">
        <w:rPr>
          <w:lang w:val="en-GB"/>
        </w:rPr>
        <w:t xml:space="preserve"> lower exposure to grazing and thus helminth infection of dairy cattle, especially in </w:t>
      </w:r>
      <w:r w:rsidRPr="0078266F">
        <w:rPr>
          <w:lang w:val="en-GB"/>
        </w:rPr>
        <w:t xml:space="preserve">Flanders. </w:t>
      </w:r>
      <w:r w:rsidR="004239EE" w:rsidRPr="0078266F">
        <w:rPr>
          <w:lang w:val="en-GB"/>
        </w:rPr>
        <w:t xml:space="preserve">Our </w:t>
      </w:r>
      <w:r w:rsidR="00965E38" w:rsidRPr="0078266F">
        <w:rPr>
          <w:lang w:val="en-GB"/>
        </w:rPr>
        <w:t xml:space="preserve">central </w:t>
      </w:r>
      <w:r w:rsidR="004239EE" w:rsidRPr="0078266F">
        <w:rPr>
          <w:lang w:val="en-GB"/>
        </w:rPr>
        <w:t xml:space="preserve">estimates for the costs of GIN and </w:t>
      </w:r>
      <w:r w:rsidR="004239EE" w:rsidRPr="0078266F">
        <w:rPr>
          <w:i/>
          <w:iCs/>
          <w:lang w:val="en-GB"/>
        </w:rPr>
        <w:t>F. hepatica</w:t>
      </w:r>
      <w:r w:rsidR="004239EE" w:rsidRPr="0078266F">
        <w:rPr>
          <w:lang w:val="en-GB"/>
        </w:rPr>
        <w:t xml:space="preserve"> in the German dairy population </w:t>
      </w:r>
      <w:r w:rsidR="00B52336" w:rsidRPr="0078266F">
        <w:rPr>
          <w:lang w:val="en-GB"/>
        </w:rPr>
        <w:t>(</w:t>
      </w:r>
      <w:r w:rsidR="00B52336" w:rsidRPr="0078266F">
        <w:rPr>
          <w:rFonts w:cstheme="minorHAnsi"/>
          <w:lang w:val="en-GB"/>
        </w:rPr>
        <w:t xml:space="preserve">€ </w:t>
      </w:r>
      <w:r w:rsidR="00B52336" w:rsidRPr="0078266F">
        <w:rPr>
          <w:lang w:val="en-GB"/>
        </w:rPr>
        <w:t xml:space="preserve">51 million) </w:t>
      </w:r>
      <w:r w:rsidR="004239EE" w:rsidRPr="0078266F">
        <w:rPr>
          <w:lang w:val="en-GB"/>
        </w:rPr>
        <w:t xml:space="preserve">are also lower than </w:t>
      </w:r>
      <w:r w:rsidR="00B52336" w:rsidRPr="0078266F">
        <w:rPr>
          <w:lang w:val="en-GB"/>
        </w:rPr>
        <w:t>those (</w:t>
      </w:r>
      <w:r w:rsidR="00B52336" w:rsidRPr="0078266F">
        <w:rPr>
          <w:rFonts w:cstheme="minorHAnsi"/>
          <w:lang w:val="en-GB"/>
        </w:rPr>
        <w:t xml:space="preserve">€ </w:t>
      </w:r>
      <w:r w:rsidR="00B52336" w:rsidRPr="0078266F">
        <w:rPr>
          <w:lang w:val="en-GB"/>
        </w:rPr>
        <w:t xml:space="preserve">96 million) </w:t>
      </w:r>
      <w:r w:rsidR="004239EE" w:rsidRPr="0078266F">
        <w:rPr>
          <w:lang w:val="en-GB"/>
        </w:rPr>
        <w:t xml:space="preserve">in </w:t>
      </w:r>
      <w:r w:rsidR="00B52336" w:rsidRPr="0078266F">
        <w:rPr>
          <w:lang w:val="en-GB"/>
        </w:rPr>
        <w:t>a</w:t>
      </w:r>
      <w:r w:rsidR="004239EE" w:rsidRPr="0078266F">
        <w:rPr>
          <w:lang w:val="en-GB"/>
        </w:rPr>
        <w:t xml:space="preserve"> previous report by Fanke et al. (2017).</w:t>
      </w:r>
      <w:r w:rsidR="00B52336" w:rsidRPr="0078266F">
        <w:rPr>
          <w:lang w:val="en-GB"/>
        </w:rPr>
        <w:t xml:space="preserve"> However, </w:t>
      </w:r>
      <w:r w:rsidR="00965E38" w:rsidRPr="0078266F">
        <w:rPr>
          <w:lang w:val="en-GB"/>
        </w:rPr>
        <w:t>Fanke et al.</w:t>
      </w:r>
      <w:r w:rsidR="00B52336" w:rsidRPr="0078266F">
        <w:rPr>
          <w:lang w:val="en-GB"/>
        </w:rPr>
        <w:t xml:space="preserve"> extrapolated the farm-level cost estimates from a convenience sample of 334 farms to the whole of Germany,</w:t>
      </w:r>
      <w:r w:rsidR="00443B51" w:rsidRPr="0078266F">
        <w:rPr>
          <w:lang w:val="en-GB"/>
        </w:rPr>
        <w:t xml:space="preserve"> and did</w:t>
      </w:r>
      <w:r w:rsidR="00965E38" w:rsidRPr="0078266F">
        <w:rPr>
          <w:lang w:val="en-GB"/>
        </w:rPr>
        <w:t xml:space="preserve"> </w:t>
      </w:r>
      <w:r w:rsidR="00B52336" w:rsidRPr="0078266F">
        <w:rPr>
          <w:lang w:val="en-GB"/>
        </w:rPr>
        <w:t>not tak</w:t>
      </w:r>
      <w:r w:rsidR="00443B51" w:rsidRPr="0078266F">
        <w:rPr>
          <w:lang w:val="en-GB"/>
        </w:rPr>
        <w:t>e</w:t>
      </w:r>
      <w:r w:rsidR="00B52336" w:rsidRPr="0078266F">
        <w:rPr>
          <w:lang w:val="en-GB"/>
        </w:rPr>
        <w:t xml:space="preserve"> into account pasture exposure. Moreover, their estimate falls within our “high estimate” boundary.</w:t>
      </w:r>
      <w:r w:rsidR="004239EE" w:rsidRPr="0078266F">
        <w:rPr>
          <w:lang w:val="en-GB"/>
        </w:rPr>
        <w:t xml:space="preserve"> </w:t>
      </w:r>
      <w:r w:rsidRPr="0078266F">
        <w:rPr>
          <w:lang w:val="en-GB"/>
        </w:rPr>
        <w:t xml:space="preserve">Another point of </w:t>
      </w:r>
      <w:r w:rsidRPr="005F73F7">
        <w:rPr>
          <w:lang w:val="en-GB"/>
        </w:rPr>
        <w:t xml:space="preserve">comparison is the study of </w:t>
      </w:r>
      <w:r>
        <w:rPr>
          <w:noProof/>
          <w:lang w:val="en-GB"/>
        </w:rPr>
        <w:t>Bennett and I</w:t>
      </w:r>
      <w:r w:rsidR="00604FCA">
        <w:rPr>
          <w:noProof/>
          <w:lang w:val="en-GB"/>
        </w:rPr>
        <w:t>J</w:t>
      </w:r>
      <w:r>
        <w:rPr>
          <w:noProof/>
          <w:lang w:val="en-GB"/>
        </w:rPr>
        <w:t xml:space="preserve">pelaar </w:t>
      </w:r>
      <w:r w:rsidR="00023BA7">
        <w:rPr>
          <w:noProof/>
          <w:lang w:val="en-GB"/>
        </w:rPr>
        <w:t>(</w:t>
      </w:r>
      <w:r>
        <w:rPr>
          <w:noProof/>
          <w:lang w:val="en-GB"/>
        </w:rPr>
        <w:t>2005)</w:t>
      </w:r>
      <w:r w:rsidR="00023BA7">
        <w:rPr>
          <w:noProof/>
          <w:lang w:val="en-GB"/>
        </w:rPr>
        <w:t>,</w:t>
      </w:r>
      <w:r w:rsidRPr="005F73F7">
        <w:rPr>
          <w:lang w:val="en-GB"/>
        </w:rPr>
        <w:t xml:space="preserve"> where the costs of fasciolosis and </w:t>
      </w:r>
      <w:r w:rsidR="00201F45">
        <w:rPr>
          <w:lang w:val="en-GB"/>
        </w:rPr>
        <w:t>dictyocaulosis</w:t>
      </w:r>
      <w:r w:rsidRPr="005F73F7">
        <w:rPr>
          <w:lang w:val="en-GB"/>
        </w:rPr>
        <w:t xml:space="preserve"> in cattle in Great Britain were estimated at </w:t>
      </w:r>
      <w:r w:rsidRPr="005F73F7">
        <w:rPr>
          <w:rFonts w:cstheme="minorHAnsi"/>
          <w:lang w:val="en-GB"/>
        </w:rPr>
        <w:t xml:space="preserve">€ </w:t>
      </w:r>
      <w:r w:rsidRPr="005F73F7">
        <w:rPr>
          <w:lang w:val="en-GB"/>
        </w:rPr>
        <w:t xml:space="preserve">23 </w:t>
      </w:r>
      <w:r w:rsidR="00F6012E">
        <w:rPr>
          <w:lang w:val="en-GB"/>
        </w:rPr>
        <w:t xml:space="preserve">million </w:t>
      </w:r>
      <w:r w:rsidRPr="005F73F7">
        <w:rPr>
          <w:lang w:val="en-GB"/>
        </w:rPr>
        <w:t xml:space="preserve">and </w:t>
      </w:r>
      <w:r w:rsidRPr="005F73F7">
        <w:rPr>
          <w:rFonts w:cstheme="minorHAnsi"/>
          <w:lang w:val="en-GB"/>
        </w:rPr>
        <w:t xml:space="preserve">€ </w:t>
      </w:r>
      <w:r w:rsidRPr="005F73F7">
        <w:rPr>
          <w:lang w:val="en-GB"/>
        </w:rPr>
        <w:t>10 million, respectively. This is considerably lower than our estimates for the UK (</w:t>
      </w:r>
      <w:r w:rsidRPr="005F73F7">
        <w:rPr>
          <w:rFonts w:cstheme="minorHAnsi"/>
          <w:lang w:val="en-GB"/>
        </w:rPr>
        <w:t>€ 1</w:t>
      </w:r>
      <w:r w:rsidR="00DF352A">
        <w:rPr>
          <w:rFonts w:cstheme="minorHAnsi"/>
          <w:lang w:val="en-GB"/>
        </w:rPr>
        <w:t>1</w:t>
      </w:r>
      <w:r w:rsidR="006A7346">
        <w:rPr>
          <w:rFonts w:cstheme="minorHAnsi"/>
          <w:lang w:val="en-GB"/>
        </w:rPr>
        <w:t>1</w:t>
      </w:r>
      <w:r w:rsidRPr="005F73F7">
        <w:rPr>
          <w:rFonts w:cstheme="minorHAnsi"/>
          <w:lang w:val="en-GB"/>
        </w:rPr>
        <w:t xml:space="preserve"> </w:t>
      </w:r>
      <w:r w:rsidR="00F6012E">
        <w:rPr>
          <w:rFonts w:cstheme="minorHAnsi"/>
          <w:lang w:val="en-GB"/>
        </w:rPr>
        <w:t xml:space="preserve">million </w:t>
      </w:r>
      <w:r w:rsidRPr="005F73F7">
        <w:rPr>
          <w:rFonts w:cstheme="minorHAnsi"/>
          <w:lang w:val="en-GB"/>
        </w:rPr>
        <w:t xml:space="preserve">for </w:t>
      </w:r>
      <w:r w:rsidR="00201F45">
        <w:rPr>
          <w:rFonts w:cstheme="minorHAnsi"/>
          <w:lang w:val="en-GB"/>
        </w:rPr>
        <w:t>liver fluke</w:t>
      </w:r>
      <w:r w:rsidRPr="005F73F7">
        <w:rPr>
          <w:rFonts w:cstheme="minorHAnsi"/>
          <w:lang w:val="en-GB"/>
        </w:rPr>
        <w:t xml:space="preserve"> and € </w:t>
      </w:r>
      <w:r w:rsidR="00DF352A">
        <w:rPr>
          <w:rFonts w:cstheme="minorHAnsi"/>
          <w:lang w:val="en-GB"/>
        </w:rPr>
        <w:t>16</w:t>
      </w:r>
      <w:r w:rsidRPr="005F73F7">
        <w:rPr>
          <w:rFonts w:cstheme="minorHAnsi"/>
          <w:lang w:val="en-GB"/>
        </w:rPr>
        <w:t xml:space="preserve"> million</w:t>
      </w:r>
      <w:r w:rsidRPr="005F73F7">
        <w:rPr>
          <w:lang w:val="en-GB"/>
        </w:rPr>
        <w:t xml:space="preserve"> for lungworm infection). Although </w:t>
      </w:r>
      <w:r w:rsidRPr="005F73F7">
        <w:rPr>
          <w:lang w:val="en-GB"/>
        </w:rPr>
        <w:lastRenderedPageBreak/>
        <w:t>the full calculation method in the study of Bennett and I</w:t>
      </w:r>
      <w:r w:rsidR="00C96ADD">
        <w:rPr>
          <w:lang w:val="en-GB"/>
        </w:rPr>
        <w:t>J</w:t>
      </w:r>
      <w:r w:rsidRPr="005F73F7">
        <w:rPr>
          <w:lang w:val="en-GB"/>
        </w:rPr>
        <w:t xml:space="preserve">pelaar (2005) is no longer accessible, we hypothesize the differences are due to </w:t>
      </w:r>
      <w:r w:rsidR="00EC4B16">
        <w:rPr>
          <w:lang w:val="en-GB"/>
        </w:rPr>
        <w:t xml:space="preserve">(i) </w:t>
      </w:r>
      <w:r w:rsidRPr="005F73F7">
        <w:rPr>
          <w:lang w:val="en-GB"/>
        </w:rPr>
        <w:t>a stronger simplification in the</w:t>
      </w:r>
      <w:r w:rsidR="00965E38">
        <w:rPr>
          <w:lang w:val="en-GB"/>
        </w:rPr>
        <w:t>ir</w:t>
      </w:r>
      <w:r w:rsidRPr="005F73F7">
        <w:rPr>
          <w:lang w:val="en-GB"/>
        </w:rPr>
        <w:t xml:space="preserve"> model because </w:t>
      </w:r>
      <w:r w:rsidR="00EC4B16">
        <w:rPr>
          <w:lang w:val="en-GB"/>
        </w:rPr>
        <w:t>it was applied across</w:t>
      </w:r>
      <w:r w:rsidRPr="005F73F7">
        <w:rPr>
          <w:lang w:val="en-GB"/>
        </w:rPr>
        <w:t xml:space="preserve"> highly different diseases and animal species as well as</w:t>
      </w:r>
      <w:r w:rsidR="00EC4B16">
        <w:rPr>
          <w:lang w:val="en-GB"/>
        </w:rPr>
        <w:t xml:space="preserve"> (ii)</w:t>
      </w:r>
      <w:r w:rsidRPr="005F73F7">
        <w:rPr>
          <w:lang w:val="en-GB"/>
        </w:rPr>
        <w:t xml:space="preserve"> the improved availability since then of epidemiological data </w:t>
      </w:r>
      <w:r>
        <w:rPr>
          <w:noProof/>
          <w:lang w:val="en-GB"/>
        </w:rPr>
        <w:t>(McCann et al., 2010; McCarthy, 2018)</w:t>
      </w:r>
      <w:r w:rsidRPr="005F73F7">
        <w:rPr>
          <w:lang w:val="en-GB"/>
        </w:rPr>
        <w:t xml:space="preserve"> and </w:t>
      </w:r>
      <w:r w:rsidR="009E035E">
        <w:rPr>
          <w:lang w:val="en-GB"/>
        </w:rPr>
        <w:t>production impact</w:t>
      </w:r>
      <w:r w:rsidRPr="005F73F7">
        <w:rPr>
          <w:lang w:val="en-GB"/>
        </w:rPr>
        <w:t xml:space="preserve"> studies (e.g. </w:t>
      </w:r>
      <w:r>
        <w:rPr>
          <w:noProof/>
          <w:lang w:val="en-GB"/>
        </w:rPr>
        <w:t>Mazeri et al., 2017; May et al., 2018)</w:t>
      </w:r>
      <w:r w:rsidRPr="005F73F7">
        <w:rPr>
          <w:lang w:val="en-GB"/>
        </w:rPr>
        <w:t xml:space="preserve">. </w:t>
      </w:r>
      <w:r w:rsidR="00C96ADD">
        <w:rPr>
          <w:lang w:val="en-GB"/>
        </w:rPr>
        <w:t>In contrast, f</w:t>
      </w:r>
      <w:r w:rsidR="00153654">
        <w:rPr>
          <w:lang w:val="en-GB"/>
        </w:rPr>
        <w:t xml:space="preserve">or sheep, our cost estimate for the UK is around half that of Nieuwhof and Bishop (2005) for Great Britain. Fuller comparison of methodologies is warranted, </w:t>
      </w:r>
      <w:r w:rsidR="00153654" w:rsidRPr="0078266F">
        <w:rPr>
          <w:lang w:val="en-GB"/>
        </w:rPr>
        <w:t>and in the meantime the current model provides a conservative overall estimate and a basis for further refinement.</w:t>
      </w:r>
      <w:r w:rsidR="00B7473F" w:rsidRPr="0078266F">
        <w:rPr>
          <w:lang w:val="en-GB"/>
        </w:rPr>
        <w:t xml:space="preserve"> We note that previous published estimates often report their methods with insufficient detail to allow full replication, a limitation we aim to overcome in the current study.</w:t>
      </w:r>
    </w:p>
    <w:p w14:paraId="67E73FA1" w14:textId="42193FAB" w:rsidR="006F1BA1" w:rsidRPr="0078266F" w:rsidRDefault="006F1BA1" w:rsidP="000D7BA0">
      <w:pPr>
        <w:spacing w:after="0" w:line="480" w:lineRule="auto"/>
        <w:jc w:val="both"/>
        <w:rPr>
          <w:lang w:val="en-GB"/>
        </w:rPr>
      </w:pPr>
      <w:r w:rsidRPr="0078266F">
        <w:rPr>
          <w:lang w:val="en-GB"/>
        </w:rPr>
        <w:t>Given that anthelmintic resistance is considered a greater problem in small ruminants than in cattle, it may be surprising that the costs of AR were considerably bigger in the latter species. However, this is mainly driven by the larger economic output value of the cattle sector. Moreover, there is overlap in the uncertainty intervals of the estimates. It should also be considered that we only modelled ML resistance, while levels of BZ resistance in sheep are often much higher</w:t>
      </w:r>
      <w:r w:rsidR="00965E38" w:rsidRPr="0078266F">
        <w:rPr>
          <w:lang w:val="en-GB"/>
        </w:rPr>
        <w:t xml:space="preserve"> (Claerebout et al., 2020)</w:t>
      </w:r>
      <w:r w:rsidRPr="0078266F">
        <w:rPr>
          <w:lang w:val="en-GB"/>
        </w:rPr>
        <w:t xml:space="preserve">. On the other hand, recent AR surveys make clear that </w:t>
      </w:r>
      <w:r w:rsidR="00A37924" w:rsidRPr="0078266F">
        <w:rPr>
          <w:lang w:val="en-GB"/>
        </w:rPr>
        <w:t xml:space="preserve">levels of resistance in cattle </w:t>
      </w:r>
      <w:r w:rsidR="00432F31" w:rsidRPr="0078266F">
        <w:rPr>
          <w:lang w:val="en-GB"/>
        </w:rPr>
        <w:t>have escalated over the last decade</w:t>
      </w:r>
      <w:r w:rsidR="00A37924" w:rsidRPr="0078266F">
        <w:rPr>
          <w:lang w:val="en-GB"/>
        </w:rPr>
        <w:t xml:space="preserve"> (Kaplan, 2020).</w:t>
      </w:r>
    </w:p>
    <w:p w14:paraId="04FDD912" w14:textId="594ABDD5" w:rsidR="00A37924" w:rsidRDefault="00A37924" w:rsidP="00A37924">
      <w:pPr>
        <w:pStyle w:val="Heading2"/>
        <w:spacing w:line="480" w:lineRule="auto"/>
        <w:rPr>
          <w:lang w:val="en-GB"/>
        </w:rPr>
      </w:pPr>
      <w:r>
        <w:rPr>
          <w:lang w:val="en-GB"/>
        </w:rPr>
        <w:t xml:space="preserve">4.4. </w:t>
      </w:r>
      <w:r w:rsidR="00502ECA">
        <w:rPr>
          <w:lang w:val="en-GB"/>
        </w:rPr>
        <w:t>Towards informed</w:t>
      </w:r>
      <w:r>
        <w:rPr>
          <w:lang w:val="en-GB"/>
        </w:rPr>
        <w:t xml:space="preserve"> decision making</w:t>
      </w:r>
    </w:p>
    <w:p w14:paraId="0443014A" w14:textId="221AA9E8" w:rsidR="00E9319B" w:rsidRPr="005F73F7" w:rsidRDefault="00E9319B" w:rsidP="00A37924">
      <w:pPr>
        <w:spacing w:after="0" w:line="480" w:lineRule="auto"/>
        <w:jc w:val="both"/>
        <w:rPr>
          <w:lang w:val="en-GB"/>
        </w:rPr>
      </w:pPr>
      <w:r w:rsidRPr="005F73F7">
        <w:rPr>
          <w:lang w:val="en-GB"/>
        </w:rPr>
        <w:t xml:space="preserve">Our data can start to inform decision making on control programmes and research investments at national and European level. It can support the identification of sectors (dairy cattle, vs. beef vs. sheep vs. goats) as well as helminth species (GIN vs. </w:t>
      </w:r>
      <w:r w:rsidR="00201F45" w:rsidRPr="00201F45">
        <w:rPr>
          <w:iCs/>
          <w:lang w:val="en-GB"/>
        </w:rPr>
        <w:t>liver fluke</w:t>
      </w:r>
      <w:r w:rsidR="00201F45">
        <w:rPr>
          <w:i/>
          <w:lang w:val="en-GB"/>
        </w:rPr>
        <w:t xml:space="preserve"> </w:t>
      </w:r>
      <w:r w:rsidRPr="005F73F7">
        <w:rPr>
          <w:lang w:val="en-GB"/>
        </w:rPr>
        <w:t xml:space="preserve">vs. lungworm) where </w:t>
      </w:r>
      <w:r w:rsidR="00B7473F">
        <w:rPr>
          <w:lang w:val="en-GB"/>
        </w:rPr>
        <w:t xml:space="preserve">the </w:t>
      </w:r>
      <w:r w:rsidRPr="005F73F7">
        <w:rPr>
          <w:lang w:val="en-GB"/>
        </w:rPr>
        <w:t xml:space="preserve">largest </w:t>
      </w:r>
      <w:r w:rsidR="009E035E">
        <w:rPr>
          <w:lang w:val="en-GB"/>
        </w:rPr>
        <w:t>(</w:t>
      </w:r>
      <w:r w:rsidRPr="005F73F7">
        <w:rPr>
          <w:lang w:val="en-GB"/>
        </w:rPr>
        <w:t>economic</w:t>
      </w:r>
      <w:r w:rsidR="009E035E">
        <w:rPr>
          <w:lang w:val="en-GB"/>
        </w:rPr>
        <w:t>)</w:t>
      </w:r>
      <w:r w:rsidRPr="005F73F7">
        <w:rPr>
          <w:lang w:val="en-GB"/>
        </w:rPr>
        <w:t xml:space="preserve"> returns may be achieved. Next, we propose to integrate our approach into larger initiatives such as the Global Burden of Animal Diseases Programme </w:t>
      </w:r>
      <w:r>
        <w:rPr>
          <w:noProof/>
          <w:lang w:val="en-GB"/>
        </w:rPr>
        <w:t>(Rushton et al., 2018)</w:t>
      </w:r>
      <w:r w:rsidRPr="005F73F7">
        <w:rPr>
          <w:lang w:val="en-GB"/>
        </w:rPr>
        <w:t xml:space="preserve"> in order to increase the geographical coverage of the estimates as well as to compare the costs of helminth infections with other enzootic, zoonotic and epizootic animal diseases. Below, we report selected studies on the costs of some of these diseases in European member states. The costs of mastitis in dairy cows in the Netherlands is estimated at </w:t>
      </w:r>
      <w:r w:rsidRPr="005F73F7">
        <w:rPr>
          <w:rFonts w:cstheme="minorHAnsi"/>
          <w:lang w:val="en-GB"/>
        </w:rPr>
        <w:t xml:space="preserve">€ </w:t>
      </w:r>
      <w:r w:rsidRPr="005F73F7">
        <w:rPr>
          <w:lang w:val="en-GB"/>
        </w:rPr>
        <w:t xml:space="preserve">410 million per year, half of which are composed of production losses </w:t>
      </w:r>
      <w:r w:rsidRPr="005F73F7">
        <w:rPr>
          <w:lang w:val="en-GB"/>
        </w:rPr>
        <w:lastRenderedPageBreak/>
        <w:t xml:space="preserve">and treatment costs and the other half of prevention costs </w:t>
      </w:r>
      <w:r>
        <w:rPr>
          <w:noProof/>
          <w:lang w:val="en-GB"/>
        </w:rPr>
        <w:t xml:space="preserve">(Hogeveen and </w:t>
      </w:r>
      <w:r w:rsidR="009E035E">
        <w:rPr>
          <w:noProof/>
          <w:lang w:val="en-GB"/>
        </w:rPr>
        <w:t>v</w:t>
      </w:r>
      <w:r>
        <w:rPr>
          <w:noProof/>
          <w:lang w:val="en-GB"/>
        </w:rPr>
        <w:t xml:space="preserve">an </w:t>
      </w:r>
      <w:r w:rsidR="009E035E">
        <w:rPr>
          <w:noProof/>
          <w:lang w:val="en-GB"/>
        </w:rPr>
        <w:t>d</w:t>
      </w:r>
      <w:r>
        <w:rPr>
          <w:noProof/>
          <w:lang w:val="en-GB"/>
        </w:rPr>
        <w:t>er Voort, 2017)</w:t>
      </w:r>
      <w:r w:rsidRPr="005F73F7">
        <w:rPr>
          <w:lang w:val="en-GB"/>
        </w:rPr>
        <w:t xml:space="preserve">. Also in the Netherlands, the costs of bluetongue virus (BTV) </w:t>
      </w:r>
      <w:r>
        <w:rPr>
          <w:noProof/>
          <w:lang w:val="en-GB"/>
        </w:rPr>
        <w:t>(Velthuis et al., 2010)</w:t>
      </w:r>
      <w:r w:rsidRPr="005F73F7">
        <w:rPr>
          <w:lang w:val="en-GB"/>
        </w:rPr>
        <w:t xml:space="preserve"> and Q-fever </w:t>
      </w:r>
      <w:r>
        <w:rPr>
          <w:noProof/>
          <w:lang w:val="en-GB"/>
        </w:rPr>
        <w:t>(van Asseldonk et al., 2013)</w:t>
      </w:r>
      <w:r>
        <w:rPr>
          <w:lang w:val="en-GB"/>
        </w:rPr>
        <w:t xml:space="preserve"> </w:t>
      </w:r>
      <w:r w:rsidRPr="005F73F7">
        <w:rPr>
          <w:lang w:val="en-GB"/>
        </w:rPr>
        <w:t xml:space="preserve">outbreaks were estimated at </w:t>
      </w:r>
      <w:r w:rsidRPr="005F73F7">
        <w:rPr>
          <w:rFonts w:cstheme="minorHAnsi"/>
          <w:lang w:val="en-GB"/>
        </w:rPr>
        <w:t xml:space="preserve">€ </w:t>
      </w:r>
      <w:r w:rsidRPr="005F73F7">
        <w:rPr>
          <w:lang w:val="en-GB"/>
        </w:rPr>
        <w:t xml:space="preserve">101 million and </w:t>
      </w:r>
      <w:r w:rsidRPr="005F73F7">
        <w:rPr>
          <w:rFonts w:cstheme="minorHAnsi"/>
          <w:lang w:val="en-GB"/>
        </w:rPr>
        <w:t xml:space="preserve">€ </w:t>
      </w:r>
      <w:r w:rsidRPr="005F73F7">
        <w:rPr>
          <w:lang w:val="en-GB"/>
        </w:rPr>
        <w:t xml:space="preserve">61 million per year, respectively. In Germany, the costs of BTV and Bovine Spongiform Encephalopathy during multi-year disease episodes were estimated at </w:t>
      </w:r>
      <w:r w:rsidRPr="005F73F7">
        <w:rPr>
          <w:rFonts w:cstheme="minorHAnsi"/>
          <w:lang w:val="en-GB"/>
        </w:rPr>
        <w:t xml:space="preserve">€ </w:t>
      </w:r>
      <w:r w:rsidRPr="005F73F7">
        <w:rPr>
          <w:lang w:val="en-GB"/>
        </w:rPr>
        <w:t xml:space="preserve">33 and 182 million per year, respectively </w:t>
      </w:r>
      <w:r>
        <w:rPr>
          <w:noProof/>
          <w:lang w:val="en-GB"/>
        </w:rPr>
        <w:t>(Gethmann et al., 2015)</w:t>
      </w:r>
      <w:r w:rsidRPr="005F73F7">
        <w:rPr>
          <w:lang w:val="en-GB"/>
        </w:rPr>
        <w:t xml:space="preserve">. In France, the costs of Schmallenberg virus were estimated at approximately </w:t>
      </w:r>
      <w:r w:rsidRPr="005F73F7">
        <w:rPr>
          <w:rFonts w:cstheme="minorHAnsi"/>
          <w:lang w:val="en-GB"/>
        </w:rPr>
        <w:t xml:space="preserve">€ </w:t>
      </w:r>
      <w:r w:rsidRPr="005F73F7">
        <w:rPr>
          <w:lang w:val="en-GB"/>
        </w:rPr>
        <w:t xml:space="preserve">33 per cow or ewe per year </w:t>
      </w:r>
      <w:r>
        <w:rPr>
          <w:noProof/>
          <w:lang w:val="en-GB"/>
        </w:rPr>
        <w:t>(Waret-Szkuta et al., 2017)</w:t>
      </w:r>
      <w:r w:rsidRPr="005F73F7">
        <w:rPr>
          <w:lang w:val="en-GB"/>
        </w:rPr>
        <w:t xml:space="preserve">. In the UK, the losses to agriculture and the food chain of the Foot and Mouth Disease outbreak in 2001 were estimated at </w:t>
      </w:r>
      <w:r w:rsidRPr="005F73F7">
        <w:rPr>
          <w:rFonts w:cstheme="minorHAnsi"/>
          <w:lang w:val="en-GB"/>
        </w:rPr>
        <w:t>£</w:t>
      </w:r>
      <w:r w:rsidRPr="005F73F7">
        <w:rPr>
          <w:lang w:val="en-GB"/>
        </w:rPr>
        <w:t xml:space="preserve"> 3.1 billion </w:t>
      </w:r>
      <w:r>
        <w:rPr>
          <w:noProof/>
          <w:lang w:val="en-GB"/>
        </w:rPr>
        <w:t>(Thompson et al., 2002)</w:t>
      </w:r>
      <w:r w:rsidRPr="005F73F7">
        <w:rPr>
          <w:lang w:val="en-GB"/>
        </w:rPr>
        <w:t xml:space="preserve">, while approximately </w:t>
      </w:r>
      <w:r w:rsidRPr="005F73F7">
        <w:rPr>
          <w:rFonts w:cstheme="minorHAnsi"/>
          <w:lang w:val="en-GB"/>
        </w:rPr>
        <w:t xml:space="preserve">£ </w:t>
      </w:r>
      <w:r w:rsidRPr="005F73F7">
        <w:rPr>
          <w:lang w:val="en-GB"/>
        </w:rPr>
        <w:t>100 million</w:t>
      </w:r>
      <w:r w:rsidR="00604FCA">
        <w:rPr>
          <w:lang w:val="en-GB"/>
        </w:rPr>
        <w:t xml:space="preserve"> is</w:t>
      </w:r>
      <w:r w:rsidRPr="005F73F7">
        <w:rPr>
          <w:lang w:val="en-GB"/>
        </w:rPr>
        <w:t xml:space="preserve"> spent each year on control measures against bovine tuberculosis with arguably </w:t>
      </w:r>
      <w:r w:rsidR="00191BF6">
        <w:rPr>
          <w:lang w:val="en-GB"/>
        </w:rPr>
        <w:t>very limited</w:t>
      </w:r>
      <w:r w:rsidRPr="005F73F7">
        <w:rPr>
          <w:lang w:val="en-GB"/>
        </w:rPr>
        <w:t xml:space="preserve"> public health benefits </w:t>
      </w:r>
      <w:r>
        <w:rPr>
          <w:noProof/>
          <w:lang w:val="en-GB"/>
        </w:rPr>
        <w:t>(Torgerson and Torgerson, 2010)</w:t>
      </w:r>
      <w:r w:rsidRPr="005F73F7">
        <w:rPr>
          <w:lang w:val="en-GB"/>
        </w:rPr>
        <w:t xml:space="preserve">. We estimated the annual costs of helminth infections at </w:t>
      </w:r>
      <w:r w:rsidRPr="005F73F7">
        <w:rPr>
          <w:rFonts w:cstheme="minorHAnsi"/>
          <w:lang w:val="en-GB"/>
        </w:rPr>
        <w:t xml:space="preserve">€ </w:t>
      </w:r>
      <w:r w:rsidRPr="005F73F7">
        <w:rPr>
          <w:lang w:val="en-GB"/>
        </w:rPr>
        <w:t>1</w:t>
      </w:r>
      <w:r w:rsidR="00DF352A">
        <w:rPr>
          <w:lang w:val="en-GB"/>
        </w:rPr>
        <w:t>05</w:t>
      </w:r>
      <w:r w:rsidRPr="005F73F7">
        <w:rPr>
          <w:lang w:val="en-GB"/>
        </w:rPr>
        <w:t xml:space="preserve"> million in the Netherlands, </w:t>
      </w:r>
      <w:r w:rsidRPr="005F73F7">
        <w:rPr>
          <w:rFonts w:cstheme="minorHAnsi"/>
          <w:lang w:val="en-GB"/>
        </w:rPr>
        <w:t xml:space="preserve">€ </w:t>
      </w:r>
      <w:r w:rsidRPr="005F73F7">
        <w:rPr>
          <w:lang w:val="en-GB"/>
        </w:rPr>
        <w:t>1</w:t>
      </w:r>
      <w:r w:rsidR="00DF352A">
        <w:rPr>
          <w:lang w:val="en-GB"/>
        </w:rPr>
        <w:t>4</w:t>
      </w:r>
      <w:r w:rsidR="006709D8">
        <w:rPr>
          <w:lang w:val="en-GB"/>
        </w:rPr>
        <w:t>6</w:t>
      </w:r>
      <w:r w:rsidRPr="005F73F7">
        <w:rPr>
          <w:lang w:val="en-GB"/>
        </w:rPr>
        <w:t xml:space="preserve"> million in Germany and </w:t>
      </w:r>
      <w:r w:rsidRPr="005F73F7">
        <w:rPr>
          <w:rFonts w:cstheme="minorHAnsi"/>
          <w:lang w:val="en-GB"/>
        </w:rPr>
        <w:t xml:space="preserve">€ </w:t>
      </w:r>
      <w:r w:rsidR="00807CC5">
        <w:rPr>
          <w:lang w:val="en-GB"/>
        </w:rPr>
        <w:t>299</w:t>
      </w:r>
      <w:r w:rsidRPr="005F73F7">
        <w:rPr>
          <w:lang w:val="en-GB"/>
        </w:rPr>
        <w:t xml:space="preserve"> million in the UK. In France, we estimated the annual cost at </w:t>
      </w:r>
      <w:r w:rsidRPr="005F73F7">
        <w:rPr>
          <w:rFonts w:cstheme="minorHAnsi"/>
          <w:lang w:val="en-GB"/>
        </w:rPr>
        <w:t xml:space="preserve">€ </w:t>
      </w:r>
      <w:r w:rsidR="00807CC5">
        <w:rPr>
          <w:lang w:val="en-GB"/>
        </w:rPr>
        <w:t>66</w:t>
      </w:r>
      <w:r w:rsidRPr="005F73F7">
        <w:rPr>
          <w:lang w:val="en-GB"/>
        </w:rPr>
        <w:t xml:space="preserve"> per adult dairy cow, </w:t>
      </w:r>
      <w:r w:rsidRPr="005F73F7">
        <w:rPr>
          <w:rFonts w:cstheme="minorHAnsi"/>
          <w:lang w:val="en-GB"/>
        </w:rPr>
        <w:t xml:space="preserve">€ </w:t>
      </w:r>
      <w:r w:rsidR="00807CC5">
        <w:rPr>
          <w:lang w:val="en-GB"/>
        </w:rPr>
        <w:t>17</w:t>
      </w:r>
      <w:r w:rsidRPr="005F73F7">
        <w:rPr>
          <w:lang w:val="en-GB"/>
        </w:rPr>
        <w:t xml:space="preserve"> per slaughtered beef cow, </w:t>
      </w:r>
      <w:r w:rsidRPr="005F73F7">
        <w:rPr>
          <w:rFonts w:cstheme="minorHAnsi"/>
          <w:lang w:val="en-GB"/>
        </w:rPr>
        <w:t xml:space="preserve">€ </w:t>
      </w:r>
      <w:r w:rsidRPr="005F73F7">
        <w:rPr>
          <w:lang w:val="en-GB"/>
        </w:rPr>
        <w:t xml:space="preserve">23 per adult dairy sheep and </w:t>
      </w:r>
      <w:r w:rsidRPr="005F73F7">
        <w:rPr>
          <w:rFonts w:cstheme="minorHAnsi"/>
          <w:lang w:val="en-GB"/>
        </w:rPr>
        <w:t>€</w:t>
      </w:r>
      <w:r w:rsidR="00807CC5">
        <w:rPr>
          <w:rFonts w:cstheme="minorHAnsi"/>
          <w:lang w:val="en-GB"/>
        </w:rPr>
        <w:t xml:space="preserve"> 14</w:t>
      </w:r>
      <w:r w:rsidRPr="005F73F7">
        <w:rPr>
          <w:lang w:val="en-GB"/>
        </w:rPr>
        <w:t xml:space="preserve"> per slaughtered lamb. These data suggest that the costs of enzootic infections such as mastitis or helminth infections which occur annually, are similar or higher than (i) epizootic diseases (</w:t>
      </w:r>
      <w:r w:rsidR="00571EA2">
        <w:rPr>
          <w:lang w:val="en-GB"/>
        </w:rPr>
        <w:t xml:space="preserve">i.e. </w:t>
      </w:r>
      <w:r w:rsidRPr="005F73F7">
        <w:rPr>
          <w:lang w:val="en-GB"/>
        </w:rPr>
        <w:t xml:space="preserve">BTV, Schmallenberg, FMD), the costs of which should be spread over multiple years because they only occur sporadically and (ii) zoonotic diseases, where the impact on public health of the implemented control measures at animal level may be </w:t>
      </w:r>
      <w:r w:rsidR="00191BF6">
        <w:rPr>
          <w:lang w:val="en-GB"/>
        </w:rPr>
        <w:t>relatively low</w:t>
      </w:r>
      <w:r w:rsidRPr="005F73F7">
        <w:rPr>
          <w:lang w:val="en-GB"/>
        </w:rPr>
        <w:t>. Traditionally, enzootic production diseases were seen as a farmer’s problem and there was little involvement of governments or processing industries. However, with increased attention</w:t>
      </w:r>
      <w:r w:rsidR="00C96ADD">
        <w:rPr>
          <w:lang w:val="en-GB"/>
        </w:rPr>
        <w:t xml:space="preserve"> on</w:t>
      </w:r>
      <w:r w:rsidRPr="005F73F7">
        <w:rPr>
          <w:lang w:val="en-GB"/>
        </w:rPr>
        <w:t xml:space="preserve"> food security, animal welfare, prudent use of antimicrobials and environmental impact of livestock production, </w:t>
      </w:r>
      <w:r w:rsidR="00191BF6">
        <w:rPr>
          <w:lang w:val="en-GB"/>
        </w:rPr>
        <w:t>enzootic diseases are coming into renewed focus</w:t>
      </w:r>
      <w:r w:rsidR="009E035E">
        <w:rPr>
          <w:lang w:val="en-GB"/>
        </w:rPr>
        <w:t xml:space="preserve"> </w:t>
      </w:r>
      <w:r>
        <w:rPr>
          <w:noProof/>
          <w:lang w:val="en-GB"/>
        </w:rPr>
        <w:t xml:space="preserve">(Hogeveen and </w:t>
      </w:r>
      <w:r w:rsidR="009E035E">
        <w:rPr>
          <w:noProof/>
          <w:lang w:val="en-GB"/>
        </w:rPr>
        <w:t>v</w:t>
      </w:r>
      <w:r>
        <w:rPr>
          <w:noProof/>
          <w:lang w:val="en-GB"/>
        </w:rPr>
        <w:t xml:space="preserve">an </w:t>
      </w:r>
      <w:r w:rsidR="009E035E">
        <w:rPr>
          <w:noProof/>
          <w:lang w:val="en-GB"/>
        </w:rPr>
        <w:t>d</w:t>
      </w:r>
      <w:r>
        <w:rPr>
          <w:noProof/>
          <w:lang w:val="en-GB"/>
        </w:rPr>
        <w:t>er Voort, 2017)</w:t>
      </w:r>
      <w:r w:rsidRPr="005F73F7">
        <w:rPr>
          <w:lang w:val="en-GB"/>
        </w:rPr>
        <w:t xml:space="preserve">. </w:t>
      </w:r>
      <w:r w:rsidR="009E035E">
        <w:rPr>
          <w:lang w:val="en-GB"/>
        </w:rPr>
        <w:t>This</w:t>
      </w:r>
      <w:r w:rsidRPr="005F73F7">
        <w:rPr>
          <w:lang w:val="en-GB"/>
        </w:rPr>
        <w:t xml:space="preserve"> regained interest does not yet seem to have reached the topic of helminth infections with currently only 0.01</w:t>
      </w:r>
      <w:r w:rsidR="00807CC5">
        <w:rPr>
          <w:lang w:val="en-GB"/>
        </w:rPr>
        <w:t>6</w:t>
      </w:r>
      <w:r w:rsidRPr="005F73F7">
        <w:rPr>
          <w:lang w:val="en-GB"/>
        </w:rPr>
        <w:t xml:space="preserve">% of the annual costs invested in </w:t>
      </w:r>
      <w:r w:rsidR="00191BF6">
        <w:rPr>
          <w:lang w:val="en-GB"/>
        </w:rPr>
        <w:t xml:space="preserve">visible </w:t>
      </w:r>
      <w:r w:rsidRPr="005F73F7">
        <w:rPr>
          <w:lang w:val="en-GB"/>
        </w:rPr>
        <w:t xml:space="preserve">research and innovation on the topic.  Our data suggest that there is still </w:t>
      </w:r>
      <w:r w:rsidR="00604FCA">
        <w:rPr>
          <w:lang w:val="en-GB"/>
        </w:rPr>
        <w:t>ample</w:t>
      </w:r>
      <w:r w:rsidRPr="005F73F7">
        <w:rPr>
          <w:lang w:val="en-GB"/>
        </w:rPr>
        <w:t xml:space="preserve"> room for improvement to reduce the cost of enzootic helminth infections to the ruminant livestock industry, while also delivering on broader societal goals. </w:t>
      </w:r>
    </w:p>
    <w:p w14:paraId="19952FD4" w14:textId="77777777" w:rsidR="00E9319B" w:rsidRPr="005F73F7" w:rsidRDefault="00E9319B" w:rsidP="00D34599">
      <w:pPr>
        <w:pStyle w:val="Heading1"/>
        <w:numPr>
          <w:ilvl w:val="0"/>
          <w:numId w:val="16"/>
        </w:numPr>
        <w:spacing w:line="480" w:lineRule="auto"/>
        <w:jc w:val="both"/>
      </w:pPr>
      <w:r w:rsidRPr="005F73F7">
        <w:lastRenderedPageBreak/>
        <w:t>Conclusion</w:t>
      </w:r>
    </w:p>
    <w:p w14:paraId="0B58977C" w14:textId="696759A5" w:rsidR="00E9319B" w:rsidRDefault="68EF3517" w:rsidP="00CF6817">
      <w:pPr>
        <w:spacing w:line="480" w:lineRule="auto"/>
        <w:jc w:val="both"/>
        <w:rPr>
          <w:lang w:val="en-GB"/>
        </w:rPr>
      </w:pPr>
      <w:r w:rsidRPr="0078266F">
        <w:rPr>
          <w:lang w:val="en-GB"/>
        </w:rPr>
        <w:t xml:space="preserve">We report a comprehensive attempt to assess the burden of common helminth infections to the European ruminant livestock industry. This provides a framework on which to build further as more data becomes available in the future. The combined annual cost of the three major helminth infections in 18 participating countries was estimated at € 1.8 billion. Extrapolating our assessment to the EU-28 ruminant livestock population yields an annual cost of € 2.1 billion or 2% of </w:t>
      </w:r>
      <w:r w:rsidR="00905078" w:rsidRPr="0078266F">
        <w:rPr>
          <w:lang w:val="en-GB"/>
        </w:rPr>
        <w:t xml:space="preserve">the </w:t>
      </w:r>
      <w:r w:rsidRPr="0078266F">
        <w:rPr>
          <w:lang w:val="en-GB"/>
        </w:rPr>
        <w:t>ruminant livestock output value (EUROSTAT, 2018</w:t>
      </w:r>
      <w:r w:rsidR="00905078" w:rsidRPr="0078266F">
        <w:rPr>
          <w:lang w:val="en-GB"/>
        </w:rPr>
        <w:t>)</w:t>
      </w:r>
      <w:r w:rsidRPr="0078266F">
        <w:rPr>
          <w:lang w:val="en-GB"/>
        </w:rPr>
        <w:t xml:space="preserve">. Eighty-one percent of this cost was composed of costs due to lost production and 19% was attributed to treatment costs. The cost of anthelmintic resistant GIN infections was estimated at € 38 million </w:t>
      </w:r>
      <w:r w:rsidRPr="68EF3517">
        <w:rPr>
          <w:lang w:val="en-GB"/>
        </w:rPr>
        <w:t xml:space="preserve">annually, while there were not enough data to estimate the costs of AR in </w:t>
      </w:r>
      <w:r w:rsidRPr="68EF3517">
        <w:rPr>
          <w:i/>
          <w:iCs/>
          <w:lang w:val="en-GB"/>
        </w:rPr>
        <w:t>F. hepatica</w:t>
      </w:r>
      <w:r w:rsidRPr="68EF3517">
        <w:rPr>
          <w:lang w:val="en-GB"/>
        </w:rPr>
        <w:t xml:space="preserve"> or </w:t>
      </w:r>
      <w:r w:rsidRPr="68EF3517">
        <w:rPr>
          <w:i/>
          <w:iCs/>
          <w:lang w:val="en-GB"/>
        </w:rPr>
        <w:t>D. viviparus</w:t>
      </w:r>
      <w:r w:rsidRPr="68EF3517">
        <w:rPr>
          <w:lang w:val="en-GB"/>
        </w:rPr>
        <w:t>.  We identified important data gaps in all phases of the calculations, leading to large uncertainties around the estimates. The declared current public investment in research on improved helminth control was 0.16% of the annual costs. Comparing the burden of helminth infections with that of other epizootic and zoonotic animal diseases supports a higher level of public investment in research and control to both reduce the burden to the ruminant livestock industry while delivering on societal goals of food security, efficient animal production, animal welfare and prudent use of antimicrobials.</w:t>
      </w:r>
    </w:p>
    <w:p w14:paraId="60B81DC0" w14:textId="77777777" w:rsidR="00E9319B" w:rsidRDefault="00E9319B" w:rsidP="00CF6817">
      <w:pPr>
        <w:pStyle w:val="Heading1"/>
        <w:spacing w:line="480" w:lineRule="auto"/>
        <w:jc w:val="both"/>
      </w:pPr>
      <w:r>
        <w:t>Acknowledgements</w:t>
      </w:r>
    </w:p>
    <w:p w14:paraId="2C6E8581" w14:textId="2F23AB56" w:rsidR="00E9319B" w:rsidRPr="003B25C9" w:rsidRDefault="75F07CB8" w:rsidP="75F07CB8">
      <w:pPr>
        <w:autoSpaceDE w:val="0"/>
        <w:autoSpaceDN w:val="0"/>
        <w:adjustRightInd w:val="0"/>
        <w:spacing w:after="0" w:line="480" w:lineRule="auto"/>
        <w:jc w:val="both"/>
        <w:rPr>
          <w:rFonts w:eastAsia="Times New Roman" w:cs="Calibri"/>
          <w:lang w:val="en-GB"/>
        </w:rPr>
      </w:pPr>
      <w:r w:rsidRPr="75F07CB8">
        <w:rPr>
          <w:rFonts w:eastAsia="Times New Roman" w:cs="Calibri"/>
          <w:lang w:val="en-GB"/>
        </w:rPr>
        <w:t>This article is based upon work from COST Action COMBAR CA16230, supported by COST (European Cooperation in Science and Technology) and from the Livestock Helminth Research Alliance (LiHRA). HRV and ERM are supported by the BBSRC BUG (Building on the Genome) sLoLa project (grant ref: BB/M003949/1</w:t>
      </w:r>
      <w:r w:rsidR="00B7473F">
        <w:rPr>
          <w:rFonts w:eastAsia="Times New Roman" w:cs="Calibri"/>
          <w:lang w:val="en-GB"/>
        </w:rPr>
        <w:t>, and BB/R010250/1</w:t>
      </w:r>
      <w:r w:rsidRPr="75F07CB8">
        <w:rPr>
          <w:rFonts w:eastAsia="Times New Roman" w:cs="Calibri"/>
          <w:lang w:val="en-GB"/>
        </w:rPr>
        <w:t xml:space="preserve">). HRV is also supported by the University of Liverpool’s Institute of Infection and Global Health. MMV was funded by the Spanish “Ramón y Cajal” Programme, Ministry of Economy </w:t>
      </w:r>
      <w:r w:rsidRPr="75F07CB8">
        <w:rPr>
          <w:rFonts w:eastAsia="Times New Roman" w:cs="Calibri"/>
          <w:lang w:val="es-ES"/>
        </w:rPr>
        <w:t xml:space="preserve">and Competitiveness (Ministerio de Economía y Competitividad; RYC-2015-18368). The authors would like to thank Marta De Alcubierre (UNINA, Italy), </w:t>
      </w:r>
      <w:r w:rsidRPr="75F07CB8">
        <w:rPr>
          <w:rFonts w:eastAsia="Times New Roman" w:cs="Times New Roman"/>
          <w:lang w:val="en-GB"/>
        </w:rPr>
        <w:t>Anna Maria Duque de Araujo Munhoz</w:t>
      </w:r>
      <w:r w:rsidRPr="75F07CB8">
        <w:rPr>
          <w:rFonts w:eastAsia="Times New Roman" w:cs="Calibri"/>
          <w:lang w:val="es-ES"/>
        </w:rPr>
        <w:t xml:space="preserve"> (</w:t>
      </w:r>
      <w:r w:rsidRPr="75F07CB8">
        <w:rPr>
          <w:rFonts w:eastAsia="Times New Roman" w:cs="Times New Roman"/>
          <w:lang w:val="en-GB"/>
        </w:rPr>
        <w:t>University Lusofona of Lisbon)</w:t>
      </w:r>
      <w:r w:rsidRPr="75F07CB8">
        <w:rPr>
          <w:rFonts w:eastAsia="Times New Roman" w:cs="Calibri"/>
          <w:lang w:val="en-GB"/>
        </w:rPr>
        <w:t>,</w:t>
      </w:r>
      <w:r w:rsidRPr="75F07CB8">
        <w:rPr>
          <w:rFonts w:eastAsia="Times New Roman" w:cs="Calibri"/>
          <w:lang w:val="es-ES"/>
        </w:rPr>
        <w:t xml:space="preserve"> </w:t>
      </w:r>
      <w:r w:rsidRPr="75F07CB8">
        <w:rPr>
          <w:lang w:val="en-GB"/>
        </w:rPr>
        <w:t xml:space="preserve">Jacinto Gomes (INIAV, Portugal), </w:t>
      </w:r>
      <w:r w:rsidRPr="75F07CB8">
        <w:rPr>
          <w:rFonts w:eastAsia="Times New Roman" w:cs="Times New Roman"/>
          <w:lang w:val="en-GB"/>
        </w:rPr>
        <w:t xml:space="preserve">Jovana Stefanovska (University </w:t>
      </w:r>
      <w:r w:rsidRPr="75F07CB8">
        <w:rPr>
          <w:rFonts w:eastAsia="Times New Roman" w:cs="Times New Roman"/>
          <w:lang w:val="en-US"/>
        </w:rPr>
        <w:t xml:space="preserve">St. </w:t>
      </w:r>
      <w:r w:rsidRPr="75F07CB8">
        <w:rPr>
          <w:rFonts w:eastAsia="Times New Roman" w:cs="Times New Roman"/>
          <w:lang w:val="en-US"/>
        </w:rPr>
        <w:lastRenderedPageBreak/>
        <w:t>Cyril and Methodius, Republic of North Macedonia)</w:t>
      </w:r>
      <w:r w:rsidRPr="75F07CB8">
        <w:rPr>
          <w:lang w:val="en-GB"/>
        </w:rPr>
        <w:t xml:space="preserve">, Agnes van den Pol-van Dasselaar (Wageningen University, The Netherlands), Christina Helm (Freie Universität Berlin), </w:t>
      </w:r>
      <w:r w:rsidR="004E3DC8">
        <w:rPr>
          <w:lang w:val="en-GB"/>
        </w:rPr>
        <w:t>Jar</w:t>
      </w:r>
      <w:r w:rsidR="005C7D58">
        <w:rPr>
          <w:lang w:val="en-GB"/>
        </w:rPr>
        <w:t>oslaw</w:t>
      </w:r>
      <w:r w:rsidR="004E3DC8">
        <w:rPr>
          <w:lang w:val="en-GB"/>
        </w:rPr>
        <w:t xml:space="preserve"> Kaba</w:t>
      </w:r>
      <w:r w:rsidRPr="75F07CB8">
        <w:rPr>
          <w:lang w:val="en-GB"/>
        </w:rPr>
        <w:t xml:space="preserve"> (Warsaw University of Life Sciences, Poland), Hubertus Hertzberg (University of Zürich)</w:t>
      </w:r>
      <w:r w:rsidR="00F74573">
        <w:rPr>
          <w:lang w:val="en-GB"/>
        </w:rPr>
        <w:t>,</w:t>
      </w:r>
      <w:r w:rsidRPr="75F07CB8">
        <w:rPr>
          <w:lang w:val="en-GB"/>
        </w:rPr>
        <w:t xml:space="preserve"> Barbara Cyrus (European Medicines Agency) </w:t>
      </w:r>
      <w:r w:rsidR="00F74573">
        <w:rPr>
          <w:lang w:val="en-GB"/>
        </w:rPr>
        <w:t>and</w:t>
      </w:r>
      <w:r w:rsidR="007937F9">
        <w:rPr>
          <w:lang w:val="en-GB"/>
        </w:rPr>
        <w:t xml:space="preserve"> Erwin Wauters (</w:t>
      </w:r>
      <w:r w:rsidR="00A20966">
        <w:rPr>
          <w:lang w:val="en-GB"/>
        </w:rPr>
        <w:t>ILVO, Belgium)</w:t>
      </w:r>
      <w:r w:rsidR="00F971CE">
        <w:rPr>
          <w:lang w:val="en-GB"/>
        </w:rPr>
        <w:t xml:space="preserve"> and </w:t>
      </w:r>
      <w:r w:rsidR="00B7473F">
        <w:rPr>
          <w:lang w:val="en-GB"/>
        </w:rPr>
        <w:t>all</w:t>
      </w:r>
      <w:r w:rsidR="00F971CE">
        <w:rPr>
          <w:lang w:val="en-GB"/>
        </w:rPr>
        <w:t xml:space="preserve"> COMBAR participants</w:t>
      </w:r>
      <w:r w:rsidR="00A20966">
        <w:rPr>
          <w:lang w:val="en-GB"/>
        </w:rPr>
        <w:t xml:space="preserve"> </w:t>
      </w:r>
      <w:r w:rsidR="00B7473F">
        <w:rPr>
          <w:lang w:val="en-GB"/>
        </w:rPr>
        <w:t>who contributed</w:t>
      </w:r>
      <w:r w:rsidRPr="75F07CB8">
        <w:rPr>
          <w:lang w:val="en-GB"/>
        </w:rPr>
        <w:t xml:space="preserve"> to this work.</w:t>
      </w:r>
      <w:r w:rsidR="00E9319B" w:rsidRPr="75F07CB8">
        <w:rPr>
          <w:lang w:val="en-GB"/>
        </w:rPr>
        <w:br w:type="page"/>
      </w:r>
    </w:p>
    <w:p w14:paraId="140D7AF6" w14:textId="77777777" w:rsidR="00E9319B" w:rsidRPr="005F73F7" w:rsidRDefault="00E9319B" w:rsidP="00CF6817">
      <w:pPr>
        <w:pStyle w:val="Heading1"/>
        <w:spacing w:line="480" w:lineRule="auto"/>
        <w:jc w:val="both"/>
      </w:pPr>
      <w:r w:rsidRPr="005F73F7">
        <w:lastRenderedPageBreak/>
        <w:t>References</w:t>
      </w:r>
    </w:p>
    <w:p w14:paraId="3C3DE42C" w14:textId="04FDAC05" w:rsidR="000A59FA" w:rsidRPr="000A59FA" w:rsidRDefault="000A59FA" w:rsidP="00CF6817">
      <w:pPr>
        <w:pStyle w:val="EndNoteBibliography"/>
        <w:spacing w:after="0" w:line="480" w:lineRule="auto"/>
        <w:ind w:left="720" w:hanging="720"/>
        <w:jc w:val="both"/>
      </w:pPr>
      <w:r w:rsidRPr="000A59FA">
        <w:rPr>
          <w:lang w:val="en-GB"/>
        </w:rPr>
        <w:t>Abbott, K.A., Taylor, M.,</w:t>
      </w:r>
      <w:r>
        <w:rPr>
          <w:lang w:val="en-GB"/>
        </w:rPr>
        <w:t xml:space="preserve"> Stubbings, L.A., 2012. </w:t>
      </w:r>
      <w:r w:rsidRPr="000A59FA">
        <w:rPr>
          <w:lang w:val="en-GB"/>
        </w:rPr>
        <w:t>Sustainable worm control strategies f</w:t>
      </w:r>
      <w:r>
        <w:rPr>
          <w:lang w:val="en-GB"/>
        </w:rPr>
        <w:t>of sheep, 4</w:t>
      </w:r>
      <w:r w:rsidRPr="000A59FA">
        <w:rPr>
          <w:vertAlign w:val="superscript"/>
          <w:lang w:val="en-GB"/>
        </w:rPr>
        <w:t>th</w:t>
      </w:r>
      <w:r>
        <w:rPr>
          <w:lang w:val="en-GB"/>
        </w:rPr>
        <w:t xml:space="preserve"> edition. </w:t>
      </w:r>
      <w:hyperlink r:id="rId8" w:history="1">
        <w:r w:rsidRPr="000A59FA">
          <w:rPr>
            <w:rStyle w:val="Hyperlink"/>
          </w:rPr>
          <w:t>https://www.scops.org.uk/workspace/pdfs/scops-technical-manual-4th-edition-updated-september-2013.pdf</w:t>
        </w:r>
      </w:hyperlink>
      <w:r w:rsidRPr="000A59FA">
        <w:t>.</w:t>
      </w:r>
    </w:p>
    <w:p w14:paraId="6432FE6A" w14:textId="6B12F5AA" w:rsidR="00E9319B" w:rsidRPr="00A84E95" w:rsidRDefault="00E9319B" w:rsidP="00CF6817">
      <w:pPr>
        <w:pStyle w:val="EndNoteBibliography"/>
        <w:spacing w:after="0" w:line="480" w:lineRule="auto"/>
        <w:ind w:left="720" w:hanging="720"/>
        <w:jc w:val="both"/>
      </w:pPr>
      <w:r w:rsidRPr="00174DCA">
        <w:rPr>
          <w:lang w:val="en-GB"/>
        </w:rPr>
        <w:t>Bennett, R., I</w:t>
      </w:r>
      <w:r w:rsidR="000A59FA" w:rsidRPr="00174DCA">
        <w:rPr>
          <w:lang w:val="en-GB"/>
        </w:rPr>
        <w:t>J</w:t>
      </w:r>
      <w:r w:rsidRPr="00174DCA">
        <w:rPr>
          <w:lang w:val="en-GB"/>
        </w:rPr>
        <w:t xml:space="preserve">pelaar, J., 2005. </w:t>
      </w:r>
      <w:r w:rsidRPr="00A84E95">
        <w:t>Updated estimates of the costs associated with thirty four endemic livestock diseases in Great Britain: A note. J</w:t>
      </w:r>
      <w:r w:rsidR="009E035E">
        <w:t>.</w:t>
      </w:r>
      <w:r w:rsidR="0045449A">
        <w:t xml:space="preserve"> </w:t>
      </w:r>
      <w:r w:rsidRPr="00A84E95">
        <w:t>Agr</w:t>
      </w:r>
      <w:r w:rsidR="009E035E">
        <w:t>.</w:t>
      </w:r>
      <w:r w:rsidRPr="00A84E95">
        <w:t xml:space="preserve"> Econ</w:t>
      </w:r>
      <w:r w:rsidR="009E035E">
        <w:t>.</w:t>
      </w:r>
      <w:r w:rsidRPr="00A84E95">
        <w:rPr>
          <w:i/>
        </w:rPr>
        <w:t xml:space="preserve"> </w:t>
      </w:r>
      <w:r w:rsidRPr="00A84E95">
        <w:t>56, 135-144.</w:t>
      </w:r>
    </w:p>
    <w:p w14:paraId="13571A8D" w14:textId="47C463A4" w:rsidR="00E9319B" w:rsidRDefault="00E9319B" w:rsidP="00CF6817">
      <w:pPr>
        <w:pStyle w:val="EndNoteBibliography"/>
        <w:spacing w:after="0" w:line="480" w:lineRule="auto"/>
        <w:ind w:left="720" w:hanging="720"/>
        <w:jc w:val="both"/>
      </w:pPr>
      <w:r w:rsidRPr="00A84E95">
        <w:t xml:space="preserve">Bennett, R.M., Christiansen, K., Clifton-Hadley, R.S., 1999. Direct costs of endemic diseases of farm animals in Great Britain. </w:t>
      </w:r>
      <w:r w:rsidR="009E035E">
        <w:t>Vet.</w:t>
      </w:r>
      <w:r w:rsidRPr="00A84E95">
        <w:t xml:space="preserve"> </w:t>
      </w:r>
      <w:r w:rsidR="009E035E">
        <w:t>Rec.</w:t>
      </w:r>
      <w:r w:rsidRPr="00A84E95">
        <w:rPr>
          <w:i/>
        </w:rPr>
        <w:t xml:space="preserve"> </w:t>
      </w:r>
      <w:r w:rsidRPr="00A84E95">
        <w:t>145, 376-377.</w:t>
      </w:r>
    </w:p>
    <w:p w14:paraId="0FA2583C" w14:textId="142AD3BE" w:rsidR="00E9319B" w:rsidRDefault="00E9319B" w:rsidP="00CF6817">
      <w:pPr>
        <w:pStyle w:val="EndNoteBibliography"/>
        <w:spacing w:after="0" w:line="480" w:lineRule="auto"/>
        <w:ind w:left="720" w:hanging="720"/>
        <w:jc w:val="both"/>
        <w:rPr>
          <w:lang w:val="nl-NL"/>
        </w:rPr>
      </w:pPr>
      <w:r w:rsidRPr="00A84E95">
        <w:t xml:space="preserve">Candy, P.M., Waghorn, T.S., Miller, C.M., Ganesh, S., Leathwick, D.M., 2018. The effect on liveweight gain of using anthelmintics with incomplete efficacy against resistant </w:t>
      </w:r>
      <w:r w:rsidRPr="009E035E">
        <w:rPr>
          <w:i/>
        </w:rPr>
        <w:t>Cooperia oncophora</w:t>
      </w:r>
      <w:r w:rsidRPr="00A84E95">
        <w:t xml:space="preserve"> in cattle. </w:t>
      </w:r>
      <w:r w:rsidR="009E035E">
        <w:rPr>
          <w:lang w:val="nl-NL"/>
        </w:rPr>
        <w:t>Vet. Parasitol.</w:t>
      </w:r>
      <w:r w:rsidRPr="00023BA7">
        <w:rPr>
          <w:i/>
          <w:lang w:val="nl-NL"/>
        </w:rPr>
        <w:t xml:space="preserve"> </w:t>
      </w:r>
      <w:r w:rsidRPr="00023BA7">
        <w:rPr>
          <w:lang w:val="nl-NL"/>
        </w:rPr>
        <w:t>251, 56-62.</w:t>
      </w:r>
    </w:p>
    <w:p w14:paraId="621FB46F" w14:textId="77777777" w:rsidR="00E9319B" w:rsidRPr="00023BA7" w:rsidRDefault="00E9319B" w:rsidP="00CF6817">
      <w:pPr>
        <w:pStyle w:val="EndNoteBibliography"/>
        <w:spacing w:after="0" w:line="480" w:lineRule="auto"/>
        <w:ind w:left="720" w:hanging="720"/>
        <w:jc w:val="both"/>
        <w:rPr>
          <w:lang w:val="nl-NL"/>
        </w:rPr>
      </w:pPr>
      <w:r w:rsidRPr="00023BA7">
        <w:rPr>
          <w:lang w:val="nl-NL"/>
        </w:rPr>
        <w:t xml:space="preserve">Charlier, J., De Waele, V., Ducheyne, E., van der Voort, M., </w:t>
      </w:r>
      <w:r w:rsidR="00962517">
        <w:rPr>
          <w:lang w:val="nl-NL"/>
        </w:rPr>
        <w:t>V</w:t>
      </w:r>
      <w:r w:rsidR="009E035E">
        <w:rPr>
          <w:lang w:val="nl-NL"/>
        </w:rPr>
        <w:t xml:space="preserve">ande </w:t>
      </w:r>
      <w:r w:rsidRPr="00023BA7">
        <w:rPr>
          <w:lang w:val="nl-NL"/>
        </w:rPr>
        <w:t xml:space="preserve">Velde, F., Claerebout, E., 2016a. </w:t>
      </w:r>
      <w:r w:rsidRPr="00A84E95">
        <w:t xml:space="preserve">Decision making on helminths in cattle: diagnostics, economics and human behaviour. </w:t>
      </w:r>
      <w:r w:rsidRPr="00023BA7">
        <w:rPr>
          <w:lang w:val="nl-NL"/>
        </w:rPr>
        <w:t>Irish Vet</w:t>
      </w:r>
      <w:r w:rsidR="009E035E">
        <w:rPr>
          <w:lang w:val="nl-NL"/>
        </w:rPr>
        <w:t>.</w:t>
      </w:r>
      <w:r w:rsidRPr="00023BA7">
        <w:rPr>
          <w:lang w:val="nl-NL"/>
        </w:rPr>
        <w:t xml:space="preserve"> J</w:t>
      </w:r>
      <w:r w:rsidR="009E035E">
        <w:rPr>
          <w:lang w:val="nl-NL"/>
        </w:rPr>
        <w:t>.</w:t>
      </w:r>
      <w:r w:rsidRPr="00023BA7">
        <w:rPr>
          <w:i/>
          <w:lang w:val="nl-NL"/>
        </w:rPr>
        <w:t xml:space="preserve"> </w:t>
      </w:r>
      <w:r w:rsidRPr="00023BA7">
        <w:rPr>
          <w:lang w:val="nl-NL"/>
        </w:rPr>
        <w:t>69.</w:t>
      </w:r>
    </w:p>
    <w:p w14:paraId="755A00D4" w14:textId="77777777" w:rsidR="00E9319B" w:rsidRPr="00A84E95" w:rsidRDefault="00E9319B" w:rsidP="00CF6817">
      <w:pPr>
        <w:pStyle w:val="EndNoteBibliography"/>
        <w:spacing w:after="0" w:line="480" w:lineRule="auto"/>
        <w:ind w:left="720" w:hanging="720"/>
        <w:jc w:val="both"/>
      </w:pPr>
      <w:r w:rsidRPr="00023BA7">
        <w:rPr>
          <w:lang w:val="nl-NL"/>
        </w:rPr>
        <w:t>Charlier, J., Demeler, J., H</w:t>
      </w:r>
      <w:r w:rsidR="00962517">
        <w:rPr>
          <w:lang w:val="nl-NL"/>
        </w:rPr>
        <w:t>ö</w:t>
      </w:r>
      <w:r w:rsidRPr="00023BA7">
        <w:rPr>
          <w:lang w:val="nl-NL"/>
        </w:rPr>
        <w:t xml:space="preserve">glund, J., von Samson-Himmelstjerna, G., Dorny, P., Vercruysse, J., 2010a. </w:t>
      </w:r>
      <w:r w:rsidRPr="006C3F68">
        <w:rPr>
          <w:i/>
          <w:iCs/>
        </w:rPr>
        <w:t>Ostertagia ostertagi</w:t>
      </w:r>
      <w:r w:rsidRPr="00A84E95">
        <w:t xml:space="preserve"> in first-season grazing cattle in Belgium, Germany and Sweden: general levels of infection and related management practices. </w:t>
      </w:r>
      <w:r w:rsidR="00962517">
        <w:t>Vet. Parasitol.</w:t>
      </w:r>
      <w:r w:rsidRPr="00A84E95">
        <w:rPr>
          <w:i/>
        </w:rPr>
        <w:t xml:space="preserve"> </w:t>
      </w:r>
      <w:r w:rsidRPr="00A84E95">
        <w:t>171, 91-98.</w:t>
      </w:r>
    </w:p>
    <w:p w14:paraId="18DEC48C" w14:textId="77777777" w:rsidR="00E9319B" w:rsidRPr="00E4424D" w:rsidRDefault="00E9319B" w:rsidP="00CF6817">
      <w:pPr>
        <w:pStyle w:val="EndNoteBibliography"/>
        <w:spacing w:after="0" w:line="480" w:lineRule="auto"/>
        <w:ind w:left="720" w:hanging="720"/>
        <w:jc w:val="both"/>
        <w:rPr>
          <w:lang w:val="nl-NL"/>
        </w:rPr>
      </w:pPr>
      <w:r w:rsidRPr="00A84E95">
        <w:t>Charlier, J., Ghebretinsae, A.H., Levecke, B., Ducheyne, E., Claerebout, E., Vercruysse, J., 2016b. Climate-driven longitudinal trends in pasture-borne helminth infections of dairy cattle</w:t>
      </w:r>
      <w:r w:rsidR="00962517">
        <w:t xml:space="preserve">. </w:t>
      </w:r>
      <w:r w:rsidR="00962517" w:rsidRPr="00E4424D">
        <w:rPr>
          <w:lang w:val="nl-NL"/>
        </w:rPr>
        <w:t>Int. J. Parasitol.</w:t>
      </w:r>
      <w:r w:rsidRPr="00E4424D">
        <w:rPr>
          <w:i/>
          <w:lang w:val="nl-NL"/>
        </w:rPr>
        <w:t xml:space="preserve"> </w:t>
      </w:r>
      <w:r w:rsidRPr="00E4424D">
        <w:rPr>
          <w:lang w:val="nl-NL"/>
        </w:rPr>
        <w:t>46, 881-888.</w:t>
      </w:r>
    </w:p>
    <w:p w14:paraId="3526E855" w14:textId="77777777" w:rsidR="00E9319B" w:rsidRPr="00A84E95" w:rsidRDefault="00E9319B" w:rsidP="00CF6817">
      <w:pPr>
        <w:pStyle w:val="EndNoteBibliography"/>
        <w:spacing w:after="0" w:line="480" w:lineRule="auto"/>
        <w:ind w:left="720" w:hanging="720"/>
        <w:jc w:val="both"/>
      </w:pPr>
      <w:r w:rsidRPr="00E4424D">
        <w:rPr>
          <w:lang w:val="nl-NL"/>
        </w:rPr>
        <w:t xml:space="preserve">Charlier, J., Levecke, B., Devleesschauwer, B., Vercruysse, J., Hogeveen, H., 2012a. </w:t>
      </w:r>
      <w:r w:rsidRPr="00A84E95">
        <w:t xml:space="preserve">The economic effects of whole-herd versus selective anthelmintic treatment strategies in dairy cows. </w:t>
      </w:r>
      <w:r w:rsidR="00962517">
        <w:t>J. Dairy Sci.</w:t>
      </w:r>
      <w:r w:rsidRPr="00A84E95">
        <w:rPr>
          <w:i/>
        </w:rPr>
        <w:t xml:space="preserve"> </w:t>
      </w:r>
      <w:r w:rsidRPr="00A84E95">
        <w:t>95, 2977-2987.</w:t>
      </w:r>
    </w:p>
    <w:p w14:paraId="30ABC492" w14:textId="77777777" w:rsidR="00E9319B" w:rsidRPr="00A84E95" w:rsidRDefault="00E9319B" w:rsidP="00CF6817">
      <w:pPr>
        <w:pStyle w:val="EndNoteBibliography"/>
        <w:spacing w:after="0" w:line="480" w:lineRule="auto"/>
        <w:ind w:left="720" w:hanging="720"/>
        <w:jc w:val="both"/>
      </w:pPr>
      <w:r w:rsidRPr="00A84E95">
        <w:t>Charlier, J., Sanders, M., Vercruysse, J., 2009. The direct costs of infections with gastrointestinal nematodes and liver fluke in the Flemish dairy population. Vlaams Diergen</w:t>
      </w:r>
      <w:r w:rsidR="00962517">
        <w:t>.</w:t>
      </w:r>
      <w:r w:rsidRPr="00A84E95">
        <w:t xml:space="preserve"> Tijds</w:t>
      </w:r>
      <w:r w:rsidR="00962517">
        <w:t>.</w:t>
      </w:r>
      <w:r w:rsidRPr="00A84E95">
        <w:rPr>
          <w:i/>
        </w:rPr>
        <w:t xml:space="preserve"> </w:t>
      </w:r>
      <w:r w:rsidRPr="00A84E95">
        <w:t>78, 196-200.</w:t>
      </w:r>
    </w:p>
    <w:p w14:paraId="150665E4" w14:textId="1F84359E" w:rsidR="006C3F68" w:rsidRPr="00962517" w:rsidRDefault="00E9319B" w:rsidP="006C3F68">
      <w:pPr>
        <w:pStyle w:val="EndNoteBibliography"/>
        <w:spacing w:after="0" w:line="480" w:lineRule="auto"/>
        <w:ind w:left="720" w:hanging="720"/>
        <w:jc w:val="both"/>
        <w:rPr>
          <w:lang w:val="nl-NL"/>
        </w:rPr>
      </w:pPr>
      <w:r w:rsidRPr="00A84E95">
        <w:lastRenderedPageBreak/>
        <w:t>Charlier, J., Thamsborg, S.M., Bartley, D.J., Skuce, P.J., Kenyon, F., Geurden, T., Hoste, H., Williams, A.R., Sotiraki, S., Hoglund, J., Chartier, C., Geldhof, P., van Dijk, J., Rinaldi, L., Morgan, E.R., von Samson-Himmelstjerna, G., Vercruysse, J., Claerebout, E., 2018. Mind the gaps in research on the control of gastrointestinal nematodes of farmed ruminants and pigs</w:t>
      </w:r>
      <w:r w:rsidR="00962517">
        <w:t xml:space="preserve">. </w:t>
      </w:r>
      <w:r w:rsidR="00962517" w:rsidRPr="00962517">
        <w:rPr>
          <w:lang w:val="nl-NL"/>
        </w:rPr>
        <w:t>Transbound. Emerg. Dis.</w:t>
      </w:r>
      <w:r w:rsidRPr="00962517">
        <w:rPr>
          <w:i/>
          <w:lang w:val="nl-NL"/>
        </w:rPr>
        <w:t xml:space="preserve"> </w:t>
      </w:r>
      <w:r w:rsidRPr="00962517">
        <w:rPr>
          <w:lang w:val="nl-NL"/>
        </w:rPr>
        <w:t>65 Suppl 1, 217-234.</w:t>
      </w:r>
    </w:p>
    <w:p w14:paraId="5D7DE780" w14:textId="77777777" w:rsidR="00E9319B" w:rsidRPr="00023BA7" w:rsidRDefault="00E9319B" w:rsidP="00CF6817">
      <w:pPr>
        <w:pStyle w:val="EndNoteBibliography"/>
        <w:spacing w:after="0" w:line="480" w:lineRule="auto"/>
        <w:ind w:left="720" w:hanging="720"/>
        <w:jc w:val="both"/>
        <w:rPr>
          <w:lang w:val="nl-NL"/>
        </w:rPr>
      </w:pPr>
      <w:r w:rsidRPr="00962517">
        <w:rPr>
          <w:lang w:val="nl-NL"/>
        </w:rPr>
        <w:t xml:space="preserve">Charlier, J., </w:t>
      </w:r>
      <w:r w:rsidR="00962517" w:rsidRPr="00962517">
        <w:rPr>
          <w:lang w:val="nl-NL"/>
        </w:rPr>
        <w:t>v</w:t>
      </w:r>
      <w:r w:rsidRPr="00962517">
        <w:rPr>
          <w:lang w:val="nl-NL"/>
        </w:rPr>
        <w:t xml:space="preserve">an der Voort, M., Hogeveen, H., Vercruysse, J., 2012b. </w:t>
      </w:r>
      <w:r w:rsidRPr="00A84E95">
        <w:t>ParaCalc</w:t>
      </w:r>
      <w:r w:rsidR="00962517">
        <w:t>®</w:t>
      </w:r>
      <w:r w:rsidRPr="00A84E95">
        <w:t>-</w:t>
      </w:r>
      <w:r w:rsidR="00962517">
        <w:t xml:space="preserve"> </w:t>
      </w:r>
      <w:r w:rsidRPr="00A84E95">
        <w:t xml:space="preserve">A novel tool to evaluate the economic importance of worm infections on the dairy farm. </w:t>
      </w:r>
      <w:r w:rsidR="00962517">
        <w:rPr>
          <w:lang w:val="nl-NL"/>
        </w:rPr>
        <w:t>Vet. Parasitol.</w:t>
      </w:r>
      <w:r w:rsidRPr="00023BA7">
        <w:rPr>
          <w:i/>
          <w:lang w:val="nl-NL"/>
        </w:rPr>
        <w:t xml:space="preserve"> </w:t>
      </w:r>
      <w:r w:rsidRPr="00023BA7">
        <w:rPr>
          <w:lang w:val="nl-NL"/>
        </w:rPr>
        <w:t>184, 204-211.</w:t>
      </w:r>
    </w:p>
    <w:p w14:paraId="4226FE6E" w14:textId="77777777" w:rsidR="00E9319B" w:rsidRPr="00A84E95" w:rsidRDefault="00E9319B" w:rsidP="00CF6817">
      <w:pPr>
        <w:pStyle w:val="EndNoteBibliography"/>
        <w:spacing w:after="0" w:line="480" w:lineRule="auto"/>
        <w:ind w:left="720" w:hanging="720"/>
        <w:jc w:val="both"/>
      </w:pPr>
      <w:r w:rsidRPr="00023BA7">
        <w:rPr>
          <w:lang w:val="nl-NL"/>
        </w:rPr>
        <w:t xml:space="preserve">Charlier, J., van der Voort, M., Kenyon, F., Skuce, P., Vercruysse, J., 2014. </w:t>
      </w:r>
      <w:r w:rsidRPr="00A84E95">
        <w:t xml:space="preserve">Chasing helminths and their economic impact on farmed ruminants. Trends </w:t>
      </w:r>
      <w:r w:rsidR="00962517">
        <w:t>Parasitol.</w:t>
      </w:r>
      <w:r w:rsidRPr="00A84E95">
        <w:rPr>
          <w:i/>
        </w:rPr>
        <w:t xml:space="preserve"> </w:t>
      </w:r>
      <w:r w:rsidRPr="00A84E95">
        <w:t>30, 361-367.</w:t>
      </w:r>
    </w:p>
    <w:p w14:paraId="6CFB8F22" w14:textId="1F816DDB" w:rsidR="00E9319B" w:rsidRPr="00E245BE" w:rsidRDefault="00E9319B" w:rsidP="00CF6817">
      <w:pPr>
        <w:pStyle w:val="EndNoteBibliography"/>
        <w:spacing w:after="0" w:line="480" w:lineRule="auto"/>
        <w:ind w:left="720" w:hanging="720"/>
        <w:jc w:val="both"/>
        <w:rPr>
          <w:lang w:val="nl-NL"/>
        </w:rPr>
      </w:pPr>
      <w:r w:rsidRPr="00A84E95">
        <w:t>Charlier, J., Vercruysse, J., Smith, J., Vanderstichel, R., Stryhn, H., Claerebout, E., Dohoo, I., 2010b. Evaluation of anti-</w:t>
      </w:r>
      <w:r w:rsidRPr="00962517">
        <w:rPr>
          <w:i/>
        </w:rPr>
        <w:t>Ostertagia ostertagi</w:t>
      </w:r>
      <w:r w:rsidRPr="00A84E95">
        <w:t xml:space="preserve"> antibodies in individual milk samples as decision parameter for selective anthelmintic treatment in dairy cows. </w:t>
      </w:r>
      <w:r w:rsidR="00962517" w:rsidRPr="00E245BE">
        <w:rPr>
          <w:lang w:val="nl-NL"/>
        </w:rPr>
        <w:t>Prev. Vet. Med.</w:t>
      </w:r>
      <w:r w:rsidRPr="00E245BE">
        <w:rPr>
          <w:i/>
          <w:lang w:val="nl-NL"/>
        </w:rPr>
        <w:t xml:space="preserve"> </w:t>
      </w:r>
      <w:r w:rsidRPr="00E245BE">
        <w:rPr>
          <w:lang w:val="nl-NL"/>
        </w:rPr>
        <w:t>93, 147-152.</w:t>
      </w:r>
    </w:p>
    <w:p w14:paraId="43604080" w14:textId="73DF909F" w:rsidR="00965E38" w:rsidRPr="00965E38" w:rsidRDefault="00965E38" w:rsidP="00CF6817">
      <w:pPr>
        <w:pStyle w:val="EndNoteBibliography"/>
        <w:spacing w:after="0" w:line="480" w:lineRule="auto"/>
        <w:ind w:left="720" w:hanging="720"/>
        <w:jc w:val="both"/>
        <w:rPr>
          <w:lang w:val="en-GB"/>
        </w:rPr>
      </w:pPr>
      <w:r w:rsidRPr="00965E38">
        <w:rPr>
          <w:lang w:val="nl-NL"/>
        </w:rPr>
        <w:t>Claerebout, E., De Wilde, N</w:t>
      </w:r>
      <w:r>
        <w:rPr>
          <w:lang w:val="nl-NL"/>
        </w:rPr>
        <w:t xml:space="preserve">., Van Mael, E., Casaert, S., Vande Velde, F., Roeber, F., Vinuezo Veloz, P., Levecke, B., Geldhof, P., 2020. </w:t>
      </w:r>
      <w:r w:rsidRPr="00965E38">
        <w:rPr>
          <w:lang w:val="en-GB"/>
        </w:rPr>
        <w:t>Anthelmintic resistance and common worm control p</w:t>
      </w:r>
      <w:r>
        <w:rPr>
          <w:lang w:val="en-GB"/>
        </w:rPr>
        <w:t>ractices in sheep farms in Flanders, Belgium. Vet. Parasitol. Reg. Stud. Reports 20, 100393.</w:t>
      </w:r>
    </w:p>
    <w:p w14:paraId="09AF0F01" w14:textId="77777777" w:rsidR="00E9319B" w:rsidRPr="00A84E95" w:rsidRDefault="00E9319B" w:rsidP="00CF6817">
      <w:pPr>
        <w:pStyle w:val="EndNoteBibliography"/>
        <w:spacing w:after="0" w:line="480" w:lineRule="auto"/>
        <w:ind w:left="720" w:hanging="720"/>
        <w:jc w:val="both"/>
      </w:pPr>
      <w:r w:rsidRPr="00A84E95">
        <w:t xml:space="preserve">Dargie, J.D., 1987. The impact on production and mechanisms of pathogenesis of trematode infections in cattle and sheep. </w:t>
      </w:r>
      <w:r w:rsidR="00962517">
        <w:t>Int. J. Parasitol.</w:t>
      </w:r>
      <w:r w:rsidRPr="00A84E95">
        <w:rPr>
          <w:i/>
        </w:rPr>
        <w:t xml:space="preserve"> </w:t>
      </w:r>
      <w:r w:rsidRPr="00A84E95">
        <w:t>17, 453-463.</w:t>
      </w:r>
    </w:p>
    <w:p w14:paraId="1BDF5263" w14:textId="77777777" w:rsidR="00E9319B" w:rsidRPr="00A84E95" w:rsidRDefault="00E9319B" w:rsidP="00CF6817">
      <w:pPr>
        <w:pStyle w:val="EndNoteBibliography"/>
        <w:spacing w:after="0" w:line="480" w:lineRule="auto"/>
        <w:ind w:left="720" w:hanging="720"/>
        <w:jc w:val="both"/>
      </w:pPr>
      <w:r w:rsidRPr="00A84E95">
        <w:t xml:space="preserve">Delafosse, A., 2013. The association between </w:t>
      </w:r>
      <w:r w:rsidRPr="00962517">
        <w:rPr>
          <w:i/>
        </w:rPr>
        <w:t>Ostertagia ostertagi</w:t>
      </w:r>
      <w:r w:rsidRPr="00A84E95">
        <w:t xml:space="preserve"> antibodies in bulk tank milk samples and parameters linked to cattle reproduction and mortality. </w:t>
      </w:r>
      <w:r w:rsidR="00962517">
        <w:t>Vet. Parasitol.</w:t>
      </w:r>
      <w:r w:rsidRPr="00A84E95">
        <w:rPr>
          <w:i/>
        </w:rPr>
        <w:t xml:space="preserve"> </w:t>
      </w:r>
      <w:r w:rsidRPr="00A84E95">
        <w:t>197, 212-220.</w:t>
      </w:r>
    </w:p>
    <w:p w14:paraId="61685C35" w14:textId="77777777" w:rsidR="00E9319B" w:rsidRPr="00A84E95" w:rsidRDefault="00E9319B" w:rsidP="00CF6817">
      <w:pPr>
        <w:pStyle w:val="EndNoteBibliography"/>
        <w:spacing w:after="0" w:line="480" w:lineRule="auto"/>
        <w:ind w:left="720" w:hanging="720"/>
        <w:jc w:val="both"/>
      </w:pPr>
      <w:r w:rsidRPr="00A84E95">
        <w:t xml:space="preserve">Easton, S., Pinchbeck, G.L., Bartley, D.J., Hodgkinson, J.E., Matthews, J.B., 2018. A survey of experiences of UK cattle and sheep farmers with anthelmintic prescribers; Are best practice principles being deployed at farm level? </w:t>
      </w:r>
      <w:r w:rsidR="00962517">
        <w:t>Prev. Vet. Med.</w:t>
      </w:r>
      <w:r w:rsidRPr="00A84E95">
        <w:rPr>
          <w:i/>
        </w:rPr>
        <w:t xml:space="preserve"> </w:t>
      </w:r>
      <w:r w:rsidRPr="00A84E95">
        <w:t>155, 27-37.</w:t>
      </w:r>
    </w:p>
    <w:p w14:paraId="7BA63897" w14:textId="73F869F8" w:rsidR="00E9319B" w:rsidRDefault="00E9319B" w:rsidP="00CF6817">
      <w:pPr>
        <w:pStyle w:val="EndNoteBibliography"/>
        <w:spacing w:after="0" w:line="480" w:lineRule="auto"/>
        <w:ind w:left="720" w:hanging="720"/>
        <w:jc w:val="both"/>
      </w:pPr>
      <w:r w:rsidRPr="00A84E95">
        <w:t>EUROSTAT, 2017. Agriculture database.</w:t>
      </w:r>
    </w:p>
    <w:p w14:paraId="1C064722" w14:textId="7351129A" w:rsidR="00B27E65" w:rsidRPr="00905078" w:rsidRDefault="00B27E65" w:rsidP="00CF6817">
      <w:pPr>
        <w:pStyle w:val="EndNoteBibliography"/>
        <w:spacing w:after="0" w:line="480" w:lineRule="auto"/>
        <w:ind w:left="720" w:hanging="720"/>
        <w:jc w:val="both"/>
        <w:rPr>
          <w:lang w:val="nl-NL"/>
        </w:rPr>
      </w:pPr>
      <w:r>
        <w:t xml:space="preserve">EUROSTAT, 2018. </w:t>
      </w:r>
      <w:r w:rsidR="007C3FA9">
        <w:t>Agriculture, forestry and fishery statistics</w:t>
      </w:r>
      <w:r w:rsidR="00B75CEB">
        <w:t>, 2018 edition.</w:t>
      </w:r>
      <w:r w:rsidR="00BE436B" w:rsidRPr="00BE436B">
        <w:t xml:space="preserve"> </w:t>
      </w:r>
      <w:r w:rsidR="00BE436B" w:rsidRPr="00905078">
        <w:rPr>
          <w:lang w:val="nl-NL"/>
        </w:rPr>
        <w:t>ISBN 978-92-79-94758-2 doi:10.2785/668439</w:t>
      </w:r>
      <w:r w:rsidR="00B75CEB" w:rsidRPr="00905078">
        <w:rPr>
          <w:lang w:val="nl-NL"/>
        </w:rPr>
        <w:t>.</w:t>
      </w:r>
    </w:p>
    <w:p w14:paraId="045A6FE3" w14:textId="2F742EFF" w:rsidR="0045449A" w:rsidRPr="00E518F6" w:rsidRDefault="0045449A" w:rsidP="00CF6817">
      <w:pPr>
        <w:pStyle w:val="EndNoteBibliography"/>
        <w:spacing w:after="0" w:line="480" w:lineRule="auto"/>
        <w:ind w:left="720" w:hanging="720"/>
        <w:jc w:val="both"/>
        <w:rPr>
          <w:lang w:val="nl-NL"/>
        </w:rPr>
      </w:pPr>
      <w:r w:rsidRPr="00905078">
        <w:rPr>
          <w:lang w:val="nl-NL"/>
        </w:rPr>
        <w:lastRenderedPageBreak/>
        <w:t xml:space="preserve">Eysker, M., Kooyman, F.N., van Amerongen, J.J., Kremer, W.D., Lam, T.J., 1997. </w:t>
      </w:r>
      <w:r w:rsidRPr="002530BD">
        <w:rPr>
          <w:lang w:val="en-GB"/>
        </w:rPr>
        <w:t>An attempt to control lungworm disease and parasitic g</w:t>
      </w:r>
      <w:r>
        <w:rPr>
          <w:lang w:val="en-GB"/>
        </w:rPr>
        <w:t xml:space="preserve">astroenteritis on commercial dairy farms by the use of an adaptation of Michel’s dose-and-move system. </w:t>
      </w:r>
      <w:r w:rsidRPr="00E518F6">
        <w:rPr>
          <w:lang w:val="nl-NL"/>
        </w:rPr>
        <w:t>Vet Q. 19, 61-64.</w:t>
      </w:r>
    </w:p>
    <w:p w14:paraId="173BC342" w14:textId="320F4079" w:rsidR="00B52336" w:rsidRPr="00B52336" w:rsidRDefault="00B52336" w:rsidP="00CF6817">
      <w:pPr>
        <w:pStyle w:val="EndNoteBibliography"/>
        <w:spacing w:after="0" w:line="480" w:lineRule="auto"/>
        <w:ind w:left="720" w:hanging="720"/>
        <w:jc w:val="both"/>
        <w:rPr>
          <w:lang w:val="en-GB"/>
        </w:rPr>
      </w:pPr>
      <w:r w:rsidRPr="00B52336">
        <w:rPr>
          <w:lang w:val="nl-NL"/>
        </w:rPr>
        <w:t>Fanke, J., Charlier, J., Steppin, T., von Samson-Himmelstje</w:t>
      </w:r>
      <w:r>
        <w:rPr>
          <w:lang w:val="nl-NL"/>
        </w:rPr>
        <w:t xml:space="preserve">rna, G., Vercruysse, J., Demeler, J., 2017. </w:t>
      </w:r>
      <w:r w:rsidRPr="00B52336">
        <w:rPr>
          <w:lang w:val="en-GB"/>
        </w:rPr>
        <w:t xml:space="preserve">Economic assessment of </w:t>
      </w:r>
      <w:r w:rsidRPr="00B52336">
        <w:rPr>
          <w:i/>
          <w:iCs/>
          <w:lang w:val="en-GB"/>
        </w:rPr>
        <w:t>Ostertagia ostertagi</w:t>
      </w:r>
      <w:r w:rsidRPr="00B52336">
        <w:rPr>
          <w:lang w:val="en-GB"/>
        </w:rPr>
        <w:t xml:space="preserve"> and </w:t>
      </w:r>
      <w:r w:rsidRPr="00B52336">
        <w:rPr>
          <w:i/>
          <w:iCs/>
          <w:lang w:val="en-GB"/>
        </w:rPr>
        <w:t>Fasciola hepatica</w:t>
      </w:r>
      <w:r w:rsidRPr="00B52336">
        <w:rPr>
          <w:lang w:val="en-GB"/>
        </w:rPr>
        <w:t xml:space="preserve"> infections i</w:t>
      </w:r>
      <w:r>
        <w:rPr>
          <w:lang w:val="en-GB"/>
        </w:rPr>
        <w:t>n dairy cattle herds in Germany using ParaCalc®. Vet. Parasitol. 240, 39-48.</w:t>
      </w:r>
    </w:p>
    <w:p w14:paraId="32D5E2CE" w14:textId="77777777" w:rsidR="00E9319B" w:rsidRPr="00A84E95" w:rsidRDefault="00E9319B" w:rsidP="00CF6817">
      <w:pPr>
        <w:pStyle w:val="EndNoteBibliography"/>
        <w:spacing w:after="0" w:line="480" w:lineRule="auto"/>
        <w:ind w:left="720" w:hanging="720"/>
        <w:jc w:val="both"/>
      </w:pPr>
      <w:r w:rsidRPr="00E518F6">
        <w:rPr>
          <w:lang w:val="en-GB"/>
        </w:rPr>
        <w:t xml:space="preserve">FAO, 2017. </w:t>
      </w:r>
      <w:r w:rsidRPr="00A84E95">
        <w:t>FAOSTAT Online Statistical Service (Live animal, livestock primary and prices datasets).</w:t>
      </w:r>
    </w:p>
    <w:p w14:paraId="526ACCAE" w14:textId="77777777" w:rsidR="00E9319B" w:rsidRPr="00A84E95" w:rsidRDefault="00E9319B" w:rsidP="00CF6817">
      <w:pPr>
        <w:pStyle w:val="EndNoteBibliography"/>
        <w:spacing w:after="0" w:line="480" w:lineRule="auto"/>
        <w:ind w:left="720" w:hanging="720"/>
        <w:jc w:val="both"/>
      </w:pPr>
      <w:r w:rsidRPr="00023BA7">
        <w:rPr>
          <w:lang w:val="fr-FR"/>
        </w:rPr>
        <w:t xml:space="preserve">Fazzio, L., Moreno, L., Galvan, W., Canton, C., Alvarez, L., Streitenberger, N., Sanchez, R., Lanusse, C., Sanabria, R., 2019. </w:t>
      </w:r>
      <w:r w:rsidRPr="00A84E95">
        <w:t xml:space="preserve">Pharmacokinetic profile and anthelmintic efficacy of moxidectin administered by different doses and routes to feedlot calves. </w:t>
      </w:r>
      <w:r w:rsidR="00962517">
        <w:t>Vet. Parasitol.</w:t>
      </w:r>
      <w:r w:rsidRPr="00A84E95">
        <w:rPr>
          <w:i/>
        </w:rPr>
        <w:t xml:space="preserve"> </w:t>
      </w:r>
      <w:r w:rsidRPr="00A84E95">
        <w:t>266, 73-79.</w:t>
      </w:r>
    </w:p>
    <w:p w14:paraId="663B12DD" w14:textId="77777777" w:rsidR="00E9319B" w:rsidRPr="00A84E95" w:rsidRDefault="00E9319B" w:rsidP="00CF6817">
      <w:pPr>
        <w:pStyle w:val="EndNoteBibliography"/>
        <w:spacing w:after="0" w:line="480" w:lineRule="auto"/>
        <w:ind w:left="720" w:hanging="720"/>
        <w:jc w:val="both"/>
      </w:pPr>
      <w:r w:rsidRPr="00A84E95">
        <w:t xml:space="preserve">Fitzpatrick, J.L., 2013. Global food security: the impact of veterinary parasites and parasitologists. </w:t>
      </w:r>
      <w:r w:rsidR="00962517">
        <w:t>Vet. Parasitol.</w:t>
      </w:r>
      <w:r w:rsidRPr="00A84E95">
        <w:rPr>
          <w:i/>
        </w:rPr>
        <w:t xml:space="preserve"> </w:t>
      </w:r>
      <w:r w:rsidRPr="00A84E95">
        <w:t>195, 233-248.</w:t>
      </w:r>
    </w:p>
    <w:p w14:paraId="034F9875" w14:textId="77777777" w:rsidR="00E9319B" w:rsidRPr="00A84E95" w:rsidRDefault="00E9319B" w:rsidP="00CF6817">
      <w:pPr>
        <w:pStyle w:val="EndNoteBibliography"/>
        <w:spacing w:after="0" w:line="480" w:lineRule="auto"/>
        <w:ind w:left="720" w:hanging="720"/>
        <w:jc w:val="both"/>
      </w:pPr>
      <w:r w:rsidRPr="00A84E95">
        <w:t xml:space="preserve">Forbes, A.B., Huckle, C.A., Gibb, M.J., 2004. Impact of eprinomectin on grazing behaviour and performance in dairy cattle with sub-clinical gastrointestinal nematode infections under continuous stocking management. </w:t>
      </w:r>
      <w:r w:rsidR="00962517">
        <w:t>Vet. Parasitol.</w:t>
      </w:r>
      <w:r w:rsidRPr="00A84E95">
        <w:rPr>
          <w:i/>
        </w:rPr>
        <w:t xml:space="preserve"> </w:t>
      </w:r>
      <w:r w:rsidRPr="00A84E95">
        <w:t>125, 353-364.</w:t>
      </w:r>
    </w:p>
    <w:p w14:paraId="1F9870C3" w14:textId="77777777" w:rsidR="00E9319B" w:rsidRPr="00E4424D" w:rsidRDefault="00E9319B" w:rsidP="00CF6817">
      <w:pPr>
        <w:pStyle w:val="EndNoteBibliography"/>
        <w:spacing w:after="0" w:line="480" w:lineRule="auto"/>
        <w:ind w:left="720" w:hanging="720"/>
        <w:jc w:val="both"/>
        <w:rPr>
          <w:lang w:val="fr-FR"/>
        </w:rPr>
      </w:pPr>
      <w:r w:rsidRPr="00A84E95">
        <w:t xml:space="preserve">Forbes, A.B., Vercruysse, J., Charlier, J., 2008. A survey of the exposure to </w:t>
      </w:r>
      <w:r w:rsidRPr="00962517">
        <w:rPr>
          <w:i/>
        </w:rPr>
        <w:t>Ostertagia ostertagi</w:t>
      </w:r>
      <w:r w:rsidRPr="00A84E95">
        <w:t xml:space="preserve"> in dairy cow herds in Europe through the measurement of antibodies in milk samples from the bulk tank. </w:t>
      </w:r>
      <w:r w:rsidR="00962517" w:rsidRPr="00E4424D">
        <w:rPr>
          <w:lang w:val="fr-FR"/>
        </w:rPr>
        <w:t>Vet. Parasitol.</w:t>
      </w:r>
      <w:r w:rsidRPr="00E4424D">
        <w:rPr>
          <w:i/>
          <w:lang w:val="fr-FR"/>
        </w:rPr>
        <w:t xml:space="preserve"> </w:t>
      </w:r>
      <w:r w:rsidRPr="00E4424D">
        <w:rPr>
          <w:lang w:val="fr-FR"/>
        </w:rPr>
        <w:t>157, 100-107.</w:t>
      </w:r>
    </w:p>
    <w:p w14:paraId="362A9B6B" w14:textId="77777777" w:rsidR="00E9319B" w:rsidRPr="00E4424D" w:rsidRDefault="00E9319B" w:rsidP="00CF6817">
      <w:pPr>
        <w:pStyle w:val="EndNoteBibliography"/>
        <w:spacing w:after="0" w:line="480" w:lineRule="auto"/>
        <w:ind w:left="720" w:hanging="720"/>
        <w:jc w:val="both"/>
        <w:rPr>
          <w:lang w:val="nl-NL"/>
        </w:rPr>
      </w:pPr>
      <w:r w:rsidRPr="00E4424D">
        <w:rPr>
          <w:lang w:val="fr-FR"/>
        </w:rPr>
        <w:t xml:space="preserve">Gethmann, J., Probst, C., Sauter-Louis, C., Conraths, F.J., 2015. </w:t>
      </w:r>
      <w:r w:rsidRPr="00A84E95">
        <w:t xml:space="preserve">Economic analysis of animal disease outbreaks-BSE and Bluetongue disease as examples. </w:t>
      </w:r>
      <w:r w:rsidRPr="00E4424D">
        <w:rPr>
          <w:lang w:val="nl-NL"/>
        </w:rPr>
        <w:t>Berl</w:t>
      </w:r>
      <w:r w:rsidR="00962517" w:rsidRPr="00E4424D">
        <w:rPr>
          <w:lang w:val="nl-NL"/>
        </w:rPr>
        <w:t>.</w:t>
      </w:r>
      <w:r w:rsidRPr="00E4424D">
        <w:rPr>
          <w:lang w:val="nl-NL"/>
        </w:rPr>
        <w:t xml:space="preserve"> Munch</w:t>
      </w:r>
      <w:r w:rsidR="00962517" w:rsidRPr="00E4424D">
        <w:rPr>
          <w:lang w:val="nl-NL"/>
        </w:rPr>
        <w:t>.</w:t>
      </w:r>
      <w:r w:rsidRPr="00E4424D">
        <w:rPr>
          <w:lang w:val="nl-NL"/>
        </w:rPr>
        <w:t xml:space="preserve"> </w:t>
      </w:r>
      <w:r w:rsidR="00962517" w:rsidRPr="00E4424D">
        <w:rPr>
          <w:lang w:val="nl-NL"/>
        </w:rPr>
        <w:t>T</w:t>
      </w:r>
      <w:r w:rsidRPr="00E4424D">
        <w:rPr>
          <w:lang w:val="nl-NL"/>
        </w:rPr>
        <w:t>ierarztl</w:t>
      </w:r>
      <w:r w:rsidR="00962517" w:rsidRPr="00E4424D">
        <w:rPr>
          <w:lang w:val="nl-NL"/>
        </w:rPr>
        <w:t>.</w:t>
      </w:r>
      <w:r w:rsidRPr="00E4424D">
        <w:rPr>
          <w:lang w:val="nl-NL"/>
        </w:rPr>
        <w:t xml:space="preserve"> 128, 478-482.</w:t>
      </w:r>
    </w:p>
    <w:p w14:paraId="1B9939A8" w14:textId="77777777" w:rsidR="00E9319B" w:rsidRPr="00A84E95" w:rsidRDefault="00E9319B" w:rsidP="00CF6817">
      <w:pPr>
        <w:pStyle w:val="EndNoteBibliography"/>
        <w:spacing w:after="0" w:line="480" w:lineRule="auto"/>
        <w:ind w:left="720" w:hanging="720"/>
        <w:jc w:val="both"/>
      </w:pPr>
      <w:r w:rsidRPr="00023BA7">
        <w:rPr>
          <w:lang w:val="nl-NL"/>
        </w:rPr>
        <w:t xml:space="preserve">Geurden, T., Slootmans, N., Glover, M., Bartram, D.J., 2014. </w:t>
      </w:r>
      <w:r w:rsidRPr="00A84E95">
        <w:t xml:space="preserve">Production benefit of treatment with a dual active oral formulation of derquantel-abamectin in slaughter lambs. </w:t>
      </w:r>
      <w:r w:rsidR="00962517">
        <w:t>Vet. Parasitol.</w:t>
      </w:r>
      <w:r w:rsidRPr="00A84E95">
        <w:rPr>
          <w:i/>
        </w:rPr>
        <w:t xml:space="preserve"> </w:t>
      </w:r>
      <w:r w:rsidRPr="00A84E95">
        <w:t>205, 405-407.</w:t>
      </w:r>
    </w:p>
    <w:p w14:paraId="60459714" w14:textId="77777777" w:rsidR="00E9319B" w:rsidRPr="00E4424D" w:rsidRDefault="00E9319B" w:rsidP="00CF6817">
      <w:pPr>
        <w:pStyle w:val="EndNoteBibliography"/>
        <w:spacing w:after="0" w:line="480" w:lineRule="auto"/>
        <w:ind w:left="720" w:hanging="720"/>
        <w:jc w:val="both"/>
        <w:rPr>
          <w:lang w:val="nl-NL"/>
        </w:rPr>
      </w:pPr>
      <w:r w:rsidRPr="00A84E95">
        <w:t xml:space="preserve">Hogeveen, H., </w:t>
      </w:r>
      <w:r w:rsidR="00962517">
        <w:t>v</w:t>
      </w:r>
      <w:r w:rsidRPr="00A84E95">
        <w:t xml:space="preserve">an </w:t>
      </w:r>
      <w:r w:rsidR="00962517">
        <w:t>d</w:t>
      </w:r>
      <w:r w:rsidRPr="00A84E95">
        <w:t xml:space="preserve">er Voort, M., 2017. Assessing the economic impact of an endemic disease: the case of mastitis. </w:t>
      </w:r>
      <w:r w:rsidR="00962517" w:rsidRPr="00E4424D">
        <w:rPr>
          <w:lang w:val="nl-NL"/>
        </w:rPr>
        <w:t>Rev. Sci. Tech.</w:t>
      </w:r>
      <w:r w:rsidR="007E4BF3" w:rsidRPr="00E4424D">
        <w:rPr>
          <w:lang w:val="nl-NL"/>
        </w:rPr>
        <w:t xml:space="preserve"> (OIE)</w:t>
      </w:r>
      <w:r w:rsidRPr="00E4424D">
        <w:rPr>
          <w:i/>
          <w:lang w:val="nl-NL"/>
        </w:rPr>
        <w:t xml:space="preserve"> </w:t>
      </w:r>
      <w:r w:rsidRPr="00E4424D">
        <w:rPr>
          <w:lang w:val="nl-NL"/>
        </w:rPr>
        <w:t>36, 217-226.</w:t>
      </w:r>
    </w:p>
    <w:p w14:paraId="68C1CB2E" w14:textId="77777777" w:rsidR="00E9319B" w:rsidRPr="00023BA7" w:rsidRDefault="00E9319B" w:rsidP="00CF6817">
      <w:pPr>
        <w:pStyle w:val="EndNoteBibliography"/>
        <w:spacing w:after="0" w:line="480" w:lineRule="auto"/>
        <w:ind w:left="720" w:hanging="720"/>
        <w:jc w:val="both"/>
        <w:rPr>
          <w:lang w:val="nl-NL"/>
        </w:rPr>
      </w:pPr>
      <w:r w:rsidRPr="00E4424D">
        <w:rPr>
          <w:lang w:val="nl-NL"/>
        </w:rPr>
        <w:lastRenderedPageBreak/>
        <w:t xml:space="preserve">Holzhauer, M., van Schaik, G., Saatkamp, H.W., Ploeger, H.W., 2011. </w:t>
      </w:r>
      <w:r w:rsidRPr="00A84E95">
        <w:t xml:space="preserve">Lungworm outbreaks in adult dairy cows: estimating economic losses and lessons to be learned. </w:t>
      </w:r>
      <w:r w:rsidR="00962517">
        <w:rPr>
          <w:lang w:val="nl-NL"/>
        </w:rPr>
        <w:t>Vet. Rec.</w:t>
      </w:r>
      <w:r w:rsidRPr="00023BA7">
        <w:rPr>
          <w:i/>
          <w:lang w:val="nl-NL"/>
        </w:rPr>
        <w:t xml:space="preserve"> </w:t>
      </w:r>
      <w:r w:rsidRPr="00023BA7">
        <w:rPr>
          <w:lang w:val="nl-NL"/>
        </w:rPr>
        <w:t>169, 494.</w:t>
      </w:r>
    </w:p>
    <w:p w14:paraId="6D9C99A5" w14:textId="77777777" w:rsidR="00E9319B" w:rsidRPr="00A84E95" w:rsidRDefault="00E9319B" w:rsidP="00CF6817">
      <w:pPr>
        <w:pStyle w:val="EndNoteBibliography"/>
        <w:spacing w:after="0" w:line="480" w:lineRule="auto"/>
        <w:ind w:left="720" w:hanging="720"/>
        <w:jc w:val="both"/>
      </w:pPr>
      <w:r w:rsidRPr="00023BA7">
        <w:rPr>
          <w:lang w:val="nl-NL"/>
        </w:rPr>
        <w:t xml:space="preserve">Inchaisri, C., Jorritsma, R., Vos, P.L., van der Weijden, G.C., Hogeveen, H., 2010. </w:t>
      </w:r>
      <w:r w:rsidRPr="00A84E95">
        <w:t>Economic consequences of reproductive performance in dairy cattle. Theriogenology</w:t>
      </w:r>
      <w:r w:rsidRPr="00A84E95">
        <w:rPr>
          <w:i/>
        </w:rPr>
        <w:t xml:space="preserve"> </w:t>
      </w:r>
      <w:r w:rsidRPr="00A84E95">
        <w:t>74, 835-846.</w:t>
      </w:r>
    </w:p>
    <w:p w14:paraId="2BBF4B66" w14:textId="77777777" w:rsidR="00E9319B" w:rsidRPr="0078266F" w:rsidRDefault="00E9319B" w:rsidP="00CF6817">
      <w:pPr>
        <w:pStyle w:val="EndNoteBibliography"/>
        <w:spacing w:after="0" w:line="480" w:lineRule="auto"/>
        <w:ind w:left="720" w:hanging="720"/>
        <w:jc w:val="both"/>
      </w:pPr>
      <w:r w:rsidRPr="0078266F">
        <w:t xml:space="preserve">Jackson, F., Miller, J., 2006. Alternative approaches to control--quo vadit? </w:t>
      </w:r>
      <w:r w:rsidR="00962517" w:rsidRPr="0078266F">
        <w:t>Vet. Parasitol.</w:t>
      </w:r>
      <w:r w:rsidRPr="0078266F">
        <w:rPr>
          <w:i/>
        </w:rPr>
        <w:t xml:space="preserve"> </w:t>
      </w:r>
      <w:r w:rsidRPr="0078266F">
        <w:t>139, 371-384.</w:t>
      </w:r>
    </w:p>
    <w:p w14:paraId="2A15C4F1" w14:textId="5730A89D" w:rsidR="00A37924" w:rsidRPr="0078266F" w:rsidRDefault="00A37924" w:rsidP="00CF6817">
      <w:pPr>
        <w:pStyle w:val="EndNoteBibliography"/>
        <w:spacing w:after="0" w:line="480" w:lineRule="auto"/>
        <w:ind w:left="720" w:hanging="720"/>
        <w:jc w:val="both"/>
        <w:rPr>
          <w:lang w:val="en-GB"/>
        </w:rPr>
      </w:pPr>
      <w:r w:rsidRPr="0078266F">
        <w:rPr>
          <w:lang w:val="en-GB"/>
        </w:rPr>
        <w:t>Kaplan, R.M., 2020. Biology, epidemiology, diagnosis and management of anthelmintic resistance in gastrointestinal nematodes of livestock. Vet. Clin. North Am. Food Anim. Pract. 36, 17-30.</w:t>
      </w:r>
    </w:p>
    <w:p w14:paraId="64BC56A7" w14:textId="6728FA43" w:rsidR="00E9319B" w:rsidRDefault="00E9319B" w:rsidP="00CF6817">
      <w:pPr>
        <w:pStyle w:val="EndNoteBibliography"/>
        <w:spacing w:after="0" w:line="480" w:lineRule="auto"/>
        <w:ind w:left="720" w:hanging="720"/>
        <w:jc w:val="both"/>
      </w:pPr>
      <w:r w:rsidRPr="00A84E95">
        <w:t xml:space="preserve">Learmount, J., Glover, M.J., Taylor, M.A., 2018. Resistance delaying strategies on UK sheep farms: A cost benefit analysis. </w:t>
      </w:r>
      <w:r w:rsidR="00962517">
        <w:t>Vet. Parasitol.</w:t>
      </w:r>
      <w:r w:rsidRPr="00A84E95">
        <w:rPr>
          <w:i/>
        </w:rPr>
        <w:t xml:space="preserve"> </w:t>
      </w:r>
      <w:r w:rsidRPr="00A84E95">
        <w:t>254, 64-71.</w:t>
      </w:r>
    </w:p>
    <w:p w14:paraId="5E55315E" w14:textId="6C76CEDF" w:rsidR="001D5B3B" w:rsidRPr="001D5B3B" w:rsidRDefault="001D5B3B" w:rsidP="00CF6817">
      <w:pPr>
        <w:pStyle w:val="EndNoteBibliography"/>
        <w:spacing w:after="0" w:line="480" w:lineRule="auto"/>
        <w:ind w:left="720" w:hanging="720"/>
        <w:jc w:val="both"/>
      </w:pPr>
      <w:r w:rsidRPr="001D5B3B">
        <w:t>Li, M., Havelaar, A.H., Hoffman, S., Hald, T., Kirk, M.D., Torgerson, P.R., Devleessch</w:t>
      </w:r>
      <w:r>
        <w:t>auwer, B., 2019. Global Disease Burden of Pathogens in Animal Source Foods, 2010. Plos One, 14:e0216545.</w:t>
      </w:r>
    </w:p>
    <w:p w14:paraId="28553344" w14:textId="77777777" w:rsidR="00E9319B" w:rsidRPr="00A84E95" w:rsidRDefault="00E9319B" w:rsidP="00CF6817">
      <w:pPr>
        <w:pStyle w:val="EndNoteBibliography"/>
        <w:spacing w:after="0" w:line="480" w:lineRule="auto"/>
        <w:ind w:left="720" w:hanging="720"/>
        <w:jc w:val="both"/>
      </w:pPr>
      <w:r w:rsidRPr="0011785E">
        <w:rPr>
          <w:lang w:val="en-GB"/>
        </w:rPr>
        <w:t xml:space="preserve">Mavrot, F., Hertzberg, H., Torgerson, P., 2015. </w:t>
      </w:r>
      <w:r w:rsidRPr="00A84E95">
        <w:t>Effect of gastro-intestinal nematode infection on sheep performance: a systematic review and meta-analysis. Parasite  vector</w:t>
      </w:r>
      <w:r w:rsidRPr="00A84E95">
        <w:rPr>
          <w:i/>
        </w:rPr>
        <w:t xml:space="preserve"> </w:t>
      </w:r>
      <w:r w:rsidRPr="00A84E95">
        <w:t>8, 557.</w:t>
      </w:r>
    </w:p>
    <w:p w14:paraId="679C6F13" w14:textId="4C6FC7D0" w:rsidR="00E9319B" w:rsidRPr="00E4424D" w:rsidRDefault="00E9319B" w:rsidP="00CF6817">
      <w:pPr>
        <w:pStyle w:val="EndNoteBibliography"/>
        <w:spacing w:after="0" w:line="480" w:lineRule="auto"/>
        <w:ind w:left="720" w:hanging="720"/>
        <w:jc w:val="both"/>
        <w:rPr>
          <w:lang w:val="en-GB"/>
        </w:rPr>
      </w:pPr>
      <w:r w:rsidRPr="00A84E95">
        <w:t xml:space="preserve">Mavrot, F., 2016. </w:t>
      </w:r>
      <w:r w:rsidR="00134DDD">
        <w:t>Livestock nematode infection in a changing world: investigating the European situation</w:t>
      </w:r>
      <w:r w:rsidRPr="00A84E95">
        <w:t xml:space="preserve">. </w:t>
      </w:r>
      <w:r w:rsidR="007E4BF3">
        <w:t xml:space="preserve">PhD thesis </w:t>
      </w:r>
      <w:r w:rsidRPr="00E4424D">
        <w:rPr>
          <w:lang w:val="en-GB"/>
        </w:rPr>
        <w:t>Universität Zürich, p70-130.</w:t>
      </w:r>
    </w:p>
    <w:p w14:paraId="775E0EA8" w14:textId="77777777" w:rsidR="00E9319B" w:rsidRPr="00A84E95" w:rsidRDefault="00E9319B" w:rsidP="00CF6817">
      <w:pPr>
        <w:pStyle w:val="EndNoteBibliography"/>
        <w:spacing w:after="0" w:line="480" w:lineRule="auto"/>
        <w:ind w:left="720" w:hanging="720"/>
        <w:jc w:val="both"/>
      </w:pPr>
      <w:r w:rsidRPr="00E4424D">
        <w:rPr>
          <w:lang w:val="en-GB"/>
        </w:rPr>
        <w:t xml:space="preserve">May, K., Brugemann, K., Konig, S., Strube, C., 2018. </w:t>
      </w:r>
      <w:r w:rsidRPr="00A84E95">
        <w:t xml:space="preserve">The effect of patent </w:t>
      </w:r>
      <w:r w:rsidRPr="007E4BF3">
        <w:rPr>
          <w:i/>
        </w:rPr>
        <w:t>Dictyocaulus viviparus</w:t>
      </w:r>
      <w:r w:rsidRPr="00A84E95">
        <w:t xml:space="preserve"> (re)infections on individual milk yield and milk quality in pastured dairy cows and correlation with clinical signs. Parasite</w:t>
      </w:r>
      <w:r w:rsidR="007E4BF3">
        <w:t xml:space="preserve"> vector </w:t>
      </w:r>
      <w:r w:rsidRPr="00A84E95">
        <w:t>11, 24.</w:t>
      </w:r>
    </w:p>
    <w:p w14:paraId="6E652C4E" w14:textId="77777777" w:rsidR="00E9319B" w:rsidRPr="00A84E95" w:rsidRDefault="00E9319B" w:rsidP="00CF6817">
      <w:pPr>
        <w:pStyle w:val="EndNoteBibliography"/>
        <w:spacing w:after="0" w:line="480" w:lineRule="auto"/>
        <w:ind w:left="720" w:hanging="720"/>
        <w:jc w:val="both"/>
      </w:pPr>
      <w:r w:rsidRPr="00A84E95">
        <w:t xml:space="preserve">Mazeri, S., Rydevik, G., Handel, I., Bronsvoort, B.M.D., Sargison, N., 2017. Estimation of the impact of </w:t>
      </w:r>
      <w:r w:rsidRPr="007E4BF3">
        <w:rPr>
          <w:i/>
        </w:rPr>
        <w:t>Fasciola hepatica</w:t>
      </w:r>
      <w:r w:rsidRPr="00A84E95">
        <w:t xml:space="preserve"> infection on time taken for UK beef cattle to reach slaughter weight. Sci</w:t>
      </w:r>
      <w:r w:rsidR="007E4BF3">
        <w:t>.</w:t>
      </w:r>
      <w:r w:rsidRPr="00A84E95">
        <w:t xml:space="preserve"> </w:t>
      </w:r>
      <w:r w:rsidR="007E4BF3">
        <w:t>Rep.</w:t>
      </w:r>
      <w:r w:rsidRPr="00A84E95">
        <w:rPr>
          <w:i/>
        </w:rPr>
        <w:t xml:space="preserve"> </w:t>
      </w:r>
      <w:r w:rsidRPr="00A84E95">
        <w:t>7, 7319.</w:t>
      </w:r>
    </w:p>
    <w:p w14:paraId="3A618E1E" w14:textId="77777777" w:rsidR="00E9319B" w:rsidRPr="00A84E95" w:rsidRDefault="00E9319B" w:rsidP="00CF6817">
      <w:pPr>
        <w:pStyle w:val="EndNoteBibliography"/>
        <w:spacing w:after="0" w:line="480" w:lineRule="auto"/>
        <w:ind w:left="720" w:hanging="720"/>
        <w:jc w:val="both"/>
      </w:pPr>
      <w:r w:rsidRPr="00A84E95">
        <w:t xml:space="preserve">McCann, C.M., Baylis, M., Williams, D.J.L., 2010. Seroprevalence and spatial distribution of </w:t>
      </w:r>
      <w:r w:rsidRPr="007E4BF3">
        <w:rPr>
          <w:i/>
        </w:rPr>
        <w:t>Fasciola hepatica</w:t>
      </w:r>
      <w:r w:rsidRPr="00A84E95">
        <w:t>-infected dairy herds in England and Wales. Vet</w:t>
      </w:r>
      <w:r w:rsidR="007E4BF3">
        <w:t>.</w:t>
      </w:r>
      <w:r w:rsidRPr="00A84E95">
        <w:t xml:space="preserve"> Rec</w:t>
      </w:r>
      <w:r w:rsidR="007E4BF3">
        <w:t>.</w:t>
      </w:r>
      <w:r w:rsidRPr="00A84E95">
        <w:rPr>
          <w:i/>
        </w:rPr>
        <w:t xml:space="preserve"> </w:t>
      </w:r>
      <w:r w:rsidRPr="00A84E95">
        <w:t>166, 612-617.</w:t>
      </w:r>
    </w:p>
    <w:p w14:paraId="4B95F063" w14:textId="77777777" w:rsidR="00E9319B" w:rsidRPr="00E4424D" w:rsidRDefault="00E9319B" w:rsidP="00CF6817">
      <w:pPr>
        <w:pStyle w:val="EndNoteBibliography"/>
        <w:spacing w:after="0" w:line="480" w:lineRule="auto"/>
        <w:ind w:left="720" w:hanging="720"/>
        <w:jc w:val="both"/>
      </w:pPr>
      <w:r w:rsidRPr="00A84E95">
        <w:t xml:space="preserve">McCarthy, C.A., 2018. Predicting the unpredictable: the changing epidemiology of </w:t>
      </w:r>
      <w:r w:rsidRPr="00A84E95">
        <w:rPr>
          <w:i/>
        </w:rPr>
        <w:t>Dictyocaulus viviparus</w:t>
      </w:r>
      <w:r w:rsidRPr="00A84E95">
        <w:t xml:space="preserve"> in Great Britain.  </w:t>
      </w:r>
      <w:r w:rsidR="007E4BF3">
        <w:t xml:space="preserve">PhD thesis </w:t>
      </w:r>
      <w:r w:rsidRPr="00E4424D">
        <w:t>University of Liverpool, 221</w:t>
      </w:r>
      <w:r w:rsidR="007E4BF3" w:rsidRPr="00E4424D">
        <w:t xml:space="preserve"> pp</w:t>
      </w:r>
      <w:r w:rsidRPr="00E4424D">
        <w:t>.</w:t>
      </w:r>
    </w:p>
    <w:p w14:paraId="5233D77C" w14:textId="77777777" w:rsidR="00E9319B" w:rsidRPr="00A84E95" w:rsidRDefault="00E9319B" w:rsidP="00CF6817">
      <w:pPr>
        <w:pStyle w:val="EndNoteBibliography"/>
        <w:spacing w:after="0" w:line="480" w:lineRule="auto"/>
        <w:ind w:left="720" w:hanging="720"/>
        <w:jc w:val="both"/>
      </w:pPr>
      <w:r w:rsidRPr="00E4424D">
        <w:lastRenderedPageBreak/>
        <w:t xml:space="preserve">Mohd Nor, N., Steeneveld, W., Derkman, T.H., Verbruggen, M.D., Evers, A.G., de Haan, M.H., Hogeveen, H., 2015. </w:t>
      </w:r>
      <w:r w:rsidRPr="00A84E95">
        <w:t>The total cost of rearing a heifer on Dutch dairy farms: calculated versus perceived cost. Irish Vet</w:t>
      </w:r>
      <w:r w:rsidR="007E4BF3">
        <w:t>.</w:t>
      </w:r>
      <w:r w:rsidRPr="00A84E95">
        <w:t xml:space="preserve"> J</w:t>
      </w:r>
      <w:r w:rsidR="007E4BF3">
        <w:t>.</w:t>
      </w:r>
      <w:r w:rsidRPr="00A84E95">
        <w:rPr>
          <w:i/>
        </w:rPr>
        <w:t xml:space="preserve"> </w:t>
      </w:r>
      <w:r w:rsidRPr="00A84E95">
        <w:t>68, 29.</w:t>
      </w:r>
    </w:p>
    <w:p w14:paraId="29DEA1DD" w14:textId="60D41E2C" w:rsidR="00E9319B" w:rsidRDefault="00E9319B" w:rsidP="00CF6817">
      <w:pPr>
        <w:pStyle w:val="EndNoteBibliography"/>
        <w:spacing w:after="0" w:line="480" w:lineRule="auto"/>
        <w:ind w:left="720" w:hanging="720"/>
        <w:jc w:val="both"/>
      </w:pPr>
      <w:r w:rsidRPr="00A84E95">
        <w:t xml:space="preserve">Morgan, E.R., Aziz, N.A., Blanchard, A., Charlier, J., Charvet, C., Claerebout, E., Geldhof, P., Greer, A.W., Hertzberg, H., Hodgkinson, J., Hoglund, J., Hoste, H., Kaplan, R.M., Martinez-Valladares, M., Mitchell, S., Ploeger, H.W., Rinaldi, L., von Samson-Himmelstjerna, G., Sotiraki, S., Schnyder, M., Skuce, P., Bartley, D., Kenyon, F., Thamsborg, S.M., Vineer, H.R., de Waal, T., Williams, A.R., van Wyk, J.A., Vercruysse, J., 2019. 100 Questions in Livestock Helminthology Research. Trends </w:t>
      </w:r>
      <w:r w:rsidR="007E4BF3">
        <w:t>Parasitol.</w:t>
      </w:r>
      <w:r w:rsidRPr="00A84E95">
        <w:rPr>
          <w:i/>
        </w:rPr>
        <w:t xml:space="preserve"> </w:t>
      </w:r>
      <w:r w:rsidRPr="00A84E95">
        <w:t>35, 52-71.</w:t>
      </w:r>
    </w:p>
    <w:p w14:paraId="449669CE" w14:textId="5B6014A3" w:rsidR="003F486E" w:rsidRDefault="003F486E" w:rsidP="00CF6817">
      <w:pPr>
        <w:pStyle w:val="EndNoteBibliography"/>
        <w:spacing w:after="0" w:line="480" w:lineRule="auto"/>
        <w:ind w:left="720" w:hanging="720"/>
        <w:jc w:val="both"/>
      </w:pPr>
      <w:r>
        <w:t>Nieuwhof, G.J., Bishop, S.C., 2005. Costs of the major endemic diseases of sheep in Great Britain and the potential benefits of reduction in disease impact, Anim. Sci. 81, 23-29.</w:t>
      </w:r>
    </w:p>
    <w:p w14:paraId="10048E5B" w14:textId="6A34F0E8" w:rsidR="00A909DE" w:rsidRPr="00A84E95" w:rsidRDefault="00A909DE" w:rsidP="00CF6817">
      <w:pPr>
        <w:pStyle w:val="EndNoteBibliography"/>
        <w:spacing w:after="0" w:line="480" w:lineRule="auto"/>
        <w:ind w:left="720" w:hanging="720"/>
        <w:jc w:val="both"/>
      </w:pPr>
      <w:r>
        <w:t>O’Shaugnessy, J., Drought, Y., Lynch, J., Denny, M., Hurley, C., Byrne, W., Casey, M., de Waal, T., Sheehan, M., 2019. Ivermectin treatment failure on four Irish dairy farms. Ir. Vet. J. 72, 4.</w:t>
      </w:r>
    </w:p>
    <w:p w14:paraId="5CF471C0" w14:textId="263EC6A6" w:rsidR="00E9319B" w:rsidRPr="00174DCA" w:rsidRDefault="00E9319B" w:rsidP="00CF6817">
      <w:pPr>
        <w:pStyle w:val="EndNoteBibliography"/>
        <w:spacing w:after="0" w:line="480" w:lineRule="auto"/>
        <w:ind w:left="720" w:hanging="720"/>
        <w:jc w:val="both"/>
        <w:rPr>
          <w:lang w:val="en-GB"/>
        </w:rPr>
      </w:pPr>
      <w:r w:rsidRPr="00A84E95">
        <w:t xml:space="preserve">Peel, M.C., Finlayson, B.L., McMahon, T.A., 2007. Updated world map of the Koppen-Geiger climate classification. </w:t>
      </w:r>
      <w:r w:rsidRPr="00174DCA">
        <w:rPr>
          <w:lang w:val="en-GB"/>
        </w:rPr>
        <w:t>Hydrol</w:t>
      </w:r>
      <w:r w:rsidR="007E4BF3" w:rsidRPr="00174DCA">
        <w:rPr>
          <w:lang w:val="en-GB"/>
        </w:rPr>
        <w:t>.</w:t>
      </w:r>
      <w:r w:rsidRPr="00174DCA">
        <w:rPr>
          <w:lang w:val="en-GB"/>
        </w:rPr>
        <w:t xml:space="preserve"> Earth Syst</w:t>
      </w:r>
      <w:r w:rsidR="007E4BF3" w:rsidRPr="00174DCA">
        <w:rPr>
          <w:lang w:val="en-GB"/>
        </w:rPr>
        <w:t>.</w:t>
      </w:r>
      <w:r w:rsidRPr="00174DCA">
        <w:rPr>
          <w:lang w:val="en-GB"/>
        </w:rPr>
        <w:t xml:space="preserve"> Sc</w:t>
      </w:r>
      <w:r w:rsidR="007E4BF3" w:rsidRPr="00174DCA">
        <w:rPr>
          <w:lang w:val="en-GB"/>
        </w:rPr>
        <w:t>.</w:t>
      </w:r>
      <w:r w:rsidRPr="00174DCA">
        <w:rPr>
          <w:i/>
          <w:lang w:val="en-GB"/>
        </w:rPr>
        <w:t xml:space="preserve"> </w:t>
      </w:r>
      <w:r w:rsidRPr="00174DCA">
        <w:rPr>
          <w:lang w:val="en-GB"/>
        </w:rPr>
        <w:t>11, 1633-1644.</w:t>
      </w:r>
    </w:p>
    <w:p w14:paraId="51578B85" w14:textId="582D694E" w:rsidR="00C74216" w:rsidRPr="00023BA7" w:rsidRDefault="00C74216" w:rsidP="00CF6817">
      <w:pPr>
        <w:pStyle w:val="EndNoteBibliography"/>
        <w:spacing w:after="0" w:line="480" w:lineRule="auto"/>
        <w:ind w:left="720" w:hanging="720"/>
        <w:jc w:val="both"/>
        <w:rPr>
          <w:lang w:val="nl-NL"/>
        </w:rPr>
      </w:pPr>
      <w:r w:rsidRPr="00FA58B4">
        <w:rPr>
          <w:lang w:val="en-GB"/>
        </w:rPr>
        <w:t xml:space="preserve">Phelan, P., Morgan, E.R., Rose, H., Grant, J., O’Kiely, P., 2016. Predictions of future grazing season length for European dairy, beef and sheep farms based on regression with bioclimatic variables. </w:t>
      </w:r>
      <w:r>
        <w:rPr>
          <w:lang w:val="nl-NL"/>
        </w:rPr>
        <w:t>J. Agric. Sci. 154, 765-781.</w:t>
      </w:r>
    </w:p>
    <w:p w14:paraId="28BCC41E" w14:textId="77777777" w:rsidR="00E9319B" w:rsidRPr="00A84E95" w:rsidRDefault="00E9319B" w:rsidP="00CF6817">
      <w:pPr>
        <w:pStyle w:val="EndNoteBibliography"/>
        <w:spacing w:after="0" w:line="480" w:lineRule="auto"/>
        <w:ind w:left="720" w:hanging="720"/>
        <w:jc w:val="both"/>
      </w:pPr>
      <w:r w:rsidRPr="00023BA7">
        <w:rPr>
          <w:lang w:val="nl-NL"/>
        </w:rPr>
        <w:t xml:space="preserve">Ploeger, H.W., Holzhauer, M., Uiterwijk, M., Van Engelen, E., 2014. </w:t>
      </w:r>
      <w:r w:rsidRPr="00A84E95">
        <w:t xml:space="preserve">Comparison of two serum and bulk-tank milk ELISAs for diagnosing natural (sub)clinical </w:t>
      </w:r>
      <w:r w:rsidRPr="007E4BF3">
        <w:rPr>
          <w:i/>
        </w:rPr>
        <w:t>Dictyocaulus viviparus</w:t>
      </w:r>
      <w:r w:rsidRPr="00A84E95">
        <w:t xml:space="preserve"> infection in dairy cows. </w:t>
      </w:r>
      <w:r w:rsidR="007E4BF3">
        <w:t>Vet. Parasitol.</w:t>
      </w:r>
      <w:r w:rsidRPr="00A84E95">
        <w:rPr>
          <w:i/>
        </w:rPr>
        <w:t xml:space="preserve"> </w:t>
      </w:r>
      <w:r w:rsidRPr="00A84E95">
        <w:t>199, 50-58.</w:t>
      </w:r>
    </w:p>
    <w:p w14:paraId="6CBC85EB" w14:textId="77777777" w:rsidR="00E9319B" w:rsidRPr="00A84E95" w:rsidRDefault="00E9319B" w:rsidP="00CF6817">
      <w:pPr>
        <w:pStyle w:val="EndNoteBibliography"/>
        <w:spacing w:after="0" w:line="480" w:lineRule="auto"/>
        <w:ind w:left="720" w:hanging="720"/>
        <w:jc w:val="both"/>
      </w:pPr>
      <w:r w:rsidRPr="00A84E95">
        <w:t xml:space="preserve">Rose, H., Rinaldi, L., Bosco, A., Mavrot, F., de Waal, T., Skuce, P., Charlier, J., Torgerson, P.R., Hertzberg, H., Hendrickx, G., Vercruysse, J., Morgan, E.R., 2015. Widespread anthelmintic resistance in European farmed ruminants: a systematic review. </w:t>
      </w:r>
      <w:r w:rsidR="007E4BF3">
        <w:t>Vet. Rec.</w:t>
      </w:r>
      <w:r w:rsidRPr="00A84E95">
        <w:rPr>
          <w:i/>
        </w:rPr>
        <w:t xml:space="preserve"> </w:t>
      </w:r>
      <w:r w:rsidRPr="00A84E95">
        <w:t>176, 546.</w:t>
      </w:r>
    </w:p>
    <w:p w14:paraId="176A6C1A" w14:textId="77777777" w:rsidR="00E9319B" w:rsidRPr="00A84E95" w:rsidRDefault="00E9319B" w:rsidP="00CF6817">
      <w:pPr>
        <w:pStyle w:val="EndNoteBibliography"/>
        <w:spacing w:after="0" w:line="480" w:lineRule="auto"/>
        <w:ind w:left="720" w:hanging="720"/>
        <w:jc w:val="both"/>
      </w:pPr>
      <w:r w:rsidRPr="00A84E95">
        <w:t>Rushton, J., 2009. The economics of animal health and production. CABI Oxfordshire</w:t>
      </w:r>
      <w:r w:rsidR="007E4BF3">
        <w:t>, 364 pp.</w:t>
      </w:r>
    </w:p>
    <w:p w14:paraId="68C1F24A" w14:textId="77777777" w:rsidR="00E9319B" w:rsidRPr="00A84E95" w:rsidRDefault="00E9319B" w:rsidP="00CF6817">
      <w:pPr>
        <w:pStyle w:val="EndNoteBibliography"/>
        <w:spacing w:after="0" w:line="480" w:lineRule="auto"/>
        <w:ind w:left="720" w:hanging="720"/>
        <w:jc w:val="both"/>
      </w:pPr>
      <w:r w:rsidRPr="00A84E95">
        <w:lastRenderedPageBreak/>
        <w:t xml:space="preserve">Rushton, J., 2017. Improving the use of economics in animal health - Challenges in research, policy and education. </w:t>
      </w:r>
      <w:r w:rsidR="007E4BF3">
        <w:t>Prev. Vet. Med.</w:t>
      </w:r>
      <w:r w:rsidRPr="00A84E95">
        <w:rPr>
          <w:i/>
        </w:rPr>
        <w:t xml:space="preserve"> </w:t>
      </w:r>
      <w:r w:rsidRPr="00A84E95">
        <w:t>137, 130-139.</w:t>
      </w:r>
    </w:p>
    <w:p w14:paraId="737900B5" w14:textId="77777777" w:rsidR="00E9319B" w:rsidRPr="00A84E95" w:rsidRDefault="00E9319B" w:rsidP="00CF6817">
      <w:pPr>
        <w:pStyle w:val="EndNoteBibliography"/>
        <w:spacing w:after="0" w:line="480" w:lineRule="auto"/>
        <w:ind w:left="720" w:hanging="720"/>
        <w:jc w:val="both"/>
      </w:pPr>
      <w:r w:rsidRPr="00A84E95">
        <w:t>Rushton, J., Bruce, M., Bellet, C., Torgerson, P., Shaw, A., Marsh, T., Pigott, D., Stone, M., Pinto, J., Mesenhowski, S., Wood, P., 2018. Initiation of Global Burden of Animal Diseases Programme. Lancet</w:t>
      </w:r>
      <w:r w:rsidRPr="00A84E95">
        <w:rPr>
          <w:i/>
        </w:rPr>
        <w:t xml:space="preserve"> </w:t>
      </w:r>
      <w:r w:rsidRPr="00A84E95">
        <w:t>392, 538-540.</w:t>
      </w:r>
    </w:p>
    <w:p w14:paraId="041D1B51" w14:textId="0CBE1D6C" w:rsidR="00E9319B" w:rsidRPr="00187CC9" w:rsidRDefault="00E9319B" w:rsidP="00CF6817">
      <w:pPr>
        <w:pStyle w:val="EndNoteBibliography"/>
        <w:spacing w:after="0" w:line="480" w:lineRule="auto"/>
        <w:ind w:left="720" w:hanging="720"/>
        <w:jc w:val="both"/>
      </w:pPr>
      <w:r w:rsidRPr="00187CC9">
        <w:t>Sargison, N.D., 2013. Understanding the epidemiology of gastrointestinal parasitic infections in sheep: What does a faecal helminth egg count tell us? Small Ruminant Res</w:t>
      </w:r>
      <w:r w:rsidR="007E4BF3" w:rsidRPr="00187CC9">
        <w:t>.</w:t>
      </w:r>
      <w:r w:rsidRPr="00187CC9">
        <w:rPr>
          <w:i/>
        </w:rPr>
        <w:t xml:space="preserve"> </w:t>
      </w:r>
      <w:r w:rsidRPr="00187CC9">
        <w:t>110, 78-81.</w:t>
      </w:r>
    </w:p>
    <w:p w14:paraId="747B71B4" w14:textId="01AA3C07" w:rsidR="00187CC9" w:rsidRPr="00187CC9" w:rsidRDefault="00187CC9" w:rsidP="00CF6817">
      <w:pPr>
        <w:pStyle w:val="CommentText"/>
        <w:spacing w:after="0" w:line="480" w:lineRule="auto"/>
        <w:ind w:left="709" w:hanging="709"/>
        <w:rPr>
          <w:sz w:val="22"/>
          <w:szCs w:val="22"/>
          <w:lang w:val="en-US"/>
        </w:rPr>
      </w:pPr>
      <w:r w:rsidRPr="00187CC9">
        <w:rPr>
          <w:sz w:val="22"/>
          <w:szCs w:val="22"/>
          <w:lang w:val="en-US"/>
        </w:rPr>
        <w:t>Sangster NC, Cowling A, Woodgate RG, 2018. Ten Events That Defined Anthelmintic Resistance Research.</w:t>
      </w:r>
      <w:r>
        <w:rPr>
          <w:sz w:val="22"/>
          <w:szCs w:val="22"/>
          <w:lang w:val="en-US"/>
        </w:rPr>
        <w:t xml:space="preserve"> </w:t>
      </w:r>
      <w:r w:rsidRPr="00187CC9">
        <w:rPr>
          <w:sz w:val="22"/>
          <w:szCs w:val="22"/>
          <w:lang w:val="en-US"/>
        </w:rPr>
        <w:t>Trends Parasitol. 2018 Jul;34(7):553-563.</w:t>
      </w:r>
    </w:p>
    <w:p w14:paraId="6BAD93C4" w14:textId="77777777" w:rsidR="00E9319B" w:rsidRPr="00A84E95" w:rsidRDefault="00E9319B" w:rsidP="00CF6817">
      <w:pPr>
        <w:pStyle w:val="EndNoteBibliography"/>
        <w:spacing w:after="0" w:line="480" w:lineRule="auto"/>
        <w:ind w:left="720" w:hanging="720"/>
        <w:jc w:val="both"/>
      </w:pPr>
      <w:r w:rsidRPr="00A84E95">
        <w:t>Schoenian, S., 2019. Enterprise budgeting in: Sheep 201, a beginner's guide to raising sheep.</w:t>
      </w:r>
    </w:p>
    <w:p w14:paraId="7D0ABFE2" w14:textId="77777777" w:rsidR="00E9319B" w:rsidRPr="00A84E95" w:rsidRDefault="00E9319B" w:rsidP="00CF6817">
      <w:pPr>
        <w:pStyle w:val="EndNoteBibliography"/>
        <w:spacing w:after="0" w:line="480" w:lineRule="auto"/>
        <w:ind w:left="720" w:hanging="720"/>
        <w:jc w:val="both"/>
      </w:pPr>
      <w:r w:rsidRPr="00A84E95">
        <w:t>Schweizer, G., Braun, U., Deplazes, P., Torgerson, P.R., 2005. Estimating the financial losses due to bovine fasciolosis in Switzerland. Vet</w:t>
      </w:r>
      <w:r w:rsidR="007E4BF3">
        <w:t>.</w:t>
      </w:r>
      <w:r w:rsidRPr="00A84E95">
        <w:t xml:space="preserve"> Rec</w:t>
      </w:r>
      <w:r w:rsidR="007E4BF3">
        <w:t>.</w:t>
      </w:r>
      <w:r w:rsidRPr="00A84E95">
        <w:rPr>
          <w:i/>
        </w:rPr>
        <w:t xml:space="preserve"> </w:t>
      </w:r>
      <w:r w:rsidRPr="00A84E95">
        <w:t>157, 188-193.</w:t>
      </w:r>
    </w:p>
    <w:p w14:paraId="207040B5" w14:textId="575D50AC" w:rsidR="00E9319B" w:rsidRPr="00A84E95" w:rsidRDefault="00E9319B" w:rsidP="00CF6817">
      <w:pPr>
        <w:pStyle w:val="EndNoteBibliography"/>
        <w:spacing w:after="0" w:line="480" w:lineRule="auto"/>
        <w:ind w:left="720" w:hanging="720"/>
        <w:jc w:val="both"/>
      </w:pPr>
      <w:r w:rsidRPr="00A84E95">
        <w:t xml:space="preserve">Shaw, D.J., Vercruysse, J., Claerebout, E., Dorny, P., 1998. Gastrointestinal nematode infections of first-grazing season calves in Western Europe: </w:t>
      </w:r>
      <w:r w:rsidR="00F943BD">
        <w:t>Associations between parasitological, physiological and physical factors</w:t>
      </w:r>
      <w:r w:rsidRPr="00A84E95">
        <w:t>.</w:t>
      </w:r>
    </w:p>
    <w:p w14:paraId="0D6F201F" w14:textId="3F801C99" w:rsidR="00E9319B" w:rsidRDefault="00E9319B" w:rsidP="00CF6817">
      <w:pPr>
        <w:pStyle w:val="EndNoteBibliography"/>
        <w:spacing w:after="0" w:line="480" w:lineRule="auto"/>
        <w:ind w:left="720" w:hanging="720"/>
        <w:jc w:val="both"/>
      </w:pPr>
      <w:r w:rsidRPr="00A84E95">
        <w:t>STAR-IDAZ, 2019. Research project database of the European Animal Health &amp; Welfare Research Collaborative Working Group and the STAR-IDAZ International Research Consortium on Animal Health.</w:t>
      </w:r>
      <w:r w:rsidR="003F486E">
        <w:t xml:space="preserve"> </w:t>
      </w:r>
      <w:hyperlink r:id="rId9" w:history="1">
        <w:r w:rsidR="003F486E">
          <w:rPr>
            <w:rStyle w:val="Hyperlink"/>
          </w:rPr>
          <w:t>https://database.scar-cwg-ahw.org/</w:t>
        </w:r>
      </w:hyperlink>
    </w:p>
    <w:p w14:paraId="3C1614DE" w14:textId="09F62B21" w:rsidR="00627EAC" w:rsidRDefault="00627EAC" w:rsidP="00CF6817">
      <w:pPr>
        <w:pStyle w:val="EndNoteBibliography"/>
        <w:spacing w:after="0" w:line="480" w:lineRule="auto"/>
        <w:ind w:left="720" w:hanging="720"/>
        <w:jc w:val="both"/>
        <w:rPr>
          <w:lang w:val="en-GB"/>
        </w:rPr>
      </w:pPr>
      <w:r w:rsidRPr="00627EAC">
        <w:rPr>
          <w:lang w:val="en-GB"/>
        </w:rPr>
        <w:t>Statistics Netherlands, 2019. Live</w:t>
      </w:r>
      <w:r>
        <w:rPr>
          <w:lang w:val="en-GB"/>
        </w:rPr>
        <w:t xml:space="preserve">stock population cattle. </w:t>
      </w:r>
      <w:hyperlink r:id="rId10" w:anchor="/CBS/nl/dataset/80274ned/table?ts=1578313184576" w:history="1">
        <w:r w:rsidRPr="00627EAC">
          <w:rPr>
            <w:rStyle w:val="Hyperlink"/>
            <w:lang w:val="en-GB"/>
          </w:rPr>
          <w:t>https://opendata.cbs.nl/statline/#/CBS/nl/dataset/80274ned/table?ts=1578313184576</w:t>
        </w:r>
      </w:hyperlink>
      <w:r w:rsidRPr="00627EAC">
        <w:rPr>
          <w:lang w:val="en-GB"/>
        </w:rPr>
        <w:t xml:space="preserve"> , consulted</w:t>
      </w:r>
      <w:r>
        <w:rPr>
          <w:lang w:val="en-GB"/>
        </w:rPr>
        <w:t xml:space="preserve"> 6/01/2019.</w:t>
      </w:r>
    </w:p>
    <w:p w14:paraId="43E135DA" w14:textId="22F96F65" w:rsidR="009E4DA9" w:rsidRPr="0078266F" w:rsidRDefault="009E4DA9" w:rsidP="00CF6817">
      <w:pPr>
        <w:pStyle w:val="EndNoteBibliography"/>
        <w:spacing w:after="0" w:line="480" w:lineRule="auto"/>
        <w:ind w:left="720" w:hanging="720"/>
        <w:jc w:val="both"/>
        <w:rPr>
          <w:lang w:val="en-GB"/>
        </w:rPr>
      </w:pPr>
      <w:r w:rsidRPr="0078266F">
        <w:rPr>
          <w:lang w:val="en-GB"/>
        </w:rPr>
        <w:t xml:space="preserve">Statistics Poland, 2020. Livestock population cattle. </w:t>
      </w:r>
      <w:hyperlink r:id="rId11" w:history="1">
        <w:r w:rsidRPr="009E4DA9">
          <w:rPr>
            <w:rStyle w:val="Hyperlink"/>
            <w:lang w:val="en-GB"/>
          </w:rPr>
          <w:t>https://bdl.stat.gov.pl/BDL/dane/podgrup/temat</w:t>
        </w:r>
      </w:hyperlink>
      <w:r w:rsidRPr="009E4DA9">
        <w:rPr>
          <w:color w:val="FF0000"/>
          <w:lang w:val="en-GB"/>
        </w:rPr>
        <w:t xml:space="preserve">, </w:t>
      </w:r>
      <w:r w:rsidRPr="0078266F">
        <w:rPr>
          <w:lang w:val="en-GB"/>
        </w:rPr>
        <w:t>consulted 18/06/2020.</w:t>
      </w:r>
    </w:p>
    <w:p w14:paraId="7B2FF9DC" w14:textId="77777777" w:rsidR="00E9319B" w:rsidRPr="00A84E95" w:rsidRDefault="00E9319B" w:rsidP="00CF6817">
      <w:pPr>
        <w:pStyle w:val="EndNoteBibliography"/>
        <w:spacing w:after="0" w:line="480" w:lineRule="auto"/>
        <w:ind w:left="720" w:hanging="720"/>
        <w:jc w:val="both"/>
      </w:pPr>
      <w:r w:rsidRPr="00A84E95">
        <w:t xml:space="preserve">Sutherland, I.A., Leathwick, D.M., 2011. Anthelmintic resistance in nematode parasites of cattle: a global issue? </w:t>
      </w:r>
      <w:r w:rsidR="007E4BF3">
        <w:t>Trends. Parasitol.</w:t>
      </w:r>
      <w:r w:rsidRPr="00A84E95">
        <w:rPr>
          <w:i/>
        </w:rPr>
        <w:t xml:space="preserve"> </w:t>
      </w:r>
      <w:r w:rsidRPr="00A84E95">
        <w:t>27, 176-181.</w:t>
      </w:r>
    </w:p>
    <w:p w14:paraId="7A915A64" w14:textId="77777777" w:rsidR="00E9319B" w:rsidRPr="00E4424D" w:rsidRDefault="00E9319B" w:rsidP="00CF6817">
      <w:pPr>
        <w:pStyle w:val="EndNoteBibliography"/>
        <w:spacing w:after="0" w:line="480" w:lineRule="auto"/>
        <w:ind w:left="720" w:hanging="720"/>
        <w:jc w:val="both"/>
        <w:rPr>
          <w:lang w:val="en-GB"/>
        </w:rPr>
      </w:pPr>
      <w:r w:rsidRPr="00A84E95">
        <w:lastRenderedPageBreak/>
        <w:t xml:space="preserve">Thompson, D., Muriel, P., Russell, D., Osborne, P., Bromley, A., Rowland, M., Creigh-Tyte, S., Brown, C., 2002. Economic costs of the foot and mouth disease outbreak in the United Kingdom in 2001. </w:t>
      </w:r>
      <w:r w:rsidR="007E4BF3" w:rsidRPr="00E4424D">
        <w:rPr>
          <w:lang w:val="en-GB"/>
        </w:rPr>
        <w:t>Rev. Sci. Tech. (OIE)</w:t>
      </w:r>
      <w:r w:rsidRPr="00E4424D">
        <w:rPr>
          <w:i/>
          <w:lang w:val="en-GB"/>
        </w:rPr>
        <w:t xml:space="preserve"> </w:t>
      </w:r>
      <w:r w:rsidRPr="00E4424D">
        <w:rPr>
          <w:lang w:val="en-GB"/>
        </w:rPr>
        <w:t>21, 675-687.</w:t>
      </w:r>
    </w:p>
    <w:p w14:paraId="354596B4" w14:textId="77777777" w:rsidR="00E9319B" w:rsidRPr="00023BA7" w:rsidRDefault="00E9319B" w:rsidP="00CF6817">
      <w:pPr>
        <w:pStyle w:val="EndNoteBibliography"/>
        <w:spacing w:after="0" w:line="480" w:lineRule="auto"/>
        <w:ind w:left="720" w:hanging="720"/>
        <w:jc w:val="both"/>
        <w:rPr>
          <w:lang w:val="nl-NL"/>
        </w:rPr>
      </w:pPr>
      <w:r w:rsidRPr="00E4424D">
        <w:rPr>
          <w:lang w:val="en-GB"/>
        </w:rPr>
        <w:t xml:space="preserve">Torgerson, P.R., Torgerson, D.J., 2010. </w:t>
      </w:r>
      <w:r w:rsidRPr="00A84E95">
        <w:t xml:space="preserve">Public health and bovine tuberculosis: what's all the fuss about? </w:t>
      </w:r>
      <w:r w:rsidRPr="00023BA7">
        <w:rPr>
          <w:lang w:val="nl-NL"/>
        </w:rPr>
        <w:t xml:space="preserve">Trends </w:t>
      </w:r>
      <w:r w:rsidR="007E4BF3">
        <w:rPr>
          <w:lang w:val="nl-NL"/>
        </w:rPr>
        <w:t>Microbiol.</w:t>
      </w:r>
      <w:r w:rsidRPr="00023BA7">
        <w:rPr>
          <w:i/>
          <w:lang w:val="nl-NL"/>
        </w:rPr>
        <w:t xml:space="preserve"> </w:t>
      </w:r>
      <w:r w:rsidRPr="00023BA7">
        <w:rPr>
          <w:lang w:val="nl-NL"/>
        </w:rPr>
        <w:t>18, 67-72.</w:t>
      </w:r>
    </w:p>
    <w:p w14:paraId="49B35247" w14:textId="77777777" w:rsidR="00E9319B" w:rsidRPr="00023BA7" w:rsidRDefault="00E9319B" w:rsidP="00CF6817">
      <w:pPr>
        <w:pStyle w:val="EndNoteBibliography"/>
        <w:spacing w:after="0" w:line="480" w:lineRule="auto"/>
        <w:ind w:left="720" w:hanging="720"/>
        <w:jc w:val="both"/>
        <w:rPr>
          <w:lang w:val="nl-NL"/>
        </w:rPr>
      </w:pPr>
      <w:r w:rsidRPr="00023BA7">
        <w:rPr>
          <w:lang w:val="nl-NL"/>
        </w:rPr>
        <w:t xml:space="preserve">van Asseldonk, M.A., Prins, J., Bergevoet, R.H., 2013. </w:t>
      </w:r>
      <w:r w:rsidRPr="00A84E95">
        <w:t xml:space="preserve">Economic assessment of Q fever in the Netherlands. </w:t>
      </w:r>
      <w:r w:rsidR="007E4BF3">
        <w:rPr>
          <w:lang w:val="nl-NL"/>
        </w:rPr>
        <w:t>Prev. Vet. Med.</w:t>
      </w:r>
      <w:r w:rsidRPr="00023BA7">
        <w:rPr>
          <w:i/>
          <w:lang w:val="nl-NL"/>
        </w:rPr>
        <w:t xml:space="preserve"> </w:t>
      </w:r>
      <w:r w:rsidRPr="00023BA7">
        <w:rPr>
          <w:lang w:val="nl-NL"/>
        </w:rPr>
        <w:t>112, 27-34.</w:t>
      </w:r>
    </w:p>
    <w:p w14:paraId="7F68544B" w14:textId="77777777" w:rsidR="00E9319B" w:rsidRPr="00A84E95" w:rsidRDefault="00E9319B" w:rsidP="00CF6817">
      <w:pPr>
        <w:pStyle w:val="EndNoteBibliography"/>
        <w:spacing w:after="0" w:line="480" w:lineRule="auto"/>
        <w:ind w:left="720" w:hanging="720"/>
        <w:jc w:val="both"/>
      </w:pPr>
      <w:r w:rsidRPr="00023BA7">
        <w:rPr>
          <w:lang w:val="nl-NL"/>
        </w:rPr>
        <w:t xml:space="preserve">van den Pol - van Dasselaar, A., 2018. Grazing in Europe. </w:t>
      </w:r>
      <w:r w:rsidRPr="00A84E95">
        <w:t>In, 6th meeting of the Working Group "Grazing" of the European Grassland Federation, Cork, Ireland.</w:t>
      </w:r>
    </w:p>
    <w:p w14:paraId="6076ADAA" w14:textId="77777777" w:rsidR="00E9319B" w:rsidRPr="00A84E95" w:rsidRDefault="00E9319B" w:rsidP="00CF6817">
      <w:pPr>
        <w:pStyle w:val="EndNoteBibliography"/>
        <w:spacing w:after="0" w:line="480" w:lineRule="auto"/>
        <w:ind w:left="720" w:hanging="720"/>
        <w:jc w:val="both"/>
      </w:pPr>
      <w:r w:rsidRPr="00A84E95">
        <w:t xml:space="preserve">van Soest, F.J.S., Mourits, M.C.M., Blanco-Penedo, I., Duval, J., Fall, N., Krieger, M., Sjostrom, K., Hogeveen, H., 2019. Farm-specific failure costs of production disorders in European organic dairy herds. </w:t>
      </w:r>
      <w:r w:rsidR="007E4BF3">
        <w:t>Prev. Vet. Med.</w:t>
      </w:r>
      <w:r w:rsidRPr="00A84E95">
        <w:rPr>
          <w:i/>
        </w:rPr>
        <w:t xml:space="preserve"> </w:t>
      </w:r>
      <w:r w:rsidRPr="00A84E95">
        <w:t>168, 19-29.</w:t>
      </w:r>
    </w:p>
    <w:p w14:paraId="43F14CAB" w14:textId="77777777" w:rsidR="00E9319B" w:rsidRPr="00A84E95" w:rsidRDefault="00E9319B" w:rsidP="00CF6817">
      <w:pPr>
        <w:pStyle w:val="EndNoteBibliography"/>
        <w:spacing w:after="0" w:line="480" w:lineRule="auto"/>
        <w:ind w:left="720" w:hanging="720"/>
        <w:jc w:val="both"/>
      </w:pPr>
      <w:r w:rsidRPr="00A84E95">
        <w:t xml:space="preserve">Velthuis, A.G., Saatkamp, H.W., Mourits, M.C., de Koeijer, A.A., Elbers, A.R., 2010. Financial consequences of the Dutch bluetongue serotype 8 epidemics of 2006 and 2007. </w:t>
      </w:r>
      <w:r w:rsidR="007E4BF3">
        <w:t>Prev. Vet. Med.</w:t>
      </w:r>
      <w:r w:rsidRPr="00A84E95">
        <w:rPr>
          <w:i/>
        </w:rPr>
        <w:t xml:space="preserve"> </w:t>
      </w:r>
      <w:r w:rsidRPr="00A84E95">
        <w:t>93, 294-304.</w:t>
      </w:r>
    </w:p>
    <w:p w14:paraId="1B1703E8" w14:textId="77777777" w:rsidR="00E9319B" w:rsidRPr="00A84E95" w:rsidRDefault="00E9319B" w:rsidP="00CF6817">
      <w:pPr>
        <w:pStyle w:val="EndNoteBibliography"/>
        <w:spacing w:after="0" w:line="480" w:lineRule="auto"/>
        <w:ind w:left="720" w:hanging="720"/>
        <w:jc w:val="both"/>
      </w:pPr>
      <w:r w:rsidRPr="00A84E95">
        <w:t>Veneziano, V., Rubino, R., Fedele, V., Rinaldi, L., Santaniello, M., Schioppi, M., Cascone, C., Pizzillo, M., Cringoli, G., 2004. The effects of five anthelmintic treatment regimens on milk production in goats naturally infected by gastrointestinal nematodes. S</w:t>
      </w:r>
      <w:r w:rsidR="007E4BF3">
        <w:t>.</w:t>
      </w:r>
      <w:r w:rsidRPr="00A84E95">
        <w:t xml:space="preserve"> Afr</w:t>
      </w:r>
      <w:r w:rsidR="007E4BF3">
        <w:t>.</w:t>
      </w:r>
      <w:r w:rsidRPr="00A84E95">
        <w:t xml:space="preserve"> J</w:t>
      </w:r>
      <w:r w:rsidR="007E4BF3">
        <w:t>.</w:t>
      </w:r>
      <w:r w:rsidRPr="00A84E95">
        <w:t xml:space="preserve"> Anim</w:t>
      </w:r>
      <w:r w:rsidR="007E4BF3">
        <w:t>.</w:t>
      </w:r>
      <w:r w:rsidRPr="00A84E95">
        <w:t xml:space="preserve"> Sci</w:t>
      </w:r>
      <w:r w:rsidR="007E4BF3">
        <w:t>.</w:t>
      </w:r>
      <w:r w:rsidRPr="00A84E95">
        <w:rPr>
          <w:i/>
        </w:rPr>
        <w:t xml:space="preserve"> </w:t>
      </w:r>
      <w:r w:rsidRPr="00A84E95">
        <w:t>34, 251-253.</w:t>
      </w:r>
    </w:p>
    <w:p w14:paraId="5CFD8F35" w14:textId="77777777" w:rsidR="00E9319B" w:rsidRPr="00A84E95" w:rsidRDefault="00E9319B" w:rsidP="00CF6817">
      <w:pPr>
        <w:pStyle w:val="EndNoteBibliography"/>
        <w:spacing w:after="0" w:line="480" w:lineRule="auto"/>
        <w:ind w:left="720" w:hanging="720"/>
        <w:jc w:val="both"/>
      </w:pPr>
      <w:r w:rsidRPr="00A84E95">
        <w:t>Vercruysse, J., Charlier, J., Van Dijk, J., Morgan, E.R., Geary, T., von Samson-Himmelstjerna, G., Claerebout, E., 2018. Control of helminth ruminant infections by 2030. Parasitology</w:t>
      </w:r>
      <w:r w:rsidRPr="00A84E95">
        <w:rPr>
          <w:i/>
        </w:rPr>
        <w:t xml:space="preserve"> </w:t>
      </w:r>
      <w:r w:rsidRPr="00A84E95">
        <w:t>145, 1655-1664.</w:t>
      </w:r>
    </w:p>
    <w:p w14:paraId="1458769C" w14:textId="100CB143" w:rsidR="00023BA7" w:rsidRDefault="00E9319B" w:rsidP="00CF6817">
      <w:pPr>
        <w:pStyle w:val="EndNoteBibliography"/>
        <w:spacing w:line="480" w:lineRule="auto"/>
        <w:ind w:left="720" w:hanging="720"/>
        <w:jc w:val="both"/>
      </w:pPr>
      <w:r w:rsidRPr="00A84E95">
        <w:t xml:space="preserve">Waret-Szkuta, A., Alarcon, P., Hasler, B., Rushton, J., Corbiere, F., Raboisson, D., 2017. Economic assessment of an emerging disease: the case of Schmallenberg virus in France. </w:t>
      </w:r>
      <w:r w:rsidR="007E4BF3">
        <w:t>Rev. Sci. Tech. (OIE)</w:t>
      </w:r>
      <w:r w:rsidRPr="00A84E95">
        <w:rPr>
          <w:i/>
        </w:rPr>
        <w:t xml:space="preserve"> </w:t>
      </w:r>
      <w:r w:rsidRPr="00A84E95">
        <w:t>36, 265-277.</w:t>
      </w:r>
    </w:p>
    <w:p w14:paraId="51F91860" w14:textId="68226345" w:rsidR="00CF6817" w:rsidRDefault="00CF6817">
      <w:pPr>
        <w:rPr>
          <w:rFonts w:ascii="Calibri" w:hAnsi="Calibri" w:cs="Calibri"/>
          <w:noProof/>
          <w:lang w:val="en-US"/>
        </w:rPr>
      </w:pPr>
      <w:r w:rsidRPr="00E86F17">
        <w:rPr>
          <w:lang w:val="en-GB"/>
        </w:rPr>
        <w:br w:type="page"/>
      </w:r>
    </w:p>
    <w:p w14:paraId="06D06DD9" w14:textId="54A7F0DA" w:rsidR="00CF6817" w:rsidRPr="005F73F7" w:rsidRDefault="00CF6817" w:rsidP="00CF6817">
      <w:pPr>
        <w:pStyle w:val="Heading1"/>
        <w:spacing w:line="480" w:lineRule="auto"/>
        <w:jc w:val="both"/>
      </w:pPr>
      <w:r w:rsidRPr="005F73F7">
        <w:lastRenderedPageBreak/>
        <w:t>Tables</w:t>
      </w:r>
    </w:p>
    <w:p w14:paraId="0512DAC1" w14:textId="77777777" w:rsidR="00CF6817" w:rsidRPr="005F73F7" w:rsidRDefault="00CF6817" w:rsidP="00CF6817">
      <w:pPr>
        <w:spacing w:line="240" w:lineRule="auto"/>
        <w:jc w:val="both"/>
        <w:rPr>
          <w:lang w:val="en-GB"/>
        </w:rPr>
      </w:pPr>
      <w:r w:rsidRPr="005F73F7">
        <w:rPr>
          <w:lang w:val="en-GB"/>
        </w:rPr>
        <w:t>Table 1. The effects on production and mortality in animals with production-limiting</w:t>
      </w:r>
      <w:r>
        <w:rPr>
          <w:lang w:val="en-GB"/>
        </w:rPr>
        <w:t xml:space="preserve"> helminth </w:t>
      </w:r>
      <w:r w:rsidRPr="005F73F7">
        <w:rPr>
          <w:lang w:val="en-GB"/>
        </w:rPr>
        <w:t>infections</w:t>
      </w:r>
      <w:r>
        <w:rPr>
          <w:lang w:val="en-GB"/>
        </w:rPr>
        <w:t xml:space="preserve"> used in cost calculations</w:t>
      </w:r>
      <w:r w:rsidRPr="005F73F7">
        <w:rPr>
          <w:lang w:val="en-GB"/>
        </w:rPr>
        <w:t xml:space="preserve">. </w:t>
      </w:r>
    </w:p>
    <w:tbl>
      <w:tblPr>
        <w:tblStyle w:val="TableGrid"/>
        <w:tblW w:w="10053" w:type="dxa"/>
        <w:tblLook w:val="04A0" w:firstRow="1" w:lastRow="0" w:firstColumn="1" w:lastColumn="0" w:noHBand="0" w:noVBand="1"/>
      </w:tblPr>
      <w:tblGrid>
        <w:gridCol w:w="5414"/>
        <w:gridCol w:w="1684"/>
        <w:gridCol w:w="1544"/>
        <w:gridCol w:w="1411"/>
      </w:tblGrid>
      <w:tr w:rsidR="00CF6817" w:rsidRPr="005F73F7" w14:paraId="5684AD6D" w14:textId="77777777" w:rsidTr="0054052D">
        <w:tc>
          <w:tcPr>
            <w:tcW w:w="5451" w:type="dxa"/>
            <w:tcBorders>
              <w:left w:val="nil"/>
              <w:right w:val="nil"/>
            </w:tcBorders>
          </w:tcPr>
          <w:p w14:paraId="3F5EC514" w14:textId="77777777" w:rsidR="00CF6817" w:rsidRPr="005F73F7" w:rsidRDefault="00CF6817" w:rsidP="0054052D">
            <w:pPr>
              <w:jc w:val="both"/>
              <w:rPr>
                <w:b/>
                <w:lang w:val="en-GB"/>
              </w:rPr>
            </w:pPr>
            <w:r w:rsidRPr="005F73F7">
              <w:rPr>
                <w:b/>
                <w:lang w:val="en-GB"/>
              </w:rPr>
              <w:t>Host species and production parameter for which costs were accounted</w:t>
            </w:r>
          </w:p>
        </w:tc>
        <w:tc>
          <w:tcPr>
            <w:tcW w:w="1644" w:type="dxa"/>
            <w:tcBorders>
              <w:left w:val="nil"/>
              <w:right w:val="nil"/>
            </w:tcBorders>
          </w:tcPr>
          <w:p w14:paraId="31BB5520" w14:textId="77777777" w:rsidR="00CF6817" w:rsidRPr="005F73F7" w:rsidRDefault="00CF6817" w:rsidP="0054052D">
            <w:pPr>
              <w:jc w:val="both"/>
              <w:rPr>
                <w:b/>
                <w:lang w:val="en-GB"/>
              </w:rPr>
            </w:pPr>
            <w:r w:rsidRPr="005F73F7">
              <w:rPr>
                <w:b/>
                <w:lang w:val="en-GB"/>
              </w:rPr>
              <w:t>Gastrointestinal nematodes</w:t>
            </w:r>
          </w:p>
        </w:tc>
        <w:tc>
          <w:tcPr>
            <w:tcW w:w="1547" w:type="dxa"/>
            <w:tcBorders>
              <w:left w:val="nil"/>
              <w:right w:val="nil"/>
            </w:tcBorders>
          </w:tcPr>
          <w:p w14:paraId="7ABD83B0" w14:textId="77777777" w:rsidR="00CF6817" w:rsidRPr="005F73F7" w:rsidRDefault="00CF6817" w:rsidP="0054052D">
            <w:pPr>
              <w:jc w:val="both"/>
              <w:rPr>
                <w:b/>
                <w:i/>
                <w:lang w:val="en-GB"/>
              </w:rPr>
            </w:pPr>
            <w:r w:rsidRPr="005F73F7">
              <w:rPr>
                <w:b/>
                <w:i/>
                <w:lang w:val="en-GB"/>
              </w:rPr>
              <w:t>F</w:t>
            </w:r>
            <w:r>
              <w:rPr>
                <w:b/>
                <w:i/>
                <w:lang w:val="en-GB"/>
              </w:rPr>
              <w:t>asciola</w:t>
            </w:r>
            <w:r w:rsidRPr="005F73F7">
              <w:rPr>
                <w:b/>
                <w:i/>
                <w:lang w:val="en-GB"/>
              </w:rPr>
              <w:t xml:space="preserve"> hepatica</w:t>
            </w:r>
          </w:p>
        </w:tc>
        <w:tc>
          <w:tcPr>
            <w:tcW w:w="1411" w:type="dxa"/>
            <w:tcBorders>
              <w:left w:val="nil"/>
              <w:right w:val="nil"/>
            </w:tcBorders>
          </w:tcPr>
          <w:p w14:paraId="5371F9B0" w14:textId="77777777" w:rsidR="00CF6817" w:rsidRPr="005F73F7" w:rsidRDefault="00CF6817" w:rsidP="0054052D">
            <w:pPr>
              <w:jc w:val="both"/>
              <w:rPr>
                <w:b/>
                <w:i/>
                <w:lang w:val="en-GB"/>
              </w:rPr>
            </w:pPr>
            <w:r w:rsidRPr="005F73F7">
              <w:rPr>
                <w:b/>
                <w:i/>
                <w:lang w:val="en-GB"/>
              </w:rPr>
              <w:t>D</w:t>
            </w:r>
            <w:r>
              <w:rPr>
                <w:b/>
                <w:i/>
                <w:lang w:val="en-GB"/>
              </w:rPr>
              <w:t>ictyocaulus</w:t>
            </w:r>
            <w:r w:rsidRPr="005F73F7">
              <w:rPr>
                <w:b/>
                <w:i/>
                <w:lang w:val="en-GB"/>
              </w:rPr>
              <w:t xml:space="preserve"> viviparus</w:t>
            </w:r>
          </w:p>
        </w:tc>
      </w:tr>
      <w:tr w:rsidR="00CF6817" w:rsidRPr="005F73F7" w14:paraId="76F54BF7" w14:textId="77777777" w:rsidTr="0054052D">
        <w:tc>
          <w:tcPr>
            <w:tcW w:w="5451" w:type="dxa"/>
            <w:tcBorders>
              <w:left w:val="nil"/>
              <w:right w:val="nil"/>
            </w:tcBorders>
          </w:tcPr>
          <w:p w14:paraId="3AFE1C4B" w14:textId="77777777" w:rsidR="00CF6817" w:rsidRPr="005F73F7" w:rsidRDefault="00CF6817" w:rsidP="0054052D">
            <w:pPr>
              <w:jc w:val="both"/>
              <w:rPr>
                <w:lang w:val="en-GB"/>
              </w:rPr>
            </w:pPr>
            <w:r w:rsidRPr="005F73F7">
              <w:rPr>
                <w:lang w:val="en-GB"/>
              </w:rPr>
              <w:t>Young dairy cattle</w:t>
            </w:r>
          </w:p>
          <w:p w14:paraId="41904017" w14:textId="77777777" w:rsidR="00CF6817" w:rsidRPr="005F73F7" w:rsidRDefault="00CF6817" w:rsidP="0054052D">
            <w:pPr>
              <w:jc w:val="both"/>
              <w:rPr>
                <w:lang w:val="en-GB"/>
              </w:rPr>
            </w:pPr>
            <w:r w:rsidRPr="005F73F7">
              <w:rPr>
                <w:lang w:val="en-GB"/>
              </w:rPr>
              <w:t xml:space="preserve">  Delayed puberty (days)</w:t>
            </w:r>
          </w:p>
          <w:p w14:paraId="55F779D6" w14:textId="77777777" w:rsidR="00CF6817" w:rsidRPr="005F73F7" w:rsidRDefault="00CF6817" w:rsidP="0054052D">
            <w:pPr>
              <w:jc w:val="both"/>
              <w:rPr>
                <w:lang w:val="en-GB"/>
              </w:rPr>
            </w:pPr>
            <w:r w:rsidRPr="005F73F7">
              <w:rPr>
                <w:lang w:val="en-GB"/>
              </w:rPr>
              <w:t xml:space="preserve">  Decreased milk production first lactation (kg)</w:t>
            </w:r>
          </w:p>
          <w:p w14:paraId="1209EB86" w14:textId="77777777" w:rsidR="00CF6817" w:rsidRPr="005F73F7" w:rsidRDefault="00CF6817" w:rsidP="0054052D">
            <w:pPr>
              <w:jc w:val="both"/>
              <w:rPr>
                <w:lang w:val="en-GB"/>
              </w:rPr>
            </w:pPr>
            <w:r w:rsidRPr="005F73F7">
              <w:rPr>
                <w:lang w:val="en-GB"/>
              </w:rPr>
              <w:t xml:space="preserve">  Mortality (%)</w:t>
            </w:r>
          </w:p>
          <w:p w14:paraId="219D32EC" w14:textId="77777777" w:rsidR="00CF6817" w:rsidRPr="005F73F7" w:rsidRDefault="00CF6817" w:rsidP="0054052D">
            <w:pPr>
              <w:jc w:val="both"/>
              <w:rPr>
                <w:lang w:val="en-GB"/>
              </w:rPr>
            </w:pPr>
          </w:p>
          <w:p w14:paraId="26B746E7" w14:textId="77777777" w:rsidR="00CF6817" w:rsidRPr="005F73F7" w:rsidRDefault="00CF6817" w:rsidP="0054052D">
            <w:pPr>
              <w:jc w:val="both"/>
              <w:rPr>
                <w:lang w:val="en-GB"/>
              </w:rPr>
            </w:pPr>
            <w:r w:rsidRPr="005F73F7">
              <w:rPr>
                <w:lang w:val="en-GB"/>
              </w:rPr>
              <w:t>Adult dairy cattle</w:t>
            </w:r>
          </w:p>
          <w:p w14:paraId="6027C41D" w14:textId="77777777" w:rsidR="00CF6817" w:rsidRPr="005F73F7" w:rsidRDefault="00CF6817" w:rsidP="0054052D">
            <w:pPr>
              <w:jc w:val="both"/>
              <w:rPr>
                <w:lang w:val="en-GB"/>
              </w:rPr>
            </w:pPr>
            <w:r w:rsidRPr="005F73F7">
              <w:rPr>
                <w:lang w:val="en-GB"/>
              </w:rPr>
              <w:t xml:space="preserve">  Reduced milk production (%)</w:t>
            </w:r>
          </w:p>
          <w:p w14:paraId="709B6F37" w14:textId="77777777" w:rsidR="00CF6817" w:rsidRPr="005F73F7" w:rsidRDefault="00CF6817" w:rsidP="0054052D">
            <w:pPr>
              <w:jc w:val="both"/>
              <w:rPr>
                <w:lang w:val="en-GB"/>
              </w:rPr>
            </w:pPr>
            <w:r w:rsidRPr="005F73F7">
              <w:rPr>
                <w:lang w:val="en-GB"/>
              </w:rPr>
              <w:t xml:space="preserve">  Intercalving interval (days)</w:t>
            </w:r>
          </w:p>
          <w:p w14:paraId="1606734A" w14:textId="77777777" w:rsidR="00CF6817" w:rsidRPr="005F73F7" w:rsidRDefault="00CF6817" w:rsidP="0054052D">
            <w:pPr>
              <w:jc w:val="both"/>
              <w:rPr>
                <w:lang w:val="en-GB"/>
              </w:rPr>
            </w:pPr>
            <w:r w:rsidRPr="005F73F7">
              <w:rPr>
                <w:lang w:val="en-GB"/>
              </w:rPr>
              <w:t xml:space="preserve">  Additional inseminations</w:t>
            </w:r>
          </w:p>
          <w:p w14:paraId="10819D5A" w14:textId="77777777" w:rsidR="00CF6817" w:rsidRPr="005F73F7" w:rsidRDefault="00CF6817" w:rsidP="0054052D">
            <w:pPr>
              <w:jc w:val="both"/>
              <w:rPr>
                <w:lang w:val="en-GB"/>
              </w:rPr>
            </w:pPr>
            <w:r w:rsidRPr="005F73F7">
              <w:rPr>
                <w:lang w:val="en-GB"/>
              </w:rPr>
              <w:t xml:space="preserve">  Mortality (%)</w:t>
            </w:r>
          </w:p>
          <w:p w14:paraId="577E3367" w14:textId="77777777" w:rsidR="00CF6817" w:rsidRPr="005F73F7" w:rsidRDefault="00CF6817" w:rsidP="0054052D">
            <w:pPr>
              <w:jc w:val="both"/>
              <w:rPr>
                <w:lang w:val="en-GB"/>
              </w:rPr>
            </w:pPr>
          </w:p>
          <w:p w14:paraId="1F86C89E" w14:textId="77777777" w:rsidR="00CF6817" w:rsidRPr="005F73F7" w:rsidRDefault="00CF6817" w:rsidP="0054052D">
            <w:pPr>
              <w:jc w:val="both"/>
              <w:rPr>
                <w:lang w:val="en-GB"/>
              </w:rPr>
            </w:pPr>
            <w:r w:rsidRPr="005F73F7">
              <w:rPr>
                <w:lang w:val="en-GB"/>
              </w:rPr>
              <w:t>Beef cattle</w:t>
            </w:r>
          </w:p>
          <w:p w14:paraId="10CB12D8" w14:textId="77777777" w:rsidR="00CF6817" w:rsidRPr="005F73F7" w:rsidRDefault="00CF6817" w:rsidP="0054052D">
            <w:pPr>
              <w:jc w:val="both"/>
              <w:rPr>
                <w:lang w:val="en-GB"/>
              </w:rPr>
            </w:pPr>
            <w:r w:rsidRPr="005F73F7">
              <w:rPr>
                <w:lang w:val="en-GB"/>
              </w:rPr>
              <w:t xml:space="preserve">  Reduced carcass weight (%)</w:t>
            </w:r>
          </w:p>
          <w:p w14:paraId="599E99D8" w14:textId="77777777" w:rsidR="00CF6817" w:rsidRPr="005F73F7" w:rsidRDefault="00CF6817" w:rsidP="0054052D">
            <w:pPr>
              <w:jc w:val="both"/>
              <w:rPr>
                <w:lang w:val="en-GB"/>
              </w:rPr>
            </w:pPr>
            <w:r w:rsidRPr="005F73F7">
              <w:rPr>
                <w:lang w:val="en-GB"/>
              </w:rPr>
              <w:t xml:space="preserve">  Intercalving interval (days)</w:t>
            </w:r>
          </w:p>
          <w:p w14:paraId="3480E835" w14:textId="77777777" w:rsidR="00CF6817" w:rsidRPr="005F73F7" w:rsidRDefault="00CF6817" w:rsidP="0054052D">
            <w:pPr>
              <w:jc w:val="both"/>
              <w:rPr>
                <w:lang w:val="en-GB"/>
              </w:rPr>
            </w:pPr>
            <w:r w:rsidRPr="005F73F7">
              <w:rPr>
                <w:lang w:val="en-GB"/>
              </w:rPr>
              <w:t xml:space="preserve">  Additional inseminations</w:t>
            </w:r>
          </w:p>
          <w:p w14:paraId="505912F1" w14:textId="77777777" w:rsidR="00CF6817" w:rsidRPr="005F73F7" w:rsidRDefault="00CF6817" w:rsidP="0054052D">
            <w:pPr>
              <w:jc w:val="both"/>
              <w:rPr>
                <w:lang w:val="en-GB"/>
              </w:rPr>
            </w:pPr>
            <w:r w:rsidRPr="005F73F7">
              <w:rPr>
                <w:lang w:val="en-GB"/>
              </w:rPr>
              <w:t xml:space="preserve">  Mortality (%)</w:t>
            </w:r>
          </w:p>
          <w:p w14:paraId="043891A7" w14:textId="77777777" w:rsidR="00CF6817" w:rsidRPr="005F73F7" w:rsidRDefault="00CF6817" w:rsidP="0054052D">
            <w:pPr>
              <w:jc w:val="both"/>
              <w:rPr>
                <w:i/>
                <w:lang w:val="en-GB"/>
              </w:rPr>
            </w:pPr>
          </w:p>
          <w:p w14:paraId="09386EF1" w14:textId="77777777" w:rsidR="00CF6817" w:rsidRPr="005F73F7" w:rsidRDefault="00CF6817" w:rsidP="0054052D">
            <w:pPr>
              <w:jc w:val="both"/>
              <w:rPr>
                <w:lang w:val="en-GB"/>
              </w:rPr>
            </w:pPr>
            <w:r w:rsidRPr="005F73F7">
              <w:rPr>
                <w:lang w:val="en-GB"/>
              </w:rPr>
              <w:t>Dairy sheep</w:t>
            </w:r>
          </w:p>
          <w:p w14:paraId="5504BAAA" w14:textId="77777777" w:rsidR="00CF6817" w:rsidRPr="005F73F7" w:rsidRDefault="00CF6817" w:rsidP="0054052D">
            <w:pPr>
              <w:jc w:val="both"/>
              <w:rPr>
                <w:lang w:val="en-GB"/>
              </w:rPr>
            </w:pPr>
            <w:r w:rsidRPr="005F73F7">
              <w:rPr>
                <w:lang w:val="en-GB"/>
              </w:rPr>
              <w:t xml:space="preserve">  Milk production (production ratio infected over control)</w:t>
            </w:r>
          </w:p>
          <w:p w14:paraId="3179DE8E" w14:textId="6BD758BD" w:rsidR="00CF6817" w:rsidRDefault="00CF6817" w:rsidP="0054052D">
            <w:pPr>
              <w:jc w:val="both"/>
              <w:rPr>
                <w:lang w:val="en-GB"/>
              </w:rPr>
            </w:pPr>
            <w:r w:rsidRPr="005F73F7">
              <w:rPr>
                <w:lang w:val="en-GB"/>
              </w:rPr>
              <w:t xml:space="preserve">  Interlambing interval (days)</w:t>
            </w:r>
          </w:p>
          <w:p w14:paraId="3F74374E" w14:textId="6EEA7BE6" w:rsidR="0037472A" w:rsidRDefault="0037472A" w:rsidP="0054052D">
            <w:pPr>
              <w:jc w:val="both"/>
              <w:rPr>
                <w:lang w:val="en-GB"/>
              </w:rPr>
            </w:pPr>
            <w:r>
              <w:rPr>
                <w:lang w:val="en-GB"/>
              </w:rPr>
              <w:t xml:space="preserve">  Mortality (%)</w:t>
            </w:r>
          </w:p>
          <w:p w14:paraId="2B5BBC69" w14:textId="77777777" w:rsidR="00CF6817" w:rsidRPr="005F73F7" w:rsidRDefault="00CF6817" w:rsidP="0054052D">
            <w:pPr>
              <w:jc w:val="both"/>
              <w:rPr>
                <w:lang w:val="en-GB"/>
              </w:rPr>
            </w:pPr>
          </w:p>
          <w:p w14:paraId="7957E547" w14:textId="77777777" w:rsidR="00CF6817" w:rsidRPr="005F73F7" w:rsidRDefault="00CF6817" w:rsidP="0054052D">
            <w:pPr>
              <w:jc w:val="both"/>
              <w:rPr>
                <w:lang w:val="en-GB"/>
              </w:rPr>
            </w:pPr>
            <w:r w:rsidRPr="005F73F7">
              <w:rPr>
                <w:lang w:val="en-GB"/>
              </w:rPr>
              <w:t>Meat sheep</w:t>
            </w:r>
          </w:p>
          <w:p w14:paraId="3C03CC87" w14:textId="77777777" w:rsidR="00CF6817" w:rsidRDefault="00CF6817" w:rsidP="0054052D">
            <w:pPr>
              <w:jc w:val="both"/>
              <w:rPr>
                <w:lang w:val="en-GB"/>
              </w:rPr>
            </w:pPr>
            <w:r w:rsidRPr="005F73F7">
              <w:rPr>
                <w:lang w:val="en-GB"/>
              </w:rPr>
              <w:t xml:space="preserve">  Carcass weight (production ratio infected over control)</w:t>
            </w:r>
          </w:p>
          <w:p w14:paraId="78CA3B12" w14:textId="77777777" w:rsidR="00CF6817" w:rsidRPr="005F73F7" w:rsidRDefault="00CF6817" w:rsidP="0054052D">
            <w:pPr>
              <w:jc w:val="both"/>
              <w:rPr>
                <w:lang w:val="en-GB"/>
              </w:rPr>
            </w:pPr>
            <w:r>
              <w:rPr>
                <w:lang w:val="en-GB"/>
              </w:rPr>
              <w:t xml:space="preserve">  Mortality (%)</w:t>
            </w:r>
          </w:p>
          <w:p w14:paraId="01490E30" w14:textId="77777777" w:rsidR="00CF6817" w:rsidRPr="005F73F7" w:rsidRDefault="00CF6817" w:rsidP="0054052D">
            <w:pPr>
              <w:jc w:val="both"/>
              <w:rPr>
                <w:lang w:val="en-GB"/>
              </w:rPr>
            </w:pPr>
          </w:p>
          <w:p w14:paraId="6AB20999" w14:textId="77777777" w:rsidR="00CF6817" w:rsidRPr="005F73F7" w:rsidRDefault="00CF6817" w:rsidP="0054052D">
            <w:pPr>
              <w:jc w:val="both"/>
              <w:rPr>
                <w:lang w:val="en-GB"/>
              </w:rPr>
            </w:pPr>
            <w:r w:rsidRPr="005F73F7">
              <w:rPr>
                <w:lang w:val="en-GB"/>
              </w:rPr>
              <w:t>Dairy goats</w:t>
            </w:r>
          </w:p>
          <w:p w14:paraId="4B271B55" w14:textId="77777777" w:rsidR="00CF6817" w:rsidRPr="005F73F7" w:rsidRDefault="00CF6817" w:rsidP="0054052D">
            <w:pPr>
              <w:jc w:val="both"/>
              <w:rPr>
                <w:lang w:val="en-GB"/>
              </w:rPr>
            </w:pPr>
            <w:r w:rsidRPr="005F73F7">
              <w:rPr>
                <w:lang w:val="en-GB"/>
              </w:rPr>
              <w:t xml:space="preserve">  Milk production (production ratio infected over control)</w:t>
            </w:r>
          </w:p>
          <w:p w14:paraId="36506EA3" w14:textId="77777777" w:rsidR="00CF6817" w:rsidRPr="005F73F7" w:rsidRDefault="00CF6817" w:rsidP="0054052D">
            <w:pPr>
              <w:jc w:val="both"/>
              <w:rPr>
                <w:lang w:val="en-GB"/>
              </w:rPr>
            </w:pPr>
            <w:r w:rsidRPr="005F73F7">
              <w:rPr>
                <w:lang w:val="en-GB"/>
              </w:rPr>
              <w:t xml:space="preserve">  Interkidding interval (days)</w:t>
            </w:r>
          </w:p>
          <w:p w14:paraId="46B12620" w14:textId="77777777" w:rsidR="00CF6817" w:rsidRPr="005F73F7" w:rsidRDefault="00CF6817" w:rsidP="0054052D">
            <w:pPr>
              <w:jc w:val="both"/>
              <w:rPr>
                <w:lang w:val="en-GB"/>
              </w:rPr>
            </w:pPr>
            <w:r w:rsidRPr="005F73F7">
              <w:rPr>
                <w:lang w:val="en-GB"/>
              </w:rPr>
              <w:t xml:space="preserve">  Mortality</w:t>
            </w:r>
            <w:r>
              <w:rPr>
                <w:lang w:val="en-GB"/>
              </w:rPr>
              <w:t xml:space="preserve"> (%)</w:t>
            </w:r>
          </w:p>
        </w:tc>
        <w:tc>
          <w:tcPr>
            <w:tcW w:w="1644" w:type="dxa"/>
            <w:tcBorders>
              <w:left w:val="nil"/>
              <w:right w:val="nil"/>
            </w:tcBorders>
          </w:tcPr>
          <w:p w14:paraId="15107B56" w14:textId="77777777" w:rsidR="00CF6817" w:rsidRPr="00023BA7" w:rsidRDefault="00CF6817" w:rsidP="0054052D">
            <w:pPr>
              <w:jc w:val="both"/>
              <w:rPr>
                <w:lang w:val="nl-NL"/>
              </w:rPr>
            </w:pPr>
          </w:p>
          <w:p w14:paraId="34584053" w14:textId="77777777" w:rsidR="00CF6817" w:rsidRPr="00023BA7" w:rsidRDefault="00CF6817" w:rsidP="0054052D">
            <w:pPr>
              <w:tabs>
                <w:tab w:val="decimal" w:pos="870"/>
              </w:tabs>
              <w:jc w:val="both"/>
              <w:rPr>
                <w:lang w:val="nl-NL"/>
              </w:rPr>
            </w:pPr>
            <w:r w:rsidRPr="00023BA7">
              <w:rPr>
                <w:lang w:val="nl-NL"/>
              </w:rPr>
              <w:t>10</w:t>
            </w:r>
            <w:r w:rsidRPr="00023BA7">
              <w:rPr>
                <w:vertAlign w:val="superscript"/>
                <w:lang w:val="nl-NL"/>
              </w:rPr>
              <w:t>a</w:t>
            </w:r>
          </w:p>
          <w:p w14:paraId="38A87ED4" w14:textId="77777777" w:rsidR="00CF6817" w:rsidRPr="00023BA7" w:rsidRDefault="00CF6817" w:rsidP="0054052D">
            <w:pPr>
              <w:tabs>
                <w:tab w:val="decimal" w:pos="870"/>
              </w:tabs>
              <w:jc w:val="both"/>
              <w:rPr>
                <w:lang w:val="nl-NL"/>
              </w:rPr>
            </w:pPr>
            <w:r w:rsidRPr="00023BA7">
              <w:rPr>
                <w:lang w:val="nl-NL"/>
              </w:rPr>
              <w:t>331</w:t>
            </w:r>
            <w:r w:rsidRPr="00023BA7">
              <w:rPr>
                <w:vertAlign w:val="superscript"/>
                <w:lang w:val="nl-NL"/>
              </w:rPr>
              <w:t>a</w:t>
            </w:r>
          </w:p>
          <w:p w14:paraId="33165A37" w14:textId="77777777" w:rsidR="00CF6817" w:rsidRPr="00023BA7" w:rsidRDefault="00CF6817" w:rsidP="0054052D">
            <w:pPr>
              <w:tabs>
                <w:tab w:val="decimal" w:pos="870"/>
              </w:tabs>
              <w:jc w:val="both"/>
              <w:rPr>
                <w:lang w:val="nl-NL"/>
              </w:rPr>
            </w:pPr>
            <w:r w:rsidRPr="00023BA7">
              <w:rPr>
                <w:lang w:val="nl-NL"/>
              </w:rPr>
              <w:t>1</w:t>
            </w:r>
            <w:r w:rsidRPr="00023BA7">
              <w:rPr>
                <w:vertAlign w:val="superscript"/>
                <w:lang w:val="nl-NL"/>
              </w:rPr>
              <w:t>b</w:t>
            </w:r>
          </w:p>
          <w:p w14:paraId="7B8FC997" w14:textId="77777777" w:rsidR="00CF6817" w:rsidRPr="00023BA7" w:rsidRDefault="00CF6817" w:rsidP="0054052D">
            <w:pPr>
              <w:tabs>
                <w:tab w:val="decimal" w:pos="870"/>
              </w:tabs>
              <w:jc w:val="both"/>
              <w:rPr>
                <w:lang w:val="nl-NL"/>
              </w:rPr>
            </w:pPr>
          </w:p>
          <w:p w14:paraId="5635AF59" w14:textId="77777777" w:rsidR="00CF6817" w:rsidRPr="00023BA7" w:rsidRDefault="00CF6817" w:rsidP="0054052D">
            <w:pPr>
              <w:tabs>
                <w:tab w:val="decimal" w:pos="870"/>
              </w:tabs>
              <w:jc w:val="both"/>
              <w:rPr>
                <w:lang w:val="nl-NL"/>
              </w:rPr>
            </w:pPr>
          </w:p>
          <w:p w14:paraId="6494CF28" w14:textId="77777777" w:rsidR="00CF6817" w:rsidRPr="00023BA7" w:rsidRDefault="00CF6817" w:rsidP="0054052D">
            <w:pPr>
              <w:tabs>
                <w:tab w:val="decimal" w:pos="870"/>
              </w:tabs>
              <w:jc w:val="both"/>
              <w:rPr>
                <w:lang w:val="nl-NL"/>
              </w:rPr>
            </w:pPr>
            <w:r w:rsidRPr="00023BA7">
              <w:rPr>
                <w:lang w:val="nl-NL"/>
              </w:rPr>
              <w:t>3.8</w:t>
            </w:r>
            <w:r w:rsidRPr="00023BA7">
              <w:rPr>
                <w:vertAlign w:val="superscript"/>
                <w:lang w:val="nl-NL"/>
              </w:rPr>
              <w:t>a</w:t>
            </w:r>
          </w:p>
          <w:p w14:paraId="3BDC2BF7" w14:textId="77777777" w:rsidR="00CF6817" w:rsidRPr="00023BA7" w:rsidRDefault="00CF6817" w:rsidP="0054052D">
            <w:pPr>
              <w:tabs>
                <w:tab w:val="decimal" w:pos="870"/>
              </w:tabs>
              <w:jc w:val="both"/>
              <w:rPr>
                <w:lang w:val="nl-NL"/>
              </w:rPr>
            </w:pPr>
            <w:r w:rsidRPr="00023BA7">
              <w:rPr>
                <w:lang w:val="nl-NL"/>
              </w:rPr>
              <w:t>NA</w:t>
            </w:r>
          </w:p>
          <w:p w14:paraId="088F74EE" w14:textId="77777777" w:rsidR="00CF6817" w:rsidRPr="00023BA7" w:rsidRDefault="00CF6817" w:rsidP="0054052D">
            <w:pPr>
              <w:tabs>
                <w:tab w:val="decimal" w:pos="870"/>
              </w:tabs>
              <w:jc w:val="both"/>
              <w:rPr>
                <w:lang w:val="nl-NL"/>
              </w:rPr>
            </w:pPr>
            <w:r w:rsidRPr="00023BA7">
              <w:rPr>
                <w:lang w:val="nl-NL"/>
              </w:rPr>
              <w:t>NA</w:t>
            </w:r>
          </w:p>
          <w:p w14:paraId="02858BE8" w14:textId="77777777" w:rsidR="00CF6817" w:rsidRPr="00023BA7" w:rsidRDefault="00CF6817" w:rsidP="0054052D">
            <w:pPr>
              <w:tabs>
                <w:tab w:val="decimal" w:pos="870"/>
              </w:tabs>
              <w:jc w:val="both"/>
              <w:rPr>
                <w:lang w:val="nl-NL"/>
              </w:rPr>
            </w:pPr>
            <w:r w:rsidRPr="00023BA7">
              <w:rPr>
                <w:lang w:val="nl-NL"/>
              </w:rPr>
              <w:t>NA</w:t>
            </w:r>
          </w:p>
          <w:p w14:paraId="5854F4A8" w14:textId="77777777" w:rsidR="00CF6817" w:rsidRPr="00023BA7" w:rsidRDefault="00CF6817" w:rsidP="0054052D">
            <w:pPr>
              <w:tabs>
                <w:tab w:val="decimal" w:pos="870"/>
              </w:tabs>
              <w:jc w:val="both"/>
              <w:rPr>
                <w:lang w:val="nl-NL"/>
              </w:rPr>
            </w:pPr>
          </w:p>
          <w:p w14:paraId="4E3AC5C5" w14:textId="77777777" w:rsidR="00CF6817" w:rsidRPr="00023BA7" w:rsidRDefault="00CF6817" w:rsidP="0054052D">
            <w:pPr>
              <w:tabs>
                <w:tab w:val="decimal" w:pos="870"/>
              </w:tabs>
              <w:jc w:val="both"/>
              <w:rPr>
                <w:lang w:val="nl-NL"/>
              </w:rPr>
            </w:pPr>
          </w:p>
          <w:p w14:paraId="3FC20742" w14:textId="77777777" w:rsidR="00CF6817" w:rsidRPr="00023BA7" w:rsidRDefault="00CF6817" w:rsidP="0054052D">
            <w:pPr>
              <w:tabs>
                <w:tab w:val="decimal" w:pos="870"/>
              </w:tabs>
              <w:jc w:val="both"/>
              <w:rPr>
                <w:lang w:val="nl-NL"/>
              </w:rPr>
            </w:pPr>
            <w:r w:rsidRPr="00023BA7">
              <w:rPr>
                <w:lang w:val="nl-NL"/>
              </w:rPr>
              <w:t>1.9</w:t>
            </w:r>
            <w:r w:rsidRPr="00023BA7">
              <w:rPr>
                <w:vertAlign w:val="superscript"/>
                <w:lang w:val="nl-NL"/>
              </w:rPr>
              <w:t>c</w:t>
            </w:r>
          </w:p>
          <w:p w14:paraId="119D5003" w14:textId="77777777" w:rsidR="00CF6817" w:rsidRPr="00023BA7" w:rsidRDefault="00CF6817" w:rsidP="0054052D">
            <w:pPr>
              <w:tabs>
                <w:tab w:val="decimal" w:pos="870"/>
              </w:tabs>
              <w:jc w:val="both"/>
              <w:rPr>
                <w:lang w:val="nl-NL"/>
              </w:rPr>
            </w:pPr>
            <w:r w:rsidRPr="00023BA7">
              <w:rPr>
                <w:lang w:val="nl-NL"/>
              </w:rPr>
              <w:t>NA</w:t>
            </w:r>
          </w:p>
          <w:p w14:paraId="5B133F2E" w14:textId="77777777" w:rsidR="00CF6817" w:rsidRPr="00023BA7" w:rsidRDefault="00CF6817" w:rsidP="0054052D">
            <w:pPr>
              <w:tabs>
                <w:tab w:val="decimal" w:pos="870"/>
              </w:tabs>
              <w:jc w:val="both"/>
              <w:rPr>
                <w:lang w:val="nl-NL"/>
              </w:rPr>
            </w:pPr>
            <w:r w:rsidRPr="00023BA7">
              <w:rPr>
                <w:lang w:val="nl-NL"/>
              </w:rPr>
              <w:t>NA</w:t>
            </w:r>
          </w:p>
          <w:p w14:paraId="0C6BBB7B" w14:textId="77777777" w:rsidR="00CF6817" w:rsidRPr="00023BA7" w:rsidRDefault="00CF6817" w:rsidP="0054052D">
            <w:pPr>
              <w:tabs>
                <w:tab w:val="decimal" w:pos="870"/>
              </w:tabs>
              <w:jc w:val="both"/>
              <w:rPr>
                <w:lang w:val="nl-NL"/>
              </w:rPr>
            </w:pPr>
            <w:r w:rsidRPr="00023BA7">
              <w:rPr>
                <w:lang w:val="nl-NL"/>
              </w:rPr>
              <w:t>NA</w:t>
            </w:r>
          </w:p>
          <w:p w14:paraId="1C040326" w14:textId="77777777" w:rsidR="00CF6817" w:rsidRPr="00023BA7" w:rsidRDefault="00CF6817" w:rsidP="0054052D">
            <w:pPr>
              <w:tabs>
                <w:tab w:val="decimal" w:pos="870"/>
              </w:tabs>
              <w:jc w:val="both"/>
              <w:rPr>
                <w:lang w:val="nl-NL"/>
              </w:rPr>
            </w:pPr>
          </w:p>
          <w:p w14:paraId="60F99BC0" w14:textId="77777777" w:rsidR="00CF6817" w:rsidRPr="00023BA7" w:rsidRDefault="00CF6817" w:rsidP="0054052D">
            <w:pPr>
              <w:tabs>
                <w:tab w:val="decimal" w:pos="870"/>
              </w:tabs>
              <w:jc w:val="both"/>
              <w:rPr>
                <w:lang w:val="nl-NL"/>
              </w:rPr>
            </w:pPr>
          </w:p>
          <w:p w14:paraId="62D8F182" w14:textId="77777777" w:rsidR="00CF6817" w:rsidRPr="00023BA7" w:rsidRDefault="00CF6817" w:rsidP="0054052D">
            <w:pPr>
              <w:tabs>
                <w:tab w:val="decimal" w:pos="870"/>
              </w:tabs>
              <w:jc w:val="both"/>
              <w:rPr>
                <w:lang w:val="nl-NL"/>
              </w:rPr>
            </w:pPr>
            <w:r w:rsidRPr="00023BA7">
              <w:rPr>
                <w:lang w:val="nl-NL"/>
              </w:rPr>
              <w:t>0.78</w:t>
            </w:r>
            <w:r w:rsidRPr="00023BA7">
              <w:rPr>
                <w:vertAlign w:val="superscript"/>
                <w:lang w:val="nl-NL"/>
              </w:rPr>
              <w:t>d</w:t>
            </w:r>
          </w:p>
          <w:p w14:paraId="37B6037C" w14:textId="77777777" w:rsidR="00CF6817" w:rsidRDefault="00CF6817" w:rsidP="0054052D">
            <w:pPr>
              <w:tabs>
                <w:tab w:val="decimal" w:pos="870"/>
              </w:tabs>
              <w:jc w:val="both"/>
              <w:rPr>
                <w:lang w:val="nl-NL"/>
              </w:rPr>
            </w:pPr>
            <w:r w:rsidRPr="00023BA7">
              <w:rPr>
                <w:lang w:val="nl-NL"/>
              </w:rPr>
              <w:t>NA</w:t>
            </w:r>
          </w:p>
          <w:p w14:paraId="5CB07E2B" w14:textId="77777777" w:rsidR="00CF6817" w:rsidRPr="00023BA7" w:rsidRDefault="00CF6817" w:rsidP="0054052D">
            <w:pPr>
              <w:tabs>
                <w:tab w:val="decimal" w:pos="870"/>
              </w:tabs>
              <w:jc w:val="both"/>
              <w:rPr>
                <w:lang w:val="nl-NL"/>
              </w:rPr>
            </w:pPr>
            <w:r w:rsidRPr="00CF6817">
              <w:rPr>
                <w:lang w:val="nl-NL"/>
              </w:rPr>
              <w:t>1</w:t>
            </w:r>
            <w:r w:rsidRPr="00CF6817">
              <w:rPr>
                <w:vertAlign w:val="superscript"/>
                <w:lang w:val="nl-NL"/>
              </w:rPr>
              <w:t>h</w:t>
            </w:r>
          </w:p>
          <w:p w14:paraId="79E51474" w14:textId="77777777" w:rsidR="00CF6817" w:rsidRPr="00023BA7" w:rsidRDefault="00CF6817" w:rsidP="0054052D">
            <w:pPr>
              <w:tabs>
                <w:tab w:val="decimal" w:pos="870"/>
              </w:tabs>
              <w:jc w:val="both"/>
              <w:rPr>
                <w:lang w:val="nl-NL"/>
              </w:rPr>
            </w:pPr>
          </w:p>
          <w:p w14:paraId="644EA85D" w14:textId="77777777" w:rsidR="00CF6817" w:rsidRDefault="00CF6817" w:rsidP="0054052D">
            <w:pPr>
              <w:tabs>
                <w:tab w:val="decimal" w:pos="870"/>
              </w:tabs>
              <w:jc w:val="both"/>
              <w:rPr>
                <w:vertAlign w:val="superscript"/>
                <w:lang w:val="nl-NL"/>
              </w:rPr>
            </w:pPr>
            <w:r w:rsidRPr="00023BA7">
              <w:rPr>
                <w:lang w:val="nl-NL"/>
              </w:rPr>
              <w:t>0.85</w:t>
            </w:r>
            <w:r w:rsidRPr="00023BA7">
              <w:rPr>
                <w:vertAlign w:val="superscript"/>
                <w:lang w:val="nl-NL"/>
              </w:rPr>
              <w:t>d</w:t>
            </w:r>
          </w:p>
          <w:p w14:paraId="389DEC4D" w14:textId="77777777" w:rsidR="00CF6817" w:rsidRPr="00023BA7" w:rsidRDefault="00CF6817" w:rsidP="0054052D">
            <w:pPr>
              <w:tabs>
                <w:tab w:val="decimal" w:pos="870"/>
              </w:tabs>
              <w:jc w:val="both"/>
              <w:rPr>
                <w:vertAlign w:val="superscript"/>
                <w:lang w:val="nl-NL"/>
              </w:rPr>
            </w:pPr>
            <w:r w:rsidRPr="00CF6817">
              <w:rPr>
                <w:lang w:val="nl-NL"/>
              </w:rPr>
              <w:t>1</w:t>
            </w:r>
            <w:r w:rsidRPr="00CF6817">
              <w:rPr>
                <w:vertAlign w:val="superscript"/>
                <w:lang w:val="nl-NL"/>
              </w:rPr>
              <w:t>h</w:t>
            </w:r>
          </w:p>
          <w:p w14:paraId="1D7F0AC2" w14:textId="77777777" w:rsidR="00CF6817" w:rsidRPr="00023BA7" w:rsidRDefault="00CF6817" w:rsidP="0054052D">
            <w:pPr>
              <w:tabs>
                <w:tab w:val="decimal" w:pos="870"/>
              </w:tabs>
              <w:jc w:val="both"/>
              <w:rPr>
                <w:lang w:val="nl-NL"/>
              </w:rPr>
            </w:pPr>
          </w:p>
          <w:p w14:paraId="2DCC8494" w14:textId="77777777" w:rsidR="00CF6817" w:rsidRPr="00023BA7" w:rsidRDefault="00CF6817" w:rsidP="0054052D">
            <w:pPr>
              <w:tabs>
                <w:tab w:val="decimal" w:pos="870"/>
              </w:tabs>
              <w:jc w:val="both"/>
              <w:rPr>
                <w:lang w:val="nl-NL"/>
              </w:rPr>
            </w:pPr>
          </w:p>
          <w:p w14:paraId="1A06DBEA" w14:textId="77777777" w:rsidR="00CF6817" w:rsidRPr="00023BA7" w:rsidRDefault="00CF6817" w:rsidP="0054052D">
            <w:pPr>
              <w:tabs>
                <w:tab w:val="decimal" w:pos="870"/>
              </w:tabs>
              <w:jc w:val="both"/>
              <w:rPr>
                <w:vertAlign w:val="superscript"/>
                <w:lang w:val="nl-NL"/>
              </w:rPr>
            </w:pPr>
            <w:r w:rsidRPr="00023BA7">
              <w:rPr>
                <w:lang w:val="nl-NL"/>
              </w:rPr>
              <w:t>0.57</w:t>
            </w:r>
            <w:r w:rsidRPr="00023BA7">
              <w:rPr>
                <w:vertAlign w:val="superscript"/>
                <w:lang w:val="nl-NL"/>
              </w:rPr>
              <w:t>e</w:t>
            </w:r>
          </w:p>
          <w:p w14:paraId="142F51B0" w14:textId="77777777" w:rsidR="00CF6817" w:rsidRPr="00023BA7" w:rsidRDefault="00CF6817" w:rsidP="0054052D">
            <w:pPr>
              <w:tabs>
                <w:tab w:val="decimal" w:pos="870"/>
              </w:tabs>
              <w:jc w:val="both"/>
              <w:rPr>
                <w:lang w:val="nl-NL"/>
              </w:rPr>
            </w:pPr>
            <w:r w:rsidRPr="00023BA7">
              <w:rPr>
                <w:lang w:val="nl-NL"/>
              </w:rPr>
              <w:t>NA</w:t>
            </w:r>
          </w:p>
          <w:p w14:paraId="765D90D2" w14:textId="77777777" w:rsidR="00CF6817" w:rsidRPr="005F73F7" w:rsidRDefault="00CF6817" w:rsidP="0054052D">
            <w:pPr>
              <w:tabs>
                <w:tab w:val="decimal" w:pos="870"/>
              </w:tabs>
              <w:jc w:val="both"/>
              <w:rPr>
                <w:lang w:val="en-GB"/>
              </w:rPr>
            </w:pPr>
            <w:r w:rsidRPr="005F73F7">
              <w:rPr>
                <w:lang w:val="en-GB"/>
              </w:rPr>
              <w:t>1</w:t>
            </w:r>
            <w:r w:rsidRPr="005F73F7">
              <w:rPr>
                <w:vertAlign w:val="superscript"/>
                <w:lang w:val="en-GB"/>
              </w:rPr>
              <w:t>h</w:t>
            </w:r>
          </w:p>
        </w:tc>
        <w:tc>
          <w:tcPr>
            <w:tcW w:w="1547" w:type="dxa"/>
            <w:tcBorders>
              <w:left w:val="nil"/>
              <w:right w:val="nil"/>
            </w:tcBorders>
          </w:tcPr>
          <w:p w14:paraId="7E89B7DB" w14:textId="77777777" w:rsidR="00CF6817" w:rsidRPr="005F73F7" w:rsidRDefault="00CF6817" w:rsidP="0054052D">
            <w:pPr>
              <w:jc w:val="both"/>
              <w:rPr>
                <w:lang w:val="en-GB"/>
              </w:rPr>
            </w:pPr>
          </w:p>
          <w:p w14:paraId="045F383C" w14:textId="77777777" w:rsidR="00CF6817" w:rsidRPr="005F73F7" w:rsidRDefault="00CF6817" w:rsidP="0054052D">
            <w:pPr>
              <w:tabs>
                <w:tab w:val="decimal" w:pos="616"/>
              </w:tabs>
              <w:jc w:val="both"/>
              <w:rPr>
                <w:lang w:val="en-GB"/>
              </w:rPr>
            </w:pPr>
            <w:r w:rsidRPr="005F73F7">
              <w:rPr>
                <w:lang w:val="en-GB"/>
              </w:rPr>
              <w:t>25</w:t>
            </w:r>
            <w:r w:rsidRPr="005F73F7">
              <w:rPr>
                <w:vertAlign w:val="superscript"/>
                <w:lang w:val="en-GB"/>
              </w:rPr>
              <w:t>a</w:t>
            </w:r>
          </w:p>
          <w:p w14:paraId="53FD0A05" w14:textId="77777777" w:rsidR="00CF6817" w:rsidRPr="005F73F7" w:rsidRDefault="00CF6817" w:rsidP="0054052D">
            <w:pPr>
              <w:tabs>
                <w:tab w:val="decimal" w:pos="616"/>
              </w:tabs>
              <w:jc w:val="both"/>
              <w:rPr>
                <w:vertAlign w:val="superscript"/>
                <w:lang w:val="en-GB"/>
              </w:rPr>
            </w:pPr>
            <w:r w:rsidRPr="005F73F7">
              <w:rPr>
                <w:lang w:val="en-GB"/>
              </w:rPr>
              <w:t>159</w:t>
            </w:r>
            <w:r w:rsidRPr="005F73F7">
              <w:rPr>
                <w:vertAlign w:val="superscript"/>
                <w:lang w:val="en-GB"/>
              </w:rPr>
              <w:t>a</w:t>
            </w:r>
          </w:p>
          <w:p w14:paraId="2D7652CF" w14:textId="77777777" w:rsidR="00CF6817" w:rsidRPr="005F73F7" w:rsidRDefault="00CF6817" w:rsidP="0054052D">
            <w:pPr>
              <w:tabs>
                <w:tab w:val="decimal" w:pos="616"/>
              </w:tabs>
              <w:jc w:val="both"/>
              <w:rPr>
                <w:lang w:val="en-GB"/>
              </w:rPr>
            </w:pPr>
            <w:r w:rsidRPr="005F73F7">
              <w:rPr>
                <w:lang w:val="en-GB"/>
              </w:rPr>
              <w:t>NA</w:t>
            </w:r>
          </w:p>
          <w:p w14:paraId="2F53A5BE" w14:textId="77777777" w:rsidR="00CF6817" w:rsidRPr="005F73F7" w:rsidRDefault="00CF6817" w:rsidP="0054052D">
            <w:pPr>
              <w:tabs>
                <w:tab w:val="decimal" w:pos="616"/>
              </w:tabs>
              <w:jc w:val="both"/>
              <w:rPr>
                <w:lang w:val="en-GB"/>
              </w:rPr>
            </w:pPr>
          </w:p>
          <w:p w14:paraId="370A3BFF" w14:textId="77777777" w:rsidR="00CF6817" w:rsidRPr="005F73F7" w:rsidRDefault="00CF6817" w:rsidP="0054052D">
            <w:pPr>
              <w:tabs>
                <w:tab w:val="decimal" w:pos="616"/>
              </w:tabs>
              <w:jc w:val="both"/>
              <w:rPr>
                <w:lang w:val="en-GB"/>
              </w:rPr>
            </w:pPr>
          </w:p>
          <w:p w14:paraId="1EAC748A" w14:textId="77777777" w:rsidR="00CF6817" w:rsidRPr="005F73F7" w:rsidRDefault="00CF6817" w:rsidP="0054052D">
            <w:pPr>
              <w:tabs>
                <w:tab w:val="decimal" w:pos="582"/>
              </w:tabs>
              <w:jc w:val="both"/>
              <w:rPr>
                <w:lang w:val="en-GB"/>
              </w:rPr>
            </w:pPr>
            <w:r w:rsidRPr="005F73F7">
              <w:rPr>
                <w:lang w:val="en-GB"/>
              </w:rPr>
              <w:t>3</w:t>
            </w:r>
            <w:r w:rsidRPr="005F73F7">
              <w:rPr>
                <w:vertAlign w:val="superscript"/>
                <w:lang w:val="en-GB"/>
              </w:rPr>
              <w:t>a</w:t>
            </w:r>
          </w:p>
          <w:p w14:paraId="58FF8FDF" w14:textId="77777777" w:rsidR="00CF6817" w:rsidRPr="005F73F7" w:rsidRDefault="00CF6817" w:rsidP="0054052D">
            <w:pPr>
              <w:tabs>
                <w:tab w:val="decimal" w:pos="616"/>
              </w:tabs>
              <w:jc w:val="both"/>
              <w:rPr>
                <w:lang w:val="en-GB"/>
              </w:rPr>
            </w:pPr>
            <w:r w:rsidRPr="005F73F7">
              <w:rPr>
                <w:lang w:val="en-GB"/>
              </w:rPr>
              <w:t>13</w:t>
            </w:r>
            <w:r w:rsidRPr="005F73F7">
              <w:rPr>
                <w:vertAlign w:val="superscript"/>
                <w:lang w:val="en-GB"/>
              </w:rPr>
              <w:t>f</w:t>
            </w:r>
          </w:p>
          <w:p w14:paraId="5F3F51A0" w14:textId="77777777" w:rsidR="00CF6817" w:rsidRPr="005F73F7" w:rsidRDefault="00CF6817" w:rsidP="0054052D">
            <w:pPr>
              <w:tabs>
                <w:tab w:val="decimal" w:pos="616"/>
              </w:tabs>
              <w:jc w:val="both"/>
              <w:rPr>
                <w:lang w:val="en-GB"/>
              </w:rPr>
            </w:pPr>
            <w:r w:rsidRPr="005F73F7">
              <w:rPr>
                <w:lang w:val="en-GB"/>
              </w:rPr>
              <w:t>0.75</w:t>
            </w:r>
            <w:r w:rsidRPr="005F73F7">
              <w:rPr>
                <w:vertAlign w:val="superscript"/>
                <w:lang w:val="en-GB"/>
              </w:rPr>
              <w:t>f</w:t>
            </w:r>
          </w:p>
          <w:p w14:paraId="1B2B4B62" w14:textId="77777777" w:rsidR="00CF6817" w:rsidRPr="005F73F7" w:rsidRDefault="00CF6817" w:rsidP="0054052D">
            <w:pPr>
              <w:tabs>
                <w:tab w:val="decimal" w:pos="616"/>
              </w:tabs>
              <w:jc w:val="both"/>
              <w:rPr>
                <w:lang w:val="en-GB"/>
              </w:rPr>
            </w:pPr>
            <w:r w:rsidRPr="005F73F7">
              <w:rPr>
                <w:lang w:val="en-GB"/>
              </w:rPr>
              <w:t>NA</w:t>
            </w:r>
          </w:p>
          <w:p w14:paraId="66F7A36D" w14:textId="77777777" w:rsidR="00CF6817" w:rsidRPr="005F73F7" w:rsidRDefault="00CF6817" w:rsidP="0054052D">
            <w:pPr>
              <w:tabs>
                <w:tab w:val="decimal" w:pos="616"/>
              </w:tabs>
              <w:jc w:val="both"/>
              <w:rPr>
                <w:lang w:val="en-GB"/>
              </w:rPr>
            </w:pPr>
          </w:p>
          <w:p w14:paraId="4545689C" w14:textId="77777777" w:rsidR="00CF6817" w:rsidRPr="005F73F7" w:rsidRDefault="00CF6817" w:rsidP="0054052D">
            <w:pPr>
              <w:tabs>
                <w:tab w:val="decimal" w:pos="616"/>
              </w:tabs>
              <w:jc w:val="both"/>
              <w:rPr>
                <w:lang w:val="en-GB"/>
              </w:rPr>
            </w:pPr>
          </w:p>
          <w:p w14:paraId="12CB049D" w14:textId="77777777" w:rsidR="00CF6817" w:rsidRPr="005F73F7" w:rsidRDefault="00CF6817" w:rsidP="0054052D">
            <w:pPr>
              <w:tabs>
                <w:tab w:val="decimal" w:pos="616"/>
              </w:tabs>
              <w:jc w:val="both"/>
              <w:rPr>
                <w:lang w:val="en-GB"/>
              </w:rPr>
            </w:pPr>
            <w:r w:rsidRPr="005F73F7">
              <w:rPr>
                <w:lang w:val="en-GB"/>
              </w:rPr>
              <w:t>0.5</w:t>
            </w:r>
            <w:r w:rsidRPr="005F73F7">
              <w:rPr>
                <w:vertAlign w:val="superscript"/>
                <w:lang w:val="en-GB"/>
              </w:rPr>
              <w:t>c</w:t>
            </w:r>
          </w:p>
          <w:p w14:paraId="117CA9A5" w14:textId="77777777" w:rsidR="00CF6817" w:rsidRPr="005F73F7" w:rsidRDefault="00CF6817" w:rsidP="0054052D">
            <w:pPr>
              <w:tabs>
                <w:tab w:val="decimal" w:pos="616"/>
              </w:tabs>
              <w:jc w:val="both"/>
              <w:rPr>
                <w:lang w:val="en-GB"/>
              </w:rPr>
            </w:pPr>
            <w:r w:rsidRPr="005F73F7">
              <w:rPr>
                <w:lang w:val="en-GB"/>
              </w:rPr>
              <w:t>13</w:t>
            </w:r>
            <w:r w:rsidRPr="005F73F7">
              <w:rPr>
                <w:vertAlign w:val="superscript"/>
                <w:lang w:val="en-GB"/>
              </w:rPr>
              <w:t>f</w:t>
            </w:r>
          </w:p>
          <w:p w14:paraId="7684D1AA" w14:textId="77777777" w:rsidR="00CF6817" w:rsidRPr="005F73F7" w:rsidRDefault="00CF6817" w:rsidP="0054052D">
            <w:pPr>
              <w:tabs>
                <w:tab w:val="decimal" w:pos="616"/>
              </w:tabs>
              <w:jc w:val="both"/>
              <w:rPr>
                <w:lang w:val="en-GB"/>
              </w:rPr>
            </w:pPr>
            <w:r w:rsidRPr="005F73F7">
              <w:rPr>
                <w:lang w:val="en-GB"/>
              </w:rPr>
              <w:t>0.75</w:t>
            </w:r>
            <w:r w:rsidRPr="005F73F7">
              <w:rPr>
                <w:vertAlign w:val="superscript"/>
                <w:lang w:val="en-GB"/>
              </w:rPr>
              <w:t>f</w:t>
            </w:r>
          </w:p>
          <w:p w14:paraId="606C65D6" w14:textId="77777777" w:rsidR="00CF6817" w:rsidRPr="005F73F7" w:rsidRDefault="00CF6817" w:rsidP="0054052D">
            <w:pPr>
              <w:tabs>
                <w:tab w:val="decimal" w:pos="616"/>
              </w:tabs>
              <w:jc w:val="both"/>
              <w:rPr>
                <w:lang w:val="en-GB"/>
              </w:rPr>
            </w:pPr>
            <w:r w:rsidRPr="005F73F7">
              <w:rPr>
                <w:lang w:val="en-GB"/>
              </w:rPr>
              <w:t>NA</w:t>
            </w:r>
          </w:p>
          <w:p w14:paraId="398B9EFB" w14:textId="77777777" w:rsidR="00CF6817" w:rsidRPr="005F73F7" w:rsidRDefault="00CF6817" w:rsidP="0054052D">
            <w:pPr>
              <w:tabs>
                <w:tab w:val="decimal" w:pos="616"/>
              </w:tabs>
              <w:jc w:val="both"/>
              <w:rPr>
                <w:lang w:val="en-GB"/>
              </w:rPr>
            </w:pPr>
          </w:p>
          <w:p w14:paraId="3C5ECDAA" w14:textId="77777777" w:rsidR="00CF6817" w:rsidRPr="005F73F7" w:rsidRDefault="00CF6817" w:rsidP="0054052D">
            <w:pPr>
              <w:tabs>
                <w:tab w:val="decimal" w:pos="616"/>
              </w:tabs>
              <w:jc w:val="both"/>
              <w:rPr>
                <w:lang w:val="en-GB"/>
              </w:rPr>
            </w:pPr>
          </w:p>
          <w:p w14:paraId="1C04BB5E" w14:textId="77777777" w:rsidR="00CF6817" w:rsidRPr="005F73F7" w:rsidRDefault="00CF6817" w:rsidP="0054052D">
            <w:pPr>
              <w:tabs>
                <w:tab w:val="decimal" w:pos="616"/>
              </w:tabs>
              <w:jc w:val="both"/>
              <w:rPr>
                <w:lang w:val="en-GB"/>
              </w:rPr>
            </w:pPr>
            <w:r w:rsidRPr="005F73F7">
              <w:rPr>
                <w:lang w:val="en-GB"/>
              </w:rPr>
              <w:t>0.78</w:t>
            </w:r>
            <w:r w:rsidRPr="005F73F7">
              <w:rPr>
                <w:vertAlign w:val="superscript"/>
                <w:lang w:val="en-GB"/>
              </w:rPr>
              <w:t>h</w:t>
            </w:r>
          </w:p>
          <w:p w14:paraId="7C94B8FF" w14:textId="77777777" w:rsidR="00CF6817" w:rsidRDefault="00CF6817" w:rsidP="0054052D">
            <w:pPr>
              <w:tabs>
                <w:tab w:val="decimal" w:pos="616"/>
              </w:tabs>
              <w:jc w:val="both"/>
              <w:rPr>
                <w:vertAlign w:val="superscript"/>
                <w:lang w:val="en-GB"/>
              </w:rPr>
            </w:pPr>
            <w:r w:rsidRPr="005F73F7">
              <w:rPr>
                <w:lang w:val="en-GB"/>
              </w:rPr>
              <w:t>6.4</w:t>
            </w:r>
            <w:r w:rsidRPr="005F73F7">
              <w:rPr>
                <w:vertAlign w:val="superscript"/>
                <w:lang w:val="en-GB"/>
              </w:rPr>
              <w:t>h</w:t>
            </w:r>
          </w:p>
          <w:p w14:paraId="708A0326" w14:textId="77777777" w:rsidR="00CF6817" w:rsidRPr="005F73F7" w:rsidRDefault="00CF6817" w:rsidP="0054052D">
            <w:pPr>
              <w:tabs>
                <w:tab w:val="decimal" w:pos="616"/>
              </w:tabs>
              <w:jc w:val="both"/>
              <w:rPr>
                <w:lang w:val="en-GB"/>
              </w:rPr>
            </w:pPr>
            <w:r w:rsidRPr="005F73F7">
              <w:rPr>
                <w:lang w:val="en-GB"/>
              </w:rPr>
              <w:t>1</w:t>
            </w:r>
            <w:r w:rsidRPr="005F73F7">
              <w:rPr>
                <w:vertAlign w:val="superscript"/>
                <w:lang w:val="en-GB"/>
              </w:rPr>
              <w:t>h</w:t>
            </w:r>
          </w:p>
          <w:p w14:paraId="79A7B406" w14:textId="77777777" w:rsidR="00CF6817" w:rsidRPr="005F73F7" w:rsidRDefault="00CF6817" w:rsidP="0054052D">
            <w:pPr>
              <w:tabs>
                <w:tab w:val="decimal" w:pos="616"/>
              </w:tabs>
              <w:jc w:val="both"/>
              <w:rPr>
                <w:lang w:val="en-GB"/>
              </w:rPr>
            </w:pPr>
          </w:p>
          <w:p w14:paraId="31B247B0" w14:textId="77777777" w:rsidR="00CF6817" w:rsidRDefault="00CF6817" w:rsidP="0054052D">
            <w:pPr>
              <w:tabs>
                <w:tab w:val="decimal" w:pos="616"/>
              </w:tabs>
              <w:jc w:val="both"/>
              <w:rPr>
                <w:lang w:val="en-GB"/>
              </w:rPr>
            </w:pPr>
            <w:r w:rsidRPr="005F73F7">
              <w:rPr>
                <w:lang w:val="en-GB"/>
              </w:rPr>
              <w:t>0.96</w:t>
            </w:r>
            <w:r w:rsidRPr="005F73F7">
              <w:rPr>
                <w:vertAlign w:val="superscript"/>
                <w:lang w:val="en-GB"/>
              </w:rPr>
              <w:t xml:space="preserve"> i</w:t>
            </w:r>
          </w:p>
          <w:p w14:paraId="1F74E802" w14:textId="77777777" w:rsidR="00CF6817" w:rsidRPr="005F73F7" w:rsidRDefault="00CF6817" w:rsidP="0054052D">
            <w:pPr>
              <w:tabs>
                <w:tab w:val="decimal" w:pos="616"/>
              </w:tabs>
              <w:jc w:val="both"/>
              <w:rPr>
                <w:lang w:val="en-GB"/>
              </w:rPr>
            </w:pPr>
            <w:r w:rsidRPr="005F73F7">
              <w:rPr>
                <w:lang w:val="en-GB"/>
              </w:rPr>
              <w:t>1</w:t>
            </w:r>
            <w:r w:rsidRPr="005F73F7">
              <w:rPr>
                <w:vertAlign w:val="superscript"/>
                <w:lang w:val="en-GB"/>
              </w:rPr>
              <w:t>h</w:t>
            </w:r>
          </w:p>
          <w:p w14:paraId="62F549A0" w14:textId="77777777" w:rsidR="00CF6817" w:rsidRPr="005F73F7" w:rsidRDefault="00CF6817" w:rsidP="0054052D">
            <w:pPr>
              <w:tabs>
                <w:tab w:val="decimal" w:pos="616"/>
              </w:tabs>
              <w:jc w:val="both"/>
              <w:rPr>
                <w:lang w:val="en-GB"/>
              </w:rPr>
            </w:pPr>
          </w:p>
          <w:p w14:paraId="7716621A" w14:textId="77777777" w:rsidR="00CF6817" w:rsidRPr="005F73F7" w:rsidRDefault="00CF6817" w:rsidP="0054052D">
            <w:pPr>
              <w:tabs>
                <w:tab w:val="decimal" w:pos="616"/>
              </w:tabs>
              <w:jc w:val="both"/>
              <w:rPr>
                <w:lang w:val="en-GB"/>
              </w:rPr>
            </w:pPr>
          </w:p>
          <w:p w14:paraId="30BE7DA0" w14:textId="77777777" w:rsidR="00CF6817" w:rsidRPr="005F73F7" w:rsidRDefault="00CF6817" w:rsidP="0054052D">
            <w:pPr>
              <w:tabs>
                <w:tab w:val="decimal" w:pos="616"/>
              </w:tabs>
              <w:jc w:val="both"/>
              <w:rPr>
                <w:lang w:val="en-GB"/>
              </w:rPr>
            </w:pPr>
            <w:r w:rsidRPr="005F73F7">
              <w:rPr>
                <w:lang w:val="en-GB"/>
              </w:rPr>
              <w:t>0.57</w:t>
            </w:r>
            <w:r w:rsidRPr="005F73F7">
              <w:rPr>
                <w:vertAlign w:val="superscript"/>
                <w:lang w:val="en-GB"/>
              </w:rPr>
              <w:t>h</w:t>
            </w:r>
          </w:p>
          <w:p w14:paraId="16E63879" w14:textId="77777777" w:rsidR="00CF6817" w:rsidRPr="005F73F7" w:rsidRDefault="00CF6817" w:rsidP="0054052D">
            <w:pPr>
              <w:tabs>
                <w:tab w:val="decimal" w:pos="616"/>
              </w:tabs>
              <w:jc w:val="both"/>
              <w:rPr>
                <w:lang w:val="en-GB"/>
              </w:rPr>
            </w:pPr>
            <w:r w:rsidRPr="005F73F7">
              <w:rPr>
                <w:lang w:val="en-GB"/>
              </w:rPr>
              <w:t>6.4</w:t>
            </w:r>
            <w:r w:rsidRPr="005F73F7">
              <w:rPr>
                <w:vertAlign w:val="superscript"/>
                <w:lang w:val="en-GB"/>
              </w:rPr>
              <w:t>h</w:t>
            </w:r>
          </w:p>
          <w:p w14:paraId="1911292A" w14:textId="77777777" w:rsidR="00CF6817" w:rsidRPr="005F73F7" w:rsidRDefault="00CF6817" w:rsidP="0054052D">
            <w:pPr>
              <w:tabs>
                <w:tab w:val="decimal" w:pos="616"/>
              </w:tabs>
              <w:jc w:val="both"/>
              <w:rPr>
                <w:lang w:val="en-GB"/>
              </w:rPr>
            </w:pPr>
            <w:r w:rsidRPr="005F73F7">
              <w:rPr>
                <w:lang w:val="en-GB"/>
              </w:rPr>
              <w:t>1</w:t>
            </w:r>
            <w:r w:rsidRPr="005F73F7">
              <w:rPr>
                <w:vertAlign w:val="superscript"/>
                <w:lang w:val="en-GB"/>
              </w:rPr>
              <w:t>h</w:t>
            </w:r>
          </w:p>
        </w:tc>
        <w:tc>
          <w:tcPr>
            <w:tcW w:w="1411" w:type="dxa"/>
            <w:tcBorders>
              <w:left w:val="nil"/>
              <w:right w:val="nil"/>
            </w:tcBorders>
          </w:tcPr>
          <w:p w14:paraId="4264F45E" w14:textId="77777777" w:rsidR="00CF6817" w:rsidRPr="00023BA7" w:rsidRDefault="00CF6817" w:rsidP="0054052D">
            <w:pPr>
              <w:jc w:val="both"/>
              <w:rPr>
                <w:lang w:val="nl-NL"/>
              </w:rPr>
            </w:pPr>
          </w:p>
          <w:p w14:paraId="35FF9842" w14:textId="77777777" w:rsidR="00CF6817" w:rsidRPr="00AC1A18" w:rsidRDefault="00CF6817" w:rsidP="0054052D">
            <w:pPr>
              <w:tabs>
                <w:tab w:val="decimal" w:pos="645"/>
              </w:tabs>
              <w:jc w:val="both"/>
              <w:rPr>
                <w:lang w:val="nl-NL"/>
              </w:rPr>
            </w:pPr>
            <w:r w:rsidRPr="00AC1A18">
              <w:rPr>
                <w:lang w:val="nl-NL"/>
              </w:rPr>
              <w:t>5</w:t>
            </w:r>
            <w:r w:rsidRPr="00131517">
              <w:rPr>
                <w:vertAlign w:val="superscript"/>
                <w:lang w:val="nl-NL"/>
              </w:rPr>
              <w:t>h</w:t>
            </w:r>
          </w:p>
          <w:p w14:paraId="2980FB36" w14:textId="77777777" w:rsidR="00CF6817" w:rsidRPr="00AC1A18" w:rsidRDefault="00CF6817" w:rsidP="0054052D">
            <w:pPr>
              <w:tabs>
                <w:tab w:val="decimal" w:pos="645"/>
              </w:tabs>
              <w:jc w:val="both"/>
              <w:rPr>
                <w:lang w:val="nl-NL"/>
              </w:rPr>
            </w:pPr>
            <w:r w:rsidRPr="00AC1A18">
              <w:rPr>
                <w:lang w:val="nl-NL"/>
              </w:rPr>
              <w:t>166</w:t>
            </w:r>
            <w:r w:rsidRPr="00131517">
              <w:rPr>
                <w:vertAlign w:val="superscript"/>
                <w:lang w:val="nl-NL"/>
              </w:rPr>
              <w:t>h</w:t>
            </w:r>
          </w:p>
          <w:p w14:paraId="54321B49" w14:textId="77777777" w:rsidR="00CF6817" w:rsidRPr="008B58E5" w:rsidRDefault="00CF6817" w:rsidP="0054052D">
            <w:pPr>
              <w:tabs>
                <w:tab w:val="decimal" w:pos="645"/>
              </w:tabs>
              <w:jc w:val="both"/>
              <w:rPr>
                <w:color w:val="FF0000"/>
                <w:lang w:val="nl-NL"/>
              </w:rPr>
            </w:pPr>
            <w:r w:rsidRPr="00AC1A18">
              <w:rPr>
                <w:lang w:val="nl-NL"/>
              </w:rPr>
              <w:t>1</w:t>
            </w:r>
            <w:r w:rsidRPr="00131517">
              <w:rPr>
                <w:vertAlign w:val="superscript"/>
                <w:lang w:val="nl-NL"/>
              </w:rPr>
              <w:t>h</w:t>
            </w:r>
          </w:p>
          <w:p w14:paraId="214DA31A" w14:textId="77777777" w:rsidR="00CF6817" w:rsidRPr="00023BA7" w:rsidRDefault="00CF6817" w:rsidP="0054052D">
            <w:pPr>
              <w:tabs>
                <w:tab w:val="decimal" w:pos="645"/>
              </w:tabs>
              <w:jc w:val="both"/>
              <w:rPr>
                <w:lang w:val="nl-NL"/>
              </w:rPr>
            </w:pPr>
          </w:p>
          <w:p w14:paraId="3A76DF48" w14:textId="77777777" w:rsidR="00CF6817" w:rsidRPr="00023BA7" w:rsidRDefault="00CF6817" w:rsidP="0054052D">
            <w:pPr>
              <w:tabs>
                <w:tab w:val="decimal" w:pos="645"/>
              </w:tabs>
              <w:jc w:val="both"/>
              <w:rPr>
                <w:lang w:val="nl-NL"/>
              </w:rPr>
            </w:pPr>
          </w:p>
          <w:p w14:paraId="7D60A7E4" w14:textId="77777777" w:rsidR="00CF6817" w:rsidRPr="00023BA7" w:rsidRDefault="00CF6817" w:rsidP="0054052D">
            <w:pPr>
              <w:tabs>
                <w:tab w:val="decimal" w:pos="645"/>
              </w:tabs>
              <w:ind w:left="-110" w:firstLine="110"/>
              <w:jc w:val="both"/>
              <w:rPr>
                <w:lang w:val="nl-NL"/>
              </w:rPr>
            </w:pPr>
            <w:r w:rsidRPr="000354EC">
              <w:rPr>
                <w:lang w:val="nl-NL"/>
              </w:rPr>
              <w:t>1.9</w:t>
            </w:r>
            <w:r w:rsidRPr="00023BA7">
              <w:rPr>
                <w:vertAlign w:val="superscript"/>
                <w:lang w:val="nl-NL"/>
              </w:rPr>
              <w:t>g</w:t>
            </w:r>
          </w:p>
          <w:p w14:paraId="0015D4C3" w14:textId="77777777" w:rsidR="00CF6817" w:rsidRPr="00023BA7" w:rsidRDefault="00CF6817" w:rsidP="0054052D">
            <w:pPr>
              <w:tabs>
                <w:tab w:val="decimal" w:pos="645"/>
              </w:tabs>
              <w:ind w:left="-110" w:firstLine="110"/>
              <w:jc w:val="both"/>
              <w:rPr>
                <w:lang w:val="nl-NL"/>
              </w:rPr>
            </w:pPr>
            <w:r w:rsidRPr="00023BA7">
              <w:rPr>
                <w:lang w:val="nl-NL"/>
              </w:rPr>
              <w:t>NA</w:t>
            </w:r>
          </w:p>
          <w:p w14:paraId="608FE4ED" w14:textId="77777777" w:rsidR="00CF6817" w:rsidRPr="00023BA7" w:rsidRDefault="00CF6817" w:rsidP="0054052D">
            <w:pPr>
              <w:tabs>
                <w:tab w:val="decimal" w:pos="645"/>
              </w:tabs>
              <w:ind w:left="-110" w:firstLine="110"/>
              <w:jc w:val="both"/>
              <w:rPr>
                <w:lang w:val="nl-NL"/>
              </w:rPr>
            </w:pPr>
            <w:r w:rsidRPr="00023BA7">
              <w:rPr>
                <w:lang w:val="nl-NL"/>
              </w:rPr>
              <w:t>NA</w:t>
            </w:r>
          </w:p>
          <w:p w14:paraId="0B4E38C3" w14:textId="77777777" w:rsidR="00CF6817" w:rsidRPr="008B58E5" w:rsidRDefault="00CF6817" w:rsidP="0054052D">
            <w:pPr>
              <w:tabs>
                <w:tab w:val="decimal" w:pos="645"/>
              </w:tabs>
              <w:jc w:val="both"/>
              <w:rPr>
                <w:color w:val="FF0000"/>
                <w:lang w:val="nl-NL"/>
              </w:rPr>
            </w:pPr>
            <w:r w:rsidRPr="00AC1A18">
              <w:rPr>
                <w:lang w:val="nl-NL"/>
              </w:rPr>
              <w:t>1</w:t>
            </w:r>
            <w:r w:rsidRPr="00131517">
              <w:rPr>
                <w:vertAlign w:val="superscript"/>
                <w:lang w:val="nl-NL"/>
              </w:rPr>
              <w:t>h</w:t>
            </w:r>
          </w:p>
          <w:p w14:paraId="52E437BA" w14:textId="77777777" w:rsidR="00CF6817" w:rsidRPr="00CE73D5" w:rsidRDefault="00CF6817" w:rsidP="0054052D">
            <w:pPr>
              <w:tabs>
                <w:tab w:val="decimal" w:pos="645"/>
              </w:tabs>
              <w:ind w:left="-110" w:firstLine="110"/>
              <w:jc w:val="both"/>
              <w:rPr>
                <w:lang w:val="nl-NL"/>
              </w:rPr>
            </w:pPr>
          </w:p>
          <w:p w14:paraId="183ABED4" w14:textId="77777777" w:rsidR="00CF6817" w:rsidRPr="00CE73D5" w:rsidRDefault="00CF6817" w:rsidP="0054052D">
            <w:pPr>
              <w:tabs>
                <w:tab w:val="decimal" w:pos="645"/>
              </w:tabs>
              <w:ind w:left="-110" w:firstLine="110"/>
              <w:jc w:val="both"/>
              <w:rPr>
                <w:lang w:val="nl-NL"/>
              </w:rPr>
            </w:pPr>
          </w:p>
          <w:p w14:paraId="20B77FD8" w14:textId="77777777" w:rsidR="00CF6817" w:rsidRPr="00CE73D5" w:rsidRDefault="00CF6817" w:rsidP="0054052D">
            <w:pPr>
              <w:tabs>
                <w:tab w:val="decimal" w:pos="645"/>
              </w:tabs>
              <w:ind w:left="-110" w:firstLine="110"/>
              <w:jc w:val="both"/>
              <w:rPr>
                <w:lang w:val="nl-NL"/>
              </w:rPr>
            </w:pPr>
            <w:r w:rsidRPr="00CE73D5">
              <w:rPr>
                <w:lang w:val="nl-NL"/>
              </w:rPr>
              <w:t>NA</w:t>
            </w:r>
          </w:p>
          <w:p w14:paraId="3AB0371E" w14:textId="77777777" w:rsidR="00CF6817" w:rsidRPr="002530BD" w:rsidRDefault="00CF6817" w:rsidP="0054052D">
            <w:pPr>
              <w:tabs>
                <w:tab w:val="decimal" w:pos="645"/>
              </w:tabs>
              <w:ind w:left="-110" w:firstLine="110"/>
              <w:jc w:val="both"/>
              <w:rPr>
                <w:lang w:val="nl-NL"/>
              </w:rPr>
            </w:pPr>
            <w:r w:rsidRPr="002530BD">
              <w:rPr>
                <w:lang w:val="nl-NL"/>
              </w:rPr>
              <w:t>NA</w:t>
            </w:r>
          </w:p>
          <w:p w14:paraId="153F55D7" w14:textId="77777777" w:rsidR="00CF6817" w:rsidRPr="002530BD" w:rsidRDefault="00CF6817" w:rsidP="0054052D">
            <w:pPr>
              <w:tabs>
                <w:tab w:val="decimal" w:pos="645"/>
              </w:tabs>
              <w:ind w:left="-110" w:firstLine="110"/>
              <w:jc w:val="both"/>
              <w:rPr>
                <w:lang w:val="nl-NL"/>
              </w:rPr>
            </w:pPr>
            <w:r w:rsidRPr="002530BD">
              <w:rPr>
                <w:lang w:val="nl-NL"/>
              </w:rPr>
              <w:t>NA</w:t>
            </w:r>
          </w:p>
          <w:p w14:paraId="39CCC7B6" w14:textId="77777777" w:rsidR="00CF6817" w:rsidRPr="005F73F7" w:rsidRDefault="00CF6817" w:rsidP="0054052D">
            <w:pPr>
              <w:tabs>
                <w:tab w:val="decimal" w:pos="645"/>
              </w:tabs>
              <w:ind w:left="-110" w:firstLine="110"/>
              <w:jc w:val="both"/>
              <w:rPr>
                <w:lang w:val="en-GB"/>
              </w:rPr>
            </w:pPr>
            <w:r w:rsidRPr="005F73F7">
              <w:rPr>
                <w:lang w:val="en-GB"/>
              </w:rPr>
              <w:t>1</w:t>
            </w:r>
            <w:r w:rsidRPr="005F73F7">
              <w:rPr>
                <w:vertAlign w:val="superscript"/>
                <w:lang w:val="en-GB"/>
              </w:rPr>
              <w:t>h</w:t>
            </w:r>
          </w:p>
          <w:p w14:paraId="00166A36" w14:textId="77777777" w:rsidR="00CF6817" w:rsidRPr="005F73F7" w:rsidRDefault="00CF6817" w:rsidP="0054052D">
            <w:pPr>
              <w:jc w:val="both"/>
              <w:rPr>
                <w:lang w:val="en-GB"/>
              </w:rPr>
            </w:pPr>
          </w:p>
        </w:tc>
      </w:tr>
    </w:tbl>
    <w:p w14:paraId="3B704555" w14:textId="77777777" w:rsidR="00CF6817" w:rsidRPr="000354EC" w:rsidRDefault="00CF6817" w:rsidP="00CF6817">
      <w:pPr>
        <w:spacing w:line="240" w:lineRule="auto"/>
        <w:jc w:val="both"/>
        <w:rPr>
          <w:lang w:val="en-GB"/>
        </w:rPr>
      </w:pPr>
      <w:r w:rsidRPr="000354EC">
        <w:rPr>
          <w:lang w:val="en-GB"/>
        </w:rPr>
        <w:t xml:space="preserve">NA: No </w:t>
      </w:r>
      <w:r>
        <w:rPr>
          <w:lang w:val="en-GB"/>
        </w:rPr>
        <w:t>impact was accounted</w:t>
      </w:r>
      <w:r w:rsidRPr="000354EC">
        <w:rPr>
          <w:lang w:val="en-GB"/>
        </w:rPr>
        <w:t>.</w:t>
      </w:r>
    </w:p>
    <w:p w14:paraId="5D20A611" w14:textId="77777777" w:rsidR="00CF6817" w:rsidRPr="00023BA7" w:rsidRDefault="00CF6817" w:rsidP="00CF6817">
      <w:pPr>
        <w:spacing w:line="240" w:lineRule="auto"/>
        <w:jc w:val="both"/>
        <w:rPr>
          <w:lang w:val="fr-FR"/>
        </w:rPr>
      </w:pPr>
      <w:r w:rsidRPr="00023BA7">
        <w:rPr>
          <w:b/>
          <w:lang w:val="fr-FR"/>
        </w:rPr>
        <w:t>References:</w:t>
      </w:r>
      <w:r w:rsidRPr="00023BA7">
        <w:rPr>
          <w:lang w:val="fr-FR"/>
        </w:rPr>
        <w:t xml:space="preserve"> </w:t>
      </w:r>
      <w:r w:rsidRPr="00023BA7">
        <w:rPr>
          <w:vertAlign w:val="superscript"/>
          <w:lang w:val="fr-FR"/>
        </w:rPr>
        <w:t>a</w:t>
      </w:r>
      <w:r w:rsidRPr="00023BA7">
        <w:rPr>
          <w:lang w:val="fr-FR"/>
        </w:rPr>
        <w:t xml:space="preserve"> Charlier et al., 2012</w:t>
      </w:r>
      <w:r>
        <w:rPr>
          <w:lang w:val="fr-FR"/>
        </w:rPr>
        <w:t>b</w:t>
      </w:r>
      <w:r w:rsidRPr="00023BA7">
        <w:rPr>
          <w:lang w:val="fr-FR"/>
        </w:rPr>
        <w:t xml:space="preserve">; </w:t>
      </w:r>
      <w:r w:rsidRPr="00023BA7">
        <w:rPr>
          <w:vertAlign w:val="superscript"/>
          <w:lang w:val="fr-FR"/>
        </w:rPr>
        <w:t>b</w:t>
      </w:r>
      <w:r w:rsidRPr="00023BA7">
        <w:rPr>
          <w:lang w:val="fr-FR"/>
        </w:rPr>
        <w:t xml:space="preserve"> Delafosse, 2013; </w:t>
      </w:r>
      <w:r w:rsidRPr="00023BA7">
        <w:rPr>
          <w:vertAlign w:val="superscript"/>
          <w:lang w:val="fr-FR"/>
        </w:rPr>
        <w:t xml:space="preserve">c </w:t>
      </w:r>
      <w:r w:rsidRPr="00023BA7">
        <w:rPr>
          <w:lang w:val="fr-FR"/>
        </w:rPr>
        <w:t xml:space="preserve">Charlier et al., 2009; </w:t>
      </w:r>
      <w:r w:rsidRPr="00023BA7">
        <w:rPr>
          <w:vertAlign w:val="superscript"/>
          <w:lang w:val="fr-FR"/>
        </w:rPr>
        <w:t>d</w:t>
      </w:r>
      <w:r w:rsidRPr="00023BA7">
        <w:rPr>
          <w:lang w:val="fr-FR"/>
        </w:rPr>
        <w:t xml:space="preserve"> Mavrot et al., 2015; </w:t>
      </w:r>
      <w:r w:rsidRPr="00023BA7">
        <w:rPr>
          <w:vertAlign w:val="superscript"/>
          <w:lang w:val="fr-FR"/>
        </w:rPr>
        <w:t>e</w:t>
      </w:r>
      <w:r w:rsidRPr="00023BA7">
        <w:rPr>
          <w:lang w:val="fr-FR"/>
        </w:rPr>
        <w:t xml:space="preserve"> Veneziano et al., 2004; </w:t>
      </w:r>
      <w:r w:rsidRPr="00023BA7">
        <w:rPr>
          <w:vertAlign w:val="superscript"/>
          <w:lang w:val="fr-FR"/>
        </w:rPr>
        <w:t>f</w:t>
      </w:r>
      <w:r w:rsidRPr="00023BA7">
        <w:rPr>
          <w:lang w:val="fr-FR"/>
        </w:rPr>
        <w:t xml:space="preserve"> Schweizer et al., 2005; </w:t>
      </w:r>
      <w:r w:rsidRPr="00023BA7">
        <w:rPr>
          <w:vertAlign w:val="superscript"/>
          <w:lang w:val="fr-FR"/>
        </w:rPr>
        <w:t>g</w:t>
      </w:r>
      <w:r w:rsidRPr="00023BA7">
        <w:rPr>
          <w:lang w:val="fr-FR"/>
        </w:rPr>
        <w:t xml:space="preserve"> May et al., 2018; </w:t>
      </w:r>
      <w:r w:rsidRPr="00023BA7">
        <w:rPr>
          <w:vertAlign w:val="superscript"/>
          <w:lang w:val="fr-FR"/>
        </w:rPr>
        <w:t>h</w:t>
      </w:r>
      <w:r w:rsidRPr="00023BA7">
        <w:rPr>
          <w:lang w:val="fr-FR"/>
        </w:rPr>
        <w:t xml:space="preserve"> Authors’ judgement; </w:t>
      </w:r>
      <w:r w:rsidRPr="00023BA7">
        <w:rPr>
          <w:vertAlign w:val="superscript"/>
          <w:lang w:val="fr-FR"/>
        </w:rPr>
        <w:t>i</w:t>
      </w:r>
      <w:r w:rsidRPr="00023BA7">
        <w:rPr>
          <w:lang w:val="fr-FR"/>
        </w:rPr>
        <w:t xml:space="preserve"> Dargie, 1987</w:t>
      </w:r>
    </w:p>
    <w:p w14:paraId="488FD25C" w14:textId="77777777" w:rsidR="00CF6817" w:rsidRPr="00023BA7" w:rsidRDefault="00CF6817" w:rsidP="00CF6817">
      <w:pPr>
        <w:spacing w:line="480" w:lineRule="auto"/>
        <w:jc w:val="both"/>
        <w:rPr>
          <w:lang w:val="fr-FR"/>
        </w:rPr>
        <w:sectPr w:rsidR="00CF6817" w:rsidRPr="00023BA7" w:rsidSect="00CF6817">
          <w:headerReference w:type="default" r:id="rId12"/>
          <w:footerReference w:type="default" r:id="rId13"/>
          <w:type w:val="continuous"/>
          <w:pgSz w:w="11906" w:h="16838"/>
          <w:pgMar w:top="1417" w:right="1417" w:bottom="1417" w:left="1417" w:header="708" w:footer="708" w:gutter="0"/>
          <w:lnNumType w:countBy="1" w:restart="continuous"/>
          <w:cols w:space="708"/>
          <w:docGrid w:linePitch="360"/>
        </w:sectPr>
      </w:pPr>
    </w:p>
    <w:p w14:paraId="5085FABF" w14:textId="77777777" w:rsidR="00CF6817" w:rsidRPr="005F73F7" w:rsidRDefault="00CF6817" w:rsidP="00CF6817">
      <w:pPr>
        <w:spacing w:line="240" w:lineRule="auto"/>
        <w:jc w:val="both"/>
        <w:rPr>
          <w:lang w:val="en-GB"/>
        </w:rPr>
      </w:pPr>
      <w:r w:rsidRPr="005F73F7">
        <w:rPr>
          <w:lang w:val="en-GB"/>
        </w:rPr>
        <w:lastRenderedPageBreak/>
        <w:t>Table 2. Data gaps hampering the economic assessment of gastrointestinal nematode, liver fluke and lungworm infections of farmed ruminants in Europe.</w:t>
      </w:r>
    </w:p>
    <w:tbl>
      <w:tblPr>
        <w:tblStyle w:val="TableGrid"/>
        <w:tblW w:w="0" w:type="auto"/>
        <w:tblLook w:val="04A0" w:firstRow="1" w:lastRow="0" w:firstColumn="1" w:lastColumn="0" w:noHBand="0" w:noVBand="1"/>
      </w:tblPr>
      <w:tblGrid>
        <w:gridCol w:w="3114"/>
        <w:gridCol w:w="5103"/>
        <w:gridCol w:w="4779"/>
      </w:tblGrid>
      <w:tr w:rsidR="00CF6817" w:rsidRPr="00350EAE" w14:paraId="7B1865D0" w14:textId="77777777" w:rsidTr="0054052D">
        <w:tc>
          <w:tcPr>
            <w:tcW w:w="3114" w:type="dxa"/>
            <w:tcBorders>
              <w:left w:val="nil"/>
              <w:right w:val="nil"/>
            </w:tcBorders>
          </w:tcPr>
          <w:p w14:paraId="3EF15DBC" w14:textId="77777777" w:rsidR="00CF6817" w:rsidRPr="005F73F7" w:rsidRDefault="00CF6817" w:rsidP="0054052D">
            <w:pPr>
              <w:jc w:val="both"/>
              <w:rPr>
                <w:b/>
                <w:lang w:val="en-GB"/>
              </w:rPr>
            </w:pPr>
            <w:r w:rsidRPr="005F73F7">
              <w:rPr>
                <w:b/>
                <w:lang w:val="en-GB"/>
              </w:rPr>
              <w:t>Data layer</w:t>
            </w:r>
          </w:p>
        </w:tc>
        <w:tc>
          <w:tcPr>
            <w:tcW w:w="5103" w:type="dxa"/>
            <w:tcBorders>
              <w:left w:val="nil"/>
              <w:right w:val="nil"/>
            </w:tcBorders>
          </w:tcPr>
          <w:p w14:paraId="4CA5C1CC" w14:textId="77777777" w:rsidR="00CF6817" w:rsidRPr="005F73F7" w:rsidRDefault="00CF6817" w:rsidP="0054052D">
            <w:pPr>
              <w:jc w:val="both"/>
              <w:rPr>
                <w:b/>
                <w:lang w:val="en-GB"/>
              </w:rPr>
            </w:pPr>
            <w:r w:rsidRPr="005F73F7">
              <w:rPr>
                <w:b/>
                <w:lang w:val="en-GB"/>
              </w:rPr>
              <w:t>Data gaps</w:t>
            </w:r>
          </w:p>
        </w:tc>
        <w:tc>
          <w:tcPr>
            <w:tcW w:w="4779" w:type="dxa"/>
            <w:tcBorders>
              <w:left w:val="nil"/>
              <w:right w:val="nil"/>
            </w:tcBorders>
          </w:tcPr>
          <w:p w14:paraId="0E089A69" w14:textId="77777777" w:rsidR="00CF6817" w:rsidRPr="005F73F7" w:rsidRDefault="00CF6817" w:rsidP="0054052D">
            <w:pPr>
              <w:jc w:val="both"/>
              <w:rPr>
                <w:b/>
                <w:lang w:val="en-GB"/>
              </w:rPr>
            </w:pPr>
            <w:r w:rsidRPr="005F73F7">
              <w:rPr>
                <w:b/>
                <w:lang w:val="en-GB"/>
              </w:rPr>
              <w:t>Recommendations for national and European decision makers</w:t>
            </w:r>
          </w:p>
        </w:tc>
      </w:tr>
      <w:tr w:rsidR="00CF6817" w:rsidRPr="00350EAE" w14:paraId="1EF8451C" w14:textId="77777777" w:rsidTr="0054052D">
        <w:tc>
          <w:tcPr>
            <w:tcW w:w="3114" w:type="dxa"/>
            <w:tcBorders>
              <w:left w:val="nil"/>
              <w:right w:val="nil"/>
            </w:tcBorders>
            <w:vAlign w:val="center"/>
          </w:tcPr>
          <w:p w14:paraId="7206DB30" w14:textId="77777777" w:rsidR="00CF6817" w:rsidRPr="005F73F7" w:rsidRDefault="00CF6817" w:rsidP="0054052D">
            <w:pPr>
              <w:jc w:val="both"/>
              <w:rPr>
                <w:lang w:val="en-GB"/>
              </w:rPr>
            </w:pPr>
            <w:r w:rsidRPr="005F73F7">
              <w:rPr>
                <w:lang w:val="en-GB"/>
              </w:rPr>
              <w:t>Population</w:t>
            </w:r>
          </w:p>
        </w:tc>
        <w:tc>
          <w:tcPr>
            <w:tcW w:w="5103" w:type="dxa"/>
            <w:tcBorders>
              <w:left w:val="nil"/>
              <w:right w:val="nil"/>
            </w:tcBorders>
          </w:tcPr>
          <w:p w14:paraId="0C13BFBF" w14:textId="77777777" w:rsidR="00CF6817" w:rsidRPr="005F73F7" w:rsidRDefault="00CF6817" w:rsidP="0054052D">
            <w:pPr>
              <w:pStyle w:val="ListParagraph"/>
              <w:numPr>
                <w:ilvl w:val="0"/>
                <w:numId w:val="4"/>
              </w:numPr>
              <w:ind w:left="178" w:hanging="178"/>
              <w:jc w:val="both"/>
              <w:rPr>
                <w:lang w:val="en-GB"/>
              </w:rPr>
            </w:pPr>
            <w:r w:rsidRPr="005F73F7">
              <w:rPr>
                <w:lang w:val="en-GB"/>
              </w:rPr>
              <w:t>Poor differentiation of population size by age and production system.</w:t>
            </w:r>
          </w:p>
          <w:p w14:paraId="6CAFA6E0" w14:textId="77777777" w:rsidR="00CF6817" w:rsidRPr="005F73F7" w:rsidRDefault="00CF6817" w:rsidP="0054052D">
            <w:pPr>
              <w:pStyle w:val="ListParagraph"/>
              <w:numPr>
                <w:ilvl w:val="0"/>
                <w:numId w:val="4"/>
              </w:numPr>
              <w:ind w:left="178" w:hanging="178"/>
              <w:jc w:val="both"/>
              <w:rPr>
                <w:lang w:val="en-GB"/>
              </w:rPr>
            </w:pPr>
            <w:r w:rsidRPr="005F73F7">
              <w:rPr>
                <w:lang w:val="en-GB"/>
              </w:rPr>
              <w:t>Limited data availability on goat and sheep numbers in countries where these represent minor species.</w:t>
            </w:r>
          </w:p>
          <w:p w14:paraId="29A1CAD3" w14:textId="77777777" w:rsidR="00CF6817" w:rsidRPr="005F73F7" w:rsidRDefault="00CF6817" w:rsidP="0054052D">
            <w:pPr>
              <w:pStyle w:val="ListParagraph"/>
              <w:numPr>
                <w:ilvl w:val="0"/>
                <w:numId w:val="4"/>
              </w:numPr>
              <w:ind w:left="178" w:hanging="178"/>
              <w:jc w:val="both"/>
              <w:rPr>
                <w:lang w:val="en-GB"/>
              </w:rPr>
            </w:pPr>
            <w:r w:rsidRPr="005F73F7">
              <w:rPr>
                <w:lang w:val="en-GB"/>
              </w:rPr>
              <w:t xml:space="preserve">Poor data availability of </w:t>
            </w:r>
            <w:r>
              <w:rPr>
                <w:lang w:val="en-GB"/>
              </w:rPr>
              <w:t>proportion</w:t>
            </w:r>
            <w:r w:rsidRPr="005F73F7">
              <w:rPr>
                <w:lang w:val="en-GB"/>
              </w:rPr>
              <w:t xml:space="preserve"> of population exposed to grazing.</w:t>
            </w:r>
          </w:p>
        </w:tc>
        <w:tc>
          <w:tcPr>
            <w:tcW w:w="4779" w:type="dxa"/>
            <w:tcBorders>
              <w:left w:val="nil"/>
              <w:right w:val="nil"/>
            </w:tcBorders>
          </w:tcPr>
          <w:p w14:paraId="3EEEC669" w14:textId="77777777" w:rsidR="00CF6817" w:rsidRPr="005F73F7" w:rsidRDefault="00CF6817" w:rsidP="0054052D">
            <w:pPr>
              <w:pStyle w:val="ListParagraph"/>
              <w:numPr>
                <w:ilvl w:val="0"/>
                <w:numId w:val="4"/>
              </w:numPr>
              <w:ind w:left="157" w:hanging="157"/>
              <w:jc w:val="both"/>
              <w:rPr>
                <w:lang w:val="en-GB"/>
              </w:rPr>
            </w:pPr>
            <w:r w:rsidRPr="005F73F7">
              <w:rPr>
                <w:lang w:val="en-GB"/>
              </w:rPr>
              <w:t>Develop more granular and harmonized data collection and reporting methods on livestock numbers.</w:t>
            </w:r>
          </w:p>
          <w:p w14:paraId="693E881A" w14:textId="77777777" w:rsidR="00CF6817" w:rsidRPr="005F73F7" w:rsidRDefault="00CF6817" w:rsidP="0054052D">
            <w:pPr>
              <w:pStyle w:val="ListParagraph"/>
              <w:numPr>
                <w:ilvl w:val="0"/>
                <w:numId w:val="4"/>
              </w:numPr>
              <w:ind w:left="157" w:hanging="157"/>
              <w:jc w:val="both"/>
              <w:rPr>
                <w:lang w:val="en-GB"/>
              </w:rPr>
            </w:pPr>
            <w:r w:rsidRPr="005F73F7">
              <w:rPr>
                <w:lang w:val="en-GB"/>
              </w:rPr>
              <w:t>Support European Grassland Federation in developing deeper understanding of exposure to grazing in various livestock categories.</w:t>
            </w:r>
          </w:p>
        </w:tc>
      </w:tr>
      <w:tr w:rsidR="00CF6817" w:rsidRPr="00350EAE" w14:paraId="4129EBD9" w14:textId="77777777" w:rsidTr="0054052D">
        <w:tc>
          <w:tcPr>
            <w:tcW w:w="3114" w:type="dxa"/>
            <w:tcBorders>
              <w:left w:val="nil"/>
              <w:right w:val="nil"/>
            </w:tcBorders>
            <w:vAlign w:val="center"/>
          </w:tcPr>
          <w:p w14:paraId="357FF9B8" w14:textId="77777777" w:rsidR="00CF6817" w:rsidRPr="005F73F7" w:rsidRDefault="00CF6817" w:rsidP="0054052D">
            <w:pPr>
              <w:jc w:val="both"/>
              <w:rPr>
                <w:lang w:val="en-GB"/>
              </w:rPr>
            </w:pPr>
            <w:r w:rsidRPr="005F73F7">
              <w:rPr>
                <w:lang w:val="en-GB"/>
              </w:rPr>
              <w:t>Disease frequency</w:t>
            </w:r>
          </w:p>
        </w:tc>
        <w:tc>
          <w:tcPr>
            <w:tcW w:w="5103" w:type="dxa"/>
            <w:tcBorders>
              <w:left w:val="nil"/>
              <w:right w:val="nil"/>
            </w:tcBorders>
          </w:tcPr>
          <w:p w14:paraId="099BEAAE" w14:textId="77777777" w:rsidR="00CF6817" w:rsidRPr="005F73F7" w:rsidRDefault="00CF6817" w:rsidP="0054052D">
            <w:pPr>
              <w:pStyle w:val="ListParagraph"/>
              <w:numPr>
                <w:ilvl w:val="0"/>
                <w:numId w:val="4"/>
              </w:numPr>
              <w:ind w:left="178" w:hanging="178"/>
              <w:jc w:val="both"/>
              <w:rPr>
                <w:lang w:val="en-GB"/>
              </w:rPr>
            </w:pPr>
            <w:r w:rsidRPr="005F73F7">
              <w:rPr>
                <w:lang w:val="en-GB"/>
              </w:rPr>
              <w:t>Limited prevalence data at national level.</w:t>
            </w:r>
          </w:p>
          <w:p w14:paraId="3D86B8BA" w14:textId="77777777" w:rsidR="00CF6817" w:rsidRPr="005F73F7" w:rsidRDefault="00CF6817" w:rsidP="0054052D">
            <w:pPr>
              <w:pStyle w:val="ListParagraph"/>
              <w:numPr>
                <w:ilvl w:val="0"/>
                <w:numId w:val="4"/>
              </w:numPr>
              <w:ind w:left="178" w:hanging="178"/>
              <w:jc w:val="both"/>
              <w:rPr>
                <w:lang w:val="en-GB"/>
              </w:rPr>
            </w:pPr>
            <w:r w:rsidRPr="005F73F7">
              <w:rPr>
                <w:lang w:val="en-GB"/>
              </w:rPr>
              <w:t>Limited number of surveys in east</w:t>
            </w:r>
            <w:r>
              <w:rPr>
                <w:lang w:val="en-GB"/>
              </w:rPr>
              <w:t>ern</w:t>
            </w:r>
            <w:r w:rsidRPr="005F73F7">
              <w:rPr>
                <w:lang w:val="en-GB"/>
              </w:rPr>
              <w:t xml:space="preserve"> European countries.</w:t>
            </w:r>
          </w:p>
        </w:tc>
        <w:tc>
          <w:tcPr>
            <w:tcW w:w="4779" w:type="dxa"/>
            <w:tcBorders>
              <w:left w:val="nil"/>
              <w:right w:val="nil"/>
            </w:tcBorders>
          </w:tcPr>
          <w:p w14:paraId="74699527" w14:textId="77777777" w:rsidR="00CF6817" w:rsidRPr="005F73F7" w:rsidRDefault="00CF6817" w:rsidP="0054052D">
            <w:pPr>
              <w:pStyle w:val="ListParagraph"/>
              <w:numPr>
                <w:ilvl w:val="0"/>
                <w:numId w:val="4"/>
              </w:numPr>
              <w:ind w:left="157" w:hanging="142"/>
              <w:jc w:val="both"/>
              <w:rPr>
                <w:lang w:val="en-GB"/>
              </w:rPr>
            </w:pPr>
            <w:r w:rsidRPr="005F73F7">
              <w:rPr>
                <w:lang w:val="en-GB"/>
              </w:rPr>
              <w:t>Encourage studies to estimate disease prevalence at national level.</w:t>
            </w:r>
          </w:p>
          <w:p w14:paraId="118BF45A" w14:textId="77777777" w:rsidR="00CF6817" w:rsidRPr="005F73F7" w:rsidRDefault="00CF6817" w:rsidP="0054052D">
            <w:pPr>
              <w:pStyle w:val="ListParagraph"/>
              <w:numPr>
                <w:ilvl w:val="0"/>
                <w:numId w:val="4"/>
              </w:numPr>
              <w:ind w:left="157" w:hanging="142"/>
              <w:jc w:val="both"/>
              <w:rPr>
                <w:lang w:val="en-GB"/>
              </w:rPr>
            </w:pPr>
            <w:r w:rsidRPr="005F73F7">
              <w:rPr>
                <w:lang w:val="en-GB"/>
              </w:rPr>
              <w:t>Support epidemiologic studies in Eastern Europe.</w:t>
            </w:r>
          </w:p>
        </w:tc>
      </w:tr>
      <w:tr w:rsidR="00CF6817" w:rsidRPr="00350EAE" w14:paraId="72951C5B" w14:textId="77777777" w:rsidTr="0054052D">
        <w:tc>
          <w:tcPr>
            <w:tcW w:w="3114" w:type="dxa"/>
            <w:tcBorders>
              <w:left w:val="nil"/>
              <w:right w:val="nil"/>
            </w:tcBorders>
            <w:vAlign w:val="center"/>
          </w:tcPr>
          <w:p w14:paraId="0049C4CB" w14:textId="77777777" w:rsidR="00CF6817" w:rsidRPr="005F73F7" w:rsidRDefault="00CF6817" w:rsidP="0054052D">
            <w:pPr>
              <w:jc w:val="both"/>
              <w:rPr>
                <w:lang w:val="en-GB"/>
              </w:rPr>
            </w:pPr>
            <w:r w:rsidRPr="005F73F7">
              <w:rPr>
                <w:lang w:val="en-GB"/>
              </w:rPr>
              <w:t>Production effects</w:t>
            </w:r>
          </w:p>
        </w:tc>
        <w:tc>
          <w:tcPr>
            <w:tcW w:w="5103" w:type="dxa"/>
            <w:tcBorders>
              <w:left w:val="nil"/>
              <w:right w:val="nil"/>
            </w:tcBorders>
          </w:tcPr>
          <w:p w14:paraId="290F54DF" w14:textId="77777777" w:rsidR="00CF6817" w:rsidRPr="005F73F7" w:rsidRDefault="00CF6817" w:rsidP="0054052D">
            <w:pPr>
              <w:pStyle w:val="ListParagraph"/>
              <w:numPr>
                <w:ilvl w:val="0"/>
                <w:numId w:val="4"/>
              </w:numPr>
              <w:ind w:left="178" w:hanging="178"/>
              <w:jc w:val="both"/>
              <w:rPr>
                <w:lang w:val="en-GB"/>
              </w:rPr>
            </w:pPr>
            <w:r>
              <w:rPr>
                <w:lang w:val="en-GB"/>
              </w:rPr>
              <w:t>Lack of</w:t>
            </w:r>
            <w:r w:rsidRPr="005F73F7">
              <w:rPr>
                <w:lang w:val="en-GB"/>
              </w:rPr>
              <w:t xml:space="preserve"> information on production impact of lungworm in beef cattle</w:t>
            </w:r>
            <w:r>
              <w:rPr>
                <w:lang w:val="en-GB"/>
              </w:rPr>
              <w:t xml:space="preserve"> or </w:t>
            </w:r>
            <w:r w:rsidRPr="00131517">
              <w:rPr>
                <w:i/>
                <w:iCs/>
                <w:lang w:val="en-GB"/>
              </w:rPr>
              <w:t>Nematodirus battus</w:t>
            </w:r>
            <w:r>
              <w:rPr>
                <w:lang w:val="en-GB"/>
              </w:rPr>
              <w:t xml:space="preserve"> infections in sheep.</w:t>
            </w:r>
          </w:p>
          <w:p w14:paraId="4C37C089" w14:textId="77777777" w:rsidR="00CF6817" w:rsidRPr="005F73F7" w:rsidRDefault="00CF6817" w:rsidP="0054052D">
            <w:pPr>
              <w:pStyle w:val="ListParagraph"/>
              <w:numPr>
                <w:ilvl w:val="0"/>
                <w:numId w:val="4"/>
              </w:numPr>
              <w:ind w:left="178" w:hanging="178"/>
              <w:jc w:val="both"/>
              <w:rPr>
                <w:lang w:val="en-GB"/>
              </w:rPr>
            </w:pPr>
            <w:r w:rsidRPr="005F73F7">
              <w:rPr>
                <w:lang w:val="en-GB"/>
              </w:rPr>
              <w:t>Limited information on impacts in beef cattle, dairy sheep and on impacts in general in east European countries.</w:t>
            </w:r>
          </w:p>
        </w:tc>
        <w:tc>
          <w:tcPr>
            <w:tcW w:w="4779" w:type="dxa"/>
            <w:tcBorders>
              <w:left w:val="nil"/>
              <w:right w:val="nil"/>
            </w:tcBorders>
          </w:tcPr>
          <w:p w14:paraId="11E2219D" w14:textId="77777777" w:rsidR="00CF6817" w:rsidRPr="005F73F7" w:rsidRDefault="00CF6817" w:rsidP="0054052D">
            <w:pPr>
              <w:pStyle w:val="ListParagraph"/>
              <w:numPr>
                <w:ilvl w:val="0"/>
                <w:numId w:val="4"/>
              </w:numPr>
              <w:ind w:left="157" w:hanging="142"/>
              <w:jc w:val="both"/>
              <w:rPr>
                <w:lang w:val="en-GB"/>
              </w:rPr>
            </w:pPr>
            <w:r w:rsidRPr="005F73F7">
              <w:rPr>
                <w:lang w:val="en-GB"/>
              </w:rPr>
              <w:t>Support studies to fill data gaps in production impacts.</w:t>
            </w:r>
          </w:p>
          <w:p w14:paraId="2B302F58" w14:textId="77777777" w:rsidR="00CF6817" w:rsidRPr="005F73F7" w:rsidRDefault="00CF6817" w:rsidP="0054052D">
            <w:pPr>
              <w:pStyle w:val="ListParagraph"/>
              <w:numPr>
                <w:ilvl w:val="0"/>
                <w:numId w:val="4"/>
              </w:numPr>
              <w:ind w:left="157" w:hanging="142"/>
              <w:jc w:val="both"/>
              <w:rPr>
                <w:lang w:val="en-GB"/>
              </w:rPr>
            </w:pPr>
            <w:r w:rsidRPr="005F73F7">
              <w:rPr>
                <w:lang w:val="en-GB"/>
              </w:rPr>
              <w:t>Support impact studies in Eastern Europe.</w:t>
            </w:r>
          </w:p>
        </w:tc>
      </w:tr>
      <w:tr w:rsidR="00CF6817" w:rsidRPr="00350EAE" w14:paraId="63DC1347" w14:textId="77777777" w:rsidTr="0054052D">
        <w:tc>
          <w:tcPr>
            <w:tcW w:w="3114" w:type="dxa"/>
            <w:tcBorders>
              <w:left w:val="nil"/>
              <w:right w:val="nil"/>
            </w:tcBorders>
            <w:vAlign w:val="center"/>
          </w:tcPr>
          <w:p w14:paraId="5D6DC3A5" w14:textId="77777777" w:rsidR="00CF6817" w:rsidRPr="005F73F7" w:rsidRDefault="00CF6817" w:rsidP="0054052D">
            <w:pPr>
              <w:jc w:val="both"/>
              <w:rPr>
                <w:lang w:val="en-GB"/>
              </w:rPr>
            </w:pPr>
            <w:r w:rsidRPr="005F73F7">
              <w:rPr>
                <w:lang w:val="en-GB"/>
              </w:rPr>
              <w:t>Anthelmintic drug consumption</w:t>
            </w:r>
          </w:p>
        </w:tc>
        <w:tc>
          <w:tcPr>
            <w:tcW w:w="5103" w:type="dxa"/>
            <w:tcBorders>
              <w:left w:val="nil"/>
              <w:right w:val="nil"/>
            </w:tcBorders>
          </w:tcPr>
          <w:p w14:paraId="56F7830E" w14:textId="77777777" w:rsidR="00CF6817" w:rsidRPr="005F73F7" w:rsidRDefault="00CF6817" w:rsidP="0054052D">
            <w:pPr>
              <w:pStyle w:val="ListParagraph"/>
              <w:numPr>
                <w:ilvl w:val="0"/>
                <w:numId w:val="4"/>
              </w:numPr>
              <w:ind w:left="178" w:hanging="178"/>
              <w:jc w:val="both"/>
              <w:rPr>
                <w:lang w:val="en-GB"/>
              </w:rPr>
            </w:pPr>
            <w:r w:rsidRPr="005F73F7">
              <w:rPr>
                <w:lang w:val="en-GB"/>
              </w:rPr>
              <w:t>No public repository of anthelmintic drug consumption at national or European levels.</w:t>
            </w:r>
          </w:p>
        </w:tc>
        <w:tc>
          <w:tcPr>
            <w:tcW w:w="4779" w:type="dxa"/>
            <w:tcBorders>
              <w:left w:val="nil"/>
              <w:right w:val="nil"/>
            </w:tcBorders>
          </w:tcPr>
          <w:p w14:paraId="706BA26D" w14:textId="77777777" w:rsidR="00CF6817" w:rsidRPr="005F73F7" w:rsidRDefault="00CF6817" w:rsidP="0054052D">
            <w:pPr>
              <w:pStyle w:val="ListParagraph"/>
              <w:numPr>
                <w:ilvl w:val="0"/>
                <w:numId w:val="4"/>
              </w:numPr>
              <w:ind w:left="157" w:hanging="142"/>
              <w:jc w:val="both"/>
              <w:rPr>
                <w:lang w:val="en-GB"/>
              </w:rPr>
            </w:pPr>
            <w:r w:rsidRPr="005F73F7">
              <w:rPr>
                <w:lang w:val="en-GB"/>
              </w:rPr>
              <w:t>Develop standardized method to monitor anthelmintic drug consumption.</w:t>
            </w:r>
          </w:p>
          <w:p w14:paraId="6C43107A" w14:textId="77777777" w:rsidR="00CF6817" w:rsidRPr="005F73F7" w:rsidRDefault="00CF6817" w:rsidP="0054052D">
            <w:pPr>
              <w:pStyle w:val="ListParagraph"/>
              <w:numPr>
                <w:ilvl w:val="0"/>
                <w:numId w:val="4"/>
              </w:numPr>
              <w:ind w:left="157" w:hanging="142"/>
              <w:jc w:val="both"/>
              <w:rPr>
                <w:lang w:val="en-GB"/>
              </w:rPr>
            </w:pPr>
            <w:r w:rsidRPr="005F73F7">
              <w:rPr>
                <w:lang w:val="en-GB"/>
              </w:rPr>
              <w:t>Develop public repository with veterinary drug use information.</w:t>
            </w:r>
          </w:p>
        </w:tc>
      </w:tr>
      <w:tr w:rsidR="00CF6817" w:rsidRPr="005F73F7" w14:paraId="54DC6F51" w14:textId="77777777" w:rsidTr="0054052D">
        <w:tc>
          <w:tcPr>
            <w:tcW w:w="3114" w:type="dxa"/>
            <w:tcBorders>
              <w:left w:val="nil"/>
              <w:right w:val="nil"/>
            </w:tcBorders>
            <w:vAlign w:val="center"/>
          </w:tcPr>
          <w:p w14:paraId="0CDC677C" w14:textId="77777777" w:rsidR="00CF6817" w:rsidRPr="005F73F7" w:rsidRDefault="00CF6817" w:rsidP="0054052D">
            <w:pPr>
              <w:jc w:val="both"/>
              <w:rPr>
                <w:lang w:val="en-GB"/>
              </w:rPr>
            </w:pPr>
            <w:r w:rsidRPr="005F73F7">
              <w:rPr>
                <w:lang w:val="en-GB"/>
              </w:rPr>
              <w:t>Anthelmintic resistance (AR)</w:t>
            </w:r>
          </w:p>
        </w:tc>
        <w:tc>
          <w:tcPr>
            <w:tcW w:w="5103" w:type="dxa"/>
            <w:tcBorders>
              <w:left w:val="nil"/>
              <w:right w:val="nil"/>
            </w:tcBorders>
          </w:tcPr>
          <w:p w14:paraId="7E7AA79B" w14:textId="77777777" w:rsidR="00CF6817" w:rsidRPr="005F73F7" w:rsidRDefault="00CF6817" w:rsidP="0054052D">
            <w:pPr>
              <w:pStyle w:val="ListParagraph"/>
              <w:numPr>
                <w:ilvl w:val="0"/>
                <w:numId w:val="4"/>
              </w:numPr>
              <w:ind w:left="178" w:hanging="178"/>
              <w:jc w:val="both"/>
              <w:rPr>
                <w:lang w:val="en-GB"/>
              </w:rPr>
            </w:pPr>
            <w:r w:rsidRPr="005F73F7">
              <w:rPr>
                <w:lang w:val="en-GB"/>
              </w:rPr>
              <w:t>Poor quantitative knowledge on prevalence of AR.</w:t>
            </w:r>
          </w:p>
          <w:p w14:paraId="427CE1EA" w14:textId="77777777" w:rsidR="00CF6817" w:rsidRPr="005F73F7" w:rsidRDefault="00CF6817" w:rsidP="0054052D">
            <w:pPr>
              <w:pStyle w:val="ListParagraph"/>
              <w:numPr>
                <w:ilvl w:val="0"/>
                <w:numId w:val="4"/>
              </w:numPr>
              <w:ind w:left="178" w:hanging="178"/>
              <w:jc w:val="both"/>
              <w:rPr>
                <w:lang w:val="en-GB"/>
              </w:rPr>
            </w:pPr>
            <w:r w:rsidRPr="005F73F7">
              <w:rPr>
                <w:lang w:val="en-GB"/>
              </w:rPr>
              <w:t>Poor knowledge on production impacts of anthelmintic treatments with incomplete efficacy.</w:t>
            </w:r>
          </w:p>
        </w:tc>
        <w:tc>
          <w:tcPr>
            <w:tcW w:w="4779" w:type="dxa"/>
            <w:tcBorders>
              <w:left w:val="nil"/>
              <w:right w:val="nil"/>
            </w:tcBorders>
          </w:tcPr>
          <w:p w14:paraId="4BF3AA8B" w14:textId="77777777" w:rsidR="00CF6817" w:rsidRPr="005F73F7" w:rsidRDefault="00CF6817" w:rsidP="0054052D">
            <w:pPr>
              <w:pStyle w:val="ListParagraph"/>
              <w:numPr>
                <w:ilvl w:val="0"/>
                <w:numId w:val="4"/>
              </w:numPr>
              <w:ind w:left="157" w:hanging="157"/>
              <w:jc w:val="both"/>
              <w:rPr>
                <w:lang w:val="en-GB"/>
              </w:rPr>
            </w:pPr>
            <w:r w:rsidRPr="005F73F7">
              <w:rPr>
                <w:lang w:val="en-GB"/>
              </w:rPr>
              <w:t>Support research in cost-effective diagnostic tests to detect and monitor AR.</w:t>
            </w:r>
          </w:p>
          <w:p w14:paraId="5DE27CD9" w14:textId="77777777" w:rsidR="00CF6817" w:rsidRPr="005F73F7" w:rsidRDefault="00CF6817" w:rsidP="0054052D">
            <w:pPr>
              <w:pStyle w:val="ListParagraph"/>
              <w:numPr>
                <w:ilvl w:val="0"/>
                <w:numId w:val="4"/>
              </w:numPr>
              <w:ind w:left="181" w:hanging="181"/>
              <w:jc w:val="both"/>
              <w:rPr>
                <w:lang w:val="en-GB"/>
              </w:rPr>
            </w:pPr>
            <w:r w:rsidRPr="005F73F7">
              <w:rPr>
                <w:lang w:val="en-GB"/>
              </w:rPr>
              <w:t>Support AR impact studies</w:t>
            </w:r>
          </w:p>
        </w:tc>
      </w:tr>
      <w:tr w:rsidR="00CF6817" w:rsidRPr="00350EAE" w14:paraId="7DA6C1FE" w14:textId="77777777" w:rsidTr="0054052D">
        <w:tc>
          <w:tcPr>
            <w:tcW w:w="3114" w:type="dxa"/>
            <w:tcBorders>
              <w:left w:val="nil"/>
              <w:right w:val="nil"/>
            </w:tcBorders>
            <w:vAlign w:val="center"/>
          </w:tcPr>
          <w:p w14:paraId="27A75224" w14:textId="77777777" w:rsidR="00CF6817" w:rsidRPr="005F73F7" w:rsidRDefault="00CF6817" w:rsidP="0054052D">
            <w:pPr>
              <w:jc w:val="both"/>
              <w:rPr>
                <w:lang w:val="en-GB"/>
              </w:rPr>
            </w:pPr>
            <w:r w:rsidRPr="005F73F7">
              <w:rPr>
                <w:lang w:val="en-GB"/>
              </w:rPr>
              <w:t>Research projects</w:t>
            </w:r>
          </w:p>
        </w:tc>
        <w:tc>
          <w:tcPr>
            <w:tcW w:w="5103" w:type="dxa"/>
            <w:tcBorders>
              <w:left w:val="nil"/>
              <w:right w:val="nil"/>
            </w:tcBorders>
          </w:tcPr>
          <w:p w14:paraId="5906EF24" w14:textId="77777777" w:rsidR="00CF6817" w:rsidRPr="005F73F7" w:rsidRDefault="00CF6817" w:rsidP="0054052D">
            <w:pPr>
              <w:pStyle w:val="ListParagraph"/>
              <w:numPr>
                <w:ilvl w:val="0"/>
                <w:numId w:val="4"/>
              </w:numPr>
              <w:ind w:left="178" w:hanging="178"/>
              <w:jc w:val="both"/>
              <w:rPr>
                <w:lang w:val="en-GB"/>
              </w:rPr>
            </w:pPr>
            <w:r w:rsidRPr="005F73F7">
              <w:rPr>
                <w:lang w:val="en-GB"/>
              </w:rPr>
              <w:t>Database with publicly funded research projects is incomplete.</w:t>
            </w:r>
          </w:p>
        </w:tc>
        <w:tc>
          <w:tcPr>
            <w:tcW w:w="4779" w:type="dxa"/>
            <w:tcBorders>
              <w:left w:val="nil"/>
              <w:right w:val="nil"/>
            </w:tcBorders>
          </w:tcPr>
          <w:p w14:paraId="7A111D87" w14:textId="77777777" w:rsidR="00CF6817" w:rsidRPr="005F73F7" w:rsidRDefault="00CF6817" w:rsidP="0054052D">
            <w:pPr>
              <w:pStyle w:val="ListParagraph"/>
              <w:numPr>
                <w:ilvl w:val="0"/>
                <w:numId w:val="4"/>
              </w:numPr>
              <w:ind w:left="181" w:hanging="181"/>
              <w:jc w:val="both"/>
              <w:rPr>
                <w:lang w:val="en-GB"/>
              </w:rPr>
            </w:pPr>
            <w:r w:rsidRPr="005F73F7">
              <w:rPr>
                <w:lang w:val="en-GB"/>
              </w:rPr>
              <w:t xml:space="preserve">Support the </w:t>
            </w:r>
            <w:r>
              <w:rPr>
                <w:lang w:val="en-GB"/>
              </w:rPr>
              <w:t xml:space="preserve">European </w:t>
            </w:r>
            <w:r w:rsidRPr="005F73F7">
              <w:rPr>
                <w:lang w:val="en-GB"/>
              </w:rPr>
              <w:t xml:space="preserve">Collaborative Working Group </w:t>
            </w:r>
            <w:r>
              <w:rPr>
                <w:lang w:val="en-GB"/>
              </w:rPr>
              <w:t>on Animal Health and Welfare</w:t>
            </w:r>
            <w:r w:rsidRPr="005F73F7">
              <w:rPr>
                <w:lang w:val="en-GB"/>
              </w:rPr>
              <w:t xml:space="preserve"> research and STAR-IDAZ research project database to develop better reporting mechanisms and become more comprehensive</w:t>
            </w:r>
          </w:p>
        </w:tc>
      </w:tr>
    </w:tbl>
    <w:p w14:paraId="016D3A84" w14:textId="77777777" w:rsidR="00CF6817" w:rsidRPr="005F73F7" w:rsidRDefault="00CF6817" w:rsidP="00CF6817">
      <w:pPr>
        <w:spacing w:line="240" w:lineRule="auto"/>
        <w:jc w:val="both"/>
        <w:rPr>
          <w:lang w:val="en-GB"/>
        </w:rPr>
      </w:pPr>
    </w:p>
    <w:p w14:paraId="566A9C90" w14:textId="77777777" w:rsidR="00CF6817" w:rsidRPr="005F73F7" w:rsidRDefault="00CF6817" w:rsidP="00CF6817">
      <w:pPr>
        <w:spacing w:line="240" w:lineRule="auto"/>
        <w:jc w:val="both"/>
        <w:rPr>
          <w:lang w:val="en-GB"/>
        </w:rPr>
        <w:sectPr w:rsidR="00CF6817" w:rsidRPr="005F73F7" w:rsidSect="00CF6817">
          <w:type w:val="continuous"/>
          <w:pgSz w:w="15840" w:h="12240" w:orient="landscape"/>
          <w:pgMar w:top="1417" w:right="1417" w:bottom="1417" w:left="1417" w:header="708" w:footer="708" w:gutter="0"/>
          <w:lnNumType w:countBy="1" w:restart="continuous"/>
          <w:cols w:space="708"/>
          <w:docGrid w:linePitch="299"/>
        </w:sectPr>
      </w:pPr>
    </w:p>
    <w:p w14:paraId="53052C82" w14:textId="77777777" w:rsidR="00CF6817" w:rsidRDefault="00CF6817" w:rsidP="00CF6817">
      <w:pPr>
        <w:spacing w:line="240" w:lineRule="auto"/>
        <w:jc w:val="both"/>
        <w:rPr>
          <w:lang w:val="en-GB"/>
        </w:rPr>
      </w:pPr>
      <w:r w:rsidRPr="009F1E4D">
        <w:rPr>
          <w:lang w:val="en-GB"/>
        </w:rPr>
        <w:lastRenderedPageBreak/>
        <w:t>Table 3. The estimated annual costs (</w:t>
      </w:r>
      <w:r w:rsidRPr="009F1E4D">
        <w:rPr>
          <w:rFonts w:cstheme="minorHAnsi"/>
          <w:lang w:val="en-GB"/>
        </w:rPr>
        <w:t>€</w:t>
      </w:r>
      <w:r w:rsidRPr="009F1E4D">
        <w:rPr>
          <w:lang w:val="en-GB"/>
        </w:rPr>
        <w:t>) of helminth infections to ruminant livestock industries in 18 COMBAR countries, split up into costs of lost productivity and costs spent on anthelmintic treatment.</w:t>
      </w:r>
    </w:p>
    <w:tbl>
      <w:tblPr>
        <w:tblW w:w="10066" w:type="dxa"/>
        <w:tblInd w:w="-284" w:type="dxa"/>
        <w:tblLook w:val="04A0" w:firstRow="1" w:lastRow="0" w:firstColumn="1" w:lastColumn="0" w:noHBand="0" w:noVBand="1"/>
      </w:tblPr>
      <w:tblGrid>
        <w:gridCol w:w="1610"/>
        <w:gridCol w:w="1148"/>
        <w:gridCol w:w="1178"/>
        <w:gridCol w:w="1147"/>
        <w:gridCol w:w="1297"/>
        <w:gridCol w:w="1275"/>
        <w:gridCol w:w="1147"/>
        <w:gridCol w:w="1264"/>
      </w:tblGrid>
      <w:tr w:rsidR="00CF6817" w:rsidRPr="001A4893" w14:paraId="0BF04957" w14:textId="77777777" w:rsidTr="0054052D">
        <w:trPr>
          <w:trHeight w:val="227"/>
        </w:trPr>
        <w:tc>
          <w:tcPr>
            <w:tcW w:w="1610" w:type="dxa"/>
            <w:tcBorders>
              <w:top w:val="single" w:sz="4" w:space="0" w:color="auto"/>
              <w:left w:val="nil"/>
              <w:bottom w:val="single" w:sz="4" w:space="0" w:color="auto"/>
              <w:right w:val="nil"/>
            </w:tcBorders>
            <w:shd w:val="clear" w:color="auto" w:fill="auto"/>
            <w:noWrap/>
            <w:vAlign w:val="bottom"/>
            <w:hideMark/>
          </w:tcPr>
          <w:p w14:paraId="0889679F" w14:textId="77777777" w:rsidR="00CF6817" w:rsidRPr="001A4893" w:rsidRDefault="00CF6817" w:rsidP="0054052D">
            <w:pPr>
              <w:spacing w:after="0" w:line="240" w:lineRule="auto"/>
              <w:jc w:val="center"/>
              <w:rPr>
                <w:rFonts w:eastAsia="Times New Roman" w:cstheme="minorHAnsi"/>
                <w:b/>
                <w:bCs/>
                <w:color w:val="333333"/>
                <w:sz w:val="19"/>
                <w:szCs w:val="19"/>
                <w:lang w:val="en-GB" w:eastAsia="en-GB"/>
              </w:rPr>
            </w:pPr>
            <w:r w:rsidRPr="001A4893">
              <w:rPr>
                <w:rFonts w:eastAsia="Times New Roman" w:cstheme="minorHAnsi"/>
                <w:b/>
                <w:bCs/>
                <w:color w:val="333333"/>
                <w:sz w:val="19"/>
                <w:szCs w:val="19"/>
                <w:lang w:val="en-GB" w:eastAsia="en-GB"/>
              </w:rPr>
              <w:t>Country</w:t>
            </w:r>
          </w:p>
        </w:tc>
        <w:tc>
          <w:tcPr>
            <w:tcW w:w="1148" w:type="dxa"/>
            <w:tcBorders>
              <w:top w:val="single" w:sz="4" w:space="0" w:color="auto"/>
              <w:left w:val="nil"/>
              <w:bottom w:val="single" w:sz="4" w:space="0" w:color="auto"/>
              <w:right w:val="nil"/>
            </w:tcBorders>
            <w:shd w:val="clear" w:color="auto" w:fill="auto"/>
            <w:noWrap/>
            <w:vAlign w:val="bottom"/>
            <w:hideMark/>
          </w:tcPr>
          <w:p w14:paraId="1A5903EC" w14:textId="77777777" w:rsidR="00CF6817" w:rsidRPr="001A4893" w:rsidRDefault="00CF6817" w:rsidP="0054052D">
            <w:pPr>
              <w:spacing w:after="0" w:line="240" w:lineRule="auto"/>
              <w:jc w:val="center"/>
              <w:rPr>
                <w:rFonts w:eastAsia="Times New Roman" w:cstheme="minorHAnsi"/>
                <w:b/>
                <w:bCs/>
                <w:color w:val="333333"/>
                <w:sz w:val="19"/>
                <w:szCs w:val="19"/>
                <w:lang w:val="en-GB" w:eastAsia="en-GB"/>
              </w:rPr>
            </w:pPr>
            <w:r w:rsidRPr="001A4893">
              <w:rPr>
                <w:rFonts w:eastAsia="Times New Roman" w:cstheme="minorHAnsi"/>
                <w:b/>
                <w:bCs/>
                <w:color w:val="333333"/>
                <w:sz w:val="19"/>
                <w:szCs w:val="19"/>
                <w:lang w:val="en-GB" w:eastAsia="en-GB"/>
              </w:rPr>
              <w:t>Variable</w:t>
            </w:r>
          </w:p>
        </w:tc>
        <w:tc>
          <w:tcPr>
            <w:tcW w:w="1178" w:type="dxa"/>
            <w:tcBorders>
              <w:top w:val="single" w:sz="4" w:space="0" w:color="auto"/>
              <w:left w:val="nil"/>
              <w:bottom w:val="single" w:sz="4" w:space="0" w:color="auto"/>
              <w:right w:val="nil"/>
            </w:tcBorders>
            <w:shd w:val="clear" w:color="auto" w:fill="auto"/>
            <w:noWrap/>
            <w:vAlign w:val="bottom"/>
            <w:hideMark/>
          </w:tcPr>
          <w:p w14:paraId="63F8414F"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Dairy cattle</w:t>
            </w:r>
          </w:p>
        </w:tc>
        <w:tc>
          <w:tcPr>
            <w:tcW w:w="1147" w:type="dxa"/>
            <w:tcBorders>
              <w:top w:val="single" w:sz="4" w:space="0" w:color="auto"/>
              <w:left w:val="nil"/>
              <w:bottom w:val="single" w:sz="4" w:space="0" w:color="auto"/>
              <w:right w:val="nil"/>
            </w:tcBorders>
            <w:shd w:val="clear" w:color="auto" w:fill="auto"/>
            <w:noWrap/>
            <w:vAlign w:val="bottom"/>
            <w:hideMark/>
          </w:tcPr>
          <w:p w14:paraId="45EE65F7"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Beef cattle</w:t>
            </w:r>
          </w:p>
        </w:tc>
        <w:tc>
          <w:tcPr>
            <w:tcW w:w="1297" w:type="dxa"/>
            <w:tcBorders>
              <w:top w:val="single" w:sz="4" w:space="0" w:color="auto"/>
              <w:left w:val="nil"/>
              <w:bottom w:val="single" w:sz="4" w:space="0" w:color="auto"/>
              <w:right w:val="nil"/>
            </w:tcBorders>
            <w:shd w:val="clear" w:color="auto" w:fill="auto"/>
            <w:noWrap/>
            <w:vAlign w:val="bottom"/>
            <w:hideMark/>
          </w:tcPr>
          <w:p w14:paraId="65CA8EA4"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Dairy sheep</w:t>
            </w:r>
          </w:p>
        </w:tc>
        <w:tc>
          <w:tcPr>
            <w:tcW w:w="1275" w:type="dxa"/>
            <w:tcBorders>
              <w:top w:val="single" w:sz="4" w:space="0" w:color="auto"/>
              <w:left w:val="nil"/>
              <w:bottom w:val="single" w:sz="4" w:space="0" w:color="auto"/>
              <w:right w:val="nil"/>
            </w:tcBorders>
            <w:shd w:val="clear" w:color="auto" w:fill="auto"/>
            <w:noWrap/>
            <w:vAlign w:val="bottom"/>
            <w:hideMark/>
          </w:tcPr>
          <w:p w14:paraId="26CF2895"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Meat sheep</w:t>
            </w:r>
          </w:p>
        </w:tc>
        <w:tc>
          <w:tcPr>
            <w:tcW w:w="1147" w:type="dxa"/>
            <w:tcBorders>
              <w:top w:val="single" w:sz="4" w:space="0" w:color="auto"/>
              <w:left w:val="nil"/>
              <w:bottom w:val="single" w:sz="4" w:space="0" w:color="auto"/>
              <w:right w:val="nil"/>
            </w:tcBorders>
            <w:shd w:val="clear" w:color="auto" w:fill="auto"/>
            <w:noWrap/>
            <w:vAlign w:val="bottom"/>
            <w:hideMark/>
          </w:tcPr>
          <w:p w14:paraId="7454B165"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Dairy goats</w:t>
            </w:r>
          </w:p>
        </w:tc>
        <w:tc>
          <w:tcPr>
            <w:tcW w:w="1264" w:type="dxa"/>
            <w:tcBorders>
              <w:top w:val="single" w:sz="4" w:space="0" w:color="auto"/>
              <w:left w:val="nil"/>
              <w:bottom w:val="single" w:sz="4" w:space="0" w:color="auto"/>
              <w:right w:val="nil"/>
            </w:tcBorders>
            <w:shd w:val="clear" w:color="auto" w:fill="auto"/>
            <w:noWrap/>
            <w:vAlign w:val="bottom"/>
            <w:hideMark/>
          </w:tcPr>
          <w:p w14:paraId="702664A7" w14:textId="77777777" w:rsidR="00CF6817" w:rsidRPr="001A4893" w:rsidRDefault="00CF6817" w:rsidP="0054052D">
            <w:pPr>
              <w:spacing w:after="0" w:line="240" w:lineRule="auto"/>
              <w:jc w:val="center"/>
              <w:rPr>
                <w:rFonts w:eastAsia="Times New Roman" w:cstheme="minorHAnsi"/>
                <w:b/>
                <w:bCs/>
                <w:color w:val="000000"/>
                <w:sz w:val="19"/>
                <w:szCs w:val="19"/>
                <w:lang w:val="en-GB" w:eastAsia="en-GB"/>
              </w:rPr>
            </w:pPr>
            <w:r w:rsidRPr="001A4893">
              <w:rPr>
                <w:rFonts w:eastAsia="Times New Roman" w:cstheme="minorHAnsi"/>
                <w:b/>
                <w:bCs/>
                <w:color w:val="000000"/>
                <w:sz w:val="19"/>
                <w:szCs w:val="19"/>
                <w:lang w:val="en-GB" w:eastAsia="en-GB"/>
              </w:rPr>
              <w:t>TOTAL</w:t>
            </w:r>
          </w:p>
        </w:tc>
      </w:tr>
      <w:tr w:rsidR="00CF6817" w:rsidRPr="001A4893" w14:paraId="3FB81A1D" w14:textId="77777777" w:rsidTr="0054052D">
        <w:trPr>
          <w:trHeight w:val="227"/>
        </w:trPr>
        <w:tc>
          <w:tcPr>
            <w:tcW w:w="1610" w:type="dxa"/>
            <w:tcBorders>
              <w:top w:val="nil"/>
              <w:left w:val="nil"/>
              <w:bottom w:val="nil"/>
              <w:right w:val="nil"/>
            </w:tcBorders>
            <w:shd w:val="clear" w:color="auto" w:fill="auto"/>
            <w:noWrap/>
            <w:vAlign w:val="bottom"/>
            <w:hideMark/>
          </w:tcPr>
          <w:p w14:paraId="1C3A4D0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Austria</w:t>
            </w:r>
          </w:p>
        </w:tc>
        <w:tc>
          <w:tcPr>
            <w:tcW w:w="1148" w:type="dxa"/>
            <w:tcBorders>
              <w:top w:val="nil"/>
              <w:left w:val="nil"/>
              <w:bottom w:val="nil"/>
              <w:right w:val="nil"/>
            </w:tcBorders>
            <w:shd w:val="clear" w:color="auto" w:fill="auto"/>
            <w:noWrap/>
            <w:vAlign w:val="bottom"/>
            <w:hideMark/>
          </w:tcPr>
          <w:p w14:paraId="03A99E6C"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1D2F546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12,869,317</w:t>
            </w:r>
          </w:p>
        </w:tc>
        <w:tc>
          <w:tcPr>
            <w:tcW w:w="1147" w:type="dxa"/>
            <w:tcBorders>
              <w:top w:val="nil"/>
              <w:left w:val="nil"/>
              <w:bottom w:val="nil"/>
              <w:right w:val="nil"/>
            </w:tcBorders>
            <w:shd w:val="clear" w:color="auto" w:fill="auto"/>
            <w:noWrap/>
            <w:vAlign w:val="bottom"/>
            <w:hideMark/>
          </w:tcPr>
          <w:p w14:paraId="3BC5AB9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11,753,725</w:t>
            </w:r>
          </w:p>
        </w:tc>
        <w:tc>
          <w:tcPr>
            <w:tcW w:w="1297" w:type="dxa"/>
            <w:tcBorders>
              <w:top w:val="nil"/>
              <w:left w:val="nil"/>
              <w:bottom w:val="nil"/>
              <w:right w:val="nil"/>
            </w:tcBorders>
            <w:shd w:val="clear" w:color="auto" w:fill="auto"/>
            <w:noWrap/>
            <w:vAlign w:val="bottom"/>
            <w:hideMark/>
          </w:tcPr>
          <w:p w14:paraId="295588B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859,466</w:t>
            </w:r>
          </w:p>
        </w:tc>
        <w:tc>
          <w:tcPr>
            <w:tcW w:w="1275" w:type="dxa"/>
            <w:tcBorders>
              <w:top w:val="nil"/>
              <w:left w:val="nil"/>
              <w:bottom w:val="nil"/>
              <w:right w:val="nil"/>
            </w:tcBorders>
            <w:shd w:val="clear" w:color="auto" w:fill="auto"/>
            <w:noWrap/>
            <w:vAlign w:val="bottom"/>
            <w:hideMark/>
          </w:tcPr>
          <w:p w14:paraId="516AB6C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1,102,066</w:t>
            </w:r>
          </w:p>
        </w:tc>
        <w:tc>
          <w:tcPr>
            <w:tcW w:w="1147" w:type="dxa"/>
            <w:tcBorders>
              <w:top w:val="nil"/>
              <w:left w:val="nil"/>
              <w:bottom w:val="nil"/>
              <w:right w:val="nil"/>
            </w:tcBorders>
            <w:shd w:val="clear" w:color="auto" w:fill="auto"/>
            <w:noWrap/>
            <w:vAlign w:val="bottom"/>
            <w:hideMark/>
          </w:tcPr>
          <w:p w14:paraId="05F322D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2,250,616</w:t>
            </w:r>
          </w:p>
        </w:tc>
        <w:tc>
          <w:tcPr>
            <w:tcW w:w="1264" w:type="dxa"/>
            <w:tcBorders>
              <w:top w:val="nil"/>
              <w:left w:val="nil"/>
              <w:bottom w:val="nil"/>
              <w:right w:val="nil"/>
            </w:tcBorders>
            <w:shd w:val="clear" w:color="auto" w:fill="auto"/>
            <w:noWrap/>
            <w:vAlign w:val="bottom"/>
            <w:hideMark/>
          </w:tcPr>
          <w:p w14:paraId="5B8CB2E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28,835,190</w:t>
            </w:r>
          </w:p>
        </w:tc>
      </w:tr>
      <w:tr w:rsidR="00CF6817" w:rsidRPr="001A4893" w14:paraId="3A9AF1F4" w14:textId="77777777" w:rsidTr="0054052D">
        <w:trPr>
          <w:trHeight w:val="227"/>
        </w:trPr>
        <w:tc>
          <w:tcPr>
            <w:tcW w:w="1610" w:type="dxa"/>
            <w:tcBorders>
              <w:top w:val="nil"/>
              <w:left w:val="nil"/>
              <w:bottom w:val="nil"/>
              <w:right w:val="nil"/>
            </w:tcBorders>
            <w:shd w:val="clear" w:color="auto" w:fill="auto"/>
            <w:noWrap/>
            <w:vAlign w:val="bottom"/>
            <w:hideMark/>
          </w:tcPr>
          <w:p w14:paraId="14CEAE5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5803175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09A37FB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1,736,961</w:t>
            </w:r>
          </w:p>
        </w:tc>
        <w:tc>
          <w:tcPr>
            <w:tcW w:w="1147" w:type="dxa"/>
            <w:tcBorders>
              <w:top w:val="nil"/>
              <w:left w:val="nil"/>
              <w:bottom w:val="nil"/>
              <w:right w:val="nil"/>
            </w:tcBorders>
            <w:shd w:val="clear" w:color="auto" w:fill="auto"/>
            <w:noWrap/>
            <w:vAlign w:val="bottom"/>
            <w:hideMark/>
          </w:tcPr>
          <w:p w14:paraId="60671C7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356,180</w:t>
            </w:r>
          </w:p>
        </w:tc>
        <w:tc>
          <w:tcPr>
            <w:tcW w:w="1297" w:type="dxa"/>
            <w:tcBorders>
              <w:top w:val="nil"/>
              <w:left w:val="nil"/>
              <w:bottom w:val="nil"/>
              <w:right w:val="nil"/>
            </w:tcBorders>
            <w:shd w:val="clear" w:color="auto" w:fill="auto"/>
            <w:noWrap/>
            <w:vAlign w:val="bottom"/>
            <w:hideMark/>
          </w:tcPr>
          <w:p w14:paraId="6EBB052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76,791</w:t>
            </w:r>
          </w:p>
        </w:tc>
        <w:tc>
          <w:tcPr>
            <w:tcW w:w="1275" w:type="dxa"/>
            <w:tcBorders>
              <w:top w:val="nil"/>
              <w:left w:val="nil"/>
              <w:bottom w:val="nil"/>
              <w:right w:val="nil"/>
            </w:tcBorders>
            <w:shd w:val="clear" w:color="auto" w:fill="auto"/>
            <w:noWrap/>
            <w:vAlign w:val="bottom"/>
            <w:hideMark/>
          </w:tcPr>
          <w:p w14:paraId="17C1647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123,317</w:t>
            </w:r>
          </w:p>
        </w:tc>
        <w:tc>
          <w:tcPr>
            <w:tcW w:w="1147" w:type="dxa"/>
            <w:tcBorders>
              <w:top w:val="nil"/>
              <w:left w:val="nil"/>
              <w:bottom w:val="nil"/>
              <w:right w:val="nil"/>
            </w:tcBorders>
            <w:shd w:val="clear" w:color="auto" w:fill="auto"/>
            <w:noWrap/>
            <w:vAlign w:val="bottom"/>
            <w:hideMark/>
          </w:tcPr>
          <w:p w14:paraId="7136EA3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67,760</w:t>
            </w:r>
          </w:p>
        </w:tc>
        <w:tc>
          <w:tcPr>
            <w:tcW w:w="1264" w:type="dxa"/>
            <w:tcBorders>
              <w:top w:val="nil"/>
              <w:left w:val="nil"/>
              <w:bottom w:val="nil"/>
              <w:right w:val="nil"/>
            </w:tcBorders>
            <w:shd w:val="clear" w:color="auto" w:fill="auto"/>
            <w:noWrap/>
            <w:vAlign w:val="bottom"/>
            <w:hideMark/>
          </w:tcPr>
          <w:p w14:paraId="62C4FFE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2,361,009</w:t>
            </w:r>
          </w:p>
        </w:tc>
      </w:tr>
      <w:tr w:rsidR="00CF6817" w:rsidRPr="001A4893" w14:paraId="6D3AF4AB"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6540E2B9"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0546BF2F"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062117B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14,606,278</w:t>
            </w:r>
          </w:p>
        </w:tc>
        <w:tc>
          <w:tcPr>
            <w:tcW w:w="1147" w:type="dxa"/>
            <w:tcBorders>
              <w:top w:val="nil"/>
              <w:left w:val="nil"/>
              <w:bottom w:val="single" w:sz="4" w:space="0" w:color="auto"/>
              <w:right w:val="nil"/>
            </w:tcBorders>
            <w:shd w:val="clear" w:color="auto" w:fill="auto"/>
            <w:noWrap/>
            <w:vAlign w:val="bottom"/>
            <w:hideMark/>
          </w:tcPr>
          <w:p w14:paraId="3E9860D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12,109,905</w:t>
            </w:r>
          </w:p>
        </w:tc>
        <w:tc>
          <w:tcPr>
            <w:tcW w:w="1297" w:type="dxa"/>
            <w:tcBorders>
              <w:top w:val="nil"/>
              <w:left w:val="nil"/>
              <w:bottom w:val="single" w:sz="4" w:space="0" w:color="auto"/>
              <w:right w:val="nil"/>
            </w:tcBorders>
            <w:shd w:val="clear" w:color="auto" w:fill="auto"/>
            <w:noWrap/>
            <w:vAlign w:val="bottom"/>
            <w:hideMark/>
          </w:tcPr>
          <w:p w14:paraId="76C7CDE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936,257</w:t>
            </w:r>
          </w:p>
        </w:tc>
        <w:tc>
          <w:tcPr>
            <w:tcW w:w="1275" w:type="dxa"/>
            <w:tcBorders>
              <w:top w:val="nil"/>
              <w:left w:val="nil"/>
              <w:bottom w:val="single" w:sz="4" w:space="0" w:color="auto"/>
              <w:right w:val="nil"/>
            </w:tcBorders>
            <w:shd w:val="clear" w:color="auto" w:fill="auto"/>
            <w:noWrap/>
            <w:vAlign w:val="bottom"/>
            <w:hideMark/>
          </w:tcPr>
          <w:p w14:paraId="6A3300C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1,225,383</w:t>
            </w:r>
          </w:p>
        </w:tc>
        <w:tc>
          <w:tcPr>
            <w:tcW w:w="1147" w:type="dxa"/>
            <w:tcBorders>
              <w:top w:val="nil"/>
              <w:left w:val="nil"/>
              <w:bottom w:val="single" w:sz="4" w:space="0" w:color="auto"/>
              <w:right w:val="nil"/>
            </w:tcBorders>
            <w:shd w:val="clear" w:color="auto" w:fill="auto"/>
            <w:noWrap/>
            <w:vAlign w:val="bottom"/>
            <w:hideMark/>
          </w:tcPr>
          <w:p w14:paraId="41B2388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2,318,377</w:t>
            </w:r>
          </w:p>
        </w:tc>
        <w:tc>
          <w:tcPr>
            <w:tcW w:w="1264" w:type="dxa"/>
            <w:tcBorders>
              <w:top w:val="nil"/>
              <w:left w:val="nil"/>
              <w:bottom w:val="single" w:sz="4" w:space="0" w:color="auto"/>
              <w:right w:val="nil"/>
            </w:tcBorders>
            <w:shd w:val="clear" w:color="auto" w:fill="auto"/>
            <w:noWrap/>
            <w:vAlign w:val="bottom"/>
            <w:hideMark/>
          </w:tcPr>
          <w:p w14:paraId="6D3033A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31,196,200</w:t>
            </w:r>
          </w:p>
        </w:tc>
      </w:tr>
      <w:tr w:rsidR="00CF6817" w:rsidRPr="001A4893" w14:paraId="002F718D" w14:textId="77777777" w:rsidTr="0054052D">
        <w:trPr>
          <w:trHeight w:val="227"/>
        </w:trPr>
        <w:tc>
          <w:tcPr>
            <w:tcW w:w="1610" w:type="dxa"/>
            <w:tcBorders>
              <w:top w:val="nil"/>
              <w:left w:val="nil"/>
              <w:bottom w:val="nil"/>
              <w:right w:val="nil"/>
            </w:tcBorders>
            <w:shd w:val="clear" w:color="auto" w:fill="auto"/>
            <w:noWrap/>
            <w:vAlign w:val="bottom"/>
            <w:hideMark/>
          </w:tcPr>
          <w:p w14:paraId="09C94454"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Belgium</w:t>
            </w:r>
          </w:p>
        </w:tc>
        <w:tc>
          <w:tcPr>
            <w:tcW w:w="1148" w:type="dxa"/>
            <w:tcBorders>
              <w:top w:val="nil"/>
              <w:left w:val="nil"/>
              <w:bottom w:val="nil"/>
              <w:right w:val="nil"/>
            </w:tcBorders>
            <w:shd w:val="clear" w:color="auto" w:fill="auto"/>
            <w:noWrap/>
            <w:vAlign w:val="bottom"/>
            <w:hideMark/>
          </w:tcPr>
          <w:p w14:paraId="094EF5E7"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353C58E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20,421,574</w:t>
            </w:r>
          </w:p>
        </w:tc>
        <w:tc>
          <w:tcPr>
            <w:tcW w:w="1147" w:type="dxa"/>
            <w:tcBorders>
              <w:top w:val="nil"/>
              <w:left w:val="nil"/>
              <w:bottom w:val="nil"/>
              <w:right w:val="nil"/>
            </w:tcBorders>
            <w:shd w:val="clear" w:color="auto" w:fill="auto"/>
            <w:noWrap/>
            <w:vAlign w:val="bottom"/>
            <w:hideMark/>
          </w:tcPr>
          <w:p w14:paraId="672BD31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15,616,397</w:t>
            </w:r>
          </w:p>
        </w:tc>
        <w:tc>
          <w:tcPr>
            <w:tcW w:w="1297" w:type="dxa"/>
            <w:tcBorders>
              <w:top w:val="nil"/>
              <w:left w:val="nil"/>
              <w:bottom w:val="nil"/>
              <w:right w:val="nil"/>
            </w:tcBorders>
            <w:shd w:val="clear" w:color="auto" w:fill="auto"/>
            <w:noWrap/>
            <w:vAlign w:val="bottom"/>
            <w:hideMark/>
          </w:tcPr>
          <w:p w14:paraId="174ECBA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16,156</w:t>
            </w:r>
          </w:p>
        </w:tc>
        <w:tc>
          <w:tcPr>
            <w:tcW w:w="1275" w:type="dxa"/>
            <w:tcBorders>
              <w:top w:val="nil"/>
              <w:left w:val="nil"/>
              <w:bottom w:val="nil"/>
              <w:right w:val="nil"/>
            </w:tcBorders>
            <w:shd w:val="clear" w:color="auto" w:fill="auto"/>
            <w:noWrap/>
            <w:vAlign w:val="bottom"/>
            <w:hideMark/>
          </w:tcPr>
          <w:p w14:paraId="44E8013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394,082</w:t>
            </w:r>
          </w:p>
        </w:tc>
        <w:tc>
          <w:tcPr>
            <w:tcW w:w="1147" w:type="dxa"/>
            <w:tcBorders>
              <w:top w:val="nil"/>
              <w:left w:val="nil"/>
              <w:bottom w:val="nil"/>
              <w:right w:val="nil"/>
            </w:tcBorders>
            <w:shd w:val="clear" w:color="auto" w:fill="auto"/>
            <w:noWrap/>
            <w:vAlign w:val="bottom"/>
            <w:hideMark/>
          </w:tcPr>
          <w:p w14:paraId="1383674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286,752</w:t>
            </w:r>
          </w:p>
        </w:tc>
        <w:tc>
          <w:tcPr>
            <w:tcW w:w="1264" w:type="dxa"/>
            <w:tcBorders>
              <w:top w:val="nil"/>
              <w:left w:val="nil"/>
              <w:bottom w:val="nil"/>
              <w:right w:val="nil"/>
            </w:tcBorders>
            <w:shd w:val="clear" w:color="auto" w:fill="auto"/>
            <w:noWrap/>
            <w:vAlign w:val="bottom"/>
            <w:hideMark/>
          </w:tcPr>
          <w:p w14:paraId="331D255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36,734,961</w:t>
            </w:r>
          </w:p>
        </w:tc>
      </w:tr>
      <w:tr w:rsidR="00CF6817" w:rsidRPr="001A4893" w14:paraId="2A67F4C6" w14:textId="77777777" w:rsidTr="0054052D">
        <w:trPr>
          <w:trHeight w:val="227"/>
        </w:trPr>
        <w:tc>
          <w:tcPr>
            <w:tcW w:w="1610" w:type="dxa"/>
            <w:tcBorders>
              <w:top w:val="nil"/>
              <w:left w:val="nil"/>
              <w:bottom w:val="nil"/>
              <w:right w:val="nil"/>
            </w:tcBorders>
            <w:shd w:val="clear" w:color="auto" w:fill="auto"/>
            <w:noWrap/>
            <w:vAlign w:val="bottom"/>
            <w:hideMark/>
          </w:tcPr>
          <w:p w14:paraId="3723DF0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762EE65A"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004813B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1,826,983</w:t>
            </w:r>
          </w:p>
        </w:tc>
        <w:tc>
          <w:tcPr>
            <w:tcW w:w="1147" w:type="dxa"/>
            <w:tcBorders>
              <w:top w:val="nil"/>
              <w:left w:val="nil"/>
              <w:bottom w:val="nil"/>
              <w:right w:val="nil"/>
            </w:tcBorders>
            <w:shd w:val="clear" w:color="auto" w:fill="auto"/>
            <w:noWrap/>
            <w:vAlign w:val="bottom"/>
            <w:hideMark/>
          </w:tcPr>
          <w:p w14:paraId="682A1C0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3,533,778</w:t>
            </w:r>
          </w:p>
        </w:tc>
        <w:tc>
          <w:tcPr>
            <w:tcW w:w="1297" w:type="dxa"/>
            <w:tcBorders>
              <w:top w:val="nil"/>
              <w:left w:val="nil"/>
              <w:bottom w:val="nil"/>
              <w:right w:val="nil"/>
            </w:tcBorders>
            <w:shd w:val="clear" w:color="auto" w:fill="auto"/>
            <w:noWrap/>
            <w:vAlign w:val="bottom"/>
            <w:hideMark/>
          </w:tcPr>
          <w:p w14:paraId="3282986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16,641</w:t>
            </w:r>
          </w:p>
        </w:tc>
        <w:tc>
          <w:tcPr>
            <w:tcW w:w="1275" w:type="dxa"/>
            <w:tcBorders>
              <w:top w:val="nil"/>
              <w:left w:val="nil"/>
              <w:bottom w:val="nil"/>
              <w:right w:val="nil"/>
            </w:tcBorders>
            <w:shd w:val="clear" w:color="auto" w:fill="auto"/>
            <w:noWrap/>
            <w:vAlign w:val="bottom"/>
            <w:hideMark/>
          </w:tcPr>
          <w:p w14:paraId="571E924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194,641</w:t>
            </w:r>
          </w:p>
        </w:tc>
        <w:tc>
          <w:tcPr>
            <w:tcW w:w="1147" w:type="dxa"/>
            <w:tcBorders>
              <w:top w:val="nil"/>
              <w:left w:val="nil"/>
              <w:bottom w:val="nil"/>
              <w:right w:val="nil"/>
            </w:tcBorders>
            <w:shd w:val="clear" w:color="auto" w:fill="auto"/>
            <w:noWrap/>
            <w:vAlign w:val="bottom"/>
            <w:hideMark/>
          </w:tcPr>
          <w:p w14:paraId="4ADF3B6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35,508</w:t>
            </w:r>
          </w:p>
        </w:tc>
        <w:tc>
          <w:tcPr>
            <w:tcW w:w="1264" w:type="dxa"/>
            <w:tcBorders>
              <w:top w:val="nil"/>
              <w:left w:val="nil"/>
              <w:bottom w:val="nil"/>
              <w:right w:val="nil"/>
            </w:tcBorders>
            <w:shd w:val="clear" w:color="auto" w:fill="auto"/>
            <w:noWrap/>
            <w:vAlign w:val="bottom"/>
            <w:hideMark/>
          </w:tcPr>
          <w:p w14:paraId="70F60D4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5,607,550</w:t>
            </w:r>
          </w:p>
        </w:tc>
      </w:tr>
      <w:tr w:rsidR="00CF6817" w:rsidRPr="001A4893" w14:paraId="7E5D9C32"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71260833"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B15762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61637AA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22,248,556</w:t>
            </w:r>
          </w:p>
        </w:tc>
        <w:tc>
          <w:tcPr>
            <w:tcW w:w="1147" w:type="dxa"/>
            <w:tcBorders>
              <w:top w:val="nil"/>
              <w:left w:val="nil"/>
              <w:bottom w:val="single" w:sz="4" w:space="0" w:color="auto"/>
              <w:right w:val="nil"/>
            </w:tcBorders>
            <w:shd w:val="clear" w:color="auto" w:fill="auto"/>
            <w:noWrap/>
            <w:vAlign w:val="bottom"/>
            <w:hideMark/>
          </w:tcPr>
          <w:p w14:paraId="4066595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19,150,175</w:t>
            </w:r>
          </w:p>
        </w:tc>
        <w:tc>
          <w:tcPr>
            <w:tcW w:w="1297" w:type="dxa"/>
            <w:tcBorders>
              <w:top w:val="nil"/>
              <w:left w:val="nil"/>
              <w:bottom w:val="single" w:sz="4" w:space="0" w:color="auto"/>
              <w:right w:val="nil"/>
            </w:tcBorders>
            <w:shd w:val="clear" w:color="auto" w:fill="auto"/>
            <w:noWrap/>
            <w:vAlign w:val="bottom"/>
            <w:hideMark/>
          </w:tcPr>
          <w:p w14:paraId="317E9A0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32,797</w:t>
            </w:r>
          </w:p>
        </w:tc>
        <w:tc>
          <w:tcPr>
            <w:tcW w:w="1275" w:type="dxa"/>
            <w:tcBorders>
              <w:top w:val="nil"/>
              <w:left w:val="nil"/>
              <w:bottom w:val="single" w:sz="4" w:space="0" w:color="auto"/>
              <w:right w:val="nil"/>
            </w:tcBorders>
            <w:shd w:val="clear" w:color="auto" w:fill="auto"/>
            <w:noWrap/>
            <w:vAlign w:val="bottom"/>
            <w:hideMark/>
          </w:tcPr>
          <w:p w14:paraId="60E6D6B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588,723</w:t>
            </w:r>
          </w:p>
        </w:tc>
        <w:tc>
          <w:tcPr>
            <w:tcW w:w="1147" w:type="dxa"/>
            <w:tcBorders>
              <w:top w:val="nil"/>
              <w:left w:val="nil"/>
              <w:bottom w:val="single" w:sz="4" w:space="0" w:color="auto"/>
              <w:right w:val="nil"/>
            </w:tcBorders>
            <w:shd w:val="clear" w:color="auto" w:fill="auto"/>
            <w:noWrap/>
            <w:vAlign w:val="bottom"/>
            <w:hideMark/>
          </w:tcPr>
          <w:p w14:paraId="12C7960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322,260</w:t>
            </w:r>
          </w:p>
        </w:tc>
        <w:tc>
          <w:tcPr>
            <w:tcW w:w="1264" w:type="dxa"/>
            <w:tcBorders>
              <w:top w:val="nil"/>
              <w:left w:val="nil"/>
              <w:bottom w:val="single" w:sz="4" w:space="0" w:color="auto"/>
              <w:right w:val="nil"/>
            </w:tcBorders>
            <w:shd w:val="clear" w:color="auto" w:fill="auto"/>
            <w:noWrap/>
            <w:vAlign w:val="bottom"/>
            <w:hideMark/>
          </w:tcPr>
          <w:p w14:paraId="0DD34DD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42,342,512</w:t>
            </w:r>
          </w:p>
        </w:tc>
      </w:tr>
      <w:tr w:rsidR="00CF6817" w:rsidRPr="001A4893" w14:paraId="4170D62F" w14:textId="77777777" w:rsidTr="0054052D">
        <w:trPr>
          <w:trHeight w:val="227"/>
        </w:trPr>
        <w:tc>
          <w:tcPr>
            <w:tcW w:w="1610" w:type="dxa"/>
            <w:tcBorders>
              <w:top w:val="nil"/>
              <w:left w:val="nil"/>
              <w:bottom w:val="nil"/>
              <w:right w:val="nil"/>
            </w:tcBorders>
            <w:shd w:val="clear" w:color="auto" w:fill="auto"/>
            <w:noWrap/>
            <w:vAlign w:val="bottom"/>
            <w:hideMark/>
          </w:tcPr>
          <w:p w14:paraId="683E36BA"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France</w:t>
            </w:r>
          </w:p>
        </w:tc>
        <w:tc>
          <w:tcPr>
            <w:tcW w:w="1148" w:type="dxa"/>
            <w:tcBorders>
              <w:top w:val="nil"/>
              <w:left w:val="nil"/>
              <w:bottom w:val="nil"/>
              <w:right w:val="nil"/>
            </w:tcBorders>
            <w:shd w:val="clear" w:color="auto" w:fill="auto"/>
            <w:noWrap/>
            <w:vAlign w:val="bottom"/>
            <w:hideMark/>
          </w:tcPr>
          <w:p w14:paraId="35C6747C"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196F76A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238,746,058</w:t>
            </w:r>
          </w:p>
        </w:tc>
        <w:tc>
          <w:tcPr>
            <w:tcW w:w="1147" w:type="dxa"/>
            <w:tcBorders>
              <w:top w:val="nil"/>
              <w:left w:val="nil"/>
              <w:bottom w:val="nil"/>
              <w:right w:val="nil"/>
            </w:tcBorders>
            <w:shd w:val="clear" w:color="auto" w:fill="auto"/>
            <w:noWrap/>
            <w:vAlign w:val="bottom"/>
            <w:hideMark/>
          </w:tcPr>
          <w:p w14:paraId="642730E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65,878,270</w:t>
            </w:r>
          </w:p>
        </w:tc>
        <w:tc>
          <w:tcPr>
            <w:tcW w:w="1297" w:type="dxa"/>
            <w:tcBorders>
              <w:top w:val="nil"/>
              <w:left w:val="nil"/>
              <w:bottom w:val="nil"/>
              <w:right w:val="nil"/>
            </w:tcBorders>
            <w:shd w:val="clear" w:color="auto" w:fill="auto"/>
            <w:noWrap/>
            <w:vAlign w:val="bottom"/>
            <w:hideMark/>
          </w:tcPr>
          <w:p w14:paraId="4E8B875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27,227,296</w:t>
            </w:r>
          </w:p>
        </w:tc>
        <w:tc>
          <w:tcPr>
            <w:tcW w:w="1275" w:type="dxa"/>
            <w:tcBorders>
              <w:top w:val="nil"/>
              <w:left w:val="nil"/>
              <w:bottom w:val="nil"/>
              <w:right w:val="nil"/>
            </w:tcBorders>
            <w:shd w:val="clear" w:color="auto" w:fill="auto"/>
            <w:noWrap/>
            <w:vAlign w:val="bottom"/>
            <w:hideMark/>
          </w:tcPr>
          <w:p w14:paraId="59D3559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72,187,226</w:t>
            </w:r>
          </w:p>
        </w:tc>
        <w:tc>
          <w:tcPr>
            <w:tcW w:w="1147" w:type="dxa"/>
            <w:tcBorders>
              <w:top w:val="nil"/>
              <w:left w:val="nil"/>
              <w:bottom w:val="nil"/>
              <w:right w:val="nil"/>
            </w:tcBorders>
            <w:shd w:val="clear" w:color="auto" w:fill="auto"/>
            <w:noWrap/>
            <w:vAlign w:val="bottom"/>
            <w:hideMark/>
          </w:tcPr>
          <w:p w14:paraId="1B8764E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1,830,700</w:t>
            </w:r>
          </w:p>
        </w:tc>
        <w:tc>
          <w:tcPr>
            <w:tcW w:w="1264" w:type="dxa"/>
            <w:tcBorders>
              <w:top w:val="nil"/>
              <w:left w:val="nil"/>
              <w:bottom w:val="nil"/>
              <w:right w:val="nil"/>
            </w:tcBorders>
            <w:shd w:val="clear" w:color="auto" w:fill="auto"/>
            <w:noWrap/>
            <w:vAlign w:val="bottom"/>
            <w:hideMark/>
          </w:tcPr>
          <w:p w14:paraId="34371D6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405,869,551</w:t>
            </w:r>
          </w:p>
        </w:tc>
      </w:tr>
      <w:tr w:rsidR="00CF6817" w:rsidRPr="001A4893" w14:paraId="5FA34C4D" w14:textId="77777777" w:rsidTr="0054052D">
        <w:trPr>
          <w:trHeight w:val="227"/>
        </w:trPr>
        <w:tc>
          <w:tcPr>
            <w:tcW w:w="1610" w:type="dxa"/>
            <w:tcBorders>
              <w:top w:val="nil"/>
              <w:left w:val="nil"/>
              <w:bottom w:val="nil"/>
              <w:right w:val="nil"/>
            </w:tcBorders>
            <w:shd w:val="clear" w:color="auto" w:fill="auto"/>
            <w:noWrap/>
            <w:vAlign w:val="bottom"/>
            <w:hideMark/>
          </w:tcPr>
          <w:p w14:paraId="20D59F0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3E42436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0F20B64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7,817,493</w:t>
            </w:r>
          </w:p>
        </w:tc>
        <w:tc>
          <w:tcPr>
            <w:tcW w:w="1147" w:type="dxa"/>
            <w:tcBorders>
              <w:top w:val="nil"/>
              <w:left w:val="nil"/>
              <w:bottom w:val="nil"/>
              <w:right w:val="nil"/>
            </w:tcBorders>
            <w:shd w:val="clear" w:color="auto" w:fill="auto"/>
            <w:noWrap/>
            <w:vAlign w:val="bottom"/>
            <w:hideMark/>
          </w:tcPr>
          <w:p w14:paraId="74FDEFA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10,167,768</w:t>
            </w:r>
          </w:p>
        </w:tc>
        <w:tc>
          <w:tcPr>
            <w:tcW w:w="1297" w:type="dxa"/>
            <w:tcBorders>
              <w:top w:val="nil"/>
              <w:left w:val="nil"/>
              <w:bottom w:val="nil"/>
              <w:right w:val="nil"/>
            </w:tcBorders>
            <w:shd w:val="clear" w:color="auto" w:fill="auto"/>
            <w:noWrap/>
            <w:vAlign w:val="bottom"/>
            <w:hideMark/>
          </w:tcPr>
          <w:p w14:paraId="4CDEB68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8,372,464</w:t>
            </w:r>
          </w:p>
        </w:tc>
        <w:tc>
          <w:tcPr>
            <w:tcW w:w="1275" w:type="dxa"/>
            <w:tcBorders>
              <w:top w:val="nil"/>
              <w:left w:val="nil"/>
              <w:bottom w:val="nil"/>
              <w:right w:val="nil"/>
            </w:tcBorders>
            <w:shd w:val="clear" w:color="auto" w:fill="auto"/>
            <w:noWrap/>
            <w:vAlign w:val="bottom"/>
            <w:hideMark/>
          </w:tcPr>
          <w:p w14:paraId="170E089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7,645,602</w:t>
            </w:r>
          </w:p>
        </w:tc>
        <w:tc>
          <w:tcPr>
            <w:tcW w:w="1147" w:type="dxa"/>
            <w:tcBorders>
              <w:top w:val="nil"/>
              <w:left w:val="nil"/>
              <w:bottom w:val="nil"/>
              <w:right w:val="nil"/>
            </w:tcBorders>
            <w:shd w:val="clear" w:color="auto" w:fill="auto"/>
            <w:noWrap/>
            <w:vAlign w:val="bottom"/>
            <w:hideMark/>
          </w:tcPr>
          <w:p w14:paraId="106BE8F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142,594</w:t>
            </w:r>
          </w:p>
        </w:tc>
        <w:tc>
          <w:tcPr>
            <w:tcW w:w="1264" w:type="dxa"/>
            <w:tcBorders>
              <w:top w:val="nil"/>
              <w:left w:val="nil"/>
              <w:bottom w:val="nil"/>
              <w:right w:val="nil"/>
            </w:tcBorders>
            <w:shd w:val="clear" w:color="auto" w:fill="auto"/>
            <w:noWrap/>
            <w:vAlign w:val="bottom"/>
            <w:hideMark/>
          </w:tcPr>
          <w:p w14:paraId="16D40A7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34,145,921</w:t>
            </w:r>
          </w:p>
        </w:tc>
      </w:tr>
      <w:tr w:rsidR="00CF6817" w:rsidRPr="001A4893" w14:paraId="7E08036B"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16B31F9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70CF696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600B58D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246,563,551</w:t>
            </w:r>
          </w:p>
        </w:tc>
        <w:tc>
          <w:tcPr>
            <w:tcW w:w="1147" w:type="dxa"/>
            <w:tcBorders>
              <w:top w:val="nil"/>
              <w:left w:val="nil"/>
              <w:bottom w:val="single" w:sz="4" w:space="0" w:color="auto"/>
              <w:right w:val="nil"/>
            </w:tcBorders>
            <w:shd w:val="clear" w:color="auto" w:fill="auto"/>
            <w:noWrap/>
            <w:vAlign w:val="bottom"/>
            <w:hideMark/>
          </w:tcPr>
          <w:p w14:paraId="2E5B90B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76,046,038</w:t>
            </w:r>
          </w:p>
        </w:tc>
        <w:tc>
          <w:tcPr>
            <w:tcW w:w="1297" w:type="dxa"/>
            <w:tcBorders>
              <w:top w:val="nil"/>
              <w:left w:val="nil"/>
              <w:bottom w:val="single" w:sz="4" w:space="0" w:color="auto"/>
              <w:right w:val="nil"/>
            </w:tcBorders>
            <w:shd w:val="clear" w:color="auto" w:fill="auto"/>
            <w:noWrap/>
            <w:vAlign w:val="bottom"/>
            <w:hideMark/>
          </w:tcPr>
          <w:p w14:paraId="09CB6BD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35,599,760</w:t>
            </w:r>
          </w:p>
        </w:tc>
        <w:tc>
          <w:tcPr>
            <w:tcW w:w="1275" w:type="dxa"/>
            <w:tcBorders>
              <w:top w:val="nil"/>
              <w:left w:val="nil"/>
              <w:bottom w:val="single" w:sz="4" w:space="0" w:color="auto"/>
              <w:right w:val="nil"/>
            </w:tcBorders>
            <w:shd w:val="clear" w:color="auto" w:fill="auto"/>
            <w:noWrap/>
            <w:vAlign w:val="bottom"/>
            <w:hideMark/>
          </w:tcPr>
          <w:p w14:paraId="5BF4C2C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79,832,828</w:t>
            </w:r>
          </w:p>
        </w:tc>
        <w:tc>
          <w:tcPr>
            <w:tcW w:w="1147" w:type="dxa"/>
            <w:tcBorders>
              <w:top w:val="nil"/>
              <w:left w:val="nil"/>
              <w:bottom w:val="single" w:sz="4" w:space="0" w:color="auto"/>
              <w:right w:val="nil"/>
            </w:tcBorders>
            <w:shd w:val="clear" w:color="auto" w:fill="auto"/>
            <w:noWrap/>
            <w:vAlign w:val="bottom"/>
            <w:hideMark/>
          </w:tcPr>
          <w:p w14:paraId="57E1954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1,973,294</w:t>
            </w:r>
          </w:p>
        </w:tc>
        <w:tc>
          <w:tcPr>
            <w:tcW w:w="1264" w:type="dxa"/>
            <w:tcBorders>
              <w:top w:val="nil"/>
              <w:left w:val="nil"/>
              <w:bottom w:val="single" w:sz="4" w:space="0" w:color="auto"/>
              <w:right w:val="nil"/>
            </w:tcBorders>
            <w:shd w:val="clear" w:color="auto" w:fill="auto"/>
            <w:noWrap/>
            <w:vAlign w:val="bottom"/>
            <w:hideMark/>
          </w:tcPr>
          <w:p w14:paraId="0427983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440,015,471</w:t>
            </w:r>
          </w:p>
        </w:tc>
      </w:tr>
      <w:tr w:rsidR="00CF6817" w:rsidRPr="001A4893" w14:paraId="28B43AB3" w14:textId="77777777" w:rsidTr="0054052D">
        <w:trPr>
          <w:trHeight w:val="227"/>
        </w:trPr>
        <w:tc>
          <w:tcPr>
            <w:tcW w:w="1610" w:type="dxa"/>
            <w:tcBorders>
              <w:top w:val="nil"/>
              <w:left w:val="nil"/>
              <w:bottom w:val="nil"/>
              <w:right w:val="nil"/>
            </w:tcBorders>
            <w:shd w:val="clear" w:color="auto" w:fill="auto"/>
            <w:noWrap/>
            <w:vAlign w:val="bottom"/>
            <w:hideMark/>
          </w:tcPr>
          <w:p w14:paraId="147826F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Germany</w:t>
            </w:r>
          </w:p>
        </w:tc>
        <w:tc>
          <w:tcPr>
            <w:tcW w:w="1148" w:type="dxa"/>
            <w:tcBorders>
              <w:top w:val="nil"/>
              <w:left w:val="nil"/>
              <w:bottom w:val="nil"/>
              <w:right w:val="nil"/>
            </w:tcBorders>
            <w:shd w:val="clear" w:color="auto" w:fill="auto"/>
            <w:noWrap/>
            <w:vAlign w:val="bottom"/>
            <w:hideMark/>
          </w:tcPr>
          <w:p w14:paraId="607BBEC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0651B09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80,119,748</w:t>
            </w:r>
          </w:p>
        </w:tc>
        <w:tc>
          <w:tcPr>
            <w:tcW w:w="1147" w:type="dxa"/>
            <w:tcBorders>
              <w:top w:val="nil"/>
              <w:left w:val="nil"/>
              <w:bottom w:val="nil"/>
              <w:right w:val="nil"/>
            </w:tcBorders>
            <w:shd w:val="clear" w:color="auto" w:fill="auto"/>
            <w:noWrap/>
            <w:vAlign w:val="bottom"/>
            <w:hideMark/>
          </w:tcPr>
          <w:p w14:paraId="06F0F08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38,671,874</w:t>
            </w:r>
          </w:p>
        </w:tc>
        <w:tc>
          <w:tcPr>
            <w:tcW w:w="1297" w:type="dxa"/>
            <w:tcBorders>
              <w:top w:val="nil"/>
              <w:left w:val="nil"/>
              <w:bottom w:val="nil"/>
              <w:right w:val="nil"/>
            </w:tcBorders>
            <w:shd w:val="clear" w:color="auto" w:fill="auto"/>
            <w:noWrap/>
            <w:vAlign w:val="bottom"/>
            <w:hideMark/>
          </w:tcPr>
          <w:p w14:paraId="6447D95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149,850</w:t>
            </w:r>
          </w:p>
        </w:tc>
        <w:tc>
          <w:tcPr>
            <w:tcW w:w="1275" w:type="dxa"/>
            <w:tcBorders>
              <w:top w:val="nil"/>
              <w:left w:val="nil"/>
              <w:bottom w:val="nil"/>
              <w:right w:val="nil"/>
            </w:tcBorders>
            <w:shd w:val="clear" w:color="auto" w:fill="auto"/>
            <w:noWrap/>
            <w:vAlign w:val="bottom"/>
            <w:hideMark/>
          </w:tcPr>
          <w:p w14:paraId="336A7D5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9,813,860</w:t>
            </w:r>
          </w:p>
        </w:tc>
        <w:tc>
          <w:tcPr>
            <w:tcW w:w="1147" w:type="dxa"/>
            <w:tcBorders>
              <w:top w:val="nil"/>
              <w:left w:val="nil"/>
              <w:bottom w:val="nil"/>
              <w:right w:val="nil"/>
            </w:tcBorders>
            <w:shd w:val="clear" w:color="auto" w:fill="auto"/>
            <w:noWrap/>
            <w:vAlign w:val="bottom"/>
            <w:hideMark/>
          </w:tcPr>
          <w:p w14:paraId="1757EB3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3,363,655</w:t>
            </w:r>
          </w:p>
        </w:tc>
        <w:tc>
          <w:tcPr>
            <w:tcW w:w="1264" w:type="dxa"/>
            <w:tcBorders>
              <w:top w:val="nil"/>
              <w:left w:val="nil"/>
              <w:bottom w:val="nil"/>
              <w:right w:val="nil"/>
            </w:tcBorders>
            <w:shd w:val="clear" w:color="auto" w:fill="auto"/>
            <w:noWrap/>
            <w:vAlign w:val="bottom"/>
            <w:hideMark/>
          </w:tcPr>
          <w:p w14:paraId="22E7910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132,118,988</w:t>
            </w:r>
          </w:p>
        </w:tc>
      </w:tr>
      <w:tr w:rsidR="00CF6817" w:rsidRPr="001A4893" w14:paraId="02CCE0E8" w14:textId="77777777" w:rsidTr="0054052D">
        <w:trPr>
          <w:trHeight w:val="227"/>
        </w:trPr>
        <w:tc>
          <w:tcPr>
            <w:tcW w:w="1610" w:type="dxa"/>
            <w:tcBorders>
              <w:top w:val="nil"/>
              <w:left w:val="nil"/>
              <w:bottom w:val="nil"/>
              <w:right w:val="nil"/>
            </w:tcBorders>
            <w:shd w:val="clear" w:color="auto" w:fill="auto"/>
            <w:noWrap/>
            <w:vAlign w:val="bottom"/>
            <w:hideMark/>
          </w:tcPr>
          <w:p w14:paraId="253CA77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22F244AC"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4341414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7,013,929</w:t>
            </w:r>
          </w:p>
        </w:tc>
        <w:tc>
          <w:tcPr>
            <w:tcW w:w="1147" w:type="dxa"/>
            <w:tcBorders>
              <w:top w:val="nil"/>
              <w:left w:val="nil"/>
              <w:bottom w:val="nil"/>
              <w:right w:val="nil"/>
            </w:tcBorders>
            <w:shd w:val="clear" w:color="auto" w:fill="auto"/>
            <w:noWrap/>
            <w:vAlign w:val="bottom"/>
            <w:hideMark/>
          </w:tcPr>
          <w:p w14:paraId="3972A6A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5,574,744</w:t>
            </w:r>
          </w:p>
        </w:tc>
        <w:tc>
          <w:tcPr>
            <w:tcW w:w="1297" w:type="dxa"/>
            <w:tcBorders>
              <w:top w:val="nil"/>
              <w:left w:val="nil"/>
              <w:bottom w:val="nil"/>
              <w:right w:val="nil"/>
            </w:tcBorders>
            <w:shd w:val="clear" w:color="auto" w:fill="auto"/>
            <w:noWrap/>
            <w:vAlign w:val="bottom"/>
            <w:hideMark/>
          </w:tcPr>
          <w:p w14:paraId="7E70F8C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28,907</w:t>
            </w:r>
          </w:p>
        </w:tc>
        <w:tc>
          <w:tcPr>
            <w:tcW w:w="1275" w:type="dxa"/>
            <w:tcBorders>
              <w:top w:val="nil"/>
              <w:left w:val="nil"/>
              <w:bottom w:val="nil"/>
              <w:right w:val="nil"/>
            </w:tcBorders>
            <w:shd w:val="clear" w:color="auto" w:fill="auto"/>
            <w:noWrap/>
            <w:vAlign w:val="bottom"/>
            <w:hideMark/>
          </w:tcPr>
          <w:p w14:paraId="4F0625B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934,988</w:t>
            </w:r>
          </w:p>
        </w:tc>
        <w:tc>
          <w:tcPr>
            <w:tcW w:w="1147" w:type="dxa"/>
            <w:tcBorders>
              <w:top w:val="nil"/>
              <w:left w:val="nil"/>
              <w:bottom w:val="nil"/>
              <w:right w:val="nil"/>
            </w:tcBorders>
            <w:shd w:val="clear" w:color="auto" w:fill="auto"/>
            <w:noWrap/>
            <w:vAlign w:val="bottom"/>
            <w:hideMark/>
          </w:tcPr>
          <w:p w14:paraId="39E1DBE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113,046</w:t>
            </w:r>
          </w:p>
        </w:tc>
        <w:tc>
          <w:tcPr>
            <w:tcW w:w="1264" w:type="dxa"/>
            <w:tcBorders>
              <w:top w:val="nil"/>
              <w:left w:val="nil"/>
              <w:bottom w:val="nil"/>
              <w:right w:val="nil"/>
            </w:tcBorders>
            <w:shd w:val="clear" w:color="auto" w:fill="auto"/>
            <w:noWrap/>
            <w:vAlign w:val="bottom"/>
            <w:hideMark/>
          </w:tcPr>
          <w:p w14:paraId="28BD575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13,665,614</w:t>
            </w:r>
          </w:p>
        </w:tc>
      </w:tr>
      <w:tr w:rsidR="00CF6817" w:rsidRPr="001A4893" w14:paraId="60D412E4"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08DCC32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183782B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249E854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87,133,677</w:t>
            </w:r>
          </w:p>
        </w:tc>
        <w:tc>
          <w:tcPr>
            <w:tcW w:w="1147" w:type="dxa"/>
            <w:tcBorders>
              <w:top w:val="nil"/>
              <w:left w:val="nil"/>
              <w:bottom w:val="single" w:sz="4" w:space="0" w:color="auto"/>
              <w:right w:val="nil"/>
            </w:tcBorders>
            <w:shd w:val="clear" w:color="auto" w:fill="auto"/>
            <w:noWrap/>
            <w:vAlign w:val="bottom"/>
            <w:hideMark/>
          </w:tcPr>
          <w:p w14:paraId="706AF6F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44,246,618</w:t>
            </w:r>
          </w:p>
        </w:tc>
        <w:tc>
          <w:tcPr>
            <w:tcW w:w="1297" w:type="dxa"/>
            <w:tcBorders>
              <w:top w:val="nil"/>
              <w:left w:val="nil"/>
              <w:bottom w:val="single" w:sz="4" w:space="0" w:color="auto"/>
              <w:right w:val="nil"/>
            </w:tcBorders>
            <w:shd w:val="clear" w:color="auto" w:fill="auto"/>
            <w:noWrap/>
            <w:vAlign w:val="bottom"/>
            <w:hideMark/>
          </w:tcPr>
          <w:p w14:paraId="5290B2C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178,758</w:t>
            </w:r>
          </w:p>
        </w:tc>
        <w:tc>
          <w:tcPr>
            <w:tcW w:w="1275" w:type="dxa"/>
            <w:tcBorders>
              <w:top w:val="nil"/>
              <w:left w:val="nil"/>
              <w:bottom w:val="single" w:sz="4" w:space="0" w:color="auto"/>
              <w:right w:val="nil"/>
            </w:tcBorders>
            <w:shd w:val="clear" w:color="auto" w:fill="auto"/>
            <w:noWrap/>
            <w:vAlign w:val="bottom"/>
            <w:hideMark/>
          </w:tcPr>
          <w:p w14:paraId="1427BDD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10,748,848</w:t>
            </w:r>
          </w:p>
        </w:tc>
        <w:tc>
          <w:tcPr>
            <w:tcW w:w="1147" w:type="dxa"/>
            <w:tcBorders>
              <w:top w:val="nil"/>
              <w:left w:val="nil"/>
              <w:bottom w:val="single" w:sz="4" w:space="0" w:color="auto"/>
              <w:right w:val="nil"/>
            </w:tcBorders>
            <w:shd w:val="clear" w:color="auto" w:fill="auto"/>
            <w:noWrap/>
            <w:vAlign w:val="bottom"/>
            <w:hideMark/>
          </w:tcPr>
          <w:p w14:paraId="53AA750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3,476,702</w:t>
            </w:r>
          </w:p>
        </w:tc>
        <w:tc>
          <w:tcPr>
            <w:tcW w:w="1264" w:type="dxa"/>
            <w:tcBorders>
              <w:top w:val="nil"/>
              <w:left w:val="nil"/>
              <w:bottom w:val="single" w:sz="4" w:space="0" w:color="auto"/>
              <w:right w:val="nil"/>
            </w:tcBorders>
            <w:shd w:val="clear" w:color="auto" w:fill="auto"/>
            <w:noWrap/>
            <w:vAlign w:val="bottom"/>
            <w:hideMark/>
          </w:tcPr>
          <w:p w14:paraId="4D58C03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145,784,602</w:t>
            </w:r>
          </w:p>
        </w:tc>
      </w:tr>
      <w:tr w:rsidR="00CF6817" w:rsidRPr="001A4893" w14:paraId="54805439" w14:textId="77777777" w:rsidTr="0054052D">
        <w:trPr>
          <w:trHeight w:val="227"/>
        </w:trPr>
        <w:tc>
          <w:tcPr>
            <w:tcW w:w="1610" w:type="dxa"/>
            <w:tcBorders>
              <w:top w:val="nil"/>
              <w:left w:val="nil"/>
              <w:bottom w:val="nil"/>
              <w:right w:val="nil"/>
            </w:tcBorders>
            <w:shd w:val="clear" w:color="auto" w:fill="auto"/>
            <w:noWrap/>
            <w:vAlign w:val="bottom"/>
            <w:hideMark/>
          </w:tcPr>
          <w:p w14:paraId="42E5A52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Ireland</w:t>
            </w:r>
          </w:p>
        </w:tc>
        <w:tc>
          <w:tcPr>
            <w:tcW w:w="1148" w:type="dxa"/>
            <w:tcBorders>
              <w:top w:val="nil"/>
              <w:left w:val="nil"/>
              <w:bottom w:val="nil"/>
              <w:right w:val="nil"/>
            </w:tcBorders>
            <w:shd w:val="clear" w:color="auto" w:fill="auto"/>
            <w:noWrap/>
            <w:vAlign w:val="bottom"/>
            <w:hideMark/>
          </w:tcPr>
          <w:p w14:paraId="7EFD60FE"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597EE75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132,654,910</w:t>
            </w:r>
          </w:p>
        </w:tc>
        <w:tc>
          <w:tcPr>
            <w:tcW w:w="1147" w:type="dxa"/>
            <w:tcBorders>
              <w:top w:val="nil"/>
              <w:left w:val="nil"/>
              <w:bottom w:val="nil"/>
              <w:right w:val="nil"/>
            </w:tcBorders>
            <w:shd w:val="clear" w:color="auto" w:fill="auto"/>
            <w:noWrap/>
            <w:vAlign w:val="bottom"/>
            <w:hideMark/>
          </w:tcPr>
          <w:p w14:paraId="747D99D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38,154,165</w:t>
            </w:r>
          </w:p>
        </w:tc>
        <w:tc>
          <w:tcPr>
            <w:tcW w:w="1297" w:type="dxa"/>
            <w:tcBorders>
              <w:top w:val="nil"/>
              <w:left w:val="nil"/>
              <w:bottom w:val="nil"/>
              <w:right w:val="nil"/>
            </w:tcBorders>
            <w:shd w:val="clear" w:color="auto" w:fill="auto"/>
            <w:noWrap/>
            <w:vAlign w:val="bottom"/>
            <w:hideMark/>
          </w:tcPr>
          <w:p w14:paraId="1183D7E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09FD6F2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10,095,763</w:t>
            </w:r>
          </w:p>
        </w:tc>
        <w:tc>
          <w:tcPr>
            <w:tcW w:w="1147" w:type="dxa"/>
            <w:tcBorders>
              <w:top w:val="nil"/>
              <w:left w:val="nil"/>
              <w:bottom w:val="nil"/>
              <w:right w:val="nil"/>
            </w:tcBorders>
            <w:shd w:val="clear" w:color="auto" w:fill="auto"/>
            <w:noWrap/>
            <w:vAlign w:val="bottom"/>
            <w:hideMark/>
          </w:tcPr>
          <w:p w14:paraId="5A9D657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nil"/>
              <w:right w:val="nil"/>
            </w:tcBorders>
            <w:shd w:val="clear" w:color="auto" w:fill="auto"/>
            <w:noWrap/>
            <w:vAlign w:val="bottom"/>
            <w:hideMark/>
          </w:tcPr>
          <w:p w14:paraId="634B22B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180,904,838</w:t>
            </w:r>
          </w:p>
        </w:tc>
      </w:tr>
      <w:tr w:rsidR="00CF6817" w:rsidRPr="001A4893" w14:paraId="6B1F0E2C" w14:textId="77777777" w:rsidTr="0054052D">
        <w:trPr>
          <w:trHeight w:val="227"/>
        </w:trPr>
        <w:tc>
          <w:tcPr>
            <w:tcW w:w="1610" w:type="dxa"/>
            <w:tcBorders>
              <w:top w:val="nil"/>
              <w:left w:val="nil"/>
              <w:bottom w:val="nil"/>
              <w:right w:val="nil"/>
            </w:tcBorders>
            <w:shd w:val="clear" w:color="auto" w:fill="auto"/>
            <w:noWrap/>
            <w:vAlign w:val="bottom"/>
            <w:hideMark/>
          </w:tcPr>
          <w:p w14:paraId="5A2BE4F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60FB1AB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1C3DA40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24,444,456</w:t>
            </w:r>
          </w:p>
        </w:tc>
        <w:tc>
          <w:tcPr>
            <w:tcW w:w="1147" w:type="dxa"/>
            <w:tcBorders>
              <w:top w:val="nil"/>
              <w:left w:val="nil"/>
              <w:bottom w:val="nil"/>
              <w:right w:val="nil"/>
            </w:tcBorders>
            <w:shd w:val="clear" w:color="auto" w:fill="auto"/>
            <w:noWrap/>
            <w:vAlign w:val="bottom"/>
            <w:hideMark/>
          </w:tcPr>
          <w:p w14:paraId="03CB1C9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24,016,231</w:t>
            </w:r>
          </w:p>
        </w:tc>
        <w:tc>
          <w:tcPr>
            <w:tcW w:w="1297" w:type="dxa"/>
            <w:tcBorders>
              <w:top w:val="nil"/>
              <w:left w:val="nil"/>
              <w:bottom w:val="nil"/>
              <w:right w:val="nil"/>
            </w:tcBorders>
            <w:shd w:val="clear" w:color="auto" w:fill="auto"/>
            <w:noWrap/>
            <w:vAlign w:val="bottom"/>
            <w:hideMark/>
          </w:tcPr>
          <w:p w14:paraId="22151B4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1EC4831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7,486,886</w:t>
            </w:r>
          </w:p>
        </w:tc>
        <w:tc>
          <w:tcPr>
            <w:tcW w:w="1147" w:type="dxa"/>
            <w:tcBorders>
              <w:top w:val="nil"/>
              <w:left w:val="nil"/>
              <w:bottom w:val="nil"/>
              <w:right w:val="nil"/>
            </w:tcBorders>
            <w:shd w:val="clear" w:color="auto" w:fill="auto"/>
            <w:noWrap/>
            <w:vAlign w:val="bottom"/>
            <w:hideMark/>
          </w:tcPr>
          <w:p w14:paraId="73E6768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nil"/>
              <w:right w:val="nil"/>
            </w:tcBorders>
            <w:shd w:val="clear" w:color="auto" w:fill="auto"/>
            <w:noWrap/>
            <w:vAlign w:val="bottom"/>
            <w:hideMark/>
          </w:tcPr>
          <w:p w14:paraId="6B5D089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55,947,574</w:t>
            </w:r>
          </w:p>
        </w:tc>
      </w:tr>
      <w:tr w:rsidR="00CF6817" w:rsidRPr="001A4893" w14:paraId="6720D00C"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216FAA4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3E4BFE9"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09A31E1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157,099,366</w:t>
            </w:r>
          </w:p>
        </w:tc>
        <w:tc>
          <w:tcPr>
            <w:tcW w:w="1147" w:type="dxa"/>
            <w:tcBorders>
              <w:top w:val="nil"/>
              <w:left w:val="nil"/>
              <w:bottom w:val="single" w:sz="4" w:space="0" w:color="auto"/>
              <w:right w:val="nil"/>
            </w:tcBorders>
            <w:shd w:val="clear" w:color="auto" w:fill="auto"/>
            <w:noWrap/>
            <w:vAlign w:val="bottom"/>
            <w:hideMark/>
          </w:tcPr>
          <w:p w14:paraId="51C741E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62,170,396</w:t>
            </w:r>
          </w:p>
        </w:tc>
        <w:tc>
          <w:tcPr>
            <w:tcW w:w="1297" w:type="dxa"/>
            <w:tcBorders>
              <w:top w:val="nil"/>
              <w:left w:val="nil"/>
              <w:bottom w:val="single" w:sz="4" w:space="0" w:color="auto"/>
              <w:right w:val="nil"/>
            </w:tcBorders>
            <w:shd w:val="clear" w:color="auto" w:fill="auto"/>
            <w:noWrap/>
            <w:vAlign w:val="bottom"/>
            <w:hideMark/>
          </w:tcPr>
          <w:p w14:paraId="643764E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single" w:sz="4" w:space="0" w:color="auto"/>
              <w:right w:val="nil"/>
            </w:tcBorders>
            <w:shd w:val="clear" w:color="auto" w:fill="auto"/>
            <w:noWrap/>
            <w:vAlign w:val="bottom"/>
            <w:hideMark/>
          </w:tcPr>
          <w:p w14:paraId="3C26B7A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17,582,650</w:t>
            </w:r>
          </w:p>
        </w:tc>
        <w:tc>
          <w:tcPr>
            <w:tcW w:w="1147" w:type="dxa"/>
            <w:tcBorders>
              <w:top w:val="nil"/>
              <w:left w:val="nil"/>
              <w:bottom w:val="single" w:sz="4" w:space="0" w:color="auto"/>
              <w:right w:val="nil"/>
            </w:tcBorders>
            <w:shd w:val="clear" w:color="auto" w:fill="auto"/>
            <w:noWrap/>
            <w:vAlign w:val="bottom"/>
            <w:hideMark/>
          </w:tcPr>
          <w:p w14:paraId="346145C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single" w:sz="4" w:space="0" w:color="auto"/>
              <w:right w:val="nil"/>
            </w:tcBorders>
            <w:shd w:val="clear" w:color="auto" w:fill="auto"/>
            <w:noWrap/>
            <w:vAlign w:val="bottom"/>
            <w:hideMark/>
          </w:tcPr>
          <w:p w14:paraId="12BFE78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236,852,412</w:t>
            </w:r>
          </w:p>
        </w:tc>
      </w:tr>
      <w:tr w:rsidR="00CF6817" w:rsidRPr="001A4893" w14:paraId="33D85D74" w14:textId="77777777" w:rsidTr="0054052D">
        <w:trPr>
          <w:trHeight w:val="227"/>
        </w:trPr>
        <w:tc>
          <w:tcPr>
            <w:tcW w:w="1610" w:type="dxa"/>
            <w:tcBorders>
              <w:top w:val="nil"/>
              <w:left w:val="nil"/>
              <w:bottom w:val="nil"/>
              <w:right w:val="nil"/>
            </w:tcBorders>
            <w:shd w:val="clear" w:color="auto" w:fill="auto"/>
            <w:noWrap/>
            <w:vAlign w:val="bottom"/>
            <w:hideMark/>
          </w:tcPr>
          <w:p w14:paraId="70DA3F3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Israel</w:t>
            </w:r>
          </w:p>
        </w:tc>
        <w:tc>
          <w:tcPr>
            <w:tcW w:w="1148" w:type="dxa"/>
            <w:tcBorders>
              <w:top w:val="nil"/>
              <w:left w:val="nil"/>
              <w:bottom w:val="nil"/>
              <w:right w:val="nil"/>
            </w:tcBorders>
            <w:shd w:val="clear" w:color="auto" w:fill="auto"/>
            <w:noWrap/>
            <w:vAlign w:val="bottom"/>
            <w:hideMark/>
          </w:tcPr>
          <w:p w14:paraId="7FB704A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B3B64F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nil"/>
              <w:right w:val="nil"/>
            </w:tcBorders>
            <w:shd w:val="clear" w:color="auto" w:fill="auto"/>
            <w:noWrap/>
            <w:vAlign w:val="bottom"/>
            <w:hideMark/>
          </w:tcPr>
          <w:p w14:paraId="209C7AB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97" w:type="dxa"/>
            <w:tcBorders>
              <w:top w:val="nil"/>
              <w:left w:val="nil"/>
              <w:bottom w:val="nil"/>
              <w:right w:val="nil"/>
            </w:tcBorders>
            <w:shd w:val="clear" w:color="auto" w:fill="auto"/>
            <w:noWrap/>
            <w:vAlign w:val="bottom"/>
            <w:hideMark/>
          </w:tcPr>
          <w:p w14:paraId="2E1DBB4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45A5FD4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162,971</w:t>
            </w:r>
          </w:p>
        </w:tc>
        <w:tc>
          <w:tcPr>
            <w:tcW w:w="1147" w:type="dxa"/>
            <w:tcBorders>
              <w:top w:val="nil"/>
              <w:left w:val="nil"/>
              <w:bottom w:val="nil"/>
              <w:right w:val="nil"/>
            </w:tcBorders>
            <w:shd w:val="clear" w:color="auto" w:fill="auto"/>
            <w:noWrap/>
            <w:vAlign w:val="bottom"/>
            <w:hideMark/>
          </w:tcPr>
          <w:p w14:paraId="0BF2D4B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36,033</w:t>
            </w:r>
          </w:p>
        </w:tc>
        <w:tc>
          <w:tcPr>
            <w:tcW w:w="1264" w:type="dxa"/>
            <w:tcBorders>
              <w:top w:val="nil"/>
              <w:left w:val="nil"/>
              <w:bottom w:val="nil"/>
              <w:right w:val="nil"/>
            </w:tcBorders>
            <w:shd w:val="clear" w:color="auto" w:fill="auto"/>
            <w:noWrap/>
            <w:vAlign w:val="bottom"/>
            <w:hideMark/>
          </w:tcPr>
          <w:p w14:paraId="7DD6C88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199,004</w:t>
            </w:r>
          </w:p>
        </w:tc>
      </w:tr>
      <w:tr w:rsidR="00CF6817" w:rsidRPr="001A4893" w14:paraId="2CB8B7A5" w14:textId="77777777" w:rsidTr="0054052D">
        <w:trPr>
          <w:trHeight w:val="227"/>
        </w:trPr>
        <w:tc>
          <w:tcPr>
            <w:tcW w:w="1610" w:type="dxa"/>
            <w:tcBorders>
              <w:top w:val="nil"/>
              <w:left w:val="nil"/>
              <w:bottom w:val="nil"/>
              <w:right w:val="nil"/>
            </w:tcBorders>
            <w:shd w:val="clear" w:color="auto" w:fill="auto"/>
            <w:noWrap/>
            <w:vAlign w:val="bottom"/>
            <w:hideMark/>
          </w:tcPr>
          <w:p w14:paraId="0E8606C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46BEDFC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239AB25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nil"/>
              <w:right w:val="nil"/>
            </w:tcBorders>
            <w:shd w:val="clear" w:color="auto" w:fill="auto"/>
            <w:noWrap/>
            <w:vAlign w:val="bottom"/>
            <w:hideMark/>
          </w:tcPr>
          <w:p w14:paraId="00B7F16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26,170</w:t>
            </w:r>
          </w:p>
        </w:tc>
        <w:tc>
          <w:tcPr>
            <w:tcW w:w="1297" w:type="dxa"/>
            <w:tcBorders>
              <w:top w:val="nil"/>
              <w:left w:val="nil"/>
              <w:bottom w:val="nil"/>
              <w:right w:val="nil"/>
            </w:tcBorders>
            <w:shd w:val="clear" w:color="auto" w:fill="auto"/>
            <w:noWrap/>
            <w:vAlign w:val="bottom"/>
            <w:hideMark/>
          </w:tcPr>
          <w:p w14:paraId="2BB38D7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22472B2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nil"/>
              <w:right w:val="nil"/>
            </w:tcBorders>
            <w:shd w:val="clear" w:color="auto" w:fill="auto"/>
            <w:noWrap/>
            <w:vAlign w:val="bottom"/>
            <w:hideMark/>
          </w:tcPr>
          <w:p w14:paraId="1F4E83F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nil"/>
              <w:right w:val="nil"/>
            </w:tcBorders>
            <w:shd w:val="clear" w:color="auto" w:fill="auto"/>
            <w:noWrap/>
            <w:vAlign w:val="bottom"/>
            <w:hideMark/>
          </w:tcPr>
          <w:p w14:paraId="22297D4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26,170</w:t>
            </w:r>
          </w:p>
        </w:tc>
      </w:tr>
      <w:tr w:rsidR="00CF6817" w:rsidRPr="001A4893" w14:paraId="62631203"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456A0DC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109F1214"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41853A6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single" w:sz="4" w:space="0" w:color="auto"/>
              <w:right w:val="nil"/>
            </w:tcBorders>
            <w:shd w:val="clear" w:color="auto" w:fill="auto"/>
            <w:noWrap/>
            <w:vAlign w:val="bottom"/>
            <w:hideMark/>
          </w:tcPr>
          <w:p w14:paraId="2F1EFAB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26,170</w:t>
            </w:r>
          </w:p>
        </w:tc>
        <w:tc>
          <w:tcPr>
            <w:tcW w:w="1297" w:type="dxa"/>
            <w:tcBorders>
              <w:top w:val="nil"/>
              <w:left w:val="nil"/>
              <w:bottom w:val="single" w:sz="4" w:space="0" w:color="auto"/>
              <w:right w:val="nil"/>
            </w:tcBorders>
            <w:shd w:val="clear" w:color="auto" w:fill="auto"/>
            <w:noWrap/>
            <w:vAlign w:val="bottom"/>
            <w:hideMark/>
          </w:tcPr>
          <w:p w14:paraId="5284B17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single" w:sz="4" w:space="0" w:color="auto"/>
              <w:right w:val="nil"/>
            </w:tcBorders>
            <w:shd w:val="clear" w:color="auto" w:fill="auto"/>
            <w:noWrap/>
            <w:vAlign w:val="bottom"/>
            <w:hideMark/>
          </w:tcPr>
          <w:p w14:paraId="4798250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162,971</w:t>
            </w:r>
          </w:p>
        </w:tc>
        <w:tc>
          <w:tcPr>
            <w:tcW w:w="1147" w:type="dxa"/>
            <w:tcBorders>
              <w:top w:val="nil"/>
              <w:left w:val="nil"/>
              <w:bottom w:val="single" w:sz="4" w:space="0" w:color="auto"/>
              <w:right w:val="nil"/>
            </w:tcBorders>
            <w:shd w:val="clear" w:color="auto" w:fill="auto"/>
            <w:noWrap/>
            <w:vAlign w:val="bottom"/>
            <w:hideMark/>
          </w:tcPr>
          <w:p w14:paraId="32D1436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36,033</w:t>
            </w:r>
          </w:p>
        </w:tc>
        <w:tc>
          <w:tcPr>
            <w:tcW w:w="1264" w:type="dxa"/>
            <w:tcBorders>
              <w:top w:val="nil"/>
              <w:left w:val="nil"/>
              <w:bottom w:val="single" w:sz="4" w:space="0" w:color="auto"/>
              <w:right w:val="nil"/>
            </w:tcBorders>
            <w:shd w:val="clear" w:color="auto" w:fill="auto"/>
            <w:noWrap/>
            <w:vAlign w:val="bottom"/>
            <w:hideMark/>
          </w:tcPr>
          <w:p w14:paraId="21129EC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225,174</w:t>
            </w:r>
          </w:p>
        </w:tc>
      </w:tr>
      <w:tr w:rsidR="00CF6817" w:rsidRPr="001A4893" w14:paraId="3ED00ACE" w14:textId="77777777" w:rsidTr="0054052D">
        <w:trPr>
          <w:trHeight w:val="227"/>
        </w:trPr>
        <w:tc>
          <w:tcPr>
            <w:tcW w:w="1610" w:type="dxa"/>
            <w:tcBorders>
              <w:top w:val="nil"/>
              <w:left w:val="nil"/>
              <w:bottom w:val="nil"/>
              <w:right w:val="nil"/>
            </w:tcBorders>
            <w:shd w:val="clear" w:color="auto" w:fill="auto"/>
            <w:noWrap/>
            <w:vAlign w:val="bottom"/>
            <w:hideMark/>
          </w:tcPr>
          <w:p w14:paraId="0DB6DA6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Italy</w:t>
            </w:r>
          </w:p>
        </w:tc>
        <w:tc>
          <w:tcPr>
            <w:tcW w:w="1148" w:type="dxa"/>
            <w:tcBorders>
              <w:top w:val="nil"/>
              <w:left w:val="nil"/>
              <w:bottom w:val="nil"/>
              <w:right w:val="nil"/>
            </w:tcBorders>
            <w:shd w:val="clear" w:color="auto" w:fill="auto"/>
            <w:noWrap/>
            <w:vAlign w:val="bottom"/>
            <w:hideMark/>
          </w:tcPr>
          <w:p w14:paraId="3AE4742F"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694A0AB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7,639,570</w:t>
            </w:r>
          </w:p>
        </w:tc>
        <w:tc>
          <w:tcPr>
            <w:tcW w:w="1147" w:type="dxa"/>
            <w:tcBorders>
              <w:top w:val="nil"/>
              <w:left w:val="nil"/>
              <w:bottom w:val="nil"/>
              <w:right w:val="nil"/>
            </w:tcBorders>
            <w:shd w:val="clear" w:color="auto" w:fill="auto"/>
            <w:noWrap/>
            <w:vAlign w:val="bottom"/>
            <w:hideMark/>
          </w:tcPr>
          <w:p w14:paraId="5889C79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20,337,358</w:t>
            </w:r>
          </w:p>
        </w:tc>
        <w:tc>
          <w:tcPr>
            <w:tcW w:w="1297" w:type="dxa"/>
            <w:tcBorders>
              <w:top w:val="nil"/>
              <w:left w:val="nil"/>
              <w:bottom w:val="nil"/>
              <w:right w:val="nil"/>
            </w:tcBorders>
            <w:shd w:val="clear" w:color="auto" w:fill="auto"/>
            <w:noWrap/>
            <w:vAlign w:val="bottom"/>
            <w:hideMark/>
          </w:tcPr>
          <w:p w14:paraId="38BA3BF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12,299,457</w:t>
            </w:r>
          </w:p>
        </w:tc>
        <w:tc>
          <w:tcPr>
            <w:tcW w:w="1275" w:type="dxa"/>
            <w:tcBorders>
              <w:top w:val="nil"/>
              <w:left w:val="nil"/>
              <w:bottom w:val="nil"/>
              <w:right w:val="nil"/>
            </w:tcBorders>
            <w:shd w:val="clear" w:color="auto" w:fill="auto"/>
            <w:noWrap/>
            <w:vAlign w:val="bottom"/>
            <w:hideMark/>
          </w:tcPr>
          <w:p w14:paraId="5B9BBD0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1,954,814</w:t>
            </w:r>
          </w:p>
        </w:tc>
        <w:tc>
          <w:tcPr>
            <w:tcW w:w="1147" w:type="dxa"/>
            <w:tcBorders>
              <w:top w:val="nil"/>
              <w:left w:val="nil"/>
              <w:bottom w:val="nil"/>
              <w:right w:val="nil"/>
            </w:tcBorders>
            <w:shd w:val="clear" w:color="auto" w:fill="auto"/>
            <w:noWrap/>
            <w:vAlign w:val="bottom"/>
            <w:hideMark/>
          </w:tcPr>
          <w:p w14:paraId="00AFEC9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967,067</w:t>
            </w:r>
          </w:p>
        </w:tc>
        <w:tc>
          <w:tcPr>
            <w:tcW w:w="1264" w:type="dxa"/>
            <w:tcBorders>
              <w:top w:val="nil"/>
              <w:left w:val="nil"/>
              <w:bottom w:val="nil"/>
              <w:right w:val="nil"/>
            </w:tcBorders>
            <w:shd w:val="clear" w:color="auto" w:fill="auto"/>
            <w:noWrap/>
            <w:vAlign w:val="bottom"/>
            <w:hideMark/>
          </w:tcPr>
          <w:p w14:paraId="7814536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43,198,265</w:t>
            </w:r>
          </w:p>
        </w:tc>
      </w:tr>
      <w:tr w:rsidR="00CF6817" w:rsidRPr="001A4893" w14:paraId="6A9CDBBA" w14:textId="77777777" w:rsidTr="0054052D">
        <w:trPr>
          <w:trHeight w:val="227"/>
        </w:trPr>
        <w:tc>
          <w:tcPr>
            <w:tcW w:w="1610" w:type="dxa"/>
            <w:tcBorders>
              <w:top w:val="nil"/>
              <w:left w:val="nil"/>
              <w:bottom w:val="nil"/>
              <w:right w:val="nil"/>
            </w:tcBorders>
            <w:shd w:val="clear" w:color="auto" w:fill="auto"/>
            <w:noWrap/>
            <w:vAlign w:val="bottom"/>
            <w:hideMark/>
          </w:tcPr>
          <w:p w14:paraId="4E3B605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56ECE6B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595AE76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3,926,528</w:t>
            </w:r>
          </w:p>
        </w:tc>
        <w:tc>
          <w:tcPr>
            <w:tcW w:w="1147" w:type="dxa"/>
            <w:tcBorders>
              <w:top w:val="nil"/>
              <w:left w:val="nil"/>
              <w:bottom w:val="nil"/>
              <w:right w:val="nil"/>
            </w:tcBorders>
            <w:shd w:val="clear" w:color="auto" w:fill="auto"/>
            <w:noWrap/>
            <w:vAlign w:val="bottom"/>
            <w:hideMark/>
          </w:tcPr>
          <w:p w14:paraId="0F6BF86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4,420,452</w:t>
            </w:r>
          </w:p>
        </w:tc>
        <w:tc>
          <w:tcPr>
            <w:tcW w:w="1297" w:type="dxa"/>
            <w:tcBorders>
              <w:top w:val="nil"/>
              <w:left w:val="nil"/>
              <w:bottom w:val="nil"/>
              <w:right w:val="nil"/>
            </w:tcBorders>
            <w:shd w:val="clear" w:color="auto" w:fill="auto"/>
            <w:noWrap/>
            <w:vAlign w:val="bottom"/>
            <w:hideMark/>
          </w:tcPr>
          <w:p w14:paraId="3C24E0F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10,122,423</w:t>
            </w:r>
          </w:p>
        </w:tc>
        <w:tc>
          <w:tcPr>
            <w:tcW w:w="1275" w:type="dxa"/>
            <w:tcBorders>
              <w:top w:val="nil"/>
              <w:left w:val="nil"/>
              <w:bottom w:val="nil"/>
              <w:right w:val="nil"/>
            </w:tcBorders>
            <w:shd w:val="clear" w:color="auto" w:fill="auto"/>
            <w:noWrap/>
            <w:vAlign w:val="bottom"/>
            <w:hideMark/>
          </w:tcPr>
          <w:p w14:paraId="6DD7D00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3,195,004</w:t>
            </w:r>
          </w:p>
        </w:tc>
        <w:tc>
          <w:tcPr>
            <w:tcW w:w="1147" w:type="dxa"/>
            <w:tcBorders>
              <w:top w:val="nil"/>
              <w:left w:val="nil"/>
              <w:bottom w:val="nil"/>
              <w:right w:val="nil"/>
            </w:tcBorders>
            <w:shd w:val="clear" w:color="auto" w:fill="auto"/>
            <w:noWrap/>
            <w:vAlign w:val="bottom"/>
            <w:hideMark/>
          </w:tcPr>
          <w:p w14:paraId="0B557EE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1,598,447</w:t>
            </w:r>
          </w:p>
        </w:tc>
        <w:tc>
          <w:tcPr>
            <w:tcW w:w="1264" w:type="dxa"/>
            <w:tcBorders>
              <w:top w:val="nil"/>
              <w:left w:val="nil"/>
              <w:bottom w:val="nil"/>
              <w:right w:val="nil"/>
            </w:tcBorders>
            <w:shd w:val="clear" w:color="auto" w:fill="auto"/>
            <w:noWrap/>
            <w:vAlign w:val="bottom"/>
            <w:hideMark/>
          </w:tcPr>
          <w:p w14:paraId="69F156D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23,262,853</w:t>
            </w:r>
          </w:p>
        </w:tc>
      </w:tr>
      <w:tr w:rsidR="00CF6817" w:rsidRPr="001A4893" w14:paraId="73069263"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1EA6712C"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72506F7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12D0F0D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11,566,098</w:t>
            </w:r>
          </w:p>
        </w:tc>
        <w:tc>
          <w:tcPr>
            <w:tcW w:w="1147" w:type="dxa"/>
            <w:tcBorders>
              <w:top w:val="nil"/>
              <w:left w:val="nil"/>
              <w:bottom w:val="single" w:sz="4" w:space="0" w:color="auto"/>
              <w:right w:val="nil"/>
            </w:tcBorders>
            <w:shd w:val="clear" w:color="auto" w:fill="auto"/>
            <w:noWrap/>
            <w:vAlign w:val="bottom"/>
            <w:hideMark/>
          </w:tcPr>
          <w:p w14:paraId="74B41C0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24,757,809</w:t>
            </w:r>
          </w:p>
        </w:tc>
        <w:tc>
          <w:tcPr>
            <w:tcW w:w="1297" w:type="dxa"/>
            <w:tcBorders>
              <w:top w:val="nil"/>
              <w:left w:val="nil"/>
              <w:bottom w:val="single" w:sz="4" w:space="0" w:color="auto"/>
              <w:right w:val="nil"/>
            </w:tcBorders>
            <w:shd w:val="clear" w:color="auto" w:fill="auto"/>
            <w:noWrap/>
            <w:vAlign w:val="bottom"/>
            <w:hideMark/>
          </w:tcPr>
          <w:p w14:paraId="3CA4340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22,421,880</w:t>
            </w:r>
          </w:p>
        </w:tc>
        <w:tc>
          <w:tcPr>
            <w:tcW w:w="1275" w:type="dxa"/>
            <w:tcBorders>
              <w:top w:val="nil"/>
              <w:left w:val="nil"/>
              <w:bottom w:val="single" w:sz="4" w:space="0" w:color="auto"/>
              <w:right w:val="nil"/>
            </w:tcBorders>
            <w:shd w:val="clear" w:color="auto" w:fill="auto"/>
            <w:noWrap/>
            <w:vAlign w:val="bottom"/>
            <w:hideMark/>
          </w:tcPr>
          <w:p w14:paraId="026CB13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5,149,817</w:t>
            </w:r>
          </w:p>
        </w:tc>
        <w:tc>
          <w:tcPr>
            <w:tcW w:w="1147" w:type="dxa"/>
            <w:tcBorders>
              <w:top w:val="nil"/>
              <w:left w:val="nil"/>
              <w:bottom w:val="single" w:sz="4" w:space="0" w:color="auto"/>
              <w:right w:val="nil"/>
            </w:tcBorders>
            <w:shd w:val="clear" w:color="auto" w:fill="auto"/>
            <w:noWrap/>
            <w:vAlign w:val="bottom"/>
            <w:hideMark/>
          </w:tcPr>
          <w:p w14:paraId="1ED70EB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2,565,514</w:t>
            </w:r>
          </w:p>
        </w:tc>
        <w:tc>
          <w:tcPr>
            <w:tcW w:w="1264" w:type="dxa"/>
            <w:tcBorders>
              <w:top w:val="nil"/>
              <w:left w:val="nil"/>
              <w:bottom w:val="single" w:sz="4" w:space="0" w:color="auto"/>
              <w:right w:val="nil"/>
            </w:tcBorders>
            <w:shd w:val="clear" w:color="auto" w:fill="auto"/>
            <w:noWrap/>
            <w:vAlign w:val="bottom"/>
            <w:hideMark/>
          </w:tcPr>
          <w:p w14:paraId="3B5CD28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66,461,119</w:t>
            </w:r>
          </w:p>
        </w:tc>
      </w:tr>
      <w:tr w:rsidR="00CF6817" w:rsidRPr="001A4893" w14:paraId="0FB00955" w14:textId="77777777" w:rsidTr="0054052D">
        <w:trPr>
          <w:trHeight w:val="227"/>
        </w:trPr>
        <w:tc>
          <w:tcPr>
            <w:tcW w:w="1610" w:type="dxa"/>
            <w:tcBorders>
              <w:top w:val="nil"/>
              <w:left w:val="nil"/>
              <w:bottom w:val="nil"/>
              <w:right w:val="nil"/>
            </w:tcBorders>
            <w:shd w:val="clear" w:color="auto" w:fill="auto"/>
            <w:noWrap/>
            <w:vAlign w:val="bottom"/>
            <w:hideMark/>
          </w:tcPr>
          <w:p w14:paraId="5E2AC30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Lithuania</w:t>
            </w:r>
          </w:p>
        </w:tc>
        <w:tc>
          <w:tcPr>
            <w:tcW w:w="1148" w:type="dxa"/>
            <w:tcBorders>
              <w:top w:val="nil"/>
              <w:left w:val="nil"/>
              <w:bottom w:val="nil"/>
              <w:right w:val="nil"/>
            </w:tcBorders>
            <w:shd w:val="clear" w:color="auto" w:fill="auto"/>
            <w:noWrap/>
            <w:vAlign w:val="bottom"/>
            <w:hideMark/>
          </w:tcPr>
          <w:p w14:paraId="298875C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731A25E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12,119,985</w:t>
            </w:r>
          </w:p>
        </w:tc>
        <w:tc>
          <w:tcPr>
            <w:tcW w:w="1147" w:type="dxa"/>
            <w:tcBorders>
              <w:top w:val="nil"/>
              <w:left w:val="nil"/>
              <w:bottom w:val="nil"/>
              <w:right w:val="nil"/>
            </w:tcBorders>
            <w:shd w:val="clear" w:color="auto" w:fill="auto"/>
            <w:noWrap/>
            <w:vAlign w:val="bottom"/>
            <w:hideMark/>
          </w:tcPr>
          <w:p w14:paraId="4D2D295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1,427,277</w:t>
            </w:r>
          </w:p>
        </w:tc>
        <w:tc>
          <w:tcPr>
            <w:tcW w:w="1297" w:type="dxa"/>
            <w:tcBorders>
              <w:top w:val="nil"/>
              <w:left w:val="nil"/>
              <w:bottom w:val="nil"/>
              <w:right w:val="nil"/>
            </w:tcBorders>
            <w:shd w:val="clear" w:color="auto" w:fill="auto"/>
            <w:noWrap/>
            <w:vAlign w:val="bottom"/>
            <w:hideMark/>
          </w:tcPr>
          <w:p w14:paraId="5897FCB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9,140</w:t>
            </w:r>
          </w:p>
        </w:tc>
        <w:tc>
          <w:tcPr>
            <w:tcW w:w="1275" w:type="dxa"/>
            <w:tcBorders>
              <w:top w:val="nil"/>
              <w:left w:val="nil"/>
              <w:bottom w:val="nil"/>
              <w:right w:val="nil"/>
            </w:tcBorders>
            <w:shd w:val="clear" w:color="auto" w:fill="auto"/>
            <w:noWrap/>
            <w:vAlign w:val="bottom"/>
            <w:hideMark/>
          </w:tcPr>
          <w:p w14:paraId="59C7F4D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35,568</w:t>
            </w:r>
          </w:p>
        </w:tc>
        <w:tc>
          <w:tcPr>
            <w:tcW w:w="1147" w:type="dxa"/>
            <w:tcBorders>
              <w:top w:val="nil"/>
              <w:left w:val="nil"/>
              <w:bottom w:val="nil"/>
              <w:right w:val="nil"/>
            </w:tcBorders>
            <w:shd w:val="clear" w:color="auto" w:fill="auto"/>
            <w:noWrap/>
            <w:vAlign w:val="bottom"/>
            <w:hideMark/>
          </w:tcPr>
          <w:p w14:paraId="6707D01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310,126</w:t>
            </w:r>
          </w:p>
        </w:tc>
        <w:tc>
          <w:tcPr>
            <w:tcW w:w="1264" w:type="dxa"/>
            <w:tcBorders>
              <w:top w:val="nil"/>
              <w:left w:val="nil"/>
              <w:bottom w:val="nil"/>
              <w:right w:val="nil"/>
            </w:tcBorders>
            <w:shd w:val="clear" w:color="auto" w:fill="auto"/>
            <w:noWrap/>
            <w:vAlign w:val="bottom"/>
            <w:hideMark/>
          </w:tcPr>
          <w:p w14:paraId="31C5E35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13,902,097</w:t>
            </w:r>
          </w:p>
        </w:tc>
      </w:tr>
      <w:tr w:rsidR="00CF6817" w:rsidRPr="001A4893" w14:paraId="77DE2C19" w14:textId="77777777" w:rsidTr="0054052D">
        <w:trPr>
          <w:trHeight w:val="227"/>
        </w:trPr>
        <w:tc>
          <w:tcPr>
            <w:tcW w:w="1610" w:type="dxa"/>
            <w:tcBorders>
              <w:top w:val="nil"/>
              <w:left w:val="nil"/>
              <w:bottom w:val="nil"/>
              <w:right w:val="nil"/>
            </w:tcBorders>
            <w:shd w:val="clear" w:color="auto" w:fill="auto"/>
            <w:noWrap/>
            <w:vAlign w:val="bottom"/>
            <w:hideMark/>
          </w:tcPr>
          <w:p w14:paraId="6F62AB3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3750273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18FC492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148,720</w:t>
            </w:r>
          </w:p>
        </w:tc>
        <w:tc>
          <w:tcPr>
            <w:tcW w:w="1147" w:type="dxa"/>
            <w:tcBorders>
              <w:top w:val="nil"/>
              <w:left w:val="nil"/>
              <w:bottom w:val="nil"/>
              <w:right w:val="nil"/>
            </w:tcBorders>
            <w:shd w:val="clear" w:color="auto" w:fill="auto"/>
            <w:noWrap/>
            <w:vAlign w:val="bottom"/>
            <w:hideMark/>
          </w:tcPr>
          <w:p w14:paraId="218F72E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116,144</w:t>
            </w:r>
          </w:p>
        </w:tc>
        <w:tc>
          <w:tcPr>
            <w:tcW w:w="1297" w:type="dxa"/>
            <w:tcBorders>
              <w:top w:val="nil"/>
              <w:left w:val="nil"/>
              <w:bottom w:val="nil"/>
              <w:right w:val="nil"/>
            </w:tcBorders>
            <w:shd w:val="clear" w:color="auto" w:fill="auto"/>
            <w:noWrap/>
            <w:vAlign w:val="bottom"/>
            <w:hideMark/>
          </w:tcPr>
          <w:p w14:paraId="1736D21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3,311</w:t>
            </w:r>
          </w:p>
        </w:tc>
        <w:tc>
          <w:tcPr>
            <w:tcW w:w="1275" w:type="dxa"/>
            <w:tcBorders>
              <w:top w:val="nil"/>
              <w:left w:val="nil"/>
              <w:bottom w:val="nil"/>
              <w:right w:val="nil"/>
            </w:tcBorders>
            <w:shd w:val="clear" w:color="auto" w:fill="auto"/>
            <w:noWrap/>
            <w:vAlign w:val="bottom"/>
            <w:hideMark/>
          </w:tcPr>
          <w:p w14:paraId="2D25B61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50,762</w:t>
            </w:r>
          </w:p>
        </w:tc>
        <w:tc>
          <w:tcPr>
            <w:tcW w:w="1147" w:type="dxa"/>
            <w:tcBorders>
              <w:top w:val="nil"/>
              <w:left w:val="nil"/>
              <w:bottom w:val="nil"/>
              <w:right w:val="nil"/>
            </w:tcBorders>
            <w:shd w:val="clear" w:color="auto" w:fill="auto"/>
            <w:noWrap/>
            <w:vAlign w:val="bottom"/>
            <w:hideMark/>
          </w:tcPr>
          <w:p w14:paraId="1AC730A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16,034</w:t>
            </w:r>
          </w:p>
        </w:tc>
        <w:tc>
          <w:tcPr>
            <w:tcW w:w="1264" w:type="dxa"/>
            <w:tcBorders>
              <w:top w:val="nil"/>
              <w:left w:val="nil"/>
              <w:bottom w:val="nil"/>
              <w:right w:val="nil"/>
            </w:tcBorders>
            <w:shd w:val="clear" w:color="auto" w:fill="auto"/>
            <w:noWrap/>
            <w:vAlign w:val="bottom"/>
            <w:hideMark/>
          </w:tcPr>
          <w:p w14:paraId="66A2352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334,971</w:t>
            </w:r>
          </w:p>
        </w:tc>
      </w:tr>
      <w:tr w:rsidR="00CF6817" w:rsidRPr="001A4893" w14:paraId="620E4736"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214EC2D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6596042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4729452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12,268,705</w:t>
            </w:r>
          </w:p>
        </w:tc>
        <w:tc>
          <w:tcPr>
            <w:tcW w:w="1147" w:type="dxa"/>
            <w:tcBorders>
              <w:top w:val="nil"/>
              <w:left w:val="nil"/>
              <w:bottom w:val="single" w:sz="4" w:space="0" w:color="auto"/>
              <w:right w:val="nil"/>
            </w:tcBorders>
            <w:shd w:val="clear" w:color="auto" w:fill="auto"/>
            <w:noWrap/>
            <w:vAlign w:val="bottom"/>
            <w:hideMark/>
          </w:tcPr>
          <w:p w14:paraId="154E908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1,543,421</w:t>
            </w:r>
          </w:p>
        </w:tc>
        <w:tc>
          <w:tcPr>
            <w:tcW w:w="1297" w:type="dxa"/>
            <w:tcBorders>
              <w:top w:val="nil"/>
              <w:left w:val="nil"/>
              <w:bottom w:val="single" w:sz="4" w:space="0" w:color="auto"/>
              <w:right w:val="nil"/>
            </w:tcBorders>
            <w:shd w:val="clear" w:color="auto" w:fill="auto"/>
            <w:noWrap/>
            <w:vAlign w:val="bottom"/>
            <w:hideMark/>
          </w:tcPr>
          <w:p w14:paraId="020A8C9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12,451</w:t>
            </w:r>
          </w:p>
        </w:tc>
        <w:tc>
          <w:tcPr>
            <w:tcW w:w="1275" w:type="dxa"/>
            <w:tcBorders>
              <w:top w:val="nil"/>
              <w:left w:val="nil"/>
              <w:bottom w:val="single" w:sz="4" w:space="0" w:color="auto"/>
              <w:right w:val="nil"/>
            </w:tcBorders>
            <w:shd w:val="clear" w:color="auto" w:fill="auto"/>
            <w:noWrap/>
            <w:vAlign w:val="bottom"/>
            <w:hideMark/>
          </w:tcPr>
          <w:p w14:paraId="69BF592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86,331</w:t>
            </w:r>
          </w:p>
        </w:tc>
        <w:tc>
          <w:tcPr>
            <w:tcW w:w="1147" w:type="dxa"/>
            <w:tcBorders>
              <w:top w:val="nil"/>
              <w:left w:val="nil"/>
              <w:bottom w:val="single" w:sz="4" w:space="0" w:color="auto"/>
              <w:right w:val="nil"/>
            </w:tcBorders>
            <w:shd w:val="clear" w:color="auto" w:fill="auto"/>
            <w:noWrap/>
            <w:vAlign w:val="bottom"/>
            <w:hideMark/>
          </w:tcPr>
          <w:p w14:paraId="6CCB71F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326,160</w:t>
            </w:r>
          </w:p>
        </w:tc>
        <w:tc>
          <w:tcPr>
            <w:tcW w:w="1264" w:type="dxa"/>
            <w:tcBorders>
              <w:top w:val="nil"/>
              <w:left w:val="nil"/>
              <w:bottom w:val="single" w:sz="4" w:space="0" w:color="auto"/>
              <w:right w:val="nil"/>
            </w:tcBorders>
            <w:shd w:val="clear" w:color="auto" w:fill="auto"/>
            <w:noWrap/>
            <w:vAlign w:val="bottom"/>
            <w:hideMark/>
          </w:tcPr>
          <w:p w14:paraId="53E061A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14,237,068</w:t>
            </w:r>
          </w:p>
        </w:tc>
      </w:tr>
      <w:tr w:rsidR="00CF6817" w:rsidRPr="001A4893" w14:paraId="33D0F75F" w14:textId="77777777" w:rsidTr="0054052D">
        <w:trPr>
          <w:trHeight w:val="227"/>
        </w:trPr>
        <w:tc>
          <w:tcPr>
            <w:tcW w:w="1610" w:type="dxa"/>
            <w:tcBorders>
              <w:top w:val="nil"/>
              <w:left w:val="nil"/>
              <w:bottom w:val="nil"/>
              <w:right w:val="nil"/>
            </w:tcBorders>
            <w:shd w:val="clear" w:color="auto" w:fill="auto"/>
            <w:noWrap/>
            <w:vAlign w:val="bottom"/>
            <w:hideMark/>
          </w:tcPr>
          <w:p w14:paraId="58CEC7C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Netherlands</w:t>
            </w:r>
          </w:p>
        </w:tc>
        <w:tc>
          <w:tcPr>
            <w:tcW w:w="1148" w:type="dxa"/>
            <w:tcBorders>
              <w:top w:val="nil"/>
              <w:left w:val="nil"/>
              <w:bottom w:val="nil"/>
              <w:right w:val="nil"/>
            </w:tcBorders>
            <w:shd w:val="clear" w:color="auto" w:fill="auto"/>
            <w:noWrap/>
            <w:vAlign w:val="bottom"/>
            <w:hideMark/>
          </w:tcPr>
          <w:p w14:paraId="0FD2B2A7"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11C5B3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62,515,980</w:t>
            </w:r>
          </w:p>
        </w:tc>
        <w:tc>
          <w:tcPr>
            <w:tcW w:w="1147" w:type="dxa"/>
            <w:tcBorders>
              <w:top w:val="nil"/>
              <w:left w:val="nil"/>
              <w:bottom w:val="nil"/>
              <w:right w:val="nil"/>
            </w:tcBorders>
            <w:shd w:val="clear" w:color="auto" w:fill="auto"/>
            <w:noWrap/>
            <w:vAlign w:val="bottom"/>
            <w:hideMark/>
          </w:tcPr>
          <w:p w14:paraId="57E4A08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29,043,315</w:t>
            </w:r>
          </w:p>
        </w:tc>
        <w:tc>
          <w:tcPr>
            <w:tcW w:w="1297" w:type="dxa"/>
            <w:tcBorders>
              <w:top w:val="nil"/>
              <w:left w:val="nil"/>
              <w:bottom w:val="nil"/>
              <w:right w:val="nil"/>
            </w:tcBorders>
            <w:shd w:val="clear" w:color="auto" w:fill="auto"/>
            <w:noWrap/>
            <w:vAlign w:val="bottom"/>
            <w:hideMark/>
          </w:tcPr>
          <w:p w14:paraId="78EE45E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81,105</w:t>
            </w:r>
          </w:p>
        </w:tc>
        <w:tc>
          <w:tcPr>
            <w:tcW w:w="1275" w:type="dxa"/>
            <w:tcBorders>
              <w:top w:val="nil"/>
              <w:left w:val="nil"/>
              <w:bottom w:val="nil"/>
              <w:right w:val="nil"/>
            </w:tcBorders>
            <w:shd w:val="clear" w:color="auto" w:fill="auto"/>
            <w:noWrap/>
            <w:vAlign w:val="bottom"/>
            <w:hideMark/>
          </w:tcPr>
          <w:p w14:paraId="67FDD03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1,895,470</w:t>
            </w:r>
          </w:p>
        </w:tc>
        <w:tc>
          <w:tcPr>
            <w:tcW w:w="1147" w:type="dxa"/>
            <w:tcBorders>
              <w:top w:val="nil"/>
              <w:left w:val="nil"/>
              <w:bottom w:val="nil"/>
              <w:right w:val="nil"/>
            </w:tcBorders>
            <w:shd w:val="clear" w:color="auto" w:fill="auto"/>
            <w:noWrap/>
            <w:vAlign w:val="bottom"/>
            <w:hideMark/>
          </w:tcPr>
          <w:p w14:paraId="0F28D71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3,175,464</w:t>
            </w:r>
          </w:p>
        </w:tc>
        <w:tc>
          <w:tcPr>
            <w:tcW w:w="1264" w:type="dxa"/>
            <w:tcBorders>
              <w:top w:val="nil"/>
              <w:left w:val="nil"/>
              <w:bottom w:val="nil"/>
              <w:right w:val="nil"/>
            </w:tcBorders>
            <w:shd w:val="clear" w:color="auto" w:fill="auto"/>
            <w:noWrap/>
            <w:vAlign w:val="bottom"/>
            <w:hideMark/>
          </w:tcPr>
          <w:p w14:paraId="2CCF9D4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96,711,334</w:t>
            </w:r>
          </w:p>
        </w:tc>
      </w:tr>
      <w:tr w:rsidR="00CF6817" w:rsidRPr="001A4893" w14:paraId="6148D4F2" w14:textId="77777777" w:rsidTr="0054052D">
        <w:trPr>
          <w:trHeight w:val="227"/>
        </w:trPr>
        <w:tc>
          <w:tcPr>
            <w:tcW w:w="1610" w:type="dxa"/>
            <w:tcBorders>
              <w:top w:val="nil"/>
              <w:left w:val="nil"/>
              <w:bottom w:val="nil"/>
              <w:right w:val="nil"/>
            </w:tcBorders>
            <w:shd w:val="clear" w:color="auto" w:fill="auto"/>
            <w:noWrap/>
            <w:vAlign w:val="bottom"/>
            <w:hideMark/>
          </w:tcPr>
          <w:p w14:paraId="72AEBDC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34B3FD1F"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7802692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7,091,557</w:t>
            </w:r>
          </w:p>
        </w:tc>
        <w:tc>
          <w:tcPr>
            <w:tcW w:w="1147" w:type="dxa"/>
            <w:tcBorders>
              <w:top w:val="nil"/>
              <w:left w:val="nil"/>
              <w:bottom w:val="nil"/>
              <w:right w:val="nil"/>
            </w:tcBorders>
            <w:shd w:val="clear" w:color="auto" w:fill="auto"/>
            <w:noWrap/>
            <w:vAlign w:val="bottom"/>
            <w:hideMark/>
          </w:tcPr>
          <w:p w14:paraId="0F88BD4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412,489</w:t>
            </w:r>
          </w:p>
        </w:tc>
        <w:tc>
          <w:tcPr>
            <w:tcW w:w="1297" w:type="dxa"/>
            <w:tcBorders>
              <w:top w:val="nil"/>
              <w:left w:val="nil"/>
              <w:bottom w:val="nil"/>
              <w:right w:val="nil"/>
            </w:tcBorders>
            <w:shd w:val="clear" w:color="auto" w:fill="auto"/>
            <w:noWrap/>
            <w:vAlign w:val="bottom"/>
            <w:hideMark/>
          </w:tcPr>
          <w:p w14:paraId="0BD345C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39,394</w:t>
            </w:r>
          </w:p>
        </w:tc>
        <w:tc>
          <w:tcPr>
            <w:tcW w:w="1275" w:type="dxa"/>
            <w:tcBorders>
              <w:top w:val="nil"/>
              <w:left w:val="nil"/>
              <w:bottom w:val="nil"/>
              <w:right w:val="nil"/>
            </w:tcBorders>
            <w:shd w:val="clear" w:color="auto" w:fill="auto"/>
            <w:noWrap/>
            <w:vAlign w:val="bottom"/>
            <w:hideMark/>
          </w:tcPr>
          <w:p w14:paraId="4327F6F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693,277</w:t>
            </w:r>
          </w:p>
        </w:tc>
        <w:tc>
          <w:tcPr>
            <w:tcW w:w="1147" w:type="dxa"/>
            <w:tcBorders>
              <w:top w:val="nil"/>
              <w:left w:val="nil"/>
              <w:bottom w:val="nil"/>
              <w:right w:val="nil"/>
            </w:tcBorders>
            <w:shd w:val="clear" w:color="auto" w:fill="auto"/>
            <w:noWrap/>
            <w:vAlign w:val="bottom"/>
            <w:hideMark/>
          </w:tcPr>
          <w:p w14:paraId="6F39891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239,149</w:t>
            </w:r>
          </w:p>
        </w:tc>
        <w:tc>
          <w:tcPr>
            <w:tcW w:w="1264" w:type="dxa"/>
            <w:tcBorders>
              <w:top w:val="nil"/>
              <w:left w:val="nil"/>
              <w:bottom w:val="nil"/>
              <w:right w:val="nil"/>
            </w:tcBorders>
            <w:shd w:val="clear" w:color="auto" w:fill="auto"/>
            <w:noWrap/>
            <w:vAlign w:val="bottom"/>
            <w:hideMark/>
          </w:tcPr>
          <w:p w14:paraId="0D4D15C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8,475,867</w:t>
            </w:r>
          </w:p>
        </w:tc>
      </w:tr>
      <w:tr w:rsidR="00CF6817" w:rsidRPr="001A4893" w14:paraId="380231F8"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421E327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1B82BDF3"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01BDC80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69,607,537</w:t>
            </w:r>
          </w:p>
        </w:tc>
        <w:tc>
          <w:tcPr>
            <w:tcW w:w="1147" w:type="dxa"/>
            <w:tcBorders>
              <w:top w:val="nil"/>
              <w:left w:val="nil"/>
              <w:bottom w:val="single" w:sz="4" w:space="0" w:color="auto"/>
              <w:right w:val="nil"/>
            </w:tcBorders>
            <w:shd w:val="clear" w:color="auto" w:fill="auto"/>
            <w:noWrap/>
            <w:vAlign w:val="bottom"/>
            <w:hideMark/>
          </w:tcPr>
          <w:p w14:paraId="68AF899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29,455,804</w:t>
            </w:r>
          </w:p>
        </w:tc>
        <w:tc>
          <w:tcPr>
            <w:tcW w:w="1297" w:type="dxa"/>
            <w:tcBorders>
              <w:top w:val="nil"/>
              <w:left w:val="nil"/>
              <w:bottom w:val="single" w:sz="4" w:space="0" w:color="auto"/>
              <w:right w:val="nil"/>
            </w:tcBorders>
            <w:shd w:val="clear" w:color="auto" w:fill="auto"/>
            <w:noWrap/>
            <w:vAlign w:val="bottom"/>
            <w:hideMark/>
          </w:tcPr>
          <w:p w14:paraId="313E1F8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120,499</w:t>
            </w:r>
          </w:p>
        </w:tc>
        <w:tc>
          <w:tcPr>
            <w:tcW w:w="1275" w:type="dxa"/>
            <w:tcBorders>
              <w:top w:val="nil"/>
              <w:left w:val="nil"/>
              <w:bottom w:val="single" w:sz="4" w:space="0" w:color="auto"/>
              <w:right w:val="nil"/>
            </w:tcBorders>
            <w:shd w:val="clear" w:color="auto" w:fill="auto"/>
            <w:noWrap/>
            <w:vAlign w:val="bottom"/>
            <w:hideMark/>
          </w:tcPr>
          <w:p w14:paraId="374D4FD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2,588,747</w:t>
            </w:r>
          </w:p>
        </w:tc>
        <w:tc>
          <w:tcPr>
            <w:tcW w:w="1147" w:type="dxa"/>
            <w:tcBorders>
              <w:top w:val="nil"/>
              <w:left w:val="nil"/>
              <w:bottom w:val="single" w:sz="4" w:space="0" w:color="auto"/>
              <w:right w:val="nil"/>
            </w:tcBorders>
            <w:shd w:val="clear" w:color="auto" w:fill="auto"/>
            <w:noWrap/>
            <w:vAlign w:val="bottom"/>
            <w:hideMark/>
          </w:tcPr>
          <w:p w14:paraId="2BFBFED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3,414,613</w:t>
            </w:r>
          </w:p>
        </w:tc>
        <w:tc>
          <w:tcPr>
            <w:tcW w:w="1264" w:type="dxa"/>
            <w:tcBorders>
              <w:top w:val="nil"/>
              <w:left w:val="nil"/>
              <w:bottom w:val="single" w:sz="4" w:space="0" w:color="auto"/>
              <w:right w:val="nil"/>
            </w:tcBorders>
            <w:shd w:val="clear" w:color="auto" w:fill="auto"/>
            <w:noWrap/>
            <w:vAlign w:val="bottom"/>
            <w:hideMark/>
          </w:tcPr>
          <w:p w14:paraId="7D6C1F8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105,187,201</w:t>
            </w:r>
          </w:p>
        </w:tc>
      </w:tr>
      <w:tr w:rsidR="00CF6817" w:rsidRPr="001A4893" w14:paraId="25922B6B" w14:textId="77777777" w:rsidTr="0054052D">
        <w:trPr>
          <w:trHeight w:val="227"/>
        </w:trPr>
        <w:tc>
          <w:tcPr>
            <w:tcW w:w="1610" w:type="dxa"/>
            <w:tcBorders>
              <w:top w:val="nil"/>
              <w:left w:val="nil"/>
              <w:bottom w:val="nil"/>
              <w:right w:val="nil"/>
            </w:tcBorders>
            <w:shd w:val="clear" w:color="auto" w:fill="auto"/>
            <w:noWrap/>
            <w:vAlign w:val="bottom"/>
            <w:hideMark/>
          </w:tcPr>
          <w:p w14:paraId="4743CC49"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North Macedonia</w:t>
            </w:r>
          </w:p>
        </w:tc>
        <w:tc>
          <w:tcPr>
            <w:tcW w:w="1148" w:type="dxa"/>
            <w:tcBorders>
              <w:top w:val="nil"/>
              <w:left w:val="nil"/>
              <w:bottom w:val="nil"/>
              <w:right w:val="nil"/>
            </w:tcBorders>
            <w:shd w:val="clear" w:color="auto" w:fill="auto"/>
            <w:noWrap/>
            <w:vAlign w:val="bottom"/>
            <w:hideMark/>
          </w:tcPr>
          <w:p w14:paraId="0F00FA84"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3397664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3,101,495</w:t>
            </w:r>
          </w:p>
        </w:tc>
        <w:tc>
          <w:tcPr>
            <w:tcW w:w="1147" w:type="dxa"/>
            <w:tcBorders>
              <w:top w:val="nil"/>
              <w:left w:val="nil"/>
              <w:bottom w:val="nil"/>
              <w:right w:val="nil"/>
            </w:tcBorders>
            <w:shd w:val="clear" w:color="auto" w:fill="auto"/>
            <w:noWrap/>
            <w:vAlign w:val="bottom"/>
            <w:hideMark/>
          </w:tcPr>
          <w:p w14:paraId="523C9BB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198,536</w:t>
            </w:r>
          </w:p>
        </w:tc>
        <w:tc>
          <w:tcPr>
            <w:tcW w:w="1297" w:type="dxa"/>
            <w:tcBorders>
              <w:top w:val="nil"/>
              <w:left w:val="nil"/>
              <w:bottom w:val="nil"/>
              <w:right w:val="nil"/>
            </w:tcBorders>
            <w:shd w:val="clear" w:color="auto" w:fill="auto"/>
            <w:noWrap/>
            <w:vAlign w:val="bottom"/>
            <w:hideMark/>
          </w:tcPr>
          <w:p w14:paraId="7A2DE1F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2,264,120</w:t>
            </w:r>
          </w:p>
        </w:tc>
        <w:tc>
          <w:tcPr>
            <w:tcW w:w="1275" w:type="dxa"/>
            <w:tcBorders>
              <w:top w:val="nil"/>
              <w:left w:val="nil"/>
              <w:bottom w:val="nil"/>
              <w:right w:val="nil"/>
            </w:tcBorders>
            <w:shd w:val="clear" w:color="auto" w:fill="auto"/>
            <w:noWrap/>
            <w:vAlign w:val="bottom"/>
            <w:hideMark/>
          </w:tcPr>
          <w:p w14:paraId="4D41B21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810,589</w:t>
            </w:r>
          </w:p>
        </w:tc>
        <w:tc>
          <w:tcPr>
            <w:tcW w:w="1147" w:type="dxa"/>
            <w:tcBorders>
              <w:top w:val="nil"/>
              <w:left w:val="nil"/>
              <w:bottom w:val="nil"/>
              <w:right w:val="nil"/>
            </w:tcBorders>
            <w:shd w:val="clear" w:color="auto" w:fill="auto"/>
            <w:noWrap/>
            <w:vAlign w:val="bottom"/>
            <w:hideMark/>
          </w:tcPr>
          <w:p w14:paraId="6C59160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614,055</w:t>
            </w:r>
          </w:p>
        </w:tc>
        <w:tc>
          <w:tcPr>
            <w:tcW w:w="1264" w:type="dxa"/>
            <w:tcBorders>
              <w:top w:val="nil"/>
              <w:left w:val="nil"/>
              <w:bottom w:val="nil"/>
              <w:right w:val="nil"/>
            </w:tcBorders>
            <w:shd w:val="clear" w:color="auto" w:fill="auto"/>
            <w:noWrap/>
            <w:vAlign w:val="bottom"/>
            <w:hideMark/>
          </w:tcPr>
          <w:p w14:paraId="30AE30C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6,988,795</w:t>
            </w:r>
          </w:p>
        </w:tc>
      </w:tr>
      <w:tr w:rsidR="00CF6817" w:rsidRPr="001A4893" w14:paraId="365BF26B" w14:textId="77777777" w:rsidTr="0054052D">
        <w:trPr>
          <w:trHeight w:val="227"/>
        </w:trPr>
        <w:tc>
          <w:tcPr>
            <w:tcW w:w="1610" w:type="dxa"/>
            <w:tcBorders>
              <w:top w:val="nil"/>
              <w:left w:val="nil"/>
              <w:bottom w:val="nil"/>
              <w:right w:val="nil"/>
            </w:tcBorders>
            <w:shd w:val="clear" w:color="auto" w:fill="auto"/>
            <w:noWrap/>
            <w:vAlign w:val="bottom"/>
            <w:hideMark/>
          </w:tcPr>
          <w:p w14:paraId="73987BA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3BCC1F44"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20D841B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492,666</w:t>
            </w:r>
          </w:p>
        </w:tc>
        <w:tc>
          <w:tcPr>
            <w:tcW w:w="1147" w:type="dxa"/>
            <w:tcBorders>
              <w:top w:val="nil"/>
              <w:left w:val="nil"/>
              <w:bottom w:val="nil"/>
              <w:right w:val="nil"/>
            </w:tcBorders>
            <w:shd w:val="clear" w:color="auto" w:fill="auto"/>
            <w:noWrap/>
            <w:vAlign w:val="bottom"/>
            <w:hideMark/>
          </w:tcPr>
          <w:p w14:paraId="235D739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150,400</w:t>
            </w:r>
          </w:p>
        </w:tc>
        <w:tc>
          <w:tcPr>
            <w:tcW w:w="1297" w:type="dxa"/>
            <w:tcBorders>
              <w:top w:val="nil"/>
              <w:left w:val="nil"/>
              <w:bottom w:val="nil"/>
              <w:right w:val="nil"/>
            </w:tcBorders>
            <w:shd w:val="clear" w:color="auto" w:fill="auto"/>
            <w:noWrap/>
            <w:vAlign w:val="bottom"/>
            <w:hideMark/>
          </w:tcPr>
          <w:p w14:paraId="5328B34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1,489,516</w:t>
            </w:r>
          </w:p>
        </w:tc>
        <w:tc>
          <w:tcPr>
            <w:tcW w:w="1275" w:type="dxa"/>
            <w:tcBorders>
              <w:top w:val="nil"/>
              <w:left w:val="nil"/>
              <w:bottom w:val="nil"/>
              <w:right w:val="nil"/>
            </w:tcBorders>
            <w:shd w:val="clear" w:color="auto" w:fill="auto"/>
            <w:noWrap/>
            <w:vAlign w:val="bottom"/>
            <w:hideMark/>
          </w:tcPr>
          <w:p w14:paraId="5B72D74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180,600</w:t>
            </w:r>
          </w:p>
        </w:tc>
        <w:tc>
          <w:tcPr>
            <w:tcW w:w="1147" w:type="dxa"/>
            <w:tcBorders>
              <w:top w:val="nil"/>
              <w:left w:val="nil"/>
              <w:bottom w:val="nil"/>
              <w:right w:val="nil"/>
            </w:tcBorders>
            <w:shd w:val="clear" w:color="auto" w:fill="auto"/>
            <w:noWrap/>
            <w:vAlign w:val="bottom"/>
            <w:hideMark/>
          </w:tcPr>
          <w:p w14:paraId="5FB99DE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378,280</w:t>
            </w:r>
          </w:p>
        </w:tc>
        <w:tc>
          <w:tcPr>
            <w:tcW w:w="1264" w:type="dxa"/>
            <w:tcBorders>
              <w:top w:val="nil"/>
              <w:left w:val="nil"/>
              <w:bottom w:val="nil"/>
              <w:right w:val="nil"/>
            </w:tcBorders>
            <w:shd w:val="clear" w:color="auto" w:fill="auto"/>
            <w:noWrap/>
            <w:vAlign w:val="bottom"/>
            <w:hideMark/>
          </w:tcPr>
          <w:p w14:paraId="6EEA877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2,691,463</w:t>
            </w:r>
          </w:p>
        </w:tc>
      </w:tr>
      <w:tr w:rsidR="00CF6817" w:rsidRPr="001A4893" w14:paraId="70CC6787"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006FB509"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880DCA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629DF05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3,594,162</w:t>
            </w:r>
          </w:p>
        </w:tc>
        <w:tc>
          <w:tcPr>
            <w:tcW w:w="1147" w:type="dxa"/>
            <w:tcBorders>
              <w:top w:val="nil"/>
              <w:left w:val="nil"/>
              <w:bottom w:val="single" w:sz="4" w:space="0" w:color="auto"/>
              <w:right w:val="nil"/>
            </w:tcBorders>
            <w:shd w:val="clear" w:color="auto" w:fill="auto"/>
            <w:noWrap/>
            <w:vAlign w:val="bottom"/>
            <w:hideMark/>
          </w:tcPr>
          <w:p w14:paraId="6019768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348,936</w:t>
            </w:r>
          </w:p>
        </w:tc>
        <w:tc>
          <w:tcPr>
            <w:tcW w:w="1297" w:type="dxa"/>
            <w:tcBorders>
              <w:top w:val="nil"/>
              <w:left w:val="nil"/>
              <w:bottom w:val="single" w:sz="4" w:space="0" w:color="auto"/>
              <w:right w:val="nil"/>
            </w:tcBorders>
            <w:shd w:val="clear" w:color="auto" w:fill="auto"/>
            <w:noWrap/>
            <w:vAlign w:val="bottom"/>
            <w:hideMark/>
          </w:tcPr>
          <w:p w14:paraId="4BE59CE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3,753,637</w:t>
            </w:r>
          </w:p>
        </w:tc>
        <w:tc>
          <w:tcPr>
            <w:tcW w:w="1275" w:type="dxa"/>
            <w:tcBorders>
              <w:top w:val="nil"/>
              <w:left w:val="nil"/>
              <w:bottom w:val="single" w:sz="4" w:space="0" w:color="auto"/>
              <w:right w:val="nil"/>
            </w:tcBorders>
            <w:shd w:val="clear" w:color="auto" w:fill="auto"/>
            <w:noWrap/>
            <w:vAlign w:val="bottom"/>
            <w:hideMark/>
          </w:tcPr>
          <w:p w14:paraId="42C0D45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991,189</w:t>
            </w:r>
          </w:p>
        </w:tc>
        <w:tc>
          <w:tcPr>
            <w:tcW w:w="1147" w:type="dxa"/>
            <w:tcBorders>
              <w:top w:val="nil"/>
              <w:left w:val="nil"/>
              <w:bottom w:val="single" w:sz="4" w:space="0" w:color="auto"/>
              <w:right w:val="nil"/>
            </w:tcBorders>
            <w:shd w:val="clear" w:color="auto" w:fill="auto"/>
            <w:noWrap/>
            <w:vAlign w:val="bottom"/>
            <w:hideMark/>
          </w:tcPr>
          <w:p w14:paraId="7A9EA43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992,336</w:t>
            </w:r>
          </w:p>
        </w:tc>
        <w:tc>
          <w:tcPr>
            <w:tcW w:w="1264" w:type="dxa"/>
            <w:tcBorders>
              <w:top w:val="nil"/>
              <w:left w:val="nil"/>
              <w:bottom w:val="single" w:sz="4" w:space="0" w:color="auto"/>
              <w:right w:val="nil"/>
            </w:tcBorders>
            <w:shd w:val="clear" w:color="auto" w:fill="auto"/>
            <w:noWrap/>
            <w:vAlign w:val="bottom"/>
            <w:hideMark/>
          </w:tcPr>
          <w:p w14:paraId="330F661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9,680,258</w:t>
            </w:r>
          </w:p>
        </w:tc>
      </w:tr>
      <w:tr w:rsidR="00CF6817" w:rsidRPr="001A4893" w14:paraId="2902FC05" w14:textId="77777777" w:rsidTr="0054052D">
        <w:trPr>
          <w:trHeight w:val="227"/>
        </w:trPr>
        <w:tc>
          <w:tcPr>
            <w:tcW w:w="1610" w:type="dxa"/>
            <w:tcBorders>
              <w:top w:val="nil"/>
              <w:left w:val="nil"/>
              <w:bottom w:val="nil"/>
              <w:right w:val="nil"/>
            </w:tcBorders>
            <w:shd w:val="clear" w:color="auto" w:fill="auto"/>
            <w:noWrap/>
            <w:vAlign w:val="bottom"/>
            <w:hideMark/>
          </w:tcPr>
          <w:p w14:paraId="6CACAAD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Norway</w:t>
            </w:r>
          </w:p>
        </w:tc>
        <w:tc>
          <w:tcPr>
            <w:tcW w:w="1148" w:type="dxa"/>
            <w:tcBorders>
              <w:top w:val="nil"/>
              <w:left w:val="nil"/>
              <w:bottom w:val="nil"/>
              <w:right w:val="nil"/>
            </w:tcBorders>
            <w:shd w:val="clear" w:color="auto" w:fill="auto"/>
            <w:noWrap/>
            <w:vAlign w:val="bottom"/>
            <w:hideMark/>
          </w:tcPr>
          <w:p w14:paraId="3721E8AC"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AE7D2B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18,085,418</w:t>
            </w:r>
          </w:p>
        </w:tc>
        <w:tc>
          <w:tcPr>
            <w:tcW w:w="1147" w:type="dxa"/>
            <w:tcBorders>
              <w:top w:val="nil"/>
              <w:left w:val="nil"/>
              <w:bottom w:val="nil"/>
              <w:right w:val="nil"/>
            </w:tcBorders>
            <w:shd w:val="clear" w:color="auto" w:fill="auto"/>
            <w:noWrap/>
            <w:vAlign w:val="bottom"/>
            <w:hideMark/>
          </w:tcPr>
          <w:p w14:paraId="1A8CAF1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1,330,002</w:t>
            </w:r>
          </w:p>
        </w:tc>
        <w:tc>
          <w:tcPr>
            <w:tcW w:w="1297" w:type="dxa"/>
            <w:tcBorders>
              <w:top w:val="nil"/>
              <w:left w:val="nil"/>
              <w:bottom w:val="nil"/>
              <w:right w:val="nil"/>
            </w:tcBorders>
            <w:shd w:val="clear" w:color="auto" w:fill="auto"/>
            <w:noWrap/>
            <w:vAlign w:val="bottom"/>
            <w:hideMark/>
          </w:tcPr>
          <w:p w14:paraId="22251C8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1,828</w:t>
            </w:r>
          </w:p>
        </w:tc>
        <w:tc>
          <w:tcPr>
            <w:tcW w:w="1275" w:type="dxa"/>
            <w:tcBorders>
              <w:top w:val="nil"/>
              <w:left w:val="nil"/>
              <w:bottom w:val="nil"/>
              <w:right w:val="nil"/>
            </w:tcBorders>
            <w:shd w:val="clear" w:color="auto" w:fill="auto"/>
            <w:noWrap/>
            <w:vAlign w:val="bottom"/>
            <w:hideMark/>
          </w:tcPr>
          <w:p w14:paraId="04C462D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1,164,846</w:t>
            </w:r>
          </w:p>
        </w:tc>
        <w:tc>
          <w:tcPr>
            <w:tcW w:w="1147" w:type="dxa"/>
            <w:tcBorders>
              <w:top w:val="nil"/>
              <w:left w:val="nil"/>
              <w:bottom w:val="nil"/>
              <w:right w:val="nil"/>
            </w:tcBorders>
            <w:shd w:val="clear" w:color="auto" w:fill="auto"/>
            <w:noWrap/>
            <w:vAlign w:val="bottom"/>
            <w:hideMark/>
          </w:tcPr>
          <w:p w14:paraId="7D10152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1,116,166</w:t>
            </w:r>
          </w:p>
        </w:tc>
        <w:tc>
          <w:tcPr>
            <w:tcW w:w="1264" w:type="dxa"/>
            <w:tcBorders>
              <w:top w:val="nil"/>
              <w:left w:val="nil"/>
              <w:bottom w:val="nil"/>
              <w:right w:val="nil"/>
            </w:tcBorders>
            <w:shd w:val="clear" w:color="auto" w:fill="auto"/>
            <w:noWrap/>
            <w:vAlign w:val="bottom"/>
            <w:hideMark/>
          </w:tcPr>
          <w:p w14:paraId="6D09B8C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21,698,260</w:t>
            </w:r>
          </w:p>
        </w:tc>
      </w:tr>
      <w:tr w:rsidR="00CF6817" w:rsidRPr="001A4893" w14:paraId="39C0A431" w14:textId="77777777" w:rsidTr="0054052D">
        <w:trPr>
          <w:trHeight w:val="227"/>
        </w:trPr>
        <w:tc>
          <w:tcPr>
            <w:tcW w:w="1610" w:type="dxa"/>
            <w:tcBorders>
              <w:top w:val="nil"/>
              <w:left w:val="nil"/>
              <w:bottom w:val="nil"/>
              <w:right w:val="nil"/>
            </w:tcBorders>
            <w:shd w:val="clear" w:color="auto" w:fill="auto"/>
            <w:noWrap/>
            <w:vAlign w:val="bottom"/>
            <w:hideMark/>
          </w:tcPr>
          <w:p w14:paraId="728B0F2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5BD2168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25B60EB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124,377</w:t>
            </w:r>
          </w:p>
        </w:tc>
        <w:tc>
          <w:tcPr>
            <w:tcW w:w="1147" w:type="dxa"/>
            <w:tcBorders>
              <w:top w:val="nil"/>
              <w:left w:val="nil"/>
              <w:bottom w:val="nil"/>
              <w:right w:val="nil"/>
            </w:tcBorders>
            <w:shd w:val="clear" w:color="auto" w:fill="auto"/>
            <w:noWrap/>
            <w:vAlign w:val="bottom"/>
            <w:hideMark/>
          </w:tcPr>
          <w:p w14:paraId="545FFAC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425,440</w:t>
            </w:r>
          </w:p>
        </w:tc>
        <w:tc>
          <w:tcPr>
            <w:tcW w:w="1297" w:type="dxa"/>
            <w:tcBorders>
              <w:top w:val="nil"/>
              <w:left w:val="nil"/>
              <w:bottom w:val="nil"/>
              <w:right w:val="nil"/>
            </w:tcBorders>
            <w:shd w:val="clear" w:color="auto" w:fill="auto"/>
            <w:noWrap/>
            <w:vAlign w:val="bottom"/>
            <w:hideMark/>
          </w:tcPr>
          <w:p w14:paraId="012515F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1,214</w:t>
            </w:r>
          </w:p>
        </w:tc>
        <w:tc>
          <w:tcPr>
            <w:tcW w:w="1275" w:type="dxa"/>
            <w:tcBorders>
              <w:top w:val="nil"/>
              <w:left w:val="nil"/>
              <w:bottom w:val="nil"/>
              <w:right w:val="nil"/>
            </w:tcBorders>
            <w:shd w:val="clear" w:color="auto" w:fill="auto"/>
            <w:noWrap/>
            <w:vAlign w:val="bottom"/>
            <w:hideMark/>
          </w:tcPr>
          <w:p w14:paraId="06C76A0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2,360,625</w:t>
            </w:r>
          </w:p>
        </w:tc>
        <w:tc>
          <w:tcPr>
            <w:tcW w:w="1147" w:type="dxa"/>
            <w:tcBorders>
              <w:top w:val="nil"/>
              <w:left w:val="nil"/>
              <w:bottom w:val="nil"/>
              <w:right w:val="nil"/>
            </w:tcBorders>
            <w:shd w:val="clear" w:color="auto" w:fill="auto"/>
            <w:noWrap/>
            <w:vAlign w:val="bottom"/>
            <w:hideMark/>
          </w:tcPr>
          <w:p w14:paraId="2B3AB60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68,699</w:t>
            </w:r>
          </w:p>
        </w:tc>
        <w:tc>
          <w:tcPr>
            <w:tcW w:w="1264" w:type="dxa"/>
            <w:tcBorders>
              <w:top w:val="nil"/>
              <w:left w:val="nil"/>
              <w:bottom w:val="nil"/>
              <w:right w:val="nil"/>
            </w:tcBorders>
            <w:shd w:val="clear" w:color="auto" w:fill="auto"/>
            <w:noWrap/>
            <w:vAlign w:val="bottom"/>
            <w:hideMark/>
          </w:tcPr>
          <w:p w14:paraId="0667089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2,980,355</w:t>
            </w:r>
          </w:p>
        </w:tc>
      </w:tr>
      <w:tr w:rsidR="00CF6817" w:rsidRPr="001A4893" w14:paraId="514D1866"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2E67B126"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B03C99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3B593D9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18,209,795</w:t>
            </w:r>
          </w:p>
        </w:tc>
        <w:tc>
          <w:tcPr>
            <w:tcW w:w="1147" w:type="dxa"/>
            <w:tcBorders>
              <w:top w:val="nil"/>
              <w:left w:val="nil"/>
              <w:bottom w:val="single" w:sz="4" w:space="0" w:color="auto"/>
              <w:right w:val="nil"/>
            </w:tcBorders>
            <w:shd w:val="clear" w:color="auto" w:fill="auto"/>
            <w:noWrap/>
            <w:vAlign w:val="bottom"/>
            <w:hideMark/>
          </w:tcPr>
          <w:p w14:paraId="699D536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1,755,441</w:t>
            </w:r>
          </w:p>
        </w:tc>
        <w:tc>
          <w:tcPr>
            <w:tcW w:w="1297" w:type="dxa"/>
            <w:tcBorders>
              <w:top w:val="nil"/>
              <w:left w:val="nil"/>
              <w:bottom w:val="single" w:sz="4" w:space="0" w:color="auto"/>
              <w:right w:val="nil"/>
            </w:tcBorders>
            <w:shd w:val="clear" w:color="auto" w:fill="auto"/>
            <w:noWrap/>
            <w:vAlign w:val="bottom"/>
            <w:hideMark/>
          </w:tcPr>
          <w:p w14:paraId="5395661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3,042</w:t>
            </w:r>
          </w:p>
        </w:tc>
        <w:tc>
          <w:tcPr>
            <w:tcW w:w="1275" w:type="dxa"/>
            <w:tcBorders>
              <w:top w:val="nil"/>
              <w:left w:val="nil"/>
              <w:bottom w:val="single" w:sz="4" w:space="0" w:color="auto"/>
              <w:right w:val="nil"/>
            </w:tcBorders>
            <w:shd w:val="clear" w:color="auto" w:fill="auto"/>
            <w:noWrap/>
            <w:vAlign w:val="bottom"/>
            <w:hideMark/>
          </w:tcPr>
          <w:p w14:paraId="2579773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3,525,471</w:t>
            </w:r>
          </w:p>
        </w:tc>
        <w:tc>
          <w:tcPr>
            <w:tcW w:w="1147" w:type="dxa"/>
            <w:tcBorders>
              <w:top w:val="nil"/>
              <w:left w:val="nil"/>
              <w:bottom w:val="single" w:sz="4" w:space="0" w:color="auto"/>
              <w:right w:val="nil"/>
            </w:tcBorders>
            <w:shd w:val="clear" w:color="auto" w:fill="auto"/>
            <w:noWrap/>
            <w:vAlign w:val="bottom"/>
            <w:hideMark/>
          </w:tcPr>
          <w:p w14:paraId="3FE0299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1,184,865</w:t>
            </w:r>
          </w:p>
        </w:tc>
        <w:tc>
          <w:tcPr>
            <w:tcW w:w="1264" w:type="dxa"/>
            <w:tcBorders>
              <w:top w:val="nil"/>
              <w:left w:val="nil"/>
              <w:bottom w:val="single" w:sz="4" w:space="0" w:color="auto"/>
              <w:right w:val="nil"/>
            </w:tcBorders>
            <w:shd w:val="clear" w:color="auto" w:fill="auto"/>
            <w:noWrap/>
            <w:vAlign w:val="bottom"/>
            <w:hideMark/>
          </w:tcPr>
          <w:p w14:paraId="15A7615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24,678,614</w:t>
            </w:r>
          </w:p>
        </w:tc>
      </w:tr>
      <w:tr w:rsidR="00CF6817" w:rsidRPr="001A4893" w14:paraId="43432F61" w14:textId="77777777" w:rsidTr="0054052D">
        <w:trPr>
          <w:trHeight w:val="227"/>
        </w:trPr>
        <w:tc>
          <w:tcPr>
            <w:tcW w:w="1610" w:type="dxa"/>
            <w:tcBorders>
              <w:top w:val="nil"/>
              <w:left w:val="nil"/>
              <w:bottom w:val="nil"/>
              <w:right w:val="nil"/>
            </w:tcBorders>
            <w:shd w:val="clear" w:color="auto" w:fill="auto"/>
            <w:noWrap/>
            <w:vAlign w:val="bottom"/>
            <w:hideMark/>
          </w:tcPr>
          <w:p w14:paraId="15ADCED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Poland</w:t>
            </w:r>
          </w:p>
        </w:tc>
        <w:tc>
          <w:tcPr>
            <w:tcW w:w="1148" w:type="dxa"/>
            <w:tcBorders>
              <w:top w:val="nil"/>
              <w:left w:val="nil"/>
              <w:bottom w:val="nil"/>
              <w:right w:val="nil"/>
            </w:tcBorders>
            <w:shd w:val="clear" w:color="auto" w:fill="auto"/>
            <w:noWrap/>
            <w:vAlign w:val="bottom"/>
            <w:hideMark/>
          </w:tcPr>
          <w:p w14:paraId="47E489AF"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582E34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43,781,796</w:t>
            </w:r>
          </w:p>
        </w:tc>
        <w:tc>
          <w:tcPr>
            <w:tcW w:w="1147" w:type="dxa"/>
            <w:tcBorders>
              <w:top w:val="nil"/>
              <w:left w:val="nil"/>
              <w:bottom w:val="nil"/>
              <w:right w:val="nil"/>
            </w:tcBorders>
            <w:shd w:val="clear" w:color="auto" w:fill="auto"/>
            <w:noWrap/>
            <w:vAlign w:val="bottom"/>
            <w:hideMark/>
          </w:tcPr>
          <w:p w14:paraId="2955F96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20,126,676</w:t>
            </w:r>
          </w:p>
        </w:tc>
        <w:tc>
          <w:tcPr>
            <w:tcW w:w="1297" w:type="dxa"/>
            <w:tcBorders>
              <w:top w:val="nil"/>
              <w:left w:val="nil"/>
              <w:bottom w:val="nil"/>
              <w:right w:val="nil"/>
            </w:tcBorders>
            <w:shd w:val="clear" w:color="auto" w:fill="auto"/>
            <w:noWrap/>
            <w:vAlign w:val="bottom"/>
            <w:hideMark/>
          </w:tcPr>
          <w:p w14:paraId="624EB43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51,313</w:t>
            </w:r>
          </w:p>
        </w:tc>
        <w:tc>
          <w:tcPr>
            <w:tcW w:w="1275" w:type="dxa"/>
            <w:tcBorders>
              <w:top w:val="nil"/>
              <w:left w:val="nil"/>
              <w:bottom w:val="nil"/>
              <w:right w:val="nil"/>
            </w:tcBorders>
            <w:shd w:val="clear" w:color="auto" w:fill="auto"/>
            <w:noWrap/>
            <w:vAlign w:val="bottom"/>
            <w:hideMark/>
          </w:tcPr>
          <w:p w14:paraId="0065B31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302,085</w:t>
            </w:r>
          </w:p>
        </w:tc>
        <w:tc>
          <w:tcPr>
            <w:tcW w:w="1147" w:type="dxa"/>
            <w:tcBorders>
              <w:top w:val="nil"/>
              <w:left w:val="nil"/>
              <w:bottom w:val="nil"/>
              <w:right w:val="nil"/>
            </w:tcBorders>
            <w:shd w:val="clear" w:color="auto" w:fill="auto"/>
            <w:noWrap/>
            <w:vAlign w:val="bottom"/>
            <w:hideMark/>
          </w:tcPr>
          <w:p w14:paraId="58939FB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1,315,281</w:t>
            </w:r>
          </w:p>
        </w:tc>
        <w:tc>
          <w:tcPr>
            <w:tcW w:w="1264" w:type="dxa"/>
            <w:tcBorders>
              <w:top w:val="nil"/>
              <w:left w:val="nil"/>
              <w:bottom w:val="nil"/>
              <w:right w:val="nil"/>
            </w:tcBorders>
            <w:shd w:val="clear" w:color="auto" w:fill="auto"/>
            <w:noWrap/>
            <w:vAlign w:val="bottom"/>
            <w:hideMark/>
          </w:tcPr>
          <w:p w14:paraId="32640C9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65,577,152</w:t>
            </w:r>
          </w:p>
        </w:tc>
      </w:tr>
      <w:tr w:rsidR="00CF6817" w:rsidRPr="001A4893" w14:paraId="5F44CED8" w14:textId="77777777" w:rsidTr="0054052D">
        <w:trPr>
          <w:trHeight w:val="227"/>
        </w:trPr>
        <w:tc>
          <w:tcPr>
            <w:tcW w:w="1610" w:type="dxa"/>
            <w:tcBorders>
              <w:top w:val="nil"/>
              <w:left w:val="nil"/>
              <w:bottom w:val="nil"/>
              <w:right w:val="nil"/>
            </w:tcBorders>
            <w:shd w:val="clear" w:color="auto" w:fill="auto"/>
            <w:noWrap/>
            <w:vAlign w:val="bottom"/>
            <w:hideMark/>
          </w:tcPr>
          <w:p w14:paraId="037D7D2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0035E2C9"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2E49E84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7,210,968</w:t>
            </w:r>
          </w:p>
        </w:tc>
        <w:tc>
          <w:tcPr>
            <w:tcW w:w="1147" w:type="dxa"/>
            <w:tcBorders>
              <w:top w:val="nil"/>
              <w:left w:val="nil"/>
              <w:bottom w:val="nil"/>
              <w:right w:val="nil"/>
            </w:tcBorders>
            <w:shd w:val="clear" w:color="auto" w:fill="auto"/>
            <w:noWrap/>
            <w:vAlign w:val="bottom"/>
            <w:hideMark/>
          </w:tcPr>
          <w:p w14:paraId="64619D0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886,722</w:t>
            </w:r>
          </w:p>
        </w:tc>
        <w:tc>
          <w:tcPr>
            <w:tcW w:w="1297" w:type="dxa"/>
            <w:tcBorders>
              <w:top w:val="nil"/>
              <w:left w:val="nil"/>
              <w:bottom w:val="nil"/>
              <w:right w:val="nil"/>
            </w:tcBorders>
            <w:shd w:val="clear" w:color="auto" w:fill="auto"/>
            <w:noWrap/>
            <w:vAlign w:val="bottom"/>
            <w:hideMark/>
          </w:tcPr>
          <w:p w14:paraId="0FD2E41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470,044</w:t>
            </w:r>
          </w:p>
        </w:tc>
        <w:tc>
          <w:tcPr>
            <w:tcW w:w="1275" w:type="dxa"/>
            <w:tcBorders>
              <w:top w:val="nil"/>
              <w:left w:val="nil"/>
              <w:bottom w:val="nil"/>
              <w:right w:val="nil"/>
            </w:tcBorders>
            <w:shd w:val="clear" w:color="auto" w:fill="auto"/>
            <w:noWrap/>
            <w:vAlign w:val="bottom"/>
            <w:hideMark/>
          </w:tcPr>
          <w:p w14:paraId="28856DE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35,785</w:t>
            </w:r>
          </w:p>
        </w:tc>
        <w:tc>
          <w:tcPr>
            <w:tcW w:w="1147" w:type="dxa"/>
            <w:tcBorders>
              <w:top w:val="nil"/>
              <w:left w:val="nil"/>
              <w:bottom w:val="nil"/>
              <w:right w:val="nil"/>
            </w:tcBorders>
            <w:shd w:val="clear" w:color="auto" w:fill="auto"/>
            <w:noWrap/>
            <w:vAlign w:val="bottom"/>
            <w:hideMark/>
          </w:tcPr>
          <w:p w14:paraId="21D5C9B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234,839</w:t>
            </w:r>
          </w:p>
        </w:tc>
        <w:tc>
          <w:tcPr>
            <w:tcW w:w="1264" w:type="dxa"/>
            <w:tcBorders>
              <w:top w:val="nil"/>
              <w:left w:val="nil"/>
              <w:bottom w:val="nil"/>
              <w:right w:val="nil"/>
            </w:tcBorders>
            <w:shd w:val="clear" w:color="auto" w:fill="auto"/>
            <w:noWrap/>
            <w:vAlign w:val="bottom"/>
            <w:hideMark/>
          </w:tcPr>
          <w:p w14:paraId="21A8AEC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8,838,359</w:t>
            </w:r>
          </w:p>
        </w:tc>
      </w:tr>
      <w:tr w:rsidR="00CF6817" w:rsidRPr="001A4893" w14:paraId="416B8F54"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6DC01F2A"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7E78814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70042D5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50,992,764</w:t>
            </w:r>
          </w:p>
        </w:tc>
        <w:tc>
          <w:tcPr>
            <w:tcW w:w="1147" w:type="dxa"/>
            <w:tcBorders>
              <w:top w:val="nil"/>
              <w:left w:val="nil"/>
              <w:bottom w:val="single" w:sz="4" w:space="0" w:color="auto"/>
              <w:right w:val="nil"/>
            </w:tcBorders>
            <w:shd w:val="clear" w:color="auto" w:fill="auto"/>
            <w:noWrap/>
            <w:vAlign w:val="bottom"/>
            <w:hideMark/>
          </w:tcPr>
          <w:p w14:paraId="6B4D98B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21,013,399</w:t>
            </w:r>
          </w:p>
        </w:tc>
        <w:tc>
          <w:tcPr>
            <w:tcW w:w="1297" w:type="dxa"/>
            <w:tcBorders>
              <w:top w:val="nil"/>
              <w:left w:val="nil"/>
              <w:bottom w:val="single" w:sz="4" w:space="0" w:color="auto"/>
              <w:right w:val="nil"/>
            </w:tcBorders>
            <w:shd w:val="clear" w:color="auto" w:fill="auto"/>
            <w:noWrap/>
            <w:vAlign w:val="bottom"/>
            <w:hideMark/>
          </w:tcPr>
          <w:p w14:paraId="1AE85A0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521,357</w:t>
            </w:r>
          </w:p>
        </w:tc>
        <w:tc>
          <w:tcPr>
            <w:tcW w:w="1275" w:type="dxa"/>
            <w:tcBorders>
              <w:top w:val="nil"/>
              <w:left w:val="nil"/>
              <w:bottom w:val="single" w:sz="4" w:space="0" w:color="auto"/>
              <w:right w:val="nil"/>
            </w:tcBorders>
            <w:shd w:val="clear" w:color="auto" w:fill="auto"/>
            <w:noWrap/>
            <w:vAlign w:val="bottom"/>
            <w:hideMark/>
          </w:tcPr>
          <w:p w14:paraId="5ED3A02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337,870</w:t>
            </w:r>
          </w:p>
        </w:tc>
        <w:tc>
          <w:tcPr>
            <w:tcW w:w="1147" w:type="dxa"/>
            <w:tcBorders>
              <w:top w:val="nil"/>
              <w:left w:val="nil"/>
              <w:bottom w:val="single" w:sz="4" w:space="0" w:color="auto"/>
              <w:right w:val="nil"/>
            </w:tcBorders>
            <w:shd w:val="clear" w:color="auto" w:fill="auto"/>
            <w:noWrap/>
            <w:vAlign w:val="bottom"/>
            <w:hideMark/>
          </w:tcPr>
          <w:p w14:paraId="77B2F20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1,550,121</w:t>
            </w:r>
          </w:p>
        </w:tc>
        <w:tc>
          <w:tcPr>
            <w:tcW w:w="1264" w:type="dxa"/>
            <w:tcBorders>
              <w:top w:val="nil"/>
              <w:left w:val="nil"/>
              <w:bottom w:val="single" w:sz="4" w:space="0" w:color="auto"/>
              <w:right w:val="nil"/>
            </w:tcBorders>
            <w:shd w:val="clear" w:color="auto" w:fill="auto"/>
            <w:noWrap/>
            <w:vAlign w:val="bottom"/>
            <w:hideMark/>
          </w:tcPr>
          <w:p w14:paraId="26FC8AF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74,415,510</w:t>
            </w:r>
          </w:p>
        </w:tc>
      </w:tr>
      <w:tr w:rsidR="00CF6817" w:rsidRPr="001A4893" w14:paraId="16344EE1" w14:textId="77777777" w:rsidTr="0054052D">
        <w:trPr>
          <w:trHeight w:val="227"/>
        </w:trPr>
        <w:tc>
          <w:tcPr>
            <w:tcW w:w="1610" w:type="dxa"/>
            <w:tcBorders>
              <w:top w:val="nil"/>
              <w:left w:val="nil"/>
              <w:bottom w:val="nil"/>
              <w:right w:val="nil"/>
            </w:tcBorders>
            <w:shd w:val="clear" w:color="auto" w:fill="auto"/>
            <w:noWrap/>
            <w:vAlign w:val="bottom"/>
            <w:hideMark/>
          </w:tcPr>
          <w:p w14:paraId="5666577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Portugal</w:t>
            </w:r>
          </w:p>
        </w:tc>
        <w:tc>
          <w:tcPr>
            <w:tcW w:w="1148" w:type="dxa"/>
            <w:tcBorders>
              <w:top w:val="nil"/>
              <w:left w:val="nil"/>
              <w:bottom w:val="nil"/>
              <w:right w:val="nil"/>
            </w:tcBorders>
            <w:shd w:val="clear" w:color="auto" w:fill="auto"/>
            <w:noWrap/>
            <w:vAlign w:val="bottom"/>
            <w:hideMark/>
          </w:tcPr>
          <w:p w14:paraId="2F35604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DBBF9B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5,521,002</w:t>
            </w:r>
          </w:p>
        </w:tc>
        <w:tc>
          <w:tcPr>
            <w:tcW w:w="1147" w:type="dxa"/>
            <w:tcBorders>
              <w:top w:val="nil"/>
              <w:left w:val="nil"/>
              <w:bottom w:val="nil"/>
              <w:right w:val="nil"/>
            </w:tcBorders>
            <w:shd w:val="clear" w:color="auto" w:fill="auto"/>
            <w:noWrap/>
            <w:vAlign w:val="bottom"/>
            <w:hideMark/>
          </w:tcPr>
          <w:p w14:paraId="1F67742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359,757</w:t>
            </w:r>
          </w:p>
        </w:tc>
        <w:tc>
          <w:tcPr>
            <w:tcW w:w="1297" w:type="dxa"/>
            <w:tcBorders>
              <w:top w:val="nil"/>
              <w:left w:val="nil"/>
              <w:bottom w:val="nil"/>
              <w:right w:val="nil"/>
            </w:tcBorders>
            <w:shd w:val="clear" w:color="auto" w:fill="auto"/>
            <w:noWrap/>
            <w:vAlign w:val="bottom"/>
            <w:hideMark/>
          </w:tcPr>
          <w:p w14:paraId="5EDF455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1,835,072</w:t>
            </w:r>
          </w:p>
        </w:tc>
        <w:tc>
          <w:tcPr>
            <w:tcW w:w="1275" w:type="dxa"/>
            <w:tcBorders>
              <w:top w:val="nil"/>
              <w:left w:val="nil"/>
              <w:bottom w:val="nil"/>
              <w:right w:val="nil"/>
            </w:tcBorders>
            <w:shd w:val="clear" w:color="auto" w:fill="auto"/>
            <w:noWrap/>
            <w:vAlign w:val="bottom"/>
            <w:hideMark/>
          </w:tcPr>
          <w:p w14:paraId="3673362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1,752,277</w:t>
            </w:r>
          </w:p>
        </w:tc>
        <w:tc>
          <w:tcPr>
            <w:tcW w:w="1147" w:type="dxa"/>
            <w:tcBorders>
              <w:top w:val="nil"/>
              <w:left w:val="nil"/>
              <w:bottom w:val="nil"/>
              <w:right w:val="nil"/>
            </w:tcBorders>
            <w:shd w:val="clear" w:color="auto" w:fill="auto"/>
            <w:noWrap/>
            <w:vAlign w:val="bottom"/>
            <w:hideMark/>
          </w:tcPr>
          <w:p w14:paraId="7CF0539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8,826,680</w:t>
            </w:r>
          </w:p>
        </w:tc>
        <w:tc>
          <w:tcPr>
            <w:tcW w:w="1264" w:type="dxa"/>
            <w:tcBorders>
              <w:top w:val="nil"/>
              <w:left w:val="nil"/>
              <w:bottom w:val="nil"/>
              <w:right w:val="nil"/>
            </w:tcBorders>
            <w:shd w:val="clear" w:color="auto" w:fill="auto"/>
            <w:noWrap/>
            <w:vAlign w:val="bottom"/>
            <w:hideMark/>
          </w:tcPr>
          <w:p w14:paraId="2AC3021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18,294,786</w:t>
            </w:r>
          </w:p>
        </w:tc>
      </w:tr>
      <w:tr w:rsidR="00CF6817" w:rsidRPr="001A4893" w14:paraId="4EC29064" w14:textId="77777777" w:rsidTr="0054052D">
        <w:trPr>
          <w:trHeight w:val="227"/>
        </w:trPr>
        <w:tc>
          <w:tcPr>
            <w:tcW w:w="1610" w:type="dxa"/>
            <w:tcBorders>
              <w:top w:val="nil"/>
              <w:left w:val="nil"/>
              <w:bottom w:val="nil"/>
              <w:right w:val="nil"/>
            </w:tcBorders>
            <w:shd w:val="clear" w:color="auto" w:fill="auto"/>
            <w:noWrap/>
            <w:vAlign w:val="bottom"/>
            <w:hideMark/>
          </w:tcPr>
          <w:p w14:paraId="6FC2C06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1D5B8E14"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5C664F5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1,049,569</w:t>
            </w:r>
          </w:p>
        </w:tc>
        <w:tc>
          <w:tcPr>
            <w:tcW w:w="1147" w:type="dxa"/>
            <w:tcBorders>
              <w:top w:val="nil"/>
              <w:left w:val="nil"/>
              <w:bottom w:val="nil"/>
              <w:right w:val="nil"/>
            </w:tcBorders>
            <w:shd w:val="clear" w:color="auto" w:fill="auto"/>
            <w:noWrap/>
            <w:vAlign w:val="bottom"/>
            <w:hideMark/>
          </w:tcPr>
          <w:p w14:paraId="5BFE675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3,480,608</w:t>
            </w:r>
          </w:p>
        </w:tc>
        <w:tc>
          <w:tcPr>
            <w:tcW w:w="1297" w:type="dxa"/>
            <w:tcBorders>
              <w:top w:val="nil"/>
              <w:left w:val="nil"/>
              <w:bottom w:val="nil"/>
              <w:right w:val="nil"/>
            </w:tcBorders>
            <w:shd w:val="clear" w:color="auto" w:fill="auto"/>
            <w:noWrap/>
            <w:vAlign w:val="bottom"/>
            <w:hideMark/>
          </w:tcPr>
          <w:p w14:paraId="49CE566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670,928</w:t>
            </w:r>
          </w:p>
        </w:tc>
        <w:tc>
          <w:tcPr>
            <w:tcW w:w="1275" w:type="dxa"/>
            <w:tcBorders>
              <w:top w:val="nil"/>
              <w:left w:val="nil"/>
              <w:bottom w:val="nil"/>
              <w:right w:val="nil"/>
            </w:tcBorders>
            <w:shd w:val="clear" w:color="auto" w:fill="auto"/>
            <w:noWrap/>
            <w:vAlign w:val="bottom"/>
            <w:hideMark/>
          </w:tcPr>
          <w:p w14:paraId="0BD6A92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887,795</w:t>
            </w:r>
          </w:p>
        </w:tc>
        <w:tc>
          <w:tcPr>
            <w:tcW w:w="1147" w:type="dxa"/>
            <w:tcBorders>
              <w:top w:val="nil"/>
              <w:left w:val="nil"/>
              <w:bottom w:val="nil"/>
              <w:right w:val="nil"/>
            </w:tcBorders>
            <w:shd w:val="clear" w:color="auto" w:fill="auto"/>
            <w:noWrap/>
            <w:vAlign w:val="bottom"/>
            <w:hideMark/>
          </w:tcPr>
          <w:p w14:paraId="45242C4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743,040</w:t>
            </w:r>
          </w:p>
        </w:tc>
        <w:tc>
          <w:tcPr>
            <w:tcW w:w="1264" w:type="dxa"/>
            <w:tcBorders>
              <w:top w:val="nil"/>
              <w:left w:val="nil"/>
              <w:bottom w:val="nil"/>
              <w:right w:val="nil"/>
            </w:tcBorders>
            <w:shd w:val="clear" w:color="auto" w:fill="auto"/>
            <w:noWrap/>
            <w:vAlign w:val="bottom"/>
            <w:hideMark/>
          </w:tcPr>
          <w:p w14:paraId="17C3D4A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6,831,939</w:t>
            </w:r>
          </w:p>
        </w:tc>
      </w:tr>
      <w:tr w:rsidR="00CF6817" w:rsidRPr="001A4893" w14:paraId="3B2862BF"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192A383A"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03BBD22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5778F34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6,570,570</w:t>
            </w:r>
          </w:p>
        </w:tc>
        <w:tc>
          <w:tcPr>
            <w:tcW w:w="1147" w:type="dxa"/>
            <w:tcBorders>
              <w:top w:val="nil"/>
              <w:left w:val="nil"/>
              <w:bottom w:val="single" w:sz="4" w:space="0" w:color="auto"/>
              <w:right w:val="nil"/>
            </w:tcBorders>
            <w:shd w:val="clear" w:color="auto" w:fill="auto"/>
            <w:noWrap/>
            <w:vAlign w:val="bottom"/>
            <w:hideMark/>
          </w:tcPr>
          <w:p w14:paraId="561A134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3,840,365</w:t>
            </w:r>
          </w:p>
        </w:tc>
        <w:tc>
          <w:tcPr>
            <w:tcW w:w="1297" w:type="dxa"/>
            <w:tcBorders>
              <w:top w:val="nil"/>
              <w:left w:val="nil"/>
              <w:bottom w:val="single" w:sz="4" w:space="0" w:color="auto"/>
              <w:right w:val="nil"/>
            </w:tcBorders>
            <w:shd w:val="clear" w:color="auto" w:fill="auto"/>
            <w:noWrap/>
            <w:vAlign w:val="bottom"/>
            <w:hideMark/>
          </w:tcPr>
          <w:p w14:paraId="416384B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2,505,999</w:t>
            </w:r>
          </w:p>
        </w:tc>
        <w:tc>
          <w:tcPr>
            <w:tcW w:w="1275" w:type="dxa"/>
            <w:tcBorders>
              <w:top w:val="nil"/>
              <w:left w:val="nil"/>
              <w:bottom w:val="single" w:sz="4" w:space="0" w:color="auto"/>
              <w:right w:val="nil"/>
            </w:tcBorders>
            <w:shd w:val="clear" w:color="auto" w:fill="auto"/>
            <w:noWrap/>
            <w:vAlign w:val="bottom"/>
            <w:hideMark/>
          </w:tcPr>
          <w:p w14:paraId="21E7DB4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2,640,071</w:t>
            </w:r>
          </w:p>
        </w:tc>
        <w:tc>
          <w:tcPr>
            <w:tcW w:w="1147" w:type="dxa"/>
            <w:tcBorders>
              <w:top w:val="nil"/>
              <w:left w:val="nil"/>
              <w:bottom w:val="single" w:sz="4" w:space="0" w:color="auto"/>
              <w:right w:val="nil"/>
            </w:tcBorders>
            <w:shd w:val="clear" w:color="auto" w:fill="auto"/>
            <w:noWrap/>
            <w:vAlign w:val="bottom"/>
            <w:hideMark/>
          </w:tcPr>
          <w:p w14:paraId="56D397A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9,569,720</w:t>
            </w:r>
          </w:p>
        </w:tc>
        <w:tc>
          <w:tcPr>
            <w:tcW w:w="1264" w:type="dxa"/>
            <w:tcBorders>
              <w:top w:val="nil"/>
              <w:left w:val="nil"/>
              <w:bottom w:val="single" w:sz="4" w:space="0" w:color="auto"/>
              <w:right w:val="nil"/>
            </w:tcBorders>
            <w:shd w:val="clear" w:color="auto" w:fill="auto"/>
            <w:noWrap/>
            <w:vAlign w:val="bottom"/>
            <w:hideMark/>
          </w:tcPr>
          <w:p w14:paraId="0E6E5E6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25,126,726</w:t>
            </w:r>
          </w:p>
        </w:tc>
      </w:tr>
      <w:tr w:rsidR="00CF6817" w:rsidRPr="001A4893" w14:paraId="508C2175" w14:textId="77777777" w:rsidTr="0054052D">
        <w:trPr>
          <w:trHeight w:val="227"/>
        </w:trPr>
        <w:tc>
          <w:tcPr>
            <w:tcW w:w="1610" w:type="dxa"/>
            <w:tcBorders>
              <w:top w:val="nil"/>
              <w:left w:val="nil"/>
              <w:bottom w:val="nil"/>
              <w:right w:val="nil"/>
            </w:tcBorders>
            <w:shd w:val="clear" w:color="auto" w:fill="auto"/>
            <w:noWrap/>
            <w:vAlign w:val="bottom"/>
            <w:hideMark/>
          </w:tcPr>
          <w:p w14:paraId="1760FE4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Romania</w:t>
            </w:r>
          </w:p>
        </w:tc>
        <w:tc>
          <w:tcPr>
            <w:tcW w:w="1148" w:type="dxa"/>
            <w:tcBorders>
              <w:top w:val="nil"/>
              <w:left w:val="nil"/>
              <w:bottom w:val="nil"/>
              <w:right w:val="nil"/>
            </w:tcBorders>
            <w:shd w:val="clear" w:color="auto" w:fill="auto"/>
            <w:noWrap/>
            <w:vAlign w:val="bottom"/>
            <w:hideMark/>
          </w:tcPr>
          <w:p w14:paraId="7F068DF3"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3980A60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26,249,054</w:t>
            </w:r>
          </w:p>
        </w:tc>
        <w:tc>
          <w:tcPr>
            <w:tcW w:w="1147" w:type="dxa"/>
            <w:tcBorders>
              <w:top w:val="nil"/>
              <w:left w:val="nil"/>
              <w:bottom w:val="nil"/>
              <w:right w:val="nil"/>
            </w:tcBorders>
            <w:shd w:val="clear" w:color="auto" w:fill="auto"/>
            <w:noWrap/>
            <w:vAlign w:val="bottom"/>
            <w:hideMark/>
          </w:tcPr>
          <w:p w14:paraId="176E330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4,200,486</w:t>
            </w:r>
          </w:p>
        </w:tc>
        <w:tc>
          <w:tcPr>
            <w:tcW w:w="1297" w:type="dxa"/>
            <w:tcBorders>
              <w:top w:val="nil"/>
              <w:left w:val="nil"/>
              <w:bottom w:val="nil"/>
              <w:right w:val="nil"/>
            </w:tcBorders>
            <w:shd w:val="clear" w:color="auto" w:fill="auto"/>
            <w:noWrap/>
            <w:vAlign w:val="bottom"/>
            <w:hideMark/>
          </w:tcPr>
          <w:p w14:paraId="79A8A79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36,739,404</w:t>
            </w:r>
          </w:p>
        </w:tc>
        <w:tc>
          <w:tcPr>
            <w:tcW w:w="1275" w:type="dxa"/>
            <w:tcBorders>
              <w:top w:val="nil"/>
              <w:left w:val="nil"/>
              <w:bottom w:val="nil"/>
              <w:right w:val="nil"/>
            </w:tcBorders>
            <w:shd w:val="clear" w:color="auto" w:fill="auto"/>
            <w:noWrap/>
            <w:vAlign w:val="bottom"/>
            <w:hideMark/>
          </w:tcPr>
          <w:p w14:paraId="563295C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6,604,380</w:t>
            </w:r>
          </w:p>
        </w:tc>
        <w:tc>
          <w:tcPr>
            <w:tcW w:w="1147" w:type="dxa"/>
            <w:tcBorders>
              <w:top w:val="nil"/>
              <w:left w:val="nil"/>
              <w:bottom w:val="nil"/>
              <w:right w:val="nil"/>
            </w:tcBorders>
            <w:shd w:val="clear" w:color="auto" w:fill="auto"/>
            <w:noWrap/>
            <w:vAlign w:val="bottom"/>
            <w:hideMark/>
          </w:tcPr>
          <w:p w14:paraId="6DA92DF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759,548</w:t>
            </w:r>
          </w:p>
        </w:tc>
        <w:tc>
          <w:tcPr>
            <w:tcW w:w="1264" w:type="dxa"/>
            <w:tcBorders>
              <w:top w:val="nil"/>
              <w:left w:val="nil"/>
              <w:bottom w:val="nil"/>
              <w:right w:val="nil"/>
            </w:tcBorders>
            <w:shd w:val="clear" w:color="auto" w:fill="auto"/>
            <w:noWrap/>
            <w:vAlign w:val="bottom"/>
            <w:hideMark/>
          </w:tcPr>
          <w:p w14:paraId="0E543BF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74,552,872</w:t>
            </w:r>
          </w:p>
        </w:tc>
      </w:tr>
      <w:tr w:rsidR="00CF6817" w:rsidRPr="001A4893" w14:paraId="7D757E87" w14:textId="77777777" w:rsidTr="0054052D">
        <w:trPr>
          <w:trHeight w:val="227"/>
        </w:trPr>
        <w:tc>
          <w:tcPr>
            <w:tcW w:w="1610" w:type="dxa"/>
            <w:tcBorders>
              <w:top w:val="nil"/>
              <w:left w:val="nil"/>
              <w:bottom w:val="nil"/>
              <w:right w:val="nil"/>
            </w:tcBorders>
            <w:shd w:val="clear" w:color="auto" w:fill="auto"/>
            <w:noWrap/>
            <w:vAlign w:val="bottom"/>
            <w:hideMark/>
          </w:tcPr>
          <w:p w14:paraId="2AEC52F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473839F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5315210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5,063,566</w:t>
            </w:r>
          </w:p>
        </w:tc>
        <w:tc>
          <w:tcPr>
            <w:tcW w:w="1147" w:type="dxa"/>
            <w:tcBorders>
              <w:top w:val="nil"/>
              <w:left w:val="nil"/>
              <w:bottom w:val="nil"/>
              <w:right w:val="nil"/>
            </w:tcBorders>
            <w:shd w:val="clear" w:color="auto" w:fill="auto"/>
            <w:noWrap/>
            <w:vAlign w:val="bottom"/>
            <w:hideMark/>
          </w:tcPr>
          <w:p w14:paraId="6CA026D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1,231,210</w:t>
            </w:r>
          </w:p>
        </w:tc>
        <w:tc>
          <w:tcPr>
            <w:tcW w:w="1297" w:type="dxa"/>
            <w:tcBorders>
              <w:top w:val="nil"/>
              <w:left w:val="nil"/>
              <w:bottom w:val="nil"/>
              <w:right w:val="nil"/>
            </w:tcBorders>
            <w:shd w:val="clear" w:color="auto" w:fill="auto"/>
            <w:noWrap/>
            <w:vAlign w:val="bottom"/>
            <w:hideMark/>
          </w:tcPr>
          <w:p w14:paraId="56FFBDA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35,536,071</w:t>
            </w:r>
          </w:p>
        </w:tc>
        <w:tc>
          <w:tcPr>
            <w:tcW w:w="1275" w:type="dxa"/>
            <w:tcBorders>
              <w:top w:val="nil"/>
              <w:left w:val="nil"/>
              <w:bottom w:val="nil"/>
              <w:right w:val="nil"/>
            </w:tcBorders>
            <w:shd w:val="clear" w:color="auto" w:fill="auto"/>
            <w:noWrap/>
            <w:vAlign w:val="bottom"/>
            <w:hideMark/>
          </w:tcPr>
          <w:p w14:paraId="2C1BBA1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11,937,678</w:t>
            </w:r>
          </w:p>
        </w:tc>
        <w:tc>
          <w:tcPr>
            <w:tcW w:w="1147" w:type="dxa"/>
            <w:tcBorders>
              <w:top w:val="nil"/>
              <w:left w:val="nil"/>
              <w:bottom w:val="nil"/>
              <w:right w:val="nil"/>
            </w:tcBorders>
            <w:shd w:val="clear" w:color="auto" w:fill="auto"/>
            <w:noWrap/>
            <w:vAlign w:val="bottom"/>
            <w:hideMark/>
          </w:tcPr>
          <w:p w14:paraId="3EBDBE1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5,274,738</w:t>
            </w:r>
          </w:p>
        </w:tc>
        <w:tc>
          <w:tcPr>
            <w:tcW w:w="1264" w:type="dxa"/>
            <w:tcBorders>
              <w:top w:val="nil"/>
              <w:left w:val="nil"/>
              <w:bottom w:val="nil"/>
              <w:right w:val="nil"/>
            </w:tcBorders>
            <w:shd w:val="clear" w:color="auto" w:fill="auto"/>
            <w:noWrap/>
            <w:vAlign w:val="bottom"/>
            <w:hideMark/>
          </w:tcPr>
          <w:p w14:paraId="1032871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59,043,262</w:t>
            </w:r>
          </w:p>
        </w:tc>
      </w:tr>
      <w:tr w:rsidR="00CF6817" w:rsidRPr="001A4893" w14:paraId="4194C22D"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1F8406F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270B15CE"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6F5059E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31,312,620</w:t>
            </w:r>
          </w:p>
        </w:tc>
        <w:tc>
          <w:tcPr>
            <w:tcW w:w="1147" w:type="dxa"/>
            <w:tcBorders>
              <w:top w:val="nil"/>
              <w:left w:val="nil"/>
              <w:bottom w:val="single" w:sz="4" w:space="0" w:color="auto"/>
              <w:right w:val="nil"/>
            </w:tcBorders>
            <w:shd w:val="clear" w:color="auto" w:fill="auto"/>
            <w:noWrap/>
            <w:vAlign w:val="bottom"/>
            <w:hideMark/>
          </w:tcPr>
          <w:p w14:paraId="7895B32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5,431,695</w:t>
            </w:r>
          </w:p>
        </w:tc>
        <w:tc>
          <w:tcPr>
            <w:tcW w:w="1297" w:type="dxa"/>
            <w:tcBorders>
              <w:top w:val="nil"/>
              <w:left w:val="nil"/>
              <w:bottom w:val="single" w:sz="4" w:space="0" w:color="auto"/>
              <w:right w:val="nil"/>
            </w:tcBorders>
            <w:shd w:val="clear" w:color="auto" w:fill="auto"/>
            <w:noWrap/>
            <w:vAlign w:val="bottom"/>
            <w:hideMark/>
          </w:tcPr>
          <w:p w14:paraId="2205EC7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72,275,475</w:t>
            </w:r>
          </w:p>
        </w:tc>
        <w:tc>
          <w:tcPr>
            <w:tcW w:w="1275" w:type="dxa"/>
            <w:tcBorders>
              <w:top w:val="nil"/>
              <w:left w:val="nil"/>
              <w:bottom w:val="single" w:sz="4" w:space="0" w:color="auto"/>
              <w:right w:val="nil"/>
            </w:tcBorders>
            <w:shd w:val="clear" w:color="auto" w:fill="auto"/>
            <w:noWrap/>
            <w:vAlign w:val="bottom"/>
            <w:hideMark/>
          </w:tcPr>
          <w:p w14:paraId="584CF48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18,542,058</w:t>
            </w:r>
          </w:p>
        </w:tc>
        <w:tc>
          <w:tcPr>
            <w:tcW w:w="1147" w:type="dxa"/>
            <w:tcBorders>
              <w:top w:val="nil"/>
              <w:left w:val="nil"/>
              <w:bottom w:val="single" w:sz="4" w:space="0" w:color="auto"/>
              <w:right w:val="nil"/>
            </w:tcBorders>
            <w:shd w:val="clear" w:color="auto" w:fill="auto"/>
            <w:noWrap/>
            <w:vAlign w:val="bottom"/>
            <w:hideMark/>
          </w:tcPr>
          <w:p w14:paraId="1B4DEFC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6,034,286</w:t>
            </w:r>
          </w:p>
        </w:tc>
        <w:tc>
          <w:tcPr>
            <w:tcW w:w="1264" w:type="dxa"/>
            <w:tcBorders>
              <w:top w:val="nil"/>
              <w:left w:val="nil"/>
              <w:bottom w:val="single" w:sz="4" w:space="0" w:color="auto"/>
              <w:right w:val="nil"/>
            </w:tcBorders>
            <w:shd w:val="clear" w:color="auto" w:fill="auto"/>
            <w:noWrap/>
            <w:vAlign w:val="bottom"/>
            <w:hideMark/>
          </w:tcPr>
          <w:p w14:paraId="17F588F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133,596,134</w:t>
            </w:r>
          </w:p>
        </w:tc>
      </w:tr>
      <w:tr w:rsidR="00CF6817" w:rsidRPr="001A4893" w14:paraId="2D1083DA" w14:textId="77777777" w:rsidTr="0054052D">
        <w:trPr>
          <w:trHeight w:val="227"/>
        </w:trPr>
        <w:tc>
          <w:tcPr>
            <w:tcW w:w="1610" w:type="dxa"/>
            <w:tcBorders>
              <w:top w:val="nil"/>
              <w:left w:val="nil"/>
              <w:bottom w:val="nil"/>
              <w:right w:val="nil"/>
            </w:tcBorders>
            <w:shd w:val="clear" w:color="auto" w:fill="auto"/>
            <w:noWrap/>
            <w:vAlign w:val="bottom"/>
            <w:hideMark/>
          </w:tcPr>
          <w:p w14:paraId="02EA0CA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Spain</w:t>
            </w:r>
          </w:p>
        </w:tc>
        <w:tc>
          <w:tcPr>
            <w:tcW w:w="1148" w:type="dxa"/>
            <w:tcBorders>
              <w:top w:val="nil"/>
              <w:left w:val="nil"/>
              <w:bottom w:val="nil"/>
              <w:right w:val="nil"/>
            </w:tcBorders>
            <w:shd w:val="clear" w:color="auto" w:fill="auto"/>
            <w:noWrap/>
            <w:vAlign w:val="bottom"/>
            <w:hideMark/>
          </w:tcPr>
          <w:p w14:paraId="67F3D6A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107FA8A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6,553,441</w:t>
            </w:r>
          </w:p>
        </w:tc>
        <w:tc>
          <w:tcPr>
            <w:tcW w:w="1147" w:type="dxa"/>
            <w:tcBorders>
              <w:top w:val="nil"/>
              <w:left w:val="nil"/>
              <w:bottom w:val="nil"/>
              <w:right w:val="nil"/>
            </w:tcBorders>
            <w:shd w:val="clear" w:color="auto" w:fill="auto"/>
            <w:noWrap/>
            <w:vAlign w:val="bottom"/>
            <w:hideMark/>
          </w:tcPr>
          <w:p w14:paraId="0C75FE8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4,347,867</w:t>
            </w:r>
          </w:p>
        </w:tc>
        <w:tc>
          <w:tcPr>
            <w:tcW w:w="1297" w:type="dxa"/>
            <w:tcBorders>
              <w:top w:val="nil"/>
              <w:left w:val="nil"/>
              <w:bottom w:val="nil"/>
              <w:right w:val="nil"/>
            </w:tcBorders>
            <w:shd w:val="clear" w:color="auto" w:fill="auto"/>
            <w:noWrap/>
            <w:vAlign w:val="bottom"/>
            <w:hideMark/>
          </w:tcPr>
          <w:p w14:paraId="25B2AEE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2,172,220</w:t>
            </w:r>
          </w:p>
        </w:tc>
        <w:tc>
          <w:tcPr>
            <w:tcW w:w="1275" w:type="dxa"/>
            <w:tcBorders>
              <w:top w:val="nil"/>
              <w:left w:val="nil"/>
              <w:bottom w:val="nil"/>
              <w:right w:val="nil"/>
            </w:tcBorders>
            <w:shd w:val="clear" w:color="auto" w:fill="auto"/>
            <w:noWrap/>
            <w:vAlign w:val="bottom"/>
            <w:hideMark/>
          </w:tcPr>
          <w:p w14:paraId="52EBB0C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nil"/>
              <w:right w:val="nil"/>
            </w:tcBorders>
            <w:shd w:val="clear" w:color="auto" w:fill="auto"/>
            <w:noWrap/>
            <w:vAlign w:val="bottom"/>
            <w:hideMark/>
          </w:tcPr>
          <w:p w14:paraId="36EA71C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45,807,203</w:t>
            </w:r>
          </w:p>
        </w:tc>
        <w:tc>
          <w:tcPr>
            <w:tcW w:w="1264" w:type="dxa"/>
            <w:tcBorders>
              <w:top w:val="nil"/>
              <w:left w:val="nil"/>
              <w:bottom w:val="nil"/>
              <w:right w:val="nil"/>
            </w:tcBorders>
            <w:shd w:val="clear" w:color="auto" w:fill="auto"/>
            <w:noWrap/>
            <w:vAlign w:val="bottom"/>
            <w:hideMark/>
          </w:tcPr>
          <w:p w14:paraId="5B1AC55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58,880,731</w:t>
            </w:r>
          </w:p>
        </w:tc>
      </w:tr>
      <w:tr w:rsidR="00CF6817" w:rsidRPr="001A4893" w14:paraId="7569A641" w14:textId="77777777" w:rsidTr="0054052D">
        <w:trPr>
          <w:trHeight w:val="227"/>
        </w:trPr>
        <w:tc>
          <w:tcPr>
            <w:tcW w:w="1610" w:type="dxa"/>
            <w:tcBorders>
              <w:top w:val="nil"/>
              <w:left w:val="nil"/>
              <w:bottom w:val="nil"/>
              <w:right w:val="nil"/>
            </w:tcBorders>
            <w:shd w:val="clear" w:color="auto" w:fill="auto"/>
            <w:noWrap/>
            <w:vAlign w:val="bottom"/>
            <w:hideMark/>
          </w:tcPr>
          <w:p w14:paraId="6D9F0A5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095CF577"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4E4196E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309,592</w:t>
            </w:r>
          </w:p>
        </w:tc>
        <w:tc>
          <w:tcPr>
            <w:tcW w:w="1147" w:type="dxa"/>
            <w:tcBorders>
              <w:top w:val="nil"/>
              <w:left w:val="nil"/>
              <w:bottom w:val="nil"/>
              <w:right w:val="nil"/>
            </w:tcBorders>
            <w:shd w:val="clear" w:color="auto" w:fill="auto"/>
            <w:noWrap/>
            <w:vAlign w:val="bottom"/>
            <w:hideMark/>
          </w:tcPr>
          <w:p w14:paraId="45469FA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24,891,491</w:t>
            </w:r>
          </w:p>
        </w:tc>
        <w:tc>
          <w:tcPr>
            <w:tcW w:w="1297" w:type="dxa"/>
            <w:tcBorders>
              <w:top w:val="nil"/>
              <w:left w:val="nil"/>
              <w:bottom w:val="nil"/>
              <w:right w:val="nil"/>
            </w:tcBorders>
            <w:shd w:val="clear" w:color="auto" w:fill="auto"/>
            <w:noWrap/>
            <w:vAlign w:val="bottom"/>
            <w:hideMark/>
          </w:tcPr>
          <w:p w14:paraId="416819B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7,904,241</w:t>
            </w:r>
          </w:p>
        </w:tc>
        <w:tc>
          <w:tcPr>
            <w:tcW w:w="1275" w:type="dxa"/>
            <w:tcBorders>
              <w:top w:val="nil"/>
              <w:left w:val="nil"/>
              <w:bottom w:val="nil"/>
              <w:right w:val="nil"/>
            </w:tcBorders>
            <w:shd w:val="clear" w:color="auto" w:fill="auto"/>
            <w:noWrap/>
            <w:vAlign w:val="bottom"/>
            <w:hideMark/>
          </w:tcPr>
          <w:p w14:paraId="51B077D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nil"/>
              <w:right w:val="nil"/>
            </w:tcBorders>
            <w:shd w:val="clear" w:color="auto" w:fill="auto"/>
            <w:noWrap/>
            <w:vAlign w:val="bottom"/>
            <w:hideMark/>
          </w:tcPr>
          <w:p w14:paraId="79F19F6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4,832,010</w:t>
            </w:r>
          </w:p>
        </w:tc>
        <w:tc>
          <w:tcPr>
            <w:tcW w:w="1264" w:type="dxa"/>
            <w:tcBorders>
              <w:top w:val="nil"/>
              <w:left w:val="nil"/>
              <w:bottom w:val="nil"/>
              <w:right w:val="nil"/>
            </w:tcBorders>
            <w:shd w:val="clear" w:color="auto" w:fill="auto"/>
            <w:noWrap/>
            <w:vAlign w:val="bottom"/>
            <w:hideMark/>
          </w:tcPr>
          <w:p w14:paraId="457D5D1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37,937,335</w:t>
            </w:r>
          </w:p>
        </w:tc>
      </w:tr>
      <w:tr w:rsidR="00CF6817" w:rsidRPr="001A4893" w14:paraId="24597F3A"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711BF675"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8CAE79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7B23FDF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6,863,033</w:t>
            </w:r>
          </w:p>
        </w:tc>
        <w:tc>
          <w:tcPr>
            <w:tcW w:w="1147" w:type="dxa"/>
            <w:tcBorders>
              <w:top w:val="nil"/>
              <w:left w:val="nil"/>
              <w:bottom w:val="single" w:sz="4" w:space="0" w:color="auto"/>
              <w:right w:val="nil"/>
            </w:tcBorders>
            <w:shd w:val="clear" w:color="auto" w:fill="auto"/>
            <w:noWrap/>
            <w:vAlign w:val="bottom"/>
            <w:hideMark/>
          </w:tcPr>
          <w:p w14:paraId="2ED2288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29,239,358</w:t>
            </w:r>
          </w:p>
        </w:tc>
        <w:tc>
          <w:tcPr>
            <w:tcW w:w="1297" w:type="dxa"/>
            <w:tcBorders>
              <w:top w:val="nil"/>
              <w:left w:val="nil"/>
              <w:bottom w:val="single" w:sz="4" w:space="0" w:color="auto"/>
              <w:right w:val="nil"/>
            </w:tcBorders>
            <w:shd w:val="clear" w:color="auto" w:fill="auto"/>
            <w:noWrap/>
            <w:vAlign w:val="bottom"/>
            <w:hideMark/>
          </w:tcPr>
          <w:p w14:paraId="4F6A519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10,076,461</w:t>
            </w:r>
          </w:p>
        </w:tc>
        <w:tc>
          <w:tcPr>
            <w:tcW w:w="1275" w:type="dxa"/>
            <w:tcBorders>
              <w:top w:val="nil"/>
              <w:left w:val="nil"/>
              <w:bottom w:val="single" w:sz="4" w:space="0" w:color="auto"/>
              <w:right w:val="nil"/>
            </w:tcBorders>
            <w:shd w:val="clear" w:color="auto" w:fill="auto"/>
            <w:noWrap/>
            <w:vAlign w:val="bottom"/>
            <w:hideMark/>
          </w:tcPr>
          <w:p w14:paraId="3CC9A3D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147" w:type="dxa"/>
            <w:tcBorders>
              <w:top w:val="nil"/>
              <w:left w:val="nil"/>
              <w:bottom w:val="single" w:sz="4" w:space="0" w:color="auto"/>
              <w:right w:val="nil"/>
            </w:tcBorders>
            <w:shd w:val="clear" w:color="auto" w:fill="auto"/>
            <w:noWrap/>
            <w:vAlign w:val="bottom"/>
            <w:hideMark/>
          </w:tcPr>
          <w:p w14:paraId="1E9F449A"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50,639,214</w:t>
            </w:r>
          </w:p>
        </w:tc>
        <w:tc>
          <w:tcPr>
            <w:tcW w:w="1264" w:type="dxa"/>
            <w:tcBorders>
              <w:top w:val="nil"/>
              <w:left w:val="nil"/>
              <w:bottom w:val="single" w:sz="4" w:space="0" w:color="auto"/>
              <w:right w:val="nil"/>
            </w:tcBorders>
            <w:shd w:val="clear" w:color="auto" w:fill="auto"/>
            <w:noWrap/>
            <w:vAlign w:val="bottom"/>
            <w:hideMark/>
          </w:tcPr>
          <w:p w14:paraId="5F17851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96,818,066</w:t>
            </w:r>
          </w:p>
        </w:tc>
      </w:tr>
      <w:tr w:rsidR="00CF6817" w:rsidRPr="001A4893" w14:paraId="6B04E854" w14:textId="77777777" w:rsidTr="0054052D">
        <w:trPr>
          <w:trHeight w:val="227"/>
        </w:trPr>
        <w:tc>
          <w:tcPr>
            <w:tcW w:w="1610" w:type="dxa"/>
            <w:tcBorders>
              <w:top w:val="nil"/>
              <w:left w:val="nil"/>
              <w:bottom w:val="nil"/>
              <w:right w:val="nil"/>
            </w:tcBorders>
            <w:shd w:val="clear" w:color="auto" w:fill="auto"/>
            <w:noWrap/>
            <w:vAlign w:val="bottom"/>
            <w:hideMark/>
          </w:tcPr>
          <w:p w14:paraId="18728C92"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Sweden</w:t>
            </w:r>
          </w:p>
        </w:tc>
        <w:tc>
          <w:tcPr>
            <w:tcW w:w="1148" w:type="dxa"/>
            <w:tcBorders>
              <w:top w:val="nil"/>
              <w:left w:val="nil"/>
              <w:bottom w:val="nil"/>
              <w:right w:val="nil"/>
            </w:tcBorders>
            <w:shd w:val="clear" w:color="auto" w:fill="auto"/>
            <w:noWrap/>
            <w:vAlign w:val="bottom"/>
            <w:hideMark/>
          </w:tcPr>
          <w:p w14:paraId="7D876ED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4FB50C7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29,376,486</w:t>
            </w:r>
          </w:p>
        </w:tc>
        <w:tc>
          <w:tcPr>
            <w:tcW w:w="1147" w:type="dxa"/>
            <w:tcBorders>
              <w:top w:val="nil"/>
              <w:left w:val="nil"/>
              <w:bottom w:val="nil"/>
              <w:right w:val="nil"/>
            </w:tcBorders>
            <w:shd w:val="clear" w:color="auto" w:fill="auto"/>
            <w:noWrap/>
            <w:vAlign w:val="bottom"/>
            <w:hideMark/>
          </w:tcPr>
          <w:p w14:paraId="6FAC3EE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2,760,642</w:t>
            </w:r>
          </w:p>
        </w:tc>
        <w:tc>
          <w:tcPr>
            <w:tcW w:w="1297" w:type="dxa"/>
            <w:tcBorders>
              <w:top w:val="nil"/>
              <w:left w:val="nil"/>
              <w:bottom w:val="nil"/>
              <w:right w:val="nil"/>
            </w:tcBorders>
            <w:shd w:val="clear" w:color="auto" w:fill="auto"/>
            <w:noWrap/>
            <w:vAlign w:val="bottom"/>
            <w:hideMark/>
          </w:tcPr>
          <w:p w14:paraId="3DF6A9B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3AD9C47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237,507</w:t>
            </w:r>
          </w:p>
        </w:tc>
        <w:tc>
          <w:tcPr>
            <w:tcW w:w="1147" w:type="dxa"/>
            <w:tcBorders>
              <w:top w:val="nil"/>
              <w:left w:val="nil"/>
              <w:bottom w:val="nil"/>
              <w:right w:val="nil"/>
            </w:tcBorders>
            <w:shd w:val="clear" w:color="auto" w:fill="auto"/>
            <w:noWrap/>
            <w:vAlign w:val="bottom"/>
            <w:hideMark/>
          </w:tcPr>
          <w:p w14:paraId="4F540F0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5,750</w:t>
            </w:r>
          </w:p>
        </w:tc>
        <w:tc>
          <w:tcPr>
            <w:tcW w:w="1264" w:type="dxa"/>
            <w:tcBorders>
              <w:top w:val="nil"/>
              <w:left w:val="nil"/>
              <w:bottom w:val="nil"/>
              <w:right w:val="nil"/>
            </w:tcBorders>
            <w:shd w:val="clear" w:color="auto" w:fill="auto"/>
            <w:noWrap/>
            <w:vAlign w:val="bottom"/>
            <w:hideMark/>
          </w:tcPr>
          <w:p w14:paraId="66D0958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32,380,385</w:t>
            </w:r>
          </w:p>
        </w:tc>
      </w:tr>
      <w:tr w:rsidR="00CF6817" w:rsidRPr="001A4893" w14:paraId="761656B6" w14:textId="77777777" w:rsidTr="0054052D">
        <w:trPr>
          <w:trHeight w:val="227"/>
        </w:trPr>
        <w:tc>
          <w:tcPr>
            <w:tcW w:w="1610" w:type="dxa"/>
            <w:tcBorders>
              <w:top w:val="nil"/>
              <w:left w:val="nil"/>
              <w:bottom w:val="nil"/>
              <w:right w:val="nil"/>
            </w:tcBorders>
            <w:shd w:val="clear" w:color="auto" w:fill="auto"/>
            <w:noWrap/>
            <w:vAlign w:val="bottom"/>
            <w:hideMark/>
          </w:tcPr>
          <w:p w14:paraId="3651D6A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7CA3988E"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2B20770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666,540</w:t>
            </w:r>
          </w:p>
        </w:tc>
        <w:tc>
          <w:tcPr>
            <w:tcW w:w="1147" w:type="dxa"/>
            <w:tcBorders>
              <w:top w:val="nil"/>
              <w:left w:val="nil"/>
              <w:bottom w:val="nil"/>
              <w:right w:val="nil"/>
            </w:tcBorders>
            <w:shd w:val="clear" w:color="auto" w:fill="auto"/>
            <w:noWrap/>
            <w:vAlign w:val="bottom"/>
            <w:hideMark/>
          </w:tcPr>
          <w:p w14:paraId="1782E95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608,683</w:t>
            </w:r>
          </w:p>
        </w:tc>
        <w:tc>
          <w:tcPr>
            <w:tcW w:w="1297" w:type="dxa"/>
            <w:tcBorders>
              <w:top w:val="nil"/>
              <w:left w:val="nil"/>
              <w:bottom w:val="nil"/>
              <w:right w:val="nil"/>
            </w:tcBorders>
            <w:shd w:val="clear" w:color="auto" w:fill="auto"/>
            <w:noWrap/>
            <w:vAlign w:val="bottom"/>
            <w:hideMark/>
          </w:tcPr>
          <w:p w14:paraId="143E5F0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37CFB69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314,966</w:t>
            </w:r>
          </w:p>
        </w:tc>
        <w:tc>
          <w:tcPr>
            <w:tcW w:w="1147" w:type="dxa"/>
            <w:tcBorders>
              <w:top w:val="nil"/>
              <w:left w:val="nil"/>
              <w:bottom w:val="nil"/>
              <w:right w:val="nil"/>
            </w:tcBorders>
            <w:shd w:val="clear" w:color="auto" w:fill="auto"/>
            <w:noWrap/>
            <w:vAlign w:val="bottom"/>
            <w:hideMark/>
          </w:tcPr>
          <w:p w14:paraId="369D1AD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24,926</w:t>
            </w:r>
          </w:p>
        </w:tc>
        <w:tc>
          <w:tcPr>
            <w:tcW w:w="1264" w:type="dxa"/>
            <w:tcBorders>
              <w:top w:val="nil"/>
              <w:left w:val="nil"/>
              <w:bottom w:val="nil"/>
              <w:right w:val="nil"/>
            </w:tcBorders>
            <w:shd w:val="clear" w:color="auto" w:fill="auto"/>
            <w:noWrap/>
            <w:vAlign w:val="bottom"/>
            <w:hideMark/>
          </w:tcPr>
          <w:p w14:paraId="441BB5B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1,615,116</w:t>
            </w:r>
          </w:p>
        </w:tc>
      </w:tr>
      <w:tr w:rsidR="00CF6817" w:rsidRPr="001A4893" w14:paraId="3EB24880"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52097748"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5031E60A"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2552E22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30,043,026</w:t>
            </w:r>
          </w:p>
        </w:tc>
        <w:tc>
          <w:tcPr>
            <w:tcW w:w="1147" w:type="dxa"/>
            <w:tcBorders>
              <w:top w:val="nil"/>
              <w:left w:val="nil"/>
              <w:bottom w:val="single" w:sz="4" w:space="0" w:color="auto"/>
              <w:right w:val="nil"/>
            </w:tcBorders>
            <w:shd w:val="clear" w:color="auto" w:fill="auto"/>
            <w:noWrap/>
            <w:vAlign w:val="bottom"/>
            <w:hideMark/>
          </w:tcPr>
          <w:p w14:paraId="77BAC7C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3,369,325</w:t>
            </w:r>
          </w:p>
        </w:tc>
        <w:tc>
          <w:tcPr>
            <w:tcW w:w="1297" w:type="dxa"/>
            <w:tcBorders>
              <w:top w:val="nil"/>
              <w:left w:val="nil"/>
              <w:bottom w:val="single" w:sz="4" w:space="0" w:color="auto"/>
              <w:right w:val="nil"/>
            </w:tcBorders>
            <w:shd w:val="clear" w:color="auto" w:fill="auto"/>
            <w:noWrap/>
            <w:vAlign w:val="bottom"/>
            <w:hideMark/>
          </w:tcPr>
          <w:p w14:paraId="539041A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single" w:sz="4" w:space="0" w:color="auto"/>
              <w:right w:val="nil"/>
            </w:tcBorders>
            <w:shd w:val="clear" w:color="auto" w:fill="auto"/>
            <w:noWrap/>
            <w:vAlign w:val="bottom"/>
            <w:hideMark/>
          </w:tcPr>
          <w:p w14:paraId="60330AB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552,473</w:t>
            </w:r>
          </w:p>
        </w:tc>
        <w:tc>
          <w:tcPr>
            <w:tcW w:w="1147" w:type="dxa"/>
            <w:tcBorders>
              <w:top w:val="nil"/>
              <w:left w:val="nil"/>
              <w:bottom w:val="single" w:sz="4" w:space="0" w:color="auto"/>
              <w:right w:val="nil"/>
            </w:tcBorders>
            <w:shd w:val="clear" w:color="auto" w:fill="auto"/>
            <w:noWrap/>
            <w:vAlign w:val="bottom"/>
            <w:hideMark/>
          </w:tcPr>
          <w:p w14:paraId="212EFC0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30,676</w:t>
            </w:r>
          </w:p>
        </w:tc>
        <w:tc>
          <w:tcPr>
            <w:tcW w:w="1264" w:type="dxa"/>
            <w:tcBorders>
              <w:top w:val="nil"/>
              <w:left w:val="nil"/>
              <w:bottom w:val="single" w:sz="4" w:space="0" w:color="auto"/>
              <w:right w:val="nil"/>
            </w:tcBorders>
            <w:shd w:val="clear" w:color="auto" w:fill="auto"/>
            <w:noWrap/>
            <w:vAlign w:val="bottom"/>
            <w:hideMark/>
          </w:tcPr>
          <w:p w14:paraId="2287617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33,995,501</w:t>
            </w:r>
          </w:p>
        </w:tc>
      </w:tr>
      <w:tr w:rsidR="00CF6817" w:rsidRPr="001A4893" w14:paraId="21570DF8" w14:textId="77777777" w:rsidTr="0054052D">
        <w:trPr>
          <w:trHeight w:val="227"/>
        </w:trPr>
        <w:tc>
          <w:tcPr>
            <w:tcW w:w="1610" w:type="dxa"/>
            <w:tcBorders>
              <w:top w:val="nil"/>
              <w:left w:val="nil"/>
              <w:bottom w:val="nil"/>
              <w:right w:val="nil"/>
            </w:tcBorders>
            <w:shd w:val="clear" w:color="auto" w:fill="auto"/>
            <w:noWrap/>
            <w:vAlign w:val="bottom"/>
            <w:hideMark/>
          </w:tcPr>
          <w:p w14:paraId="58943A87"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Tunisia</w:t>
            </w:r>
          </w:p>
        </w:tc>
        <w:tc>
          <w:tcPr>
            <w:tcW w:w="1148" w:type="dxa"/>
            <w:tcBorders>
              <w:top w:val="nil"/>
              <w:left w:val="nil"/>
              <w:bottom w:val="nil"/>
              <w:right w:val="nil"/>
            </w:tcBorders>
            <w:shd w:val="clear" w:color="auto" w:fill="auto"/>
            <w:noWrap/>
            <w:vAlign w:val="bottom"/>
            <w:hideMark/>
          </w:tcPr>
          <w:p w14:paraId="499639B0"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32FFD5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6,663,090</w:t>
            </w:r>
          </w:p>
        </w:tc>
        <w:tc>
          <w:tcPr>
            <w:tcW w:w="1147" w:type="dxa"/>
            <w:tcBorders>
              <w:top w:val="nil"/>
              <w:left w:val="nil"/>
              <w:bottom w:val="nil"/>
              <w:right w:val="nil"/>
            </w:tcBorders>
            <w:shd w:val="clear" w:color="auto" w:fill="auto"/>
            <w:noWrap/>
            <w:vAlign w:val="bottom"/>
            <w:hideMark/>
          </w:tcPr>
          <w:p w14:paraId="0315C0E1"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390,489</w:t>
            </w:r>
          </w:p>
        </w:tc>
        <w:tc>
          <w:tcPr>
            <w:tcW w:w="1297" w:type="dxa"/>
            <w:tcBorders>
              <w:top w:val="nil"/>
              <w:left w:val="nil"/>
              <w:bottom w:val="nil"/>
              <w:right w:val="nil"/>
            </w:tcBorders>
            <w:shd w:val="clear" w:color="auto" w:fill="auto"/>
            <w:noWrap/>
            <w:vAlign w:val="bottom"/>
            <w:hideMark/>
          </w:tcPr>
          <w:p w14:paraId="749530E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1,611,199</w:t>
            </w:r>
          </w:p>
        </w:tc>
        <w:tc>
          <w:tcPr>
            <w:tcW w:w="1275" w:type="dxa"/>
            <w:tcBorders>
              <w:top w:val="nil"/>
              <w:left w:val="nil"/>
              <w:bottom w:val="nil"/>
              <w:right w:val="nil"/>
            </w:tcBorders>
            <w:shd w:val="clear" w:color="auto" w:fill="auto"/>
            <w:noWrap/>
            <w:vAlign w:val="bottom"/>
            <w:hideMark/>
          </w:tcPr>
          <w:p w14:paraId="1A8224D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10,196,076</w:t>
            </w:r>
          </w:p>
        </w:tc>
        <w:tc>
          <w:tcPr>
            <w:tcW w:w="1147" w:type="dxa"/>
            <w:tcBorders>
              <w:top w:val="nil"/>
              <w:left w:val="nil"/>
              <w:bottom w:val="nil"/>
              <w:right w:val="nil"/>
            </w:tcBorders>
            <w:shd w:val="clear" w:color="auto" w:fill="auto"/>
            <w:noWrap/>
            <w:vAlign w:val="bottom"/>
            <w:hideMark/>
          </w:tcPr>
          <w:p w14:paraId="0DCB9CD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570,256</w:t>
            </w:r>
          </w:p>
        </w:tc>
        <w:tc>
          <w:tcPr>
            <w:tcW w:w="1264" w:type="dxa"/>
            <w:tcBorders>
              <w:top w:val="nil"/>
              <w:left w:val="nil"/>
              <w:bottom w:val="nil"/>
              <w:right w:val="nil"/>
            </w:tcBorders>
            <w:shd w:val="clear" w:color="auto" w:fill="auto"/>
            <w:noWrap/>
            <w:vAlign w:val="bottom"/>
            <w:hideMark/>
          </w:tcPr>
          <w:p w14:paraId="574C3340"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19,431,110</w:t>
            </w:r>
          </w:p>
        </w:tc>
      </w:tr>
      <w:tr w:rsidR="00CF6817" w:rsidRPr="001A4893" w14:paraId="58D55ABA" w14:textId="77777777" w:rsidTr="0054052D">
        <w:trPr>
          <w:trHeight w:val="227"/>
        </w:trPr>
        <w:tc>
          <w:tcPr>
            <w:tcW w:w="1610" w:type="dxa"/>
            <w:tcBorders>
              <w:top w:val="nil"/>
              <w:left w:val="nil"/>
              <w:bottom w:val="nil"/>
              <w:right w:val="nil"/>
            </w:tcBorders>
            <w:shd w:val="clear" w:color="auto" w:fill="auto"/>
            <w:noWrap/>
            <w:vAlign w:val="bottom"/>
            <w:hideMark/>
          </w:tcPr>
          <w:p w14:paraId="23BFB64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0CC01A02"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40B2874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232,109</w:t>
            </w:r>
          </w:p>
        </w:tc>
        <w:tc>
          <w:tcPr>
            <w:tcW w:w="1147" w:type="dxa"/>
            <w:tcBorders>
              <w:top w:val="nil"/>
              <w:left w:val="nil"/>
              <w:bottom w:val="nil"/>
              <w:right w:val="nil"/>
            </w:tcBorders>
            <w:shd w:val="clear" w:color="auto" w:fill="auto"/>
            <w:noWrap/>
            <w:vAlign w:val="bottom"/>
            <w:hideMark/>
          </w:tcPr>
          <w:p w14:paraId="1BFBC239"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1,082,990</w:t>
            </w:r>
          </w:p>
        </w:tc>
        <w:tc>
          <w:tcPr>
            <w:tcW w:w="1297" w:type="dxa"/>
            <w:tcBorders>
              <w:top w:val="nil"/>
              <w:left w:val="nil"/>
              <w:bottom w:val="nil"/>
              <w:right w:val="nil"/>
            </w:tcBorders>
            <w:shd w:val="clear" w:color="auto" w:fill="auto"/>
            <w:noWrap/>
            <w:vAlign w:val="bottom"/>
            <w:hideMark/>
          </w:tcPr>
          <w:p w14:paraId="2456D6F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754,245</w:t>
            </w:r>
          </w:p>
        </w:tc>
        <w:tc>
          <w:tcPr>
            <w:tcW w:w="1275" w:type="dxa"/>
            <w:tcBorders>
              <w:top w:val="nil"/>
              <w:left w:val="nil"/>
              <w:bottom w:val="nil"/>
              <w:right w:val="nil"/>
            </w:tcBorders>
            <w:shd w:val="clear" w:color="auto" w:fill="auto"/>
            <w:noWrap/>
            <w:vAlign w:val="bottom"/>
            <w:hideMark/>
          </w:tcPr>
          <w:p w14:paraId="32821F9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3,219,587</w:t>
            </w:r>
          </w:p>
        </w:tc>
        <w:tc>
          <w:tcPr>
            <w:tcW w:w="1147" w:type="dxa"/>
            <w:tcBorders>
              <w:top w:val="nil"/>
              <w:left w:val="nil"/>
              <w:bottom w:val="nil"/>
              <w:right w:val="nil"/>
            </w:tcBorders>
            <w:shd w:val="clear" w:color="auto" w:fill="auto"/>
            <w:noWrap/>
            <w:vAlign w:val="bottom"/>
            <w:hideMark/>
          </w:tcPr>
          <w:p w14:paraId="4502DDD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963,139</w:t>
            </w:r>
          </w:p>
        </w:tc>
        <w:tc>
          <w:tcPr>
            <w:tcW w:w="1264" w:type="dxa"/>
            <w:tcBorders>
              <w:top w:val="nil"/>
              <w:left w:val="nil"/>
              <w:bottom w:val="nil"/>
              <w:right w:val="nil"/>
            </w:tcBorders>
            <w:shd w:val="clear" w:color="auto" w:fill="auto"/>
            <w:noWrap/>
            <w:vAlign w:val="bottom"/>
            <w:hideMark/>
          </w:tcPr>
          <w:p w14:paraId="1A054FDC"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6,252,070</w:t>
            </w:r>
          </w:p>
        </w:tc>
      </w:tr>
      <w:tr w:rsidR="00CF6817" w:rsidRPr="001A4893" w14:paraId="28D685FC"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0C06671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6CACB451"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388E69A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6,895,199</w:t>
            </w:r>
          </w:p>
        </w:tc>
        <w:tc>
          <w:tcPr>
            <w:tcW w:w="1147" w:type="dxa"/>
            <w:tcBorders>
              <w:top w:val="nil"/>
              <w:left w:val="nil"/>
              <w:bottom w:val="single" w:sz="4" w:space="0" w:color="auto"/>
              <w:right w:val="nil"/>
            </w:tcBorders>
            <w:shd w:val="clear" w:color="auto" w:fill="auto"/>
            <w:noWrap/>
            <w:vAlign w:val="bottom"/>
            <w:hideMark/>
          </w:tcPr>
          <w:p w14:paraId="4A7830F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1,473,479</w:t>
            </w:r>
          </w:p>
        </w:tc>
        <w:tc>
          <w:tcPr>
            <w:tcW w:w="1297" w:type="dxa"/>
            <w:tcBorders>
              <w:top w:val="nil"/>
              <w:left w:val="nil"/>
              <w:bottom w:val="single" w:sz="4" w:space="0" w:color="auto"/>
              <w:right w:val="nil"/>
            </w:tcBorders>
            <w:shd w:val="clear" w:color="auto" w:fill="auto"/>
            <w:noWrap/>
            <w:vAlign w:val="bottom"/>
            <w:hideMark/>
          </w:tcPr>
          <w:p w14:paraId="7FFB52E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2,365,445</w:t>
            </w:r>
          </w:p>
        </w:tc>
        <w:tc>
          <w:tcPr>
            <w:tcW w:w="1275" w:type="dxa"/>
            <w:tcBorders>
              <w:top w:val="nil"/>
              <w:left w:val="nil"/>
              <w:bottom w:val="single" w:sz="4" w:space="0" w:color="auto"/>
              <w:right w:val="nil"/>
            </w:tcBorders>
            <w:shd w:val="clear" w:color="auto" w:fill="auto"/>
            <w:noWrap/>
            <w:vAlign w:val="bottom"/>
            <w:hideMark/>
          </w:tcPr>
          <w:p w14:paraId="67A7C28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13,415,663</w:t>
            </w:r>
          </w:p>
        </w:tc>
        <w:tc>
          <w:tcPr>
            <w:tcW w:w="1147" w:type="dxa"/>
            <w:tcBorders>
              <w:top w:val="nil"/>
              <w:left w:val="nil"/>
              <w:bottom w:val="single" w:sz="4" w:space="0" w:color="auto"/>
              <w:right w:val="nil"/>
            </w:tcBorders>
            <w:shd w:val="clear" w:color="auto" w:fill="auto"/>
            <w:noWrap/>
            <w:vAlign w:val="bottom"/>
            <w:hideMark/>
          </w:tcPr>
          <w:p w14:paraId="29DE9CD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1,533,394</w:t>
            </w:r>
          </w:p>
        </w:tc>
        <w:tc>
          <w:tcPr>
            <w:tcW w:w="1264" w:type="dxa"/>
            <w:tcBorders>
              <w:top w:val="nil"/>
              <w:left w:val="nil"/>
              <w:bottom w:val="single" w:sz="4" w:space="0" w:color="auto"/>
              <w:right w:val="nil"/>
            </w:tcBorders>
            <w:shd w:val="clear" w:color="auto" w:fill="auto"/>
            <w:noWrap/>
            <w:vAlign w:val="bottom"/>
            <w:hideMark/>
          </w:tcPr>
          <w:p w14:paraId="5C32EDB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25,683,180</w:t>
            </w:r>
          </w:p>
        </w:tc>
      </w:tr>
      <w:tr w:rsidR="00CF6817" w:rsidRPr="001A4893" w14:paraId="0671B51B" w14:textId="77777777" w:rsidTr="0054052D">
        <w:trPr>
          <w:trHeight w:val="227"/>
        </w:trPr>
        <w:tc>
          <w:tcPr>
            <w:tcW w:w="1610" w:type="dxa"/>
            <w:tcBorders>
              <w:top w:val="nil"/>
              <w:left w:val="nil"/>
              <w:bottom w:val="nil"/>
              <w:right w:val="nil"/>
            </w:tcBorders>
            <w:shd w:val="clear" w:color="auto" w:fill="auto"/>
            <w:noWrap/>
            <w:vAlign w:val="bottom"/>
            <w:hideMark/>
          </w:tcPr>
          <w:p w14:paraId="48DEDBB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United Kingdom</w:t>
            </w:r>
          </w:p>
        </w:tc>
        <w:tc>
          <w:tcPr>
            <w:tcW w:w="1148" w:type="dxa"/>
            <w:tcBorders>
              <w:top w:val="nil"/>
              <w:left w:val="nil"/>
              <w:bottom w:val="nil"/>
              <w:right w:val="nil"/>
            </w:tcBorders>
            <w:shd w:val="clear" w:color="auto" w:fill="auto"/>
            <w:noWrap/>
            <w:vAlign w:val="bottom"/>
            <w:hideMark/>
          </w:tcPr>
          <w:p w14:paraId="28A05DD7"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Production</w:t>
            </w:r>
          </w:p>
        </w:tc>
        <w:tc>
          <w:tcPr>
            <w:tcW w:w="1178" w:type="dxa"/>
            <w:tcBorders>
              <w:top w:val="nil"/>
              <w:left w:val="nil"/>
              <w:bottom w:val="nil"/>
              <w:right w:val="nil"/>
            </w:tcBorders>
            <w:shd w:val="clear" w:color="auto" w:fill="auto"/>
            <w:noWrap/>
            <w:vAlign w:val="bottom"/>
            <w:hideMark/>
          </w:tcPr>
          <w:p w14:paraId="2B3CD0D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147,420,482</w:t>
            </w:r>
          </w:p>
        </w:tc>
        <w:tc>
          <w:tcPr>
            <w:tcW w:w="1147" w:type="dxa"/>
            <w:tcBorders>
              <w:top w:val="nil"/>
              <w:left w:val="nil"/>
              <w:bottom w:val="nil"/>
              <w:right w:val="nil"/>
            </w:tcBorders>
            <w:shd w:val="clear" w:color="auto" w:fill="auto"/>
            <w:noWrap/>
            <w:vAlign w:val="bottom"/>
            <w:hideMark/>
          </w:tcPr>
          <w:p w14:paraId="5724390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58,653,446</w:t>
            </w:r>
          </w:p>
        </w:tc>
        <w:tc>
          <w:tcPr>
            <w:tcW w:w="1297" w:type="dxa"/>
            <w:tcBorders>
              <w:top w:val="nil"/>
              <w:left w:val="nil"/>
              <w:bottom w:val="nil"/>
              <w:right w:val="nil"/>
            </w:tcBorders>
            <w:shd w:val="clear" w:color="auto" w:fill="auto"/>
            <w:noWrap/>
            <w:vAlign w:val="bottom"/>
            <w:hideMark/>
          </w:tcPr>
          <w:p w14:paraId="23AD47A5"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49A246F4"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16,949,846</w:t>
            </w:r>
          </w:p>
        </w:tc>
        <w:tc>
          <w:tcPr>
            <w:tcW w:w="1147" w:type="dxa"/>
            <w:tcBorders>
              <w:top w:val="nil"/>
              <w:left w:val="nil"/>
              <w:bottom w:val="nil"/>
              <w:right w:val="nil"/>
            </w:tcBorders>
            <w:shd w:val="clear" w:color="auto" w:fill="auto"/>
            <w:noWrap/>
            <w:vAlign w:val="bottom"/>
            <w:hideMark/>
          </w:tcPr>
          <w:p w14:paraId="7188D97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nil"/>
              <w:right w:val="nil"/>
            </w:tcBorders>
            <w:shd w:val="clear" w:color="auto" w:fill="auto"/>
            <w:noWrap/>
            <w:vAlign w:val="bottom"/>
            <w:hideMark/>
          </w:tcPr>
          <w:p w14:paraId="2A0B16AD"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223,023,774</w:t>
            </w:r>
          </w:p>
        </w:tc>
      </w:tr>
      <w:tr w:rsidR="00CF6817" w:rsidRPr="001A4893" w14:paraId="53B4259E" w14:textId="77777777" w:rsidTr="0054052D">
        <w:trPr>
          <w:trHeight w:val="227"/>
        </w:trPr>
        <w:tc>
          <w:tcPr>
            <w:tcW w:w="1610" w:type="dxa"/>
            <w:tcBorders>
              <w:top w:val="nil"/>
              <w:left w:val="nil"/>
              <w:bottom w:val="nil"/>
              <w:right w:val="nil"/>
            </w:tcBorders>
            <w:shd w:val="clear" w:color="auto" w:fill="auto"/>
            <w:noWrap/>
            <w:vAlign w:val="bottom"/>
            <w:hideMark/>
          </w:tcPr>
          <w:p w14:paraId="533D808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p>
        </w:tc>
        <w:tc>
          <w:tcPr>
            <w:tcW w:w="1148" w:type="dxa"/>
            <w:tcBorders>
              <w:top w:val="nil"/>
              <w:left w:val="nil"/>
              <w:bottom w:val="nil"/>
              <w:right w:val="nil"/>
            </w:tcBorders>
            <w:shd w:val="clear" w:color="auto" w:fill="auto"/>
            <w:noWrap/>
            <w:vAlign w:val="bottom"/>
            <w:hideMark/>
          </w:tcPr>
          <w:p w14:paraId="7977E1CD"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Treatment</w:t>
            </w:r>
          </w:p>
        </w:tc>
        <w:tc>
          <w:tcPr>
            <w:tcW w:w="1178" w:type="dxa"/>
            <w:tcBorders>
              <w:top w:val="nil"/>
              <w:left w:val="nil"/>
              <w:bottom w:val="nil"/>
              <w:right w:val="nil"/>
            </w:tcBorders>
            <w:shd w:val="clear" w:color="auto" w:fill="auto"/>
            <w:noWrap/>
            <w:vAlign w:val="bottom"/>
            <w:hideMark/>
          </w:tcPr>
          <w:p w14:paraId="071E68DE"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17,505,417</w:t>
            </w:r>
          </w:p>
        </w:tc>
        <w:tc>
          <w:tcPr>
            <w:tcW w:w="1147" w:type="dxa"/>
            <w:tcBorders>
              <w:top w:val="nil"/>
              <w:left w:val="nil"/>
              <w:bottom w:val="nil"/>
              <w:right w:val="nil"/>
            </w:tcBorders>
            <w:shd w:val="clear" w:color="auto" w:fill="auto"/>
            <w:noWrap/>
            <w:vAlign w:val="bottom"/>
            <w:hideMark/>
          </w:tcPr>
          <w:p w14:paraId="34A9B5A3"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27,967,310</w:t>
            </w:r>
          </w:p>
        </w:tc>
        <w:tc>
          <w:tcPr>
            <w:tcW w:w="1297" w:type="dxa"/>
            <w:tcBorders>
              <w:top w:val="nil"/>
              <w:left w:val="nil"/>
              <w:bottom w:val="nil"/>
              <w:right w:val="nil"/>
            </w:tcBorders>
            <w:shd w:val="clear" w:color="auto" w:fill="auto"/>
            <w:noWrap/>
            <w:vAlign w:val="bottom"/>
            <w:hideMark/>
          </w:tcPr>
          <w:p w14:paraId="6DA9EF6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nil"/>
              <w:right w:val="nil"/>
            </w:tcBorders>
            <w:shd w:val="clear" w:color="auto" w:fill="auto"/>
            <w:noWrap/>
            <w:vAlign w:val="bottom"/>
            <w:hideMark/>
          </w:tcPr>
          <w:p w14:paraId="2B521D4F"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30,754,647</w:t>
            </w:r>
          </w:p>
        </w:tc>
        <w:tc>
          <w:tcPr>
            <w:tcW w:w="1147" w:type="dxa"/>
            <w:tcBorders>
              <w:top w:val="nil"/>
              <w:left w:val="nil"/>
              <w:bottom w:val="nil"/>
              <w:right w:val="nil"/>
            </w:tcBorders>
            <w:shd w:val="clear" w:color="auto" w:fill="auto"/>
            <w:noWrap/>
            <w:vAlign w:val="bottom"/>
            <w:hideMark/>
          </w:tcPr>
          <w:p w14:paraId="083B1FE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nil"/>
              <w:right w:val="nil"/>
            </w:tcBorders>
            <w:shd w:val="clear" w:color="auto" w:fill="auto"/>
            <w:noWrap/>
            <w:vAlign w:val="bottom"/>
            <w:hideMark/>
          </w:tcPr>
          <w:p w14:paraId="5F44210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76,227,374</w:t>
            </w:r>
          </w:p>
        </w:tc>
      </w:tr>
      <w:tr w:rsidR="00CF6817" w:rsidRPr="001A4893" w14:paraId="4FAA9FCA" w14:textId="77777777" w:rsidTr="0054052D">
        <w:trPr>
          <w:trHeight w:val="227"/>
        </w:trPr>
        <w:tc>
          <w:tcPr>
            <w:tcW w:w="1610" w:type="dxa"/>
            <w:tcBorders>
              <w:top w:val="nil"/>
              <w:left w:val="nil"/>
              <w:bottom w:val="single" w:sz="4" w:space="0" w:color="auto"/>
              <w:right w:val="nil"/>
            </w:tcBorders>
            <w:shd w:val="clear" w:color="auto" w:fill="auto"/>
            <w:noWrap/>
            <w:vAlign w:val="bottom"/>
            <w:hideMark/>
          </w:tcPr>
          <w:p w14:paraId="411405F3"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 </w:t>
            </w:r>
          </w:p>
        </w:tc>
        <w:tc>
          <w:tcPr>
            <w:tcW w:w="1148" w:type="dxa"/>
            <w:tcBorders>
              <w:top w:val="nil"/>
              <w:left w:val="nil"/>
              <w:bottom w:val="single" w:sz="4" w:space="0" w:color="auto"/>
              <w:right w:val="nil"/>
            </w:tcBorders>
            <w:shd w:val="clear" w:color="auto" w:fill="auto"/>
            <w:noWrap/>
            <w:vAlign w:val="bottom"/>
            <w:hideMark/>
          </w:tcPr>
          <w:p w14:paraId="3835162B" w14:textId="77777777" w:rsidR="00CF6817" w:rsidRPr="001A4893" w:rsidRDefault="00CF6817" w:rsidP="0054052D">
            <w:pPr>
              <w:spacing w:after="0" w:line="240" w:lineRule="auto"/>
              <w:rPr>
                <w:rFonts w:eastAsia="Times New Roman" w:cstheme="minorHAnsi"/>
                <w:sz w:val="19"/>
                <w:szCs w:val="19"/>
                <w:lang w:val="en-GB" w:eastAsia="en-GB"/>
              </w:rPr>
            </w:pPr>
            <w:r w:rsidRPr="001A4893">
              <w:rPr>
                <w:rFonts w:eastAsia="Times New Roman" w:cstheme="minorHAnsi"/>
                <w:sz w:val="19"/>
                <w:szCs w:val="19"/>
                <w:lang w:val="en-GB" w:eastAsia="en-GB"/>
              </w:rPr>
              <w:t>Total</w:t>
            </w:r>
          </w:p>
        </w:tc>
        <w:tc>
          <w:tcPr>
            <w:tcW w:w="1178" w:type="dxa"/>
            <w:tcBorders>
              <w:top w:val="nil"/>
              <w:left w:val="nil"/>
              <w:bottom w:val="single" w:sz="4" w:space="0" w:color="auto"/>
              <w:right w:val="nil"/>
            </w:tcBorders>
            <w:shd w:val="clear" w:color="auto" w:fill="auto"/>
            <w:noWrap/>
            <w:vAlign w:val="bottom"/>
            <w:hideMark/>
          </w:tcPr>
          <w:p w14:paraId="67A02FC2"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164,925,899</w:t>
            </w:r>
          </w:p>
        </w:tc>
        <w:tc>
          <w:tcPr>
            <w:tcW w:w="1147" w:type="dxa"/>
            <w:tcBorders>
              <w:top w:val="nil"/>
              <w:left w:val="nil"/>
              <w:bottom w:val="single" w:sz="4" w:space="0" w:color="auto"/>
              <w:right w:val="nil"/>
            </w:tcBorders>
            <w:shd w:val="clear" w:color="auto" w:fill="auto"/>
            <w:noWrap/>
            <w:vAlign w:val="bottom"/>
            <w:hideMark/>
          </w:tcPr>
          <w:p w14:paraId="075511E7"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86,620,756</w:t>
            </w:r>
          </w:p>
        </w:tc>
        <w:tc>
          <w:tcPr>
            <w:tcW w:w="1297" w:type="dxa"/>
            <w:tcBorders>
              <w:top w:val="nil"/>
              <w:left w:val="nil"/>
              <w:bottom w:val="single" w:sz="4" w:space="0" w:color="auto"/>
              <w:right w:val="nil"/>
            </w:tcBorders>
            <w:shd w:val="clear" w:color="auto" w:fill="auto"/>
            <w:noWrap/>
            <w:vAlign w:val="bottom"/>
            <w:hideMark/>
          </w:tcPr>
          <w:p w14:paraId="659C780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75" w:type="dxa"/>
            <w:tcBorders>
              <w:top w:val="nil"/>
              <w:left w:val="nil"/>
              <w:bottom w:val="single" w:sz="4" w:space="0" w:color="auto"/>
              <w:right w:val="nil"/>
            </w:tcBorders>
            <w:shd w:val="clear" w:color="auto" w:fill="auto"/>
            <w:noWrap/>
            <w:vAlign w:val="bottom"/>
            <w:hideMark/>
          </w:tcPr>
          <w:p w14:paraId="3EB5655B"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47,704,493</w:t>
            </w:r>
          </w:p>
        </w:tc>
        <w:tc>
          <w:tcPr>
            <w:tcW w:w="1147" w:type="dxa"/>
            <w:tcBorders>
              <w:top w:val="nil"/>
              <w:left w:val="nil"/>
              <w:bottom w:val="single" w:sz="4" w:space="0" w:color="auto"/>
              <w:right w:val="nil"/>
            </w:tcBorders>
            <w:shd w:val="clear" w:color="auto" w:fill="auto"/>
            <w:noWrap/>
            <w:vAlign w:val="bottom"/>
            <w:hideMark/>
          </w:tcPr>
          <w:p w14:paraId="4FFE3278"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0</w:t>
            </w:r>
          </w:p>
        </w:tc>
        <w:tc>
          <w:tcPr>
            <w:tcW w:w="1264" w:type="dxa"/>
            <w:tcBorders>
              <w:top w:val="nil"/>
              <w:left w:val="nil"/>
              <w:bottom w:val="single" w:sz="4" w:space="0" w:color="auto"/>
              <w:right w:val="nil"/>
            </w:tcBorders>
            <w:shd w:val="clear" w:color="auto" w:fill="auto"/>
            <w:noWrap/>
            <w:vAlign w:val="bottom"/>
            <w:hideMark/>
          </w:tcPr>
          <w:p w14:paraId="65E2FA56" w14:textId="77777777" w:rsidR="00CF6817" w:rsidRPr="001A4893" w:rsidRDefault="00CF6817" w:rsidP="0054052D">
            <w:pPr>
              <w:spacing w:after="0" w:line="240" w:lineRule="auto"/>
              <w:jc w:val="right"/>
              <w:rPr>
                <w:rFonts w:eastAsia="Times New Roman" w:cstheme="minorHAnsi"/>
                <w:color w:val="000000"/>
                <w:sz w:val="19"/>
                <w:szCs w:val="19"/>
                <w:lang w:val="en-GB" w:eastAsia="en-GB"/>
              </w:rPr>
            </w:pPr>
            <w:r w:rsidRPr="001A4893">
              <w:rPr>
                <w:rFonts w:eastAsia="Times New Roman" w:cstheme="minorHAnsi"/>
                <w:color w:val="000000"/>
                <w:sz w:val="19"/>
                <w:szCs w:val="19"/>
                <w:lang w:val="en-GB" w:eastAsia="en-GB"/>
              </w:rPr>
              <w:t>299,251,148</w:t>
            </w:r>
          </w:p>
        </w:tc>
      </w:tr>
    </w:tbl>
    <w:p w14:paraId="5FC0ED76" w14:textId="77777777" w:rsidR="00CF6817" w:rsidRPr="009F1E4D" w:rsidRDefault="00CF6817" w:rsidP="00CF6817">
      <w:pPr>
        <w:spacing w:line="240" w:lineRule="auto"/>
        <w:jc w:val="both"/>
        <w:rPr>
          <w:lang w:val="en-GB"/>
        </w:rPr>
      </w:pPr>
    </w:p>
    <w:p w14:paraId="0762A2FC" w14:textId="77777777" w:rsidR="00CF6817" w:rsidRPr="005F73F7" w:rsidRDefault="00CF6817" w:rsidP="00CF6817">
      <w:pPr>
        <w:spacing w:line="240" w:lineRule="auto"/>
        <w:jc w:val="both"/>
        <w:rPr>
          <w:lang w:val="en-GB"/>
        </w:rPr>
        <w:sectPr w:rsidR="00CF6817" w:rsidRPr="005F73F7" w:rsidSect="00CF6817">
          <w:type w:val="continuous"/>
          <w:pgSz w:w="12240" w:h="15840"/>
          <w:pgMar w:top="709" w:right="1417" w:bottom="426" w:left="1417" w:header="708" w:footer="277" w:gutter="0"/>
          <w:lnNumType w:countBy="1" w:restart="continuous"/>
          <w:cols w:space="708"/>
          <w:docGrid w:linePitch="299"/>
        </w:sectPr>
      </w:pPr>
    </w:p>
    <w:p w14:paraId="6E134C3A" w14:textId="77777777" w:rsidR="00CF6817" w:rsidRDefault="00CF6817" w:rsidP="00CF6817">
      <w:pPr>
        <w:spacing w:line="240" w:lineRule="auto"/>
        <w:jc w:val="both"/>
        <w:rPr>
          <w:lang w:val="en-GB"/>
        </w:rPr>
      </w:pPr>
      <w:r w:rsidRPr="005F73F7">
        <w:rPr>
          <w:lang w:val="en-GB"/>
        </w:rPr>
        <w:lastRenderedPageBreak/>
        <w:t>Table 4.  Estimated costs (</w:t>
      </w:r>
      <w:r w:rsidRPr="005F73F7">
        <w:rPr>
          <w:rFonts w:cstheme="minorHAnsi"/>
          <w:lang w:val="en-GB"/>
        </w:rPr>
        <w:t>€</w:t>
      </w:r>
      <w:r w:rsidRPr="005F73F7">
        <w:rPr>
          <w:lang w:val="en-GB"/>
        </w:rPr>
        <w:t>) of anthelmintic resistant gastrointestinal nematodes</w:t>
      </w:r>
      <w:r>
        <w:rPr>
          <w:lang w:val="en-GB"/>
        </w:rPr>
        <w:t>, resulting from</w:t>
      </w:r>
      <w:r w:rsidRPr="005F73F7">
        <w:rPr>
          <w:lang w:val="en-GB"/>
        </w:rPr>
        <w:t xml:space="preserve"> lost productivity and the </w:t>
      </w:r>
      <w:r>
        <w:rPr>
          <w:lang w:val="en-GB"/>
        </w:rPr>
        <w:t xml:space="preserve">cost </w:t>
      </w:r>
      <w:r w:rsidRPr="005F73F7">
        <w:rPr>
          <w:lang w:val="en-GB"/>
        </w:rPr>
        <w:t xml:space="preserve">of partially ineffective </w:t>
      </w:r>
      <w:r>
        <w:rPr>
          <w:lang w:val="en-GB"/>
        </w:rPr>
        <w:t>anthelmintic drugs</w:t>
      </w:r>
      <w:r w:rsidRPr="005F73F7">
        <w:rPr>
          <w:lang w:val="en-GB"/>
        </w:rPr>
        <w:t>.</w:t>
      </w:r>
    </w:p>
    <w:tbl>
      <w:tblPr>
        <w:tblW w:w="10132" w:type="dxa"/>
        <w:tblLook w:val="04A0" w:firstRow="1" w:lastRow="0" w:firstColumn="1" w:lastColumn="0" w:noHBand="0" w:noVBand="1"/>
      </w:tblPr>
      <w:tblGrid>
        <w:gridCol w:w="1701"/>
        <w:gridCol w:w="1418"/>
        <w:gridCol w:w="1276"/>
        <w:gridCol w:w="1417"/>
        <w:gridCol w:w="1418"/>
        <w:gridCol w:w="1417"/>
        <w:gridCol w:w="1485"/>
      </w:tblGrid>
      <w:tr w:rsidR="00E245BE" w:rsidRPr="00E245BE" w14:paraId="71C24488" w14:textId="77777777" w:rsidTr="00E245BE">
        <w:trPr>
          <w:trHeight w:val="300"/>
        </w:trPr>
        <w:tc>
          <w:tcPr>
            <w:tcW w:w="1701" w:type="dxa"/>
            <w:tcBorders>
              <w:top w:val="single" w:sz="4" w:space="0" w:color="auto"/>
              <w:left w:val="nil"/>
              <w:bottom w:val="single" w:sz="4" w:space="0" w:color="auto"/>
              <w:right w:val="nil"/>
            </w:tcBorders>
            <w:shd w:val="clear" w:color="auto" w:fill="auto"/>
            <w:noWrap/>
            <w:vAlign w:val="bottom"/>
            <w:hideMark/>
          </w:tcPr>
          <w:p w14:paraId="1B959ADA"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Country</w:t>
            </w:r>
          </w:p>
        </w:tc>
        <w:tc>
          <w:tcPr>
            <w:tcW w:w="1418" w:type="dxa"/>
            <w:tcBorders>
              <w:top w:val="single" w:sz="4" w:space="0" w:color="auto"/>
              <w:left w:val="nil"/>
              <w:bottom w:val="single" w:sz="4" w:space="0" w:color="auto"/>
              <w:right w:val="nil"/>
            </w:tcBorders>
            <w:shd w:val="clear" w:color="auto" w:fill="auto"/>
            <w:noWrap/>
            <w:vAlign w:val="bottom"/>
            <w:hideMark/>
          </w:tcPr>
          <w:p w14:paraId="55625E02"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Dairy cattle</w:t>
            </w:r>
          </w:p>
        </w:tc>
        <w:tc>
          <w:tcPr>
            <w:tcW w:w="1276" w:type="dxa"/>
            <w:tcBorders>
              <w:top w:val="single" w:sz="4" w:space="0" w:color="auto"/>
              <w:left w:val="nil"/>
              <w:bottom w:val="single" w:sz="4" w:space="0" w:color="auto"/>
              <w:right w:val="nil"/>
            </w:tcBorders>
            <w:shd w:val="clear" w:color="auto" w:fill="auto"/>
            <w:noWrap/>
            <w:vAlign w:val="bottom"/>
            <w:hideMark/>
          </w:tcPr>
          <w:p w14:paraId="39BD5123"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 xml:space="preserve">Beef cattle </w:t>
            </w:r>
          </w:p>
        </w:tc>
        <w:tc>
          <w:tcPr>
            <w:tcW w:w="1417" w:type="dxa"/>
            <w:tcBorders>
              <w:top w:val="single" w:sz="4" w:space="0" w:color="auto"/>
              <w:left w:val="nil"/>
              <w:bottom w:val="single" w:sz="4" w:space="0" w:color="auto"/>
              <w:right w:val="nil"/>
            </w:tcBorders>
            <w:shd w:val="clear" w:color="auto" w:fill="auto"/>
            <w:noWrap/>
            <w:vAlign w:val="bottom"/>
            <w:hideMark/>
          </w:tcPr>
          <w:p w14:paraId="2EDE8076"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Dairy sheep</w:t>
            </w:r>
          </w:p>
        </w:tc>
        <w:tc>
          <w:tcPr>
            <w:tcW w:w="1418" w:type="dxa"/>
            <w:tcBorders>
              <w:top w:val="single" w:sz="4" w:space="0" w:color="auto"/>
              <w:left w:val="nil"/>
              <w:bottom w:val="single" w:sz="4" w:space="0" w:color="auto"/>
              <w:right w:val="nil"/>
            </w:tcBorders>
            <w:shd w:val="clear" w:color="auto" w:fill="auto"/>
            <w:noWrap/>
            <w:vAlign w:val="bottom"/>
            <w:hideMark/>
          </w:tcPr>
          <w:p w14:paraId="28F2F30E"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Meat sheep</w:t>
            </w:r>
          </w:p>
        </w:tc>
        <w:tc>
          <w:tcPr>
            <w:tcW w:w="1417" w:type="dxa"/>
            <w:tcBorders>
              <w:top w:val="single" w:sz="4" w:space="0" w:color="auto"/>
              <w:left w:val="nil"/>
              <w:bottom w:val="single" w:sz="4" w:space="0" w:color="auto"/>
              <w:right w:val="nil"/>
            </w:tcBorders>
            <w:shd w:val="clear" w:color="auto" w:fill="auto"/>
            <w:noWrap/>
            <w:vAlign w:val="bottom"/>
            <w:hideMark/>
          </w:tcPr>
          <w:p w14:paraId="0B631ECE"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Dairy goats</w:t>
            </w:r>
          </w:p>
        </w:tc>
        <w:tc>
          <w:tcPr>
            <w:tcW w:w="1485" w:type="dxa"/>
            <w:tcBorders>
              <w:top w:val="single" w:sz="4" w:space="0" w:color="auto"/>
              <w:left w:val="nil"/>
              <w:bottom w:val="single" w:sz="4" w:space="0" w:color="auto"/>
              <w:right w:val="nil"/>
            </w:tcBorders>
            <w:shd w:val="clear" w:color="auto" w:fill="auto"/>
            <w:noWrap/>
            <w:vAlign w:val="bottom"/>
            <w:hideMark/>
          </w:tcPr>
          <w:p w14:paraId="74A17995" w14:textId="77777777" w:rsidR="00E245BE" w:rsidRPr="00E245BE" w:rsidRDefault="00E245BE" w:rsidP="00E245BE">
            <w:pPr>
              <w:spacing w:after="0" w:line="240" w:lineRule="auto"/>
              <w:jc w:val="center"/>
              <w:rPr>
                <w:rFonts w:ascii="Calibri" w:eastAsia="Times New Roman" w:hAnsi="Calibri" w:cs="Calibri"/>
                <w:b/>
                <w:bCs/>
                <w:color w:val="000000"/>
                <w:lang w:val="en-GB" w:eastAsia="en-GB"/>
              </w:rPr>
            </w:pPr>
            <w:r w:rsidRPr="00E245BE">
              <w:rPr>
                <w:rFonts w:ascii="Calibri" w:eastAsia="Times New Roman" w:hAnsi="Calibri" w:cs="Calibri"/>
                <w:b/>
                <w:bCs/>
                <w:color w:val="000000"/>
                <w:lang w:val="en-GB" w:eastAsia="en-GB"/>
              </w:rPr>
              <w:t>Total</w:t>
            </w:r>
          </w:p>
        </w:tc>
      </w:tr>
      <w:tr w:rsidR="00E245BE" w:rsidRPr="00E245BE" w14:paraId="5F9294E6" w14:textId="77777777" w:rsidTr="00E245BE">
        <w:trPr>
          <w:trHeight w:val="300"/>
        </w:trPr>
        <w:tc>
          <w:tcPr>
            <w:tcW w:w="1701" w:type="dxa"/>
            <w:tcBorders>
              <w:top w:val="nil"/>
              <w:left w:val="nil"/>
              <w:bottom w:val="nil"/>
              <w:right w:val="nil"/>
            </w:tcBorders>
            <w:shd w:val="clear" w:color="auto" w:fill="auto"/>
            <w:noWrap/>
            <w:vAlign w:val="bottom"/>
            <w:hideMark/>
          </w:tcPr>
          <w:p w14:paraId="44CC1BE7"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Austria</w:t>
            </w:r>
          </w:p>
        </w:tc>
        <w:tc>
          <w:tcPr>
            <w:tcW w:w="1418" w:type="dxa"/>
            <w:tcBorders>
              <w:top w:val="nil"/>
              <w:left w:val="nil"/>
              <w:bottom w:val="nil"/>
              <w:right w:val="nil"/>
            </w:tcBorders>
            <w:shd w:val="clear" w:color="auto" w:fill="auto"/>
            <w:noWrap/>
            <w:vAlign w:val="bottom"/>
            <w:hideMark/>
          </w:tcPr>
          <w:p w14:paraId="6557488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391,809</w:t>
            </w:r>
          </w:p>
        </w:tc>
        <w:tc>
          <w:tcPr>
            <w:tcW w:w="1276" w:type="dxa"/>
            <w:tcBorders>
              <w:top w:val="nil"/>
              <w:left w:val="nil"/>
              <w:bottom w:val="nil"/>
              <w:right w:val="nil"/>
            </w:tcBorders>
            <w:shd w:val="clear" w:color="auto" w:fill="auto"/>
            <w:noWrap/>
            <w:vAlign w:val="bottom"/>
            <w:hideMark/>
          </w:tcPr>
          <w:p w14:paraId="60874F0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54,913</w:t>
            </w:r>
          </w:p>
        </w:tc>
        <w:tc>
          <w:tcPr>
            <w:tcW w:w="1417" w:type="dxa"/>
            <w:tcBorders>
              <w:top w:val="nil"/>
              <w:left w:val="nil"/>
              <w:bottom w:val="nil"/>
              <w:right w:val="nil"/>
            </w:tcBorders>
            <w:shd w:val="clear" w:color="auto" w:fill="auto"/>
            <w:noWrap/>
            <w:vAlign w:val="bottom"/>
            <w:hideMark/>
          </w:tcPr>
          <w:p w14:paraId="41F0429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10,163</w:t>
            </w:r>
          </w:p>
        </w:tc>
        <w:tc>
          <w:tcPr>
            <w:tcW w:w="1418" w:type="dxa"/>
            <w:tcBorders>
              <w:top w:val="nil"/>
              <w:left w:val="nil"/>
              <w:bottom w:val="nil"/>
              <w:right w:val="nil"/>
            </w:tcBorders>
            <w:shd w:val="clear" w:color="auto" w:fill="auto"/>
            <w:noWrap/>
            <w:vAlign w:val="bottom"/>
            <w:hideMark/>
          </w:tcPr>
          <w:p w14:paraId="3936B24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21,576</w:t>
            </w:r>
          </w:p>
        </w:tc>
        <w:tc>
          <w:tcPr>
            <w:tcW w:w="1417" w:type="dxa"/>
            <w:tcBorders>
              <w:top w:val="nil"/>
              <w:left w:val="nil"/>
              <w:bottom w:val="nil"/>
              <w:right w:val="nil"/>
            </w:tcBorders>
            <w:shd w:val="clear" w:color="auto" w:fill="auto"/>
            <w:noWrap/>
            <w:vAlign w:val="bottom"/>
            <w:hideMark/>
          </w:tcPr>
          <w:p w14:paraId="026151F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155,826</w:t>
            </w:r>
          </w:p>
        </w:tc>
        <w:tc>
          <w:tcPr>
            <w:tcW w:w="1485" w:type="dxa"/>
            <w:tcBorders>
              <w:top w:val="nil"/>
              <w:left w:val="nil"/>
              <w:bottom w:val="nil"/>
              <w:right w:val="nil"/>
            </w:tcBorders>
            <w:shd w:val="clear" w:color="auto" w:fill="auto"/>
            <w:noWrap/>
            <w:vAlign w:val="bottom"/>
            <w:hideMark/>
          </w:tcPr>
          <w:p w14:paraId="6A91345C"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634,288</w:t>
            </w:r>
          </w:p>
        </w:tc>
      </w:tr>
      <w:tr w:rsidR="00E245BE" w:rsidRPr="00E245BE" w14:paraId="24751C29" w14:textId="77777777" w:rsidTr="00E245BE">
        <w:trPr>
          <w:trHeight w:val="300"/>
        </w:trPr>
        <w:tc>
          <w:tcPr>
            <w:tcW w:w="1701" w:type="dxa"/>
            <w:tcBorders>
              <w:top w:val="nil"/>
              <w:left w:val="nil"/>
              <w:bottom w:val="nil"/>
              <w:right w:val="nil"/>
            </w:tcBorders>
            <w:shd w:val="clear" w:color="auto" w:fill="auto"/>
            <w:noWrap/>
            <w:vAlign w:val="bottom"/>
            <w:hideMark/>
          </w:tcPr>
          <w:p w14:paraId="1567267B"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Belgium</w:t>
            </w:r>
          </w:p>
        </w:tc>
        <w:tc>
          <w:tcPr>
            <w:tcW w:w="1418" w:type="dxa"/>
            <w:tcBorders>
              <w:top w:val="nil"/>
              <w:left w:val="nil"/>
              <w:bottom w:val="nil"/>
              <w:right w:val="nil"/>
            </w:tcBorders>
            <w:shd w:val="clear" w:color="auto" w:fill="auto"/>
            <w:noWrap/>
            <w:vAlign w:val="bottom"/>
            <w:hideMark/>
          </w:tcPr>
          <w:p w14:paraId="313BF7E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200,126</w:t>
            </w:r>
          </w:p>
        </w:tc>
        <w:tc>
          <w:tcPr>
            <w:tcW w:w="1276" w:type="dxa"/>
            <w:tcBorders>
              <w:top w:val="nil"/>
              <w:left w:val="nil"/>
              <w:bottom w:val="nil"/>
              <w:right w:val="nil"/>
            </w:tcBorders>
            <w:shd w:val="clear" w:color="auto" w:fill="auto"/>
            <w:noWrap/>
            <w:vAlign w:val="bottom"/>
            <w:hideMark/>
          </w:tcPr>
          <w:p w14:paraId="64A1393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233,931</w:t>
            </w:r>
          </w:p>
        </w:tc>
        <w:tc>
          <w:tcPr>
            <w:tcW w:w="1417" w:type="dxa"/>
            <w:tcBorders>
              <w:top w:val="nil"/>
              <w:left w:val="nil"/>
              <w:bottom w:val="nil"/>
              <w:right w:val="nil"/>
            </w:tcBorders>
            <w:shd w:val="clear" w:color="auto" w:fill="auto"/>
            <w:noWrap/>
            <w:vAlign w:val="bottom"/>
            <w:hideMark/>
          </w:tcPr>
          <w:p w14:paraId="181DFCC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1,065</w:t>
            </w:r>
          </w:p>
        </w:tc>
        <w:tc>
          <w:tcPr>
            <w:tcW w:w="1418" w:type="dxa"/>
            <w:tcBorders>
              <w:top w:val="nil"/>
              <w:left w:val="nil"/>
              <w:bottom w:val="nil"/>
              <w:right w:val="nil"/>
            </w:tcBorders>
            <w:shd w:val="clear" w:color="auto" w:fill="auto"/>
            <w:noWrap/>
            <w:vAlign w:val="bottom"/>
            <w:hideMark/>
          </w:tcPr>
          <w:p w14:paraId="51783949"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25,304</w:t>
            </w:r>
          </w:p>
        </w:tc>
        <w:tc>
          <w:tcPr>
            <w:tcW w:w="1417" w:type="dxa"/>
            <w:tcBorders>
              <w:top w:val="nil"/>
              <w:left w:val="nil"/>
              <w:bottom w:val="nil"/>
              <w:right w:val="nil"/>
            </w:tcBorders>
            <w:shd w:val="clear" w:color="auto" w:fill="auto"/>
            <w:noWrap/>
            <w:vAlign w:val="bottom"/>
            <w:hideMark/>
          </w:tcPr>
          <w:p w14:paraId="0C3A862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20,021</w:t>
            </w:r>
          </w:p>
        </w:tc>
        <w:tc>
          <w:tcPr>
            <w:tcW w:w="1485" w:type="dxa"/>
            <w:tcBorders>
              <w:top w:val="nil"/>
              <w:left w:val="nil"/>
              <w:bottom w:val="nil"/>
              <w:right w:val="nil"/>
            </w:tcBorders>
            <w:shd w:val="clear" w:color="auto" w:fill="auto"/>
            <w:noWrap/>
            <w:vAlign w:val="bottom"/>
            <w:hideMark/>
          </w:tcPr>
          <w:p w14:paraId="3C3A525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480,447</w:t>
            </w:r>
          </w:p>
        </w:tc>
      </w:tr>
      <w:tr w:rsidR="00E245BE" w:rsidRPr="00E245BE" w14:paraId="39668AA2" w14:textId="77777777" w:rsidTr="00E245BE">
        <w:trPr>
          <w:trHeight w:val="300"/>
        </w:trPr>
        <w:tc>
          <w:tcPr>
            <w:tcW w:w="1701" w:type="dxa"/>
            <w:tcBorders>
              <w:top w:val="nil"/>
              <w:left w:val="nil"/>
              <w:bottom w:val="nil"/>
              <w:right w:val="nil"/>
            </w:tcBorders>
            <w:shd w:val="clear" w:color="auto" w:fill="auto"/>
            <w:noWrap/>
            <w:vAlign w:val="bottom"/>
            <w:hideMark/>
          </w:tcPr>
          <w:p w14:paraId="3BC61AD9"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France</w:t>
            </w:r>
          </w:p>
        </w:tc>
        <w:tc>
          <w:tcPr>
            <w:tcW w:w="1418" w:type="dxa"/>
            <w:tcBorders>
              <w:top w:val="nil"/>
              <w:left w:val="nil"/>
              <w:bottom w:val="nil"/>
              <w:right w:val="nil"/>
            </w:tcBorders>
            <w:shd w:val="clear" w:color="auto" w:fill="auto"/>
            <w:noWrap/>
            <w:vAlign w:val="bottom"/>
            <w:hideMark/>
          </w:tcPr>
          <w:p w14:paraId="3A00DB6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4,373,931</w:t>
            </w:r>
          </w:p>
        </w:tc>
        <w:tc>
          <w:tcPr>
            <w:tcW w:w="1276" w:type="dxa"/>
            <w:tcBorders>
              <w:top w:val="nil"/>
              <w:left w:val="nil"/>
              <w:bottom w:val="nil"/>
              <w:right w:val="nil"/>
            </w:tcBorders>
            <w:shd w:val="clear" w:color="auto" w:fill="auto"/>
            <w:noWrap/>
            <w:vAlign w:val="bottom"/>
            <w:hideMark/>
          </w:tcPr>
          <w:p w14:paraId="4DED35A9"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844,473</w:t>
            </w:r>
          </w:p>
        </w:tc>
        <w:tc>
          <w:tcPr>
            <w:tcW w:w="1417" w:type="dxa"/>
            <w:tcBorders>
              <w:top w:val="nil"/>
              <w:left w:val="nil"/>
              <w:bottom w:val="nil"/>
              <w:right w:val="nil"/>
            </w:tcBorders>
            <w:shd w:val="clear" w:color="auto" w:fill="auto"/>
            <w:noWrap/>
            <w:vAlign w:val="bottom"/>
            <w:hideMark/>
          </w:tcPr>
          <w:p w14:paraId="2030864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786,719</w:t>
            </w:r>
          </w:p>
        </w:tc>
        <w:tc>
          <w:tcPr>
            <w:tcW w:w="1418" w:type="dxa"/>
            <w:tcBorders>
              <w:top w:val="nil"/>
              <w:left w:val="nil"/>
              <w:bottom w:val="nil"/>
              <w:right w:val="nil"/>
            </w:tcBorders>
            <w:shd w:val="clear" w:color="auto" w:fill="auto"/>
            <w:noWrap/>
            <w:vAlign w:val="bottom"/>
            <w:hideMark/>
          </w:tcPr>
          <w:p w14:paraId="009C7BF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2,150,462</w:t>
            </w:r>
          </w:p>
        </w:tc>
        <w:tc>
          <w:tcPr>
            <w:tcW w:w="1417" w:type="dxa"/>
            <w:tcBorders>
              <w:top w:val="nil"/>
              <w:left w:val="nil"/>
              <w:bottom w:val="nil"/>
              <w:right w:val="nil"/>
            </w:tcBorders>
            <w:shd w:val="clear" w:color="auto" w:fill="auto"/>
            <w:noWrap/>
            <w:vAlign w:val="bottom"/>
            <w:hideMark/>
          </w:tcPr>
          <w:p w14:paraId="0E4C2CE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21,966</w:t>
            </w:r>
          </w:p>
        </w:tc>
        <w:tc>
          <w:tcPr>
            <w:tcW w:w="1485" w:type="dxa"/>
            <w:tcBorders>
              <w:top w:val="nil"/>
              <w:left w:val="nil"/>
              <w:bottom w:val="nil"/>
              <w:right w:val="nil"/>
            </w:tcBorders>
            <w:shd w:val="clear" w:color="auto" w:fill="auto"/>
            <w:noWrap/>
            <w:vAlign w:val="bottom"/>
            <w:hideMark/>
          </w:tcPr>
          <w:p w14:paraId="1B62D3DD"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8,177,552</w:t>
            </w:r>
          </w:p>
        </w:tc>
      </w:tr>
      <w:tr w:rsidR="00E245BE" w:rsidRPr="00E245BE" w14:paraId="44B3B25B" w14:textId="77777777" w:rsidTr="00E245BE">
        <w:trPr>
          <w:trHeight w:val="300"/>
        </w:trPr>
        <w:tc>
          <w:tcPr>
            <w:tcW w:w="1701" w:type="dxa"/>
            <w:tcBorders>
              <w:top w:val="nil"/>
              <w:left w:val="nil"/>
              <w:bottom w:val="nil"/>
              <w:right w:val="nil"/>
            </w:tcBorders>
            <w:shd w:val="clear" w:color="auto" w:fill="auto"/>
            <w:noWrap/>
            <w:vAlign w:val="bottom"/>
            <w:hideMark/>
          </w:tcPr>
          <w:p w14:paraId="2DE133AB"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Germany</w:t>
            </w:r>
          </w:p>
        </w:tc>
        <w:tc>
          <w:tcPr>
            <w:tcW w:w="1418" w:type="dxa"/>
            <w:tcBorders>
              <w:top w:val="nil"/>
              <w:left w:val="nil"/>
              <w:bottom w:val="nil"/>
              <w:right w:val="nil"/>
            </w:tcBorders>
            <w:shd w:val="clear" w:color="auto" w:fill="auto"/>
            <w:noWrap/>
            <w:vAlign w:val="bottom"/>
            <w:hideMark/>
          </w:tcPr>
          <w:p w14:paraId="3387FBF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657,732</w:t>
            </w:r>
          </w:p>
        </w:tc>
        <w:tc>
          <w:tcPr>
            <w:tcW w:w="1276" w:type="dxa"/>
            <w:tcBorders>
              <w:top w:val="nil"/>
              <w:left w:val="nil"/>
              <w:bottom w:val="nil"/>
              <w:right w:val="nil"/>
            </w:tcBorders>
            <w:shd w:val="clear" w:color="auto" w:fill="auto"/>
            <w:noWrap/>
            <w:vAlign w:val="bottom"/>
            <w:hideMark/>
          </w:tcPr>
          <w:p w14:paraId="02D917B5"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364,678</w:t>
            </w:r>
          </w:p>
        </w:tc>
        <w:tc>
          <w:tcPr>
            <w:tcW w:w="1417" w:type="dxa"/>
            <w:tcBorders>
              <w:top w:val="nil"/>
              <w:left w:val="nil"/>
              <w:bottom w:val="nil"/>
              <w:right w:val="nil"/>
            </w:tcBorders>
            <w:shd w:val="clear" w:color="auto" w:fill="auto"/>
            <w:noWrap/>
            <w:vAlign w:val="bottom"/>
            <w:hideMark/>
          </w:tcPr>
          <w:p w14:paraId="5D6F3559"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2,699</w:t>
            </w:r>
          </w:p>
        </w:tc>
        <w:tc>
          <w:tcPr>
            <w:tcW w:w="1418" w:type="dxa"/>
            <w:tcBorders>
              <w:top w:val="nil"/>
              <w:left w:val="nil"/>
              <w:bottom w:val="nil"/>
              <w:right w:val="nil"/>
            </w:tcBorders>
            <w:shd w:val="clear" w:color="auto" w:fill="auto"/>
            <w:noWrap/>
            <w:vAlign w:val="bottom"/>
            <w:hideMark/>
          </w:tcPr>
          <w:p w14:paraId="0E5E72D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318,601</w:t>
            </w:r>
          </w:p>
        </w:tc>
        <w:tc>
          <w:tcPr>
            <w:tcW w:w="1417" w:type="dxa"/>
            <w:tcBorders>
              <w:top w:val="nil"/>
              <w:left w:val="nil"/>
              <w:bottom w:val="nil"/>
              <w:right w:val="nil"/>
            </w:tcBorders>
            <w:shd w:val="clear" w:color="auto" w:fill="auto"/>
            <w:noWrap/>
            <w:vAlign w:val="bottom"/>
            <w:hideMark/>
          </w:tcPr>
          <w:p w14:paraId="5867CAD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158,209</w:t>
            </w:r>
          </w:p>
        </w:tc>
        <w:tc>
          <w:tcPr>
            <w:tcW w:w="1485" w:type="dxa"/>
            <w:tcBorders>
              <w:top w:val="nil"/>
              <w:left w:val="nil"/>
              <w:bottom w:val="nil"/>
              <w:right w:val="nil"/>
            </w:tcBorders>
            <w:shd w:val="clear" w:color="auto" w:fill="auto"/>
            <w:noWrap/>
            <w:vAlign w:val="bottom"/>
            <w:hideMark/>
          </w:tcPr>
          <w:p w14:paraId="20DC765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1,501,918</w:t>
            </w:r>
          </w:p>
        </w:tc>
      </w:tr>
      <w:tr w:rsidR="00E245BE" w:rsidRPr="00E245BE" w14:paraId="64ADCC72" w14:textId="77777777" w:rsidTr="00E245BE">
        <w:trPr>
          <w:trHeight w:val="300"/>
        </w:trPr>
        <w:tc>
          <w:tcPr>
            <w:tcW w:w="1701" w:type="dxa"/>
            <w:tcBorders>
              <w:top w:val="nil"/>
              <w:left w:val="nil"/>
              <w:bottom w:val="nil"/>
              <w:right w:val="nil"/>
            </w:tcBorders>
            <w:shd w:val="clear" w:color="auto" w:fill="auto"/>
            <w:noWrap/>
            <w:vAlign w:val="bottom"/>
            <w:hideMark/>
          </w:tcPr>
          <w:p w14:paraId="3CCE17FD"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Ireland</w:t>
            </w:r>
          </w:p>
        </w:tc>
        <w:tc>
          <w:tcPr>
            <w:tcW w:w="1418" w:type="dxa"/>
            <w:tcBorders>
              <w:top w:val="nil"/>
              <w:left w:val="nil"/>
              <w:bottom w:val="nil"/>
              <w:right w:val="nil"/>
            </w:tcBorders>
            <w:shd w:val="clear" w:color="auto" w:fill="auto"/>
            <w:noWrap/>
            <w:vAlign w:val="bottom"/>
            <w:hideMark/>
          </w:tcPr>
          <w:p w14:paraId="497B10F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4,911,750</w:t>
            </w:r>
          </w:p>
        </w:tc>
        <w:tc>
          <w:tcPr>
            <w:tcW w:w="1276" w:type="dxa"/>
            <w:tcBorders>
              <w:top w:val="nil"/>
              <w:left w:val="nil"/>
              <w:bottom w:val="nil"/>
              <w:right w:val="nil"/>
            </w:tcBorders>
            <w:shd w:val="clear" w:color="auto" w:fill="auto"/>
            <w:noWrap/>
            <w:vAlign w:val="bottom"/>
            <w:hideMark/>
          </w:tcPr>
          <w:p w14:paraId="11469539"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2,731,982</w:t>
            </w:r>
          </w:p>
        </w:tc>
        <w:tc>
          <w:tcPr>
            <w:tcW w:w="1417" w:type="dxa"/>
            <w:tcBorders>
              <w:top w:val="nil"/>
              <w:left w:val="nil"/>
              <w:bottom w:val="nil"/>
              <w:right w:val="nil"/>
            </w:tcBorders>
            <w:shd w:val="clear" w:color="auto" w:fill="auto"/>
            <w:noWrap/>
            <w:vAlign w:val="bottom"/>
            <w:hideMark/>
          </w:tcPr>
          <w:p w14:paraId="5BD755B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18" w:type="dxa"/>
            <w:tcBorders>
              <w:top w:val="nil"/>
              <w:left w:val="nil"/>
              <w:bottom w:val="nil"/>
              <w:right w:val="nil"/>
            </w:tcBorders>
            <w:shd w:val="clear" w:color="auto" w:fill="auto"/>
            <w:noWrap/>
            <w:vAlign w:val="bottom"/>
            <w:hideMark/>
          </w:tcPr>
          <w:p w14:paraId="6F01300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804,002</w:t>
            </w:r>
          </w:p>
        </w:tc>
        <w:tc>
          <w:tcPr>
            <w:tcW w:w="1417" w:type="dxa"/>
            <w:tcBorders>
              <w:top w:val="nil"/>
              <w:left w:val="nil"/>
              <w:bottom w:val="nil"/>
              <w:right w:val="nil"/>
            </w:tcBorders>
            <w:shd w:val="clear" w:color="auto" w:fill="auto"/>
            <w:noWrap/>
            <w:vAlign w:val="bottom"/>
            <w:hideMark/>
          </w:tcPr>
          <w:p w14:paraId="1B9CDD8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85" w:type="dxa"/>
            <w:tcBorders>
              <w:top w:val="nil"/>
              <w:left w:val="nil"/>
              <w:bottom w:val="nil"/>
              <w:right w:val="nil"/>
            </w:tcBorders>
            <w:shd w:val="clear" w:color="auto" w:fill="auto"/>
            <w:noWrap/>
            <w:vAlign w:val="bottom"/>
            <w:hideMark/>
          </w:tcPr>
          <w:p w14:paraId="6BEC560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8,447,734</w:t>
            </w:r>
          </w:p>
        </w:tc>
      </w:tr>
      <w:tr w:rsidR="00E245BE" w:rsidRPr="00E245BE" w14:paraId="00A3F1EB" w14:textId="77777777" w:rsidTr="00E245BE">
        <w:trPr>
          <w:trHeight w:val="300"/>
        </w:trPr>
        <w:tc>
          <w:tcPr>
            <w:tcW w:w="1701" w:type="dxa"/>
            <w:tcBorders>
              <w:top w:val="nil"/>
              <w:left w:val="nil"/>
              <w:bottom w:val="nil"/>
              <w:right w:val="nil"/>
            </w:tcBorders>
            <w:shd w:val="clear" w:color="auto" w:fill="auto"/>
            <w:noWrap/>
            <w:vAlign w:val="bottom"/>
            <w:hideMark/>
          </w:tcPr>
          <w:p w14:paraId="7A891358"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Israel</w:t>
            </w:r>
          </w:p>
        </w:tc>
        <w:tc>
          <w:tcPr>
            <w:tcW w:w="1418" w:type="dxa"/>
            <w:tcBorders>
              <w:top w:val="nil"/>
              <w:left w:val="nil"/>
              <w:bottom w:val="nil"/>
              <w:right w:val="nil"/>
            </w:tcBorders>
            <w:shd w:val="clear" w:color="auto" w:fill="auto"/>
            <w:noWrap/>
            <w:vAlign w:val="bottom"/>
            <w:hideMark/>
          </w:tcPr>
          <w:p w14:paraId="77B8005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276" w:type="dxa"/>
            <w:tcBorders>
              <w:top w:val="nil"/>
              <w:left w:val="nil"/>
              <w:bottom w:val="nil"/>
              <w:right w:val="nil"/>
            </w:tcBorders>
            <w:shd w:val="clear" w:color="auto" w:fill="auto"/>
            <w:noWrap/>
            <w:vAlign w:val="bottom"/>
            <w:hideMark/>
          </w:tcPr>
          <w:p w14:paraId="68F10C4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1,164</w:t>
            </w:r>
          </w:p>
        </w:tc>
        <w:tc>
          <w:tcPr>
            <w:tcW w:w="1417" w:type="dxa"/>
            <w:tcBorders>
              <w:top w:val="nil"/>
              <w:left w:val="nil"/>
              <w:bottom w:val="nil"/>
              <w:right w:val="nil"/>
            </w:tcBorders>
            <w:shd w:val="clear" w:color="auto" w:fill="auto"/>
            <w:noWrap/>
            <w:vAlign w:val="bottom"/>
            <w:hideMark/>
          </w:tcPr>
          <w:p w14:paraId="026FD197"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18" w:type="dxa"/>
            <w:tcBorders>
              <w:top w:val="nil"/>
              <w:left w:val="nil"/>
              <w:bottom w:val="nil"/>
              <w:right w:val="nil"/>
            </w:tcBorders>
            <w:shd w:val="clear" w:color="auto" w:fill="auto"/>
            <w:noWrap/>
            <w:vAlign w:val="bottom"/>
            <w:hideMark/>
          </w:tcPr>
          <w:p w14:paraId="16C83545"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142</w:t>
            </w:r>
          </w:p>
        </w:tc>
        <w:tc>
          <w:tcPr>
            <w:tcW w:w="1417" w:type="dxa"/>
            <w:tcBorders>
              <w:top w:val="nil"/>
              <w:left w:val="nil"/>
              <w:bottom w:val="nil"/>
              <w:right w:val="nil"/>
            </w:tcBorders>
            <w:shd w:val="clear" w:color="auto" w:fill="auto"/>
            <w:noWrap/>
            <w:vAlign w:val="bottom"/>
            <w:hideMark/>
          </w:tcPr>
          <w:p w14:paraId="19B0606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w:t>
            </w:r>
          </w:p>
        </w:tc>
        <w:tc>
          <w:tcPr>
            <w:tcW w:w="1485" w:type="dxa"/>
            <w:tcBorders>
              <w:top w:val="nil"/>
              <w:left w:val="nil"/>
              <w:bottom w:val="nil"/>
              <w:right w:val="nil"/>
            </w:tcBorders>
            <w:shd w:val="clear" w:color="auto" w:fill="auto"/>
            <w:noWrap/>
            <w:vAlign w:val="bottom"/>
            <w:hideMark/>
          </w:tcPr>
          <w:p w14:paraId="1E6E1838"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1,311</w:t>
            </w:r>
          </w:p>
        </w:tc>
      </w:tr>
      <w:tr w:rsidR="00E245BE" w:rsidRPr="00E245BE" w14:paraId="57574A7B" w14:textId="77777777" w:rsidTr="00E245BE">
        <w:trPr>
          <w:trHeight w:val="300"/>
        </w:trPr>
        <w:tc>
          <w:tcPr>
            <w:tcW w:w="1701" w:type="dxa"/>
            <w:tcBorders>
              <w:top w:val="nil"/>
              <w:left w:val="nil"/>
              <w:bottom w:val="nil"/>
              <w:right w:val="nil"/>
            </w:tcBorders>
            <w:shd w:val="clear" w:color="auto" w:fill="auto"/>
            <w:noWrap/>
            <w:vAlign w:val="bottom"/>
            <w:hideMark/>
          </w:tcPr>
          <w:p w14:paraId="2C84621F"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Italy</w:t>
            </w:r>
          </w:p>
        </w:tc>
        <w:tc>
          <w:tcPr>
            <w:tcW w:w="1418" w:type="dxa"/>
            <w:tcBorders>
              <w:top w:val="nil"/>
              <w:left w:val="nil"/>
              <w:bottom w:val="nil"/>
              <w:right w:val="nil"/>
            </w:tcBorders>
            <w:shd w:val="clear" w:color="auto" w:fill="auto"/>
            <w:noWrap/>
            <w:vAlign w:val="bottom"/>
            <w:hideMark/>
          </w:tcPr>
          <w:p w14:paraId="6DB4F70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381,714</w:t>
            </w:r>
          </w:p>
        </w:tc>
        <w:tc>
          <w:tcPr>
            <w:tcW w:w="1276" w:type="dxa"/>
            <w:tcBorders>
              <w:top w:val="nil"/>
              <w:left w:val="nil"/>
              <w:bottom w:val="nil"/>
              <w:right w:val="nil"/>
            </w:tcBorders>
            <w:shd w:val="clear" w:color="auto" w:fill="auto"/>
            <w:noWrap/>
            <w:vAlign w:val="bottom"/>
            <w:hideMark/>
          </w:tcPr>
          <w:p w14:paraId="5274F27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653,922</w:t>
            </w:r>
          </w:p>
        </w:tc>
        <w:tc>
          <w:tcPr>
            <w:tcW w:w="1417" w:type="dxa"/>
            <w:tcBorders>
              <w:top w:val="nil"/>
              <w:left w:val="nil"/>
              <w:bottom w:val="nil"/>
              <w:right w:val="nil"/>
            </w:tcBorders>
            <w:shd w:val="clear" w:color="auto" w:fill="auto"/>
            <w:noWrap/>
            <w:vAlign w:val="bottom"/>
            <w:hideMark/>
          </w:tcPr>
          <w:p w14:paraId="6B867C4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29,486</w:t>
            </w:r>
          </w:p>
        </w:tc>
        <w:tc>
          <w:tcPr>
            <w:tcW w:w="1418" w:type="dxa"/>
            <w:tcBorders>
              <w:top w:val="nil"/>
              <w:left w:val="nil"/>
              <w:bottom w:val="nil"/>
              <w:right w:val="nil"/>
            </w:tcBorders>
            <w:shd w:val="clear" w:color="auto" w:fill="auto"/>
            <w:noWrap/>
            <w:vAlign w:val="bottom"/>
            <w:hideMark/>
          </w:tcPr>
          <w:p w14:paraId="215B4AE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17,373</w:t>
            </w:r>
          </w:p>
        </w:tc>
        <w:tc>
          <w:tcPr>
            <w:tcW w:w="1417" w:type="dxa"/>
            <w:tcBorders>
              <w:top w:val="nil"/>
              <w:left w:val="nil"/>
              <w:bottom w:val="nil"/>
              <w:right w:val="nil"/>
            </w:tcBorders>
            <w:shd w:val="clear" w:color="auto" w:fill="auto"/>
            <w:noWrap/>
            <w:vAlign w:val="bottom"/>
            <w:hideMark/>
          </w:tcPr>
          <w:p w14:paraId="4654302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7,633</w:t>
            </w:r>
          </w:p>
        </w:tc>
        <w:tc>
          <w:tcPr>
            <w:tcW w:w="1485" w:type="dxa"/>
            <w:tcBorders>
              <w:top w:val="nil"/>
              <w:left w:val="nil"/>
              <w:bottom w:val="nil"/>
              <w:right w:val="nil"/>
            </w:tcBorders>
            <w:shd w:val="clear" w:color="auto" w:fill="auto"/>
            <w:noWrap/>
            <w:vAlign w:val="bottom"/>
            <w:hideMark/>
          </w:tcPr>
          <w:p w14:paraId="26C7BAD5"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1,090,128</w:t>
            </w:r>
          </w:p>
        </w:tc>
      </w:tr>
      <w:tr w:rsidR="00E245BE" w:rsidRPr="00E245BE" w14:paraId="7A574502" w14:textId="77777777" w:rsidTr="00E245BE">
        <w:trPr>
          <w:trHeight w:val="300"/>
        </w:trPr>
        <w:tc>
          <w:tcPr>
            <w:tcW w:w="1701" w:type="dxa"/>
            <w:tcBorders>
              <w:top w:val="nil"/>
              <w:left w:val="nil"/>
              <w:bottom w:val="nil"/>
              <w:right w:val="nil"/>
            </w:tcBorders>
            <w:shd w:val="clear" w:color="auto" w:fill="auto"/>
            <w:noWrap/>
            <w:vAlign w:val="bottom"/>
            <w:hideMark/>
          </w:tcPr>
          <w:p w14:paraId="4AD12700"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Lithuania</w:t>
            </w:r>
          </w:p>
        </w:tc>
        <w:tc>
          <w:tcPr>
            <w:tcW w:w="1418" w:type="dxa"/>
            <w:tcBorders>
              <w:top w:val="nil"/>
              <w:left w:val="nil"/>
              <w:bottom w:val="nil"/>
              <w:right w:val="nil"/>
            </w:tcBorders>
            <w:shd w:val="clear" w:color="auto" w:fill="auto"/>
            <w:noWrap/>
            <w:vAlign w:val="bottom"/>
            <w:hideMark/>
          </w:tcPr>
          <w:p w14:paraId="54D20E6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31,286</w:t>
            </w:r>
          </w:p>
        </w:tc>
        <w:tc>
          <w:tcPr>
            <w:tcW w:w="1276" w:type="dxa"/>
            <w:tcBorders>
              <w:top w:val="nil"/>
              <w:left w:val="nil"/>
              <w:bottom w:val="nil"/>
              <w:right w:val="nil"/>
            </w:tcBorders>
            <w:shd w:val="clear" w:color="auto" w:fill="auto"/>
            <w:noWrap/>
            <w:vAlign w:val="bottom"/>
            <w:hideMark/>
          </w:tcPr>
          <w:p w14:paraId="19806D3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10,984</w:t>
            </w:r>
          </w:p>
        </w:tc>
        <w:tc>
          <w:tcPr>
            <w:tcW w:w="1417" w:type="dxa"/>
            <w:tcBorders>
              <w:top w:val="nil"/>
              <w:left w:val="nil"/>
              <w:bottom w:val="nil"/>
              <w:right w:val="nil"/>
            </w:tcBorders>
            <w:shd w:val="clear" w:color="auto" w:fill="auto"/>
            <w:noWrap/>
            <w:vAlign w:val="bottom"/>
            <w:hideMark/>
          </w:tcPr>
          <w:p w14:paraId="6EEB06A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381</w:t>
            </w:r>
          </w:p>
        </w:tc>
        <w:tc>
          <w:tcPr>
            <w:tcW w:w="1418" w:type="dxa"/>
            <w:tcBorders>
              <w:top w:val="nil"/>
              <w:left w:val="nil"/>
              <w:bottom w:val="nil"/>
              <w:right w:val="nil"/>
            </w:tcBorders>
            <w:shd w:val="clear" w:color="auto" w:fill="auto"/>
            <w:noWrap/>
            <w:vAlign w:val="bottom"/>
            <w:hideMark/>
          </w:tcPr>
          <w:p w14:paraId="496C65C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3,790</w:t>
            </w:r>
          </w:p>
        </w:tc>
        <w:tc>
          <w:tcPr>
            <w:tcW w:w="1417" w:type="dxa"/>
            <w:tcBorders>
              <w:top w:val="nil"/>
              <w:left w:val="nil"/>
              <w:bottom w:val="nil"/>
              <w:right w:val="nil"/>
            </w:tcBorders>
            <w:shd w:val="clear" w:color="auto" w:fill="auto"/>
            <w:noWrap/>
            <w:vAlign w:val="bottom"/>
            <w:hideMark/>
          </w:tcPr>
          <w:p w14:paraId="5E88727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6,376</w:t>
            </w:r>
          </w:p>
        </w:tc>
        <w:tc>
          <w:tcPr>
            <w:tcW w:w="1485" w:type="dxa"/>
            <w:tcBorders>
              <w:top w:val="nil"/>
              <w:left w:val="nil"/>
              <w:bottom w:val="nil"/>
              <w:right w:val="nil"/>
            </w:tcBorders>
            <w:shd w:val="clear" w:color="auto" w:fill="auto"/>
            <w:noWrap/>
            <w:vAlign w:val="bottom"/>
            <w:hideMark/>
          </w:tcPr>
          <w:p w14:paraId="339BC81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52,817</w:t>
            </w:r>
          </w:p>
        </w:tc>
      </w:tr>
      <w:tr w:rsidR="00E245BE" w:rsidRPr="00E245BE" w14:paraId="05162C69" w14:textId="77777777" w:rsidTr="00E245BE">
        <w:trPr>
          <w:trHeight w:val="300"/>
        </w:trPr>
        <w:tc>
          <w:tcPr>
            <w:tcW w:w="1701" w:type="dxa"/>
            <w:tcBorders>
              <w:top w:val="nil"/>
              <w:left w:val="nil"/>
              <w:bottom w:val="nil"/>
              <w:right w:val="nil"/>
            </w:tcBorders>
            <w:shd w:val="clear" w:color="auto" w:fill="auto"/>
            <w:noWrap/>
            <w:vAlign w:val="bottom"/>
            <w:hideMark/>
          </w:tcPr>
          <w:p w14:paraId="00FF6234"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Netherlands</w:t>
            </w:r>
          </w:p>
        </w:tc>
        <w:tc>
          <w:tcPr>
            <w:tcW w:w="1418" w:type="dxa"/>
            <w:tcBorders>
              <w:top w:val="nil"/>
              <w:left w:val="nil"/>
              <w:bottom w:val="nil"/>
              <w:right w:val="nil"/>
            </w:tcBorders>
            <w:shd w:val="clear" w:color="auto" w:fill="auto"/>
            <w:noWrap/>
            <w:vAlign w:val="bottom"/>
            <w:hideMark/>
          </w:tcPr>
          <w:p w14:paraId="60671DC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741,876</w:t>
            </w:r>
          </w:p>
        </w:tc>
        <w:tc>
          <w:tcPr>
            <w:tcW w:w="1276" w:type="dxa"/>
            <w:tcBorders>
              <w:top w:val="nil"/>
              <w:left w:val="nil"/>
              <w:bottom w:val="nil"/>
              <w:right w:val="nil"/>
            </w:tcBorders>
            <w:shd w:val="clear" w:color="auto" w:fill="auto"/>
            <w:noWrap/>
            <w:vAlign w:val="bottom"/>
            <w:hideMark/>
          </w:tcPr>
          <w:p w14:paraId="6EED968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109,517</w:t>
            </w:r>
          </w:p>
        </w:tc>
        <w:tc>
          <w:tcPr>
            <w:tcW w:w="1417" w:type="dxa"/>
            <w:tcBorders>
              <w:top w:val="nil"/>
              <w:left w:val="nil"/>
              <w:bottom w:val="nil"/>
              <w:right w:val="nil"/>
            </w:tcBorders>
            <w:shd w:val="clear" w:color="auto" w:fill="auto"/>
            <w:noWrap/>
            <w:vAlign w:val="bottom"/>
            <w:hideMark/>
          </w:tcPr>
          <w:p w14:paraId="2BB3E84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8,297</w:t>
            </w:r>
          </w:p>
        </w:tc>
        <w:tc>
          <w:tcPr>
            <w:tcW w:w="1418" w:type="dxa"/>
            <w:tcBorders>
              <w:top w:val="nil"/>
              <w:left w:val="nil"/>
              <w:bottom w:val="nil"/>
              <w:right w:val="nil"/>
            </w:tcBorders>
            <w:shd w:val="clear" w:color="auto" w:fill="auto"/>
            <w:noWrap/>
            <w:vAlign w:val="bottom"/>
            <w:hideMark/>
          </w:tcPr>
          <w:p w14:paraId="2FE2806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209,963</w:t>
            </w:r>
          </w:p>
        </w:tc>
        <w:tc>
          <w:tcPr>
            <w:tcW w:w="1417" w:type="dxa"/>
            <w:tcBorders>
              <w:top w:val="nil"/>
              <w:left w:val="nil"/>
              <w:bottom w:val="nil"/>
              <w:right w:val="nil"/>
            </w:tcBorders>
            <w:shd w:val="clear" w:color="auto" w:fill="auto"/>
            <w:noWrap/>
            <w:vAlign w:val="bottom"/>
            <w:hideMark/>
          </w:tcPr>
          <w:p w14:paraId="1F64A10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235,000</w:t>
            </w:r>
          </w:p>
        </w:tc>
        <w:tc>
          <w:tcPr>
            <w:tcW w:w="1485" w:type="dxa"/>
            <w:tcBorders>
              <w:top w:val="nil"/>
              <w:left w:val="nil"/>
              <w:bottom w:val="nil"/>
              <w:right w:val="nil"/>
            </w:tcBorders>
            <w:shd w:val="clear" w:color="auto" w:fill="auto"/>
            <w:noWrap/>
            <w:vAlign w:val="bottom"/>
            <w:hideMark/>
          </w:tcPr>
          <w:p w14:paraId="72822018"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1,304,653</w:t>
            </w:r>
          </w:p>
        </w:tc>
      </w:tr>
      <w:tr w:rsidR="00E245BE" w:rsidRPr="00E245BE" w14:paraId="5A7DC89C" w14:textId="77777777" w:rsidTr="00E245BE">
        <w:trPr>
          <w:trHeight w:val="300"/>
        </w:trPr>
        <w:tc>
          <w:tcPr>
            <w:tcW w:w="1701" w:type="dxa"/>
            <w:tcBorders>
              <w:top w:val="nil"/>
              <w:left w:val="nil"/>
              <w:bottom w:val="nil"/>
              <w:right w:val="nil"/>
            </w:tcBorders>
            <w:shd w:val="clear" w:color="auto" w:fill="auto"/>
            <w:noWrap/>
            <w:vAlign w:val="bottom"/>
            <w:hideMark/>
          </w:tcPr>
          <w:p w14:paraId="3EB27D01"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Norway</w:t>
            </w:r>
          </w:p>
        </w:tc>
        <w:tc>
          <w:tcPr>
            <w:tcW w:w="1418" w:type="dxa"/>
            <w:tcBorders>
              <w:top w:val="nil"/>
              <w:left w:val="nil"/>
              <w:bottom w:val="nil"/>
              <w:right w:val="nil"/>
            </w:tcBorders>
            <w:shd w:val="clear" w:color="auto" w:fill="auto"/>
            <w:noWrap/>
            <w:vAlign w:val="bottom"/>
            <w:hideMark/>
          </w:tcPr>
          <w:p w14:paraId="6072666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60,772</w:t>
            </w:r>
          </w:p>
        </w:tc>
        <w:tc>
          <w:tcPr>
            <w:tcW w:w="1276" w:type="dxa"/>
            <w:tcBorders>
              <w:top w:val="nil"/>
              <w:left w:val="nil"/>
              <w:bottom w:val="nil"/>
              <w:right w:val="nil"/>
            </w:tcBorders>
            <w:shd w:val="clear" w:color="auto" w:fill="auto"/>
            <w:noWrap/>
            <w:vAlign w:val="bottom"/>
            <w:hideMark/>
          </w:tcPr>
          <w:p w14:paraId="1FD0665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57,365</w:t>
            </w:r>
          </w:p>
        </w:tc>
        <w:tc>
          <w:tcPr>
            <w:tcW w:w="1417" w:type="dxa"/>
            <w:tcBorders>
              <w:top w:val="nil"/>
              <w:left w:val="nil"/>
              <w:bottom w:val="nil"/>
              <w:right w:val="nil"/>
            </w:tcBorders>
            <w:shd w:val="clear" w:color="auto" w:fill="auto"/>
            <w:noWrap/>
            <w:vAlign w:val="bottom"/>
            <w:hideMark/>
          </w:tcPr>
          <w:p w14:paraId="18F33CC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48</w:t>
            </w:r>
          </w:p>
        </w:tc>
        <w:tc>
          <w:tcPr>
            <w:tcW w:w="1418" w:type="dxa"/>
            <w:tcBorders>
              <w:top w:val="nil"/>
              <w:left w:val="nil"/>
              <w:bottom w:val="nil"/>
              <w:right w:val="nil"/>
            </w:tcBorders>
            <w:shd w:val="clear" w:color="auto" w:fill="auto"/>
            <w:noWrap/>
            <w:vAlign w:val="bottom"/>
            <w:hideMark/>
          </w:tcPr>
          <w:p w14:paraId="466E521D"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80,740</w:t>
            </w:r>
          </w:p>
        </w:tc>
        <w:tc>
          <w:tcPr>
            <w:tcW w:w="1417" w:type="dxa"/>
            <w:tcBorders>
              <w:top w:val="nil"/>
              <w:left w:val="nil"/>
              <w:bottom w:val="nil"/>
              <w:right w:val="nil"/>
            </w:tcBorders>
            <w:shd w:val="clear" w:color="auto" w:fill="auto"/>
            <w:noWrap/>
            <w:vAlign w:val="bottom"/>
            <w:hideMark/>
          </w:tcPr>
          <w:p w14:paraId="1150FD8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22,603</w:t>
            </w:r>
          </w:p>
        </w:tc>
        <w:tc>
          <w:tcPr>
            <w:tcW w:w="1485" w:type="dxa"/>
            <w:tcBorders>
              <w:top w:val="nil"/>
              <w:left w:val="nil"/>
              <w:bottom w:val="nil"/>
              <w:right w:val="nil"/>
            </w:tcBorders>
            <w:shd w:val="clear" w:color="auto" w:fill="auto"/>
            <w:noWrap/>
            <w:vAlign w:val="bottom"/>
            <w:hideMark/>
          </w:tcPr>
          <w:p w14:paraId="6B19DE9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221,528</w:t>
            </w:r>
          </w:p>
        </w:tc>
      </w:tr>
      <w:tr w:rsidR="00E245BE" w:rsidRPr="00E245BE" w14:paraId="220CFCAD" w14:textId="77777777" w:rsidTr="00E245BE">
        <w:trPr>
          <w:trHeight w:val="300"/>
        </w:trPr>
        <w:tc>
          <w:tcPr>
            <w:tcW w:w="1701" w:type="dxa"/>
            <w:tcBorders>
              <w:top w:val="nil"/>
              <w:left w:val="nil"/>
              <w:bottom w:val="nil"/>
              <w:right w:val="nil"/>
            </w:tcBorders>
            <w:shd w:val="clear" w:color="auto" w:fill="auto"/>
            <w:noWrap/>
            <w:vAlign w:val="bottom"/>
            <w:hideMark/>
          </w:tcPr>
          <w:p w14:paraId="2685DC85"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Poland</w:t>
            </w:r>
          </w:p>
        </w:tc>
        <w:tc>
          <w:tcPr>
            <w:tcW w:w="1418" w:type="dxa"/>
            <w:tcBorders>
              <w:top w:val="nil"/>
              <w:left w:val="nil"/>
              <w:bottom w:val="nil"/>
              <w:right w:val="nil"/>
            </w:tcBorders>
            <w:shd w:val="clear" w:color="auto" w:fill="auto"/>
            <w:noWrap/>
            <w:vAlign w:val="bottom"/>
            <w:hideMark/>
          </w:tcPr>
          <w:p w14:paraId="7869979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1,228,492</w:t>
            </w:r>
          </w:p>
        </w:tc>
        <w:tc>
          <w:tcPr>
            <w:tcW w:w="1276" w:type="dxa"/>
            <w:tcBorders>
              <w:top w:val="nil"/>
              <w:left w:val="nil"/>
              <w:bottom w:val="nil"/>
              <w:right w:val="nil"/>
            </w:tcBorders>
            <w:shd w:val="clear" w:color="auto" w:fill="auto"/>
            <w:noWrap/>
            <w:vAlign w:val="bottom"/>
            <w:hideMark/>
          </w:tcPr>
          <w:p w14:paraId="05EA057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185,286</w:t>
            </w:r>
          </w:p>
        </w:tc>
        <w:tc>
          <w:tcPr>
            <w:tcW w:w="1417" w:type="dxa"/>
            <w:tcBorders>
              <w:top w:val="nil"/>
              <w:left w:val="nil"/>
              <w:bottom w:val="nil"/>
              <w:right w:val="nil"/>
            </w:tcBorders>
            <w:shd w:val="clear" w:color="auto" w:fill="auto"/>
            <w:noWrap/>
            <w:vAlign w:val="bottom"/>
            <w:hideMark/>
          </w:tcPr>
          <w:p w14:paraId="7DE0F00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17,996</w:t>
            </w:r>
          </w:p>
        </w:tc>
        <w:tc>
          <w:tcPr>
            <w:tcW w:w="1418" w:type="dxa"/>
            <w:tcBorders>
              <w:top w:val="nil"/>
              <w:left w:val="nil"/>
              <w:bottom w:val="nil"/>
              <w:right w:val="nil"/>
            </w:tcBorders>
            <w:shd w:val="clear" w:color="auto" w:fill="auto"/>
            <w:noWrap/>
            <w:vAlign w:val="bottom"/>
            <w:hideMark/>
          </w:tcPr>
          <w:p w14:paraId="3964830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10,154</w:t>
            </w:r>
          </w:p>
        </w:tc>
        <w:tc>
          <w:tcPr>
            <w:tcW w:w="1417" w:type="dxa"/>
            <w:tcBorders>
              <w:top w:val="nil"/>
              <w:left w:val="nil"/>
              <w:bottom w:val="nil"/>
              <w:right w:val="nil"/>
            </w:tcBorders>
            <w:shd w:val="clear" w:color="auto" w:fill="auto"/>
            <w:noWrap/>
            <w:vAlign w:val="bottom"/>
            <w:hideMark/>
          </w:tcPr>
          <w:p w14:paraId="60025DA8"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20,138</w:t>
            </w:r>
          </w:p>
        </w:tc>
        <w:tc>
          <w:tcPr>
            <w:tcW w:w="1485" w:type="dxa"/>
            <w:tcBorders>
              <w:top w:val="nil"/>
              <w:left w:val="nil"/>
              <w:bottom w:val="nil"/>
              <w:right w:val="nil"/>
            </w:tcBorders>
            <w:shd w:val="clear" w:color="auto" w:fill="auto"/>
            <w:noWrap/>
            <w:vAlign w:val="bottom"/>
            <w:hideMark/>
          </w:tcPr>
          <w:p w14:paraId="55CFDAE2"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1,462,066</w:t>
            </w:r>
          </w:p>
        </w:tc>
      </w:tr>
      <w:tr w:rsidR="00E245BE" w:rsidRPr="00E245BE" w14:paraId="0F5AF6A7" w14:textId="77777777" w:rsidTr="00E245BE">
        <w:trPr>
          <w:trHeight w:val="300"/>
        </w:trPr>
        <w:tc>
          <w:tcPr>
            <w:tcW w:w="1701" w:type="dxa"/>
            <w:tcBorders>
              <w:top w:val="nil"/>
              <w:left w:val="nil"/>
              <w:bottom w:val="nil"/>
              <w:right w:val="nil"/>
            </w:tcBorders>
            <w:shd w:val="clear" w:color="auto" w:fill="auto"/>
            <w:noWrap/>
            <w:vAlign w:val="bottom"/>
            <w:hideMark/>
          </w:tcPr>
          <w:p w14:paraId="674633E4"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Portugal</w:t>
            </w:r>
          </w:p>
        </w:tc>
        <w:tc>
          <w:tcPr>
            <w:tcW w:w="1418" w:type="dxa"/>
            <w:tcBorders>
              <w:top w:val="nil"/>
              <w:left w:val="nil"/>
              <w:bottom w:val="nil"/>
              <w:right w:val="nil"/>
            </w:tcBorders>
            <w:shd w:val="clear" w:color="auto" w:fill="auto"/>
            <w:noWrap/>
            <w:vAlign w:val="bottom"/>
            <w:hideMark/>
          </w:tcPr>
          <w:p w14:paraId="0B4190C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151,540</w:t>
            </w:r>
          </w:p>
        </w:tc>
        <w:tc>
          <w:tcPr>
            <w:tcW w:w="1276" w:type="dxa"/>
            <w:tcBorders>
              <w:top w:val="nil"/>
              <w:left w:val="nil"/>
              <w:bottom w:val="nil"/>
              <w:right w:val="nil"/>
            </w:tcBorders>
            <w:shd w:val="clear" w:color="auto" w:fill="auto"/>
            <w:noWrap/>
            <w:vAlign w:val="bottom"/>
            <w:hideMark/>
          </w:tcPr>
          <w:p w14:paraId="6D5B67F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154,763</w:t>
            </w:r>
          </w:p>
        </w:tc>
        <w:tc>
          <w:tcPr>
            <w:tcW w:w="1417" w:type="dxa"/>
            <w:tcBorders>
              <w:top w:val="nil"/>
              <w:left w:val="nil"/>
              <w:bottom w:val="nil"/>
              <w:right w:val="nil"/>
            </w:tcBorders>
            <w:shd w:val="clear" w:color="auto" w:fill="auto"/>
            <w:noWrap/>
            <w:vAlign w:val="bottom"/>
            <w:hideMark/>
          </w:tcPr>
          <w:p w14:paraId="66B195B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35,286</w:t>
            </w:r>
          </w:p>
        </w:tc>
        <w:tc>
          <w:tcPr>
            <w:tcW w:w="1418" w:type="dxa"/>
            <w:tcBorders>
              <w:top w:val="nil"/>
              <w:left w:val="nil"/>
              <w:bottom w:val="nil"/>
              <w:right w:val="nil"/>
            </w:tcBorders>
            <w:shd w:val="clear" w:color="auto" w:fill="auto"/>
            <w:noWrap/>
            <w:vAlign w:val="bottom"/>
            <w:hideMark/>
          </w:tcPr>
          <w:p w14:paraId="45C8DBC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45,892</w:t>
            </w:r>
          </w:p>
        </w:tc>
        <w:tc>
          <w:tcPr>
            <w:tcW w:w="1417" w:type="dxa"/>
            <w:tcBorders>
              <w:top w:val="nil"/>
              <w:left w:val="nil"/>
              <w:bottom w:val="nil"/>
              <w:right w:val="nil"/>
            </w:tcBorders>
            <w:shd w:val="clear" w:color="auto" w:fill="auto"/>
            <w:noWrap/>
            <w:vAlign w:val="bottom"/>
            <w:hideMark/>
          </w:tcPr>
          <w:p w14:paraId="45A5374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25,421</w:t>
            </w:r>
          </w:p>
        </w:tc>
        <w:tc>
          <w:tcPr>
            <w:tcW w:w="1485" w:type="dxa"/>
            <w:tcBorders>
              <w:top w:val="nil"/>
              <w:left w:val="nil"/>
              <w:bottom w:val="nil"/>
              <w:right w:val="nil"/>
            </w:tcBorders>
            <w:shd w:val="clear" w:color="auto" w:fill="auto"/>
            <w:noWrap/>
            <w:vAlign w:val="bottom"/>
            <w:hideMark/>
          </w:tcPr>
          <w:p w14:paraId="6E4605D7"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412,903</w:t>
            </w:r>
          </w:p>
        </w:tc>
      </w:tr>
      <w:tr w:rsidR="00E245BE" w:rsidRPr="00E245BE" w14:paraId="1766DD0A" w14:textId="77777777" w:rsidTr="00E245BE">
        <w:trPr>
          <w:trHeight w:val="300"/>
        </w:trPr>
        <w:tc>
          <w:tcPr>
            <w:tcW w:w="1701" w:type="dxa"/>
            <w:tcBorders>
              <w:top w:val="nil"/>
              <w:left w:val="nil"/>
              <w:bottom w:val="nil"/>
              <w:right w:val="nil"/>
            </w:tcBorders>
            <w:shd w:val="clear" w:color="auto" w:fill="auto"/>
            <w:noWrap/>
            <w:vAlign w:val="bottom"/>
            <w:hideMark/>
          </w:tcPr>
          <w:p w14:paraId="2FB52DB9"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Republic of Macedonia</w:t>
            </w:r>
          </w:p>
        </w:tc>
        <w:tc>
          <w:tcPr>
            <w:tcW w:w="1418" w:type="dxa"/>
            <w:tcBorders>
              <w:top w:val="nil"/>
              <w:left w:val="nil"/>
              <w:bottom w:val="nil"/>
              <w:right w:val="nil"/>
            </w:tcBorders>
            <w:shd w:val="clear" w:color="auto" w:fill="auto"/>
            <w:noWrap/>
            <w:vAlign w:val="bottom"/>
            <w:hideMark/>
          </w:tcPr>
          <w:p w14:paraId="54A7EFDE"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86,080</w:t>
            </w:r>
          </w:p>
        </w:tc>
        <w:tc>
          <w:tcPr>
            <w:tcW w:w="1276" w:type="dxa"/>
            <w:tcBorders>
              <w:top w:val="nil"/>
              <w:left w:val="nil"/>
              <w:bottom w:val="nil"/>
              <w:right w:val="nil"/>
            </w:tcBorders>
            <w:shd w:val="clear" w:color="auto" w:fill="auto"/>
            <w:noWrap/>
            <w:vAlign w:val="bottom"/>
            <w:hideMark/>
          </w:tcPr>
          <w:p w14:paraId="49A9F36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9,552</w:t>
            </w:r>
          </w:p>
        </w:tc>
        <w:tc>
          <w:tcPr>
            <w:tcW w:w="1417" w:type="dxa"/>
            <w:tcBorders>
              <w:top w:val="nil"/>
              <w:left w:val="nil"/>
              <w:bottom w:val="nil"/>
              <w:right w:val="nil"/>
            </w:tcBorders>
            <w:shd w:val="clear" w:color="auto" w:fill="auto"/>
            <w:noWrap/>
            <w:vAlign w:val="bottom"/>
            <w:hideMark/>
          </w:tcPr>
          <w:p w14:paraId="17ECD6B9"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54,046</w:t>
            </w:r>
          </w:p>
        </w:tc>
        <w:tc>
          <w:tcPr>
            <w:tcW w:w="1418" w:type="dxa"/>
            <w:tcBorders>
              <w:top w:val="nil"/>
              <w:left w:val="nil"/>
              <w:bottom w:val="nil"/>
              <w:right w:val="nil"/>
            </w:tcBorders>
            <w:shd w:val="clear" w:color="auto" w:fill="auto"/>
            <w:noWrap/>
            <w:vAlign w:val="bottom"/>
            <w:hideMark/>
          </w:tcPr>
          <w:p w14:paraId="73F6322C"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32,708</w:t>
            </w:r>
          </w:p>
        </w:tc>
        <w:tc>
          <w:tcPr>
            <w:tcW w:w="1417" w:type="dxa"/>
            <w:tcBorders>
              <w:top w:val="nil"/>
              <w:left w:val="nil"/>
              <w:bottom w:val="nil"/>
              <w:right w:val="nil"/>
            </w:tcBorders>
            <w:shd w:val="clear" w:color="auto" w:fill="auto"/>
            <w:noWrap/>
            <w:vAlign w:val="bottom"/>
            <w:hideMark/>
          </w:tcPr>
          <w:p w14:paraId="46EFC05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30,144</w:t>
            </w:r>
          </w:p>
        </w:tc>
        <w:tc>
          <w:tcPr>
            <w:tcW w:w="1485" w:type="dxa"/>
            <w:tcBorders>
              <w:top w:val="nil"/>
              <w:left w:val="nil"/>
              <w:bottom w:val="nil"/>
              <w:right w:val="nil"/>
            </w:tcBorders>
            <w:shd w:val="clear" w:color="auto" w:fill="auto"/>
            <w:noWrap/>
            <w:vAlign w:val="bottom"/>
            <w:hideMark/>
          </w:tcPr>
          <w:p w14:paraId="76B1A07D"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212,530</w:t>
            </w:r>
          </w:p>
        </w:tc>
      </w:tr>
      <w:tr w:rsidR="00E245BE" w:rsidRPr="00E245BE" w14:paraId="30A0C23E" w14:textId="77777777" w:rsidTr="00E245BE">
        <w:trPr>
          <w:trHeight w:val="300"/>
        </w:trPr>
        <w:tc>
          <w:tcPr>
            <w:tcW w:w="1701" w:type="dxa"/>
            <w:tcBorders>
              <w:top w:val="nil"/>
              <w:left w:val="nil"/>
              <w:bottom w:val="nil"/>
              <w:right w:val="nil"/>
            </w:tcBorders>
            <w:shd w:val="clear" w:color="auto" w:fill="auto"/>
            <w:noWrap/>
            <w:vAlign w:val="bottom"/>
            <w:hideMark/>
          </w:tcPr>
          <w:p w14:paraId="603A8566"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Romania</w:t>
            </w:r>
          </w:p>
        </w:tc>
        <w:tc>
          <w:tcPr>
            <w:tcW w:w="1418" w:type="dxa"/>
            <w:tcBorders>
              <w:top w:val="nil"/>
              <w:left w:val="nil"/>
              <w:bottom w:val="nil"/>
              <w:right w:val="nil"/>
            </w:tcBorders>
            <w:shd w:val="clear" w:color="auto" w:fill="auto"/>
            <w:noWrap/>
            <w:vAlign w:val="bottom"/>
            <w:hideMark/>
          </w:tcPr>
          <w:p w14:paraId="401C7FC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914,636</w:t>
            </w:r>
          </w:p>
        </w:tc>
        <w:tc>
          <w:tcPr>
            <w:tcW w:w="1276" w:type="dxa"/>
            <w:tcBorders>
              <w:top w:val="nil"/>
              <w:left w:val="nil"/>
              <w:bottom w:val="nil"/>
              <w:right w:val="nil"/>
            </w:tcBorders>
            <w:shd w:val="clear" w:color="auto" w:fill="auto"/>
            <w:noWrap/>
            <w:vAlign w:val="bottom"/>
            <w:hideMark/>
          </w:tcPr>
          <w:p w14:paraId="205FF54D"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111,778</w:t>
            </w:r>
          </w:p>
        </w:tc>
        <w:tc>
          <w:tcPr>
            <w:tcW w:w="1417" w:type="dxa"/>
            <w:tcBorders>
              <w:top w:val="nil"/>
              <w:left w:val="nil"/>
              <w:bottom w:val="nil"/>
              <w:right w:val="nil"/>
            </w:tcBorders>
            <w:shd w:val="clear" w:color="auto" w:fill="auto"/>
            <w:noWrap/>
            <w:vAlign w:val="bottom"/>
            <w:hideMark/>
          </w:tcPr>
          <w:p w14:paraId="1C52614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1,240,305</w:t>
            </w:r>
          </w:p>
        </w:tc>
        <w:tc>
          <w:tcPr>
            <w:tcW w:w="1418" w:type="dxa"/>
            <w:tcBorders>
              <w:top w:val="nil"/>
              <w:left w:val="nil"/>
              <w:bottom w:val="nil"/>
              <w:right w:val="nil"/>
            </w:tcBorders>
            <w:shd w:val="clear" w:color="auto" w:fill="auto"/>
            <w:noWrap/>
            <w:vAlign w:val="bottom"/>
            <w:hideMark/>
          </w:tcPr>
          <w:p w14:paraId="1F6B375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425,410</w:t>
            </w:r>
          </w:p>
        </w:tc>
        <w:tc>
          <w:tcPr>
            <w:tcW w:w="1417" w:type="dxa"/>
            <w:tcBorders>
              <w:top w:val="nil"/>
              <w:left w:val="nil"/>
              <w:bottom w:val="nil"/>
              <w:right w:val="nil"/>
            </w:tcBorders>
            <w:shd w:val="clear" w:color="auto" w:fill="auto"/>
            <w:noWrap/>
            <w:vAlign w:val="bottom"/>
            <w:hideMark/>
          </w:tcPr>
          <w:p w14:paraId="6F35D35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85" w:type="dxa"/>
            <w:tcBorders>
              <w:top w:val="nil"/>
              <w:left w:val="nil"/>
              <w:bottom w:val="nil"/>
              <w:right w:val="nil"/>
            </w:tcBorders>
            <w:shd w:val="clear" w:color="auto" w:fill="auto"/>
            <w:noWrap/>
            <w:vAlign w:val="bottom"/>
            <w:hideMark/>
          </w:tcPr>
          <w:p w14:paraId="7EF8FA2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2,692,129</w:t>
            </w:r>
          </w:p>
        </w:tc>
      </w:tr>
      <w:tr w:rsidR="00E245BE" w:rsidRPr="00E245BE" w14:paraId="24F175D4" w14:textId="77777777" w:rsidTr="00E245BE">
        <w:trPr>
          <w:trHeight w:val="300"/>
        </w:trPr>
        <w:tc>
          <w:tcPr>
            <w:tcW w:w="1701" w:type="dxa"/>
            <w:tcBorders>
              <w:top w:val="nil"/>
              <w:left w:val="nil"/>
              <w:bottom w:val="nil"/>
              <w:right w:val="nil"/>
            </w:tcBorders>
            <w:shd w:val="clear" w:color="auto" w:fill="auto"/>
            <w:noWrap/>
            <w:vAlign w:val="bottom"/>
            <w:hideMark/>
          </w:tcPr>
          <w:p w14:paraId="2248A0EA"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Spain</w:t>
            </w:r>
          </w:p>
        </w:tc>
        <w:tc>
          <w:tcPr>
            <w:tcW w:w="1418" w:type="dxa"/>
            <w:tcBorders>
              <w:top w:val="nil"/>
              <w:left w:val="nil"/>
              <w:bottom w:val="nil"/>
              <w:right w:val="nil"/>
            </w:tcBorders>
            <w:shd w:val="clear" w:color="auto" w:fill="auto"/>
            <w:noWrap/>
            <w:vAlign w:val="bottom"/>
            <w:hideMark/>
          </w:tcPr>
          <w:p w14:paraId="5751E30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377,539</w:t>
            </w:r>
          </w:p>
        </w:tc>
        <w:tc>
          <w:tcPr>
            <w:tcW w:w="1276" w:type="dxa"/>
            <w:tcBorders>
              <w:top w:val="nil"/>
              <w:left w:val="nil"/>
              <w:bottom w:val="nil"/>
              <w:right w:val="nil"/>
            </w:tcBorders>
            <w:shd w:val="clear" w:color="auto" w:fill="auto"/>
            <w:noWrap/>
            <w:vAlign w:val="bottom"/>
            <w:hideMark/>
          </w:tcPr>
          <w:p w14:paraId="7B809D2C"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2,100,836</w:t>
            </w:r>
          </w:p>
        </w:tc>
        <w:tc>
          <w:tcPr>
            <w:tcW w:w="1417" w:type="dxa"/>
            <w:tcBorders>
              <w:top w:val="nil"/>
              <w:left w:val="nil"/>
              <w:bottom w:val="nil"/>
              <w:right w:val="nil"/>
            </w:tcBorders>
            <w:shd w:val="clear" w:color="auto" w:fill="auto"/>
            <w:noWrap/>
            <w:vAlign w:val="bottom"/>
            <w:hideMark/>
          </w:tcPr>
          <w:p w14:paraId="101AA25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235,942</w:t>
            </w:r>
          </w:p>
        </w:tc>
        <w:tc>
          <w:tcPr>
            <w:tcW w:w="1418" w:type="dxa"/>
            <w:tcBorders>
              <w:top w:val="nil"/>
              <w:left w:val="nil"/>
              <w:bottom w:val="nil"/>
              <w:right w:val="nil"/>
            </w:tcBorders>
            <w:shd w:val="clear" w:color="auto" w:fill="auto"/>
            <w:noWrap/>
            <w:vAlign w:val="bottom"/>
            <w:hideMark/>
          </w:tcPr>
          <w:p w14:paraId="68D19E5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17" w:type="dxa"/>
            <w:tcBorders>
              <w:top w:val="nil"/>
              <w:left w:val="nil"/>
              <w:bottom w:val="nil"/>
              <w:right w:val="nil"/>
            </w:tcBorders>
            <w:shd w:val="clear" w:color="auto" w:fill="auto"/>
            <w:noWrap/>
            <w:vAlign w:val="bottom"/>
            <w:hideMark/>
          </w:tcPr>
          <w:p w14:paraId="4CB37FA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404,151</w:t>
            </w:r>
          </w:p>
        </w:tc>
        <w:tc>
          <w:tcPr>
            <w:tcW w:w="1485" w:type="dxa"/>
            <w:tcBorders>
              <w:top w:val="nil"/>
              <w:left w:val="nil"/>
              <w:bottom w:val="nil"/>
              <w:right w:val="nil"/>
            </w:tcBorders>
            <w:shd w:val="clear" w:color="auto" w:fill="auto"/>
            <w:noWrap/>
            <w:vAlign w:val="bottom"/>
            <w:hideMark/>
          </w:tcPr>
          <w:p w14:paraId="1D35685D"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3,118,468</w:t>
            </w:r>
          </w:p>
        </w:tc>
      </w:tr>
      <w:tr w:rsidR="00E245BE" w:rsidRPr="00E245BE" w14:paraId="2ED5530E" w14:textId="77777777" w:rsidTr="00E245BE">
        <w:trPr>
          <w:trHeight w:val="300"/>
        </w:trPr>
        <w:tc>
          <w:tcPr>
            <w:tcW w:w="1701" w:type="dxa"/>
            <w:tcBorders>
              <w:top w:val="nil"/>
              <w:left w:val="nil"/>
              <w:bottom w:val="nil"/>
              <w:right w:val="nil"/>
            </w:tcBorders>
            <w:shd w:val="clear" w:color="auto" w:fill="auto"/>
            <w:noWrap/>
            <w:vAlign w:val="bottom"/>
            <w:hideMark/>
          </w:tcPr>
          <w:p w14:paraId="5E4208C6"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Sweden</w:t>
            </w:r>
          </w:p>
        </w:tc>
        <w:tc>
          <w:tcPr>
            <w:tcW w:w="1418" w:type="dxa"/>
            <w:tcBorders>
              <w:top w:val="nil"/>
              <w:left w:val="nil"/>
              <w:bottom w:val="nil"/>
              <w:right w:val="nil"/>
            </w:tcBorders>
            <w:shd w:val="clear" w:color="auto" w:fill="auto"/>
            <w:noWrap/>
            <w:vAlign w:val="bottom"/>
            <w:hideMark/>
          </w:tcPr>
          <w:p w14:paraId="26578E1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145,007</w:t>
            </w:r>
          </w:p>
        </w:tc>
        <w:tc>
          <w:tcPr>
            <w:tcW w:w="1276" w:type="dxa"/>
            <w:tcBorders>
              <w:top w:val="nil"/>
              <w:left w:val="nil"/>
              <w:bottom w:val="nil"/>
              <w:right w:val="nil"/>
            </w:tcBorders>
            <w:shd w:val="clear" w:color="auto" w:fill="auto"/>
            <w:noWrap/>
            <w:vAlign w:val="bottom"/>
            <w:hideMark/>
          </w:tcPr>
          <w:p w14:paraId="07F1D88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83,246</w:t>
            </w:r>
          </w:p>
        </w:tc>
        <w:tc>
          <w:tcPr>
            <w:tcW w:w="1417" w:type="dxa"/>
            <w:tcBorders>
              <w:top w:val="nil"/>
              <w:left w:val="nil"/>
              <w:bottom w:val="nil"/>
              <w:right w:val="nil"/>
            </w:tcBorders>
            <w:shd w:val="clear" w:color="auto" w:fill="auto"/>
            <w:noWrap/>
            <w:vAlign w:val="bottom"/>
            <w:hideMark/>
          </w:tcPr>
          <w:p w14:paraId="640B746C"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18" w:type="dxa"/>
            <w:tcBorders>
              <w:top w:val="nil"/>
              <w:left w:val="nil"/>
              <w:bottom w:val="nil"/>
              <w:right w:val="nil"/>
            </w:tcBorders>
            <w:shd w:val="clear" w:color="auto" w:fill="auto"/>
            <w:noWrap/>
            <w:vAlign w:val="bottom"/>
            <w:hideMark/>
          </w:tcPr>
          <w:p w14:paraId="267E4FD8"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12,110</w:t>
            </w:r>
          </w:p>
        </w:tc>
        <w:tc>
          <w:tcPr>
            <w:tcW w:w="1417" w:type="dxa"/>
            <w:tcBorders>
              <w:top w:val="nil"/>
              <w:left w:val="nil"/>
              <w:bottom w:val="nil"/>
              <w:right w:val="nil"/>
            </w:tcBorders>
            <w:shd w:val="clear" w:color="auto" w:fill="auto"/>
            <w:noWrap/>
            <w:vAlign w:val="bottom"/>
            <w:hideMark/>
          </w:tcPr>
          <w:p w14:paraId="56C9C79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85" w:type="dxa"/>
            <w:tcBorders>
              <w:top w:val="nil"/>
              <w:left w:val="nil"/>
              <w:bottom w:val="nil"/>
              <w:right w:val="nil"/>
            </w:tcBorders>
            <w:shd w:val="clear" w:color="auto" w:fill="auto"/>
            <w:noWrap/>
            <w:vAlign w:val="bottom"/>
            <w:hideMark/>
          </w:tcPr>
          <w:p w14:paraId="15F9E51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240,364</w:t>
            </w:r>
          </w:p>
        </w:tc>
      </w:tr>
      <w:tr w:rsidR="00E245BE" w:rsidRPr="00E245BE" w14:paraId="450BF34F" w14:textId="77777777" w:rsidTr="00E245BE">
        <w:trPr>
          <w:trHeight w:val="300"/>
        </w:trPr>
        <w:tc>
          <w:tcPr>
            <w:tcW w:w="1701" w:type="dxa"/>
            <w:tcBorders>
              <w:top w:val="nil"/>
              <w:left w:val="nil"/>
              <w:bottom w:val="nil"/>
              <w:right w:val="nil"/>
            </w:tcBorders>
            <w:shd w:val="clear" w:color="auto" w:fill="auto"/>
            <w:noWrap/>
            <w:vAlign w:val="bottom"/>
            <w:hideMark/>
          </w:tcPr>
          <w:p w14:paraId="48E01B6C"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Tunisia</w:t>
            </w:r>
          </w:p>
        </w:tc>
        <w:tc>
          <w:tcPr>
            <w:tcW w:w="1418" w:type="dxa"/>
            <w:tcBorders>
              <w:top w:val="nil"/>
              <w:left w:val="nil"/>
              <w:bottom w:val="nil"/>
              <w:right w:val="nil"/>
            </w:tcBorders>
            <w:shd w:val="clear" w:color="auto" w:fill="auto"/>
            <w:noWrap/>
            <w:vAlign w:val="bottom"/>
            <w:hideMark/>
          </w:tcPr>
          <w:p w14:paraId="5888E82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177,951</w:t>
            </w:r>
          </w:p>
        </w:tc>
        <w:tc>
          <w:tcPr>
            <w:tcW w:w="1276" w:type="dxa"/>
            <w:tcBorders>
              <w:top w:val="nil"/>
              <w:left w:val="nil"/>
              <w:bottom w:val="nil"/>
              <w:right w:val="nil"/>
            </w:tcBorders>
            <w:shd w:val="clear" w:color="auto" w:fill="auto"/>
            <w:noWrap/>
            <w:vAlign w:val="bottom"/>
            <w:hideMark/>
          </w:tcPr>
          <w:p w14:paraId="174026C6"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57,371</w:t>
            </w:r>
          </w:p>
        </w:tc>
        <w:tc>
          <w:tcPr>
            <w:tcW w:w="1417" w:type="dxa"/>
            <w:tcBorders>
              <w:top w:val="nil"/>
              <w:left w:val="nil"/>
              <w:bottom w:val="nil"/>
              <w:right w:val="nil"/>
            </w:tcBorders>
            <w:shd w:val="clear" w:color="auto" w:fill="auto"/>
            <w:noWrap/>
            <w:vAlign w:val="bottom"/>
            <w:hideMark/>
          </w:tcPr>
          <w:p w14:paraId="131C294A"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38,310</w:t>
            </w:r>
          </w:p>
        </w:tc>
        <w:tc>
          <w:tcPr>
            <w:tcW w:w="1418" w:type="dxa"/>
            <w:tcBorders>
              <w:top w:val="nil"/>
              <w:left w:val="nil"/>
              <w:bottom w:val="nil"/>
              <w:right w:val="nil"/>
            </w:tcBorders>
            <w:shd w:val="clear" w:color="auto" w:fill="auto"/>
            <w:noWrap/>
            <w:vAlign w:val="bottom"/>
            <w:hideMark/>
          </w:tcPr>
          <w:p w14:paraId="3A68A79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254,177</w:t>
            </w:r>
          </w:p>
        </w:tc>
        <w:tc>
          <w:tcPr>
            <w:tcW w:w="1417" w:type="dxa"/>
            <w:tcBorders>
              <w:top w:val="nil"/>
              <w:left w:val="nil"/>
              <w:bottom w:val="nil"/>
              <w:right w:val="nil"/>
            </w:tcBorders>
            <w:shd w:val="clear" w:color="auto" w:fill="auto"/>
            <w:noWrap/>
            <w:vAlign w:val="bottom"/>
            <w:hideMark/>
          </w:tcPr>
          <w:p w14:paraId="5BF13B8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30,226</w:t>
            </w:r>
          </w:p>
        </w:tc>
        <w:tc>
          <w:tcPr>
            <w:tcW w:w="1485" w:type="dxa"/>
            <w:tcBorders>
              <w:top w:val="nil"/>
              <w:left w:val="nil"/>
              <w:bottom w:val="nil"/>
              <w:right w:val="nil"/>
            </w:tcBorders>
            <w:shd w:val="clear" w:color="auto" w:fill="auto"/>
            <w:noWrap/>
            <w:vAlign w:val="bottom"/>
            <w:hideMark/>
          </w:tcPr>
          <w:p w14:paraId="5086237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558,035</w:t>
            </w:r>
          </w:p>
        </w:tc>
      </w:tr>
      <w:tr w:rsidR="00E245BE" w:rsidRPr="00E245BE" w14:paraId="1E0C93D6" w14:textId="77777777" w:rsidTr="00E245BE">
        <w:trPr>
          <w:trHeight w:val="300"/>
        </w:trPr>
        <w:tc>
          <w:tcPr>
            <w:tcW w:w="1701" w:type="dxa"/>
            <w:tcBorders>
              <w:top w:val="nil"/>
              <w:left w:val="nil"/>
              <w:bottom w:val="nil"/>
              <w:right w:val="nil"/>
            </w:tcBorders>
            <w:shd w:val="clear" w:color="auto" w:fill="auto"/>
            <w:noWrap/>
            <w:vAlign w:val="bottom"/>
            <w:hideMark/>
          </w:tcPr>
          <w:p w14:paraId="7681FE6E"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United Kingdom</w:t>
            </w:r>
          </w:p>
        </w:tc>
        <w:tc>
          <w:tcPr>
            <w:tcW w:w="1418" w:type="dxa"/>
            <w:tcBorders>
              <w:top w:val="nil"/>
              <w:left w:val="nil"/>
              <w:bottom w:val="nil"/>
              <w:right w:val="nil"/>
            </w:tcBorders>
            <w:shd w:val="clear" w:color="auto" w:fill="auto"/>
            <w:noWrap/>
            <w:vAlign w:val="bottom"/>
            <w:hideMark/>
          </w:tcPr>
          <w:p w14:paraId="740AAEE7"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2,323,478</w:t>
            </w:r>
          </w:p>
        </w:tc>
        <w:tc>
          <w:tcPr>
            <w:tcW w:w="1276" w:type="dxa"/>
            <w:tcBorders>
              <w:top w:val="nil"/>
              <w:left w:val="nil"/>
              <w:bottom w:val="nil"/>
              <w:right w:val="nil"/>
            </w:tcBorders>
            <w:shd w:val="clear" w:color="auto" w:fill="auto"/>
            <w:noWrap/>
            <w:vAlign w:val="bottom"/>
            <w:hideMark/>
          </w:tcPr>
          <w:p w14:paraId="58E4D85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1,540,352</w:t>
            </w:r>
          </w:p>
        </w:tc>
        <w:tc>
          <w:tcPr>
            <w:tcW w:w="1417" w:type="dxa"/>
            <w:tcBorders>
              <w:top w:val="nil"/>
              <w:left w:val="nil"/>
              <w:bottom w:val="nil"/>
              <w:right w:val="nil"/>
            </w:tcBorders>
            <w:shd w:val="clear" w:color="auto" w:fill="auto"/>
            <w:noWrap/>
            <w:vAlign w:val="bottom"/>
            <w:hideMark/>
          </w:tcPr>
          <w:p w14:paraId="5E4B73C4"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18" w:type="dxa"/>
            <w:tcBorders>
              <w:top w:val="nil"/>
              <w:left w:val="nil"/>
              <w:bottom w:val="nil"/>
              <w:right w:val="nil"/>
            </w:tcBorders>
            <w:shd w:val="clear" w:color="auto" w:fill="auto"/>
            <w:noWrap/>
            <w:vAlign w:val="bottom"/>
            <w:hideMark/>
          </w:tcPr>
          <w:p w14:paraId="0FA505F7"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3,584,824</w:t>
            </w:r>
          </w:p>
        </w:tc>
        <w:tc>
          <w:tcPr>
            <w:tcW w:w="1417" w:type="dxa"/>
            <w:tcBorders>
              <w:top w:val="nil"/>
              <w:left w:val="nil"/>
              <w:bottom w:val="nil"/>
              <w:right w:val="nil"/>
            </w:tcBorders>
            <w:shd w:val="clear" w:color="auto" w:fill="auto"/>
            <w:noWrap/>
            <w:vAlign w:val="bottom"/>
            <w:hideMark/>
          </w:tcPr>
          <w:p w14:paraId="48E28D7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0</w:t>
            </w:r>
          </w:p>
        </w:tc>
        <w:tc>
          <w:tcPr>
            <w:tcW w:w="1485" w:type="dxa"/>
            <w:tcBorders>
              <w:top w:val="nil"/>
              <w:left w:val="nil"/>
              <w:bottom w:val="nil"/>
              <w:right w:val="nil"/>
            </w:tcBorders>
            <w:shd w:val="clear" w:color="auto" w:fill="auto"/>
            <w:noWrap/>
            <w:vAlign w:val="bottom"/>
            <w:hideMark/>
          </w:tcPr>
          <w:p w14:paraId="365961E0"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7,448,654</w:t>
            </w:r>
          </w:p>
        </w:tc>
      </w:tr>
      <w:tr w:rsidR="00E245BE" w:rsidRPr="00E245BE" w14:paraId="1FE6A1CA" w14:textId="77777777" w:rsidTr="00E245BE">
        <w:trPr>
          <w:trHeight w:val="300"/>
        </w:trPr>
        <w:tc>
          <w:tcPr>
            <w:tcW w:w="1701" w:type="dxa"/>
            <w:tcBorders>
              <w:top w:val="single" w:sz="4" w:space="0" w:color="auto"/>
              <w:left w:val="nil"/>
              <w:bottom w:val="single" w:sz="4" w:space="0" w:color="auto"/>
              <w:right w:val="nil"/>
            </w:tcBorders>
            <w:shd w:val="clear" w:color="auto" w:fill="auto"/>
            <w:noWrap/>
            <w:vAlign w:val="bottom"/>
            <w:hideMark/>
          </w:tcPr>
          <w:p w14:paraId="63903AD4" w14:textId="77777777" w:rsidR="00E245BE" w:rsidRPr="00E245BE" w:rsidRDefault="00E245BE" w:rsidP="00E245BE">
            <w:pPr>
              <w:spacing w:after="0" w:line="240" w:lineRule="auto"/>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TOTAL</w:t>
            </w:r>
          </w:p>
        </w:tc>
        <w:tc>
          <w:tcPr>
            <w:tcW w:w="1418" w:type="dxa"/>
            <w:tcBorders>
              <w:top w:val="single" w:sz="4" w:space="0" w:color="auto"/>
              <w:left w:val="nil"/>
              <w:bottom w:val="single" w:sz="4" w:space="0" w:color="auto"/>
              <w:right w:val="nil"/>
            </w:tcBorders>
            <w:shd w:val="clear" w:color="auto" w:fill="auto"/>
            <w:noWrap/>
            <w:vAlign w:val="bottom"/>
            <w:hideMark/>
          </w:tcPr>
          <w:p w14:paraId="2F2DB8CC"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17,155,720</w:t>
            </w:r>
          </w:p>
        </w:tc>
        <w:tc>
          <w:tcPr>
            <w:tcW w:w="1276" w:type="dxa"/>
            <w:tcBorders>
              <w:top w:val="single" w:sz="4" w:space="0" w:color="auto"/>
              <w:left w:val="nil"/>
              <w:bottom w:val="single" w:sz="4" w:space="0" w:color="auto"/>
              <w:right w:val="nil"/>
            </w:tcBorders>
            <w:shd w:val="clear" w:color="auto" w:fill="auto"/>
            <w:noWrap/>
            <w:vAlign w:val="bottom"/>
            <w:hideMark/>
          </w:tcPr>
          <w:p w14:paraId="08174587"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9,306,113</w:t>
            </w:r>
          </w:p>
        </w:tc>
        <w:tc>
          <w:tcPr>
            <w:tcW w:w="1417" w:type="dxa"/>
            <w:tcBorders>
              <w:top w:val="single" w:sz="4" w:space="0" w:color="auto"/>
              <w:left w:val="nil"/>
              <w:bottom w:val="single" w:sz="4" w:space="0" w:color="auto"/>
              <w:right w:val="nil"/>
            </w:tcBorders>
            <w:shd w:val="clear" w:color="auto" w:fill="auto"/>
            <w:noWrap/>
            <w:vAlign w:val="bottom"/>
            <w:hideMark/>
          </w:tcPr>
          <w:p w14:paraId="7FD2F03B"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2,460,742</w:t>
            </w:r>
          </w:p>
        </w:tc>
        <w:tc>
          <w:tcPr>
            <w:tcW w:w="1418" w:type="dxa"/>
            <w:tcBorders>
              <w:top w:val="single" w:sz="4" w:space="0" w:color="auto"/>
              <w:left w:val="nil"/>
              <w:bottom w:val="single" w:sz="4" w:space="0" w:color="auto"/>
              <w:right w:val="nil"/>
            </w:tcBorders>
            <w:shd w:val="clear" w:color="auto" w:fill="auto"/>
            <w:noWrap/>
            <w:vAlign w:val="bottom"/>
            <w:hideMark/>
          </w:tcPr>
          <w:p w14:paraId="5A56FD5F"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7,997,228</w:t>
            </w:r>
          </w:p>
        </w:tc>
        <w:tc>
          <w:tcPr>
            <w:tcW w:w="1417" w:type="dxa"/>
            <w:tcBorders>
              <w:top w:val="single" w:sz="4" w:space="0" w:color="auto"/>
              <w:left w:val="nil"/>
              <w:bottom w:val="single" w:sz="4" w:space="0" w:color="auto"/>
              <w:right w:val="nil"/>
            </w:tcBorders>
            <w:shd w:val="clear" w:color="auto" w:fill="auto"/>
            <w:noWrap/>
            <w:vAlign w:val="bottom"/>
            <w:hideMark/>
          </w:tcPr>
          <w:p w14:paraId="5642FBC1"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1,137,720</w:t>
            </w:r>
          </w:p>
        </w:tc>
        <w:tc>
          <w:tcPr>
            <w:tcW w:w="1485" w:type="dxa"/>
            <w:tcBorders>
              <w:top w:val="single" w:sz="4" w:space="0" w:color="auto"/>
              <w:left w:val="nil"/>
              <w:bottom w:val="single" w:sz="4" w:space="0" w:color="auto"/>
              <w:right w:val="nil"/>
            </w:tcBorders>
            <w:shd w:val="clear" w:color="auto" w:fill="auto"/>
            <w:noWrap/>
            <w:vAlign w:val="bottom"/>
            <w:hideMark/>
          </w:tcPr>
          <w:p w14:paraId="62C0F793" w14:textId="77777777" w:rsidR="00E245BE" w:rsidRPr="00E245BE" w:rsidRDefault="00E245BE" w:rsidP="00E245BE">
            <w:pPr>
              <w:spacing w:after="0" w:line="240" w:lineRule="auto"/>
              <w:jc w:val="right"/>
              <w:rPr>
                <w:rFonts w:ascii="Calibri" w:eastAsia="Times New Roman" w:hAnsi="Calibri" w:cs="Calibri"/>
                <w:color w:val="000000"/>
                <w:lang w:val="en-GB" w:eastAsia="en-GB"/>
              </w:rPr>
            </w:pPr>
            <w:r w:rsidRPr="00E245BE">
              <w:rPr>
                <w:rFonts w:ascii="Calibri" w:eastAsia="Times New Roman" w:hAnsi="Calibri" w:cs="Calibri"/>
                <w:color w:val="000000"/>
                <w:lang w:val="en-GB" w:eastAsia="en-GB"/>
              </w:rPr>
              <w:t>38,057,523</w:t>
            </w:r>
          </w:p>
        </w:tc>
      </w:tr>
    </w:tbl>
    <w:p w14:paraId="4C0533F3" w14:textId="77777777" w:rsidR="00E245BE" w:rsidRDefault="00E245BE" w:rsidP="00CF6817">
      <w:pPr>
        <w:spacing w:line="240" w:lineRule="auto"/>
        <w:jc w:val="both"/>
        <w:rPr>
          <w:lang w:val="en-GB"/>
        </w:rPr>
      </w:pPr>
    </w:p>
    <w:p w14:paraId="2480D23C" w14:textId="49253041" w:rsidR="00E245BE" w:rsidRDefault="00E245BE">
      <w:pPr>
        <w:rPr>
          <w:lang w:val="en-GB"/>
        </w:rPr>
      </w:pPr>
      <w:r>
        <w:rPr>
          <w:lang w:val="en-GB"/>
        </w:rPr>
        <w:br w:type="page"/>
      </w:r>
    </w:p>
    <w:p w14:paraId="32B90B6D" w14:textId="77777777" w:rsidR="00E245BE" w:rsidRDefault="00E245BE" w:rsidP="00CF6817">
      <w:pPr>
        <w:spacing w:line="240" w:lineRule="auto"/>
        <w:jc w:val="both"/>
        <w:rPr>
          <w:lang w:val="en-GB"/>
        </w:rPr>
      </w:pPr>
    </w:p>
    <w:p w14:paraId="162FA082" w14:textId="4BA21808" w:rsidR="00CF6817" w:rsidRDefault="00CF6817" w:rsidP="00CF6817">
      <w:pPr>
        <w:spacing w:line="240" w:lineRule="auto"/>
        <w:jc w:val="both"/>
        <w:rPr>
          <w:lang w:val="en-GB"/>
        </w:rPr>
      </w:pPr>
      <w:r w:rsidRPr="005F73F7">
        <w:rPr>
          <w:lang w:val="en-GB"/>
        </w:rPr>
        <w:t>Table 5. Overall annual cost (</w:t>
      </w:r>
      <w:r w:rsidRPr="005F73F7">
        <w:rPr>
          <w:rFonts w:cstheme="minorHAnsi"/>
          <w:lang w:val="en-GB"/>
        </w:rPr>
        <w:t>€</w:t>
      </w:r>
      <w:r w:rsidRPr="005F73F7">
        <w:rPr>
          <w:lang w:val="en-GB"/>
        </w:rPr>
        <w:t>) of helminth infections in 18 COMBAR countries and estimated annual national public research budgets (excl. research at European level) towards improved control of these infections.</w:t>
      </w:r>
    </w:p>
    <w:tbl>
      <w:tblPr>
        <w:tblW w:w="6783" w:type="dxa"/>
        <w:tblLook w:val="04A0" w:firstRow="1" w:lastRow="0" w:firstColumn="1" w:lastColumn="0" w:noHBand="0" w:noVBand="1"/>
      </w:tblPr>
      <w:tblGrid>
        <w:gridCol w:w="1800"/>
        <w:gridCol w:w="2023"/>
        <w:gridCol w:w="1984"/>
        <w:gridCol w:w="976"/>
      </w:tblGrid>
      <w:tr w:rsidR="00CF6817" w:rsidRPr="001A4893" w14:paraId="776B085B" w14:textId="77777777" w:rsidTr="0054052D">
        <w:trPr>
          <w:trHeight w:val="300"/>
        </w:trPr>
        <w:tc>
          <w:tcPr>
            <w:tcW w:w="1800" w:type="dxa"/>
            <w:tcBorders>
              <w:top w:val="single" w:sz="4" w:space="0" w:color="auto"/>
              <w:left w:val="single" w:sz="4" w:space="0" w:color="A6A6A6"/>
              <w:bottom w:val="single" w:sz="4" w:space="0" w:color="auto"/>
              <w:right w:val="single" w:sz="4" w:space="0" w:color="A6A6A6"/>
            </w:tcBorders>
            <w:shd w:val="clear" w:color="auto" w:fill="auto"/>
            <w:noWrap/>
            <w:vAlign w:val="bottom"/>
            <w:hideMark/>
          </w:tcPr>
          <w:p w14:paraId="3C2D5898" w14:textId="77777777" w:rsidR="00CF6817" w:rsidRPr="001A4893" w:rsidRDefault="00CF6817" w:rsidP="0054052D">
            <w:pPr>
              <w:spacing w:after="0" w:line="240" w:lineRule="auto"/>
              <w:jc w:val="center"/>
              <w:rPr>
                <w:rFonts w:ascii="Calibri" w:eastAsia="Times New Roman" w:hAnsi="Calibri" w:cs="Calibri"/>
                <w:b/>
                <w:bCs/>
                <w:color w:val="333333"/>
                <w:lang w:val="en-GB" w:eastAsia="en-GB"/>
              </w:rPr>
            </w:pPr>
            <w:r w:rsidRPr="001A4893">
              <w:rPr>
                <w:rFonts w:ascii="Calibri" w:eastAsia="Times New Roman" w:hAnsi="Calibri" w:cs="Calibri"/>
                <w:b/>
                <w:bCs/>
                <w:color w:val="333333"/>
                <w:lang w:val="en-GB" w:eastAsia="en-GB"/>
              </w:rPr>
              <w:t>Country</w:t>
            </w:r>
          </w:p>
        </w:tc>
        <w:tc>
          <w:tcPr>
            <w:tcW w:w="2023" w:type="dxa"/>
            <w:tcBorders>
              <w:top w:val="single" w:sz="4" w:space="0" w:color="auto"/>
              <w:left w:val="nil"/>
              <w:bottom w:val="single" w:sz="4" w:space="0" w:color="auto"/>
              <w:right w:val="nil"/>
            </w:tcBorders>
            <w:shd w:val="clear" w:color="auto" w:fill="auto"/>
            <w:noWrap/>
            <w:vAlign w:val="bottom"/>
            <w:hideMark/>
          </w:tcPr>
          <w:p w14:paraId="32AC8FFE" w14:textId="77777777" w:rsidR="00CF6817" w:rsidRPr="001A4893" w:rsidRDefault="00CF6817" w:rsidP="0054052D">
            <w:pPr>
              <w:spacing w:after="0" w:line="240" w:lineRule="auto"/>
              <w:jc w:val="center"/>
              <w:rPr>
                <w:rFonts w:ascii="Calibri" w:eastAsia="Times New Roman" w:hAnsi="Calibri" w:cs="Calibri"/>
                <w:b/>
                <w:bCs/>
                <w:color w:val="000000"/>
                <w:lang w:val="en-GB" w:eastAsia="en-GB"/>
              </w:rPr>
            </w:pPr>
            <w:r w:rsidRPr="001A4893">
              <w:rPr>
                <w:rFonts w:ascii="Calibri" w:eastAsia="Times New Roman" w:hAnsi="Calibri" w:cs="Calibri"/>
                <w:b/>
                <w:bCs/>
                <w:color w:val="000000"/>
                <w:lang w:val="en-GB" w:eastAsia="en-GB"/>
              </w:rPr>
              <w:t>Cost of infection</w:t>
            </w:r>
          </w:p>
        </w:tc>
        <w:tc>
          <w:tcPr>
            <w:tcW w:w="1984" w:type="dxa"/>
            <w:tcBorders>
              <w:top w:val="single" w:sz="4" w:space="0" w:color="auto"/>
              <w:left w:val="nil"/>
              <w:bottom w:val="single" w:sz="4" w:space="0" w:color="auto"/>
              <w:right w:val="nil"/>
            </w:tcBorders>
            <w:shd w:val="clear" w:color="auto" w:fill="auto"/>
            <w:noWrap/>
            <w:vAlign w:val="bottom"/>
            <w:hideMark/>
          </w:tcPr>
          <w:p w14:paraId="211CD5C6" w14:textId="77777777" w:rsidR="00CF6817" w:rsidRPr="001A4893" w:rsidRDefault="00CF6817" w:rsidP="0054052D">
            <w:pPr>
              <w:spacing w:after="0" w:line="240" w:lineRule="auto"/>
              <w:jc w:val="center"/>
              <w:rPr>
                <w:rFonts w:ascii="Calibri" w:eastAsia="Times New Roman" w:hAnsi="Calibri" w:cs="Calibri"/>
                <w:b/>
                <w:bCs/>
                <w:color w:val="000000"/>
                <w:lang w:val="en-GB" w:eastAsia="en-GB"/>
              </w:rPr>
            </w:pPr>
            <w:r w:rsidRPr="001A4893">
              <w:rPr>
                <w:rFonts w:ascii="Calibri" w:eastAsia="Times New Roman" w:hAnsi="Calibri" w:cs="Calibri"/>
                <w:b/>
                <w:bCs/>
                <w:color w:val="000000"/>
                <w:lang w:val="en-GB" w:eastAsia="en-GB"/>
              </w:rPr>
              <w:t>Research budget</w:t>
            </w:r>
          </w:p>
        </w:tc>
        <w:tc>
          <w:tcPr>
            <w:tcW w:w="976" w:type="dxa"/>
            <w:tcBorders>
              <w:top w:val="single" w:sz="4" w:space="0" w:color="auto"/>
              <w:left w:val="nil"/>
              <w:bottom w:val="single" w:sz="4" w:space="0" w:color="auto"/>
              <w:right w:val="nil"/>
            </w:tcBorders>
            <w:shd w:val="clear" w:color="auto" w:fill="auto"/>
            <w:noWrap/>
            <w:vAlign w:val="bottom"/>
            <w:hideMark/>
          </w:tcPr>
          <w:p w14:paraId="6A41BFE1" w14:textId="77777777" w:rsidR="00CF6817" w:rsidRPr="001A4893" w:rsidRDefault="00CF6817" w:rsidP="0054052D">
            <w:pPr>
              <w:spacing w:after="0" w:line="240" w:lineRule="auto"/>
              <w:jc w:val="center"/>
              <w:rPr>
                <w:rFonts w:ascii="Calibri" w:eastAsia="Times New Roman" w:hAnsi="Calibri" w:cs="Calibri"/>
                <w:b/>
                <w:bCs/>
                <w:lang w:val="en-GB" w:eastAsia="en-GB"/>
              </w:rPr>
            </w:pPr>
            <w:r w:rsidRPr="001A4893">
              <w:rPr>
                <w:rFonts w:ascii="Calibri" w:eastAsia="Times New Roman" w:hAnsi="Calibri" w:cs="Calibri"/>
                <w:b/>
                <w:bCs/>
                <w:lang w:val="en-GB" w:eastAsia="en-GB"/>
              </w:rPr>
              <w:t>%</w:t>
            </w:r>
          </w:p>
        </w:tc>
      </w:tr>
      <w:tr w:rsidR="00CF6817" w:rsidRPr="001A4893" w14:paraId="77A2B1B9" w14:textId="77777777" w:rsidTr="0054052D">
        <w:trPr>
          <w:trHeight w:val="300"/>
        </w:trPr>
        <w:tc>
          <w:tcPr>
            <w:tcW w:w="1800" w:type="dxa"/>
            <w:tcBorders>
              <w:top w:val="nil"/>
              <w:left w:val="nil"/>
              <w:bottom w:val="nil"/>
              <w:right w:val="nil"/>
            </w:tcBorders>
            <w:shd w:val="clear" w:color="auto" w:fill="auto"/>
            <w:noWrap/>
            <w:vAlign w:val="bottom"/>
            <w:hideMark/>
          </w:tcPr>
          <w:p w14:paraId="602C814B"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Austria</w:t>
            </w:r>
          </w:p>
        </w:tc>
        <w:tc>
          <w:tcPr>
            <w:tcW w:w="2023" w:type="dxa"/>
            <w:tcBorders>
              <w:top w:val="nil"/>
              <w:left w:val="nil"/>
              <w:bottom w:val="nil"/>
              <w:right w:val="nil"/>
            </w:tcBorders>
            <w:shd w:val="clear" w:color="auto" w:fill="auto"/>
            <w:noWrap/>
            <w:vAlign w:val="bottom"/>
            <w:hideMark/>
          </w:tcPr>
          <w:p w14:paraId="26690C5D"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31,196,200</w:t>
            </w:r>
          </w:p>
        </w:tc>
        <w:tc>
          <w:tcPr>
            <w:tcW w:w="1984" w:type="dxa"/>
            <w:tcBorders>
              <w:top w:val="nil"/>
              <w:left w:val="nil"/>
              <w:bottom w:val="nil"/>
              <w:right w:val="nil"/>
            </w:tcBorders>
            <w:shd w:val="clear" w:color="auto" w:fill="auto"/>
            <w:noWrap/>
            <w:vAlign w:val="bottom"/>
            <w:hideMark/>
          </w:tcPr>
          <w:p w14:paraId="270C17C4"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15F874BA"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0283FCF7" w14:textId="77777777" w:rsidTr="0054052D">
        <w:trPr>
          <w:trHeight w:val="300"/>
        </w:trPr>
        <w:tc>
          <w:tcPr>
            <w:tcW w:w="1800" w:type="dxa"/>
            <w:tcBorders>
              <w:top w:val="nil"/>
              <w:left w:val="nil"/>
              <w:bottom w:val="nil"/>
              <w:right w:val="nil"/>
            </w:tcBorders>
            <w:shd w:val="clear" w:color="auto" w:fill="auto"/>
            <w:noWrap/>
            <w:vAlign w:val="bottom"/>
            <w:hideMark/>
          </w:tcPr>
          <w:p w14:paraId="37890237"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Belgium</w:t>
            </w:r>
          </w:p>
        </w:tc>
        <w:tc>
          <w:tcPr>
            <w:tcW w:w="2023" w:type="dxa"/>
            <w:tcBorders>
              <w:top w:val="nil"/>
              <w:left w:val="nil"/>
              <w:bottom w:val="nil"/>
              <w:right w:val="nil"/>
            </w:tcBorders>
            <w:shd w:val="clear" w:color="auto" w:fill="auto"/>
            <w:noWrap/>
            <w:vAlign w:val="bottom"/>
            <w:hideMark/>
          </w:tcPr>
          <w:p w14:paraId="1E26C323" w14:textId="77777777" w:rsidR="00CF6817" w:rsidRPr="001A4893" w:rsidRDefault="00CF6817" w:rsidP="0054052D">
            <w:pPr>
              <w:spacing w:after="0" w:line="240" w:lineRule="auto"/>
              <w:jc w:val="right"/>
              <w:rPr>
                <w:rFonts w:ascii="Calibri" w:eastAsia="Times New Roman" w:hAnsi="Calibri" w:cs="Calibri"/>
                <w:lang w:val="en-GB" w:eastAsia="en-GB"/>
              </w:rPr>
            </w:pPr>
            <w:r w:rsidRPr="001A4893">
              <w:rPr>
                <w:rFonts w:ascii="Calibri" w:eastAsia="Times New Roman" w:hAnsi="Calibri" w:cs="Calibri"/>
                <w:lang w:val="en-GB" w:eastAsia="en-GB"/>
              </w:rPr>
              <w:t>42,342,512</w:t>
            </w:r>
          </w:p>
        </w:tc>
        <w:tc>
          <w:tcPr>
            <w:tcW w:w="1984" w:type="dxa"/>
            <w:tcBorders>
              <w:top w:val="nil"/>
              <w:left w:val="nil"/>
              <w:bottom w:val="nil"/>
              <w:right w:val="nil"/>
            </w:tcBorders>
            <w:shd w:val="clear" w:color="auto" w:fill="auto"/>
            <w:noWrap/>
            <w:vAlign w:val="bottom"/>
            <w:hideMark/>
          </w:tcPr>
          <w:p w14:paraId="5018D04F" w14:textId="77777777" w:rsidR="00CF6817" w:rsidRPr="001A4893" w:rsidRDefault="00CF6817" w:rsidP="0054052D">
            <w:pPr>
              <w:spacing w:after="0" w:line="240" w:lineRule="auto"/>
              <w:jc w:val="right"/>
              <w:rPr>
                <w:rFonts w:ascii="Calibri" w:eastAsia="Times New Roman" w:hAnsi="Calibri" w:cs="Calibri"/>
                <w:lang w:val="en-GB" w:eastAsia="en-GB"/>
              </w:rPr>
            </w:pPr>
            <w:r w:rsidRPr="001A4893">
              <w:rPr>
                <w:rFonts w:ascii="Calibri" w:eastAsia="Times New Roman" w:hAnsi="Calibri" w:cs="Calibri"/>
                <w:lang w:val="en-GB" w:eastAsia="en-GB"/>
              </w:rPr>
              <w:t>107,028</w:t>
            </w:r>
          </w:p>
        </w:tc>
        <w:tc>
          <w:tcPr>
            <w:tcW w:w="976" w:type="dxa"/>
            <w:tcBorders>
              <w:top w:val="nil"/>
              <w:left w:val="nil"/>
              <w:bottom w:val="nil"/>
              <w:right w:val="nil"/>
            </w:tcBorders>
            <w:shd w:val="clear" w:color="auto" w:fill="auto"/>
            <w:noWrap/>
            <w:vAlign w:val="bottom"/>
            <w:hideMark/>
          </w:tcPr>
          <w:p w14:paraId="62FC422F"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0.25</w:t>
            </w:r>
          </w:p>
        </w:tc>
      </w:tr>
      <w:tr w:rsidR="00CF6817" w:rsidRPr="001A4893" w14:paraId="1CD0F58E" w14:textId="77777777" w:rsidTr="0054052D">
        <w:trPr>
          <w:trHeight w:val="300"/>
        </w:trPr>
        <w:tc>
          <w:tcPr>
            <w:tcW w:w="1800" w:type="dxa"/>
            <w:tcBorders>
              <w:top w:val="nil"/>
              <w:left w:val="nil"/>
              <w:bottom w:val="nil"/>
              <w:right w:val="nil"/>
            </w:tcBorders>
            <w:shd w:val="clear" w:color="auto" w:fill="auto"/>
            <w:noWrap/>
            <w:vAlign w:val="bottom"/>
            <w:hideMark/>
          </w:tcPr>
          <w:p w14:paraId="1C8C34D3"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France</w:t>
            </w:r>
          </w:p>
        </w:tc>
        <w:tc>
          <w:tcPr>
            <w:tcW w:w="2023" w:type="dxa"/>
            <w:tcBorders>
              <w:top w:val="nil"/>
              <w:left w:val="nil"/>
              <w:bottom w:val="nil"/>
              <w:right w:val="nil"/>
            </w:tcBorders>
            <w:shd w:val="clear" w:color="auto" w:fill="auto"/>
            <w:noWrap/>
            <w:vAlign w:val="bottom"/>
            <w:hideMark/>
          </w:tcPr>
          <w:p w14:paraId="49D332C2"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440,015,471</w:t>
            </w:r>
          </w:p>
        </w:tc>
        <w:tc>
          <w:tcPr>
            <w:tcW w:w="1984" w:type="dxa"/>
            <w:tcBorders>
              <w:top w:val="nil"/>
              <w:left w:val="nil"/>
              <w:bottom w:val="nil"/>
              <w:right w:val="nil"/>
            </w:tcBorders>
            <w:shd w:val="clear" w:color="auto" w:fill="auto"/>
            <w:noWrap/>
            <w:vAlign w:val="bottom"/>
            <w:hideMark/>
          </w:tcPr>
          <w:p w14:paraId="464F1E7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50,000</w:t>
            </w:r>
          </w:p>
        </w:tc>
        <w:tc>
          <w:tcPr>
            <w:tcW w:w="976" w:type="dxa"/>
            <w:tcBorders>
              <w:top w:val="nil"/>
              <w:left w:val="nil"/>
              <w:bottom w:val="nil"/>
              <w:right w:val="nil"/>
            </w:tcBorders>
            <w:shd w:val="clear" w:color="auto" w:fill="auto"/>
            <w:noWrap/>
            <w:vAlign w:val="bottom"/>
            <w:hideMark/>
          </w:tcPr>
          <w:p w14:paraId="64514500"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0.01</w:t>
            </w:r>
          </w:p>
        </w:tc>
      </w:tr>
      <w:tr w:rsidR="00CF6817" w:rsidRPr="001A4893" w14:paraId="1D7CA1AC" w14:textId="77777777" w:rsidTr="0054052D">
        <w:trPr>
          <w:trHeight w:val="300"/>
        </w:trPr>
        <w:tc>
          <w:tcPr>
            <w:tcW w:w="1800" w:type="dxa"/>
            <w:tcBorders>
              <w:top w:val="nil"/>
              <w:left w:val="nil"/>
              <w:bottom w:val="nil"/>
              <w:right w:val="nil"/>
            </w:tcBorders>
            <w:shd w:val="clear" w:color="auto" w:fill="auto"/>
            <w:noWrap/>
            <w:vAlign w:val="bottom"/>
            <w:hideMark/>
          </w:tcPr>
          <w:p w14:paraId="17691949"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Germany</w:t>
            </w:r>
          </w:p>
        </w:tc>
        <w:tc>
          <w:tcPr>
            <w:tcW w:w="2023" w:type="dxa"/>
            <w:tcBorders>
              <w:top w:val="nil"/>
              <w:left w:val="nil"/>
              <w:bottom w:val="nil"/>
              <w:right w:val="nil"/>
            </w:tcBorders>
            <w:shd w:val="clear" w:color="auto" w:fill="auto"/>
            <w:noWrap/>
            <w:vAlign w:val="bottom"/>
            <w:hideMark/>
          </w:tcPr>
          <w:p w14:paraId="35FBD10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145,784,602</w:t>
            </w:r>
          </w:p>
        </w:tc>
        <w:tc>
          <w:tcPr>
            <w:tcW w:w="1984" w:type="dxa"/>
            <w:tcBorders>
              <w:top w:val="nil"/>
              <w:left w:val="nil"/>
              <w:bottom w:val="nil"/>
              <w:right w:val="nil"/>
            </w:tcBorders>
            <w:shd w:val="clear" w:color="auto" w:fill="auto"/>
            <w:noWrap/>
            <w:vAlign w:val="bottom"/>
            <w:hideMark/>
          </w:tcPr>
          <w:p w14:paraId="188F96C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56,896</w:t>
            </w:r>
          </w:p>
        </w:tc>
        <w:tc>
          <w:tcPr>
            <w:tcW w:w="976" w:type="dxa"/>
            <w:tcBorders>
              <w:top w:val="nil"/>
              <w:left w:val="nil"/>
              <w:bottom w:val="nil"/>
              <w:right w:val="nil"/>
            </w:tcBorders>
            <w:shd w:val="clear" w:color="auto" w:fill="auto"/>
            <w:noWrap/>
            <w:vAlign w:val="bottom"/>
            <w:hideMark/>
          </w:tcPr>
          <w:p w14:paraId="5798D6FE"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0.04</w:t>
            </w:r>
          </w:p>
        </w:tc>
      </w:tr>
      <w:tr w:rsidR="00CF6817" w:rsidRPr="001A4893" w14:paraId="039A29A5" w14:textId="77777777" w:rsidTr="0054052D">
        <w:trPr>
          <w:trHeight w:val="300"/>
        </w:trPr>
        <w:tc>
          <w:tcPr>
            <w:tcW w:w="1800" w:type="dxa"/>
            <w:tcBorders>
              <w:top w:val="nil"/>
              <w:left w:val="nil"/>
              <w:bottom w:val="nil"/>
              <w:right w:val="nil"/>
            </w:tcBorders>
            <w:shd w:val="clear" w:color="auto" w:fill="auto"/>
            <w:noWrap/>
            <w:vAlign w:val="bottom"/>
            <w:hideMark/>
          </w:tcPr>
          <w:p w14:paraId="5152FD54"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Ireland</w:t>
            </w:r>
          </w:p>
        </w:tc>
        <w:tc>
          <w:tcPr>
            <w:tcW w:w="2023" w:type="dxa"/>
            <w:tcBorders>
              <w:top w:val="nil"/>
              <w:left w:val="nil"/>
              <w:bottom w:val="nil"/>
              <w:right w:val="nil"/>
            </w:tcBorders>
            <w:shd w:val="clear" w:color="auto" w:fill="auto"/>
            <w:noWrap/>
            <w:vAlign w:val="bottom"/>
            <w:hideMark/>
          </w:tcPr>
          <w:p w14:paraId="77CD620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236,852,412</w:t>
            </w:r>
          </w:p>
        </w:tc>
        <w:tc>
          <w:tcPr>
            <w:tcW w:w="1984" w:type="dxa"/>
            <w:tcBorders>
              <w:top w:val="nil"/>
              <w:left w:val="nil"/>
              <w:bottom w:val="nil"/>
              <w:right w:val="nil"/>
            </w:tcBorders>
            <w:shd w:val="clear" w:color="auto" w:fill="auto"/>
            <w:noWrap/>
            <w:vAlign w:val="bottom"/>
            <w:hideMark/>
          </w:tcPr>
          <w:p w14:paraId="1D373AB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6AD4DFCA"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2CBB0E40" w14:textId="77777777" w:rsidTr="0054052D">
        <w:trPr>
          <w:trHeight w:val="300"/>
        </w:trPr>
        <w:tc>
          <w:tcPr>
            <w:tcW w:w="1800" w:type="dxa"/>
            <w:tcBorders>
              <w:top w:val="nil"/>
              <w:left w:val="nil"/>
              <w:bottom w:val="nil"/>
              <w:right w:val="nil"/>
            </w:tcBorders>
            <w:shd w:val="clear" w:color="auto" w:fill="auto"/>
            <w:noWrap/>
            <w:vAlign w:val="bottom"/>
            <w:hideMark/>
          </w:tcPr>
          <w:p w14:paraId="4C3C49BA"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Israel</w:t>
            </w:r>
          </w:p>
        </w:tc>
        <w:tc>
          <w:tcPr>
            <w:tcW w:w="2023" w:type="dxa"/>
            <w:tcBorders>
              <w:top w:val="nil"/>
              <w:left w:val="nil"/>
              <w:bottom w:val="nil"/>
              <w:right w:val="nil"/>
            </w:tcBorders>
            <w:shd w:val="clear" w:color="auto" w:fill="auto"/>
            <w:noWrap/>
            <w:vAlign w:val="bottom"/>
            <w:hideMark/>
          </w:tcPr>
          <w:p w14:paraId="3FE5338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225,174</w:t>
            </w:r>
          </w:p>
        </w:tc>
        <w:tc>
          <w:tcPr>
            <w:tcW w:w="1984" w:type="dxa"/>
            <w:tcBorders>
              <w:top w:val="nil"/>
              <w:left w:val="nil"/>
              <w:bottom w:val="nil"/>
              <w:right w:val="nil"/>
            </w:tcBorders>
            <w:shd w:val="clear" w:color="auto" w:fill="auto"/>
            <w:noWrap/>
            <w:vAlign w:val="bottom"/>
            <w:hideMark/>
          </w:tcPr>
          <w:p w14:paraId="56F74691"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120,000</w:t>
            </w:r>
          </w:p>
        </w:tc>
        <w:tc>
          <w:tcPr>
            <w:tcW w:w="976" w:type="dxa"/>
            <w:tcBorders>
              <w:top w:val="nil"/>
              <w:left w:val="nil"/>
              <w:bottom w:val="nil"/>
              <w:right w:val="nil"/>
            </w:tcBorders>
            <w:shd w:val="clear" w:color="auto" w:fill="auto"/>
            <w:noWrap/>
            <w:vAlign w:val="bottom"/>
            <w:hideMark/>
          </w:tcPr>
          <w:p w14:paraId="675B182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53.29</w:t>
            </w:r>
          </w:p>
        </w:tc>
      </w:tr>
      <w:tr w:rsidR="00CF6817" w:rsidRPr="001A4893" w14:paraId="26C273C7" w14:textId="77777777" w:rsidTr="0054052D">
        <w:trPr>
          <w:trHeight w:val="300"/>
        </w:trPr>
        <w:tc>
          <w:tcPr>
            <w:tcW w:w="1800" w:type="dxa"/>
            <w:tcBorders>
              <w:top w:val="nil"/>
              <w:left w:val="nil"/>
              <w:bottom w:val="nil"/>
              <w:right w:val="nil"/>
            </w:tcBorders>
            <w:shd w:val="clear" w:color="auto" w:fill="auto"/>
            <w:noWrap/>
            <w:vAlign w:val="bottom"/>
            <w:hideMark/>
          </w:tcPr>
          <w:p w14:paraId="1F1E84EB"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Italy</w:t>
            </w:r>
          </w:p>
        </w:tc>
        <w:tc>
          <w:tcPr>
            <w:tcW w:w="2023" w:type="dxa"/>
            <w:tcBorders>
              <w:top w:val="nil"/>
              <w:left w:val="nil"/>
              <w:bottom w:val="nil"/>
              <w:right w:val="nil"/>
            </w:tcBorders>
            <w:shd w:val="clear" w:color="auto" w:fill="auto"/>
            <w:noWrap/>
            <w:vAlign w:val="bottom"/>
            <w:hideMark/>
          </w:tcPr>
          <w:p w14:paraId="70DDF2C6"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66,461,119</w:t>
            </w:r>
          </w:p>
        </w:tc>
        <w:tc>
          <w:tcPr>
            <w:tcW w:w="1984" w:type="dxa"/>
            <w:tcBorders>
              <w:top w:val="nil"/>
              <w:left w:val="nil"/>
              <w:bottom w:val="nil"/>
              <w:right w:val="nil"/>
            </w:tcBorders>
            <w:shd w:val="clear" w:color="auto" w:fill="auto"/>
            <w:noWrap/>
            <w:vAlign w:val="bottom"/>
            <w:hideMark/>
          </w:tcPr>
          <w:p w14:paraId="0DB79A1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64,000</w:t>
            </w:r>
          </w:p>
        </w:tc>
        <w:tc>
          <w:tcPr>
            <w:tcW w:w="976" w:type="dxa"/>
            <w:tcBorders>
              <w:top w:val="nil"/>
              <w:left w:val="nil"/>
              <w:bottom w:val="nil"/>
              <w:right w:val="nil"/>
            </w:tcBorders>
            <w:shd w:val="clear" w:color="auto" w:fill="auto"/>
            <w:noWrap/>
            <w:vAlign w:val="bottom"/>
            <w:hideMark/>
          </w:tcPr>
          <w:p w14:paraId="579FC12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0.10</w:t>
            </w:r>
          </w:p>
        </w:tc>
      </w:tr>
      <w:tr w:rsidR="00CF6817" w:rsidRPr="001A4893" w14:paraId="2E92C91F" w14:textId="77777777" w:rsidTr="0054052D">
        <w:trPr>
          <w:trHeight w:val="300"/>
        </w:trPr>
        <w:tc>
          <w:tcPr>
            <w:tcW w:w="1800" w:type="dxa"/>
            <w:tcBorders>
              <w:top w:val="nil"/>
              <w:left w:val="nil"/>
              <w:bottom w:val="nil"/>
              <w:right w:val="nil"/>
            </w:tcBorders>
            <w:shd w:val="clear" w:color="auto" w:fill="auto"/>
            <w:noWrap/>
            <w:vAlign w:val="bottom"/>
            <w:hideMark/>
          </w:tcPr>
          <w:p w14:paraId="0CE05504"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Lithuania</w:t>
            </w:r>
          </w:p>
        </w:tc>
        <w:tc>
          <w:tcPr>
            <w:tcW w:w="2023" w:type="dxa"/>
            <w:tcBorders>
              <w:top w:val="nil"/>
              <w:left w:val="nil"/>
              <w:bottom w:val="nil"/>
              <w:right w:val="nil"/>
            </w:tcBorders>
            <w:shd w:val="clear" w:color="auto" w:fill="auto"/>
            <w:noWrap/>
            <w:vAlign w:val="bottom"/>
            <w:hideMark/>
          </w:tcPr>
          <w:p w14:paraId="152A2504"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14,237,068</w:t>
            </w:r>
          </w:p>
        </w:tc>
        <w:tc>
          <w:tcPr>
            <w:tcW w:w="1984" w:type="dxa"/>
            <w:tcBorders>
              <w:top w:val="nil"/>
              <w:left w:val="nil"/>
              <w:bottom w:val="nil"/>
              <w:right w:val="nil"/>
            </w:tcBorders>
            <w:shd w:val="clear" w:color="auto" w:fill="auto"/>
            <w:noWrap/>
            <w:vAlign w:val="bottom"/>
            <w:hideMark/>
          </w:tcPr>
          <w:p w14:paraId="0CDAC487"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NA</w:t>
            </w:r>
          </w:p>
        </w:tc>
        <w:tc>
          <w:tcPr>
            <w:tcW w:w="976" w:type="dxa"/>
            <w:tcBorders>
              <w:top w:val="nil"/>
              <w:left w:val="nil"/>
              <w:bottom w:val="nil"/>
              <w:right w:val="nil"/>
            </w:tcBorders>
            <w:shd w:val="clear" w:color="auto" w:fill="auto"/>
            <w:noWrap/>
            <w:vAlign w:val="bottom"/>
            <w:hideMark/>
          </w:tcPr>
          <w:p w14:paraId="3FB219C1"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NA</w:t>
            </w:r>
          </w:p>
        </w:tc>
      </w:tr>
      <w:tr w:rsidR="00CF6817" w:rsidRPr="001A4893" w14:paraId="4AE764E7" w14:textId="77777777" w:rsidTr="0054052D">
        <w:trPr>
          <w:trHeight w:val="300"/>
        </w:trPr>
        <w:tc>
          <w:tcPr>
            <w:tcW w:w="1800" w:type="dxa"/>
            <w:tcBorders>
              <w:top w:val="nil"/>
              <w:left w:val="nil"/>
              <w:bottom w:val="nil"/>
              <w:right w:val="nil"/>
            </w:tcBorders>
            <w:shd w:val="clear" w:color="auto" w:fill="auto"/>
            <w:noWrap/>
            <w:vAlign w:val="bottom"/>
            <w:hideMark/>
          </w:tcPr>
          <w:p w14:paraId="503A7317"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Netherlands</w:t>
            </w:r>
          </w:p>
        </w:tc>
        <w:tc>
          <w:tcPr>
            <w:tcW w:w="2023" w:type="dxa"/>
            <w:tcBorders>
              <w:top w:val="nil"/>
              <w:left w:val="nil"/>
              <w:bottom w:val="nil"/>
              <w:right w:val="nil"/>
            </w:tcBorders>
            <w:shd w:val="clear" w:color="auto" w:fill="auto"/>
            <w:noWrap/>
            <w:vAlign w:val="bottom"/>
            <w:hideMark/>
          </w:tcPr>
          <w:p w14:paraId="6D5E2879"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105,187,201</w:t>
            </w:r>
          </w:p>
        </w:tc>
        <w:tc>
          <w:tcPr>
            <w:tcW w:w="1984" w:type="dxa"/>
            <w:tcBorders>
              <w:top w:val="nil"/>
              <w:left w:val="nil"/>
              <w:bottom w:val="nil"/>
              <w:right w:val="nil"/>
            </w:tcBorders>
            <w:shd w:val="clear" w:color="auto" w:fill="auto"/>
            <w:noWrap/>
            <w:vAlign w:val="bottom"/>
            <w:hideMark/>
          </w:tcPr>
          <w:p w14:paraId="5043921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4B49023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4E0175C3" w14:textId="77777777" w:rsidTr="0054052D">
        <w:trPr>
          <w:trHeight w:val="300"/>
        </w:trPr>
        <w:tc>
          <w:tcPr>
            <w:tcW w:w="1800" w:type="dxa"/>
            <w:tcBorders>
              <w:top w:val="nil"/>
              <w:left w:val="nil"/>
              <w:bottom w:val="nil"/>
              <w:right w:val="nil"/>
            </w:tcBorders>
            <w:shd w:val="clear" w:color="auto" w:fill="auto"/>
            <w:noWrap/>
            <w:vAlign w:val="bottom"/>
            <w:hideMark/>
          </w:tcPr>
          <w:p w14:paraId="2A16D919"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North Macedonia</w:t>
            </w:r>
          </w:p>
        </w:tc>
        <w:tc>
          <w:tcPr>
            <w:tcW w:w="2023" w:type="dxa"/>
            <w:tcBorders>
              <w:top w:val="nil"/>
              <w:left w:val="nil"/>
              <w:bottom w:val="nil"/>
              <w:right w:val="nil"/>
            </w:tcBorders>
            <w:shd w:val="clear" w:color="auto" w:fill="auto"/>
            <w:noWrap/>
            <w:vAlign w:val="bottom"/>
            <w:hideMark/>
          </w:tcPr>
          <w:p w14:paraId="49934C21"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9,680,258</w:t>
            </w:r>
          </w:p>
        </w:tc>
        <w:tc>
          <w:tcPr>
            <w:tcW w:w="1984" w:type="dxa"/>
            <w:tcBorders>
              <w:top w:val="nil"/>
              <w:left w:val="nil"/>
              <w:bottom w:val="nil"/>
              <w:right w:val="nil"/>
            </w:tcBorders>
            <w:shd w:val="clear" w:color="auto" w:fill="auto"/>
            <w:noWrap/>
            <w:vAlign w:val="bottom"/>
            <w:hideMark/>
          </w:tcPr>
          <w:p w14:paraId="32DC62B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4BC48A7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77E52F19" w14:textId="77777777" w:rsidTr="0054052D">
        <w:trPr>
          <w:trHeight w:val="300"/>
        </w:trPr>
        <w:tc>
          <w:tcPr>
            <w:tcW w:w="1800" w:type="dxa"/>
            <w:tcBorders>
              <w:top w:val="nil"/>
              <w:left w:val="nil"/>
              <w:bottom w:val="nil"/>
              <w:right w:val="nil"/>
            </w:tcBorders>
            <w:shd w:val="clear" w:color="auto" w:fill="auto"/>
            <w:noWrap/>
            <w:vAlign w:val="bottom"/>
            <w:hideMark/>
          </w:tcPr>
          <w:p w14:paraId="290F94F4"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Norway</w:t>
            </w:r>
          </w:p>
        </w:tc>
        <w:tc>
          <w:tcPr>
            <w:tcW w:w="2023" w:type="dxa"/>
            <w:tcBorders>
              <w:top w:val="nil"/>
              <w:left w:val="nil"/>
              <w:bottom w:val="nil"/>
              <w:right w:val="nil"/>
            </w:tcBorders>
            <w:shd w:val="clear" w:color="auto" w:fill="auto"/>
            <w:noWrap/>
            <w:vAlign w:val="bottom"/>
            <w:hideMark/>
          </w:tcPr>
          <w:p w14:paraId="55D229AF"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24,678,614</w:t>
            </w:r>
          </w:p>
        </w:tc>
        <w:tc>
          <w:tcPr>
            <w:tcW w:w="1984" w:type="dxa"/>
            <w:tcBorders>
              <w:top w:val="nil"/>
              <w:left w:val="nil"/>
              <w:bottom w:val="nil"/>
              <w:right w:val="nil"/>
            </w:tcBorders>
            <w:shd w:val="clear" w:color="auto" w:fill="auto"/>
            <w:noWrap/>
            <w:vAlign w:val="bottom"/>
            <w:hideMark/>
          </w:tcPr>
          <w:p w14:paraId="7A95FEA1" w14:textId="3D35BE9A" w:rsidR="00CF6817" w:rsidRPr="001A4893" w:rsidRDefault="006153A4" w:rsidP="0054052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67566172" w14:textId="36C6A7B0"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r w:rsidR="006153A4">
              <w:rPr>
                <w:rFonts w:ascii="Calibri" w:eastAsia="Times New Roman" w:hAnsi="Calibri" w:cs="Calibri"/>
                <w:color w:val="000000"/>
                <w:lang w:val="en-GB" w:eastAsia="en-GB"/>
              </w:rPr>
              <w:t>00</w:t>
            </w:r>
          </w:p>
        </w:tc>
      </w:tr>
      <w:tr w:rsidR="00CF6817" w:rsidRPr="001A4893" w14:paraId="7D61979F" w14:textId="77777777" w:rsidTr="0054052D">
        <w:trPr>
          <w:trHeight w:val="300"/>
        </w:trPr>
        <w:tc>
          <w:tcPr>
            <w:tcW w:w="1800" w:type="dxa"/>
            <w:tcBorders>
              <w:top w:val="nil"/>
              <w:left w:val="nil"/>
              <w:bottom w:val="nil"/>
              <w:right w:val="nil"/>
            </w:tcBorders>
            <w:shd w:val="clear" w:color="auto" w:fill="auto"/>
            <w:noWrap/>
            <w:vAlign w:val="bottom"/>
            <w:hideMark/>
          </w:tcPr>
          <w:p w14:paraId="2E4CC65F"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Poland</w:t>
            </w:r>
          </w:p>
        </w:tc>
        <w:tc>
          <w:tcPr>
            <w:tcW w:w="2023" w:type="dxa"/>
            <w:tcBorders>
              <w:top w:val="nil"/>
              <w:left w:val="nil"/>
              <w:bottom w:val="nil"/>
              <w:right w:val="nil"/>
            </w:tcBorders>
            <w:shd w:val="clear" w:color="auto" w:fill="auto"/>
            <w:noWrap/>
            <w:vAlign w:val="bottom"/>
            <w:hideMark/>
          </w:tcPr>
          <w:p w14:paraId="526300C1"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74,415,510</w:t>
            </w:r>
          </w:p>
        </w:tc>
        <w:tc>
          <w:tcPr>
            <w:tcW w:w="1984" w:type="dxa"/>
            <w:tcBorders>
              <w:top w:val="nil"/>
              <w:left w:val="nil"/>
              <w:bottom w:val="nil"/>
              <w:right w:val="nil"/>
            </w:tcBorders>
            <w:shd w:val="clear" w:color="auto" w:fill="auto"/>
            <w:noWrap/>
            <w:vAlign w:val="bottom"/>
            <w:hideMark/>
          </w:tcPr>
          <w:p w14:paraId="3B20C893"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210,548</w:t>
            </w:r>
          </w:p>
        </w:tc>
        <w:tc>
          <w:tcPr>
            <w:tcW w:w="976" w:type="dxa"/>
            <w:tcBorders>
              <w:top w:val="nil"/>
              <w:left w:val="nil"/>
              <w:bottom w:val="nil"/>
              <w:right w:val="nil"/>
            </w:tcBorders>
            <w:shd w:val="clear" w:color="auto" w:fill="auto"/>
            <w:noWrap/>
            <w:vAlign w:val="bottom"/>
            <w:hideMark/>
          </w:tcPr>
          <w:p w14:paraId="73BB8EC9"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0.28</w:t>
            </w:r>
          </w:p>
        </w:tc>
      </w:tr>
      <w:tr w:rsidR="00CF6817" w:rsidRPr="001A4893" w14:paraId="2527AAEF" w14:textId="77777777" w:rsidTr="0054052D">
        <w:trPr>
          <w:trHeight w:val="300"/>
        </w:trPr>
        <w:tc>
          <w:tcPr>
            <w:tcW w:w="1800" w:type="dxa"/>
            <w:tcBorders>
              <w:top w:val="nil"/>
              <w:left w:val="nil"/>
              <w:bottom w:val="nil"/>
              <w:right w:val="nil"/>
            </w:tcBorders>
            <w:shd w:val="clear" w:color="auto" w:fill="auto"/>
            <w:noWrap/>
            <w:vAlign w:val="bottom"/>
            <w:hideMark/>
          </w:tcPr>
          <w:p w14:paraId="2402B077"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Portugal</w:t>
            </w:r>
          </w:p>
        </w:tc>
        <w:tc>
          <w:tcPr>
            <w:tcW w:w="2023" w:type="dxa"/>
            <w:tcBorders>
              <w:top w:val="nil"/>
              <w:left w:val="nil"/>
              <w:bottom w:val="nil"/>
              <w:right w:val="nil"/>
            </w:tcBorders>
            <w:shd w:val="clear" w:color="auto" w:fill="auto"/>
            <w:noWrap/>
            <w:vAlign w:val="bottom"/>
            <w:hideMark/>
          </w:tcPr>
          <w:p w14:paraId="163888E5"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25,126,726</w:t>
            </w:r>
          </w:p>
        </w:tc>
        <w:tc>
          <w:tcPr>
            <w:tcW w:w="1984" w:type="dxa"/>
            <w:tcBorders>
              <w:top w:val="nil"/>
              <w:left w:val="nil"/>
              <w:bottom w:val="nil"/>
              <w:right w:val="nil"/>
            </w:tcBorders>
            <w:shd w:val="clear" w:color="auto" w:fill="auto"/>
            <w:noWrap/>
            <w:vAlign w:val="bottom"/>
            <w:hideMark/>
          </w:tcPr>
          <w:p w14:paraId="11E86D7F"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NA</w:t>
            </w:r>
          </w:p>
        </w:tc>
        <w:tc>
          <w:tcPr>
            <w:tcW w:w="976" w:type="dxa"/>
            <w:tcBorders>
              <w:top w:val="nil"/>
              <w:left w:val="nil"/>
              <w:bottom w:val="nil"/>
              <w:right w:val="nil"/>
            </w:tcBorders>
            <w:shd w:val="clear" w:color="auto" w:fill="auto"/>
            <w:noWrap/>
            <w:vAlign w:val="bottom"/>
            <w:hideMark/>
          </w:tcPr>
          <w:p w14:paraId="1CBD4C5F"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NA</w:t>
            </w:r>
          </w:p>
        </w:tc>
      </w:tr>
      <w:tr w:rsidR="00CF6817" w:rsidRPr="001A4893" w14:paraId="5A45FE3D" w14:textId="77777777" w:rsidTr="0054052D">
        <w:trPr>
          <w:trHeight w:val="300"/>
        </w:trPr>
        <w:tc>
          <w:tcPr>
            <w:tcW w:w="1800" w:type="dxa"/>
            <w:tcBorders>
              <w:top w:val="nil"/>
              <w:left w:val="nil"/>
              <w:bottom w:val="nil"/>
              <w:right w:val="nil"/>
            </w:tcBorders>
            <w:shd w:val="clear" w:color="auto" w:fill="auto"/>
            <w:noWrap/>
            <w:vAlign w:val="bottom"/>
            <w:hideMark/>
          </w:tcPr>
          <w:p w14:paraId="7DD5652B"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Romania</w:t>
            </w:r>
          </w:p>
        </w:tc>
        <w:tc>
          <w:tcPr>
            <w:tcW w:w="2023" w:type="dxa"/>
            <w:tcBorders>
              <w:top w:val="nil"/>
              <w:left w:val="nil"/>
              <w:bottom w:val="nil"/>
              <w:right w:val="nil"/>
            </w:tcBorders>
            <w:shd w:val="clear" w:color="auto" w:fill="auto"/>
            <w:noWrap/>
            <w:vAlign w:val="bottom"/>
            <w:hideMark/>
          </w:tcPr>
          <w:p w14:paraId="7E97145C"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133,596,134</w:t>
            </w:r>
          </w:p>
        </w:tc>
        <w:tc>
          <w:tcPr>
            <w:tcW w:w="1984" w:type="dxa"/>
            <w:tcBorders>
              <w:top w:val="nil"/>
              <w:left w:val="nil"/>
              <w:bottom w:val="nil"/>
              <w:right w:val="nil"/>
            </w:tcBorders>
            <w:shd w:val="clear" w:color="auto" w:fill="auto"/>
            <w:noWrap/>
            <w:vAlign w:val="bottom"/>
            <w:hideMark/>
          </w:tcPr>
          <w:p w14:paraId="04F50370"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46919676"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6BFF8E24" w14:textId="77777777" w:rsidTr="0054052D">
        <w:trPr>
          <w:trHeight w:val="300"/>
        </w:trPr>
        <w:tc>
          <w:tcPr>
            <w:tcW w:w="1800" w:type="dxa"/>
            <w:tcBorders>
              <w:top w:val="nil"/>
              <w:left w:val="nil"/>
              <w:bottom w:val="nil"/>
              <w:right w:val="nil"/>
            </w:tcBorders>
            <w:shd w:val="clear" w:color="auto" w:fill="auto"/>
            <w:noWrap/>
            <w:vAlign w:val="bottom"/>
            <w:hideMark/>
          </w:tcPr>
          <w:p w14:paraId="4A374E0A"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Spain</w:t>
            </w:r>
          </w:p>
        </w:tc>
        <w:tc>
          <w:tcPr>
            <w:tcW w:w="2023" w:type="dxa"/>
            <w:tcBorders>
              <w:top w:val="nil"/>
              <w:left w:val="nil"/>
              <w:bottom w:val="nil"/>
              <w:right w:val="nil"/>
            </w:tcBorders>
            <w:shd w:val="clear" w:color="auto" w:fill="auto"/>
            <w:noWrap/>
            <w:vAlign w:val="bottom"/>
            <w:hideMark/>
          </w:tcPr>
          <w:p w14:paraId="46B9B458"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96,818,066</w:t>
            </w:r>
          </w:p>
        </w:tc>
        <w:tc>
          <w:tcPr>
            <w:tcW w:w="1984" w:type="dxa"/>
            <w:tcBorders>
              <w:top w:val="nil"/>
              <w:left w:val="nil"/>
              <w:bottom w:val="nil"/>
              <w:right w:val="nil"/>
            </w:tcBorders>
            <w:shd w:val="clear" w:color="auto" w:fill="auto"/>
            <w:noWrap/>
            <w:vAlign w:val="bottom"/>
            <w:hideMark/>
          </w:tcPr>
          <w:p w14:paraId="5D485E39"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238,478</w:t>
            </w:r>
          </w:p>
        </w:tc>
        <w:tc>
          <w:tcPr>
            <w:tcW w:w="976" w:type="dxa"/>
            <w:tcBorders>
              <w:top w:val="nil"/>
              <w:left w:val="nil"/>
              <w:bottom w:val="nil"/>
              <w:right w:val="nil"/>
            </w:tcBorders>
            <w:shd w:val="clear" w:color="auto" w:fill="auto"/>
            <w:noWrap/>
            <w:vAlign w:val="bottom"/>
            <w:hideMark/>
          </w:tcPr>
          <w:p w14:paraId="3C538AC5"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0.25</w:t>
            </w:r>
          </w:p>
        </w:tc>
      </w:tr>
      <w:tr w:rsidR="00CF6817" w:rsidRPr="001A4893" w14:paraId="6C879061" w14:textId="77777777" w:rsidTr="0054052D">
        <w:trPr>
          <w:trHeight w:val="300"/>
        </w:trPr>
        <w:tc>
          <w:tcPr>
            <w:tcW w:w="1800" w:type="dxa"/>
            <w:tcBorders>
              <w:top w:val="nil"/>
              <w:left w:val="nil"/>
              <w:bottom w:val="nil"/>
              <w:right w:val="nil"/>
            </w:tcBorders>
            <w:shd w:val="clear" w:color="auto" w:fill="auto"/>
            <w:noWrap/>
            <w:vAlign w:val="bottom"/>
            <w:hideMark/>
          </w:tcPr>
          <w:p w14:paraId="45FCEE78"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Sweden</w:t>
            </w:r>
          </w:p>
        </w:tc>
        <w:tc>
          <w:tcPr>
            <w:tcW w:w="2023" w:type="dxa"/>
            <w:tcBorders>
              <w:top w:val="nil"/>
              <w:left w:val="nil"/>
              <w:bottom w:val="nil"/>
              <w:right w:val="nil"/>
            </w:tcBorders>
            <w:shd w:val="clear" w:color="auto" w:fill="auto"/>
            <w:noWrap/>
            <w:vAlign w:val="bottom"/>
            <w:hideMark/>
          </w:tcPr>
          <w:p w14:paraId="135540F2"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33,995,501</w:t>
            </w:r>
          </w:p>
        </w:tc>
        <w:tc>
          <w:tcPr>
            <w:tcW w:w="1984" w:type="dxa"/>
            <w:tcBorders>
              <w:top w:val="nil"/>
              <w:left w:val="nil"/>
              <w:bottom w:val="nil"/>
              <w:right w:val="nil"/>
            </w:tcBorders>
            <w:shd w:val="clear" w:color="auto" w:fill="auto"/>
            <w:noWrap/>
            <w:vAlign w:val="bottom"/>
            <w:hideMark/>
          </w:tcPr>
          <w:p w14:paraId="48A9451A"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127,262</w:t>
            </w:r>
          </w:p>
        </w:tc>
        <w:tc>
          <w:tcPr>
            <w:tcW w:w="976" w:type="dxa"/>
            <w:tcBorders>
              <w:top w:val="nil"/>
              <w:left w:val="nil"/>
              <w:bottom w:val="nil"/>
              <w:right w:val="nil"/>
            </w:tcBorders>
            <w:shd w:val="clear" w:color="auto" w:fill="auto"/>
            <w:noWrap/>
            <w:vAlign w:val="bottom"/>
            <w:hideMark/>
          </w:tcPr>
          <w:p w14:paraId="20CCD156"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0.37</w:t>
            </w:r>
          </w:p>
        </w:tc>
      </w:tr>
      <w:tr w:rsidR="00CF6817" w:rsidRPr="001A4893" w14:paraId="696A81BD" w14:textId="77777777" w:rsidTr="0054052D">
        <w:trPr>
          <w:trHeight w:val="300"/>
        </w:trPr>
        <w:tc>
          <w:tcPr>
            <w:tcW w:w="1800" w:type="dxa"/>
            <w:tcBorders>
              <w:top w:val="nil"/>
              <w:left w:val="nil"/>
              <w:bottom w:val="nil"/>
              <w:right w:val="nil"/>
            </w:tcBorders>
            <w:shd w:val="clear" w:color="auto" w:fill="auto"/>
            <w:noWrap/>
            <w:vAlign w:val="bottom"/>
            <w:hideMark/>
          </w:tcPr>
          <w:p w14:paraId="27BAC5A9"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Tunisia</w:t>
            </w:r>
          </w:p>
        </w:tc>
        <w:tc>
          <w:tcPr>
            <w:tcW w:w="2023" w:type="dxa"/>
            <w:tcBorders>
              <w:top w:val="nil"/>
              <w:left w:val="nil"/>
              <w:bottom w:val="nil"/>
              <w:right w:val="nil"/>
            </w:tcBorders>
            <w:shd w:val="clear" w:color="auto" w:fill="auto"/>
            <w:noWrap/>
            <w:vAlign w:val="bottom"/>
            <w:hideMark/>
          </w:tcPr>
          <w:p w14:paraId="433DB7F1"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25,683,180</w:t>
            </w:r>
          </w:p>
        </w:tc>
        <w:tc>
          <w:tcPr>
            <w:tcW w:w="1984" w:type="dxa"/>
            <w:tcBorders>
              <w:top w:val="nil"/>
              <w:left w:val="nil"/>
              <w:bottom w:val="nil"/>
              <w:right w:val="nil"/>
            </w:tcBorders>
            <w:shd w:val="clear" w:color="auto" w:fill="auto"/>
            <w:noWrap/>
            <w:vAlign w:val="bottom"/>
            <w:hideMark/>
          </w:tcPr>
          <w:p w14:paraId="31C66055"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w:t>
            </w:r>
          </w:p>
        </w:tc>
        <w:tc>
          <w:tcPr>
            <w:tcW w:w="976" w:type="dxa"/>
            <w:tcBorders>
              <w:top w:val="nil"/>
              <w:left w:val="nil"/>
              <w:bottom w:val="nil"/>
              <w:right w:val="nil"/>
            </w:tcBorders>
            <w:shd w:val="clear" w:color="auto" w:fill="auto"/>
            <w:noWrap/>
            <w:vAlign w:val="bottom"/>
            <w:hideMark/>
          </w:tcPr>
          <w:p w14:paraId="226A772B"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0.00</w:t>
            </w:r>
          </w:p>
        </w:tc>
      </w:tr>
      <w:tr w:rsidR="00CF6817" w:rsidRPr="001A4893" w14:paraId="38C2A124" w14:textId="77777777" w:rsidTr="0054052D">
        <w:trPr>
          <w:trHeight w:val="300"/>
        </w:trPr>
        <w:tc>
          <w:tcPr>
            <w:tcW w:w="1800" w:type="dxa"/>
            <w:tcBorders>
              <w:top w:val="nil"/>
              <w:left w:val="nil"/>
              <w:bottom w:val="single" w:sz="4" w:space="0" w:color="auto"/>
              <w:right w:val="nil"/>
            </w:tcBorders>
            <w:shd w:val="clear" w:color="auto" w:fill="auto"/>
            <w:noWrap/>
            <w:vAlign w:val="bottom"/>
            <w:hideMark/>
          </w:tcPr>
          <w:p w14:paraId="360016B0" w14:textId="77777777" w:rsidR="00CF6817" w:rsidRPr="001A4893" w:rsidRDefault="00CF6817" w:rsidP="0054052D">
            <w:pPr>
              <w:spacing w:after="0" w:line="240" w:lineRule="auto"/>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United Kingdom</w:t>
            </w:r>
          </w:p>
        </w:tc>
        <w:tc>
          <w:tcPr>
            <w:tcW w:w="2023" w:type="dxa"/>
            <w:tcBorders>
              <w:top w:val="nil"/>
              <w:left w:val="nil"/>
              <w:bottom w:val="single" w:sz="4" w:space="0" w:color="auto"/>
              <w:right w:val="nil"/>
            </w:tcBorders>
            <w:shd w:val="clear" w:color="auto" w:fill="auto"/>
            <w:noWrap/>
            <w:vAlign w:val="bottom"/>
            <w:hideMark/>
          </w:tcPr>
          <w:p w14:paraId="3C732E69"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299,251,148</w:t>
            </w:r>
          </w:p>
        </w:tc>
        <w:tc>
          <w:tcPr>
            <w:tcW w:w="1984" w:type="dxa"/>
            <w:tcBorders>
              <w:top w:val="nil"/>
              <w:left w:val="nil"/>
              <w:bottom w:val="single" w:sz="4" w:space="0" w:color="auto"/>
              <w:right w:val="nil"/>
            </w:tcBorders>
            <w:shd w:val="clear" w:color="auto" w:fill="auto"/>
            <w:noWrap/>
            <w:vAlign w:val="bottom"/>
            <w:hideMark/>
          </w:tcPr>
          <w:p w14:paraId="29C84F22"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538,285</w:t>
            </w:r>
          </w:p>
        </w:tc>
        <w:tc>
          <w:tcPr>
            <w:tcW w:w="976" w:type="dxa"/>
            <w:tcBorders>
              <w:top w:val="nil"/>
              <w:left w:val="nil"/>
              <w:bottom w:val="single" w:sz="4" w:space="0" w:color="auto"/>
              <w:right w:val="nil"/>
            </w:tcBorders>
            <w:shd w:val="clear" w:color="auto" w:fill="auto"/>
            <w:noWrap/>
            <w:vAlign w:val="bottom"/>
            <w:hideMark/>
          </w:tcPr>
          <w:p w14:paraId="04908ECA" w14:textId="77777777" w:rsidR="00CF6817" w:rsidRPr="001A4893" w:rsidRDefault="00CF6817" w:rsidP="0054052D">
            <w:pPr>
              <w:spacing w:after="0" w:line="240" w:lineRule="auto"/>
              <w:jc w:val="right"/>
              <w:rPr>
                <w:rFonts w:ascii="Calibri" w:eastAsia="Times New Roman" w:hAnsi="Calibri" w:cs="Calibri"/>
                <w:color w:val="000000"/>
                <w:lang w:val="en-GB" w:eastAsia="en-GB"/>
              </w:rPr>
            </w:pPr>
            <w:r w:rsidRPr="001A4893">
              <w:rPr>
                <w:rFonts w:ascii="Calibri" w:eastAsia="Times New Roman" w:hAnsi="Calibri" w:cs="Calibri"/>
                <w:color w:val="000000"/>
                <w:lang w:val="en-GB" w:eastAsia="en-GB"/>
              </w:rPr>
              <w:t>0.18</w:t>
            </w:r>
          </w:p>
        </w:tc>
      </w:tr>
    </w:tbl>
    <w:p w14:paraId="1DACC00A" w14:textId="77777777" w:rsidR="00CF6817" w:rsidRPr="004E60FA" w:rsidRDefault="00CF6817" w:rsidP="00CF6817">
      <w:pPr>
        <w:spacing w:line="240" w:lineRule="auto"/>
        <w:rPr>
          <w:lang w:val="en-GB"/>
        </w:rPr>
        <w:sectPr w:rsidR="00CF6817" w:rsidRPr="004E60FA" w:rsidSect="00CF6817">
          <w:type w:val="continuous"/>
          <w:pgSz w:w="12240" w:h="15840"/>
          <w:pgMar w:top="1276" w:right="1417" w:bottom="567" w:left="1417" w:header="708" w:footer="277" w:gutter="0"/>
          <w:lnNumType w:countBy="1" w:restart="continuous"/>
          <w:cols w:space="708"/>
          <w:docGrid w:linePitch="299"/>
        </w:sectPr>
      </w:pPr>
      <w:r>
        <w:rPr>
          <w:lang w:val="en-GB"/>
        </w:rPr>
        <w:t>NA: Not available</w:t>
      </w:r>
    </w:p>
    <w:p w14:paraId="72425CD0" w14:textId="0324AA6F" w:rsidR="00CF6817" w:rsidRDefault="00CF6817">
      <w:pPr>
        <w:rPr>
          <w:lang w:val="en-GB"/>
        </w:rPr>
      </w:pPr>
      <w:r>
        <w:rPr>
          <w:lang w:val="en-GB"/>
        </w:rPr>
        <w:br w:type="page"/>
      </w:r>
    </w:p>
    <w:p w14:paraId="30AB1A6C" w14:textId="1B49B3C0" w:rsidR="00CF6817" w:rsidRDefault="00CF6817" w:rsidP="00CF6817">
      <w:pPr>
        <w:pStyle w:val="Heading1"/>
        <w:spacing w:line="480" w:lineRule="auto"/>
        <w:jc w:val="both"/>
      </w:pPr>
      <w:r>
        <w:lastRenderedPageBreak/>
        <w:t>Figures</w:t>
      </w:r>
    </w:p>
    <w:p w14:paraId="76EF86FA" w14:textId="36CF2F01" w:rsidR="00CF6817" w:rsidRDefault="00E07A70" w:rsidP="00CF6817">
      <w:pPr>
        <w:spacing w:line="480" w:lineRule="auto"/>
        <w:jc w:val="center"/>
        <w:rPr>
          <w:lang w:val="en-GB"/>
        </w:rPr>
      </w:pPr>
      <w:r>
        <w:rPr>
          <w:noProof/>
        </w:rPr>
        <w:drawing>
          <wp:inline distT="0" distB="0" distL="0" distR="0" wp14:anchorId="454B051E" wp14:editId="6A101BE0">
            <wp:extent cx="5989109" cy="2743200"/>
            <wp:effectExtent l="0" t="0" r="0" b="0"/>
            <wp:docPr id="1" name="Chart 1">
              <a:extLst xmlns:a="http://schemas.openxmlformats.org/drawingml/2006/main">
                <a:ext uri="{FF2B5EF4-FFF2-40B4-BE49-F238E27FC236}">
                  <a16:creationId xmlns:a16="http://schemas.microsoft.com/office/drawing/2014/main" id="{30B7B6D5-59E9-4DD5-B077-EAC11E4E1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1A28EB" w14:textId="510F46F3" w:rsidR="00CF6817" w:rsidRDefault="75F07CB8" w:rsidP="00CF6817">
      <w:pPr>
        <w:spacing w:line="480" w:lineRule="auto"/>
        <w:rPr>
          <w:lang w:val="en-GB"/>
        </w:rPr>
      </w:pPr>
      <w:r w:rsidRPr="75F07CB8">
        <w:rPr>
          <w:lang w:val="en-GB"/>
        </w:rPr>
        <w:t xml:space="preserve">Figure 1. Estimated total annual cost of helminth infections on ruminant livestock production in 18 European and neighbour countries, ranked and excluding disaggregated costs of drug resistance. FR = France, </w:t>
      </w:r>
      <w:r w:rsidR="00F971CE">
        <w:rPr>
          <w:lang w:val="en-GB"/>
        </w:rPr>
        <w:t>UK</w:t>
      </w:r>
      <w:r w:rsidRPr="75F07CB8">
        <w:rPr>
          <w:lang w:val="en-GB"/>
        </w:rPr>
        <w:t xml:space="preserve"> = United Kingdom of Great Britain and Northern Ireland, IE = Republic of Ireland, DE = Germany, NL = Netherlands, RO = Romania,, ES = Spain, PL = Poland, IT = Italy, SE = Sweden, BE = Belgium, NO = Norway, AT = Austria, TU = Tunisia, PT = Portugal, LT = Lithuania, MK = North Macedonia, IL = Israel.</w:t>
      </w:r>
      <w:r w:rsidR="00CF6817" w:rsidRPr="75F07CB8">
        <w:rPr>
          <w:lang w:val="en-GB"/>
        </w:rPr>
        <w:br w:type="page"/>
      </w:r>
    </w:p>
    <w:p w14:paraId="2CA0A234" w14:textId="77777777" w:rsidR="00CF6817" w:rsidRDefault="00CF6817" w:rsidP="00CF6817">
      <w:pPr>
        <w:spacing w:line="480" w:lineRule="auto"/>
        <w:jc w:val="both"/>
        <w:rPr>
          <w:lang w:val="en-GB"/>
        </w:rPr>
      </w:pPr>
    </w:p>
    <w:p w14:paraId="297B6EC6" w14:textId="77777777" w:rsidR="00CF6817" w:rsidRDefault="00CF6817" w:rsidP="00CF6817">
      <w:pPr>
        <w:spacing w:line="480" w:lineRule="auto"/>
        <w:jc w:val="both"/>
        <w:rPr>
          <w:lang w:val="en-GB"/>
        </w:rPr>
      </w:pPr>
      <w:r>
        <w:rPr>
          <w:noProof/>
        </w:rPr>
        <w:drawing>
          <wp:inline distT="0" distB="0" distL="0" distR="0" wp14:anchorId="0AED693D" wp14:editId="50EAF3A5">
            <wp:extent cx="5477934" cy="3405188"/>
            <wp:effectExtent l="0" t="0" r="8890" b="5080"/>
            <wp:docPr id="3" name="Chart 3">
              <a:extLst xmlns:a="http://schemas.openxmlformats.org/drawingml/2006/main">
                <a:ext uri="{FF2B5EF4-FFF2-40B4-BE49-F238E27FC236}">
                  <a16:creationId xmlns:a16="http://schemas.microsoft.com/office/drawing/2014/main" id="{C332B874-CB06-411D-B7D7-0B2FFE573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555926" w14:textId="155BE6E8" w:rsidR="00CF6817" w:rsidRPr="00B00306" w:rsidRDefault="75F07CB8" w:rsidP="00CF6817">
      <w:pPr>
        <w:spacing w:line="480" w:lineRule="auto"/>
        <w:rPr>
          <w:lang w:val="en-GB"/>
        </w:rPr>
      </w:pPr>
      <w:r w:rsidRPr="75F07CB8">
        <w:rPr>
          <w:lang w:val="en-GB"/>
        </w:rPr>
        <w:t xml:space="preserve">Figure 2. Estimated relative impact of different helminth taxa on ruminant livestock by climatic zone in Europe and near neighbour countries, calculated as proportion of total production loss and treatment costs. GIN = gastrointestinal nematodes; Lungworm = </w:t>
      </w:r>
      <w:r w:rsidRPr="75F07CB8">
        <w:rPr>
          <w:i/>
          <w:iCs/>
          <w:lang w:val="en-GB"/>
        </w:rPr>
        <w:t>Dictyocaulus viviparus</w:t>
      </w:r>
      <w:r w:rsidRPr="75F07CB8">
        <w:rPr>
          <w:lang w:val="en-GB"/>
        </w:rPr>
        <w:t xml:space="preserve">. Climate zones based on aggregated Köppen-Geiger categories (country abbreviations in brackets, see legend to Fig. 1): ATL = Atlantic (BE, FR, </w:t>
      </w:r>
      <w:r w:rsidR="00F971CE">
        <w:rPr>
          <w:lang w:val="en-GB"/>
        </w:rPr>
        <w:t>UK</w:t>
      </w:r>
      <w:r w:rsidRPr="75F07CB8">
        <w:rPr>
          <w:lang w:val="en-GB"/>
        </w:rPr>
        <w:t>, IE, NL), BOR = Boreal (NO, SE), CON = Continental (AT, DE, LT, MK, PL, RO), MED = Mediterranean (ES, IL, IT, PT, TU), ALL = all combined.</w:t>
      </w:r>
      <w:r w:rsidR="00CF6817" w:rsidRPr="75F07CB8">
        <w:rPr>
          <w:lang w:val="en-GB"/>
        </w:rPr>
        <w:br w:type="page"/>
      </w:r>
    </w:p>
    <w:p w14:paraId="084A01FE" w14:textId="77777777" w:rsidR="00CF6817" w:rsidRDefault="00CF6817" w:rsidP="00CF6817">
      <w:pPr>
        <w:spacing w:line="480" w:lineRule="auto"/>
        <w:jc w:val="both"/>
        <w:rPr>
          <w:lang w:val="en-GB"/>
        </w:rPr>
      </w:pPr>
    </w:p>
    <w:p w14:paraId="1A3B1211" w14:textId="77777777" w:rsidR="00CF6817" w:rsidRDefault="00CF6817" w:rsidP="00CF6817">
      <w:pPr>
        <w:spacing w:line="480" w:lineRule="auto"/>
        <w:jc w:val="both"/>
        <w:rPr>
          <w:lang w:val="en-GB"/>
        </w:rPr>
      </w:pPr>
      <w:r>
        <w:rPr>
          <w:noProof/>
        </w:rPr>
        <w:drawing>
          <wp:inline distT="0" distB="0" distL="0" distR="0" wp14:anchorId="6091DA67" wp14:editId="56749CF9">
            <wp:extent cx="5481107" cy="3234267"/>
            <wp:effectExtent l="0" t="0" r="5715" b="4445"/>
            <wp:docPr id="4" name="Chart 4">
              <a:extLst xmlns:a="http://schemas.openxmlformats.org/drawingml/2006/main">
                <a:ext uri="{FF2B5EF4-FFF2-40B4-BE49-F238E27FC236}">
                  <a16:creationId xmlns:a16="http://schemas.microsoft.com/office/drawing/2014/main" id="{F12B9A0E-5CD9-4BCC-A8C6-CC36ED187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30D0C5" w14:textId="7C41AC9E" w:rsidR="00CF6817" w:rsidRDefault="75F07CB8" w:rsidP="00CF6817">
      <w:pPr>
        <w:spacing w:line="480" w:lineRule="auto"/>
        <w:jc w:val="both"/>
        <w:rPr>
          <w:lang w:val="en-GB"/>
        </w:rPr>
      </w:pPr>
      <w:r w:rsidRPr="75F07CB8">
        <w:rPr>
          <w:lang w:val="en-GB"/>
        </w:rPr>
        <w:t xml:space="preserve">Figure 3. Estimated relative impact of helminths on ruminant livestock sectors in different climatic zones in Europe and near neighbour countries, calculated as proportion of total production loss and treatment costs. GIN = gastrointestinal nematodes; Lungworm = </w:t>
      </w:r>
      <w:r w:rsidRPr="75F07CB8">
        <w:rPr>
          <w:i/>
          <w:iCs/>
          <w:lang w:val="en-GB"/>
        </w:rPr>
        <w:t>Dictyocaulus viviparus</w:t>
      </w:r>
      <w:r w:rsidRPr="75F07CB8">
        <w:rPr>
          <w:lang w:val="en-GB"/>
        </w:rPr>
        <w:t xml:space="preserve">. Climate zones based on aggregated Köppen-Geiger categories (country abbreviations in brackets, see legend to Fig. 1): ATL = Atlantic (BE, FR, </w:t>
      </w:r>
      <w:r w:rsidR="00F971CE">
        <w:rPr>
          <w:lang w:val="en-GB"/>
        </w:rPr>
        <w:t>UK</w:t>
      </w:r>
      <w:r w:rsidRPr="75F07CB8">
        <w:rPr>
          <w:lang w:val="en-GB"/>
        </w:rPr>
        <w:t>, IE, NL), BOR = Boreal (NO, SE), CON = Continental (AT, DE, LT, MK, PL, RO), MED = Mediterranean (ES, IL, IT, PT, TU), ALL = all combined.</w:t>
      </w:r>
    </w:p>
    <w:p w14:paraId="56C5F10E" w14:textId="77777777" w:rsidR="00CF6817" w:rsidRDefault="00CF6817" w:rsidP="00CF6817">
      <w:pPr>
        <w:spacing w:line="480" w:lineRule="auto"/>
        <w:rPr>
          <w:lang w:val="en-GB"/>
        </w:rPr>
      </w:pPr>
      <w:r>
        <w:rPr>
          <w:lang w:val="en-GB"/>
        </w:rPr>
        <w:br w:type="page"/>
      </w:r>
    </w:p>
    <w:p w14:paraId="02BD779D" w14:textId="77777777" w:rsidR="00CF6817" w:rsidRDefault="00CF6817" w:rsidP="00CF6817">
      <w:pPr>
        <w:spacing w:line="480" w:lineRule="auto"/>
        <w:jc w:val="both"/>
        <w:rPr>
          <w:lang w:val="en-GB"/>
        </w:rPr>
      </w:pPr>
    </w:p>
    <w:p w14:paraId="39A26720" w14:textId="77777777" w:rsidR="00CF6817" w:rsidRPr="005F73F7" w:rsidRDefault="00CF6817" w:rsidP="00CF6817">
      <w:pPr>
        <w:spacing w:line="480" w:lineRule="auto"/>
        <w:jc w:val="both"/>
        <w:rPr>
          <w:lang w:val="en-GB"/>
        </w:rPr>
      </w:pPr>
      <w:r>
        <w:rPr>
          <w:noProof/>
          <w:lang w:val="en-GB" w:eastAsia="en-GB"/>
        </w:rPr>
        <w:drawing>
          <wp:inline distT="0" distB="0" distL="0" distR="0" wp14:anchorId="52B6EA73" wp14:editId="4E4D307E">
            <wp:extent cx="6115050" cy="429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295775"/>
                    </a:xfrm>
                    <a:prstGeom prst="rect">
                      <a:avLst/>
                    </a:prstGeom>
                    <a:noFill/>
                    <a:ln>
                      <a:noFill/>
                    </a:ln>
                  </pic:spPr>
                </pic:pic>
              </a:graphicData>
            </a:graphic>
          </wp:inline>
        </w:drawing>
      </w:r>
    </w:p>
    <w:p w14:paraId="026BCC45" w14:textId="79E11D4B" w:rsidR="00CF6817" w:rsidRPr="00CF6817" w:rsidRDefault="00CF6817" w:rsidP="00CF6817">
      <w:pPr>
        <w:spacing w:line="480" w:lineRule="auto"/>
        <w:jc w:val="both"/>
        <w:rPr>
          <w:lang w:val="en-GB"/>
        </w:rPr>
      </w:pPr>
      <w:r w:rsidRPr="003F486E">
        <w:rPr>
          <w:lang w:val="en-GB"/>
        </w:rPr>
        <w:t>Figure 4. Sensitivity</w:t>
      </w:r>
      <w:r w:rsidRPr="005F73F7">
        <w:rPr>
          <w:lang w:val="en-GB"/>
        </w:rPr>
        <w:t xml:space="preserve"> of the total estimated cost of helminth infections in 18 COMBAR countries to changes in the input parameters. Light gray: Input parameters decreased with 20%. Dark gray: input parameters increased with 20%.</w:t>
      </w:r>
    </w:p>
    <w:sectPr w:rsidR="00CF6817" w:rsidRPr="00CF6817" w:rsidSect="00CF6817">
      <w:footerReference w:type="default" r:id="rId18"/>
      <w:type w:val="continuous"/>
      <w:pgSz w:w="12240" w:h="15840"/>
      <w:pgMar w:top="1276" w:right="1183" w:bottom="567" w:left="1417" w:header="708" w:footer="277" w:gutter="0"/>
      <w:lnNumType w:countBy="1" w:restart="continuous"/>
      <w:cols w:space="708"/>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0EA57" w16cex:dateUtc="2020-06-18T19:52:38.1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57C7" w14:textId="77777777" w:rsidR="00BE76FF" w:rsidRDefault="00BE76FF">
      <w:pPr>
        <w:spacing w:after="0" w:line="240" w:lineRule="auto"/>
      </w:pPr>
      <w:r>
        <w:separator/>
      </w:r>
    </w:p>
  </w:endnote>
  <w:endnote w:type="continuationSeparator" w:id="0">
    <w:p w14:paraId="41958755" w14:textId="77777777" w:rsidR="00BE76FF" w:rsidRDefault="00BE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86060"/>
      <w:docPartObj>
        <w:docPartGallery w:val="Page Numbers (Bottom of Page)"/>
        <w:docPartUnique/>
      </w:docPartObj>
    </w:sdtPr>
    <w:sdtEndPr>
      <w:rPr>
        <w:noProof/>
      </w:rPr>
    </w:sdtEndPr>
    <w:sdtContent>
      <w:p w14:paraId="7972BA57" w14:textId="77777777" w:rsidR="00446230" w:rsidRDefault="0044623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1638BD9" w14:textId="77777777" w:rsidR="00446230" w:rsidRDefault="0044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613"/>
      <w:docPartObj>
        <w:docPartGallery w:val="Page Numbers (Bottom of Page)"/>
        <w:docPartUnique/>
      </w:docPartObj>
    </w:sdtPr>
    <w:sdtEndPr>
      <w:rPr>
        <w:noProof/>
      </w:rPr>
    </w:sdtEndPr>
    <w:sdtContent>
      <w:p w14:paraId="34E76D59" w14:textId="77777777" w:rsidR="00446230" w:rsidRDefault="0044623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D5ACC65" w14:textId="77777777" w:rsidR="00446230" w:rsidRDefault="0044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CD8B" w14:textId="77777777" w:rsidR="00BE76FF" w:rsidRDefault="00BE76FF">
      <w:pPr>
        <w:spacing w:after="0" w:line="240" w:lineRule="auto"/>
      </w:pPr>
      <w:r>
        <w:separator/>
      </w:r>
    </w:p>
  </w:footnote>
  <w:footnote w:type="continuationSeparator" w:id="0">
    <w:p w14:paraId="77708D1B" w14:textId="77777777" w:rsidR="00BE76FF" w:rsidRDefault="00BE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2E14" w14:textId="7D613A68" w:rsidR="00446230" w:rsidRDefault="0044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465"/>
    <w:multiLevelType w:val="hybridMultilevel"/>
    <w:tmpl w:val="54F0D834"/>
    <w:lvl w:ilvl="0" w:tplc="D63C78B6">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A3D7F"/>
    <w:multiLevelType w:val="hybridMultilevel"/>
    <w:tmpl w:val="EA6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A63BD"/>
    <w:multiLevelType w:val="hybridMultilevel"/>
    <w:tmpl w:val="876CDB08"/>
    <w:lvl w:ilvl="0" w:tplc="7C5C36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1B85"/>
    <w:multiLevelType w:val="hybridMultilevel"/>
    <w:tmpl w:val="85825FCE"/>
    <w:lvl w:ilvl="0" w:tplc="803C188E">
      <w:start w:val="10"/>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33223"/>
    <w:multiLevelType w:val="multilevel"/>
    <w:tmpl w:val="4558B4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BA62A50"/>
    <w:multiLevelType w:val="hybridMultilevel"/>
    <w:tmpl w:val="9328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259B2"/>
    <w:multiLevelType w:val="hybridMultilevel"/>
    <w:tmpl w:val="AFD298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06098"/>
    <w:multiLevelType w:val="hybridMultilevel"/>
    <w:tmpl w:val="CE8A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30096"/>
    <w:multiLevelType w:val="hybridMultilevel"/>
    <w:tmpl w:val="18C0ED6C"/>
    <w:lvl w:ilvl="0" w:tplc="6858997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14852"/>
    <w:multiLevelType w:val="multilevel"/>
    <w:tmpl w:val="4558B4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D2372A9"/>
    <w:multiLevelType w:val="multilevel"/>
    <w:tmpl w:val="62A84140"/>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2224EF"/>
    <w:multiLevelType w:val="hybridMultilevel"/>
    <w:tmpl w:val="256C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C20AA"/>
    <w:multiLevelType w:val="multilevel"/>
    <w:tmpl w:val="4558B4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6F93238"/>
    <w:multiLevelType w:val="hybridMultilevel"/>
    <w:tmpl w:val="5C0458B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618B7"/>
    <w:multiLevelType w:val="multilevel"/>
    <w:tmpl w:val="4558B4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5545A28"/>
    <w:multiLevelType w:val="hybridMultilevel"/>
    <w:tmpl w:val="FBD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
  </w:num>
  <w:num w:numId="5">
    <w:abstractNumId w:val="9"/>
  </w:num>
  <w:num w:numId="6">
    <w:abstractNumId w:val="3"/>
  </w:num>
  <w:num w:numId="7">
    <w:abstractNumId w:val="8"/>
  </w:num>
  <w:num w:numId="8">
    <w:abstractNumId w:val="13"/>
  </w:num>
  <w:num w:numId="9">
    <w:abstractNumId w:val="15"/>
  </w:num>
  <w:num w:numId="10">
    <w:abstractNumId w:val="11"/>
  </w:num>
  <w:num w:numId="11">
    <w:abstractNumId w:val="6"/>
  </w:num>
  <w:num w:numId="12">
    <w:abstractNumId w:val="1"/>
  </w:num>
  <w:num w:numId="13">
    <w:abstractNumId w:val="7"/>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0&lt;/ScanChanges&gt;&lt;Suspended&gt;1&lt;/Suspended&gt;&lt;/ENInstantFormat&gt;"/>
  </w:docVars>
  <w:rsids>
    <w:rsidRoot w:val="00E9319B"/>
    <w:rsid w:val="000178A5"/>
    <w:rsid w:val="00020D3D"/>
    <w:rsid w:val="00023BA7"/>
    <w:rsid w:val="000354EC"/>
    <w:rsid w:val="00044281"/>
    <w:rsid w:val="000544E4"/>
    <w:rsid w:val="000612BC"/>
    <w:rsid w:val="00076529"/>
    <w:rsid w:val="0008101A"/>
    <w:rsid w:val="000812F8"/>
    <w:rsid w:val="0008675D"/>
    <w:rsid w:val="000A220E"/>
    <w:rsid w:val="000A22B2"/>
    <w:rsid w:val="000A59FA"/>
    <w:rsid w:val="000A6FD9"/>
    <w:rsid w:val="000B0D9E"/>
    <w:rsid w:val="000C2F24"/>
    <w:rsid w:val="000C71DD"/>
    <w:rsid w:val="000D0A65"/>
    <w:rsid w:val="000D550A"/>
    <w:rsid w:val="000D73BF"/>
    <w:rsid w:val="000D7BA0"/>
    <w:rsid w:val="000E1936"/>
    <w:rsid w:val="000F1F59"/>
    <w:rsid w:val="0010739B"/>
    <w:rsid w:val="00114931"/>
    <w:rsid w:val="0011785E"/>
    <w:rsid w:val="00131517"/>
    <w:rsid w:val="00134DDD"/>
    <w:rsid w:val="001413A8"/>
    <w:rsid w:val="00141660"/>
    <w:rsid w:val="0014300A"/>
    <w:rsid w:val="00153654"/>
    <w:rsid w:val="00167E0C"/>
    <w:rsid w:val="00170730"/>
    <w:rsid w:val="0017310F"/>
    <w:rsid w:val="00174DCA"/>
    <w:rsid w:val="001826E8"/>
    <w:rsid w:val="00187CC9"/>
    <w:rsid w:val="00191BF6"/>
    <w:rsid w:val="001928AA"/>
    <w:rsid w:val="00197760"/>
    <w:rsid w:val="001A2460"/>
    <w:rsid w:val="001A4893"/>
    <w:rsid w:val="001A546A"/>
    <w:rsid w:val="001B0739"/>
    <w:rsid w:val="001D5B3B"/>
    <w:rsid w:val="00201F45"/>
    <w:rsid w:val="002029C3"/>
    <w:rsid w:val="00206E15"/>
    <w:rsid w:val="00212ABC"/>
    <w:rsid w:val="00220152"/>
    <w:rsid w:val="00227DE6"/>
    <w:rsid w:val="0023368E"/>
    <w:rsid w:val="00233860"/>
    <w:rsid w:val="00235E79"/>
    <w:rsid w:val="00245309"/>
    <w:rsid w:val="002530BD"/>
    <w:rsid w:val="00257C9A"/>
    <w:rsid w:val="0026545B"/>
    <w:rsid w:val="002767AA"/>
    <w:rsid w:val="00280C23"/>
    <w:rsid w:val="0029454E"/>
    <w:rsid w:val="00295A72"/>
    <w:rsid w:val="002B28AD"/>
    <w:rsid w:val="002B5C92"/>
    <w:rsid w:val="002C4C16"/>
    <w:rsid w:val="002F6D9B"/>
    <w:rsid w:val="0030010F"/>
    <w:rsid w:val="00305593"/>
    <w:rsid w:val="00327F6D"/>
    <w:rsid w:val="00347669"/>
    <w:rsid w:val="00350EAE"/>
    <w:rsid w:val="0037472A"/>
    <w:rsid w:val="00380260"/>
    <w:rsid w:val="00381140"/>
    <w:rsid w:val="0038247D"/>
    <w:rsid w:val="0039396F"/>
    <w:rsid w:val="003A2BD9"/>
    <w:rsid w:val="003A3BC5"/>
    <w:rsid w:val="003A53CA"/>
    <w:rsid w:val="003B03B3"/>
    <w:rsid w:val="003B25C9"/>
    <w:rsid w:val="003B2F40"/>
    <w:rsid w:val="003D126A"/>
    <w:rsid w:val="003D3041"/>
    <w:rsid w:val="003F486E"/>
    <w:rsid w:val="003F4F27"/>
    <w:rsid w:val="00404880"/>
    <w:rsid w:val="0041578F"/>
    <w:rsid w:val="004239EE"/>
    <w:rsid w:val="00432B0D"/>
    <w:rsid w:val="00432F31"/>
    <w:rsid w:val="00433F01"/>
    <w:rsid w:val="00443B51"/>
    <w:rsid w:val="00446230"/>
    <w:rsid w:val="00446B0B"/>
    <w:rsid w:val="00446E17"/>
    <w:rsid w:val="0045449A"/>
    <w:rsid w:val="0047783B"/>
    <w:rsid w:val="00481C49"/>
    <w:rsid w:val="004A0082"/>
    <w:rsid w:val="004A23B7"/>
    <w:rsid w:val="004B0F65"/>
    <w:rsid w:val="004C42DB"/>
    <w:rsid w:val="004D1F22"/>
    <w:rsid w:val="004E3DC8"/>
    <w:rsid w:val="004E60FA"/>
    <w:rsid w:val="004F0D7A"/>
    <w:rsid w:val="004F298A"/>
    <w:rsid w:val="00502ECA"/>
    <w:rsid w:val="00505819"/>
    <w:rsid w:val="0051268B"/>
    <w:rsid w:val="00530C84"/>
    <w:rsid w:val="0053365E"/>
    <w:rsid w:val="0054009E"/>
    <w:rsid w:val="0054052D"/>
    <w:rsid w:val="005433CF"/>
    <w:rsid w:val="0055606F"/>
    <w:rsid w:val="00571EA2"/>
    <w:rsid w:val="005757B6"/>
    <w:rsid w:val="005778B4"/>
    <w:rsid w:val="00580CA6"/>
    <w:rsid w:val="005937A0"/>
    <w:rsid w:val="005A0AB6"/>
    <w:rsid w:val="005C79C2"/>
    <w:rsid w:val="005C7D58"/>
    <w:rsid w:val="005E06E8"/>
    <w:rsid w:val="005E204E"/>
    <w:rsid w:val="005F01E4"/>
    <w:rsid w:val="005F71B9"/>
    <w:rsid w:val="00604FCA"/>
    <w:rsid w:val="006153A4"/>
    <w:rsid w:val="00627EAC"/>
    <w:rsid w:val="00630D3D"/>
    <w:rsid w:val="00634C4C"/>
    <w:rsid w:val="00642290"/>
    <w:rsid w:val="006459AC"/>
    <w:rsid w:val="006511B7"/>
    <w:rsid w:val="0065460F"/>
    <w:rsid w:val="00664327"/>
    <w:rsid w:val="006709D8"/>
    <w:rsid w:val="00675150"/>
    <w:rsid w:val="00676FF9"/>
    <w:rsid w:val="006804B3"/>
    <w:rsid w:val="006856C3"/>
    <w:rsid w:val="0069538D"/>
    <w:rsid w:val="006976ED"/>
    <w:rsid w:val="006A5471"/>
    <w:rsid w:val="006A7346"/>
    <w:rsid w:val="006B04F4"/>
    <w:rsid w:val="006B363A"/>
    <w:rsid w:val="006B499B"/>
    <w:rsid w:val="006C03B1"/>
    <w:rsid w:val="006C3F68"/>
    <w:rsid w:val="006D3380"/>
    <w:rsid w:val="006D52AC"/>
    <w:rsid w:val="006E6438"/>
    <w:rsid w:val="006F0885"/>
    <w:rsid w:val="006F1BA1"/>
    <w:rsid w:val="00700055"/>
    <w:rsid w:val="00700599"/>
    <w:rsid w:val="00704BF2"/>
    <w:rsid w:val="00715663"/>
    <w:rsid w:val="007212FB"/>
    <w:rsid w:val="00722502"/>
    <w:rsid w:val="00726907"/>
    <w:rsid w:val="00735CB5"/>
    <w:rsid w:val="00735F2E"/>
    <w:rsid w:val="007367C4"/>
    <w:rsid w:val="007374DF"/>
    <w:rsid w:val="00740204"/>
    <w:rsid w:val="00742655"/>
    <w:rsid w:val="007454E7"/>
    <w:rsid w:val="007533CB"/>
    <w:rsid w:val="00771E12"/>
    <w:rsid w:val="00772435"/>
    <w:rsid w:val="007744A8"/>
    <w:rsid w:val="00776A74"/>
    <w:rsid w:val="007816EB"/>
    <w:rsid w:val="0078266F"/>
    <w:rsid w:val="0078316E"/>
    <w:rsid w:val="007862E9"/>
    <w:rsid w:val="007937F9"/>
    <w:rsid w:val="007A36EE"/>
    <w:rsid w:val="007A3C5B"/>
    <w:rsid w:val="007C1B2A"/>
    <w:rsid w:val="007C32F9"/>
    <w:rsid w:val="007C3FA9"/>
    <w:rsid w:val="007E4BF3"/>
    <w:rsid w:val="007F28FF"/>
    <w:rsid w:val="00807362"/>
    <w:rsid w:val="00807CC5"/>
    <w:rsid w:val="0081069A"/>
    <w:rsid w:val="00815F8B"/>
    <w:rsid w:val="00820FDF"/>
    <w:rsid w:val="00825619"/>
    <w:rsid w:val="0082773A"/>
    <w:rsid w:val="0083072E"/>
    <w:rsid w:val="008374F8"/>
    <w:rsid w:val="00846914"/>
    <w:rsid w:val="00846DD0"/>
    <w:rsid w:val="008527EE"/>
    <w:rsid w:val="00862AD5"/>
    <w:rsid w:val="0087089D"/>
    <w:rsid w:val="008837CB"/>
    <w:rsid w:val="008A0003"/>
    <w:rsid w:val="008A2D23"/>
    <w:rsid w:val="008B0F0C"/>
    <w:rsid w:val="008B2D63"/>
    <w:rsid w:val="008B58E5"/>
    <w:rsid w:val="008C4E43"/>
    <w:rsid w:val="008D42A4"/>
    <w:rsid w:val="008D788E"/>
    <w:rsid w:val="008E5D12"/>
    <w:rsid w:val="008F2EF1"/>
    <w:rsid w:val="008F5974"/>
    <w:rsid w:val="008F6785"/>
    <w:rsid w:val="00905078"/>
    <w:rsid w:val="00907A13"/>
    <w:rsid w:val="00910F4C"/>
    <w:rsid w:val="00914F36"/>
    <w:rsid w:val="009163D7"/>
    <w:rsid w:val="00926C41"/>
    <w:rsid w:val="009363C4"/>
    <w:rsid w:val="00940ECE"/>
    <w:rsid w:val="00943754"/>
    <w:rsid w:val="00945EE4"/>
    <w:rsid w:val="009509EB"/>
    <w:rsid w:val="009520C7"/>
    <w:rsid w:val="00957E60"/>
    <w:rsid w:val="00961BFB"/>
    <w:rsid w:val="00962517"/>
    <w:rsid w:val="00965E38"/>
    <w:rsid w:val="009672BF"/>
    <w:rsid w:val="00970DD7"/>
    <w:rsid w:val="0097386A"/>
    <w:rsid w:val="009739F4"/>
    <w:rsid w:val="009773CC"/>
    <w:rsid w:val="00982336"/>
    <w:rsid w:val="00985DE6"/>
    <w:rsid w:val="00991905"/>
    <w:rsid w:val="009A069C"/>
    <w:rsid w:val="009A0B29"/>
    <w:rsid w:val="009A0B42"/>
    <w:rsid w:val="009A25AF"/>
    <w:rsid w:val="009B05BE"/>
    <w:rsid w:val="009B6DCD"/>
    <w:rsid w:val="009C6C3B"/>
    <w:rsid w:val="009D72FB"/>
    <w:rsid w:val="009E035E"/>
    <w:rsid w:val="009E247D"/>
    <w:rsid w:val="009E4DA9"/>
    <w:rsid w:val="009E55E9"/>
    <w:rsid w:val="009F1E2C"/>
    <w:rsid w:val="009F1E4D"/>
    <w:rsid w:val="00A023A9"/>
    <w:rsid w:val="00A17758"/>
    <w:rsid w:val="00A20966"/>
    <w:rsid w:val="00A37924"/>
    <w:rsid w:val="00A40892"/>
    <w:rsid w:val="00A46A39"/>
    <w:rsid w:val="00A50244"/>
    <w:rsid w:val="00A515B1"/>
    <w:rsid w:val="00A52259"/>
    <w:rsid w:val="00A5755D"/>
    <w:rsid w:val="00A57C5D"/>
    <w:rsid w:val="00A6046E"/>
    <w:rsid w:val="00A70A1F"/>
    <w:rsid w:val="00A909DE"/>
    <w:rsid w:val="00A94BCC"/>
    <w:rsid w:val="00AA75F8"/>
    <w:rsid w:val="00AB2210"/>
    <w:rsid w:val="00AB239D"/>
    <w:rsid w:val="00AC1A18"/>
    <w:rsid w:val="00AF260A"/>
    <w:rsid w:val="00AF45CD"/>
    <w:rsid w:val="00AF677C"/>
    <w:rsid w:val="00B0745E"/>
    <w:rsid w:val="00B15AD6"/>
    <w:rsid w:val="00B16F38"/>
    <w:rsid w:val="00B226BB"/>
    <w:rsid w:val="00B27E65"/>
    <w:rsid w:val="00B36B64"/>
    <w:rsid w:val="00B5082B"/>
    <w:rsid w:val="00B52336"/>
    <w:rsid w:val="00B53EC3"/>
    <w:rsid w:val="00B55F3D"/>
    <w:rsid w:val="00B606A1"/>
    <w:rsid w:val="00B65F1D"/>
    <w:rsid w:val="00B665E6"/>
    <w:rsid w:val="00B7473F"/>
    <w:rsid w:val="00B75CEB"/>
    <w:rsid w:val="00B813D3"/>
    <w:rsid w:val="00BA2A31"/>
    <w:rsid w:val="00BB1E2F"/>
    <w:rsid w:val="00BC57C2"/>
    <w:rsid w:val="00BE436B"/>
    <w:rsid w:val="00BE47BD"/>
    <w:rsid w:val="00BE76FF"/>
    <w:rsid w:val="00BF180F"/>
    <w:rsid w:val="00BF584D"/>
    <w:rsid w:val="00BF781B"/>
    <w:rsid w:val="00C0058C"/>
    <w:rsid w:val="00C06957"/>
    <w:rsid w:val="00C2042E"/>
    <w:rsid w:val="00C60D95"/>
    <w:rsid w:val="00C64C8C"/>
    <w:rsid w:val="00C725A7"/>
    <w:rsid w:val="00C74216"/>
    <w:rsid w:val="00C83938"/>
    <w:rsid w:val="00C95B25"/>
    <w:rsid w:val="00C96ADD"/>
    <w:rsid w:val="00CA0E74"/>
    <w:rsid w:val="00CC0B2E"/>
    <w:rsid w:val="00CD71FE"/>
    <w:rsid w:val="00CE73D5"/>
    <w:rsid w:val="00CF611F"/>
    <w:rsid w:val="00CF6817"/>
    <w:rsid w:val="00D239F2"/>
    <w:rsid w:val="00D34599"/>
    <w:rsid w:val="00D352A5"/>
    <w:rsid w:val="00D35793"/>
    <w:rsid w:val="00D46F02"/>
    <w:rsid w:val="00D50A2A"/>
    <w:rsid w:val="00D607F8"/>
    <w:rsid w:val="00D70454"/>
    <w:rsid w:val="00D734A0"/>
    <w:rsid w:val="00D9060A"/>
    <w:rsid w:val="00DA38B5"/>
    <w:rsid w:val="00DA428B"/>
    <w:rsid w:val="00DA6038"/>
    <w:rsid w:val="00DB271E"/>
    <w:rsid w:val="00DB7B7A"/>
    <w:rsid w:val="00DD4C58"/>
    <w:rsid w:val="00DD4D0A"/>
    <w:rsid w:val="00DE17EC"/>
    <w:rsid w:val="00DE2FDF"/>
    <w:rsid w:val="00DE6F9C"/>
    <w:rsid w:val="00DF02DA"/>
    <w:rsid w:val="00DF352A"/>
    <w:rsid w:val="00E06DC4"/>
    <w:rsid w:val="00E07A70"/>
    <w:rsid w:val="00E114F7"/>
    <w:rsid w:val="00E15B25"/>
    <w:rsid w:val="00E1677A"/>
    <w:rsid w:val="00E245BE"/>
    <w:rsid w:val="00E266FB"/>
    <w:rsid w:val="00E27705"/>
    <w:rsid w:val="00E4424D"/>
    <w:rsid w:val="00E46EA4"/>
    <w:rsid w:val="00E518F6"/>
    <w:rsid w:val="00E53537"/>
    <w:rsid w:val="00E60692"/>
    <w:rsid w:val="00E66796"/>
    <w:rsid w:val="00E75B51"/>
    <w:rsid w:val="00E81A42"/>
    <w:rsid w:val="00E86F17"/>
    <w:rsid w:val="00E91864"/>
    <w:rsid w:val="00E9319B"/>
    <w:rsid w:val="00EA24DF"/>
    <w:rsid w:val="00EB7D12"/>
    <w:rsid w:val="00EC4B16"/>
    <w:rsid w:val="00EC56D4"/>
    <w:rsid w:val="00ED598C"/>
    <w:rsid w:val="00EE1D55"/>
    <w:rsid w:val="00F20827"/>
    <w:rsid w:val="00F2243F"/>
    <w:rsid w:val="00F400D8"/>
    <w:rsid w:val="00F405CA"/>
    <w:rsid w:val="00F43447"/>
    <w:rsid w:val="00F43CAC"/>
    <w:rsid w:val="00F54F78"/>
    <w:rsid w:val="00F5534C"/>
    <w:rsid w:val="00F6012E"/>
    <w:rsid w:val="00F65776"/>
    <w:rsid w:val="00F6588D"/>
    <w:rsid w:val="00F74573"/>
    <w:rsid w:val="00F76036"/>
    <w:rsid w:val="00F828BC"/>
    <w:rsid w:val="00F926A3"/>
    <w:rsid w:val="00F943BD"/>
    <w:rsid w:val="00F971CE"/>
    <w:rsid w:val="00FA3098"/>
    <w:rsid w:val="00FA4453"/>
    <w:rsid w:val="00FB1ACF"/>
    <w:rsid w:val="00FB5FFA"/>
    <w:rsid w:val="00FC4A41"/>
    <w:rsid w:val="00FC5569"/>
    <w:rsid w:val="00FE6091"/>
    <w:rsid w:val="00FF120C"/>
    <w:rsid w:val="00FF6D3A"/>
    <w:rsid w:val="00FF735E"/>
    <w:rsid w:val="310D4388"/>
    <w:rsid w:val="3AB19FD3"/>
    <w:rsid w:val="68EF3517"/>
    <w:rsid w:val="75F07C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6C90"/>
  <w15:chartTrackingRefBased/>
  <w15:docId w15:val="{49E3EE4C-4689-452E-8A97-2DAF4ED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19B"/>
  </w:style>
  <w:style w:type="paragraph" w:styleId="Heading1">
    <w:name w:val="heading 1"/>
    <w:basedOn w:val="Normal"/>
    <w:next w:val="Normal"/>
    <w:link w:val="Heading1Char"/>
    <w:uiPriority w:val="9"/>
    <w:qFormat/>
    <w:rsid w:val="00E9319B"/>
    <w:pPr>
      <w:keepNext/>
      <w:keepLines/>
      <w:spacing w:before="240" w:after="0"/>
      <w:outlineLvl w:val="0"/>
    </w:pPr>
    <w:rPr>
      <w:rFonts w:asciiTheme="majorHAnsi" w:eastAsiaTheme="majorEastAsia" w:hAnsiTheme="majorHAnsi" w:cs="Times New Roman"/>
      <w:color w:val="2E74B5" w:themeColor="accent1" w:themeShade="BF"/>
      <w:sz w:val="32"/>
      <w:szCs w:val="32"/>
      <w:lang w:val="en-GB"/>
    </w:rPr>
  </w:style>
  <w:style w:type="paragraph" w:styleId="Heading2">
    <w:name w:val="heading 2"/>
    <w:basedOn w:val="Normal"/>
    <w:next w:val="Normal"/>
    <w:link w:val="Heading2Char"/>
    <w:uiPriority w:val="9"/>
    <w:unhideWhenUsed/>
    <w:qFormat/>
    <w:rsid w:val="00E93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19B"/>
    <w:rPr>
      <w:rFonts w:asciiTheme="majorHAnsi" w:eastAsiaTheme="majorEastAsia" w:hAnsiTheme="majorHAnsi" w:cs="Times New Roman"/>
      <w:color w:val="2E74B5" w:themeColor="accent1" w:themeShade="BF"/>
      <w:sz w:val="32"/>
      <w:szCs w:val="32"/>
      <w:lang w:val="en-GB"/>
    </w:rPr>
  </w:style>
  <w:style w:type="character" w:customStyle="1" w:styleId="Heading2Char">
    <w:name w:val="Heading 2 Char"/>
    <w:basedOn w:val="DefaultParagraphFont"/>
    <w:link w:val="Heading2"/>
    <w:uiPriority w:val="9"/>
    <w:rsid w:val="00E931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319B"/>
    <w:pPr>
      <w:ind w:left="720"/>
      <w:contextualSpacing/>
    </w:pPr>
  </w:style>
  <w:style w:type="paragraph" w:styleId="FootnoteText">
    <w:name w:val="footnote text"/>
    <w:basedOn w:val="Normal"/>
    <w:link w:val="FootnoteTextChar"/>
    <w:uiPriority w:val="99"/>
    <w:semiHidden/>
    <w:unhideWhenUsed/>
    <w:rsid w:val="00E93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19B"/>
    <w:rPr>
      <w:sz w:val="20"/>
      <w:szCs w:val="20"/>
    </w:rPr>
  </w:style>
  <w:style w:type="character" w:styleId="FootnoteReference">
    <w:name w:val="footnote reference"/>
    <w:basedOn w:val="DefaultParagraphFont"/>
    <w:uiPriority w:val="99"/>
    <w:semiHidden/>
    <w:unhideWhenUsed/>
    <w:rsid w:val="00E9319B"/>
    <w:rPr>
      <w:vertAlign w:val="superscript"/>
    </w:rPr>
  </w:style>
  <w:style w:type="character" w:styleId="Hyperlink">
    <w:name w:val="Hyperlink"/>
    <w:basedOn w:val="DefaultParagraphFont"/>
    <w:uiPriority w:val="99"/>
    <w:unhideWhenUsed/>
    <w:rsid w:val="00E9319B"/>
    <w:rPr>
      <w:color w:val="0563C1" w:themeColor="hyperlink"/>
      <w:u w:val="single"/>
    </w:rPr>
  </w:style>
  <w:style w:type="paragraph" w:styleId="Header">
    <w:name w:val="header"/>
    <w:basedOn w:val="Normal"/>
    <w:link w:val="HeaderChar"/>
    <w:uiPriority w:val="99"/>
    <w:unhideWhenUsed/>
    <w:rsid w:val="00E931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319B"/>
  </w:style>
  <w:style w:type="paragraph" w:styleId="Footer">
    <w:name w:val="footer"/>
    <w:basedOn w:val="Normal"/>
    <w:link w:val="FooterChar"/>
    <w:uiPriority w:val="99"/>
    <w:unhideWhenUsed/>
    <w:rsid w:val="00E93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319B"/>
  </w:style>
  <w:style w:type="character" w:styleId="LineNumber">
    <w:name w:val="line number"/>
    <w:basedOn w:val="DefaultParagraphFont"/>
    <w:uiPriority w:val="99"/>
    <w:semiHidden/>
    <w:unhideWhenUsed/>
    <w:rsid w:val="00E9319B"/>
  </w:style>
  <w:style w:type="table" w:styleId="TableGrid">
    <w:name w:val="Table Grid"/>
    <w:basedOn w:val="TableNormal"/>
    <w:uiPriority w:val="39"/>
    <w:rsid w:val="00E9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9B"/>
    <w:rPr>
      <w:rFonts w:ascii="Segoe UI" w:hAnsi="Segoe UI" w:cs="Segoe UI"/>
      <w:sz w:val="18"/>
      <w:szCs w:val="18"/>
    </w:rPr>
  </w:style>
  <w:style w:type="character" w:styleId="PlaceholderText">
    <w:name w:val="Placeholder Text"/>
    <w:basedOn w:val="DefaultParagraphFont"/>
    <w:uiPriority w:val="99"/>
    <w:semiHidden/>
    <w:rsid w:val="00E9319B"/>
    <w:rPr>
      <w:color w:val="808080"/>
    </w:rPr>
  </w:style>
  <w:style w:type="character" w:styleId="FollowedHyperlink">
    <w:name w:val="FollowedHyperlink"/>
    <w:basedOn w:val="DefaultParagraphFont"/>
    <w:uiPriority w:val="99"/>
    <w:semiHidden/>
    <w:unhideWhenUsed/>
    <w:rsid w:val="00E9319B"/>
    <w:rPr>
      <w:color w:val="954F72" w:themeColor="followedHyperlink"/>
      <w:u w:val="single"/>
    </w:rPr>
  </w:style>
  <w:style w:type="paragraph" w:customStyle="1" w:styleId="EndNoteBibliographyTitle">
    <w:name w:val="EndNote Bibliography Title"/>
    <w:basedOn w:val="Normal"/>
    <w:link w:val="EndNoteBibliographyTitleChar"/>
    <w:rsid w:val="00E9319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319B"/>
    <w:rPr>
      <w:rFonts w:ascii="Calibri" w:hAnsi="Calibri" w:cs="Calibri"/>
      <w:noProof/>
      <w:lang w:val="en-US"/>
    </w:rPr>
  </w:style>
  <w:style w:type="paragraph" w:customStyle="1" w:styleId="EndNoteBibliography">
    <w:name w:val="EndNote Bibliography"/>
    <w:basedOn w:val="Normal"/>
    <w:link w:val="EndNoteBibliographyChar"/>
    <w:rsid w:val="00E9319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319B"/>
    <w:rPr>
      <w:rFonts w:ascii="Calibri" w:hAnsi="Calibri" w:cs="Calibri"/>
      <w:noProof/>
      <w:lang w:val="en-US"/>
    </w:rPr>
  </w:style>
  <w:style w:type="character" w:styleId="CommentReference">
    <w:name w:val="annotation reference"/>
    <w:basedOn w:val="DefaultParagraphFont"/>
    <w:uiPriority w:val="99"/>
    <w:semiHidden/>
    <w:unhideWhenUsed/>
    <w:rsid w:val="00A52259"/>
    <w:rPr>
      <w:sz w:val="16"/>
      <w:szCs w:val="16"/>
    </w:rPr>
  </w:style>
  <w:style w:type="paragraph" w:styleId="CommentText">
    <w:name w:val="annotation text"/>
    <w:basedOn w:val="Normal"/>
    <w:link w:val="CommentTextChar"/>
    <w:uiPriority w:val="99"/>
    <w:unhideWhenUsed/>
    <w:rsid w:val="00A52259"/>
    <w:pPr>
      <w:spacing w:line="240" w:lineRule="auto"/>
    </w:pPr>
    <w:rPr>
      <w:sz w:val="20"/>
      <w:szCs w:val="20"/>
    </w:rPr>
  </w:style>
  <w:style w:type="character" w:customStyle="1" w:styleId="CommentTextChar">
    <w:name w:val="Comment Text Char"/>
    <w:basedOn w:val="DefaultParagraphFont"/>
    <w:link w:val="CommentText"/>
    <w:uiPriority w:val="99"/>
    <w:rsid w:val="00A52259"/>
    <w:rPr>
      <w:sz w:val="20"/>
      <w:szCs w:val="20"/>
    </w:rPr>
  </w:style>
  <w:style w:type="paragraph" w:styleId="CommentSubject">
    <w:name w:val="annotation subject"/>
    <w:basedOn w:val="CommentText"/>
    <w:next w:val="CommentText"/>
    <w:link w:val="CommentSubjectChar"/>
    <w:uiPriority w:val="99"/>
    <w:semiHidden/>
    <w:unhideWhenUsed/>
    <w:rsid w:val="00A52259"/>
    <w:rPr>
      <w:b/>
      <w:bCs/>
    </w:rPr>
  </w:style>
  <w:style w:type="character" w:customStyle="1" w:styleId="CommentSubjectChar">
    <w:name w:val="Comment Subject Char"/>
    <w:basedOn w:val="CommentTextChar"/>
    <w:link w:val="CommentSubject"/>
    <w:uiPriority w:val="99"/>
    <w:semiHidden/>
    <w:rsid w:val="00A52259"/>
    <w:rPr>
      <w:b/>
      <w:bCs/>
      <w:sz w:val="20"/>
      <w:szCs w:val="20"/>
    </w:rPr>
  </w:style>
  <w:style w:type="paragraph" w:styleId="Revision">
    <w:name w:val="Revision"/>
    <w:hidden/>
    <w:uiPriority w:val="99"/>
    <w:semiHidden/>
    <w:rsid w:val="00FA4453"/>
    <w:pPr>
      <w:spacing w:after="0" w:line="240" w:lineRule="auto"/>
    </w:pPr>
  </w:style>
  <w:style w:type="character" w:customStyle="1" w:styleId="ydpaeff7443tlid-translation">
    <w:name w:val="ydpaeff7443tlid-translation"/>
    <w:basedOn w:val="DefaultParagraphFont"/>
    <w:rsid w:val="00642290"/>
  </w:style>
  <w:style w:type="paragraph" w:customStyle="1" w:styleId="Default">
    <w:name w:val="Default"/>
    <w:rsid w:val="0064229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62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95">
      <w:bodyDiv w:val="1"/>
      <w:marLeft w:val="0"/>
      <w:marRight w:val="0"/>
      <w:marTop w:val="0"/>
      <w:marBottom w:val="0"/>
      <w:divBdr>
        <w:top w:val="none" w:sz="0" w:space="0" w:color="auto"/>
        <w:left w:val="none" w:sz="0" w:space="0" w:color="auto"/>
        <w:bottom w:val="none" w:sz="0" w:space="0" w:color="auto"/>
        <w:right w:val="none" w:sz="0" w:space="0" w:color="auto"/>
      </w:divBdr>
    </w:div>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241523593">
      <w:bodyDiv w:val="1"/>
      <w:marLeft w:val="0"/>
      <w:marRight w:val="0"/>
      <w:marTop w:val="0"/>
      <w:marBottom w:val="0"/>
      <w:divBdr>
        <w:top w:val="none" w:sz="0" w:space="0" w:color="auto"/>
        <w:left w:val="none" w:sz="0" w:space="0" w:color="auto"/>
        <w:bottom w:val="none" w:sz="0" w:space="0" w:color="auto"/>
        <w:right w:val="none" w:sz="0" w:space="0" w:color="auto"/>
      </w:divBdr>
    </w:div>
    <w:div w:id="369380449">
      <w:bodyDiv w:val="1"/>
      <w:marLeft w:val="0"/>
      <w:marRight w:val="0"/>
      <w:marTop w:val="0"/>
      <w:marBottom w:val="0"/>
      <w:divBdr>
        <w:top w:val="none" w:sz="0" w:space="0" w:color="auto"/>
        <w:left w:val="none" w:sz="0" w:space="0" w:color="auto"/>
        <w:bottom w:val="none" w:sz="0" w:space="0" w:color="auto"/>
        <w:right w:val="none" w:sz="0" w:space="0" w:color="auto"/>
      </w:divBdr>
    </w:div>
    <w:div w:id="463668313">
      <w:bodyDiv w:val="1"/>
      <w:marLeft w:val="0"/>
      <w:marRight w:val="0"/>
      <w:marTop w:val="0"/>
      <w:marBottom w:val="0"/>
      <w:divBdr>
        <w:top w:val="none" w:sz="0" w:space="0" w:color="auto"/>
        <w:left w:val="none" w:sz="0" w:space="0" w:color="auto"/>
        <w:bottom w:val="none" w:sz="0" w:space="0" w:color="auto"/>
        <w:right w:val="none" w:sz="0" w:space="0" w:color="auto"/>
      </w:divBdr>
    </w:div>
    <w:div w:id="617420246">
      <w:bodyDiv w:val="1"/>
      <w:marLeft w:val="0"/>
      <w:marRight w:val="0"/>
      <w:marTop w:val="0"/>
      <w:marBottom w:val="0"/>
      <w:divBdr>
        <w:top w:val="none" w:sz="0" w:space="0" w:color="auto"/>
        <w:left w:val="none" w:sz="0" w:space="0" w:color="auto"/>
        <w:bottom w:val="none" w:sz="0" w:space="0" w:color="auto"/>
        <w:right w:val="none" w:sz="0" w:space="0" w:color="auto"/>
      </w:divBdr>
    </w:div>
    <w:div w:id="844520161">
      <w:bodyDiv w:val="1"/>
      <w:marLeft w:val="0"/>
      <w:marRight w:val="0"/>
      <w:marTop w:val="0"/>
      <w:marBottom w:val="0"/>
      <w:divBdr>
        <w:top w:val="none" w:sz="0" w:space="0" w:color="auto"/>
        <w:left w:val="none" w:sz="0" w:space="0" w:color="auto"/>
        <w:bottom w:val="none" w:sz="0" w:space="0" w:color="auto"/>
        <w:right w:val="none" w:sz="0" w:space="0" w:color="auto"/>
      </w:divBdr>
    </w:div>
    <w:div w:id="874583115">
      <w:bodyDiv w:val="1"/>
      <w:marLeft w:val="0"/>
      <w:marRight w:val="0"/>
      <w:marTop w:val="0"/>
      <w:marBottom w:val="0"/>
      <w:divBdr>
        <w:top w:val="none" w:sz="0" w:space="0" w:color="auto"/>
        <w:left w:val="none" w:sz="0" w:space="0" w:color="auto"/>
        <w:bottom w:val="none" w:sz="0" w:space="0" w:color="auto"/>
        <w:right w:val="none" w:sz="0" w:space="0" w:color="auto"/>
      </w:divBdr>
    </w:div>
    <w:div w:id="1219245872">
      <w:bodyDiv w:val="1"/>
      <w:marLeft w:val="0"/>
      <w:marRight w:val="0"/>
      <w:marTop w:val="0"/>
      <w:marBottom w:val="0"/>
      <w:divBdr>
        <w:top w:val="none" w:sz="0" w:space="0" w:color="auto"/>
        <w:left w:val="none" w:sz="0" w:space="0" w:color="auto"/>
        <w:bottom w:val="none" w:sz="0" w:space="0" w:color="auto"/>
        <w:right w:val="none" w:sz="0" w:space="0" w:color="auto"/>
      </w:divBdr>
    </w:div>
    <w:div w:id="1383214859">
      <w:bodyDiv w:val="1"/>
      <w:marLeft w:val="0"/>
      <w:marRight w:val="0"/>
      <w:marTop w:val="0"/>
      <w:marBottom w:val="0"/>
      <w:divBdr>
        <w:top w:val="none" w:sz="0" w:space="0" w:color="auto"/>
        <w:left w:val="none" w:sz="0" w:space="0" w:color="auto"/>
        <w:bottom w:val="none" w:sz="0" w:space="0" w:color="auto"/>
        <w:right w:val="none" w:sz="0" w:space="0" w:color="auto"/>
      </w:divBdr>
    </w:div>
    <w:div w:id="1466118517">
      <w:bodyDiv w:val="1"/>
      <w:marLeft w:val="0"/>
      <w:marRight w:val="0"/>
      <w:marTop w:val="0"/>
      <w:marBottom w:val="0"/>
      <w:divBdr>
        <w:top w:val="none" w:sz="0" w:space="0" w:color="auto"/>
        <w:left w:val="none" w:sz="0" w:space="0" w:color="auto"/>
        <w:bottom w:val="none" w:sz="0" w:space="0" w:color="auto"/>
        <w:right w:val="none" w:sz="0" w:space="0" w:color="auto"/>
      </w:divBdr>
    </w:div>
    <w:div w:id="1596746180">
      <w:bodyDiv w:val="1"/>
      <w:marLeft w:val="0"/>
      <w:marRight w:val="0"/>
      <w:marTop w:val="0"/>
      <w:marBottom w:val="0"/>
      <w:divBdr>
        <w:top w:val="none" w:sz="0" w:space="0" w:color="auto"/>
        <w:left w:val="none" w:sz="0" w:space="0" w:color="auto"/>
        <w:bottom w:val="none" w:sz="0" w:space="0" w:color="auto"/>
        <w:right w:val="none" w:sz="0" w:space="0" w:color="auto"/>
      </w:divBdr>
    </w:div>
    <w:div w:id="18401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s.org.uk/workspace/pdfs/scops-technical-manual-4th-edition-updated-september-2013.pd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l.stat.gov.pl/BDL/dane/podgrup/temat" TargetMode="External"/><Relationship Id="Rb5cb4a3a8e164456"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opendata.cbs.nl/stat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base.scar-cwg-ahw.or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charlier\Dropbox\COMBAR\WGs\WG2\WG2_economics\COMBAR_Wormeconomics_Calc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charlier\Dropbox\COMBAR\WGs\WG2\WG2_economics\COMBAR_Wormeconomics_Calc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charlier\Dropbox\COMBAR\WGs\WG2\WG2_economics\COMBAR_Wormeconomics_Calc0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Graphs!$C$2:$C$19</c:f>
              <c:strCache>
                <c:ptCount val="18"/>
                <c:pt idx="0">
                  <c:v>440.0154713</c:v>
                </c:pt>
                <c:pt idx="1">
                  <c:v>299.2511479</c:v>
                </c:pt>
                <c:pt idx="2">
                  <c:v>236.8524116</c:v>
                </c:pt>
                <c:pt idx="3">
                  <c:v>145.7846018</c:v>
                </c:pt>
                <c:pt idx="4">
                  <c:v>133.5961338</c:v>
                </c:pt>
                <c:pt idx="5">
                  <c:v>105.1872007</c:v>
                </c:pt>
                <c:pt idx="6">
                  <c:v>96.81806628</c:v>
                </c:pt>
                <c:pt idx="7">
                  <c:v>74.41551041</c:v>
                </c:pt>
                <c:pt idx="8">
                  <c:v>66.46111876</c:v>
                </c:pt>
                <c:pt idx="9">
                  <c:v>42.34251155</c:v>
                </c:pt>
                <c:pt idx="10">
                  <c:v>33.99550097</c:v>
                </c:pt>
                <c:pt idx="11">
                  <c:v>31.19619956</c:v>
                </c:pt>
                <c:pt idx="12">
                  <c:v>25.68318022</c:v>
                </c:pt>
                <c:pt idx="13">
                  <c:v>25.12672557</c:v>
                </c:pt>
                <c:pt idx="14">
                  <c:v>24.67861437</c:v>
                </c:pt>
                <c:pt idx="15">
                  <c:v>14.23706793</c:v>
                </c:pt>
                <c:pt idx="16">
                  <c:v>9.68025833</c:v>
                </c:pt>
                <c:pt idx="17">
                  <c:v>0.225174205</c:v>
                </c:pt>
              </c:strCache>
            </c:strRef>
          </c:tx>
          <c:spPr>
            <a:solidFill>
              <a:schemeClr val="bg1">
                <a:lumMod val="75000"/>
              </a:schemeClr>
            </a:solidFill>
            <a:ln>
              <a:solidFill>
                <a:schemeClr val="tx1"/>
              </a:solidFill>
            </a:ln>
            <a:effectLst/>
          </c:spPr>
          <c:invertIfNegative val="0"/>
          <c:cat>
            <c:strRef>
              <c:f>Graphs!$A$2:$A$19</c:f>
              <c:strCache>
                <c:ptCount val="18"/>
                <c:pt idx="0">
                  <c:v>FR</c:v>
                </c:pt>
                <c:pt idx="1">
                  <c:v>UK</c:v>
                </c:pt>
                <c:pt idx="2">
                  <c:v>IE</c:v>
                </c:pt>
                <c:pt idx="3">
                  <c:v>DE</c:v>
                </c:pt>
                <c:pt idx="4">
                  <c:v>RO</c:v>
                </c:pt>
                <c:pt idx="5">
                  <c:v>NL</c:v>
                </c:pt>
                <c:pt idx="6">
                  <c:v>ES</c:v>
                </c:pt>
                <c:pt idx="7">
                  <c:v>PL</c:v>
                </c:pt>
                <c:pt idx="8">
                  <c:v>IT</c:v>
                </c:pt>
                <c:pt idx="9">
                  <c:v>BE</c:v>
                </c:pt>
                <c:pt idx="10">
                  <c:v>SE</c:v>
                </c:pt>
                <c:pt idx="11">
                  <c:v>AT</c:v>
                </c:pt>
                <c:pt idx="12">
                  <c:v>TU</c:v>
                </c:pt>
                <c:pt idx="13">
                  <c:v>PT</c:v>
                </c:pt>
                <c:pt idx="14">
                  <c:v>NO</c:v>
                </c:pt>
                <c:pt idx="15">
                  <c:v>LT</c:v>
                </c:pt>
                <c:pt idx="16">
                  <c:v>MK</c:v>
                </c:pt>
                <c:pt idx="17">
                  <c:v>IL</c:v>
                </c:pt>
              </c:strCache>
            </c:strRef>
          </c:cat>
          <c:val>
            <c:numRef>
              <c:f>'\Users\j.charlier\Dropbox\Artikels\2020\COMBAR_economics\[Graphs.xlsx]Graphs'!$F$386:$F$403</c:f>
              <c:numCache>
                <c:formatCode>General</c:formatCode>
                <c:ptCount val="18"/>
                <c:pt idx="0">
                  <c:v>462.16492876633924</c:v>
                </c:pt>
                <c:pt idx="1">
                  <c:v>336.43715654053818</c:v>
                </c:pt>
                <c:pt idx="2">
                  <c:v>245.25249818245297</c:v>
                </c:pt>
                <c:pt idx="3">
                  <c:v>165.46799266578961</c:v>
                </c:pt>
                <c:pt idx="4">
                  <c:v>144.80250067015598</c:v>
                </c:pt>
                <c:pt idx="5">
                  <c:v>116.08735774632878</c:v>
                </c:pt>
                <c:pt idx="6">
                  <c:v>96.173774733732856</c:v>
                </c:pt>
                <c:pt idx="7">
                  <c:v>66.465009015405798</c:v>
                </c:pt>
                <c:pt idx="8">
                  <c:v>49.428508937137707</c:v>
                </c:pt>
                <c:pt idx="9">
                  <c:v>42.697015842542129</c:v>
                </c:pt>
                <c:pt idx="10">
                  <c:v>42.443257962700265</c:v>
                </c:pt>
                <c:pt idx="11">
                  <c:v>33.694081806933241</c:v>
                </c:pt>
                <c:pt idx="12">
                  <c:v>28.608095067694279</c:v>
                </c:pt>
                <c:pt idx="13">
                  <c:v>27.103010879114169</c:v>
                </c:pt>
                <c:pt idx="14">
                  <c:v>19.958328300151024</c:v>
                </c:pt>
                <c:pt idx="15">
                  <c:v>14.287463961553382</c:v>
                </c:pt>
                <c:pt idx="16">
                  <c:v>9.0337110158764951</c:v>
                </c:pt>
                <c:pt idx="17">
                  <c:v>0.22417031265900214</c:v>
                </c:pt>
              </c:numCache>
            </c:numRef>
          </c:val>
          <c:extLst>
            <c:ext xmlns:c16="http://schemas.microsoft.com/office/drawing/2014/chart" uri="{C3380CC4-5D6E-409C-BE32-E72D297353CC}">
              <c16:uniqueId val="{00000000-8BFD-400D-86DD-E1FECBE3B698}"/>
            </c:ext>
          </c:extLst>
        </c:ser>
        <c:dLbls>
          <c:showLegendKey val="0"/>
          <c:showVal val="0"/>
          <c:showCatName val="0"/>
          <c:showSerName val="0"/>
          <c:showPercent val="0"/>
          <c:showBubbleSize val="0"/>
        </c:dLbls>
        <c:gapWidth val="50"/>
        <c:axId val="1208416144"/>
        <c:axId val="1208420720"/>
      </c:barChart>
      <c:catAx>
        <c:axId val="120841614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a:solidFill>
                      <a:sysClr val="windowText" lastClr="000000"/>
                    </a:solidFill>
                  </a:rPr>
                  <a:t>Country</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08420720"/>
        <c:crossesAt val="0.1"/>
        <c:auto val="1"/>
        <c:lblAlgn val="ctr"/>
        <c:lblOffset val="100"/>
        <c:noMultiLvlLbl val="0"/>
      </c:catAx>
      <c:valAx>
        <c:axId val="1208420720"/>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Annual total cost estimate (Million Euros)</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0841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274125109361329"/>
          <c:y val="5.8865923009623795E-2"/>
          <c:w val="0.78225874890638669"/>
          <c:h val="0.68988261883931179"/>
        </c:manualLayout>
      </c:layout>
      <c:barChart>
        <c:barDir val="col"/>
        <c:grouping val="percentStacked"/>
        <c:varyColors val="0"/>
        <c:ser>
          <c:idx val="0"/>
          <c:order val="0"/>
          <c:tx>
            <c:strRef>
              <c:f>Graphs!$A$78</c:f>
              <c:strCache>
                <c:ptCount val="1"/>
                <c:pt idx="0">
                  <c:v>GIN</c:v>
                </c:pt>
              </c:strCache>
            </c:strRef>
          </c:tx>
          <c:spPr>
            <a:solidFill>
              <a:schemeClr val="tx1">
                <a:lumMod val="95000"/>
                <a:lumOff val="5000"/>
              </a:schemeClr>
            </a:solidFill>
            <a:ln>
              <a:solidFill>
                <a:schemeClr val="tx1"/>
              </a:solidFill>
            </a:ln>
            <a:effectLst/>
          </c:spPr>
          <c:invertIfNegative val="0"/>
          <c:cat>
            <c:strRef>
              <c:f>Graphs!$B$77:$F$77</c:f>
              <c:strCache>
                <c:ptCount val="5"/>
                <c:pt idx="0">
                  <c:v>ATL</c:v>
                </c:pt>
                <c:pt idx="1">
                  <c:v>BOR</c:v>
                </c:pt>
                <c:pt idx="2">
                  <c:v>CON</c:v>
                </c:pt>
                <c:pt idx="3">
                  <c:v>MED</c:v>
                </c:pt>
                <c:pt idx="4">
                  <c:v>ALL</c:v>
                </c:pt>
              </c:strCache>
            </c:strRef>
          </c:cat>
          <c:val>
            <c:numRef>
              <c:f>Graphs!$B$78:$F$78</c:f>
              <c:numCache>
                <c:formatCode>#,##0</c:formatCode>
                <c:ptCount val="5"/>
                <c:pt idx="0">
                  <c:v>413569392.72817105</c:v>
                </c:pt>
                <c:pt idx="1">
                  <c:v>30099579.259198263</c:v>
                </c:pt>
                <c:pt idx="2">
                  <c:v>157191222.06076258</c:v>
                </c:pt>
                <c:pt idx="3">
                  <c:v>84934134.398025811</c:v>
                </c:pt>
                <c:pt idx="4">
                  <c:v>685794328.44615769</c:v>
                </c:pt>
              </c:numCache>
            </c:numRef>
          </c:val>
          <c:extLst>
            <c:ext xmlns:c16="http://schemas.microsoft.com/office/drawing/2014/chart" uri="{C3380CC4-5D6E-409C-BE32-E72D297353CC}">
              <c16:uniqueId val="{00000000-939B-4ACA-8329-76206B94868A}"/>
            </c:ext>
          </c:extLst>
        </c:ser>
        <c:ser>
          <c:idx val="1"/>
          <c:order val="1"/>
          <c:tx>
            <c:strRef>
              <c:f>Graphs!$A$79</c:f>
              <c:strCache>
                <c:ptCount val="1"/>
                <c:pt idx="0">
                  <c:v>Fasciola</c:v>
                </c:pt>
              </c:strCache>
            </c:strRef>
          </c:tx>
          <c:spPr>
            <a:pattFill prst="wdDnDiag">
              <a:fgClr>
                <a:schemeClr val="bg1">
                  <a:lumMod val="75000"/>
                </a:schemeClr>
              </a:fgClr>
              <a:bgClr>
                <a:schemeClr val="bg1"/>
              </a:bgClr>
            </a:pattFill>
            <a:ln>
              <a:solidFill>
                <a:schemeClr val="tx1"/>
              </a:solidFill>
            </a:ln>
            <a:effectLst/>
          </c:spPr>
          <c:invertIfNegative val="0"/>
          <c:cat>
            <c:strRef>
              <c:f>Graphs!$B$77:$F$77</c:f>
              <c:strCache>
                <c:ptCount val="5"/>
                <c:pt idx="0">
                  <c:v>ATL</c:v>
                </c:pt>
                <c:pt idx="1">
                  <c:v>BOR</c:v>
                </c:pt>
                <c:pt idx="2">
                  <c:v>CON</c:v>
                </c:pt>
                <c:pt idx="3">
                  <c:v>MED</c:v>
                </c:pt>
                <c:pt idx="4">
                  <c:v>ALL</c:v>
                </c:pt>
              </c:strCache>
            </c:strRef>
          </c:cat>
          <c:val>
            <c:numRef>
              <c:f>Graphs!$B$79:$F$79</c:f>
              <c:numCache>
                <c:formatCode>#,##0</c:formatCode>
                <c:ptCount val="5"/>
                <c:pt idx="0">
                  <c:v>442355846.23373491</c:v>
                </c:pt>
                <c:pt idx="1">
                  <c:v>30628639.449854873</c:v>
                </c:pt>
                <c:pt idx="2">
                  <c:v>106485531.01185679</c:v>
                </c:pt>
                <c:pt idx="3">
                  <c:v>55020323.713160597</c:v>
                </c:pt>
                <c:pt idx="4">
                  <c:v>634490340.40860713</c:v>
                </c:pt>
              </c:numCache>
            </c:numRef>
          </c:val>
          <c:extLst>
            <c:ext xmlns:c16="http://schemas.microsoft.com/office/drawing/2014/chart" uri="{C3380CC4-5D6E-409C-BE32-E72D297353CC}">
              <c16:uniqueId val="{00000001-939B-4ACA-8329-76206B94868A}"/>
            </c:ext>
          </c:extLst>
        </c:ser>
        <c:ser>
          <c:idx val="4"/>
          <c:order val="2"/>
          <c:tx>
            <c:strRef>
              <c:f>Graphs!$A$80</c:f>
              <c:strCache>
                <c:ptCount val="1"/>
                <c:pt idx="0">
                  <c:v>Lungworm</c:v>
                </c:pt>
              </c:strCache>
            </c:strRef>
          </c:tx>
          <c:spPr>
            <a:pattFill prst="pct50">
              <a:fgClr>
                <a:schemeClr val="bg1">
                  <a:lumMod val="75000"/>
                </a:schemeClr>
              </a:fgClr>
              <a:bgClr>
                <a:schemeClr val="bg1"/>
              </a:bgClr>
            </a:pattFill>
            <a:ln>
              <a:solidFill>
                <a:schemeClr val="tx1"/>
              </a:solidFill>
            </a:ln>
            <a:effectLst/>
          </c:spPr>
          <c:invertIfNegative val="0"/>
          <c:cat>
            <c:strRef>
              <c:f>Graphs!$B$77:$F$77</c:f>
              <c:strCache>
                <c:ptCount val="5"/>
                <c:pt idx="0">
                  <c:v>ATL</c:v>
                </c:pt>
                <c:pt idx="1">
                  <c:v>BOR</c:v>
                </c:pt>
                <c:pt idx="2">
                  <c:v>CON</c:v>
                </c:pt>
                <c:pt idx="3">
                  <c:v>MED</c:v>
                </c:pt>
                <c:pt idx="4">
                  <c:v>ALL</c:v>
                </c:pt>
              </c:strCache>
            </c:strRef>
          </c:cat>
          <c:val>
            <c:numRef>
              <c:f>Graphs!$B$80:$F$80</c:f>
              <c:numCache>
                <c:formatCode>#,##0</c:formatCode>
                <c:ptCount val="5"/>
                <c:pt idx="0">
                  <c:v>87319219.259798944</c:v>
                </c:pt>
                <c:pt idx="1">
                  <c:v>7252522.7407628577</c:v>
                </c:pt>
                <c:pt idx="2">
                  <c:v>44396243.475828744</c:v>
                </c:pt>
                <c:pt idx="3">
                  <c:v>49438.436312059668</c:v>
                </c:pt>
                <c:pt idx="4">
                  <c:v>139017423.91270259</c:v>
                </c:pt>
              </c:numCache>
            </c:numRef>
          </c:val>
          <c:extLst>
            <c:ext xmlns:c16="http://schemas.microsoft.com/office/drawing/2014/chart" uri="{C3380CC4-5D6E-409C-BE32-E72D297353CC}">
              <c16:uniqueId val="{00000002-939B-4ACA-8329-76206B94868A}"/>
            </c:ext>
          </c:extLst>
        </c:ser>
        <c:ser>
          <c:idx val="2"/>
          <c:order val="3"/>
          <c:tx>
            <c:strRef>
              <c:f>Graphs!$A$81</c:f>
              <c:strCache>
                <c:ptCount val="1"/>
                <c:pt idx="0">
                  <c:v>Treatment costs</c:v>
                </c:pt>
              </c:strCache>
            </c:strRef>
          </c:tx>
          <c:spPr>
            <a:noFill/>
            <a:ln>
              <a:solidFill>
                <a:schemeClr val="tx1"/>
              </a:solidFill>
            </a:ln>
            <a:effectLst/>
          </c:spPr>
          <c:invertIfNegative val="0"/>
          <c:cat>
            <c:strRef>
              <c:f>Graphs!$B$77:$F$77</c:f>
              <c:strCache>
                <c:ptCount val="5"/>
                <c:pt idx="0">
                  <c:v>ATL</c:v>
                </c:pt>
                <c:pt idx="1">
                  <c:v>BOR</c:v>
                </c:pt>
                <c:pt idx="2">
                  <c:v>CON</c:v>
                </c:pt>
                <c:pt idx="3">
                  <c:v>MED</c:v>
                </c:pt>
                <c:pt idx="4">
                  <c:v>ALL</c:v>
                </c:pt>
              </c:strCache>
            </c:strRef>
          </c:cat>
          <c:val>
            <c:numRef>
              <c:f>Graphs!$B$81:$F$81</c:f>
              <c:numCache>
                <c:formatCode>#,##0</c:formatCode>
                <c:ptCount val="5"/>
                <c:pt idx="0">
                  <c:v>180404284.79274002</c:v>
                </c:pt>
                <c:pt idx="1">
                  <c:v>4930441.8210886</c:v>
                </c:pt>
                <c:pt idx="2">
                  <c:v>86599707.406195045</c:v>
                </c:pt>
                <c:pt idx="3">
                  <c:v>74310368.490513667</c:v>
                </c:pt>
                <c:pt idx="4">
                  <c:v>346244802.51053739</c:v>
                </c:pt>
              </c:numCache>
            </c:numRef>
          </c:val>
          <c:extLst>
            <c:ext xmlns:c16="http://schemas.microsoft.com/office/drawing/2014/chart" uri="{C3380CC4-5D6E-409C-BE32-E72D297353CC}">
              <c16:uniqueId val="{00000003-939B-4ACA-8329-76206B94868A}"/>
            </c:ext>
          </c:extLst>
        </c:ser>
        <c:dLbls>
          <c:showLegendKey val="0"/>
          <c:showVal val="0"/>
          <c:showCatName val="0"/>
          <c:showSerName val="0"/>
          <c:showPercent val="0"/>
          <c:showBubbleSize val="0"/>
        </c:dLbls>
        <c:gapWidth val="150"/>
        <c:overlap val="100"/>
        <c:axId val="1208418640"/>
        <c:axId val="1208415728"/>
      </c:barChart>
      <c:catAx>
        <c:axId val="1208418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208415728"/>
        <c:crosses val="autoZero"/>
        <c:auto val="1"/>
        <c:lblAlgn val="ctr"/>
        <c:lblOffset val="100"/>
        <c:noMultiLvlLbl val="0"/>
      </c:catAx>
      <c:valAx>
        <c:axId val="12084157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Relative impact</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08418640"/>
        <c:crosses val="autoZero"/>
        <c:crossBetween val="between"/>
      </c:valAx>
      <c:spPr>
        <a:noFill/>
        <a:ln>
          <a:noFill/>
        </a:ln>
        <a:effectLst/>
      </c:spPr>
    </c:plotArea>
    <c:legend>
      <c:legendPos val="b"/>
      <c:layout>
        <c:manualLayout>
          <c:xMode val="edge"/>
          <c:yMode val="edge"/>
          <c:x val="0.22752975848193863"/>
          <c:y val="0.90115230054845719"/>
          <c:w val="0.67013366718182432"/>
          <c:h val="7.647008035973344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74125109361329"/>
          <c:y val="5.8865923009623795E-2"/>
          <c:w val="0.78225874890638669"/>
          <c:h val="0.68988261883931179"/>
        </c:manualLayout>
      </c:layout>
      <c:barChart>
        <c:barDir val="col"/>
        <c:grouping val="percentStacked"/>
        <c:varyColors val="0"/>
        <c:ser>
          <c:idx val="0"/>
          <c:order val="0"/>
          <c:tx>
            <c:strRef>
              <c:f>Graphs!$A$85</c:f>
              <c:strCache>
                <c:ptCount val="1"/>
                <c:pt idx="0">
                  <c:v>Dairy cattle</c:v>
                </c:pt>
              </c:strCache>
            </c:strRef>
          </c:tx>
          <c:spPr>
            <a:solidFill>
              <a:schemeClr val="bg1">
                <a:lumMod val="65000"/>
              </a:schemeClr>
            </a:solidFill>
            <a:ln>
              <a:solidFill>
                <a:schemeClr val="tx1"/>
              </a:solidFill>
            </a:ln>
            <a:effectLst/>
          </c:spPr>
          <c:invertIfNegative val="0"/>
          <c:cat>
            <c:strRef>
              <c:f>Graphs!$B$84:$F$84</c:f>
              <c:strCache>
                <c:ptCount val="5"/>
                <c:pt idx="0">
                  <c:v>ATL</c:v>
                </c:pt>
                <c:pt idx="1">
                  <c:v>BOR</c:v>
                </c:pt>
                <c:pt idx="2">
                  <c:v>CON</c:v>
                </c:pt>
                <c:pt idx="3">
                  <c:v>MED</c:v>
                </c:pt>
                <c:pt idx="4">
                  <c:v>ALL</c:v>
                </c:pt>
              </c:strCache>
            </c:strRef>
          </c:cat>
          <c:val>
            <c:numRef>
              <c:f>Graphs!$B$85:$F$85</c:f>
              <c:numCache>
                <c:formatCode>#,##0</c:formatCode>
                <c:ptCount val="5"/>
                <c:pt idx="0">
                  <c:v>660444909.06497109</c:v>
                </c:pt>
                <c:pt idx="1">
                  <c:v>60521526.269235685</c:v>
                </c:pt>
                <c:pt idx="2">
                  <c:v>187639501.03498778</c:v>
                </c:pt>
                <c:pt idx="3">
                  <c:v>31894900.083678566</c:v>
                </c:pt>
                <c:pt idx="4">
                  <c:v>940500836.45287323</c:v>
                </c:pt>
              </c:numCache>
            </c:numRef>
          </c:val>
          <c:extLst>
            <c:ext xmlns:c16="http://schemas.microsoft.com/office/drawing/2014/chart" uri="{C3380CC4-5D6E-409C-BE32-E72D297353CC}">
              <c16:uniqueId val="{00000000-DD2A-4C36-A256-4B29DAEF8D50}"/>
            </c:ext>
          </c:extLst>
        </c:ser>
        <c:ser>
          <c:idx val="1"/>
          <c:order val="1"/>
          <c:tx>
            <c:strRef>
              <c:f>Graphs!$A$86</c:f>
              <c:strCache>
                <c:ptCount val="1"/>
                <c:pt idx="0">
                  <c:v>Beef cattle</c:v>
                </c:pt>
              </c:strCache>
            </c:strRef>
          </c:tx>
          <c:spPr>
            <a:pattFill prst="wdDnDiag">
              <a:fgClr>
                <a:schemeClr val="bg1">
                  <a:lumMod val="65000"/>
                </a:schemeClr>
              </a:fgClr>
              <a:bgClr>
                <a:schemeClr val="bg1"/>
              </a:bgClr>
            </a:pattFill>
            <a:ln>
              <a:solidFill>
                <a:schemeClr val="tx1"/>
              </a:solidFill>
            </a:ln>
            <a:effectLst/>
          </c:spPr>
          <c:invertIfNegative val="0"/>
          <c:cat>
            <c:strRef>
              <c:f>Graphs!$B$84:$F$84</c:f>
              <c:strCache>
                <c:ptCount val="5"/>
                <c:pt idx="0">
                  <c:v>ATL</c:v>
                </c:pt>
                <c:pt idx="1">
                  <c:v>BOR</c:v>
                </c:pt>
                <c:pt idx="2">
                  <c:v>CON</c:v>
                </c:pt>
                <c:pt idx="3">
                  <c:v>MED</c:v>
                </c:pt>
                <c:pt idx="4">
                  <c:v>ALL</c:v>
                </c:pt>
              </c:strCache>
            </c:strRef>
          </c:cat>
          <c:val>
            <c:numRef>
              <c:f>Graphs!$B$86:$F$86</c:f>
              <c:numCache>
                <c:formatCode>#,##0</c:formatCode>
                <c:ptCount val="5"/>
                <c:pt idx="0">
                  <c:v>273443170.2978853</c:v>
                </c:pt>
                <c:pt idx="1">
                  <c:v>6668187.3534452356</c:v>
                </c:pt>
                <c:pt idx="2">
                  <c:v>83150552.102250218</c:v>
                </c:pt>
                <c:pt idx="3">
                  <c:v>59337181.890288629</c:v>
                </c:pt>
                <c:pt idx="4">
                  <c:v>422599091.6438694</c:v>
                </c:pt>
              </c:numCache>
            </c:numRef>
          </c:val>
          <c:extLst>
            <c:ext xmlns:c16="http://schemas.microsoft.com/office/drawing/2014/chart" uri="{C3380CC4-5D6E-409C-BE32-E72D297353CC}">
              <c16:uniqueId val="{00000001-DD2A-4C36-A256-4B29DAEF8D50}"/>
            </c:ext>
          </c:extLst>
        </c:ser>
        <c:ser>
          <c:idx val="2"/>
          <c:order val="2"/>
          <c:tx>
            <c:strRef>
              <c:f>Graphs!$A$87</c:f>
              <c:strCache>
                <c:ptCount val="1"/>
                <c:pt idx="0">
                  <c:v>Dairy sheep</c:v>
                </c:pt>
              </c:strCache>
            </c:strRef>
          </c:tx>
          <c:spPr>
            <a:pattFill prst="pct50">
              <a:fgClr>
                <a:schemeClr val="bg1">
                  <a:lumMod val="65000"/>
                </a:schemeClr>
              </a:fgClr>
              <a:bgClr>
                <a:schemeClr val="bg1"/>
              </a:bgClr>
            </a:pattFill>
            <a:ln>
              <a:solidFill>
                <a:schemeClr val="tx1"/>
              </a:solidFill>
            </a:ln>
            <a:effectLst/>
          </c:spPr>
          <c:invertIfNegative val="0"/>
          <c:cat>
            <c:strRef>
              <c:f>Graphs!$B$84:$F$84</c:f>
              <c:strCache>
                <c:ptCount val="5"/>
                <c:pt idx="0">
                  <c:v>ATL</c:v>
                </c:pt>
                <c:pt idx="1">
                  <c:v>BOR</c:v>
                </c:pt>
                <c:pt idx="2">
                  <c:v>CON</c:v>
                </c:pt>
                <c:pt idx="3">
                  <c:v>MED</c:v>
                </c:pt>
                <c:pt idx="4">
                  <c:v>ALL</c:v>
                </c:pt>
              </c:strCache>
            </c:strRef>
          </c:cat>
          <c:val>
            <c:numRef>
              <c:f>Graphs!$B$87:$F$87</c:f>
              <c:numCache>
                <c:formatCode>#,##0</c:formatCode>
                <c:ptCount val="5"/>
                <c:pt idx="0">
                  <c:v>35753055.781344891</c:v>
                </c:pt>
                <c:pt idx="1">
                  <c:v>15492.847280190879</c:v>
                </c:pt>
                <c:pt idx="2">
                  <c:v>77665482.461773112</c:v>
                </c:pt>
                <c:pt idx="3">
                  <c:v>37369784.87198253</c:v>
                </c:pt>
                <c:pt idx="4">
                  <c:v>150803815.96238071</c:v>
                </c:pt>
              </c:numCache>
            </c:numRef>
          </c:val>
          <c:extLst>
            <c:ext xmlns:c16="http://schemas.microsoft.com/office/drawing/2014/chart" uri="{C3380CC4-5D6E-409C-BE32-E72D297353CC}">
              <c16:uniqueId val="{00000002-DD2A-4C36-A256-4B29DAEF8D50}"/>
            </c:ext>
          </c:extLst>
        </c:ser>
        <c:ser>
          <c:idx val="3"/>
          <c:order val="3"/>
          <c:tx>
            <c:strRef>
              <c:f>Graphs!$A$88</c:f>
              <c:strCache>
                <c:ptCount val="1"/>
                <c:pt idx="0">
                  <c:v>Meat sheep</c:v>
                </c:pt>
              </c:strCache>
            </c:strRef>
          </c:tx>
          <c:spPr>
            <a:pattFill prst="solidDmnd">
              <a:fgClr>
                <a:schemeClr val="bg1">
                  <a:lumMod val="65000"/>
                </a:schemeClr>
              </a:fgClr>
              <a:bgClr>
                <a:schemeClr val="bg1"/>
              </a:bgClr>
            </a:pattFill>
            <a:ln>
              <a:solidFill>
                <a:schemeClr val="tx1"/>
              </a:solidFill>
            </a:ln>
            <a:effectLst/>
          </c:spPr>
          <c:invertIfNegative val="0"/>
          <c:cat>
            <c:strRef>
              <c:f>Graphs!$B$84:$F$84</c:f>
              <c:strCache>
                <c:ptCount val="5"/>
                <c:pt idx="0">
                  <c:v>ATL</c:v>
                </c:pt>
                <c:pt idx="1">
                  <c:v>BOR</c:v>
                </c:pt>
                <c:pt idx="2">
                  <c:v>CON</c:v>
                </c:pt>
                <c:pt idx="3">
                  <c:v>MED</c:v>
                </c:pt>
                <c:pt idx="4">
                  <c:v>ALL</c:v>
                </c:pt>
              </c:strCache>
            </c:strRef>
          </c:cat>
          <c:val>
            <c:numRef>
              <c:f>Graphs!$B$88:$F$88</c:f>
              <c:numCache>
                <c:formatCode>#,##0</c:formatCode>
                <c:ptCount val="5"/>
                <c:pt idx="0">
                  <c:v>148297440.97908267</c:v>
                </c:pt>
                <c:pt idx="1">
                  <c:v>4164274.9219674459</c:v>
                </c:pt>
                <c:pt idx="2">
                  <c:v>31845348.2993977</c:v>
                </c:pt>
                <c:pt idx="3">
                  <c:v>21368523.452905767</c:v>
                </c:pt>
                <c:pt idx="4">
                  <c:v>205675587.6533536</c:v>
                </c:pt>
              </c:numCache>
            </c:numRef>
          </c:val>
          <c:extLst>
            <c:ext xmlns:c16="http://schemas.microsoft.com/office/drawing/2014/chart" uri="{C3380CC4-5D6E-409C-BE32-E72D297353CC}">
              <c16:uniqueId val="{00000003-DD2A-4C36-A256-4B29DAEF8D50}"/>
            </c:ext>
          </c:extLst>
        </c:ser>
        <c:ser>
          <c:idx val="4"/>
          <c:order val="4"/>
          <c:tx>
            <c:strRef>
              <c:f>Graphs!$A$89</c:f>
              <c:strCache>
                <c:ptCount val="1"/>
                <c:pt idx="0">
                  <c:v>Dairy goats</c:v>
                </c:pt>
              </c:strCache>
            </c:strRef>
          </c:tx>
          <c:spPr>
            <a:solidFill>
              <a:schemeClr val="tx1"/>
            </a:solidFill>
            <a:ln>
              <a:solidFill>
                <a:schemeClr val="tx1"/>
              </a:solidFill>
            </a:ln>
            <a:effectLst/>
          </c:spPr>
          <c:invertIfNegative val="0"/>
          <c:cat>
            <c:strRef>
              <c:f>Graphs!$B$84:$F$84</c:f>
              <c:strCache>
                <c:ptCount val="5"/>
                <c:pt idx="0">
                  <c:v>ATL</c:v>
                </c:pt>
                <c:pt idx="1">
                  <c:v>BOR</c:v>
                </c:pt>
                <c:pt idx="2">
                  <c:v>CON</c:v>
                </c:pt>
                <c:pt idx="3">
                  <c:v>MED</c:v>
                </c:pt>
                <c:pt idx="4">
                  <c:v>ALL</c:v>
                </c:pt>
              </c:strCache>
            </c:strRef>
          </c:cat>
          <c:val>
            <c:numRef>
              <c:f>Graphs!$B$89:$F$89</c:f>
              <c:numCache>
                <c:formatCode>#,##0</c:formatCode>
                <c:ptCount val="5"/>
                <c:pt idx="0">
                  <c:v>5710166.8911608364</c:v>
                </c:pt>
                <c:pt idx="1">
                  <c:v>1541701.8789760456</c:v>
                </c:pt>
                <c:pt idx="2">
                  <c:v>14371820.056234332</c:v>
                </c:pt>
                <c:pt idx="3">
                  <c:v>64343874.739156641</c:v>
                </c:pt>
                <c:pt idx="4">
                  <c:v>85967563.565527856</c:v>
                </c:pt>
              </c:numCache>
            </c:numRef>
          </c:val>
          <c:extLst>
            <c:ext xmlns:c16="http://schemas.microsoft.com/office/drawing/2014/chart" uri="{C3380CC4-5D6E-409C-BE32-E72D297353CC}">
              <c16:uniqueId val="{00000004-DD2A-4C36-A256-4B29DAEF8D50}"/>
            </c:ext>
          </c:extLst>
        </c:ser>
        <c:dLbls>
          <c:showLegendKey val="0"/>
          <c:showVal val="0"/>
          <c:showCatName val="0"/>
          <c:showSerName val="0"/>
          <c:showPercent val="0"/>
          <c:showBubbleSize val="0"/>
        </c:dLbls>
        <c:gapWidth val="150"/>
        <c:overlap val="100"/>
        <c:axId val="1208418640"/>
        <c:axId val="1208415728"/>
      </c:barChart>
      <c:catAx>
        <c:axId val="1208418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208415728"/>
        <c:crosses val="autoZero"/>
        <c:auto val="1"/>
        <c:lblAlgn val="ctr"/>
        <c:lblOffset val="100"/>
        <c:noMultiLvlLbl val="0"/>
      </c:catAx>
      <c:valAx>
        <c:axId val="12084157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Relative impact</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0841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125B8F-8F94-4165-A7F7-4A00CB6C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11699</Words>
  <Characters>66686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Charlier</dc:creator>
  <cp:keywords/>
  <dc:description/>
  <cp:lastModifiedBy>Johannes Charlier</cp:lastModifiedBy>
  <cp:revision>5</cp:revision>
  <cp:lastPrinted>2019-12-23T09:38:00Z</cp:lastPrinted>
  <dcterms:created xsi:type="dcterms:W3CDTF">2020-06-29T07:35:00Z</dcterms:created>
  <dcterms:modified xsi:type="dcterms:W3CDTF">2020-06-29T08:55:00Z</dcterms:modified>
</cp:coreProperties>
</file>