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96736" w14:textId="77777777" w:rsidR="00CF143A" w:rsidRPr="0098261B" w:rsidRDefault="005E6545" w:rsidP="00CF143A">
      <w:pPr>
        <w:pStyle w:val="Title1"/>
      </w:pPr>
      <w:r w:rsidRPr="0098261B">
        <w:t>Crosslinked Polyimide and Reduced Graphene Oxide Composites as Long Cycle Life Positive Electrode for Lithium-Ion Cells</w:t>
      </w:r>
    </w:p>
    <w:p w14:paraId="3F9962D3" w14:textId="77777777" w:rsidR="00CF143A" w:rsidRPr="0098261B" w:rsidRDefault="005E6545" w:rsidP="00CF143A">
      <w:pPr>
        <w:pStyle w:val="Authors"/>
        <w:rPr>
          <w:vertAlign w:val="superscript"/>
        </w:rPr>
      </w:pPr>
      <w:r w:rsidRPr="0098261B">
        <w:t>Hui Gao,</w:t>
      </w:r>
      <w:r w:rsidRPr="0098261B">
        <w:rPr>
          <w:vertAlign w:val="superscript"/>
        </w:rPr>
        <w:t>[a]</w:t>
      </w:r>
      <w:r w:rsidRPr="0098261B">
        <w:t xml:space="preserve"> </w:t>
      </w:r>
      <w:proofErr w:type="spellStart"/>
      <w:r w:rsidRPr="0098261B">
        <w:t>Bingbing</w:t>
      </w:r>
      <w:proofErr w:type="spellEnd"/>
      <w:r w:rsidRPr="0098261B">
        <w:t xml:space="preserve"> Tian,</w:t>
      </w:r>
      <w:r w:rsidRPr="0098261B">
        <w:rPr>
          <w:vertAlign w:val="superscript"/>
        </w:rPr>
        <w:t>[b]</w:t>
      </w:r>
      <w:r w:rsidRPr="0098261B">
        <w:t xml:space="preserve"> Haofan Yang,</w:t>
      </w:r>
      <w:r w:rsidRPr="0098261B">
        <w:rPr>
          <w:vertAlign w:val="superscript"/>
        </w:rPr>
        <w:t>[a]</w:t>
      </w:r>
      <w:r w:rsidRPr="0098261B">
        <w:t xml:space="preserve"> Alex R. Neale,</w:t>
      </w:r>
      <w:r w:rsidRPr="0098261B">
        <w:rPr>
          <w:vertAlign w:val="superscript"/>
        </w:rPr>
        <w:t>[c]</w:t>
      </w:r>
      <w:r w:rsidRPr="0098261B">
        <w:t xml:space="preserve"> Marc A. Little,</w:t>
      </w:r>
      <w:r w:rsidRPr="0098261B">
        <w:rPr>
          <w:vertAlign w:val="superscript"/>
        </w:rPr>
        <w:t>[a]</w:t>
      </w:r>
      <w:r w:rsidRPr="0098261B">
        <w:t xml:space="preserve"> Reiner Sebastian Sprick,</w:t>
      </w:r>
      <w:r w:rsidRPr="0098261B">
        <w:rPr>
          <w:vertAlign w:val="superscript"/>
        </w:rPr>
        <w:t>[a</w:t>
      </w:r>
      <w:r w:rsidR="00900D39" w:rsidRPr="0098261B">
        <w:rPr>
          <w:vertAlign w:val="superscript"/>
        </w:rPr>
        <w:t>]</w:t>
      </w:r>
      <w:r w:rsidRPr="0098261B">
        <w:t xml:space="preserve"> Laurence J. Hardwick*</w:t>
      </w:r>
      <w:r w:rsidR="00900D39" w:rsidRPr="0098261B">
        <w:rPr>
          <w:vertAlign w:val="superscript"/>
        </w:rPr>
        <w:t>[</w:t>
      </w:r>
      <w:r w:rsidRPr="0098261B">
        <w:rPr>
          <w:vertAlign w:val="superscript"/>
        </w:rPr>
        <w:t>c</w:t>
      </w:r>
      <w:r w:rsidR="00900D39" w:rsidRPr="0098261B">
        <w:rPr>
          <w:vertAlign w:val="superscript"/>
        </w:rPr>
        <w:t>]</w:t>
      </w:r>
      <w:r w:rsidRPr="0098261B">
        <w:t xml:space="preserve"> and Andrew I</w:t>
      </w:r>
      <w:r w:rsidRPr="0098261B">
        <w:rPr>
          <w:rFonts w:ascii="DengXian" w:eastAsia="DengXian" w:hAnsi="DengXian"/>
          <w:lang w:eastAsia="zh-CN"/>
        </w:rPr>
        <w:t>.</w:t>
      </w:r>
      <w:r w:rsidRPr="0098261B">
        <w:t xml:space="preserve"> Cooper*</w:t>
      </w:r>
      <w:r w:rsidR="00900D39" w:rsidRPr="0098261B">
        <w:rPr>
          <w:vertAlign w:val="superscript"/>
        </w:rPr>
        <w:t>[</w:t>
      </w:r>
      <w:r w:rsidRPr="0098261B">
        <w:rPr>
          <w:vertAlign w:val="superscript"/>
        </w:rPr>
        <w:t>a</w:t>
      </w:r>
      <w:r w:rsidR="00900D39" w:rsidRPr="0098261B">
        <w:rPr>
          <w:vertAlign w:val="superscript"/>
        </w:rPr>
        <w:t>]</w:t>
      </w:r>
    </w:p>
    <w:p w14:paraId="7A711B2E" w14:textId="77777777" w:rsidR="00F031FD" w:rsidRPr="0098261B" w:rsidRDefault="00F031FD" w:rsidP="00CF143A">
      <w:pPr>
        <w:pStyle w:val="Authors"/>
      </w:pPr>
    </w:p>
    <w:p w14:paraId="602CAE71" w14:textId="77777777" w:rsidR="0050029F" w:rsidRPr="0098261B" w:rsidRDefault="007224C1" w:rsidP="007224C1">
      <w:pPr>
        <w:pStyle w:val="Adress"/>
      </w:pPr>
      <w:r w:rsidRPr="0098261B">
        <w:t xml:space="preserve"> </w:t>
      </w:r>
      <w:r w:rsidR="0050029F" w:rsidRPr="0098261B">
        <w:t xml:space="preserve">[a]   </w:t>
      </w:r>
      <w:r w:rsidR="005E4D19" w:rsidRPr="0098261B">
        <w:t xml:space="preserve">   </w:t>
      </w:r>
      <w:r w:rsidR="0050029F" w:rsidRPr="0098261B">
        <w:t xml:space="preserve">H. Gao, H. Yang, Dr. M. A. Little, Dr. R. S. Sprick, Prof. A. I. Cooper </w:t>
      </w:r>
    </w:p>
    <w:p w14:paraId="2D2D1346" w14:textId="77777777" w:rsidR="0050029F" w:rsidRPr="0098261B" w:rsidRDefault="0050029F" w:rsidP="007224C1">
      <w:pPr>
        <w:pStyle w:val="Adress"/>
        <w:ind w:firstLine="0"/>
      </w:pPr>
      <w:r w:rsidRPr="0098261B">
        <w:t xml:space="preserve">Materials Innovation Factory and Department of Chemistry </w:t>
      </w:r>
    </w:p>
    <w:p w14:paraId="35491F53" w14:textId="77777777" w:rsidR="0050029F" w:rsidRPr="0098261B" w:rsidRDefault="0050029F" w:rsidP="007224C1">
      <w:pPr>
        <w:pStyle w:val="Adress"/>
        <w:ind w:firstLine="0"/>
      </w:pPr>
      <w:r w:rsidRPr="0098261B">
        <w:t>University of Liverpool</w:t>
      </w:r>
    </w:p>
    <w:p w14:paraId="51438426" w14:textId="77777777" w:rsidR="0050029F" w:rsidRPr="0098261B" w:rsidRDefault="0050029F" w:rsidP="007224C1">
      <w:pPr>
        <w:pStyle w:val="Adress"/>
        <w:ind w:firstLine="0"/>
      </w:pPr>
      <w:r w:rsidRPr="0098261B">
        <w:t>51 Oxford St</w:t>
      </w:r>
    </w:p>
    <w:p w14:paraId="26318D35" w14:textId="77777777" w:rsidR="0050029F" w:rsidRPr="0098261B" w:rsidRDefault="0050029F" w:rsidP="007224C1">
      <w:pPr>
        <w:pStyle w:val="Adress"/>
        <w:ind w:firstLine="0"/>
      </w:pPr>
      <w:r w:rsidRPr="0098261B">
        <w:t>Liverpool L7 3NY, UK.</w:t>
      </w:r>
    </w:p>
    <w:p w14:paraId="5602F734" w14:textId="77777777" w:rsidR="0050029F" w:rsidRPr="0098261B" w:rsidRDefault="0050029F" w:rsidP="007224C1">
      <w:pPr>
        <w:pStyle w:val="Adress"/>
        <w:ind w:firstLine="0"/>
      </w:pPr>
      <w:r w:rsidRPr="0098261B">
        <w:t xml:space="preserve">E-mail: </w:t>
      </w:r>
      <w:hyperlink r:id="rId8" w:history="1">
        <w:r w:rsidRPr="0098261B">
          <w:rPr>
            <w:rStyle w:val="Hyperlink"/>
            <w:color w:val="auto"/>
            <w:u w:val="none"/>
          </w:rPr>
          <w:t>aicooper@liverpool.ac.uk</w:t>
        </w:r>
      </w:hyperlink>
      <w:r w:rsidRPr="0098261B">
        <w:t xml:space="preserve">; </w:t>
      </w:r>
      <w:hyperlink r:id="rId9" w:history="1">
        <w:r w:rsidRPr="0098261B">
          <w:rPr>
            <w:rStyle w:val="Hyperlink"/>
            <w:color w:val="auto"/>
            <w:u w:val="none"/>
          </w:rPr>
          <w:t>hardwick@liverpool.ac.uk</w:t>
        </w:r>
      </w:hyperlink>
      <w:r w:rsidRPr="0098261B">
        <w:t xml:space="preserve"> </w:t>
      </w:r>
    </w:p>
    <w:p w14:paraId="4AD274A2" w14:textId="77777777" w:rsidR="0050029F" w:rsidRPr="0098261B" w:rsidRDefault="0050029F" w:rsidP="007224C1">
      <w:pPr>
        <w:pStyle w:val="Adress"/>
      </w:pPr>
      <w:r w:rsidRPr="0098261B">
        <w:t xml:space="preserve">[b] </w:t>
      </w:r>
      <w:r w:rsidR="007224C1" w:rsidRPr="0098261B">
        <w:t xml:space="preserve">      </w:t>
      </w:r>
      <w:r w:rsidRPr="0098261B">
        <w:t>Dr. B. Tian</w:t>
      </w:r>
    </w:p>
    <w:p w14:paraId="06D15687" w14:textId="77777777" w:rsidR="0050029F" w:rsidRPr="0098261B" w:rsidRDefault="0050029F" w:rsidP="007224C1">
      <w:pPr>
        <w:pStyle w:val="Adress"/>
        <w:ind w:firstLine="0"/>
      </w:pPr>
      <w:r w:rsidRPr="0098261B">
        <w:t>International Collaborative Laboratory of 2D Materials for Optoelectronics Science and Technology of Ministry of Education</w:t>
      </w:r>
    </w:p>
    <w:p w14:paraId="27F12D32" w14:textId="77777777" w:rsidR="0050029F" w:rsidRPr="0098261B" w:rsidRDefault="0050029F" w:rsidP="007224C1">
      <w:pPr>
        <w:pStyle w:val="Adress"/>
        <w:ind w:firstLine="0"/>
      </w:pPr>
      <w:r w:rsidRPr="0098261B">
        <w:t>Institute of Microscale Optoelectronics</w:t>
      </w:r>
    </w:p>
    <w:p w14:paraId="6A5F9AD2" w14:textId="77777777" w:rsidR="0050029F" w:rsidRPr="0098261B" w:rsidRDefault="0050029F" w:rsidP="007224C1">
      <w:pPr>
        <w:pStyle w:val="Adress"/>
        <w:ind w:firstLine="0"/>
      </w:pPr>
      <w:r w:rsidRPr="0098261B">
        <w:t>Shenzhen University</w:t>
      </w:r>
    </w:p>
    <w:p w14:paraId="70C36B50" w14:textId="77777777" w:rsidR="0050029F" w:rsidRPr="0098261B" w:rsidRDefault="0050029F" w:rsidP="007224C1">
      <w:pPr>
        <w:pStyle w:val="Adress"/>
        <w:ind w:firstLine="0"/>
      </w:pPr>
      <w:r w:rsidRPr="0098261B">
        <w:t xml:space="preserve">Shenzhen 518060, P. R. China </w:t>
      </w:r>
    </w:p>
    <w:p w14:paraId="13F8D407" w14:textId="620B8186" w:rsidR="0050029F" w:rsidRPr="0098261B" w:rsidRDefault="0050029F" w:rsidP="007224C1">
      <w:pPr>
        <w:pStyle w:val="Adress"/>
      </w:pPr>
      <w:r w:rsidRPr="0098261B">
        <w:t xml:space="preserve">[c] </w:t>
      </w:r>
      <w:r w:rsidR="007224C1" w:rsidRPr="0098261B">
        <w:t xml:space="preserve">      </w:t>
      </w:r>
      <w:r w:rsidRPr="0098261B">
        <w:t>Dr. A.</w:t>
      </w:r>
      <w:r w:rsidR="00713C58">
        <w:t xml:space="preserve"> </w:t>
      </w:r>
      <w:r w:rsidRPr="0098261B">
        <w:t>R. Neale, Prof. L.</w:t>
      </w:r>
      <w:r w:rsidR="00713C58">
        <w:t xml:space="preserve"> </w:t>
      </w:r>
      <w:r w:rsidRPr="0098261B">
        <w:t>J. Hardwick</w:t>
      </w:r>
    </w:p>
    <w:p w14:paraId="4BEABCAD" w14:textId="77777777" w:rsidR="0050029F" w:rsidRPr="0098261B" w:rsidRDefault="0050029F" w:rsidP="007224C1">
      <w:pPr>
        <w:pStyle w:val="Adress"/>
        <w:ind w:firstLine="0"/>
      </w:pPr>
      <w:r w:rsidRPr="0098261B">
        <w:t>Stephenson Institute for Renewable Energy</w:t>
      </w:r>
    </w:p>
    <w:p w14:paraId="0755122A" w14:textId="77777777" w:rsidR="0050029F" w:rsidRPr="0098261B" w:rsidRDefault="0050029F" w:rsidP="007224C1">
      <w:pPr>
        <w:pStyle w:val="Adress"/>
        <w:ind w:firstLine="0"/>
      </w:pPr>
      <w:r w:rsidRPr="0098261B">
        <w:t>Department of Chemistry</w:t>
      </w:r>
    </w:p>
    <w:p w14:paraId="65A69C83" w14:textId="77777777" w:rsidR="0050029F" w:rsidRPr="0098261B" w:rsidRDefault="0050029F" w:rsidP="007224C1">
      <w:pPr>
        <w:pStyle w:val="Adress"/>
        <w:ind w:firstLine="0"/>
      </w:pPr>
      <w:r w:rsidRPr="0098261B">
        <w:t>University of Liverpool</w:t>
      </w:r>
    </w:p>
    <w:p w14:paraId="43CF43D4" w14:textId="77777777" w:rsidR="0050029F" w:rsidRPr="0098261B" w:rsidRDefault="0050029F" w:rsidP="007224C1">
      <w:pPr>
        <w:pStyle w:val="Adress"/>
        <w:ind w:firstLine="0"/>
      </w:pPr>
      <w:r w:rsidRPr="0098261B">
        <w:t>Peach St</w:t>
      </w:r>
    </w:p>
    <w:p w14:paraId="0169E79F" w14:textId="77777777" w:rsidR="0050029F" w:rsidRPr="0098261B" w:rsidRDefault="0050029F" w:rsidP="007224C1">
      <w:pPr>
        <w:pStyle w:val="Adress"/>
        <w:ind w:firstLine="0"/>
      </w:pPr>
      <w:r w:rsidRPr="0098261B">
        <w:t>Liverpool L69 7ZD, UK.</w:t>
      </w:r>
    </w:p>
    <w:p w14:paraId="56E77CCD" w14:textId="77777777" w:rsidR="0050029F" w:rsidRPr="0098261B" w:rsidRDefault="0050029F" w:rsidP="0050029F">
      <w:pPr>
        <w:pStyle w:val="Adress"/>
        <w:rPr>
          <w:lang w:val="en-US"/>
        </w:rPr>
      </w:pPr>
    </w:p>
    <w:p w14:paraId="09ABAD9A" w14:textId="77777777" w:rsidR="00CF143A" w:rsidRPr="0098261B" w:rsidRDefault="00CF143A" w:rsidP="00F031FD">
      <w:pPr>
        <w:pStyle w:val="Footnote"/>
        <w:spacing w:after="360"/>
        <w:ind w:left="0" w:firstLine="0"/>
        <w:rPr>
          <w:color w:val="FF0000"/>
        </w:rPr>
      </w:pPr>
      <w:r w:rsidRPr="0098261B">
        <w:tab/>
        <w:t>Supporting information for this article is given via a link at the end of the document.</w:t>
      </w:r>
    </w:p>
    <w:p w14:paraId="1A2FA5D2" w14:textId="77777777" w:rsidR="00CF143A" w:rsidRPr="0098261B" w:rsidRDefault="00CF143A" w:rsidP="00CF143A">
      <w:pPr>
        <w:rPr>
          <w:lang w:val="en-US"/>
        </w:rPr>
      </w:pPr>
    </w:p>
    <w:p w14:paraId="30F91799" w14:textId="77777777" w:rsidR="006D4F77" w:rsidRPr="0098261B" w:rsidRDefault="006D4F77" w:rsidP="006D4F77">
      <w:pPr>
        <w:pStyle w:val="Dedication"/>
        <w:rPr>
          <w:lang w:val="en-US"/>
        </w:rPr>
        <w:sectPr w:rsidR="006D4F77" w:rsidRPr="0098261B" w:rsidSect="0095126A">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14:paraId="5F0B05CC" w14:textId="77777777" w:rsidR="00F031FD" w:rsidRPr="0098261B" w:rsidRDefault="00CF143A" w:rsidP="00F031FD">
      <w:pPr>
        <w:pStyle w:val="Abstract"/>
      </w:pPr>
      <w:r w:rsidRPr="0098261B">
        <w:rPr>
          <w:b/>
          <w:lang w:val="en-US"/>
        </w:rPr>
        <w:t>Abstract:</w:t>
      </w:r>
      <w:r w:rsidR="00F031FD" w:rsidRPr="0098261B">
        <w:rPr>
          <w:b/>
          <w:lang w:val="en-US"/>
        </w:rPr>
        <w:t xml:space="preserve"> </w:t>
      </w:r>
      <w:r w:rsidR="00F031FD" w:rsidRPr="0098261B">
        <w:t>Conjugated polymers with electrochemically active redox groups are a promising class of positive electrode material for lithium-ion batteries. However, most polymers, such as polyimides, possess low intrinsic conductivity, which results in low utilization of redox-active sites during charge cycling and, consequently, poor electrochemical performance. Here, it is shown that this limitation can be overcome by synthesizing polyimide composites (</w:t>
      </w:r>
      <w:r w:rsidR="00F031FD" w:rsidRPr="0098261B">
        <w:rPr>
          <w:b/>
        </w:rPr>
        <w:t>PIX</w:t>
      </w:r>
      <w:r w:rsidR="00F031FD" w:rsidRPr="0098261B">
        <w:t>) with reduced graphene oxide (</w:t>
      </w:r>
      <w:proofErr w:type="spellStart"/>
      <w:r w:rsidR="00F031FD" w:rsidRPr="0098261B">
        <w:t>rGO</w:t>
      </w:r>
      <w:proofErr w:type="spellEnd"/>
      <w:r w:rsidR="00F031FD" w:rsidRPr="0098261B">
        <w:t xml:space="preserve">) using an </w:t>
      </w:r>
      <w:r w:rsidR="00F031FD" w:rsidRPr="0098261B">
        <w:rPr>
          <w:i/>
        </w:rPr>
        <w:t>in situ</w:t>
      </w:r>
      <w:r w:rsidR="00F031FD" w:rsidRPr="0098261B">
        <w:t xml:space="preserve"> polycondensation reaction. The polyimide composites have increased charge-transfer performance and much larger specific capacities, with </w:t>
      </w:r>
      <w:r w:rsidR="00F031FD" w:rsidRPr="0098261B">
        <w:rPr>
          <w:b/>
          <w:bCs/>
        </w:rPr>
        <w:t>PI50</w:t>
      </w:r>
      <w:r w:rsidR="00F031FD" w:rsidRPr="0098261B">
        <w:t>, which contains 50 </w:t>
      </w:r>
      <w:r w:rsidR="00F031FD" w:rsidRPr="0098261B">
        <w:rPr>
          <w:lang w:val="de-DE"/>
        </w:rPr>
        <w:t xml:space="preserve">wt.% of </w:t>
      </w:r>
      <w:proofErr w:type="spellStart"/>
      <w:r w:rsidR="00F031FD" w:rsidRPr="0098261B">
        <w:t>rGO</w:t>
      </w:r>
      <w:proofErr w:type="spellEnd"/>
      <w:r w:rsidR="00F031FD" w:rsidRPr="0098261B">
        <w:t>, showing the largest specific capacity of 172 </w:t>
      </w:r>
      <w:proofErr w:type="spellStart"/>
      <w:r w:rsidR="00F031FD" w:rsidRPr="0098261B">
        <w:t>mAh</w:t>
      </w:r>
      <w:proofErr w:type="spellEnd"/>
      <w:r w:rsidR="00F031FD" w:rsidRPr="0098261B">
        <w:t> g</w:t>
      </w:r>
      <w:r w:rsidR="00F031FD" w:rsidRPr="0098261B">
        <w:rPr>
          <w:vertAlign w:val="superscript"/>
        </w:rPr>
        <w:noBreakHyphen/>
        <w:t>1</w:t>
      </w:r>
      <w:r w:rsidR="00F031FD" w:rsidRPr="0098261B">
        <w:t xml:space="preserve"> at 500 mA g</w:t>
      </w:r>
      <w:r w:rsidR="00F031FD" w:rsidRPr="0098261B">
        <w:rPr>
          <w:vertAlign w:val="superscript"/>
        </w:rPr>
        <w:t>-1</w:t>
      </w:r>
      <w:r w:rsidR="00F031FD" w:rsidRPr="0098261B">
        <w:t>. This corresponds to a high utilization of the redox active sites in the active polyimide (86%) and this composite retains 80% of its initial capacity (125 </w:t>
      </w:r>
      <w:proofErr w:type="spellStart"/>
      <w:r w:rsidR="00F031FD" w:rsidRPr="0098261B">
        <w:t>mAh</w:t>
      </w:r>
      <w:proofErr w:type="spellEnd"/>
      <w:r w:rsidR="00F031FD" w:rsidRPr="0098261B">
        <w:t xml:space="preserve"> g</w:t>
      </w:r>
      <w:r w:rsidR="00F031FD" w:rsidRPr="0098261B">
        <w:rPr>
          <w:vertAlign w:val="superscript"/>
        </w:rPr>
        <w:t>-1</w:t>
      </w:r>
      <w:r w:rsidR="00F031FD" w:rsidRPr="0098261B">
        <w:t>)</w:t>
      </w:r>
      <w:r w:rsidR="00F031FD" w:rsidRPr="0098261B">
        <w:rPr>
          <w:vertAlign w:val="superscript"/>
        </w:rPr>
        <w:t xml:space="preserve"> </w:t>
      </w:r>
      <w:r w:rsidR="00F031FD" w:rsidRPr="0098261B">
        <w:t>after 9000 cycles at 2000 mA g</w:t>
      </w:r>
      <w:r w:rsidR="00F031FD" w:rsidRPr="0098261B">
        <w:rPr>
          <w:vertAlign w:val="superscript"/>
        </w:rPr>
        <w:t>-1</w:t>
      </w:r>
      <w:r w:rsidR="00F031FD" w:rsidRPr="0098261B">
        <w:t xml:space="preserve">.  </w:t>
      </w:r>
    </w:p>
    <w:p w14:paraId="44EA4C4F" w14:textId="77777777" w:rsidR="00AD78DA" w:rsidRPr="0098261B" w:rsidRDefault="00AD78DA" w:rsidP="00C00B45">
      <w:pPr>
        <w:pStyle w:val="H1"/>
      </w:pPr>
      <w:r w:rsidRPr="0098261B">
        <w:t>Introduction</w:t>
      </w:r>
    </w:p>
    <w:p w14:paraId="6B7E4D6F" w14:textId="77777777" w:rsidR="00F031FD" w:rsidRPr="0098261B" w:rsidRDefault="00F031FD" w:rsidP="00274379">
      <w:pPr>
        <w:pStyle w:val="P1"/>
      </w:pPr>
      <w:r w:rsidRPr="0098261B">
        <w:t>Lithium-ion batteries are important in portable electronic devices and electric vehicles.</w:t>
      </w:r>
      <w:r w:rsidRPr="0098261B">
        <w:fldChar w:fldCharType="begin" w:fldLock="1"/>
      </w:r>
      <w:r w:rsidRPr="0098261B">
        <w:instrText>ADDIN CSL_CITATION {"citationItems":[{"id":"ITEM-1","itemData":{"DOI":"10.1038/35104644","ISBN":"0028-0836","ISSN":"0028-0836","PMID":"11713543","abstract":"Technological improvements in rechargeable solid-state batteries are being driven by an ever-increasing demand for portable electronic devices. Lithium-ion batteries are the systems of choice, offering high energy density, flexible and lightweight design, and longer lifespan than comparable battery technologies. We present a brief historical review of the development of lithium-based rechargeable batteries, highlight ongoing research strategies, and discuss the challenges that remain regarding the synthesis, characterization, electrochemical performance and safety of these systems.","author":[{"dropping-particle":"","family":"Tarascon","given":"J M","non-dropping-particle":"","parse-names":false,"suffix":""},{"dropping-particle":"","family":"Armand","given":"M","non-dropping-particle":"","parse-names":false,"suffix":""}],"container-title":"Nature","id":"ITEM-1","issue":"6861","issued":{"date-parts":[["2001"]]},"page":"359-67","title":"Issues and challenges facing rechargeable lithium batteries.","type":"article-journal","volume":"414"},"uris":["http://www.mendeley.com/documents/?uuid=6647609b-f5f6-4bf3-b686-288a554fa1dd"]},{"id":"ITEM-2","itemData":{"DOI":"10.1038/nmat3237","ISBN":"1476-1122","ISSN":"1476-1122","PMID":"22169914","abstract":"Li-ion batteries have transformed portable electronics and will play a key role in the electrification of transport. However, the highest energy storage possible for Li-ion batteries is insufficient for the long-term needs of society, for example, extended-range electric vehicles. To go beyond the horizon of Li-ion batteries is a formidable challenge; there are few options. Here we consider two: Li-air (O(2)) and Li-S. The energy that can be stored in Li-air (based on aqueous or non-aqueous electrolytes) and Li-S cells is compared with Li-ion; the operation of the cells is discussed, as are the significant hurdles that will have to be overcome if such batteries are to succeed. Fundamental scientific advances in understanding the reactions occurring in the cells as well as new materials are key to overcoming these obstacles. The potential benefits of Li-air and Li-S justify the continued research effort that will be needed.","author":[{"dropping-particle":"","family":"Bruce","given":"Peter G.","non-dropping-particle":"","parse-names":false,"suffix":""},{"dropping-particle":"","family":"Freunberger","given":"Stefan A.","non-dropping-particle":"","parse-names":false,"suffix":""},{"dropping-particle":"","family":"Hardwick","given":"Laurence J.","non-dropping-particle":"","parse-names":false,"suffix":""},{"dropping-particle":"","family":"Tarascon","given":"Jean-Marie","non-dropping-particle":"","parse-names":false,"suffix":""}],"container-title":"Nature Materials","id":"ITEM-2","issue":"02","issued":{"date-parts":[["2011"]]},"page":"172-172","title":"Li–O2 and Li–S batteries with high energy storage","type":"article-journal","volume":"11"},"uris":["http://www.mendeley.com/documents/?uuid=4d377897-fe35-4eab-a443-d615854e2265"]},{"id":"ITEM-3","itemData":{"DOI":"10.1016/j.chempr.2018.09.005","ISSN":"24519294","author":[{"dropping-particle":"","family":"Lu","given":"Yong","non-dropping-particle":"","parse-names":false,"suffix":""},{"dropping-particle":"","family":"Zhang","given":"Qiu","non-dropping-particle":"","parse-names":false,"suffix":""},{"dropping-particle":"","family":"Li","given":"Lin","non-dropping-particle":"","parse-names":false,"suffix":""},{"dropping-particle":"","family":"Niu","given":"Zhiqiang","non-dropping-particle":"","parse-names":false,"suffix":""},{"dropping-particle":"","family":"Chen","given":"Jun","non-dropping-particle":"","parse-names":false,"suffix":""}],"container-title":"Chem","id":"ITEM-3","issue":"12","issued":{"date-parts":[["2018"]]},"page":"1-28","publisher":"Elsevier Inc.","title":"Design Strategies toward Enhancing the Performance of Organic Electrode Materials in Metal-Ion Batteries","type":"article-journal","volume":"4"},"uris":["http://www.mendeley.com/documents/?uuid=161f603a-25df-421c-a7bb-3d49b6ad480b"]}],"mendeley":{"formattedCitation":"&lt;sup&gt;[1–3]&lt;/sup&gt;","plainTextFormattedCitation":"[1–3]","previouslyFormattedCitation":"&lt;sup&gt;[1–3]&lt;/sup&gt;"},"properties":{"noteIndex":0},"schema":"https://github.com/citation-style-language/schema/raw/master/csl-citation.json"}</w:instrText>
      </w:r>
      <w:r w:rsidRPr="0098261B">
        <w:fldChar w:fldCharType="separate"/>
      </w:r>
      <w:r w:rsidRPr="0098261B">
        <w:rPr>
          <w:noProof/>
          <w:vertAlign w:val="superscript"/>
        </w:rPr>
        <w:t>[1–3]</w:t>
      </w:r>
      <w:r w:rsidRPr="0098261B">
        <w:fldChar w:fldCharType="end"/>
      </w:r>
      <w:r w:rsidRPr="0098261B">
        <w:t xml:space="preserve"> Organic materials have attracted attention as candidate lightweight electrodes for next generation lithium-ion batteries.</w:t>
      </w:r>
      <w:r w:rsidRPr="0098261B">
        <w:rPr>
          <w:vertAlign w:val="superscript"/>
        </w:rPr>
        <w:fldChar w:fldCharType="begin" w:fldLock="1"/>
      </w:r>
      <w:r w:rsidRPr="0098261B">
        <w:rPr>
          <w:vertAlign w:val="superscript"/>
        </w:rPr>
        <w:instrText>ADDIN CSL_CITATION {"citationItems":[{"id":"ITEM-1","itemData":{"DOI":"10.1021/nl402239p","ISBN":"1530-6984","ISSN":"15306984","PMID":"23978244","abstract":"Organic tetralithium salts of 2,5-dihydroxyterephthalic acid (Li4C8H2O6) with the morphologies of bulk, nanoparticles, and nanosheets have been investigated as the active materials of either positive or negative electrode of rechargeable lithium-ion batteries. It is demonstrated that, in the electrolyte of LiPF6 dissolved in ethylene carbonate (EC) and dimethyl carbonate (DMC), reversible two-Li-ion electrochemical reactions are taking place with redox Li4C8H2O6/Li2C8H2O6 at ~2.6 V for a positive electrode and Li4C8H2O6/Li6C8H2O6 at ~0.8 V for a negative electrode, respectively. In the observed system, the electrochemical performance of high to low order is nanosheets &gt; nanoparticles &gt; bulk. Remarkably, Li4C8H2O6 nanosheets show the discharge capacities of 223 and 145 mAh g(-1) at 0.1 and 5 C rates, respectively. A capacity retention of 95% is sustained after 50 cycles at 0.1 C rate charge/discharge and room temperature. Moreover, charging the symmetrical cells with Li4C8H2O6 nanosheets as the initial active materials of both positive and negative electrodes produces all-organic LIBs with an average operation voltage of 1.8 V and an energy density of about 130 Wh kg(-1), enlightening the design and application of organic Li-reservoir compounds with nanostructures for all organic LIBs.","author":[{"dropping-particle":"","family":"Wang","given":"Shiwen","non-dropping-particle":"","parse-names":false,"suffix":""},{"dropping-particle":"","family":"Wang","given":"Lijiang","non-dropping-particle":"","parse-names":false,"suffix":""},{"dropping-particle":"","family":"Zhang","given":"Kai","non-dropping-particle":"","parse-names":false,"suffix":""},{"dropping-particle":"","family":"Zhu","given":"Zhiqiang","non-dropping-particle":"","parse-names":false,"suffix":""},{"dropping-particle":"","family":"Tao","given":"Zhanliang","non-dropping-particle":"","parse-names":false,"suffix":""},{"dropping-particle":"","family":"Chen","given":"Jun","non-dropping-particle":"","parse-names":false,"suffix":""}],"container-title":"Nano Letters","id":"ITEM-1","issue":"9","issued":{"date-parts":[["2013"]]},"page":"4404-4409","title":"Organic Li4C8H2O6 nanosheets for lithium-ion batteries","type":"article-journal","volume":"13"},"uris":["http://www.mendeley.com/documents/?uuid=94b66ccf-65ba-42b7-9533-493ce706c90e"]},{"id":"ITEM-2","itemData":{"DOI":"10.1039/c8ta04906h","ISSN":"20507496","abstract":"Organic electrode materials are promising for electrochemical energy storage devices because they have a high theoretical capacity, structural diversity, and flexibility. In addition, they are light weight, inexpensive, and environmentally benign. Organic electrode materials are a promising alternative to conventional inorganic materials. Various organic materials, such as conducting polymers, organodisulfides, nitroxyl radical polymers, and conjugated carbonyl compounds, have been studied as electrode materials for lithium batteries. Among them, small organic carbonyl compounds and polymers containing carbonyls have been widely studied as electrode materials because of their high theoretical capacity, fast redox kinetics, and structural diversity. However, these materials have intrinsic drawbacks, such as solubility in electrolyte media and a low conductivity. Herein, methods to solve these problems by increasing the polarity are discussed. The polarity of small molecules could be increased by forming salts. In addition, the conductivity could be enhanced using a chemical doping strategy or forming a composite with a conductive additive. This review provides guidance for the design of a new type of organic material for next-generation rechargeable batteries.","author":[{"dropping-particle":"","family":"Bhosale","given":"Manik E","non-dropping-particle":"","parse-names":false,"suffix":""},{"dropping-particle":"","family":"Chae","given":"Sudong","non-dropping-particle":"","parse-names":false,"suffix":""},{"dropping-particle":"","family":"Kim","given":"Ji Man","non-dropping-particle":"","parse-names":false,"suffix":""},{"dropping-particle":"","family":"Choi","given":"Jae Young","non-dropping-particle":"","parse-names":false,"suffix":""}],"container-title":"Journal of Materials Chemistry A","id":"ITEM-2","issue":"41","issued":{"date-parts":[["2018"]]},"page":"19885-19911","title":"Organic small molecules and polymers as an electrode material for rechargeable lithium ion batteries","type":"article","volume":"6"},"uris":["http://www.mendeley.com/documents/?uuid=b0d347df-95e5-3a6b-b770-df3dc8f35458"]}],"mendeley":{"formattedCitation":"&lt;sup&gt;[4,5]&lt;/sup&gt;","plainTextFormattedCitation":"[4,5]","previouslyFormattedCitation":"&lt;sup&gt;[4,5]&lt;/sup&gt;"},"properties":{"noteIndex":0},"schema":"https://github.com/citation-style-language/schema/raw/master/csl-citation.json"}</w:instrText>
      </w:r>
      <w:r w:rsidRPr="0098261B">
        <w:rPr>
          <w:vertAlign w:val="superscript"/>
        </w:rPr>
        <w:fldChar w:fldCharType="separate"/>
      </w:r>
      <w:r w:rsidRPr="0098261B">
        <w:rPr>
          <w:noProof/>
          <w:vertAlign w:val="superscript"/>
        </w:rPr>
        <w:t>[4,5]</w:t>
      </w:r>
      <w:r w:rsidRPr="0098261B">
        <w:rPr>
          <w:vertAlign w:val="superscript"/>
        </w:rPr>
        <w:fldChar w:fldCharType="end"/>
      </w:r>
      <w:r w:rsidRPr="0098261B">
        <w:t xml:space="preserve"> They can deliver high capacity because of a high density of active sites per mass unit and can in principle be obtained from biomass-derived resources using low temperature synthesis routes. The structure of organic molecules can also be tailored to give specific electrochemical properties.  To date, conductive polymers,</w:t>
      </w:r>
      <w:r w:rsidRPr="0098261B">
        <w:fldChar w:fldCharType="begin" w:fldLock="1"/>
      </w:r>
      <w:r w:rsidRPr="0098261B">
        <w:instrText>ADDIN CSL_CITATION {"citationItems":[{"id":"ITEM-1","itemData":{"DOI":"10.1039/c2cc36622c","abstract":"An all-organic rechargeable battery is realized by use of polypara-phenylene as both cathode-and anode-active material. This new battery can operate at a high voltage of 3.0 V with fairly high capacity, offering a renewable and cheaper alternative to conventional batteries.","author":[{"dropping-particle":"","family":"Zhu","given":"L M","non-dropping-particle":"","parse-names":false,"suffix":""},{"dropping-particle":"","family":"Lei","given":"A W","non-dropping-particle":"","parse-names":false,"suffix":""},{"dropping-particle":"","family":"Cao","given":"Y L","non-dropping-particle":"","parse-names":false,"suffix":""},{"dropping-particle":"","family":"Ai","given":"X P","non-dropping-particle":"","parse-names":false,"suffix":""},{"dropping-particle":"","family":"Yang","given":"H X","non-dropping-particle":"","parse-names":false,"suffix":""}],"container-title":"Chem. Commun","id":"ITEM-1","issued":{"date-parts":[["2013"]]},"page":"567","title":"An all-organic rechargeable battery using bipolar polyparaphenylene as a redox-active cathode and anode †","type":"article-journal","volume":"49"},"uris":["http://www.mendeley.com/documents/?uuid=bd01adc6-6494-3359-a074-c7dda9633dbf"]},{"id":"ITEM-2","itemData":{"DOI":"10.1149/1.2127704","ISSN":"00134651","author":[{"dropping-particle":"","family":"Nigrey","given":"Paul J.","non-dropping-particle":"","parse-names":false,"suffix":""},{"dropping-particle":"","family":"MacInnes","given":"David","non-dropping-particle":"","parse-names":false,"suffix":""},{"dropping-particle":"","family":"Nairns","given":"David P.","non-dropping-particle":"","parse-names":false,"suffix":""},{"dropping-particle":"","family":"MacDiarmid","given":"Alan G.","non-dropping-particle":"","parse-names":false,"suffix":""},{"dropping-particle":"","family":"Heeger","given":"Alan J.","non-dropping-particle":"","parse-names":false,"suffix":""}],"container-title":"Journal of The Electrochemical Society","id":"ITEM-2","issue":"8","issued":{"date-parts":[["1981","8","1"]]},"page":"1651","publisher":"The Electrochemical Society","title":"Lightweight Rechargeable Storage Batteries Using Polyacetylene, (CH)[sub x] as the Cathode-Active Material","type":"article-journal","volume":"128"},"uris":["http://www.mendeley.com/documents/?uuid=f14ab59a-2039-3671-9f74-4d21bfa111e3"]}],"mendeley":{"formattedCitation":"&lt;sup&gt;[6,7]&lt;/sup&gt;","plainTextFormattedCitation":"[6,7]","previouslyFormattedCitation":"&lt;sup&gt;[6,7]&lt;/sup&gt;"},"properties":{"noteIndex":0},"schema":"https://github.com/citation-style-language/schema/raw/master/csl-citation.json"}</w:instrText>
      </w:r>
      <w:r w:rsidRPr="0098261B">
        <w:fldChar w:fldCharType="separate"/>
      </w:r>
      <w:r w:rsidRPr="0098261B">
        <w:rPr>
          <w:noProof/>
          <w:vertAlign w:val="superscript"/>
        </w:rPr>
        <w:t>[6,7]</w:t>
      </w:r>
      <w:r w:rsidRPr="0098261B">
        <w:fldChar w:fldCharType="end"/>
      </w:r>
      <w:r w:rsidRPr="0098261B">
        <w:t xml:space="preserve"> organosulfur compounds,</w:t>
      </w:r>
      <w:r w:rsidRPr="0098261B">
        <w:fldChar w:fldCharType="begin" w:fldLock="1"/>
      </w:r>
      <w:r w:rsidRPr="0098261B">
        <w:instrText>ADDIN CSL_CITATION {"citationItems":[{"id":"ITEM-1","itemData":{"DOI":"10.1149/1.2095460","ISSN":"00134651","author":[{"dropping-particle":"","family":"Visco","given":"Steven J.","non-dropping-particle":"","parse-names":false,"suffix":""},{"dropping-particle":"","family":"DeJonghe","given":"Lutgard C.","non-dropping-particle":"","parse-names":false,"suffix":""}],"container-title":"Journal of The Electrochemical Society","id":"ITEM-1","issue":"12","issued":{"date-parts":[["1988","12","1"]]},"page":"2905","publisher":"The Electrochemical Society","title":"Ionic Conductivity of Organosulfur Melts for Advanced Storage Electrodes","type":"article-journal","volume":"135"},"uris":["http://www.mendeley.com/documents/?uuid=f3f314bb-a82b-339e-b710-e8785ca0327e"]},{"id":"ITEM-2","itemData":{"DOI":"10.1016/J.ELECTACTA.2005.07.045","ISSN":"0013-4686","abstract":"A novel kind of benzene-based organodisulfide, 5,8-dihydro-1H,4H-2,3,6,7-tetrathia-anthracene (DTTA) and its homopolymer, poly(5,8-dihydro-1H,4H-2,3,6,7-tetrathia-anthracene) (PDTTA) were designed, synthesized and presented as a cathode material for high-energy secondary lithium batteries. The polyorganodisulfides were characterized by FT-IR, XPS and elemental analysis. The designed system has many advantages, such as high theoretical charge density (ca. 471mAh/g), fast redox process and enhanced cycling stability, which are due to the intramolecular electrocatalytic effect of polyphenyl chain and the intramolecular cleavage–recombination of the SS bond, respectively. The cyclic voltammetry test results proved the effect of this kind of electrocatalysis, and the charge–discharge experimental results showed that the polymer has the specific capacity of 422mAh/g at 2nd cycle and 170mAh/g at the 44th cycle.","author":[{"dropping-particle":"","family":"Deng","given":"Shi-Ren","non-dropping-particle":"","parse-names":false,"suffix":""},{"dropping-particle":"","family":"Kong","given":"Ling-Bo","non-dropping-particle":"","parse-names":false,"suffix":""},{"dropping-particle":"","family":"Hu","given":"Gao-Qiang","non-dropping-particle":"","parse-names":false,"suffix":""},{"dropping-particle":"","family":"Wu","given":"Tao","non-dropping-particle":"","parse-names":false,"suffix":""},{"dropping-particle":"","family":"Li","given":"Dan","non-dropping-particle":"","parse-names":false,"suffix":""},{"dropping-particle":"","family":"Zhou","given":"Yun-Hong","non-dropping-particle":"","parse-names":false,"suffix":""},{"dropping-particle":"","family":"Li","given":"Zao-Ying","non-dropping-particle":"","parse-names":false,"suffix":""}],"container-title":"Electrochimica Acta","id":"ITEM-2","issue":"13","issued":{"date-parts":[["2006","3","5"]]},"page":"2589-2593","publisher":"Pergamon","title":"Benzene-based polyorganodisulfide cathode materials for secondary lithium batteries","type":"article-journal","volume":"51"},"uris":["http://www.mendeley.com/documents/?uuid=cd6aaf0f-3bfa-3a2b-bacf-4752430c4fab"]},{"id":"ITEM-3","itemData":{"DOI":"10.1021/acs.accounts.9b00231","ISSN":"15204898","PMID":"31386341","abstract":"ConspectusLithium-ion batteries have received significant attention over the last decades due to the wide application of portable electronics and increasing deployment of electric vehicles. In order to further increase the energy density of batteries and overcome the capacity limitations (&lt;250 mAh g-1) of inorganic cathode materials, it is imperative to explore new cathode materials for rechargeable lithium batteries. Organic compounds including organic carbonyl, radicals, and organosulfides are promising as they have advantages of high capacities, abundant resources, and tunable structures. In the 1980s, a few organosulfides, in particular organodisulfides, as cathode materials were studied to a certain extent in rechargeable lithium batteries. However, they showed low capacities and poor cycling performance, which made them unappealing then in comparison to transition metal oxide cathode materials. As a result, organosulfides have not been extensively studied like other cathode materials including organic carbonyls and radicals.In recent years, organosulfides with long sulfur chains (e.g., trisulfide, tetrasulfide, pentasulfide, etc.) in the structures have been receiving more attention in conjunction with the development of lithium-sulfur batteries. As a major class of sulfur derivatives, they have versatile structures and unique properties in comparison with elemental sulfur. In this Account, we first generalize the working principles of organosulfides in lithium batteries. We then discuss organosulfide molecules, which have precise lithiation sites and tunable capacities. The organic functional groups can provide additional benefits, such as discharge voltage and energy efficiency enhancement by phenyl groups and cycling stability improvement by N-heterocycles. Furthermore, replacing sulfur by selenium in these compounds can improve their electrochemical properties due to the high electronic conductivity and low bond energy associated with selenium. We list organosulfide polymers consisting of phenyl rings, N-heterocycles, or aliphatic segments. Organosulfides as electrolyte additives or components for forming a solid-electrolyte interphase layer on lithium metal anode are also presented. Carbon materials such as carbon nanotubes and reduced graphene oxide can enhance the battery performance of organosulfide cathodes. We discuss the synthesis methods for polysulfide molecules and polymers. Finally, we show the advantages of organosulfides over sulf…","author":[{"dropping-particle":"","family":"Wang","given":"Dan Yang","non-dropping-particle":"","parse-names":false,"suffix":""},{"dropping-particle":"","family":"Guo","given":"Wei","non-dropping-particle":"","parse-names":false,"suffix":""},{"dropping-particle":"","family":"Fu","given":"Yongzhu","non-dropping-particle":"","parse-names":false,"suffix":""}],"container-title":"Accounts of Chemical Research","id":"ITEM-3","issue":"8","issued":{"date-parts":[["2019"]]},"page":"2290-2300","title":"Organosulfides: An Emerging Class of Cathode Materials for Rechargeable Lithium Batteries","type":"article-journal","volume":"52"},"uris":["http://www.mendeley.com/documents/?uuid=18618cd7-abae-3ecc-8886-e6aa3d2bb52d"]}],"mendeley":{"formattedCitation":"&lt;sup&gt;[8–10]&lt;/sup&gt;","plainTextFormattedCitation":"[8–10]","previouslyFormattedCitation":"&lt;sup&gt;[8–10]&lt;/sup&gt;"},"properties":{"noteIndex":0},"schema":"https://github.com/citation-style-language/schema/raw/master/csl-citation.json"}</w:instrText>
      </w:r>
      <w:r w:rsidRPr="0098261B">
        <w:fldChar w:fldCharType="separate"/>
      </w:r>
      <w:r w:rsidRPr="0098261B">
        <w:rPr>
          <w:noProof/>
          <w:vertAlign w:val="superscript"/>
        </w:rPr>
        <w:t>[8–10]</w:t>
      </w:r>
      <w:r w:rsidRPr="0098261B">
        <w:fldChar w:fldCharType="end"/>
      </w:r>
      <w:r w:rsidRPr="0098261B">
        <w:t xml:space="preserve"> </w:t>
      </w:r>
      <w:proofErr w:type="spellStart"/>
      <w:r w:rsidRPr="0098261B">
        <w:t>nitroxyl</w:t>
      </w:r>
      <w:proofErr w:type="spellEnd"/>
      <w:r w:rsidRPr="0098261B">
        <w:t xml:space="preserve"> radical-bearing compounds,</w:t>
      </w:r>
      <w:r w:rsidRPr="0098261B">
        <w:fldChar w:fldCharType="begin" w:fldLock="1"/>
      </w:r>
      <w:r w:rsidRPr="0098261B">
        <w:instrText>ADDIN CSL_CITATION {"citationItems":[{"id":"ITEM-1","itemData":{"DOI":"10.1002/adma.200803554","ISSN":"09359648","author":[{"dropping-particle":"","family":"Oyaizu","given":"Kenichi","non-dropping-particle":"","parse-names":false,"suffix":""},{"dropping-particle":"","family":"Nishide","given":"Hiroyuki","non-dropping-particle":"","parse-names":false,"suffix":""}],"container-title":"Advanced Materials","id":"ITEM-1","issue":"22","issued":{"date-parts":[["2009","6","12"]]},"page":"2339-2344","publisher":"John Wiley &amp; Sons, Ltd","title":"Radical Polymers for Organic Electronic Devices: A Radical Departure from Conjugated Polymers?","type":"article-journal","volume":"21"},"uris":["http://www.mendeley.com/documents/?uuid=1181bf44-b16f-3cdd-9267-e0f954db90bf"]},{"id":"ITEM-2","itemData":{"DOI":"10.1002/adma.201203119","ISSN":"09359648","author":[{"dropping-particle":"","family":"Janoschka","given":"Tobias","non-dropping-particle":"","parse-names":false,"suffix":""},{"dropping-particle":"","family":"Hager","given":"Martin D.","non-dropping-particle":"","parse-names":false,"suffix":""},{"dropping-particle":"","family":"Schubert","given":"Ulrich S.","non-dropping-particle":"","parse-names":false,"suffix":""}],"container-title":"Advanced Materials","id":"ITEM-2","issue":"48","issued":{"date-parts":[["2012","12","18"]]},"page":"6397-6409","publisher":"John Wiley &amp; Sons, Ltd","title":"Powering up the Future: Radical Polymers for Battery Applications","type":"article-journal","volume":"24"},"uris":["http://www.mendeley.com/documents/?uuid=64167740-8456-3545-9d10-a5a8157a1e69"]}],"mendeley":{"formattedCitation":"&lt;sup&gt;[11,12]&lt;/sup&gt;","plainTextFormattedCitation":"[11,12]","previouslyFormattedCitation":"&lt;sup&gt;[11,12]&lt;/sup&gt;"},"properties":{"noteIndex":0},"schema":"https://github.com/citation-style-language/schema/raw/master/csl-citation.json"}</w:instrText>
      </w:r>
      <w:r w:rsidRPr="0098261B">
        <w:fldChar w:fldCharType="separate"/>
      </w:r>
      <w:r w:rsidRPr="0098261B">
        <w:rPr>
          <w:noProof/>
          <w:vertAlign w:val="superscript"/>
        </w:rPr>
        <w:t>[11,12]</w:t>
      </w:r>
      <w:r w:rsidRPr="0098261B">
        <w:fldChar w:fldCharType="end"/>
      </w:r>
      <w:r w:rsidRPr="0098261B">
        <w:t xml:space="preserve"> conjugated carbonyls-containing compounds,</w:t>
      </w:r>
      <w:r w:rsidRPr="0098261B">
        <w:fldChar w:fldCharType="begin" w:fldLock="1"/>
      </w:r>
      <w:r w:rsidRPr="0098261B">
        <w:instrText>ADDIN CSL_CITATION {"citationItems":[{"id":"ITEM-1","itemData":{"DOI":"10.1039/c3sc22093a","ISSN":"20416539","abstract":"Organic carbonyl compounds are potentially low-cost, sustainable, and high energy density electrode materials, but are plagued by unsatisfactory active-site utilization, low discharge potentials and low rate discharge-charge performance in battery applications. We herein disclose a function-oriented design of carbonyl compounds with multi-electron reactions as positive electrode materials for rechargeable lithium batteries, showing that molecular orbital profiles and energetics can be applied for the prediction of carbonyl utilization and modulation of redox potentials. By embedding pre-aromatic 1,2-dicarbonyl moieties in the extended conjugated systems, the desirable molecules integrate all known stabilizing factors and enable full four-Li uptake. Remarkably, two new carbonyl electrodes, pyrene-4,5,9,10-tetraone and 1,10-phenanthroline-5,6-dione, deliver a reversible capacity of 360 mA h g−1 and an average working potential of 2.74 V, respectively, providing insights in designing high-energy organic positive electrodes of lithium batteries for efficient energy storage and conversion. © 2013 The Royal Society of Chemistry.","author":[{"dropping-particle":"","family":"Liang","given":"Yanliang","non-dropping-particle":"","parse-names":false,"suffix":""},{"dropping-particle":"","family":"Zhang","given":"Peng","non-dropping-particle":"","parse-names":false,"suffix":""},{"dropping-particle":"","family":"Chen","given":"Jun","non-dropping-particle":"","parse-names":false,"suffix":""}],"container-title":"Chemical Science","id":"ITEM-1","issue":"3","issued":{"date-parts":[["2013","2","4"]]},"page":"1330-1337","publisher":"Royal Society of Chemistry","title":"Function-oriented design of conjugated carbonyl compound electrodes for high energy lithium batteries","type":"article-journal","volume":"4"},"uris":["http://www.mendeley.com/documents/?uuid=01c55c2b-5937-373b-a8fb-0e0178c11ba7"]},{"id":"ITEM-2","itemData":{"DOI":"10.1002/anie.201805540","ISSN":"14337851","author":[{"dropping-particle":"","family":"Luo","given":"Zhiqiang","non-dropping-particle":"","parse-names":false,"suffix":""},{"dropping-particle":"","family":"Liu","given":"Luojia","non-dropping-particle":"","parse-names":false,"suffix":""},{"dropping-particle":"","family":"Ning","given":"Jiaxin","non-dropping-particle":"","parse-names":false,"suffix":""},{"dropping-particle":"","family":"Lei","given":"Kaixiang","non-dropping-particle":"","parse-names":false,"suffix":""},{"dropping-particle":"","family":"Lu","given":"Yong","non-dropping-particle":"","parse-names":false,"suffix":""},{"dropping-particle":"","family":"Li","given":"Fujun","non-dropping-particle":"","parse-names":false,"suffix":""},{"dropping-particle":"","family":"Chen","given":"Jun","non-dropping-particle":"","parse-names":false,"suffix":""}],"container-title":"Angewandte Chemie International Edition","id":"ITEM-2","issue":"30","issued":{"date-parts":[["2018","7","20"]]},"page":"9443-9446","publisher":"John Wiley &amp; Sons, Ltd","title":"A Microporous Covalent-Organic Framework with Abundant Accessible Carbonyl Groups for Lithium-Ion Batteries","type":"article-journal","volume":"57"},"uris":["http://www.mendeley.com/documents/?uuid=25ad227c-245c-3f93-b60b-1894e5762806"]},{"id":"ITEM-3","itemData":{"DOI":"10.1002/anie.201002439","ISSN":"14337851","author":[{"dropping-particle":"","family":"Song","given":"Zhiping","non-dropping-particle":"","parse-names":false,"suffix":""},{"dropping-particle":"","family":"Zhan","given":"Hui","non-dropping-particle":"","parse-names":false,"suffix":""},{"dropping-particle":"","family":"Zhou","given":"Yunhong","non-dropping-particle":"","parse-names":false,"suffix":""}],"container-title":"Angewandte Chemie International Edition","id":"ITEM-3","issue":"45","issued":{"date-parts":[["2010","11","2"]]},"page":"8444-8448","publisher":"John Wiley &amp; Sons, Ltd","title":"Polyimides: Promising Energy-Storage Materials","type":"article-journal","volume":"49"},"uris":["http://www.mendeley.com/documents/?uuid=50bf179b-2819-303b-aa3d-a0df7fd064ad"]},{"id":"ITEM-4","itemData":{"DOI":"10.1002/anie.201902185","ISSN":"15213773","abstract":"Organic carbonyl compounds show potential as cathode materials for lithium-ion batteries (LIBs) but the limited capacities (&lt;600 mA h g−1) and high solubility in electrolyte restrict their further applications. Herein we report the synthesis and application of cyclohexanehexone (C6O6), which exhibits an ultrahigh capacity of 902 mA h g−1 with an average voltage of 1.7 V at 20 mA g−1 in LIBs (corresponding to a high energy density of 1533 Wh kg−1 (Formula presented.)). A preliminary cycling test shows that C6O6 displays a capacity retention of 82 % after 100 cycles at 50 mA g−1 because of the limited solubility in high-polarity ionic liquid electrolyte. Furthermore, the combination of DFT calculations and experimental techniques, such as Raman and IR spectroscopy, demonstrates the electrochemical active C=O groups during discharge and charge processes.","author":[{"dropping-particle":"","family":"Lu","given":"Yong","non-dropping-particle":"","parse-names":false,"suffix":""},{"dropping-particle":"","family":"Hou","given":"Xuesen","non-dropping-particle":"","parse-names":false,"suffix":""},{"dropping-particle":"","family":"Miao","given":"Licheng","non-dropping-particle":"","parse-names":false,"suffix":""},{"dropping-particle":"","family":"Li","given":"Lin","non-dropping-particle":"","parse-names":false,"suffix":""},{"dropping-particle":"","family":"Shi","given":"Ruijuan","non-dropping-particle":"","parse-names":false,"suffix":""},{"dropping-particle":"","family":"Liu","given":"Luojia","non-dropping-particle":"","parse-names":false,"suffix":""},{"dropping-particle":"","family":"Chen","given":"Jun","non-dropping-particle":"","parse-names":false,"suffix":""}],"container-title":"Angewandte Chemie - International Edition","id":"ITEM-4","issue":"21","issued":{"date-parts":[["2019","4","17"]]},"page":"7020-7024","publisher":"John Wiley &amp; Sons, Ltd","title":"Cyclohexanehexone with Ultrahigh Capacity as Cathode Materials for Lithium-Ion Batteries","type":"article-journal","volume":"58"},"uris":["http://www.mendeley.com/documents/?uuid=3c4dce2c-d2ce-3749-b4a0-64d630d31e6e"]}],"mendeley":{"formattedCitation":"&lt;sup&gt;[13–16]&lt;/sup&gt;","plainTextFormattedCitation":"[13–16]","previouslyFormattedCitation":"&lt;sup&gt;[13–16]&lt;/sup&gt;"},"properties":{"noteIndex":0},"schema":"https://github.com/citation-style-language/schema/raw/master/csl-citation.json"}</w:instrText>
      </w:r>
      <w:r w:rsidRPr="0098261B">
        <w:fldChar w:fldCharType="separate"/>
      </w:r>
      <w:r w:rsidRPr="0098261B">
        <w:rPr>
          <w:noProof/>
          <w:vertAlign w:val="superscript"/>
        </w:rPr>
        <w:t>[13–16]</w:t>
      </w:r>
      <w:r w:rsidRPr="0098261B">
        <w:fldChar w:fldCharType="end"/>
      </w:r>
      <w:r w:rsidRPr="0098261B">
        <w:t xml:space="preserve"> imine-functionalized compounds,</w:t>
      </w:r>
      <w:r w:rsidRPr="0098261B">
        <w:fldChar w:fldCharType="begin" w:fldLock="1"/>
      </w:r>
      <w:r w:rsidRPr="0098261B">
        <w:instrText>ADDIN CSL_CITATION {"citationItems":[{"id":"ITEM-1","itemData":{"DOI":"10.1246/cl.2011.750","ISSN":"0366-7022","abstract":"A coin cell battery is fabricated using triquinoxalinylene as a cathode active material and a lithium metal anode. The first discharge curve shows a remarkably large capacity (420 A h kg-1), which corresponds to a six electron migration in the first charge. However, repeating the charge-discharge until the 15th cycle gradually decreases the capacity, but after that the capacity remain</w:instrText>
      </w:r>
      <w:r w:rsidRPr="0098261B">
        <w:rPr>
          <w:rFonts w:hint="eastAsia"/>
        </w:rPr>
        <w:instrText>s const. with a value of 220 A h kg-1. This large value remains even after 100 cycles. Addnl., the use of a tribromo-substituted deriv. gives a large discharge capacity (</w:instrText>
      </w:r>
      <w:r w:rsidRPr="0098261B">
        <w:rPr>
          <w:rFonts w:hint="eastAsia"/>
        </w:rPr>
        <w:instrText>≈</w:instrText>
      </w:r>
      <w:r w:rsidRPr="0098261B">
        <w:rPr>
          <w:rFonts w:hint="eastAsia"/>
        </w:rPr>
        <w:instrText>250 A h kg-1) due to a comparatively stable six electron migration from the first ch</w:instrText>
      </w:r>
      <w:r w:rsidRPr="0098261B">
        <w:instrText>arge-discharge cycle. [on SciFinder(R)]","author":[{"dropping-particle":"","family":"Matsunaga","given":"Takayuki","non-dropping-particle":"","parse-names":false,"suffix":""},{"dropping-particle":"","family":"Kubota","given":"Takayuki","non-dropping-particle":"","parse-names":false,"suffix":""},{"dropping-particle":"","family":"Sugimoto","given":"Toyonari","non-dropping-particle":"","parse-names":false,"suffix":""},{"dropping-particle":"","family":"Satoh","given":"Masaharu","non-dropping-particle":"","parse-names":false,"suffix":""}],"container-title":"Chemistry Letters","id":"ITEM-1","issue":"7","issued":{"date-parts":[["2011"]]},"page":"750-752","title":"High-performance Lithium Secondary Batteries Using Cathode Active Materials of Triquinoxalinylenes Exhibiting Six Electron Migration","type":"article-journal","volume":"40"},"uris":["http://www.mendeley.com/documents/?uuid=b871591c-bf24-42cc-bd62-0251b06eb0f4"]},{"id":"ITEM-2","itemData":{"DOI":"10.1038/nenergy.2017.74","ISSN":"20587546","abstract":"Organic compounds can be used as electrode materials for Li-ion batteries, but problems such as facile dissolution and low electrical conductivity hinder their application. Here the authors report π-conjugated quinoxaline-based heteroaromatic molecules with multiple redox…","author":[{"dropping-particle":"","family":"Peng","given":"Chengxin","non-dropping-particle":"","parse-names":false,"suffix":""},{"dropping-particle":"","family":"Ning","given":"Guo Hong","non-dropping-particle":"","parse-names":false,"suffix":""},{"dropping-particle":"","family":"Su","given":"Jie","non-dropping-particle":"","parse-names":false,"suffix":""},{"dropping-particle":"","family":"Zhong","given":"Guiming","non-dropping-particle":"","parse-names":false,"suffix":""},{"dropping-particle":"","family":"Tang","given":"Wei","non-dropping-particle":"","parse-names":false,"suffix":""},{"dropping-particle":"","family":"Tian","given":"Bingbing","non-dropping-particle":"","parse-names":false,"suffix":""},{"dropping-particle":"","family":"Su","given":"Chenliang","non-dropping-particle":"","parse-names":false,"suffix":""},{"dropping-particle":"","family":"Yu","given":"DIngyi","non-dropping-particle":"","parse-names":false,"suffix":""},{"dropping-particle":"","family":"Zu","given":"Lianhai","non-dropping-particle":"","parse-names":false,"suffix":""},{"dropping-particle":"","family":"Yang","given":"Jinhu","non-dropping-particle":"","parse-names":false,"suffix":""},{"dropping-particle":"","family":"Ng","given":"Man Fai","non-dropping-particle":"","parse-names":false,"suffix":""},{"dropping-particle":"","family":"Hu","given":"Yong Sheng","non-dropping-particle":"","parse-names":false,"suffix":""},{"dropping-particle":"","family":"Yang","given":"Yong","non-dropping-particle":"","parse-names":false,"suffix":""},{"dropping-particle":"","family":"Armand","given":"Michel","non-dropping-particle":"","parse-names":false,"suffix":""},{"dropping-particle":"","family":"Loh","given":"Kian Ping","non-dropping-particle":"","parse-names":false,"suffix":""}],"container-title":"Nature Energy","id":"ITEM-2","issue":"7","issued":{"date-parts":[["2017"]]},"page":"1-9","title":"Reversible multi-electron redox chemistry of π-conjugated N-containing heteroaromatic molecule-based organic cathodes","type":"article-journal","volume":"2"},"uris":["http://www.mendeley.com/documents/?uuid=60a28b05-f8fc-43bd-ac32-04b0b8780283"]}],"mendeley":{"formattedCitation":"&lt;sup&gt;[17,18]&lt;/sup&gt;","plainTextFormattedCitation":"[17,18]","previouslyFormattedCitation":"&lt;sup&gt;[17,18]&lt;/sup&gt;"},"properties":{"noteIndex":0},"schema":"https://github.com/citation-style-language/schema/raw/master/csl-citation.json"}</w:instrText>
      </w:r>
      <w:r w:rsidRPr="0098261B">
        <w:fldChar w:fldCharType="separate"/>
      </w:r>
      <w:r w:rsidRPr="0098261B">
        <w:rPr>
          <w:noProof/>
          <w:vertAlign w:val="superscript"/>
        </w:rPr>
        <w:t>[17,18]</w:t>
      </w:r>
      <w:r w:rsidRPr="0098261B">
        <w:fldChar w:fldCharType="end"/>
      </w:r>
      <w:r w:rsidRPr="0098261B">
        <w:rPr>
          <w:color w:val="FF0000"/>
        </w:rPr>
        <w:t xml:space="preserve"> </w:t>
      </w:r>
      <w:r w:rsidRPr="0098261B">
        <w:t>and azo-functionalized molecules</w:t>
      </w:r>
      <w:r w:rsidRPr="0098261B">
        <w:fldChar w:fldCharType="begin" w:fldLock="1"/>
      </w:r>
      <w:r w:rsidRPr="0098261B">
        <w:instrText>ADDIN CSL_CITATION {"citationItems":[{"id":"ITEM-1","itemData":{"DOI":"10.1002/adma.201706498","ISSN":"09359648","author":[{"dropping-particle":"","family":"Luo","given":"Chao","non-dropping-particle":"","parse-names":false,"suffix":""},{"dropping-particle":"","family":"Ji","given":"Xiao","non-dropping-particle":"","parse-names":false,"suffix":""},{"dropping-particle":"","family":"Hou","given":"Singyuk","non-dropping-particle":"","parse-names":false,"suffix":""},{"dropping-particle":"","family":"Eidson","given":"Nico","non-dropping-particle":"","parse-names":false,"suffix":""},{"dropping-particle":"","family":"Fan","given":"Xiulin","non-dropping-particle":"","parse-names":false,"suffix":""},{"dropping-particle":"","family":"Liang","given":"Yujia","non-dropping-particle":"","parse-names":false,"suffix":""},{"dropping-particle":"","family":"Deng","given":"Tao","non-dropping-particle":"","parse-names":false,"suffix":""},{"dropping-particle":"","family":"Jiang","given":"Jianjun","non-dropping-particle":"","parse-names":false,"suffix":""},{"dropping-particle":"","family":"Wang","given":"Chunsheng","non-dropping-particle":"","parse-names":false,"suffix":""}],"container-title":"Advanced Materials","id":"ITEM-1","issue":"23","issued":{"date-parts":[["2018","6","1"]]},"page":"1706498","publisher":"John Wiley &amp; Sons, Ltd","title":"Azo Compounds Derived from Electrochemical Reduction of Nitro Compounds for High Performance Li-Ion Batteries","type":"article-journal","volume":"30"},"uris":["http://www.mendeley.com/documents/?uuid=de4beb67-66d2-30e3-9593-9be09bc8dbdc"]},{"id":"ITEM-2","itemData":{"DOI":"10.1073/pnas.1717892115","ISSN":"0027-8424","abstract":"Organic electrode materials are promising for green and sustainable secondary batteries due to the light weight, abundance, low cost, sustainability, and recyclability of organic materials. However, the traditional organic electrodes suffer from poor cycle stability and low power density. Here, we report a family of organic electrode materials containing azo functi</w:instrText>
      </w:r>
      <w:r w:rsidRPr="0098261B">
        <w:rPr>
          <w:rFonts w:hint="eastAsia"/>
        </w:rPr>
        <w:instrText>onal groups for alkali-ion batteries. The azo compound, azobenzene-4,4</w:instrText>
      </w:r>
      <w:r w:rsidRPr="0098261B">
        <w:rPr>
          <w:rFonts w:hint="eastAsia"/>
        </w:rPr>
        <w:instrText>′</w:instrText>
      </w:r>
      <w:r w:rsidRPr="0098261B">
        <w:rPr>
          <w:rFonts w:hint="eastAsia"/>
        </w:rPr>
        <w:instrText>-dicarboxylic acid lithium salt, exhibits superior electrochemical performance in Li-ion and Na-ion batteries, in terms of long cycle life and high rate capability. The mechanism study</w:instrText>
      </w:r>
      <w:r w:rsidRPr="0098261B">
        <w:instrText xml:space="preserve"> demonstrates that the azo group can reversibly react with Li ions during charge/discharge cycles. Therefore, this work offers opportunities for developing stable and high-rate alkali-ion batteries.Organic compounds are desirable for sustainable Li-ion ba</w:instrText>
      </w:r>
      <w:r w:rsidRPr="0098261B">
        <w:rPr>
          <w:rFonts w:hint="eastAsia"/>
        </w:rPr>
        <w:instrText>tteries (LIBs), but the poor cycle stability and low power density limit their large-scale application. Here we report a family of organic compounds containing azo group (N=N) for reversible lithiation/delithiation. Azobenzene-4,4</w:instrText>
      </w:r>
      <w:r w:rsidRPr="0098261B">
        <w:rPr>
          <w:rFonts w:hint="eastAsia"/>
        </w:rPr>
        <w:instrText>′</w:instrText>
      </w:r>
      <w:r w:rsidRPr="0098261B">
        <w:rPr>
          <w:rFonts w:hint="eastAsia"/>
        </w:rPr>
        <w:instrText>-dicarboxylic acid lithi</w:instrText>
      </w:r>
      <w:r w:rsidRPr="0098261B">
        <w:instrText>um salt (ADALS) with an azo group in the center of the conjugated structure is used as a model azo compound to investigate the electrochemical behaviors and reaction mechanism of azo compounds. In LIBs, ADALS can provide a capacity of 190 mAh g−1 at 0.5 C (corresponding to current density of 95 mA g−1) and still retain 90%, 71%, and 56% of the capacity when the current density is increased to 2 C, 10 C, and 20 C, respectively. Moreover, ADALS retains 89% of initial capacity after 5,000 cycles at 20 C with a slow capacity decay rate of 0.0023% per cycle, representing one of the best performances in all organic compounds. Superior electrochemical behavior of ADALS is also observed in Na-ion batteries, demonstrating that azo compounds are universal electrode materials for alkali-ion batteries. The highly reversible redox chemistry of azo compounds to alkali ions was confirmed by density-functional theory (DFT) calculations. It provides opportunities for developing sustainable batteries.","author":[{"dropping-particle":"","family":"Luo","given":"Chao","non-dropping-particle":"","parse-names":false,"suffix":""},{"dropping-particle":"","family":"Borodin","given":"Oleg","non-dropping-particle":"","parse-names":false,"suffix":""},{"dropping-particle":"","family":"Ji","given":"Xiao","non-dropping-particle":"","parse-names":false,"suffix":""},{"dropping-particle":"","family":"Hou","given":"Singyuk","non-dropping-particle":"","parse-names":false,"suffix":""},{"dropping-particle":"","family":"Gaskell","given":"Karen J.","non-dropping-particle":"","parse-names":false,"suffix":""},{"dropping-particle":"","family":"Fan","given":"Xiulin","non-dropping-particle":"","parse-names":false,"suffix":""},{"dropping-particle":"","family":"Chen","given":"Ji","non-dropping-particle":"","parse-names":false,"suffix":""},{"dropping-particle":"","family":"Deng","given":"Tao","non-dropping-particle":"","parse-names":false,"suffix":""},{"dropping-particle":"","family":"Wang","given":"Ruixing","non-dropping-particle":"","parse-names":false,"suffix":""},{"dropping-particle":"","family":"Jiang","given":"Jianjun","non-dropping-particle":"","parse-names":false,"suffix":""},{"dropping-particle":"","family":"Wang","given":"Chunsheng","non-dropping-particle":"","parse-names":false,"suffix":""}],"container-title":"Proceedings of the National Academy of Sciences","id":"ITEM-2","issue":"9","issued":{"date-parts":[["2018"]]},"page":"2004-2009","title":"Azo compounds as a family of organic electrode materials for alkali-ion batteries","type":"article-journal","volume":"115"},"uris":["http://www.mendeley.com/documents/?uuid=8a19dacc-4379-46dd-9a90-d775a542754c"]}],"mendeley":{"formattedCitation":"&lt;sup&gt;[19,20]&lt;/sup&gt;","plainTextFormattedCitation":"[19,20]","previouslyFormattedCitation":"&lt;sup&gt;[19,20]&lt;/sup&gt;"},"properties":{"noteIndex":0},"schema":"https://github.com/citation-style-language/schema/raw/master/csl-citation.json"}</w:instrText>
      </w:r>
      <w:r w:rsidRPr="0098261B">
        <w:fldChar w:fldCharType="separate"/>
      </w:r>
      <w:r w:rsidRPr="0098261B">
        <w:rPr>
          <w:noProof/>
          <w:vertAlign w:val="superscript"/>
        </w:rPr>
        <w:t>[19,20]</w:t>
      </w:r>
      <w:r w:rsidRPr="0098261B">
        <w:fldChar w:fldCharType="end"/>
      </w:r>
      <w:r w:rsidRPr="0098261B">
        <w:t xml:space="preserve"> have </w:t>
      </w:r>
      <w:r w:rsidRPr="0098261B">
        <w:t xml:space="preserve">been used as positive electrode materials in lithium-ion batteries. Conjugated carbonyl compounds are particularly promising candidates because they undergo reversible redox reactions with lithium ions to form an intermediate with a delocalized change at potential around 2.5 V </w:t>
      </w:r>
      <w:r w:rsidRPr="0098261B">
        <w:rPr>
          <w:i/>
          <w:iCs/>
        </w:rPr>
        <w:t>vs</w:t>
      </w:r>
      <w:r w:rsidRPr="0098261B">
        <w:t>. Li</w:t>
      </w:r>
      <w:r w:rsidRPr="0098261B">
        <w:rPr>
          <w:vertAlign w:val="superscript"/>
        </w:rPr>
        <w:t>+</w:t>
      </w:r>
      <w:r w:rsidRPr="0098261B">
        <w:t>/Li.</w:t>
      </w:r>
      <w:r w:rsidRPr="0098261B">
        <w:rPr>
          <w:vertAlign w:val="superscript"/>
        </w:rPr>
        <w:fldChar w:fldCharType="begin" w:fldLock="1"/>
      </w:r>
      <w:r w:rsidRPr="0098261B">
        <w:rPr>
          <w:vertAlign w:val="superscript"/>
        </w:rPr>
        <w:instrText>ADDIN CSL_CITATION {"citationItems":[{"id":"ITEM-1","itemData":{"DOI":"10.1002/aenm.201402034","ISBN":"1614-6840","ISSN":"16146840","abstract":"The application of organic carbonyl compounds as high performance elec- trode materials in secondary batteries enables access to metal-free, low-cost, environmental friendly, ﬂ exible, and functional rechargeable energy storage systems. Organic compounds have so far not received much attention as potential active materials in batteries, mainly because of the success of inor- ganic materials in both research and commercial applications. However, new requirements in secondary batteries such as ﬂ exibility accompanied with low production costs and environmental friendliness, in particular for portable devices, reach the limit of inorganic electrode materials. Organic carbonyl compounds represent the most promising materials to satisfy these needs. Here, recent efforts of the research in the ﬁ eld of organic carbonyl materials for secondary batteries are summarized, and the working principle and the structural design of different groups of carbonyl material is presented. Finally, the inﬂ uence of conductive additives and binders on the cell performance is closely evaluated for each class of materials.","author":[{"dropping-particle":"","family":"Häupler","given":"Bernhard","non-dropping-particle":"","parse-names":false,"suffix":""},{"dropping-particle":"","family":"Wild","given":"Andreas","non-dropping-particle":"","parse-names":false,"suffix":""},{"dropping-particle":"","family":"Schubert","given":"Ulrich S.","non-dropping-particle":"","parse-names":false,"suffix":""}],"container-title":"Advanced Energy Materials","id":"ITEM-1","issue":"11","issued":{"date-parts":[["2015"]]},"page":"1402034","title":"Carbonyls: Powerful organic materials for secondary batteries","type":"article-journal","volume":"5"},"uris":["http://www.mendeley.com/documents/?uuid=27535df2-04bc-4bf4-bb3f-78cbc5d59a74"]}],"mendeley":{"formattedCitation":"&lt;sup&gt;[21]&lt;/sup&gt;","plainTextFormattedCitation":"[21]","previouslyFormattedCitation":"&lt;sup&gt;[21]&lt;/sup&gt;"},"properties":{"noteIndex":0},"schema":"https://github.com/citation-style-language/schema/raw/master/csl-citation.json"}</w:instrText>
      </w:r>
      <w:r w:rsidRPr="0098261B">
        <w:rPr>
          <w:vertAlign w:val="superscript"/>
        </w:rPr>
        <w:fldChar w:fldCharType="separate"/>
      </w:r>
      <w:r w:rsidRPr="0098261B">
        <w:rPr>
          <w:noProof/>
          <w:vertAlign w:val="superscript"/>
        </w:rPr>
        <w:t>[21]</w:t>
      </w:r>
      <w:r w:rsidRPr="0098261B">
        <w:rPr>
          <w:vertAlign w:val="superscript"/>
        </w:rPr>
        <w:fldChar w:fldCharType="end"/>
      </w:r>
      <w:r w:rsidRPr="0098261B">
        <w:rPr>
          <w:noProof/>
          <w:vertAlign w:val="superscript"/>
        </w:rPr>
        <w:t xml:space="preserve"> </w:t>
      </w:r>
      <w:r w:rsidRPr="0098261B">
        <w:t>For example, pyrene-4,5,9,10-tetraone undergoes a four-electron reduction process at an average potential of 2.59 V</w:t>
      </w:r>
      <w:r w:rsidRPr="0098261B">
        <w:rPr>
          <w:i/>
          <w:iCs/>
        </w:rPr>
        <w:t xml:space="preserve"> vs</w:t>
      </w:r>
      <w:r w:rsidRPr="0098261B">
        <w:t>. Li</w:t>
      </w:r>
      <w:r w:rsidRPr="0098261B">
        <w:rPr>
          <w:vertAlign w:val="superscript"/>
        </w:rPr>
        <w:t>+</w:t>
      </w:r>
      <w:r w:rsidRPr="0098261B">
        <w:t xml:space="preserve">/Li and reaches a high reversible capacity of 360 </w:t>
      </w:r>
      <w:proofErr w:type="spellStart"/>
      <w:r w:rsidRPr="0098261B">
        <w:t>mAh</w:t>
      </w:r>
      <w:proofErr w:type="spellEnd"/>
      <w:r w:rsidRPr="0098261B">
        <w:t xml:space="preserve"> g</w:t>
      </w:r>
      <w:r w:rsidRPr="0098261B">
        <w:rPr>
          <w:vertAlign w:val="superscript"/>
        </w:rPr>
        <w:t>-1</w:t>
      </w:r>
      <w:r w:rsidRPr="0098261B">
        <w:rPr>
          <w:vertAlign w:val="subscript"/>
        </w:rPr>
        <w:t>.</w:t>
      </w:r>
      <w:r w:rsidRPr="0098261B">
        <w:rPr>
          <w:vertAlign w:val="subscript"/>
        </w:rPr>
        <w:fldChar w:fldCharType="begin" w:fldLock="1"/>
      </w:r>
      <w:r w:rsidRPr="0098261B">
        <w:rPr>
          <w:vertAlign w:val="subscript"/>
        </w:rPr>
        <w:instrText>ADDIN CSL_CITATION {"citationItems":[{"id":"ITEM-1","itemData":{"DOI":"10.1039/c3sc22093a","ISSN":"20416539","abstract":"Organic carbonyl compounds are potentially low-cost, sustainable, and high energy density electrode materials, but are plagued by unsatisfactory active-site utilization, low discharge potentials and low rate discharge-charge performance in battery applications. We herein disclose a function-oriented design of carbonyl compounds with multi-electron reactions as positive electrode materials for rechargeable lithium batteries, showing that molecular orbital profiles and energetics can be applied for the prediction of carbonyl utilization and modulation of redox potentials. By embedding pre-aromatic 1,2-dicarbonyl moieties in the extended conjugated systems, the desirable molecules integrate all known stabilizing factors and enable full four-Li uptake. Remarkably, two new carbonyl electrodes, pyrene-4,5,9,10-tetraone and 1,10-phenanthroline-5,6-dione, deliver a reversible capacity of 360 mA h g−1 and an average working potential of 2.74 V, respectively, providing insights in designing high-energy organic positive electrodes of lithium batteries for efficient energy storage and conversion. © 2013 The Royal Society of Chemistry.","author":[{"dropping-particle":"","family":"Liang","given":"Yanliang","non-dropping-particle":"","parse-names":false,"suffix":""},{"dropping-particle":"","family":"Zhang","given":"Peng","non-dropping-particle":"","parse-names":false,"suffix":""},{"dropping-particle":"","family":"Chen","given":"Jun","non-dropping-particle":"","parse-names":false,"suffix":""}],"container-title":"Chemical Science","id":"ITEM-1","issue":"3","issued":{"date-parts":[["2013","2","4"]]},"page":"1330-1337","publisher":"Royal Society of Chemistry","title":"Function-oriented design of conjugated carbonyl compound electrodes for high energy lithium batteries","type":"article-journal","volume":"4"},"uris":["http://www.mendeley.com/documents/?uuid=01c55c2b-5937-373b-a8fb-0e0178c11ba7"]}],"mendeley":{"formattedCitation":"&lt;sup&gt;[13]&lt;/sup&gt;","plainTextFormattedCitation":"[13]","previouslyFormattedCitation":"&lt;sup&gt;[13]&lt;/sup&gt;"},"properties":{"noteIndex":0},"schema":"https://github.com/citation-style-language/schema/raw/master/csl-citation.json"}</w:instrText>
      </w:r>
      <w:r w:rsidRPr="0098261B">
        <w:rPr>
          <w:vertAlign w:val="subscript"/>
        </w:rPr>
        <w:fldChar w:fldCharType="separate"/>
      </w:r>
      <w:r w:rsidRPr="0098261B">
        <w:rPr>
          <w:noProof/>
          <w:vertAlign w:val="superscript"/>
        </w:rPr>
        <w:t>[13]</w:t>
      </w:r>
      <w:r w:rsidRPr="0098261B">
        <w:rPr>
          <w:vertAlign w:val="subscript"/>
        </w:rPr>
        <w:fldChar w:fldCharType="end"/>
      </w:r>
      <w:r w:rsidRPr="0098261B">
        <w:t xml:space="preserve"> This capacity is more than twice the value of LiCoO</w:t>
      </w:r>
      <w:r w:rsidRPr="0098261B">
        <w:rPr>
          <w:vertAlign w:val="subscript"/>
        </w:rPr>
        <w:t>2</w:t>
      </w:r>
      <w:r w:rsidRPr="0098261B">
        <w:t xml:space="preserve"> (albeit at a discharge potential that is more than 1 V lower than for LiCoO</w:t>
      </w:r>
      <w:r w:rsidRPr="0098261B">
        <w:rPr>
          <w:vertAlign w:val="subscript"/>
        </w:rPr>
        <w:t>2</w:t>
      </w:r>
      <w:r w:rsidRPr="0098261B">
        <w:t>).</w:t>
      </w:r>
      <w:r w:rsidRPr="0098261B">
        <w:fldChar w:fldCharType="begin" w:fldLock="1"/>
      </w:r>
      <w:r w:rsidRPr="0098261B">
        <w:instrText>ADDIN CSL_CITATION {"citationItems":[{"id":"ITEM-1","itemData":{"DOI":"10.1039/c3sc22093a","ISSN":"20416539","abstract":"Organic carbonyl compounds are potentially low-cost, sustainable, and high energy density electrode materials, but are plagued by unsatisfactory active-site utilization, low discharge potentials and low rate discharge-charge performance in battery applications. We herein disclose a function-oriented design of carbonyl compounds with multi-electron reactions as positive electrode materials for rechargeable lithium batteries, showing that molecular orbital profiles and energetics can be applied for the prediction of carbonyl utilization and modulation of redox potentials. By embedding pre-aromatic 1,2-dicarbonyl moieties in the extended conjugated systems, the desirable molecules integrate all known stabilizing factors and enable full four-Li uptake. Remarkably, two new carbonyl electrodes, pyrene-4,5,9,10-tetraone and 1,10-phenanthroline-5,6-dione, deliver a reversible capacity of 360 mA h g−1 and an average working potential of 2.74 V, respectively, providing insights in designing high-energy organic positive electrodes of lithium batteries for efficient energy storage and conversion. © 2013 The Royal Society of Chemistry.","author":[{"dropping-particle":"","family":"Liang","given":"Yanliang","non-dropping-particle":"","parse-names":false,"suffix":""},{"dropping-particle":"","family":"Zhang","given":"Peng","non-dropping-particle":"","parse-names":false,"suffix":""},{"dropping-particle":"","family":"Chen","given":"Jun","non-dropping-particle":"","parse-names":false,"suffix":""}],"container-title":"Chemical Science","id":"ITEM-1","issue":"3","issued":{"date-parts":[["2013","2","4"]]},"page":"1330-1337","publisher":"Royal Society of Chemistry","title":"Function-oriented design of conjugated carbonyl compound electrodes for high energy lithium batteries","type":"article-journal","volume":"4"},"uris":["http://www.mendeley.com/documents/?uuid=01c55c2b-5937-373b-a8fb-0e0178c11ba7"]}],"mendeley":{"formattedCitation":"&lt;sup&gt;[13]&lt;/sup&gt;","plainTextFormattedCitation":"[13]","previouslyFormattedCitation":"&lt;sup&gt;[13]&lt;/sup&gt;"},"properties":{"noteIndex":0},"schema":"https://github.com/citation-style-language/schema/raw/master/csl-citation.json"}</w:instrText>
      </w:r>
      <w:r w:rsidRPr="0098261B">
        <w:fldChar w:fldCharType="separate"/>
      </w:r>
      <w:r w:rsidRPr="0098261B">
        <w:rPr>
          <w:noProof/>
          <w:vertAlign w:val="superscript"/>
        </w:rPr>
        <w:t>[13]</w:t>
      </w:r>
      <w:r w:rsidRPr="0098261B">
        <w:fldChar w:fldCharType="end"/>
      </w:r>
      <w:r w:rsidRPr="0098261B">
        <w:t xml:space="preserve"> Consequently, molecules containing a high content of conjugated carbonyl groups are a focus of current research in organic electrode materials. However, there are challenges associated with these types of organic electrode material, including the inefficient utilization of the redox-active carbonyl sites, particularly at high current rates and during long-term operation, which restricts their application.</w:t>
      </w:r>
    </w:p>
    <w:p w14:paraId="676D9A40" w14:textId="17ACB7ED" w:rsidR="00E04CBD" w:rsidRPr="0098261B" w:rsidRDefault="00F031FD" w:rsidP="00E04CBD">
      <w:pPr>
        <w:pStyle w:val="P1"/>
        <w:ind w:firstLine="425"/>
        <w:sectPr w:rsidR="00E04CBD" w:rsidRPr="0098261B" w:rsidSect="004920E9">
          <w:type w:val="continuous"/>
          <w:pgSz w:w="11906" w:h="16838" w:code="9"/>
          <w:pgMar w:top="1673" w:right="936" w:bottom="1134" w:left="936" w:header="709" w:footer="709" w:gutter="0"/>
          <w:cols w:num="2" w:space="284"/>
          <w:docGrid w:linePitch="360"/>
        </w:sectPr>
      </w:pPr>
      <w:r w:rsidRPr="0098261B">
        <w:t xml:space="preserve">The utilization of active sites in electrochemically redox-active organic materials </w:t>
      </w:r>
      <w:r w:rsidR="007130C9">
        <w:t>are</w:t>
      </w:r>
      <w:r w:rsidRPr="0098261B">
        <w:t xml:space="preserve"> affected by the dissolution of active material in the electrolyte, the chemical stability of active material during cycling, and the ion </w:t>
      </w:r>
      <w:r w:rsidRPr="0098261B">
        <w:rPr>
          <w:lang w:eastAsia="zh-CN"/>
        </w:rPr>
        <w:t>and electron transport</w:t>
      </w:r>
      <w:r w:rsidRPr="0098261B">
        <w:t xml:space="preserve"> capability of the organic electrode. The dissolution of the small organic active material in the electrolyte can be suppressed by various strategies, including grafting the electroactive molecule into a conductive backbone,</w:t>
      </w:r>
      <w:r w:rsidRPr="0098261B">
        <w:fldChar w:fldCharType="begin" w:fldLock="1"/>
      </w:r>
      <w:r w:rsidRPr="0098261B">
        <w:instrText>ADDIN CSL_CITATION {"citationItems":[{"id":"ITEM-1","itemData":{"DOI":"10.1021/acs.chemmater.5b00990","ISSN":"15205002","abstract":"E fficient and rapid energy storage is essential for sustainable energy delivery. Fast transfer of charges stored at the surface of supercapacitor electrodes can provide high power densities (fast (dis)charge rates). However, their exclusively non-Faradaic energy storage mechanism limits attainable energy densities. 1,2 In contrast, electrochemical reactions in intercalation or conversion electrodes can afford high energy densities in batteries, but slow reaction kinetics often limits their power densities. 2,3 Nano-structured pseudocapacitor electrodes with high surface area and redox-active components have shown the potential to bridge the gap between high-power and high-energy electrodes, yet they often require complex material engineering. 4,5 Using well-established methods, we coupled organic molecules with fast redox kinetics to inexpensive high-surface-area conductive substrates to access high energy and power densities in scalable lithium battery electrodes. Because various types of carbon black are already employed as conductive additives in virtually all current lithium battery technologies, 6 these lightweight and inexpensive materials are a natural choice as the conductive platform. We covalently functionalized these sp 2 carbon surfaces through spontaneous reaction with diazonium salts 7−9 of redox-active quinones. To the extent of our knowledge, these electrodes show the largest energy densities at high power of reported quinone electrodes. High-surface-area conductive Ketjenblack (KB, BET surface area: 1220 m 2 ·g −1) covalently functionalized with PAQ (PAQ = 9,10-phenanthrenequinone, Scheme 1) exhibits a gravimetric capacity per total mass of quinone and carbon of 75 mAh·g −1 at a cycling rate of 30 mA·g −1. This electrode maintains a capacity of 58 mAh·g −1 even at cycling rates as high as 1500 mA·g −1. It exhibits a Coulombic efficiency of 99.8(3)% and a round-trip energy efficiency (energy extracted during discharge/energy stored during charge) of 96.1(3)% over 500 (dis)charge cycles. Importantly, the electrode maintains high energy density and efficiency at exceptional power densities of over 80 000 W·kg −1. We show that electrode capacity and voltage can be improved by substituting other redox-active molecules. For example, substitution of PYT (PYT = pyrene-4,5,9,10-tetraone) for PAQ increases the electrode's energy density at 75 mA·g −1 from 160 to over 300 Wh·kg −1. Redox-active organic materials have been extensively investigated…","author":[{"dropping-particle":"","family":"Jaffe","given":"Adam","non-dropping-particle":"","parse-names":false,"suffix":""},{"dropping-particle":"","family":"Saldivar Valdes","given":"Abraham","non-dropping-particle":"","parse-names":false,"suffix":""},{"dropping-particle":"","family":"Karunadasa","given":"Hemamala I","non-dropping-particle":"","parse-names":false,"suffix":""}],"container-title":"Chemistry of Materials","id":"ITEM-1","issue":"10","issued":{"date-parts":[["2015"]]},"page":"3568-3571","publisher":"UTC","title":"Quinone-functionalized carbon black cathodes for lithium batteries with high power densities","type":"article-journal","volume":"27"},"uris":["http://www.mendeley.com/documents/?uuid=e5a90bc6-7d8c-3a85-a98b-8aa296e5e7bb"]}],"mendeley":{"formattedCitation":"&lt;sup&gt;[22]&lt;/sup&gt;","plainTextFormattedCitation":"[22]","previouslyFormattedCitation":"&lt;sup&gt;[22]&lt;/sup&gt;"},"properties":{"noteIndex":0},"schema":"https://github.com/citation-style-language/schema/raw/master/csl-citation.json"}</w:instrText>
      </w:r>
      <w:r w:rsidRPr="0098261B">
        <w:fldChar w:fldCharType="separate"/>
      </w:r>
      <w:r w:rsidRPr="0098261B">
        <w:rPr>
          <w:noProof/>
          <w:vertAlign w:val="superscript"/>
        </w:rPr>
        <w:t>[22]</w:t>
      </w:r>
      <w:r w:rsidRPr="0098261B">
        <w:fldChar w:fldCharType="end"/>
      </w:r>
      <w:r w:rsidRPr="0098261B">
        <w:t xml:space="preserve"> forming a salt,</w:t>
      </w:r>
      <w:r w:rsidRPr="0098261B">
        <w:fldChar w:fldCharType="begin" w:fldLock="1"/>
      </w:r>
      <w:r w:rsidRPr="0098261B">
        <w:instrText>ADDIN CSL_CITATION {"citationItems":[{"id":"ITEM-1","itemData":{"DOI":"10.1021/ja9024897","ISBN":"0002-7863","ISSN":"00027863","PMID":"19476355","abstract":"The use of lithiated redox organic molecules containing electrochemically active C=O functionalities, such as lithiated oxocarbon salts, is proposed. These represent alternative electrode materials to those used in current Li-ion battery technology that can be synthesized from renewable starting materials. The key material is the tetralithium salt of tetrahydroxybenzoquinone (Li(4)C(6)O(6)), which can be both reduced to Li(2)C(6)O(6) and oxidized to Li(6)C(6)O(6). In addition to being directly synthesized from tetrahydroxybenzoquinone by neutralization at room temperature, we demonstrate that this salt can readily be formed by the thermal disproportionation of Li(2)C(6)O(6) (dilithium rhodizonate phase) under an inert atmosphere. The Li(4)C(6)O(6) compound shows good electrochemical performance vs Li with a sustained reversibility of approximately 200 mAh g(-1) at an average potential of 1.8 V, allowing a Li-ion battery that cycles between Li(2)C(6)O(6) and Li(6)C(6)O(6) to be constructed.","author":[{"dropping-particle":"","family":"Chen","given":"Haiyan","non-dropping-particle":"","parse-names":false,"suffix":""},{"dropping-particle":"","family":"Armand","given":"Michel","non-dropping-particle":"","parse-names":false,"suffix":""},{"dropping-particle":"","family":"Courty","given":"Matthieu","non-dropping-particle":"","parse-names":false,"suffix":""},{"dropping-particle":"","family":"Jiang","given":"Meng","non-dropping-particle":"","parse-names":false,"suffix":""},{"dropping-particle":"","family":"Grey","given":"Clare P.","non-dropping-particle":"","parse-names":false,"suffix":""},{"dropping-particle":"","family":"Dolhem","given":"Franck","non-dropping-particle":"","parse-names":false,"suffix":""},{"dropping-particle":"","family":"Tarascon","given":"Jean Marie","non-dropping-particle":"","parse-names":false,"suffix":""},{"dropping-particle":"","family":"Poizot","given":"Philippe","non-dropping-particle":"","parse-names":false,"suffix":""}],"container-title":"Journal of the American Chemical Society","id":"ITEM-1","issue":"25","issued":{"date-parts":[["2009"]]},"page":"8984-8988","title":"Lithium salt of tetrahydroxybenzoquinone: Toward the development of a sustainable Li-ion battery","type":"article-journal","volume":"131"},"uris":["http://www.mendeley.com/documents/?uuid=66f76ad6-9dd3-4ea2-af37-73b156c28366"]}],"mendeley":{"formattedCitation":"&lt;sup&gt;[23]&lt;/sup&gt;","plainTextFormattedCitation":"[23]","previouslyFormattedCitation":"&lt;sup&gt;[23]&lt;/sup&gt;"},"properties":{"noteIndex":0},"schema":"https://github.com/citation-style-language/schema/raw/master/csl-citation.json"}</w:instrText>
      </w:r>
      <w:r w:rsidRPr="0098261B">
        <w:fldChar w:fldCharType="separate"/>
      </w:r>
      <w:r w:rsidRPr="0098261B">
        <w:rPr>
          <w:noProof/>
          <w:vertAlign w:val="superscript"/>
        </w:rPr>
        <w:t>[23]</w:t>
      </w:r>
      <w:r w:rsidRPr="0098261B">
        <w:fldChar w:fldCharType="end"/>
      </w:r>
      <w:r w:rsidRPr="0098261B">
        <w:t xml:space="preserve"> and synthesizing insoluble polymeric materials.</w:t>
      </w:r>
      <w:r w:rsidRPr="0098261B">
        <w:fldChar w:fldCharType="begin" w:fldLock="1"/>
      </w:r>
      <w:r w:rsidRPr="0098261B">
        <w:instrText>ADDIN CSL_CITATION {"citationItems":[{"id":"ITEM-1","itemData":{"DOI":"10.1039/C6MH00072J","ISBN":"2051-6347 2051-6355","ISSN":"2051-6347","abstract":"A straightforward synthetic strategy for the construction of electrode materials is demonstrated by the polymerization of two kinds of electrochemically active organic monomers without sacrificing specific capacity. Polyquinoneimines (PQIs), synthesised by the polycondensation reaction of 2,6-diaminoanthraquinone and the anhydrides, were used as a cathode in lithium ion batteries (LIBs). Electrochemical analysis such as CV and galvanostatic cycling reveals that PQIs exhibit the combined electrochemical properties of the two monomers. The mechanism of lithiation/delithiation of the PQIs has been investigated by means of electrochemical and spectroscopic (FTIR) analytical techniques. The as-prepared PQI-1 exhibits a higher specific capacity of 210 mA h g−1 and a better cycling performance (136 mA h g−1 after 200 cycles) compared with their polymeric precursors.","author":[{"dropping-particle":"","family":"Tian","given":"Bingbing","non-dropping-particle":"","parse-names":false,"suffix":""},{"dropping-particle":"","family":"Ning","given":"Guo-Hong","non-dropping-particle":"","parse-names":false,"suffix":""},{"dropping-particle":"","family":"Tang","given":"Wei","non-dropping-particle":"","parse-names":false,"suffix":""},{"dropping-particle":"","family":"Peng","given":"Chengxin","non-dropping-particle":"","parse-names":false,"suffix":""},{"dropping-particle":"","family":"Yu","given":"Dingyi","non-dropping-particle":"","parse-names":false,"suffix":""},{"dropping-particle":"","family":"Chen","given":"Zhongxin","non-dropping-particle":"","parse-names":false,"suffix":""},{"dropping-particle":"","family":"Xiao","given":"Yinglin","non-dropping-particle":"","parse-names":false,"suffix":""},{"dropping-particle":"","family":"Su","given":"Chenliang","non-dropping-particle":"","parse-names":false,"suffix":""},{"dropping-particle":"","family":"Loh","given":"Kian Ping","non-d</w:instrText>
      </w:r>
      <w:r w:rsidRPr="0098261B">
        <w:rPr>
          <w:rFonts w:hint="eastAsia"/>
        </w:rPr>
        <w:instrText>ropping-particle":"","parse-names":false,"suffix":""}],"container-title":"Mater. Horiz.","id":"ITEM-1","issue":"5","issued":{"date-parts":[["2016"]]},"note":"</w:instrText>
      </w:r>
      <w:r w:rsidRPr="0098261B">
        <w:rPr>
          <w:rFonts w:hint="eastAsia"/>
        </w:rPr>
        <w:instrText>聚</w:instrText>
      </w:r>
      <w:r w:rsidRPr="0098261B">
        <w:rPr>
          <w:rFonts w:ascii="Microsoft YaHei" w:eastAsia="Microsoft YaHei" w:hAnsi="Microsoft YaHei" w:cs="Microsoft YaHei" w:hint="eastAsia"/>
        </w:rPr>
        <w:instrText>醌亚</w:instrText>
      </w:r>
      <w:r w:rsidRPr="0098261B">
        <w:rPr>
          <w:rFonts w:ascii="Yu Gothic UI" w:eastAsia="Yu Gothic UI" w:hAnsi="Yu Gothic UI" w:cs="Yu Gothic UI" w:hint="eastAsia"/>
        </w:rPr>
        <w:instrText>胺（</w:instrText>
      </w:r>
      <w:r w:rsidRPr="0098261B">
        <w:rPr>
          <w:rFonts w:hint="eastAsia"/>
        </w:rPr>
        <w:instrText>PQIs</w:instrText>
      </w:r>
      <w:r w:rsidRPr="0098261B">
        <w:rPr>
          <w:rFonts w:hint="eastAsia"/>
        </w:rPr>
        <w:instrText>），</w:instrText>
      </w:r>
      <w:r w:rsidRPr="0098261B">
        <w:rPr>
          <w:rFonts w:hint="eastAsia"/>
        </w:rPr>
        <w:instrText>","page":"429-433","publisher":"Royal Society of Chemistry","title":"Polyquinoneimines</w:instrText>
      </w:r>
      <w:r w:rsidRPr="0098261B">
        <w:instrText xml:space="preserve"> for lithium storage: more than the sum of its parts","type":"article-journal","volume":"3"},"uris":["http://www.mendeley.com/documents/?uuid=7dd968cb-cc7c-4243-8900-132bcf03ee2c"]}],"mendeley":{"formattedCitation":"&lt;sup&gt;[24]&lt;/sup&gt;","plainTextFormattedCitation":"[24]","previouslyFormattedCitation":"&lt;sup&gt;[24]&lt;/sup&gt;"},"properties":{"noteIndex":0},"schema":"https://github.com/citation-style-language/schema/raw/master/csl-citation.json"}</w:instrText>
      </w:r>
      <w:r w:rsidRPr="0098261B">
        <w:fldChar w:fldCharType="separate"/>
      </w:r>
      <w:r w:rsidRPr="0098261B">
        <w:rPr>
          <w:noProof/>
          <w:vertAlign w:val="superscript"/>
        </w:rPr>
        <w:t>[24]</w:t>
      </w:r>
      <w:r w:rsidRPr="0098261B">
        <w:fldChar w:fldCharType="end"/>
      </w:r>
      <w:r w:rsidRPr="0098261B">
        <w:t xml:space="preserve"> Polymeric materials are advantageous because their molecular structures can be chemically tuned based on the employment of different monomers to improve their performance.</w:t>
      </w:r>
      <w:r w:rsidRPr="0098261B">
        <w:fldChar w:fldCharType="begin" w:fldLock="1"/>
      </w:r>
      <w:r w:rsidRPr="0098261B">
        <w:instrText>ADDIN CSL_CITATION {"citationItems":[{"id":"ITEM-1","itemData":{"DOI":"10.1021/acs.chemrev.6b00070","ISSN":"15206890","PMID":"27479607","abstract":"The storage of electric energy is of ever growing importance for our modern, technology-based society, and novel battery systems are in the focus of research. The substitution of conventional metals as redox-active material by organic materials offers a promising alternative for the next generation of rechargeable batteries since these organic batteries are excelling in charging speed and cycling stability. This review provides a comprehensive overview of these systems and discusses the numerous classes of organic, polymer-based active materials as well as auxiliary components of the battery, like additives or electrolytes. Moreover, a definition of important cell characteristics and an introduction to selected characterization techniques is provided, completed by the discussion of potential socio-economic impacts.","author":[{"dropping-particle":"","family":"Muench","given":"Simon","non-dropping-particle":"","parse-names":false,"suffix":""},{"dropping-particle":"","family":"Wild","given":"Andreas","non-dropping-particle":"","parse-names":false,"suffix":""},{"dropping-particle":"","family":"Friebe","given":"Christian","non-dropping-particle":"","parse-names":false,"suffix":""},{"dropping-particle":"","family":"Häupler","given":"Bernhard","non-dropping-particle":"","parse-names":false,"suffix":""},{"dropping-particle":"","family":"Janoschka","given":"Tobias","non-dropping-particle":"","parse-names":false,"suffix":""},{"dropping-particle":"","family":"Schubert","given":"Ulrich S.","non-dropping-particle":"","parse-names":false,"suffix":""}],"container-title":"Chemical Reviews","id":"ITEM-1","issue":"16","issued":{"date-parts":[["2016"]]},"page":"9438-9484","title":"Polymer-Based Organic Batteries","type":"article-journal","volume":"116"},"uris":["http://www.mendeley.com/documents/?uuid=81a39eda-93e6-446c-8fe1-140edb4764b8"]}],"mendeley":{"formattedCitation":"&lt;sup&gt;[25]&lt;/sup&gt;","plainTextFormattedCitation":"[25]","previouslyFormattedCitation":"&lt;sup&gt;[25]&lt;/sup&gt;"},"properties":{"noteIndex":0},"schema":"https://github.com/citation-style-language/schema/raw/master/csl-citation.json"}</w:instrText>
      </w:r>
      <w:r w:rsidRPr="0098261B">
        <w:fldChar w:fldCharType="separate"/>
      </w:r>
      <w:r w:rsidRPr="0098261B">
        <w:rPr>
          <w:noProof/>
          <w:vertAlign w:val="superscript"/>
        </w:rPr>
        <w:t>[25]</w:t>
      </w:r>
      <w:r w:rsidRPr="0098261B">
        <w:fldChar w:fldCharType="end"/>
      </w:r>
      <w:r w:rsidRPr="0098261B">
        <w:t xml:space="preserve"> Polymerization is also a good strategy to prevent the dissolution of active material during cycling. Recent reports have shown that polymers containing conjugated carbonyl groups show better capacity</w:t>
      </w:r>
      <w:r w:rsidR="00AF1253" w:rsidRPr="0098261B">
        <w:t xml:space="preserve"> </w:t>
      </w:r>
      <w:r w:rsidRPr="0098261B">
        <w:t>retention over hundreds of cycles than the corresponding monomers.</w:t>
      </w:r>
      <w:r w:rsidRPr="0098261B">
        <w:fldChar w:fldCharType="begin" w:fldLock="1"/>
      </w:r>
      <w:r w:rsidRPr="0098261B">
        <w:instrText>ADDIN CSL_CITATION {"citationItems":[{"id":"ITEM-1","itemData":{"DOI":"10.1039/c9nr00088g","ISSN":"20403372","abstract":"Few layer COFs was incorporated with rGO to provide composite cathode materials with improved energy storage capability. Covalent organic frameworks (COFs) have attracted increasing interest for their use as electrode materials for lithium-ion batteries (LIBs) by virtue of their microporous crystalline structures and robust networks. However, the tightly stacked bulk COFs and their intrinsic low conductivity inevitably result in an inefficient utilization of redox-active sites so as to lower the electrochemical performance. Herein, we proposed a general strategy to improve the energy storage capability of polyimide (PI)-COF based cathode materials, which included the decrease of their stacked layer numbers to a few layers via a mechanical milling method for the efficient utilization of redox-active sites and the incorporation of few-layer COF sheets with chemically reduced graphene oxide (rGO) to increase the charge transfer. The excellent electrochemical performance of the composite few-layer PI-COFs with rGO cathodes indicated that reducing the layer number of COFs and incorporating rGO may pave the way for the successful development of COF-based organic electrodes for LIBs.","author":[{"dropping-particle":"","family":"Wang","given":"Zhaolei","non-dropping-particle":"","parse-names":false,"suffix":""},{"dropping-particle":"","family":"Li","given":"Yongjun","non-dropping-particle":"","parse-names":false,"suffix":""},{"dropping-particle":"","family":"Liu","given":"Pengju","non-dropping-particle":"","parse-names":false,"suffix":""},{"dropping-particle":"","family":"Qi","given":"Qiaoyan","non-dropping-particle":"","parse-names":false,"suffix":""},{"dropping-particle":"","family":"Zhang","given":"Fang","non-dropping-particle":"","parse-names":false,"suffix":""},{"dropping-particle":"","family":"Lu","given":"Guolin","non-dropping-particle":"","parse-names":false,"suffix":""},{"dropping-particle":"","family":"Zhao","given":"Xin","non-dropping-particle":"","parse-names":false,"suffix":""},{"dropping-particle":"","family":"Huang","given":"Xiaoyu","non-dropping-particle":"","parse-names":false,"suffix":""}],"container-title":"Nanoscale","id":"ITEM-1","issue":"12","issued":{"date-parts":[["2019"]]},"page":"5330-5335","title":"Few layer covalent organic frameworks with graphene sheets as cathode materials for lithium-ion batteries","type":"article-journal","volume":"11"},"uris":["http://www.mendeley.com/documents/?uuid=0bbf28d0-7fc9-3675-ac5b-68337abe0293"]},{"id":"ITEM-2","itemData":{"DOI":"10.1002/adfm.201908074","ISSN":"16163028","abstract":"Redox-active conjugated microporous polymers (RCMPs) polymerized by conventional methods are commonly obtained as irregular insoluble solid particles making the electrode processing difficult. In this work, the synthesis of RCMP based on anthraquinone moieties (IEP-11) is developed via a two-step pathway combining miniemulsion and solvothermal techniques that results in polymer nanostructures that are much easier to disperse in solvents facilitating the fabrication of electrodes. Interestingly, this synthetic approach is also found to have an important impact on the inherent morphology of IEP-11 that exhibits a dual porosity combining micro and mesopores with a specific surface area as high as 2200 m2 g−1, which is one of the highest values reported for RCMPs. Moreover, the compactness of the electrodes is also improved, the resulting electrodes have triple the density than those obtained with conventional methods. Consequently, when these electrodes are tested as cathodes in Li-ion battery, they deliver high gravimetric capacities (</w:instrText>
      </w:r>
      <w:r w:rsidRPr="0098261B">
        <w:rPr>
          <w:rFonts w:hint="eastAsia"/>
        </w:rPr>
        <w:instrText>≈</w:instrText>
      </w:r>
      <w:r w:rsidRPr="0098261B">
        <w:instrText>100 mAh g−1) and extraordinary rate capability keeping 76% of discharge c</w:instrText>
      </w:r>
      <w:r w:rsidRPr="0098261B">
        <w:rPr>
          <w:rFonts w:hint="eastAsia"/>
        </w:rPr>
        <w:instrText>apacity when charged</w:instrText>
      </w:r>
      <w:r w:rsidRPr="0098261B">
        <w:rPr>
          <w:rFonts w:hint="eastAsia"/>
        </w:rPr>
        <w:instrText>–</w:instrText>
      </w:r>
      <w:r w:rsidRPr="0098261B">
        <w:rPr>
          <w:rFonts w:hint="eastAsia"/>
        </w:rPr>
        <w:instrText xml:space="preserve">discharged in only 12 min (@5 C). Moreover, the insoluble and robust conjugated porous structure provides IEP-11-E12 with an unprecedented cycling stability retain </w:instrText>
      </w:r>
      <w:r w:rsidRPr="0098261B">
        <w:rPr>
          <w:rFonts w:hint="eastAsia"/>
        </w:rPr>
        <w:instrText>≈</w:instrText>
      </w:r>
      <w:r w:rsidRPr="0098261B">
        <w:rPr>
          <w:rFonts w:hint="eastAsia"/>
        </w:rPr>
        <w:instrText xml:space="preserve">90% and </w:instrText>
      </w:r>
      <w:r w:rsidRPr="0098261B">
        <w:rPr>
          <w:rFonts w:hint="eastAsia"/>
        </w:rPr>
        <w:instrText>≈</w:instrText>
      </w:r>
      <w:r w:rsidRPr="0098261B">
        <w:rPr>
          <w:rFonts w:hint="eastAsia"/>
        </w:rPr>
        <w:instrText>60% of its initial capacity after 5000 (@2 C) and 80 000 cyc</w:instrText>
      </w:r>
      <w:r w:rsidRPr="0098261B">
        <w:instrText>les (@30 C), respectively.","author":[{"dropping-particle":"","family":"Molina","given":"Antonio","non-dropping-particle":"","parse-names":false,"suffix":""},{"dropping-particle":"","family":"Patil","given":"Nagaraj","non-dropping-particle":"","parse-names":false,"suffix":""},{"dropping-particle":"","family":"Ventosa","given":"Edgar","non-dropping-particle":"","parse-names":false,"suffix":""},{"dropping-particle":"","family":"Liras","given":"Marta","non-dropping-particle":"","parse-names":false,"suffix":""},{"dropping-particle":"","family":"Palma","given":"Jesús","non-dropping-particle":"","parse-names":false,"suffix":""},{"dropping-particle":"","family":"Marcilla","given":"Rebeca","non-dropping-particle":"","parse-names":false,"suffix":""}],"container-title":"Advanced Functional Materials","id":"ITEM-2","issue":"6","issued":{"date-parts":[["2020","11","13"]]},"page":"1908074","title":"New Anthraquinone-Based Conjugated Microporous Polymer Cathode with Ultrahigh Specific Surface Area for High-Performance Lithium-Ion Batteries","type":"article-journal","volume":"30"},"uris":["http://www.mendeley.com/documents/?uuid=76dc3376-2d83-3f2c-8418-e41f3b97b2df"]}],"mendeley":{"formattedCitation":"&lt;sup&gt;[26,27]&lt;/sup&gt;","plainTextFormattedCitation":"[26,27]","previouslyFormattedCitation":"&lt;sup&gt;[26,27]&lt;/sup&gt;"},"properties":{"noteIndex":0},"schema":"https://github.com/citation-style-language/schema/raw/master/csl-citation.json"}</w:instrText>
      </w:r>
      <w:r w:rsidRPr="0098261B">
        <w:fldChar w:fldCharType="separate"/>
      </w:r>
      <w:r w:rsidRPr="0098261B">
        <w:rPr>
          <w:noProof/>
          <w:vertAlign w:val="superscript"/>
        </w:rPr>
        <w:t>[26,27]</w:t>
      </w:r>
      <w:r w:rsidRPr="0098261B">
        <w:fldChar w:fldCharType="end"/>
      </w:r>
      <w:r w:rsidRPr="0098261B">
        <w:rPr>
          <w:vertAlign w:val="superscript"/>
        </w:rPr>
        <w:t xml:space="preserve"> </w:t>
      </w:r>
      <w:r w:rsidRPr="0098261B">
        <w:t>Conductive coatings, and the</w:t>
      </w:r>
    </w:p>
    <w:p w14:paraId="72C37E0F" w14:textId="77777777" w:rsidR="00E04CBD" w:rsidRPr="0098261B" w:rsidRDefault="00E04CBD" w:rsidP="00E04CBD">
      <w:pPr>
        <w:pStyle w:val="FigureCaption"/>
        <w:rPr>
          <w:rFonts w:eastAsiaTheme="minorEastAsia"/>
          <w:noProof/>
          <w:lang w:eastAsia="zh-CN"/>
        </w:rPr>
        <w:sectPr w:rsidR="00E04CBD" w:rsidRPr="0098261B" w:rsidSect="00E04CBD">
          <w:type w:val="continuous"/>
          <w:pgSz w:w="11906" w:h="16838" w:code="9"/>
          <w:pgMar w:top="1673" w:right="936" w:bottom="1134" w:left="936" w:header="709" w:footer="709" w:gutter="0"/>
          <w:cols w:space="284"/>
          <w:docGrid w:linePitch="360"/>
        </w:sectPr>
      </w:pPr>
      <w:r w:rsidRPr="0098261B">
        <w:rPr>
          <w:rFonts w:eastAsiaTheme="minorEastAsia" w:hint="eastAsia"/>
          <w:noProof/>
          <w:lang w:eastAsia="zh-CN"/>
        </w:rPr>
        <w:lastRenderedPageBreak/>
        <w:drawing>
          <wp:anchor distT="0" distB="0" distL="114300" distR="114300" simplePos="0" relativeHeight="251658240" behindDoc="0" locked="0" layoutInCell="1" allowOverlap="1" wp14:anchorId="5C333EAB" wp14:editId="34F7FFA9">
            <wp:simplePos x="0" y="0"/>
            <wp:positionH relativeFrom="margin">
              <wp:align>left</wp:align>
            </wp:positionH>
            <wp:positionV relativeFrom="paragraph">
              <wp:posOffset>381</wp:posOffset>
            </wp:positionV>
            <wp:extent cx="6356909" cy="2192038"/>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nn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6909" cy="2192038"/>
                    </a:xfrm>
                    <a:prstGeom prst="rect">
                      <a:avLst/>
                    </a:prstGeom>
                  </pic:spPr>
                </pic:pic>
              </a:graphicData>
            </a:graphic>
            <wp14:sizeRelH relativeFrom="page">
              <wp14:pctWidth>0</wp14:pctWidth>
            </wp14:sizeRelH>
            <wp14:sizeRelV relativeFrom="page">
              <wp14:pctHeight>0</wp14:pctHeight>
            </wp14:sizeRelV>
          </wp:anchor>
        </w:drawing>
      </w:r>
      <w:r w:rsidRPr="0098261B">
        <w:rPr>
          <w:b/>
        </w:rPr>
        <w:t>Scheme 1.</w:t>
      </w:r>
      <w:r w:rsidRPr="0098261B">
        <w:t xml:space="preserve"> Synthesis of the PMDA-based polyimide polymer network</w:t>
      </w:r>
      <w:r w:rsidRPr="0098261B">
        <w:rPr>
          <w:rFonts w:eastAsiaTheme="minorEastAsia"/>
          <w:noProof/>
          <w:lang w:eastAsia="zh-CN"/>
        </w:rPr>
        <w:t>.</w:t>
      </w:r>
      <w:r w:rsidRPr="0098261B">
        <w:rPr>
          <w:rStyle w:val="FootnoteReference"/>
          <w:rFonts w:eastAsiaTheme="minorEastAsia"/>
          <w:noProof/>
          <w:lang w:eastAsia="zh-CN"/>
        </w:rPr>
        <w:footnoteReference w:id="1"/>
      </w:r>
    </w:p>
    <w:p w14:paraId="50C80C78" w14:textId="5818C348" w:rsidR="00CB185D" w:rsidRPr="0098261B" w:rsidRDefault="00F031FD" w:rsidP="00274379">
      <w:pPr>
        <w:pStyle w:val="P1"/>
      </w:pPr>
      <w:r w:rsidRPr="0098261B">
        <w:t>incorporation of conductive additives have been used to enhance charge transport in organic electroactive materials, and these strategies have been shown to improve rate capability.</w:t>
      </w:r>
      <w:r w:rsidRPr="0098261B">
        <w:fldChar w:fldCharType="begin" w:fldLock="1"/>
      </w:r>
      <w:r w:rsidRPr="0098261B">
        <w:instrText xml:space="preserve">ADDIN CSL_CITATION {"citationItems":[{"id":"ITEM-1","itemData":{"DOI":"10.1039/c6ta09754e","ISSN":"20507496","abstract":"Organic cathodes, especially conjugated carbonyl polymers, have been developed as promising alternatives to inorganic cathodes for rechargeable lithium and sodium batteries due to their high theoretical capacities, fast reaction kinetics, mechanical flexibility, environmental sustainability, and structural diversity. However, because of the intrinsic electrical insulation of conjugated carbonyl polymers, it is a great challenge to simultaneously achieve high capacity, high rate capability, and long cycle life. In this paper we report, for the first time, the preparation of monolithic 3D graphene/polyimide composites (GF-PI) through a one-step solvothermal strategy with simultaneous in situ polymerization of PI on the graphene surface and self-assembly of graphene into a 3D network structure. The mechanically strong GF-PI can be used directly as highly flexible lithium-ion-battery (LIB) cathodes without adding any other binder or conductive carbon and deliver a very high reversible capacity (240 mA h g−1 at 40 mA g−1), excellent rate capability (102 mA h g−1 at 4000 mA g−1) and remarkable cycling stability (81.2% capacity retention after 600 cycles at 100 mA g−1). The flexible GF-PI electrode also delivers an ultrahigh Na storage capacity of 213 mA h g−1 at 50 mA g−1, and outstanding capacity retention of 80.4% after 1000 cycles at 1000 mA g−1 when used as a sodium-ion-battery (SIB) cathode. The comprehensive electrochemical performances of GF-PI are superior to those of the state-of-art PI-based LIB and SIB cathodes that have been reported thus far.","author":[{"dropping-particle":"","family":"Huang","given":"Yanshan","non-dropping-particle":"","parse-names":false,"suffix":""},{"dropping-particle":"","family":"Li","given":"Ke","non-dropping-particle":"","parse-names":false,"suffix":""},{"dropping-particle":"","family":"Liu","given":"Jingjing","non-dropping-particle":"","parse-names":false,"suffix":""},{"dropping-particle":"","family":"Zhong","given":"Xing","non-dropping-particle":"","parse-names":false,"suffix":""},{"dropping-particle":"","family":"Duan","given":"Xiangfeng","non-dropping-particle":"","parse-names":false,"suffix":""},{"dropping-particle":"","family":"Shakir","given":"Imran","non-dropping-particle":"","parse-names":false,"suffix":""},{"dropping-particle":"","family":"Xu","given":"Yuxi","non-dropping-particle":"","parse-names":false,"suffix":""}],"container-title":"Journal of Materials Chemistry A","id":"ITEM-1","issue":"6","issued":{"date-parts":[["2017"]]},"page":"2710-2716","title":"Three-dimensional graphene/polyimide composite-derived flexible high-performance organic cathode for rechargeable lithium and sodium batteries","type":"article-journal","volume":"5"},"uris":["http://www.mendeley.com/documents/?uuid=87380c17-41b5-38a5-99e1-6f75a8bf37d5"]},{"id":"ITEM-2","itemData":{"DOI":"10.1016/j.carbon.2019.10.106","ISSN":"00086223","abstract":"Organic cathode materials are drawing increasing attention in lithium-ion battery for their abundance, environmental friendliness, high specific capacity, low cost, and flexibility. But their application has been hindered by poor electrochemical performance because of inherent low conductivity and high solubility in the polar organic electrolyte. Herein, an organic-inorganic composite by impregnating electrochemically active 4,8-dihydrobenzo [1,2-b:4,5-b’] dithiophene-4,8-dione (BDT) into the pores of 3D cross-linked graphene-based honeycomb carbon (3DGraphene) has been prepared, which not only offers a highly conductive framework with plenty of interconnected pores from the 3D graphene network, but also simultaneously overcomes the two typical drawbacks of organic cathode materials. The excellent confinement effect of the nanopores and the strong π-π interaction between BDT and 3DGraphene largely avoid the dissolution of BDT in the electrolyte. Therefore, the obtained BDT/3DGraphene composite shows a much improved good rate capability (more than 100 mAh g−1 at 4.0C vs less than 50 mAh g−1 for BDT) and cycling stability (about 80% capacity retention at 0.5C while only </w:instrText>
      </w:r>
      <w:r w:rsidRPr="0098261B">
        <w:rPr>
          <w:rFonts w:ascii="Cambria Math" w:hAnsi="Cambria Math" w:cs="Cambria Math"/>
        </w:rPr>
        <w:instrText>∼</w:instrText>
      </w:r>
      <w:r w:rsidRPr="0098261B">
        <w:instrText>14% for BDT for 200 cycles), as well as high reversible specific capacity (over 210 mAh g−1).","author":[{"dropping-particle":"","family":"Sui","given":"Dong","non-dropping-particle":"","parse-names":false,"suffix":""},{"dropping-particle":"","family":"Xu","given":"Lingqun","non-dropping-particle":"","parse-names":false,"suffix":""},{"dropping-particle":"","family":"Zhang","given":"Hongtao","non-dropping-particle":"","parse-names":false,"suffix":""},{"dropping-particle":"","family":"Sun","given":"Zhenhe","non-dropping-particle":"","parse-names":false,"suffix":""},{"dropping-particle":"","family":"Kan","given":"Bin","non-dropping-particle":"","parse-names":false,"suffix":""},{"dropping-particle":"","family":"Ma","given":"Yanfeng","non-dropping-particle":"","parse-names":false,"suffix":""},{"dropping-particle":"","family":"Chen","given":"Yongsheng","non-dropping-particle":"","parse-names":false,"suffix":""}],"container-title":"Carbon","id":"ITEM-2","issued":{"date-parts":[["2020"]]},"page":"656-662","title":"A 3D cross-linked graphene-based honeycomb carbon composite with excellent confinement effect of organic cathode material for lithium-ion batteries","type":"article-journal","volume":"157"},"uris":["http://www.mendeley.com/documents/?uuid=657cdd53-4bf8-3004-a98b-022eec424bc8"]},{"id":"ITEM-3","itemData":{"DOI":"10.1149/2.0031514jes","ISSN":"0013-4651","abstract":"Electroactive organic compounds represent one of the most promising electrode materials for the next generation of green and sustainable lithium (sodium) ion batteries (LIBs/SIBs). However, most organic electrode materials are plagued by high solubility in organic electrolytes and poor electrical conductivity, which have severely impeded their practical applications. Among various strategies to improve their electrochemical performance, introducing conductive carbon into organic materials to form composite electrodes offers the possibility to simultaneously solve the two problems. In this paper, we provide an overview of recent development in the design, synthesis, and application of advanced carbon-supported organic electrode materials for LIBs/SIBs. In such systems, organic component mainly contributes to the charge storage, while carbon matrix facilitates the electron transfer and suppresses the dissolution of the active materials. We mainly focus on representative composites with carbon matrix of fibers, nanotubes (CNTs), graphene, and porous structures. We especially highlight the employment of CNTs and graphene as conductive carbon substrates for organic electrode materials due to their high conductivity, huge surface area, and excellent flexibility. The elegant design of organic-carbon composite should promote the practical applications of organic electrode materials for LIBs/SIBs.","author":[{"dropping-particle":"","family":"Zhu","given":"Zhiqiang","non-dropping-particle":"","parse-names":false,"suffix":""},{"dropping-particle":"","family":"Chen","given":"Jun","non-dropping-particle":"","parse-names":false,"suffix":""}],"container-title":"Journal of The Electrochemical Society","id":"ITEM-3","issue":"14","issued":{"date-parts":[["2015"]]},"page":"A2393-A2405","title":"Review—Advanced Carbon-Supported Organic Electrode Materials for Lithium (Sodium)-Ion Batteries","type":"article-journal","volume":"162"},"uris":["http://www.mendeley.com/documents/?uuid=c8c0ea6d-9b03-4f23-b10e-951a220d6eb4"]}],"mendeley":{"formattedCitation":"&lt;sup&gt;[28–30]&lt;/sup&gt;","plainTextFormattedCitation":"[28–30]","previouslyFormattedCitation":"&lt;sup&gt;[28–30]&lt;/sup&gt;"},"properties":{"noteIndex":0},"schema":"https://github.com/citation-style-language/schema/raw/master/csl-citation.json"}</w:instrText>
      </w:r>
      <w:r w:rsidRPr="0098261B">
        <w:fldChar w:fldCharType="separate"/>
      </w:r>
      <w:r w:rsidRPr="0098261B">
        <w:rPr>
          <w:noProof/>
          <w:vertAlign w:val="superscript"/>
        </w:rPr>
        <w:t>[28–30]</w:t>
      </w:r>
      <w:r w:rsidRPr="0098261B">
        <w:fldChar w:fldCharType="end"/>
      </w:r>
      <w:r w:rsidRPr="0098261B">
        <w:rPr>
          <w:noProof/>
          <w:vertAlign w:val="superscript"/>
        </w:rPr>
        <w:t xml:space="preserve"> </w:t>
      </w:r>
      <w:r w:rsidRPr="0098261B">
        <w:t xml:space="preserve">For example, a microporous polyimide covalent-organic framework and carbon nanotube composite that was prepared by </w:t>
      </w:r>
      <w:r w:rsidRPr="0098261B">
        <w:rPr>
          <w:i/>
        </w:rPr>
        <w:t>in situ</w:t>
      </w:r>
      <w:r w:rsidRPr="0098261B">
        <w:t xml:space="preserve"> polymerization was reported to exhibit a near 100% capacity retention after 8000 cycles, 95 </w:t>
      </w:r>
      <w:proofErr w:type="spellStart"/>
      <w:r w:rsidRPr="0098261B">
        <w:t>mAh</w:t>
      </w:r>
      <w:proofErr w:type="spellEnd"/>
      <w:r w:rsidRPr="0098261B">
        <w:t xml:space="preserve"> g</w:t>
      </w:r>
      <w:r w:rsidRPr="0098261B">
        <w:rPr>
          <w:vertAlign w:val="superscript"/>
        </w:rPr>
        <w:t>-1</w:t>
      </w:r>
      <w:r w:rsidRPr="0098261B">
        <w:t xml:space="preserve"> at 2000 mA g</w:t>
      </w:r>
      <w:r w:rsidRPr="0098261B">
        <w:rPr>
          <w:vertAlign w:val="superscript"/>
        </w:rPr>
        <w:t>-1</w:t>
      </w:r>
      <w:r w:rsidRPr="0098261B">
        <w:t xml:space="preserve"> (19.2 C), and 104 </w:t>
      </w:r>
      <w:proofErr w:type="spellStart"/>
      <w:r w:rsidRPr="0098261B">
        <w:t>mAh</w:t>
      </w:r>
      <w:proofErr w:type="spellEnd"/>
      <w:r w:rsidRPr="0098261B">
        <w:t> g</w:t>
      </w:r>
      <w:r w:rsidRPr="0098261B">
        <w:rPr>
          <w:vertAlign w:val="superscript"/>
        </w:rPr>
        <w:t>-1</w:t>
      </w:r>
      <w:r w:rsidRPr="0098261B">
        <w:t xml:space="preserve"> at 200 mA g</w:t>
      </w:r>
      <w:r w:rsidRPr="0098261B">
        <w:rPr>
          <w:vertAlign w:val="superscript"/>
        </w:rPr>
        <w:t>-1</w:t>
      </w:r>
      <w:r w:rsidRPr="0098261B">
        <w:t xml:space="preserve"> (1.9 C).</w:t>
      </w:r>
      <w:r w:rsidRPr="0098261B">
        <w:fldChar w:fldCharType="begin" w:fldLock="1"/>
      </w:r>
      <w:r w:rsidRPr="0098261B">
        <w:instrText>ADDIN CSL_CITATION {"citationItems":[{"id":"ITEM-1","itemData":{"DOI":"10.1002/adma.201901478","ISSN":"15214095","abstract":"Organic electrode materials are of long-standing interest for next-generation sustainable lithium-ion batteries (LIBs). As a promising cathode candidate, imide compounds have attracted extensive attention due to their low cost, high theoretical capacity, high working voltage, and fast redox reaction. However, the redox active site utilization of imide electrodes remains challenging for them to fulfill their potential applications. Herein, the synthesis of a highly stable, crystalline 2D polyarylimide (2D-PAI) integrated with carbon nanotube (CNT) is demonstrated for the use as cathode material in LIBs. The synthesized polyarylimide hybrid (2D-PAI@CNT) is featured with abundant π-conjugated redox-active naphthalene diimide units, a robust cyclic imide linkage, high surface area, and well-defined accessible pores, which render the efficient utilization of redox active sites (82.9%), excellent structural stability, and fast ion diffusion. As a consequence, high rate capability and ultrastable cycle stability (100% capacity retention after 8000 cycles) are achieved in the 2D-PAI@CNT cathode, which far exceeds the state-of-the-art polyimide electrodes. This work may inspire the development of novel organic electrodes for sustainable and durable rechargeable batteries.","author":[{"dropping-particle":"","family":"Wang","given":"Gang","non-dropping-particle":"","parse-names":false,"suffix":""},{"dropping-particle":"","family":"Chandrasekhar","given":"Naisa","non-dropping-particle":"","parse-names":false,"suffix":""},{"dropping-particle":"","family":"Biswal","given":"Bishnu P.","non-dropping-particle":"","parse-names":false,"suffix":""},{"dropping-particle":"","family":"Becker","given":"Daniel","non-dropping-particle":"","parse-names":false,"suffix":""},{"dropping-particle":"","family":"Paasch","given":"Silvia","non-dropping-particle":"","parse-names":false,"suffix":""},{"dropping-particle":"","family":"Brunner","given":"Eike","non-dropping-particle":"","parse-names":false,"suffix":""},{"dropping-particle":"","family":"Addicoat","given":"Matthew","non-dropping-particle":"","parse-names":false,"suffix":""},{"dropping-particle":"","family":"Yu","given":"Minghao","non-dropping-particle":"","parse-names":false,"suffix":""},{"dropping-particle":"","family":"Berger","given":"Reinhard","non-dropping-particle":"","parse-names":false,"suffix":""},{"dropping-particle":"","family":"Feng","given":"Xinliang","non-dropping-particle":"","parse-names":false,"suffix":""}],"container-title":"Advanced Materials","id":"ITEM-1","issue":"28","issued":{"date-parts":[["2019","5","17"]]},"page":"1901478","publisher":"John Wiley &amp; Sons, Ltd","title":"A Crystalline, 2D Polyarylimide Cathode for Ultrastable and Ultrafast Li Storage","type":"article-journal","volume":"31"},"uris":["http://www.mendeley.com/documents/?uuid=8ca8761a-655c-3e8a-b5f4-770e70afa312"]}],"mendeley":{"formattedCitation":"&lt;sup&gt;[31]&lt;/sup&gt;","plainTextFormattedCitation":"[31]","previouslyFormattedCitation":"&lt;sup&gt;[31]&lt;/sup&gt;"},"properties":{"noteIndex":0},"schema":"https://github.com/citation-style-language/schema/raw/master/csl-citation.json"}</w:instrText>
      </w:r>
      <w:r w:rsidRPr="0098261B">
        <w:fldChar w:fldCharType="separate"/>
      </w:r>
      <w:r w:rsidRPr="0098261B">
        <w:rPr>
          <w:noProof/>
          <w:vertAlign w:val="superscript"/>
        </w:rPr>
        <w:t>[31]</w:t>
      </w:r>
      <w:r w:rsidRPr="0098261B">
        <w:fldChar w:fldCharType="end"/>
      </w:r>
      <w:r w:rsidRPr="0098261B">
        <w:t xml:space="preserve">  Taken together, these results suggest that covalent-organic framework composites can be made to be highly stable and to undergo fast redox reactions.</w:t>
      </w:r>
    </w:p>
    <w:p w14:paraId="25933DB9" w14:textId="7CE85747" w:rsidR="006D4F77" w:rsidRPr="0098261B" w:rsidRDefault="00CB185D" w:rsidP="008D3340">
      <w:pPr>
        <w:pStyle w:val="P1"/>
        <w:ind w:firstLine="425"/>
        <w:rPr>
          <w:lang w:val="en-GB"/>
        </w:rPr>
      </w:pPr>
      <w:r w:rsidRPr="0098261B">
        <w:t>Here, we study composites of a 3D redox-active polyimide (</w:t>
      </w:r>
      <w:r w:rsidRPr="0098261B">
        <w:rPr>
          <w:b/>
        </w:rPr>
        <w:t>PI</w:t>
      </w:r>
      <w:r w:rsidRPr="0098261B">
        <w:t>, S</w:t>
      </w:r>
      <w:proofErr w:type="spellStart"/>
      <w:r w:rsidRPr="0098261B">
        <w:rPr>
          <w:lang w:val="en-GB"/>
        </w:rPr>
        <w:t>cheme</w:t>
      </w:r>
      <w:proofErr w:type="spellEnd"/>
      <w:r w:rsidRPr="0098261B">
        <w:rPr>
          <w:lang w:val="en-GB"/>
        </w:rPr>
        <w:t xml:space="preserve"> </w:t>
      </w:r>
      <w:r w:rsidRPr="0098261B">
        <w:t>1) and reduced graphene oxide (</w:t>
      </w:r>
      <w:proofErr w:type="spellStart"/>
      <w:r w:rsidRPr="0098261B">
        <w:t>rGO</w:t>
      </w:r>
      <w:proofErr w:type="spellEnd"/>
      <w:r w:rsidRPr="0098261B">
        <w:t xml:space="preserve">) that were synthesized using </w:t>
      </w:r>
      <w:r w:rsidRPr="0098261B">
        <w:rPr>
          <w:i/>
        </w:rPr>
        <w:t>in situ</w:t>
      </w:r>
      <w:r w:rsidRPr="0098261B">
        <w:t xml:space="preserve"> polymeri</w:t>
      </w:r>
      <w:r w:rsidR="00AE1BD9">
        <w:t>z</w:t>
      </w:r>
      <w:r w:rsidRPr="0098261B">
        <w:t>ation of pyromellitic dianhydride (</w:t>
      </w:r>
      <w:r w:rsidRPr="00B329A9">
        <w:rPr>
          <w:b/>
        </w:rPr>
        <w:t>PMDA</w:t>
      </w:r>
      <w:r w:rsidRPr="0098261B">
        <w:t>) and tetra-(4-</w:t>
      </w:r>
      <w:proofErr w:type="gramStart"/>
      <w:r w:rsidRPr="0098261B">
        <w:t>aminophenyl)methane</w:t>
      </w:r>
      <w:proofErr w:type="gramEnd"/>
      <w:r w:rsidRPr="0098261B">
        <w:t xml:space="preserve"> (</w:t>
      </w:r>
      <w:r w:rsidRPr="00B329A9">
        <w:rPr>
          <w:b/>
        </w:rPr>
        <w:t>TAPM</w:t>
      </w:r>
      <w:r w:rsidRPr="0098261B">
        <w:t xml:space="preserve">). By itself, </w:t>
      </w:r>
      <w:r w:rsidRPr="0098261B">
        <w:rPr>
          <w:b/>
        </w:rPr>
        <w:t>PI</w:t>
      </w:r>
      <w:r w:rsidRPr="0098261B">
        <w:t xml:space="preserve"> was found to have a</w:t>
      </w:r>
      <w:r w:rsidR="001E0137">
        <w:t xml:space="preserve"> low specific capacity </w:t>
      </w:r>
      <w:r w:rsidR="00A7081B">
        <w:t>of</w:t>
      </w:r>
      <w:r w:rsidR="001E0137">
        <w:t xml:space="preserve"> </w:t>
      </w:r>
      <w:r w:rsidR="00175965">
        <w:t xml:space="preserve">3 </w:t>
      </w:r>
      <w:proofErr w:type="spellStart"/>
      <w:r w:rsidR="00175965" w:rsidRPr="00175965">
        <w:t>mAh</w:t>
      </w:r>
      <w:proofErr w:type="spellEnd"/>
      <w:r w:rsidR="00175965">
        <w:t> </w:t>
      </w:r>
      <w:r w:rsidR="00A7081B" w:rsidRPr="00175965">
        <w:t>g</w:t>
      </w:r>
      <w:r w:rsidR="00175965" w:rsidRPr="00175965">
        <w:rPr>
          <w:vertAlign w:val="superscript"/>
        </w:rPr>
        <w:noBreakHyphen/>
      </w:r>
      <w:r w:rsidRPr="00175965">
        <w:rPr>
          <w:vertAlign w:val="superscript"/>
        </w:rPr>
        <w:t>1</w:t>
      </w:r>
      <w:r w:rsidR="00A7081B">
        <w:rPr>
          <w:vertAlign w:val="superscript"/>
        </w:rPr>
        <w:t xml:space="preserve"> </w:t>
      </w:r>
      <w:r w:rsidRPr="0098261B">
        <w:t xml:space="preserve">as the active material in a lithium-ion half-cell, indicating low utilization of the redox-active groups in </w:t>
      </w:r>
      <w:r w:rsidRPr="0098261B">
        <w:rPr>
          <w:b/>
        </w:rPr>
        <w:t>PI</w:t>
      </w:r>
      <w:r w:rsidRPr="0098261B">
        <w:t xml:space="preserve">. However, upon the addition of </w:t>
      </w:r>
      <w:proofErr w:type="spellStart"/>
      <w:r w:rsidRPr="0098261B">
        <w:t>rGO</w:t>
      </w:r>
      <w:proofErr w:type="spellEnd"/>
      <w:r w:rsidRPr="0098261B">
        <w:t xml:space="preserve"> during </w:t>
      </w:r>
      <w:r w:rsidRPr="0098261B">
        <w:rPr>
          <w:i/>
        </w:rPr>
        <w:t>in situ</w:t>
      </w:r>
      <w:r w:rsidRPr="0098261B">
        <w:t xml:space="preserve"> polymeri</w:t>
      </w:r>
      <w:r w:rsidR="00AE1BD9">
        <w:t>z</w:t>
      </w:r>
      <w:r w:rsidRPr="0098261B">
        <w:t xml:space="preserve">ation of </w:t>
      </w:r>
      <w:r w:rsidRPr="0098261B">
        <w:rPr>
          <w:b/>
        </w:rPr>
        <w:t>PI</w:t>
      </w:r>
      <w:r w:rsidRPr="0098261B">
        <w:t xml:space="preserve">, a significant improvement in performance is observed, with the </w:t>
      </w:r>
      <w:r w:rsidRPr="0098261B">
        <w:rPr>
          <w:b/>
        </w:rPr>
        <w:t xml:space="preserve">PI </w:t>
      </w:r>
      <w:r w:rsidRPr="0098261B">
        <w:t xml:space="preserve">composite </w:t>
      </w:r>
      <w:r w:rsidR="00E04CBD" w:rsidRPr="0098261B">
        <w:t>c</w:t>
      </w:r>
      <w:r w:rsidRPr="0098261B">
        <w:t xml:space="preserve">ontaining 50 wt.% of </w:t>
      </w:r>
      <w:proofErr w:type="spellStart"/>
      <w:r w:rsidRPr="0098261B">
        <w:t>rGO</w:t>
      </w:r>
      <w:proofErr w:type="spellEnd"/>
      <w:r w:rsidRPr="0098261B">
        <w:t xml:space="preserve"> having a 86% utilization of the redox-active sites and a specific capacity of 172 </w:t>
      </w:r>
      <w:proofErr w:type="spellStart"/>
      <w:r w:rsidRPr="0098261B">
        <w:t>mAh</w:t>
      </w:r>
      <w:proofErr w:type="spellEnd"/>
      <w:r w:rsidRPr="0098261B">
        <w:t xml:space="preserve"> g</w:t>
      </w:r>
      <w:r w:rsidRPr="0098261B">
        <w:rPr>
          <w:vertAlign w:val="superscript"/>
        </w:rPr>
        <w:t>-1</w:t>
      </w:r>
      <w:r w:rsidRPr="0098261B">
        <w:t xml:space="preserve"> at 500 mA g</w:t>
      </w:r>
      <w:r w:rsidRPr="0098261B">
        <w:rPr>
          <w:vertAlign w:val="superscript"/>
        </w:rPr>
        <w:t>-1</w:t>
      </w:r>
      <w:r w:rsidRPr="0098261B">
        <w:t>. The improvement in measured specific capacity is explained by changes to the surface area and charge-transport of the composites relative to the polyimide material by itself.</w:t>
      </w:r>
    </w:p>
    <w:p w14:paraId="1CB3ABCA" w14:textId="77777777" w:rsidR="00C00B45" w:rsidRPr="0098261B" w:rsidRDefault="00C00B45" w:rsidP="00C00B45">
      <w:pPr>
        <w:pStyle w:val="H1"/>
      </w:pPr>
      <w:r w:rsidRPr="0098261B">
        <w:t>Results and Discussion</w:t>
      </w:r>
    </w:p>
    <w:p w14:paraId="33D22619" w14:textId="44933424" w:rsidR="00CB185D" w:rsidRPr="0098261B" w:rsidRDefault="00CB185D" w:rsidP="00CB185D">
      <w:pPr>
        <w:pStyle w:val="P1"/>
      </w:pPr>
      <w:r w:rsidRPr="0098261B">
        <w:t>A redox-active polyimide (</w:t>
      </w:r>
      <w:r w:rsidRPr="0098261B">
        <w:rPr>
          <w:b/>
        </w:rPr>
        <w:t>PI</w:t>
      </w:r>
      <w:r w:rsidRPr="0098261B">
        <w:t>) was synthesized according to a reported polycondensation procedure.</w:t>
      </w:r>
      <w:r w:rsidRPr="0098261B">
        <w:fldChar w:fldCharType="begin" w:fldLock="1"/>
      </w:r>
      <w:r w:rsidRPr="0098261B">
        <w:instrText>ADDIN CSL_CITATION {"citationItems":[{"id":"ITEM-1","itemData":{"DOI":"10.1021/jacs.5b04147","ISSN":"15205126","abstract":"Three-dimensional porous crystalline polyimide covalent organic frameworks (termed PI-COFs) have been synthesized. These PI-COFs feature non- or interpenetrated structures that can be obtained by choosing tetrahedral building units of different sizes. Both PI-COFs show high thermal stability (&gt;450°C) and surface area (up to 2403 m2 g-1). They also show high loading and good release control for drug delivery applications.","author":[{"dropping-particle":"","family":"Fang","given":"Qianrong","non-dropping-particle":"","parse-names":false,"suffix":""},{"dropping-particle":"","family":"Wang","given":"Junhua","non-dropping-particle":"","parse-names":false,"suffix":""},{"dropping-particle":"","family":"Gu","given":"Shuang","non-dropping-particle":"","parse-names":false,"suffix":""},{"dropping-particle":"","family":"Kaspar","given":"Robert B","non-dropping-particle":"","parse-names":false,"suffix":""},{"dropping-particle":"","family":"Zhuang","given":"Zhongbin","non-dropping-particle":"","parse-names":false,"suffix":""},{"dropping-particle":"","family":"Zheng","given":"Jie","non-dropping-particle":"","parse-names":false,"suffix":""},{"dropping-particle":"","family":"Guo","given":"Hongxia","non-dropping-particle":"","parse-names":false,"suffix":""},{"dropping-particle":"","family":"Qiu","given":"Shilun","non-dropping-particle":"","parse-names":false,"suffix":""},{"dropping-particle":"","family":"Yan","given":"Yushan","non-dropping-particle":"","parse-names":false,"suffix":""}],"container-title":"Journal of the American Chemical Society","id":"ITEM-1","issue":"26","issued":{"date-parts":[["2015"]]},"page":"8352-8355","publisher":"UTC","title":"3D Porous Crystalline Polyimide Covalent Organic Frameworks for Drug Delivery","type":"article-journal","volume":"137"},"uris":["http://www.mendeley.com/documents/?uuid=c7007a79-7c30-37fe-a4ac-2d607091aac1"]}],"mendeley":{"formattedCitation":"&lt;sup&gt;[32]&lt;/sup&gt;","plainTextFormattedCitation":"[32]","previouslyFormattedCitation":"&lt;sup&gt;[32]&lt;/sup&gt;"},"properties":{"noteIndex":0},"schema":"https://github.com/citation-style-language/schema/raw/master/csl-citation.json"}</w:instrText>
      </w:r>
      <w:r w:rsidRPr="0098261B">
        <w:fldChar w:fldCharType="separate"/>
      </w:r>
      <w:r w:rsidRPr="0098261B">
        <w:rPr>
          <w:noProof/>
          <w:vertAlign w:val="superscript"/>
        </w:rPr>
        <w:t>[32]</w:t>
      </w:r>
      <w:r w:rsidRPr="0098261B">
        <w:fldChar w:fldCharType="end"/>
      </w:r>
      <w:r w:rsidRPr="0098261B">
        <w:t xml:space="preserve"> </w:t>
      </w:r>
      <w:r w:rsidRPr="0098261B">
        <w:rPr>
          <w:b/>
        </w:rPr>
        <w:t>PI</w:t>
      </w:r>
      <w:r w:rsidRPr="0098261B">
        <w:t xml:space="preserve"> was synthesized by dispersing </w:t>
      </w:r>
      <w:r w:rsidRPr="00B329A9">
        <w:rPr>
          <w:b/>
        </w:rPr>
        <w:t>PMDA</w:t>
      </w:r>
      <w:r w:rsidRPr="0098261B">
        <w:t xml:space="preserve"> and </w:t>
      </w:r>
      <w:r w:rsidRPr="00B329A9">
        <w:rPr>
          <w:b/>
        </w:rPr>
        <w:t>TAPM</w:t>
      </w:r>
      <w:r w:rsidRPr="0098261B">
        <w:t xml:space="preserve"> in a stoichiometric molar ratio in a mixture of </w:t>
      </w:r>
      <w:r w:rsidRPr="0098261B">
        <w:rPr>
          <w:i/>
        </w:rPr>
        <w:t>N</w:t>
      </w:r>
      <w:r w:rsidRPr="0098261B">
        <w:t>-methyl-2-pyrrolidone (NMP), mesitylene</w:t>
      </w:r>
      <w:r w:rsidR="007130C9">
        <w:t>,</w:t>
      </w:r>
      <w:r w:rsidRPr="0098261B">
        <w:t xml:space="preserve"> and </w:t>
      </w:r>
      <w:proofErr w:type="spellStart"/>
      <w:r w:rsidRPr="0098261B">
        <w:t>isoquinoline</w:t>
      </w:r>
      <w:proofErr w:type="spellEnd"/>
      <w:r w:rsidRPr="0098261B">
        <w:t>, followed by heating the reagents at 160 °C for 5 days to afford the product in high yield (typically &gt;</w:t>
      </w:r>
      <w:r w:rsidRPr="0098261B">
        <w:rPr>
          <w:rFonts w:hint="eastAsia"/>
        </w:rPr>
        <w:t>9</w:t>
      </w:r>
      <w:r w:rsidRPr="0098261B">
        <w:t>0</w:t>
      </w:r>
      <w:r w:rsidRPr="0098261B">
        <w:rPr>
          <w:rFonts w:hint="eastAsia"/>
        </w:rPr>
        <w:t>%</w:t>
      </w:r>
      <w:r w:rsidRPr="0098261B">
        <w:t xml:space="preserve">; Scheme 1). Here, </w:t>
      </w:r>
      <w:r w:rsidRPr="0098261B">
        <w:rPr>
          <w:b/>
        </w:rPr>
        <w:t>PI</w:t>
      </w:r>
      <w:r w:rsidRPr="0098261B">
        <w:t xml:space="preserve"> and the </w:t>
      </w:r>
      <w:r w:rsidRPr="0098261B">
        <w:rPr>
          <w:b/>
        </w:rPr>
        <w:t>PI</w:t>
      </w:r>
      <w:r w:rsidRPr="0098261B">
        <w:t xml:space="preserve"> composites were synthesized using the same method, but 10, 30, and 50 wt. % </w:t>
      </w:r>
      <w:proofErr w:type="spellStart"/>
      <w:r w:rsidRPr="0098261B">
        <w:t>rGO</w:t>
      </w:r>
      <w:proofErr w:type="spellEnd"/>
      <w:r w:rsidRPr="0098261B" w:rsidDel="004900AC">
        <w:t xml:space="preserve"> </w:t>
      </w:r>
      <w:r w:rsidRPr="0098261B">
        <w:t xml:space="preserve">was added into the reaction mixture with </w:t>
      </w:r>
      <w:r w:rsidRPr="00B329A9">
        <w:rPr>
          <w:b/>
        </w:rPr>
        <w:t>PMDA</w:t>
      </w:r>
      <w:r w:rsidRPr="0098261B">
        <w:t xml:space="preserve"> and </w:t>
      </w:r>
      <w:r w:rsidRPr="00B329A9">
        <w:rPr>
          <w:b/>
        </w:rPr>
        <w:t>TAPM</w:t>
      </w:r>
      <w:r w:rsidRPr="0098261B">
        <w:t xml:space="preserve"> during the synthesis (see Experimental Section for detailed synthesis,). The as-prepared </w:t>
      </w:r>
      <w:r w:rsidRPr="0098261B">
        <w:rPr>
          <w:b/>
        </w:rPr>
        <w:t>PI</w:t>
      </w:r>
      <w:r w:rsidRPr="0098261B">
        <w:t xml:space="preserve"> and </w:t>
      </w:r>
      <w:r w:rsidRPr="0098261B">
        <w:rPr>
          <w:b/>
        </w:rPr>
        <w:t>PI</w:t>
      </w:r>
      <w:r w:rsidRPr="0098261B">
        <w:t xml:space="preserve"> composites (</w:t>
      </w:r>
      <w:r w:rsidRPr="0098261B">
        <w:rPr>
          <w:b/>
        </w:rPr>
        <w:t>PIX</w:t>
      </w:r>
      <w:r w:rsidRPr="0098261B">
        <w:t xml:space="preserve">, where </w:t>
      </w:r>
      <w:r w:rsidRPr="0098261B">
        <w:rPr>
          <w:b/>
        </w:rPr>
        <w:t>X</w:t>
      </w:r>
      <w:r w:rsidRPr="0098261B">
        <w:t xml:space="preserve"> = 10, 30 and 50 wt.%) are </w:t>
      </w:r>
      <w:r w:rsidRPr="0098261B">
        <w:t xml:space="preserve">insoluble in water and common organic solvents, such as acetone, ethanol, </w:t>
      </w:r>
      <w:r w:rsidRPr="0098261B">
        <w:rPr>
          <w:i/>
        </w:rPr>
        <w:t>n</w:t>
      </w:r>
      <w:r w:rsidRPr="0098261B">
        <w:t xml:space="preserve">-hexane, tetrahydrofuran, </w:t>
      </w:r>
      <w:proofErr w:type="gramStart"/>
      <w:r w:rsidRPr="0098261B">
        <w:rPr>
          <w:i/>
        </w:rPr>
        <w:t>N,N</w:t>
      </w:r>
      <w:proofErr w:type="gramEnd"/>
      <w:r w:rsidRPr="0098261B">
        <w:t>-dimethylformamide.</w:t>
      </w:r>
    </w:p>
    <w:p w14:paraId="200C4C06" w14:textId="4C1F2DB3" w:rsidR="00CB185D" w:rsidRPr="0098261B" w:rsidRDefault="00CB185D" w:rsidP="00E04CBD">
      <w:pPr>
        <w:pStyle w:val="P1"/>
        <w:ind w:firstLine="425"/>
      </w:pPr>
      <w:r w:rsidRPr="0098261B">
        <w:t xml:space="preserve">The as-prepared </w:t>
      </w:r>
      <w:r w:rsidRPr="0098261B">
        <w:rPr>
          <w:b/>
        </w:rPr>
        <w:t>PI</w:t>
      </w:r>
      <w:r w:rsidRPr="0098261B">
        <w:t xml:space="preserve"> and </w:t>
      </w:r>
      <w:r w:rsidRPr="0098261B">
        <w:rPr>
          <w:b/>
        </w:rPr>
        <w:t>PIX</w:t>
      </w:r>
      <w:r w:rsidRPr="0098261B">
        <w:t xml:space="preserve"> were characterized by Fourier-transform infrared spectroscopy (FT-IR) (Figure 1a). The FT-IR spectra of the </w:t>
      </w:r>
      <w:r w:rsidRPr="00B329A9">
        <w:rPr>
          <w:b/>
        </w:rPr>
        <w:t>PMDA</w:t>
      </w:r>
      <w:r w:rsidRPr="0098261B">
        <w:t xml:space="preserve">, </w:t>
      </w:r>
      <w:r w:rsidRPr="00B329A9">
        <w:rPr>
          <w:b/>
        </w:rPr>
        <w:t>TAPM</w:t>
      </w:r>
      <w:r w:rsidR="007130C9">
        <w:t>,</w:t>
      </w:r>
      <w:r w:rsidRPr="0098261B">
        <w:t xml:space="preserve"> and </w:t>
      </w:r>
      <w:proofErr w:type="spellStart"/>
      <w:r w:rsidRPr="0098261B">
        <w:t>rGO</w:t>
      </w:r>
      <w:proofErr w:type="spellEnd"/>
      <w:r w:rsidRPr="0098261B">
        <w:t xml:space="preserve"> precursors are shown in Figure S1 in the Supporting Information. The IR stretching vibrations of the –NH</w:t>
      </w:r>
      <w:r w:rsidRPr="0098261B">
        <w:rPr>
          <w:vertAlign w:val="subscript"/>
        </w:rPr>
        <w:t>2</w:t>
      </w:r>
      <w:r w:rsidRPr="0098261B">
        <w:t xml:space="preserve"> groups in </w:t>
      </w:r>
      <w:r w:rsidRPr="008508FF">
        <w:rPr>
          <w:b/>
        </w:rPr>
        <w:t>TAPM</w:t>
      </w:r>
      <w:r w:rsidRPr="0098261B">
        <w:t>, at around 3300 cm</w:t>
      </w:r>
      <w:r w:rsidRPr="0098261B">
        <w:rPr>
          <w:vertAlign w:val="superscript"/>
        </w:rPr>
        <w:t>-1</w:t>
      </w:r>
      <w:r w:rsidRPr="0098261B">
        <w:t xml:space="preserve">, are not present in the IR spectra of the composite samples, indicating that </w:t>
      </w:r>
      <w:r w:rsidRPr="0098261B">
        <w:rPr>
          <w:b/>
        </w:rPr>
        <w:t>TAPM</w:t>
      </w:r>
      <w:r w:rsidRPr="0098261B">
        <w:t xml:space="preserve"> has undergone polycondensation with </w:t>
      </w:r>
      <w:r w:rsidRPr="0098261B">
        <w:rPr>
          <w:b/>
        </w:rPr>
        <w:t>PMDA</w:t>
      </w:r>
      <w:r w:rsidRPr="0098261B">
        <w:t>. Bands at 1772 and 1719 cm</w:t>
      </w:r>
      <w:r w:rsidRPr="0098261B">
        <w:rPr>
          <w:vertAlign w:val="superscript"/>
        </w:rPr>
        <w:t>-1</w:t>
      </w:r>
      <w:r w:rsidRPr="0098261B">
        <w:t xml:space="preserve">, attributed to asymmetric and symmetric stretching vibrations of the C=O groups of the five-membered imide rings, were observed in the IR spectra of the </w:t>
      </w:r>
      <w:r w:rsidRPr="0098261B">
        <w:rPr>
          <w:b/>
        </w:rPr>
        <w:t>PIX</w:t>
      </w:r>
      <w:r w:rsidRPr="0098261B">
        <w:t xml:space="preserve"> composite samples, as was the band at 1356 cm</w:t>
      </w:r>
      <w:r w:rsidRPr="0098261B">
        <w:rPr>
          <w:vertAlign w:val="superscript"/>
        </w:rPr>
        <w:t>-1</w:t>
      </w:r>
      <w:r w:rsidRPr="0098261B">
        <w:t>, assigned to C–N–C moiety. The bands at 1566 and 1191 cm</w:t>
      </w:r>
      <w:r w:rsidRPr="0098261B">
        <w:rPr>
          <w:vertAlign w:val="superscript"/>
        </w:rPr>
        <w:t>-1</w:t>
      </w:r>
      <w:r w:rsidRPr="0098261B">
        <w:t xml:space="preserve"> in the spectra of the </w:t>
      </w:r>
      <w:r w:rsidRPr="0098261B">
        <w:rPr>
          <w:b/>
        </w:rPr>
        <w:t>PIX</w:t>
      </w:r>
      <w:r w:rsidRPr="0098261B">
        <w:t xml:space="preserve"> composites had increased in intensity as a function of </w:t>
      </w:r>
      <w:proofErr w:type="spellStart"/>
      <w:r w:rsidRPr="0098261B">
        <w:t>rGO</w:t>
      </w:r>
      <w:proofErr w:type="spellEnd"/>
      <w:r w:rsidRPr="0098261B">
        <w:t xml:space="preserve"> content and were assigned to the stretching vibrations of the C=C and C-O-C bonds in </w:t>
      </w:r>
      <w:proofErr w:type="spellStart"/>
      <w:r w:rsidRPr="0098261B">
        <w:t>rGO</w:t>
      </w:r>
      <w:proofErr w:type="spellEnd"/>
      <w:r w:rsidRPr="0098261B">
        <w:t xml:space="preserve">. Scanning electron microscopy (SEM) was used to study the morphology of </w:t>
      </w:r>
      <w:r w:rsidRPr="0098261B">
        <w:rPr>
          <w:b/>
        </w:rPr>
        <w:t>PI</w:t>
      </w:r>
      <w:r w:rsidRPr="0098261B">
        <w:t xml:space="preserve"> and the </w:t>
      </w:r>
      <w:r w:rsidRPr="0098261B">
        <w:rPr>
          <w:b/>
        </w:rPr>
        <w:t xml:space="preserve">PIX </w:t>
      </w:r>
      <w:r w:rsidRPr="0098261B">
        <w:t xml:space="preserve">composites, which showed predominantly spherical particles for pristine </w:t>
      </w:r>
      <w:r w:rsidRPr="0098261B">
        <w:rPr>
          <w:b/>
        </w:rPr>
        <w:t>PI</w:t>
      </w:r>
      <w:r w:rsidRPr="0098261B">
        <w:t xml:space="preserve">, and spherical particles on the edge of the </w:t>
      </w:r>
      <w:proofErr w:type="spellStart"/>
      <w:r w:rsidRPr="0098261B">
        <w:rPr>
          <w:lang w:eastAsia="zh-CN"/>
        </w:rPr>
        <w:t>rGO</w:t>
      </w:r>
      <w:proofErr w:type="spellEnd"/>
      <w:r w:rsidRPr="0098261B">
        <w:rPr>
          <w:lang w:eastAsia="zh-CN"/>
        </w:rPr>
        <w:t xml:space="preserve"> in the </w:t>
      </w:r>
      <w:r w:rsidRPr="0098261B">
        <w:rPr>
          <w:b/>
        </w:rPr>
        <w:t>PIX</w:t>
      </w:r>
      <w:r w:rsidRPr="0098261B">
        <w:t xml:space="preserve"> composites (</w:t>
      </w:r>
      <w:r w:rsidR="009C4183" w:rsidRPr="0098261B">
        <w:t xml:space="preserve">Figure </w:t>
      </w:r>
      <w:r w:rsidRPr="0098261B">
        <w:t xml:space="preserve">2). However, the size of the polyimide </w:t>
      </w:r>
      <w:r w:rsidRPr="0098261B">
        <w:rPr>
          <w:lang w:eastAsia="zh-CN"/>
        </w:rPr>
        <w:t xml:space="preserve">spheres differs in the composites and the particle size decreases with the increase in </w:t>
      </w:r>
      <w:proofErr w:type="spellStart"/>
      <w:r w:rsidRPr="0098261B">
        <w:rPr>
          <w:lang w:eastAsia="zh-CN"/>
        </w:rPr>
        <w:t>rGO</w:t>
      </w:r>
      <w:proofErr w:type="spellEnd"/>
      <w:r w:rsidRPr="0098261B">
        <w:rPr>
          <w:lang w:eastAsia="zh-CN"/>
        </w:rPr>
        <w:t xml:space="preserve"> content in the composite </w:t>
      </w:r>
      <w:r w:rsidRPr="0098261B">
        <w:t>(Figure S2)</w:t>
      </w:r>
      <w:r w:rsidRPr="0098261B">
        <w:rPr>
          <w:lang w:eastAsia="zh-CN"/>
        </w:rPr>
        <w:t xml:space="preserve">. </w:t>
      </w:r>
      <w:r w:rsidRPr="0098261B">
        <w:rPr>
          <w:b/>
          <w:lang w:eastAsia="zh-CN"/>
        </w:rPr>
        <w:t>PI</w:t>
      </w:r>
      <w:r w:rsidRPr="0098261B">
        <w:rPr>
          <w:lang w:eastAsia="zh-CN"/>
        </w:rPr>
        <w:t xml:space="preserve"> on its own shows a diameter range of 1.0 to 7.0 µm. By contrast, </w:t>
      </w:r>
      <w:r w:rsidRPr="0098261B">
        <w:rPr>
          <w:b/>
          <w:lang w:eastAsia="zh-CN"/>
        </w:rPr>
        <w:t>PI10</w:t>
      </w:r>
      <w:r w:rsidRPr="0098261B">
        <w:rPr>
          <w:lang w:eastAsia="zh-CN"/>
        </w:rPr>
        <w:t xml:space="preserve">, </w:t>
      </w:r>
      <w:r w:rsidRPr="0098261B">
        <w:rPr>
          <w:b/>
          <w:lang w:eastAsia="zh-CN"/>
        </w:rPr>
        <w:t>PI30</w:t>
      </w:r>
      <w:r w:rsidRPr="0098261B">
        <w:rPr>
          <w:lang w:eastAsia="zh-CN"/>
        </w:rPr>
        <w:t xml:space="preserve">, and </w:t>
      </w:r>
      <w:r w:rsidRPr="0098261B">
        <w:rPr>
          <w:b/>
          <w:lang w:eastAsia="zh-CN"/>
        </w:rPr>
        <w:t>PI50</w:t>
      </w:r>
      <w:r w:rsidRPr="0098261B">
        <w:rPr>
          <w:lang w:eastAsia="zh-CN"/>
        </w:rPr>
        <w:t xml:space="preserve"> have diameter ranges of 0.2–1.4, 0.2–1.2</w:t>
      </w:r>
      <w:r w:rsidR="007130C9">
        <w:rPr>
          <w:lang w:eastAsia="zh-CN"/>
        </w:rPr>
        <w:t>,</w:t>
      </w:r>
      <w:r w:rsidRPr="0098261B">
        <w:rPr>
          <w:lang w:eastAsia="zh-CN"/>
        </w:rPr>
        <w:t xml:space="preserve"> and 0.1–0.8 µm, respectively. </w:t>
      </w:r>
      <w:r w:rsidRPr="0098261B">
        <w:t xml:space="preserve">Powder X-ray diffraction (PXRD) patterns show that </w:t>
      </w:r>
      <w:r w:rsidRPr="0098261B">
        <w:rPr>
          <w:b/>
        </w:rPr>
        <w:t>PI</w:t>
      </w:r>
      <w:r w:rsidRPr="0098261B">
        <w:t xml:space="preserve">, </w:t>
      </w:r>
      <w:proofErr w:type="spellStart"/>
      <w:r w:rsidRPr="0098261B">
        <w:t>rGO</w:t>
      </w:r>
      <w:proofErr w:type="spellEnd"/>
      <w:r w:rsidRPr="0098261B">
        <w:t xml:space="preserve">, and the </w:t>
      </w:r>
      <w:r w:rsidRPr="0098261B">
        <w:rPr>
          <w:b/>
        </w:rPr>
        <w:t>PIX</w:t>
      </w:r>
      <w:r w:rsidRPr="0098261B">
        <w:t xml:space="preserve"> composites are amorphous (</w:t>
      </w:r>
      <w:r w:rsidR="009C4183" w:rsidRPr="0098261B">
        <w:t>Figure S2</w:t>
      </w:r>
      <w:r w:rsidRPr="0098261B">
        <w:t xml:space="preserve">). </w:t>
      </w:r>
    </w:p>
    <w:p w14:paraId="12CD4BD6" w14:textId="613E9C35" w:rsidR="00CB185D" w:rsidRPr="0098261B" w:rsidRDefault="00CB185D" w:rsidP="00E04CBD">
      <w:pPr>
        <w:pStyle w:val="P1"/>
        <w:ind w:firstLine="425"/>
      </w:pPr>
      <w:r w:rsidRPr="0098261B">
        <w:t>N</w:t>
      </w:r>
      <w:r w:rsidRPr="0098261B">
        <w:rPr>
          <w:vertAlign w:val="subscript"/>
        </w:rPr>
        <w:t>2</w:t>
      </w:r>
      <w:r w:rsidRPr="0098261B">
        <w:t xml:space="preserve"> sorption isotherms at 77.3 K were used to determine the adsorption behavior of </w:t>
      </w:r>
      <w:r w:rsidRPr="0098261B">
        <w:rPr>
          <w:b/>
        </w:rPr>
        <w:t>PI</w:t>
      </w:r>
      <w:r w:rsidRPr="0098261B">
        <w:t xml:space="preserve"> and the </w:t>
      </w:r>
      <w:r w:rsidRPr="0098261B">
        <w:rPr>
          <w:b/>
        </w:rPr>
        <w:t>PIX</w:t>
      </w:r>
      <w:r w:rsidRPr="0098261B">
        <w:t xml:space="preserve"> composites. The N</w:t>
      </w:r>
      <w:r w:rsidRPr="0098261B">
        <w:rPr>
          <w:vertAlign w:val="subscript"/>
        </w:rPr>
        <w:t>2</w:t>
      </w:r>
      <w:r w:rsidRPr="0098261B">
        <w:t xml:space="preserve"> isotherm for </w:t>
      </w:r>
      <w:r w:rsidRPr="0098261B">
        <w:rPr>
          <w:b/>
        </w:rPr>
        <w:t>PI</w:t>
      </w:r>
      <w:r w:rsidRPr="0098261B">
        <w:t xml:space="preserve"> shows that this material is effectively non-porous (Figure 1b) and </w:t>
      </w:r>
      <w:r w:rsidRPr="0098261B">
        <w:rPr>
          <w:b/>
          <w:bCs/>
        </w:rPr>
        <w:t>PI10</w:t>
      </w:r>
      <w:r w:rsidRPr="0098261B">
        <w:t xml:space="preserve"> also has a low N</w:t>
      </w:r>
      <w:r w:rsidRPr="0098261B">
        <w:rPr>
          <w:vertAlign w:val="subscript"/>
        </w:rPr>
        <w:t>2</w:t>
      </w:r>
      <w:r w:rsidRPr="0098261B">
        <w:t xml:space="preserve"> sorption capacity of 0.29</w:t>
      </w:r>
      <w:r w:rsidR="00BE2F38">
        <w:t> </w:t>
      </w:r>
      <w:r w:rsidRPr="0098261B">
        <w:t>mmol g</w:t>
      </w:r>
      <w:r w:rsidRPr="0098261B">
        <w:rPr>
          <w:vertAlign w:val="superscript"/>
        </w:rPr>
        <w:t>-1</w:t>
      </w:r>
      <w:r w:rsidRPr="0098261B">
        <w:t xml:space="preserve"> at P/P</w:t>
      </w:r>
      <w:r w:rsidRPr="0098261B">
        <w:rPr>
          <w:vertAlign w:val="superscript"/>
        </w:rPr>
        <w:t xml:space="preserve">0 </w:t>
      </w:r>
      <w:r w:rsidRPr="0098261B">
        <w:t>= 1.0 (Figure 1b, Table S1). By contrast, the N</w:t>
      </w:r>
      <w:r w:rsidRPr="0098261B">
        <w:rPr>
          <w:vertAlign w:val="subscript"/>
        </w:rPr>
        <w:t>2</w:t>
      </w:r>
      <w:r w:rsidRPr="0098261B">
        <w:t xml:space="preserve"> isotherms of </w:t>
      </w:r>
      <w:r w:rsidRPr="0098261B">
        <w:rPr>
          <w:b/>
          <w:bCs/>
        </w:rPr>
        <w:t>PI30</w:t>
      </w:r>
      <w:r w:rsidRPr="0098261B">
        <w:t xml:space="preserve"> and </w:t>
      </w:r>
      <w:r w:rsidRPr="0098261B">
        <w:rPr>
          <w:b/>
          <w:bCs/>
        </w:rPr>
        <w:t>PI50</w:t>
      </w:r>
      <w:r w:rsidRPr="0098261B">
        <w:t xml:space="preserve"> show that these samples are porous and have gas uptakes in the micro-, meso-and </w:t>
      </w:r>
      <w:proofErr w:type="spellStart"/>
      <w:r w:rsidRPr="0098261B">
        <w:t>macroporous</w:t>
      </w:r>
      <w:proofErr w:type="spellEnd"/>
      <w:r w:rsidRPr="0098261B">
        <w:t xml:space="preserve"> regimes. Pore size distributions for </w:t>
      </w:r>
      <w:r w:rsidRPr="0098261B">
        <w:rPr>
          <w:b/>
          <w:bCs/>
        </w:rPr>
        <w:t>PI30</w:t>
      </w:r>
      <w:r w:rsidRPr="0098261B">
        <w:t xml:space="preserve"> and </w:t>
      </w:r>
      <w:r w:rsidRPr="0098261B">
        <w:rPr>
          <w:b/>
          <w:bCs/>
        </w:rPr>
        <w:t>PI50</w:t>
      </w:r>
      <w:r w:rsidRPr="0098261B">
        <w:t xml:space="preserve"> were determined by non-local density func</w:t>
      </w:r>
      <w:r w:rsidR="00DD66CB">
        <w:t>tional theory (NL-DFT; Figure S</w:t>
      </w:r>
      <w:r w:rsidR="00DD66CB" w:rsidRPr="00DD66CB">
        <w:t>3</w:t>
      </w:r>
      <w:r w:rsidRPr="0098261B">
        <w:t xml:space="preserve">) and indicate the presence of micropores, and to a lesser extent, meso- and macropores. </w:t>
      </w:r>
      <w:proofErr w:type="spellStart"/>
      <w:r w:rsidRPr="0098261B">
        <w:t>Brunauer</w:t>
      </w:r>
      <w:proofErr w:type="spellEnd"/>
      <w:r w:rsidRPr="0098261B">
        <w:t>-Emmett-Teller surface areas (</w:t>
      </w:r>
      <w:r w:rsidRPr="0098261B">
        <w:rPr>
          <w:i/>
        </w:rPr>
        <w:t>SA</w:t>
      </w:r>
      <w:r w:rsidRPr="0098261B">
        <w:rPr>
          <w:vertAlign w:val="subscript"/>
        </w:rPr>
        <w:t>BET</w:t>
      </w:r>
      <w:r w:rsidRPr="0098261B">
        <w:t xml:space="preserve">) for the composites increased </w:t>
      </w:r>
      <w:r w:rsidRPr="0098261B">
        <w:rPr>
          <w:lang w:eastAsia="zh-CN"/>
        </w:rPr>
        <w:t xml:space="preserve">as the wt.% </w:t>
      </w:r>
      <w:r w:rsidRPr="0098261B">
        <w:rPr>
          <w:lang w:eastAsia="zh-CN"/>
        </w:rPr>
        <w:lastRenderedPageBreak/>
        <w:t xml:space="preserve">of </w:t>
      </w:r>
      <w:proofErr w:type="spellStart"/>
      <w:r w:rsidRPr="0098261B">
        <w:rPr>
          <w:lang w:eastAsia="zh-CN"/>
        </w:rPr>
        <w:t>rGO</w:t>
      </w:r>
      <w:proofErr w:type="spellEnd"/>
      <w:r w:rsidRPr="0098261B">
        <w:rPr>
          <w:lang w:eastAsia="zh-CN"/>
        </w:rPr>
        <w:t xml:space="preserve"> content was increased from </w:t>
      </w:r>
      <w:r w:rsidR="00DD66CB">
        <w:rPr>
          <w:lang w:eastAsia="zh-CN"/>
        </w:rPr>
        <w:t>52</w:t>
      </w:r>
      <w:r w:rsidRPr="0098261B">
        <w:rPr>
          <w:lang w:eastAsia="zh-CN"/>
        </w:rPr>
        <w:t> m</w:t>
      </w:r>
      <w:r w:rsidRPr="0098261B">
        <w:rPr>
          <w:vertAlign w:val="superscript"/>
          <w:lang w:eastAsia="zh-CN"/>
        </w:rPr>
        <w:t>2</w:t>
      </w:r>
      <w:r w:rsidRPr="0098261B">
        <w:rPr>
          <w:lang w:eastAsia="zh-CN"/>
        </w:rPr>
        <w:t xml:space="preserve"> g</w:t>
      </w:r>
      <w:r w:rsidRPr="0098261B">
        <w:rPr>
          <w:vertAlign w:val="superscript"/>
          <w:lang w:eastAsia="zh-CN"/>
        </w:rPr>
        <w:t>-1</w:t>
      </w:r>
      <w:r w:rsidRPr="0098261B">
        <w:rPr>
          <w:lang w:eastAsia="zh-CN"/>
        </w:rPr>
        <w:t xml:space="preserve"> for </w:t>
      </w:r>
      <w:r w:rsidRPr="0098261B">
        <w:rPr>
          <w:b/>
          <w:lang w:eastAsia="zh-CN"/>
        </w:rPr>
        <w:t>PI10</w:t>
      </w:r>
      <w:r w:rsidRPr="0098261B">
        <w:rPr>
          <w:lang w:eastAsia="zh-CN"/>
        </w:rPr>
        <w:t xml:space="preserve"> up to </w:t>
      </w:r>
      <w:r w:rsidRPr="0098261B">
        <w:t>563</w:t>
      </w:r>
      <w:r w:rsidR="00BE2F38">
        <w:t> </w:t>
      </w:r>
      <w:r w:rsidRPr="0098261B">
        <w:t>m</w:t>
      </w:r>
      <w:r w:rsidRPr="0098261B">
        <w:rPr>
          <w:vertAlign w:val="superscript"/>
        </w:rPr>
        <w:t>2</w:t>
      </w:r>
      <w:r w:rsidR="00BE2F38">
        <w:t> </w:t>
      </w:r>
      <w:r w:rsidRPr="0098261B">
        <w:t>g</w:t>
      </w:r>
      <w:r w:rsidRPr="0098261B">
        <w:rPr>
          <w:vertAlign w:val="superscript"/>
        </w:rPr>
        <w:t>-1</w:t>
      </w:r>
      <w:r w:rsidRPr="0098261B">
        <w:t xml:space="preserve"> for </w:t>
      </w:r>
      <w:r w:rsidRPr="0098261B">
        <w:rPr>
          <w:b/>
        </w:rPr>
        <w:t>PI50</w:t>
      </w:r>
      <w:r w:rsidRPr="0098261B">
        <w:t xml:space="preserve"> (Table S1), which can be partly explained by the unreacted </w:t>
      </w:r>
      <w:proofErr w:type="spellStart"/>
      <w:r w:rsidRPr="0098261B">
        <w:t>rGO</w:t>
      </w:r>
      <w:proofErr w:type="spellEnd"/>
      <w:r w:rsidRPr="0098261B">
        <w:t xml:space="preserve"> that was used in this study having a </w:t>
      </w:r>
      <w:r w:rsidRPr="0098261B">
        <w:rPr>
          <w:i/>
        </w:rPr>
        <w:t>SA</w:t>
      </w:r>
      <w:r w:rsidRPr="0098261B">
        <w:rPr>
          <w:vertAlign w:val="subscript"/>
        </w:rPr>
        <w:t>BET</w:t>
      </w:r>
      <w:r w:rsidRPr="0098261B">
        <w:t xml:space="preserve"> of 439 m</w:t>
      </w:r>
      <w:r w:rsidRPr="0098261B">
        <w:rPr>
          <w:vertAlign w:val="superscript"/>
        </w:rPr>
        <w:t>2</w:t>
      </w:r>
      <w:r w:rsidRPr="0098261B">
        <w:t> g</w:t>
      </w:r>
      <w:r w:rsidRPr="0098261B">
        <w:rPr>
          <w:vertAlign w:val="superscript"/>
        </w:rPr>
        <w:noBreakHyphen/>
        <w:t>1</w:t>
      </w:r>
      <w:r w:rsidRPr="0098261B">
        <w:t xml:space="preserve">. The observation that </w:t>
      </w:r>
      <w:r w:rsidRPr="0098261B">
        <w:rPr>
          <w:b/>
        </w:rPr>
        <w:t>PI</w:t>
      </w:r>
      <w:r w:rsidRPr="0098261B">
        <w:t xml:space="preserve"> is non-porous to N</w:t>
      </w:r>
      <w:r w:rsidRPr="0098261B">
        <w:rPr>
          <w:vertAlign w:val="subscript"/>
        </w:rPr>
        <w:t>2</w:t>
      </w:r>
      <w:r w:rsidRPr="0098261B">
        <w:t xml:space="preserve"> indicates that the polymer networks are interpenetrated, which is often observed for crosslinked porous polymers.</w:t>
      </w:r>
      <w:r w:rsidR="00805729" w:rsidRPr="0098261B">
        <w:rPr>
          <w:vertAlign w:val="superscript"/>
        </w:rPr>
        <w:t>[</w:t>
      </w:r>
      <w:r w:rsidRPr="0098261B">
        <w:fldChar w:fldCharType="begin" w:fldLock="1"/>
      </w:r>
      <w:r w:rsidRPr="0098261B">
        <w:instrText>ADDIN CSL_CITATION {"citationItems":[{"id":"ITEM-1","itemData":{"DOI":"10.1002/adma.200801971","ISSN":"09359648","abstract":"Conjugated microporous polymers are of great interest because they have potential to combine high surface areas in the dry state with physical properties relevant to organic electronics. A series of recent reports has shown that materials such as poly(aryleneethynylene)s (PAEs), poly(phenylene butadiynylene)s, poly(phenylene vinylene), poly( p-phenylene)s, polysilanes, polyanilines, and polytriazines can be produced as microporous networks with apparent Brunauer Emmett Teller surface areas of more than 1000m2 g-1 in some cases. Micropore size and surface area can be synthetically fine tuned in amorphous PAE polymers and copolymers, something which was previously thought to be the preserve of ordered crystalline materials such as metal organic frameworks. We review in this Research News article recent progress made by our group and others with particular emphasis on the possible future applications of these materials. © 2009 WILEY-VCH Verlag GmbH &amp; Co. KGaA, Weinheim.","author":[{"dropping-particle":"","family":"Cooper","given":"Andrew I.","non-dropping-particle":"","parse-names":false,"suffix":""}],"container-title":"Advanced Materials","id":"ITEM-1","issue":"12","issued":{"date-parts":[["2009","3","26"]]},"page":"1291-1295","publisher":"John Wiley &amp; Sons, Ltd","title":"Conjugated microporous polymers","type":"article-journal","volume":"21"},"uris":["http://www.mendeley.com/documents/?uuid=8816247b-3271-3e98-8619-e714b49c7a93"]},{"id":"ITEM-2","itemData":{"DOI":"10.1021/jp502336a","ISSN":"19327455","abstract":"A number of topological structures for PAF-1 are compared with an amorphous structure for PAF-1, reproducing the ultrahigh surface area and pore volume observed experimentally. We compare the porosity properties of these structures and discuss potential structural strategies for increasing porosity and gas uptake properties. The PAF-1 network formation mechanism is simulated through use of an automated generation process, revealing the importance of the solvent in the resulting network structure and porosity properties. This opens up new rational design strategies and considerations for developing the next generation of porous framework materials. © 2014 American Chemical Society.","author":[{"dropping-particle":"","family":"Thomas","given":"Jens M.H.","non-dropping-particle":"","parse-names":false,"suffix":""},{"dropping-particle":"","family":"Trewin","given":"Abbie","non-dropping-particle":"","parse-names":false,"suffix":""}],"container-title":"Journal of Physical Chemistry C","id":"ITEM-2","issue":"34","issued":{"date-parts":[["2014"]]},"page":"19712-19722","title":"Amorphous PAF-1: Guiding the rational design of ultraporous materials","type":"article-journal","volume":"118"},"uris":["http://www.mendeley.com/documents/?uuid=3625c187-03df-3c21-a526-1d1a0821a37d"]}],"mendeley":{"formattedCitation":"&lt;sup&gt;33,34&lt;/sup&gt;","plainTextFormattedCitation":"33,34","previouslyFormattedCitation":"&lt;sup&gt;33,34&lt;/sup&gt;"},"properties":{"noteIndex":0},"schema":"https://github.com/citation-style-language/schema/raw/master/csl-citation.json"}</w:instrText>
      </w:r>
      <w:r w:rsidRPr="0098261B">
        <w:fldChar w:fldCharType="separate"/>
      </w:r>
      <w:r w:rsidRPr="0098261B">
        <w:rPr>
          <w:noProof/>
          <w:vertAlign w:val="superscript"/>
        </w:rPr>
        <w:t>33,34</w:t>
      </w:r>
      <w:r w:rsidRPr="0098261B">
        <w:fldChar w:fldCharType="end"/>
      </w:r>
      <w:r w:rsidR="00805729" w:rsidRPr="0098261B">
        <w:rPr>
          <w:vertAlign w:val="superscript"/>
        </w:rPr>
        <w:t>]</w:t>
      </w:r>
      <w:r w:rsidRPr="0098261B">
        <w:t xml:space="preserve"> Therefore, it appears that the introduction of </w:t>
      </w:r>
      <w:proofErr w:type="spellStart"/>
      <w:r w:rsidRPr="0098261B">
        <w:t>rGO</w:t>
      </w:r>
      <w:proofErr w:type="spellEnd"/>
      <w:r w:rsidRPr="0098261B">
        <w:t xml:space="preserve"> in the </w:t>
      </w:r>
      <w:r w:rsidRPr="0098261B">
        <w:rPr>
          <w:b/>
        </w:rPr>
        <w:t xml:space="preserve">PIX </w:t>
      </w:r>
      <w:r w:rsidRPr="0098261B">
        <w:t xml:space="preserve">composites increases the surface area of the </w:t>
      </w:r>
      <w:r w:rsidRPr="0098261B">
        <w:rPr>
          <w:lang w:eastAsia="zh-CN"/>
        </w:rPr>
        <w:t>composite</w:t>
      </w:r>
      <w:r w:rsidRPr="0098261B">
        <w:rPr>
          <w:rFonts w:hint="eastAsia"/>
          <w:lang w:eastAsia="zh-CN"/>
        </w:rPr>
        <w:t>,</w:t>
      </w:r>
      <w:r w:rsidRPr="0098261B">
        <w:t xml:space="preserve"> which has previously been observed by others.</w:t>
      </w:r>
      <w:r w:rsidR="00805729" w:rsidRPr="0098261B">
        <w:rPr>
          <w:vertAlign w:val="superscript"/>
        </w:rPr>
        <w:t>[</w:t>
      </w:r>
      <w:r w:rsidRPr="0098261B">
        <w:fldChar w:fldCharType="begin" w:fldLock="1"/>
      </w:r>
      <w:r w:rsidRPr="0098261B">
        <w:instrText>ADDIN CSL_CITATION {"citationItems":[{"id":"ITEM-1","itemData":{"DOI":"10.1039/c8ta07913g","ISSN":"20507496","abstract":"Two-dimensional (2D) composites with characteristics of high conductivity, good redox activity and large microporosity are constructed via sandwiching reduced graphene oxide (rGO) nanosheets with conjugated microporous polymers (CMPs) containing built-in redox-active ferrocene moieties. The integration of redox-active CMPs and conductive rGO within a 2D porous framework gives rise to remarkable faradaic energy storage as well as fast charge/energy transfer between the electrode and the electrolyte. As a result, the supercapacitors fabricated with these 2D hybrids possess remarkable capacitance at varied current density and excellent cycling stability. Thanks to the structural flexibility of CMPs, this strategy opens an avenue towards the design of new-generation supercapacitors and other electrochemical devices with molecular accuracy.","author":[{"dropping-particle":"","family":"Khattak","given":"Abdul Muqsit","non-dropping-particle":"","parse-names":false,"suffix":""},{"dropping-particle":"","family":"Sin","given":"Haksong","non-dropping-particle":"","parse-names":false,"suffix":""},{"dropping-particle":"","family":"Ghazi","given":"Zahid Ali","non-dropping-particle":"","parse-names":false,"suffix":""},{"dropping-particle":"","family":"He","given":"Xiao","non-dropping-particle":"","parse-names":false,"suffix":""},{"dropping-particle":"","family":"Liang","given":"Bin","non-dropping-particle":"","parse-names":false,"suffix":""},{"dropping-particle":"","family":"Khan","given":"Niaz Ali","non-dropping-particle":"","parse-names":false,"suffix":""},{"dropping-particle":"","family":"Alanagh","given":"Hamideh Rezvani","non-dropping-particle":"","parse-names":false,"suffix":""},{"dropping-particle":"","family":"Iqbal","given":"Azhar","non-dropping-particle":"","parse-names":false,"suffix":""},{"dropping-particle":"","family":"Li","given":"Lianshan","non-dropping-particle":"","parse-names":false,"suffix":""},{"dropping-particle":"","family":"Tang","given":"Zhiyong","non-dropping-particle":"","parse-names":false,"suffix":""}],"container-title":"Journal of Materials Chemistry A","id":"ITEM-1","issue":"39","issued":{"date-parts":[["2018","10","9"]]},"page":"18827-18832","publisher":"Royal Society of Chemistry","title":"Controllable fabrication of redox-active conjugated microporous polymers on reduced graphene oxide for high performance faradaic energy storage","type":"article-journal","volume":"6"},"uris":["http://www.mendeley.com/documents/?uuid=4b68ba96-127d-365b-b89e-7c283c34c9ef"]}],"mendeley":{"formattedCitation":"&lt;sup&gt;35&lt;/sup&gt;","plainTextFormattedCitation":"35","previouslyFormattedCitation":"&lt;sup&gt;35&lt;/sup&gt;"},"properties":{"noteIndex":0},"schema":"https://github.com/citation-style-language/schema/raw/master/csl-citation.json"}</w:instrText>
      </w:r>
      <w:r w:rsidRPr="0098261B">
        <w:fldChar w:fldCharType="separate"/>
      </w:r>
      <w:r w:rsidRPr="0098261B">
        <w:rPr>
          <w:noProof/>
          <w:vertAlign w:val="superscript"/>
        </w:rPr>
        <w:t>35</w:t>
      </w:r>
      <w:r w:rsidRPr="0098261B">
        <w:fldChar w:fldCharType="end"/>
      </w:r>
      <w:r w:rsidR="00805729" w:rsidRPr="0098261B">
        <w:rPr>
          <w:vertAlign w:val="superscript"/>
        </w:rPr>
        <w:t>]</w:t>
      </w:r>
      <w:r w:rsidRPr="0098261B">
        <w:t xml:space="preserve"> Both </w:t>
      </w:r>
      <w:r w:rsidRPr="0098261B">
        <w:rPr>
          <w:b/>
          <w:bCs/>
        </w:rPr>
        <w:t>PI30</w:t>
      </w:r>
      <w:r w:rsidRPr="0098261B">
        <w:t xml:space="preserve"> and </w:t>
      </w:r>
      <w:r w:rsidRPr="0098261B">
        <w:rPr>
          <w:b/>
          <w:bCs/>
        </w:rPr>
        <w:t>PI50</w:t>
      </w:r>
      <w:r w:rsidRPr="0098261B">
        <w:t xml:space="preserve"> have pores with an average width of 15 Å as determined by NL-DFT, which is larger than the diameter of lithium-ion (1.52 Å) and could, therefore, be beneficial for lithium-ion transport within the material.</w:t>
      </w:r>
    </w:p>
    <w:p w14:paraId="68E3196C" w14:textId="77777777" w:rsidR="00CB185D" w:rsidRPr="0098261B" w:rsidRDefault="00CB185D" w:rsidP="0090576D">
      <w:pPr>
        <w:pStyle w:val="P1"/>
        <w:spacing w:line="720" w:lineRule="auto"/>
        <w:jc w:val="center"/>
      </w:pPr>
      <w:r w:rsidRPr="0098261B">
        <w:rPr>
          <w:noProof/>
          <w:lang w:val="en-GB" w:eastAsia="zh-CN"/>
        </w:rPr>
        <w:drawing>
          <wp:inline distT="0" distB="0" distL="0" distR="0" wp14:anchorId="2917D28F" wp14:editId="7B2CBC29">
            <wp:extent cx="2908819" cy="39422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2 NNNNN.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5658" cy="3965093"/>
                    </a:xfrm>
                    <a:prstGeom prst="rect">
                      <a:avLst/>
                    </a:prstGeom>
                  </pic:spPr>
                </pic:pic>
              </a:graphicData>
            </a:graphic>
          </wp:inline>
        </w:drawing>
      </w:r>
    </w:p>
    <w:p w14:paraId="6B53256A" w14:textId="77777777" w:rsidR="008F4C47" w:rsidRPr="0098261B" w:rsidRDefault="008F4C47" w:rsidP="008F4C47">
      <w:pPr>
        <w:pStyle w:val="FigureCaption"/>
      </w:pPr>
      <w:r w:rsidRPr="0098261B">
        <w:rPr>
          <w:b/>
        </w:rPr>
        <w:t>Figure 1.</w:t>
      </w:r>
      <w:r w:rsidRPr="0098261B">
        <w:t xml:space="preserve"> a) FT-IR Spectra of </w:t>
      </w:r>
      <w:r w:rsidRPr="0098261B">
        <w:rPr>
          <w:b/>
        </w:rPr>
        <w:t>PI</w:t>
      </w:r>
      <w:r w:rsidRPr="0098261B">
        <w:t xml:space="preserve"> and the </w:t>
      </w:r>
      <w:r w:rsidRPr="0098261B">
        <w:rPr>
          <w:b/>
        </w:rPr>
        <w:t>PIX</w:t>
      </w:r>
      <w:r w:rsidRPr="0098261B">
        <w:t xml:space="preserve"> composites; b) N</w:t>
      </w:r>
      <w:r w:rsidRPr="0098261B">
        <w:rPr>
          <w:vertAlign w:val="subscript"/>
        </w:rPr>
        <w:t>2</w:t>
      </w:r>
      <w:r w:rsidRPr="0098261B">
        <w:t xml:space="preserve"> sorption isotherms of </w:t>
      </w:r>
      <w:r w:rsidRPr="0098261B">
        <w:rPr>
          <w:b/>
        </w:rPr>
        <w:t>PI</w:t>
      </w:r>
      <w:r w:rsidRPr="0098261B">
        <w:t xml:space="preserve">, the </w:t>
      </w:r>
      <w:r w:rsidRPr="0098261B">
        <w:rPr>
          <w:b/>
        </w:rPr>
        <w:t>PIX</w:t>
      </w:r>
      <w:r w:rsidRPr="0098261B">
        <w:t xml:space="preserve"> composites, and </w:t>
      </w:r>
      <w:proofErr w:type="spellStart"/>
      <w:r w:rsidRPr="0098261B">
        <w:t>rGO</w:t>
      </w:r>
      <w:proofErr w:type="spellEnd"/>
      <w:r w:rsidRPr="0098261B">
        <w:t xml:space="preserve"> (77.3 K).</w:t>
      </w:r>
    </w:p>
    <w:p w14:paraId="6FCF43E6" w14:textId="16279C13" w:rsidR="008F4C47" w:rsidRPr="0098261B" w:rsidRDefault="00E04CBD" w:rsidP="008F4C47">
      <w:pPr>
        <w:pStyle w:val="P1"/>
      </w:pPr>
      <w:r w:rsidRPr="0098261B">
        <w:t>N</w:t>
      </w:r>
      <w:r w:rsidR="008F4C47" w:rsidRPr="0098261B">
        <w:t xml:space="preserve">ext, electrodes were fabricated to evaluate the electrochemical performance of </w:t>
      </w:r>
      <w:r w:rsidR="008F4C47" w:rsidRPr="0098261B">
        <w:rPr>
          <w:b/>
        </w:rPr>
        <w:t>PI</w:t>
      </w:r>
      <w:r w:rsidR="008F4C47" w:rsidRPr="0098261B">
        <w:t xml:space="preserve"> and the </w:t>
      </w:r>
      <w:r w:rsidR="008F4C47" w:rsidRPr="0098261B">
        <w:rPr>
          <w:b/>
        </w:rPr>
        <w:t>PIX</w:t>
      </w:r>
      <w:r w:rsidR="008F4C47" w:rsidRPr="0098261B">
        <w:t xml:space="preserve">. Coin cells were prepared using </w:t>
      </w:r>
      <w:r w:rsidR="008F4C47" w:rsidRPr="0098261B">
        <w:rPr>
          <w:b/>
        </w:rPr>
        <w:t>PI/PIX</w:t>
      </w:r>
      <w:r w:rsidR="008F4C47" w:rsidRPr="0098261B">
        <w:t xml:space="preserve"> as the working positive electrode, lithium as the counter electrode and 1 M lithium bis(</w:t>
      </w:r>
      <w:proofErr w:type="spellStart"/>
      <w:r w:rsidR="008F4C47" w:rsidRPr="0098261B">
        <w:t>trifluoromethanesulfonyl</w:t>
      </w:r>
      <w:proofErr w:type="spellEnd"/>
      <w:r w:rsidR="008F4C47" w:rsidRPr="0098261B">
        <w:t>)imide (</w:t>
      </w:r>
      <w:proofErr w:type="spellStart"/>
      <w:r w:rsidR="008F4C47" w:rsidRPr="0098261B">
        <w:t>LiTFSI</w:t>
      </w:r>
      <w:proofErr w:type="spellEnd"/>
      <w:r w:rsidR="008F4C47" w:rsidRPr="0098261B">
        <w:t>) in 1,3-dioxolane (DOL) and 1,2-dimethoxyethane (DME) (1:1 v/v)</w:t>
      </w:r>
      <w:r w:rsidR="001B0D9D">
        <w:t xml:space="preserve"> as electrolyte</w:t>
      </w:r>
      <w:r w:rsidR="008F4C47" w:rsidRPr="0098261B">
        <w:t xml:space="preserve">. This electrolyte formulation was selected because it has been reported that the capacity of organic electrodes fades more rapidly in conventional Li-ion battery electrolytes (based on lithium hexafluorophosphate in organic carbonates) than those tested in </w:t>
      </w:r>
      <w:proofErr w:type="spellStart"/>
      <w:r w:rsidR="008F4C47" w:rsidRPr="0098261B">
        <w:t>LiTFSI</w:t>
      </w:r>
      <w:proofErr w:type="spellEnd"/>
      <w:r w:rsidR="008F4C47" w:rsidRPr="0098261B">
        <w:t>-DME/DOL-based electrolytes.</w:t>
      </w:r>
      <w:r w:rsidR="00805729" w:rsidRPr="0098261B">
        <w:rPr>
          <w:vertAlign w:val="superscript"/>
        </w:rPr>
        <w:t>[</w:t>
      </w:r>
      <w:r w:rsidR="008F4C47" w:rsidRPr="0098261B">
        <w:fldChar w:fldCharType="begin" w:fldLock="1"/>
      </w:r>
      <w:r w:rsidR="008F4C47" w:rsidRPr="0098261B">
        <w:instrText>ADDIN CSL_CITATION {"citationItems":[{"id":"ITEM-1","itemData":{"DOI":"10.1039/c2jm15764k","ISSN":"09599428","abstract":"Two organic cathode materials based on the poly(anthraquinonyl sulfide) structure with different substitution positions were synthesized and their electrochemical behavior and battery performance were investigated. The substitution positions on the anthraquinone structure, the type of binders for electrode preparation, and electrolyte formulations have been found to have significant effects on the performance of batteries containing these organic cathode materials. The polymer with less steric hindrance at the substitution positions has higher capacity, longer cycle life and better high-rate capability. Polyvinylidene fluoride binder and ether-based electrolytes are favorable for the high capacity and long cycle life of the anthraquinonyl organic cathodes. © 2012 The Royal Society of Chemistry.","author":[{"dropping-particle":"","family":"Xu","given":"Wu","non-dropping-particle":"","parse-names":false,"suffix":""},{"dropping-particle":"","family":"Read","given":"Adam","non-dropping-particle":"","parse-names":false,"suffix":""},{"dropping-particle":"","family":"Koech","given":"Phillip K.","non-dropping-particle":"","parse-names":false,"suffix":""},{"dropping-particle":"","family":"Hu","given":"Dehong","non-dropping-particle":"","parse-names":false,"suffix":""},{"dropping-particle":"","family":"Wang","given":"Chongmin","non-dropping-particle":"","parse-names":false,"suffix":""},{"dropping-particle":"","family":"Xiao","given":"Jie","non-dropping-particle":"","parse-names":false,"suffix":""},{"dropping-particle":"","family":"Padmaperuma","given":"Asanga B.","non-dropping-particle":"","parse-names":false,"suffix":""},{"dropping-particle":"","family":"Graff","given":"Gordon L.","non-dropping-particle":"","parse-names":false,"suffix":""},{"dropping-particle":"","family":"Liu","given":"Jun","non-dropping-particle":"","parse-names":false,"suffix":""},{"dropping-particle":"","family":"Zhang","given":"Ji Guang","non-dropping-particle":"","parse-names":false,"suffix":""}],"container-title":"Journal of Materials Chemistry","id":"ITEM-1","issue":"9","issued":{"date-parts":[["2012","3","7"]]},"page":"4032-4039","title":"Factors affecting the battery performance of anthraquinone-based organic cathode materials","type":"article-journal","volume":"22"},"uris":["http://www.mendeley.com/documents/?uuid=0e790581-0f57-3539-90dc-c9f469aa6687"]},{"id":"ITEM-2","itemData":{"DOI":"10.1039/c9nr00088g","ISSN":"20403372","abstract":"Few layer COFs was incorporated with rGO to provide composite cathode materials with improved energy storage capability. Covalent organic frameworks (COFs) have attracted increasing interest for their use as electrode materials for lithium-ion batteries (LIBs) by virtue of their microporous crystalline structures and robust networks. However, the tightly stacked bulk COFs and their intrinsic low conductivity inevitably result in an inefficient utilization of redox-active sites so as to lower the electrochemical performance. Herein, we proposed a general strategy to improve the energy storage capability of polyimide (PI)-COF based cathode materials, which included the decrease of their stacked layer numbers to a few layers via a mechanical milling method for the efficient utilization of redox-active sites and the incorporation of few-layer COF sheets with chemically reduced graphene oxide (rGO) to increase the charge transfer. The excellent electrochemical performance of the composite few-layer PI-COFs with rGO cathodes indicated that reducing the layer number of COFs and incorporating rGO may pave the way for the successful development of COF-based organic electrodes for LIBs.","author":[{"dropping-particle":"","family":"Wang","given":"Zhaolei","non-dropping-particle":"","parse-names":false,"suffix":""},{"dropping-particle":"","family":"Li","given":"Yongjun","non-dropping-particle":"","parse-names":false,"suffix":""},{"dropping-particle":"","family":"Liu","given":"Pengju","non-dropping-particle":"","parse-names":false,"suffix":""},{"dropping-particle":"","family":"Qi","given":"Qiaoyan","non-dropping-particle":"","parse-names":false,"suffix":""},{"dropping-particle":"","family":"Zhang","given":"Fang","non-dropping-particle":"","parse-names":false,"suffix":""},{"dropping-particle":"","family":"Lu","given":"Guolin","non-dropping-particle":"","parse-names":false,"suffix":""},{"dropping-particle":"","family":"Zhao","given":"Xin","non-dropping-particle":"","parse-names":false,"suffix":""},{"dropping-particle":"","family":"Huang","given":"Xiaoyu","non-dropping-particle":"","parse-names":false,"suffix":""}],"container-title":"Nanoscale","id":"ITEM-2","issue":"12","issued":{"date-parts":[["2019"]]},"page":"5330-5335","title":"Few layer covalent organic frameworks with graphene sheets as cathode materials for lithium-ion batteries","type":"article-journal","volume":"11"},"uris":["http://www.mendeley.com/documents/?uuid=0bbf28d0-7fc9-3675-ac5b-68337abe0293"]}],"mendeley":{"formattedCitation":"&lt;sup&gt;26,36&lt;/sup&gt;","plainTextFormattedCitation":"26,36","previouslyFormattedCitation":"&lt;sup&gt;26,36&lt;/sup&gt;"},"properties":{"noteIndex":0},"schema":"https://github.com/citation-style-language/schema/raw/master/csl-citation.json"}</w:instrText>
      </w:r>
      <w:r w:rsidR="008F4C47" w:rsidRPr="0098261B">
        <w:fldChar w:fldCharType="separate"/>
      </w:r>
      <w:r w:rsidR="008F4C47" w:rsidRPr="0098261B">
        <w:rPr>
          <w:noProof/>
          <w:vertAlign w:val="superscript"/>
        </w:rPr>
        <w:t>26,36</w:t>
      </w:r>
      <w:r w:rsidR="008F4C47" w:rsidRPr="0098261B">
        <w:fldChar w:fldCharType="end"/>
      </w:r>
      <w:r w:rsidR="00805729" w:rsidRPr="0098261B">
        <w:rPr>
          <w:vertAlign w:val="superscript"/>
        </w:rPr>
        <w:t>]</w:t>
      </w:r>
      <w:r w:rsidR="008F4C47" w:rsidRPr="0098261B">
        <w:rPr>
          <w:vertAlign w:val="superscript"/>
        </w:rPr>
        <w:t xml:space="preserve"> </w:t>
      </w:r>
      <w:r w:rsidR="008F4C47" w:rsidRPr="0098261B">
        <w:t xml:space="preserve"> </w:t>
      </w:r>
    </w:p>
    <w:p w14:paraId="7D6CBA13" w14:textId="6A39D250" w:rsidR="008F4C47" w:rsidRPr="0098261B" w:rsidRDefault="008F4C47" w:rsidP="00E04CBD">
      <w:pPr>
        <w:pStyle w:val="P1"/>
        <w:ind w:firstLine="425"/>
      </w:pPr>
      <w:r w:rsidRPr="0098261B">
        <w:t xml:space="preserve">Cyclic voltammetry (CV) was performed using the </w:t>
      </w:r>
      <w:r w:rsidRPr="0098261B">
        <w:rPr>
          <w:b/>
        </w:rPr>
        <w:t>PI</w:t>
      </w:r>
      <w:r w:rsidRPr="0098261B">
        <w:t xml:space="preserve"> and </w:t>
      </w:r>
      <w:r w:rsidRPr="0098261B">
        <w:rPr>
          <w:b/>
        </w:rPr>
        <w:t>PIX</w:t>
      </w:r>
      <w:r w:rsidRPr="0098261B">
        <w:t xml:space="preserve"> coin cells at 0.1 mV s</w:t>
      </w:r>
      <w:r w:rsidRPr="0098261B">
        <w:rPr>
          <w:vertAlign w:val="superscript"/>
        </w:rPr>
        <w:softHyphen/>
      </w:r>
      <w:r w:rsidRPr="0098261B">
        <w:rPr>
          <w:vertAlign w:val="superscript"/>
        </w:rPr>
        <w:noBreakHyphen/>
        <w:t xml:space="preserve">1 </w:t>
      </w:r>
      <w:r w:rsidRPr="0098261B">
        <w:t>(</w:t>
      </w:r>
      <w:r w:rsidR="009C4183" w:rsidRPr="0098261B">
        <w:t>Figure 3</w:t>
      </w:r>
      <w:r w:rsidRPr="0098261B">
        <w:t xml:space="preserve">a), with all the samples exhibiting similar shaped CV characteristics. Two pairs of redox peaks corresponding to the two-electron reaction of the carbonyl </w:t>
      </w:r>
      <w:r w:rsidRPr="0098261B">
        <w:t xml:space="preserve">groups in one PMDA unit were </w:t>
      </w:r>
      <w:proofErr w:type="spellStart"/>
      <w:r w:rsidRPr="0098261B">
        <w:t>centred</w:t>
      </w:r>
      <w:proofErr w:type="spellEnd"/>
      <w:r w:rsidRPr="0098261B">
        <w:t xml:space="preserve"> at approximately 2.3 and 2.0 V.</w:t>
      </w:r>
      <w:r w:rsidR="00805729" w:rsidRPr="0098261B">
        <w:rPr>
          <w:vertAlign w:val="superscript"/>
        </w:rPr>
        <w:t>[</w:t>
      </w:r>
      <w:r w:rsidRPr="0098261B">
        <w:rPr>
          <w:noProof/>
          <w:vertAlign w:val="superscript"/>
        </w:rPr>
        <w:t>24</w:t>
      </w:r>
      <w:r w:rsidR="00805729" w:rsidRPr="0098261B">
        <w:rPr>
          <w:noProof/>
          <w:vertAlign w:val="superscript"/>
        </w:rPr>
        <w:t>]</w:t>
      </w:r>
      <w:r w:rsidRPr="0098261B">
        <w:t xml:space="preserve"> Furthermore, the peak current densities and integral charge (as normalized to the mass unit of </w:t>
      </w:r>
      <w:r w:rsidRPr="0098261B">
        <w:rPr>
          <w:b/>
        </w:rPr>
        <w:t>PI</w:t>
      </w:r>
      <w:r w:rsidRPr="0098261B">
        <w:t xml:space="preserve"> active material) increased as the mass ratio of </w:t>
      </w:r>
      <w:proofErr w:type="spellStart"/>
      <w:r w:rsidRPr="0098261B">
        <w:t>rGO</w:t>
      </w:r>
      <w:proofErr w:type="spellEnd"/>
      <w:r w:rsidRPr="0098261B">
        <w:t xml:space="preserve"> in the </w:t>
      </w:r>
      <w:r w:rsidRPr="0098261B">
        <w:rPr>
          <w:b/>
        </w:rPr>
        <w:t>PIX</w:t>
      </w:r>
      <w:r w:rsidRPr="0098261B">
        <w:t xml:space="preserve"> composite was increased. </w:t>
      </w:r>
      <w:r w:rsidRPr="0098261B">
        <w:rPr>
          <w:b/>
        </w:rPr>
        <w:t>PI</w:t>
      </w:r>
      <w:r w:rsidRPr="0098261B">
        <w:t xml:space="preserve"> has the smallest integral charge area, when compared with the </w:t>
      </w:r>
      <w:r w:rsidRPr="0098261B">
        <w:rPr>
          <w:b/>
        </w:rPr>
        <w:t>PIX</w:t>
      </w:r>
      <w:r w:rsidRPr="0098261B">
        <w:t xml:space="preserve"> composites, showing low utilization of redox-active sites in </w:t>
      </w:r>
      <w:r w:rsidRPr="0098261B">
        <w:rPr>
          <w:b/>
        </w:rPr>
        <w:t>PI</w:t>
      </w:r>
      <w:r w:rsidRPr="0098261B">
        <w:t xml:space="preserve"> on its own. The smaller particle sizes of </w:t>
      </w:r>
      <w:r w:rsidRPr="0098261B">
        <w:rPr>
          <w:b/>
        </w:rPr>
        <w:t xml:space="preserve">PI </w:t>
      </w:r>
      <w:r w:rsidRPr="0098261B">
        <w:t xml:space="preserve">in the </w:t>
      </w:r>
      <w:r w:rsidRPr="0098261B">
        <w:rPr>
          <w:b/>
        </w:rPr>
        <w:t>PIX</w:t>
      </w:r>
      <w:r w:rsidRPr="0098261B">
        <w:t xml:space="preserve"> composites mean that they have a larger surface area/volume ratio, which might enhance the number of exposed redox-sites in </w:t>
      </w:r>
      <w:r w:rsidRPr="0098261B">
        <w:rPr>
          <w:b/>
        </w:rPr>
        <w:t>PI</w:t>
      </w:r>
      <w:r w:rsidR="00A60783" w:rsidRPr="0098261B">
        <w:rPr>
          <w:b/>
        </w:rPr>
        <w:t>.</w:t>
      </w:r>
      <w:r w:rsidRPr="0098261B">
        <w:t xml:space="preserve"> </w:t>
      </w:r>
      <w:r w:rsidR="00A2084A" w:rsidRPr="0098261B">
        <w:t>Consequently</w:t>
      </w:r>
      <w:r w:rsidR="00C74E04" w:rsidRPr="0098261B">
        <w:t>,</w:t>
      </w:r>
      <w:r w:rsidR="00A2084A" w:rsidRPr="0098261B">
        <w:t xml:space="preserve"> the size difference induced by </w:t>
      </w:r>
      <w:r w:rsidR="007130C9">
        <w:t xml:space="preserve">the </w:t>
      </w:r>
      <w:r w:rsidR="00A2084A" w:rsidRPr="0098261B">
        <w:t xml:space="preserve">introduction of </w:t>
      </w:r>
      <w:proofErr w:type="spellStart"/>
      <w:r w:rsidR="00A2084A" w:rsidRPr="0098261B">
        <w:t>rGO</w:t>
      </w:r>
      <w:proofErr w:type="spellEnd"/>
      <w:r w:rsidR="00A2084A" w:rsidRPr="0098261B">
        <w:t xml:space="preserve"> appears to improve</w:t>
      </w:r>
      <w:r w:rsidR="00C74E04" w:rsidRPr="0098261B">
        <w:t xml:space="preserve"> Li</w:t>
      </w:r>
      <w:r w:rsidR="00C74E04" w:rsidRPr="0098261B">
        <w:rPr>
          <w:vertAlign w:val="superscript"/>
        </w:rPr>
        <w:t>+</w:t>
      </w:r>
      <w:r w:rsidR="00C74E04" w:rsidRPr="0098261B">
        <w:t xml:space="preserve"> ion diffusion to the redox-active carbonyl groups</w:t>
      </w:r>
      <w:r w:rsidR="00A2084A" w:rsidRPr="0098261B">
        <w:t xml:space="preserve"> of </w:t>
      </w:r>
      <w:r w:rsidR="00A2084A" w:rsidRPr="001B0D9D">
        <w:rPr>
          <w:b/>
        </w:rPr>
        <w:t>PI</w:t>
      </w:r>
      <w:r w:rsidR="00A2084A" w:rsidRPr="0098261B">
        <w:t xml:space="preserve"> and, thus, increases their utilization</w:t>
      </w:r>
      <w:r w:rsidR="00C74E04" w:rsidRPr="0098261B">
        <w:t>.</w:t>
      </w:r>
      <w:r w:rsidRPr="0098261B">
        <w:t xml:space="preserve"> It is also possible that </w:t>
      </w:r>
      <w:proofErr w:type="spellStart"/>
      <w:r w:rsidRPr="0098261B">
        <w:t>rGO</w:t>
      </w:r>
      <w:proofErr w:type="spellEnd"/>
      <w:r w:rsidRPr="0098261B">
        <w:t xml:space="preserve"> in the composites enhances charge-transport within these materials, which is also beneficial. </w:t>
      </w:r>
    </w:p>
    <w:p w14:paraId="4F2B5DEB" w14:textId="474647DD" w:rsidR="008F4C47" w:rsidRPr="0098261B" w:rsidRDefault="008F4C47" w:rsidP="00E04CBD">
      <w:pPr>
        <w:pStyle w:val="P1"/>
        <w:ind w:firstLine="425"/>
      </w:pPr>
      <w:r w:rsidRPr="0098261B">
        <w:t xml:space="preserve">Galvanostatic charge/discharge experiments were performed in a voltage window of 1.5 to 3.4 V for all positive electrodes </w:t>
      </w:r>
      <w:r w:rsidR="009C4183" w:rsidRPr="0098261B">
        <w:t>(Figure 3</w:t>
      </w:r>
      <w:r w:rsidRPr="0098261B">
        <w:t>b &amp; d). At a current density of 500 mA g</w:t>
      </w:r>
      <w:r w:rsidRPr="0098261B">
        <w:rPr>
          <w:vertAlign w:val="superscript"/>
        </w:rPr>
        <w:t>-1</w:t>
      </w:r>
      <w:r w:rsidRPr="0098261B">
        <w:t xml:space="preserve">, </w:t>
      </w:r>
      <w:r w:rsidRPr="0098261B">
        <w:rPr>
          <w:b/>
        </w:rPr>
        <w:t>PI</w:t>
      </w:r>
      <w:r w:rsidRPr="0098261B">
        <w:t xml:space="preserve"> has a limited capacity of 3 </w:t>
      </w:r>
      <w:proofErr w:type="spellStart"/>
      <w:r w:rsidRPr="0098261B">
        <w:t>mAh</w:t>
      </w:r>
      <w:proofErr w:type="spellEnd"/>
      <w:r w:rsidRPr="0098261B">
        <w:t xml:space="preserve"> g</w:t>
      </w:r>
      <w:r w:rsidRPr="0098261B">
        <w:rPr>
          <w:vertAlign w:val="superscript"/>
        </w:rPr>
        <w:t>-1</w:t>
      </w:r>
      <w:r w:rsidRPr="0098261B">
        <w:t xml:space="preserve">, which is only 2.2% of the maximum theoretical specific capacity for </w:t>
      </w:r>
      <w:r w:rsidRPr="0098261B">
        <w:rPr>
          <w:b/>
        </w:rPr>
        <w:t>PI</w:t>
      </w:r>
      <w:r w:rsidRPr="0098261B">
        <w:t xml:space="preserve"> (144 </w:t>
      </w:r>
      <w:proofErr w:type="spellStart"/>
      <w:r w:rsidRPr="0098261B">
        <w:t>mAh</w:t>
      </w:r>
      <w:proofErr w:type="spellEnd"/>
      <w:r w:rsidRPr="0098261B">
        <w:t xml:space="preserve"> g</w:t>
      </w:r>
      <w:r w:rsidRPr="0098261B">
        <w:rPr>
          <w:vertAlign w:val="superscript"/>
        </w:rPr>
        <w:t>-1</w:t>
      </w:r>
      <w:r w:rsidR="009C4183" w:rsidRPr="0098261B">
        <w:t>, see Figure S5</w:t>
      </w:r>
      <w:r w:rsidRPr="0098261B">
        <w:t xml:space="preserve"> for calculation details). This low utilization of its electrochemical redox-active sites is likely due to the poor electrical conductivity of </w:t>
      </w:r>
      <w:r w:rsidRPr="0098261B">
        <w:rPr>
          <w:b/>
        </w:rPr>
        <w:t>PI</w:t>
      </w:r>
      <w:r w:rsidRPr="0098261B">
        <w:t xml:space="preserve">, and non-accessible redox sites due to the inherent non-porosity of the polymer. Indeed, it was found that the composites (containing </w:t>
      </w:r>
      <w:proofErr w:type="spellStart"/>
      <w:r w:rsidRPr="0098261B">
        <w:t>rGO</w:t>
      </w:r>
      <w:proofErr w:type="spellEnd"/>
      <w:r w:rsidRPr="0098261B">
        <w:t>) show higher capacities of 14, 53, and 172 </w:t>
      </w:r>
      <w:proofErr w:type="spellStart"/>
      <w:r w:rsidRPr="0098261B">
        <w:t>mAh</w:t>
      </w:r>
      <w:proofErr w:type="spellEnd"/>
      <w:r w:rsidRPr="0098261B">
        <w:t> g</w:t>
      </w:r>
      <w:r w:rsidRPr="0098261B">
        <w:rPr>
          <w:vertAlign w:val="superscript"/>
        </w:rPr>
        <w:t>-1</w:t>
      </w:r>
      <w:r w:rsidRPr="0098261B">
        <w:t xml:space="preserve"> at 500 mA g</w:t>
      </w:r>
      <w:r w:rsidRPr="0098261B">
        <w:rPr>
          <w:vertAlign w:val="superscript"/>
        </w:rPr>
        <w:noBreakHyphen/>
        <w:t>1</w:t>
      </w:r>
      <w:r w:rsidRPr="0098261B">
        <w:t xml:space="preserve"> for </w:t>
      </w:r>
      <w:r w:rsidRPr="0098261B">
        <w:rPr>
          <w:b/>
          <w:bCs/>
        </w:rPr>
        <w:t>PI10</w:t>
      </w:r>
      <w:r w:rsidRPr="0098261B">
        <w:t xml:space="preserve">, </w:t>
      </w:r>
      <w:r w:rsidRPr="0098261B">
        <w:rPr>
          <w:b/>
          <w:bCs/>
        </w:rPr>
        <w:t>PI30</w:t>
      </w:r>
      <w:r w:rsidRPr="0098261B">
        <w:t xml:space="preserve">, and </w:t>
      </w:r>
      <w:r w:rsidRPr="0098261B">
        <w:rPr>
          <w:b/>
          <w:bCs/>
        </w:rPr>
        <w:t>PI50</w:t>
      </w:r>
      <w:r w:rsidRPr="0098261B">
        <w:rPr>
          <w:bCs/>
        </w:rPr>
        <w:t>, respectively</w:t>
      </w:r>
      <w:r w:rsidRPr="0098261B">
        <w:t xml:space="preserve">. While </w:t>
      </w:r>
      <w:proofErr w:type="spellStart"/>
      <w:r w:rsidRPr="0098261B">
        <w:t>rGO</w:t>
      </w:r>
      <w:proofErr w:type="spellEnd"/>
      <w:r w:rsidRPr="0098261B">
        <w:t xml:space="preserve"> can contribute to the capacity of the </w:t>
      </w:r>
      <w:r w:rsidRPr="0098261B">
        <w:rPr>
          <w:b/>
        </w:rPr>
        <w:t>PIX</w:t>
      </w:r>
      <w:r w:rsidRPr="0098261B">
        <w:t xml:space="preserve"> composites (</w:t>
      </w:r>
      <w:r w:rsidRPr="0098261B">
        <w:rPr>
          <w:i/>
        </w:rPr>
        <w:t>vide infra</w:t>
      </w:r>
      <w:r w:rsidRPr="0098261B">
        <w:t xml:space="preserve">), </w:t>
      </w:r>
      <w:proofErr w:type="spellStart"/>
      <w:r w:rsidRPr="0098261B">
        <w:t>rGO</w:t>
      </w:r>
      <w:proofErr w:type="spellEnd"/>
      <w:r w:rsidRPr="0098261B">
        <w:t xml:space="preserve"> can only contribute up to 5, 21 and 48 </w:t>
      </w:r>
      <w:proofErr w:type="spellStart"/>
      <w:r w:rsidRPr="0098261B">
        <w:t>mAh</w:t>
      </w:r>
      <w:proofErr w:type="spellEnd"/>
      <w:r w:rsidRPr="0098261B">
        <w:t xml:space="preserve"> g</w:t>
      </w:r>
      <w:r w:rsidRPr="0098261B">
        <w:rPr>
          <w:vertAlign w:val="superscript"/>
        </w:rPr>
        <w:t>-1</w:t>
      </w:r>
      <w:r w:rsidRPr="0098261B">
        <w:t xml:space="preserve"> to the specific capacities of </w:t>
      </w:r>
      <w:r w:rsidRPr="0098261B">
        <w:rPr>
          <w:b/>
          <w:bCs/>
        </w:rPr>
        <w:t>PI10</w:t>
      </w:r>
      <w:r w:rsidRPr="0098261B">
        <w:t xml:space="preserve">, </w:t>
      </w:r>
      <w:r w:rsidRPr="0098261B">
        <w:rPr>
          <w:b/>
          <w:bCs/>
        </w:rPr>
        <w:t>PI30</w:t>
      </w:r>
      <w:r w:rsidRPr="0098261B">
        <w:t xml:space="preserve">, and </w:t>
      </w:r>
      <w:r w:rsidRPr="0098261B">
        <w:rPr>
          <w:b/>
          <w:bCs/>
        </w:rPr>
        <w:t>PI50</w:t>
      </w:r>
      <w:r w:rsidRPr="0098261B">
        <w:rPr>
          <w:bCs/>
        </w:rPr>
        <w:t>, respectively</w:t>
      </w:r>
      <w:r w:rsidR="004B39D9" w:rsidRPr="0098261B">
        <w:rPr>
          <w:bCs/>
        </w:rPr>
        <w:t xml:space="preserve"> (Equation S2</w:t>
      </w:r>
      <w:r w:rsidR="008F6BFF" w:rsidRPr="0098261B">
        <w:rPr>
          <w:bCs/>
        </w:rPr>
        <w:t xml:space="preserve"> and Table S2</w:t>
      </w:r>
      <w:r w:rsidR="004B39D9" w:rsidRPr="0098261B">
        <w:rPr>
          <w:bCs/>
        </w:rPr>
        <w:t>)</w:t>
      </w:r>
      <w:r w:rsidRPr="0098261B">
        <w:t xml:space="preserve">. Hence, the utilization of redox-active sites, compared to the theoretical specific capacity, increases significantly to 6.2, 22, and 86% for </w:t>
      </w:r>
      <w:r w:rsidRPr="0098261B">
        <w:rPr>
          <w:b/>
          <w:bCs/>
        </w:rPr>
        <w:t>PI10</w:t>
      </w:r>
      <w:r w:rsidRPr="0098261B">
        <w:t xml:space="preserve">, </w:t>
      </w:r>
      <w:r w:rsidRPr="0098261B">
        <w:rPr>
          <w:b/>
          <w:bCs/>
        </w:rPr>
        <w:t>PI30</w:t>
      </w:r>
      <w:r w:rsidRPr="0098261B">
        <w:t xml:space="preserve">, and </w:t>
      </w:r>
      <w:r w:rsidRPr="0098261B">
        <w:rPr>
          <w:b/>
          <w:bCs/>
        </w:rPr>
        <w:t>PI50</w:t>
      </w:r>
      <w:r w:rsidRPr="0098261B">
        <w:t xml:space="preserve">, respectively. Moreover, </w:t>
      </w:r>
      <w:r w:rsidRPr="0098261B">
        <w:rPr>
          <w:b/>
        </w:rPr>
        <w:t>PIX</w:t>
      </w:r>
      <w:r w:rsidRPr="0098261B">
        <w:t xml:space="preserve"> materials exhibited good cycle life performance</w:t>
      </w:r>
      <w:r w:rsidR="007130C9">
        <w:t>,</w:t>
      </w:r>
      <w:r w:rsidRPr="0098261B">
        <w:t xml:space="preserve"> and capacity retentions after 200 cycles are 93, 96, and 98% for </w:t>
      </w:r>
      <w:r w:rsidRPr="0098261B">
        <w:rPr>
          <w:b/>
        </w:rPr>
        <w:t>PI10</w:t>
      </w:r>
      <w:r w:rsidRPr="0098261B">
        <w:t xml:space="preserve">, </w:t>
      </w:r>
      <w:r w:rsidRPr="0098261B">
        <w:rPr>
          <w:b/>
        </w:rPr>
        <w:t>PI30</w:t>
      </w:r>
      <w:r w:rsidRPr="0098261B">
        <w:t xml:space="preserve">, and </w:t>
      </w:r>
      <w:r w:rsidRPr="0098261B">
        <w:rPr>
          <w:b/>
        </w:rPr>
        <w:t>PI50</w:t>
      </w:r>
      <w:r w:rsidR="009C4183" w:rsidRPr="0098261B">
        <w:t xml:space="preserve"> (Figure 3</w:t>
      </w:r>
      <w:r w:rsidRPr="0098261B">
        <w:t xml:space="preserve">c). </w:t>
      </w:r>
    </w:p>
    <w:p w14:paraId="4DBED351" w14:textId="5D7FF6CD" w:rsidR="008F4C47" w:rsidRPr="0098261B" w:rsidRDefault="008F4C47" w:rsidP="00E04CBD">
      <w:pPr>
        <w:pStyle w:val="P1"/>
        <w:ind w:firstLine="425"/>
      </w:pPr>
      <w:bookmarkStart w:id="0" w:name="_Hlk35853022"/>
      <w:r w:rsidRPr="0098261B">
        <w:t xml:space="preserve">The capacity of </w:t>
      </w:r>
      <w:r w:rsidRPr="0098261B">
        <w:rPr>
          <w:b/>
        </w:rPr>
        <w:t>PI50</w:t>
      </w:r>
      <w:r w:rsidRPr="0098261B">
        <w:t xml:space="preserve"> is comparable to typical positive electrode materials used in commercial c</w:t>
      </w:r>
      <w:bookmarkStart w:id="1" w:name="_GoBack"/>
      <w:bookmarkEnd w:id="1"/>
      <w:r w:rsidRPr="0098261B">
        <w:t>ells, such as LiCoO</w:t>
      </w:r>
      <w:r w:rsidRPr="0098261B">
        <w:rPr>
          <w:vertAlign w:val="subscript"/>
        </w:rPr>
        <w:t>2</w:t>
      </w:r>
      <w:r w:rsidRPr="0098261B">
        <w:t xml:space="preserve"> which has a capacity of 145 </w:t>
      </w:r>
      <w:proofErr w:type="spellStart"/>
      <w:r w:rsidRPr="0098261B">
        <w:t>mAh</w:t>
      </w:r>
      <w:proofErr w:type="spellEnd"/>
      <w:r w:rsidRPr="0098261B">
        <w:t xml:space="preserve"> g</w:t>
      </w:r>
      <w:r w:rsidRPr="0098261B">
        <w:rPr>
          <w:vertAlign w:val="superscript"/>
        </w:rPr>
        <w:t>-1</w:t>
      </w:r>
      <w:r w:rsidRPr="0098261B">
        <w:t xml:space="preserve"> and a cycle life of 1000, when considering the active material.</w:t>
      </w:r>
      <w:r w:rsidRPr="0098261B">
        <w:fldChar w:fldCharType="begin" w:fldLock="1"/>
      </w:r>
      <w:r w:rsidRPr="0098261B">
        <w:instrText>ADDIN CSL_CITATION {"citationItems":[{"id":"ITEM-1","itemData":{"DOI":"10.1016/j.mattod.2014.10.040","ISSN":"18734103","abstract":"This review covers key technological developments and scientific challenges for a broad range of Li-ion battery electrodes. Periodic table and potential/capacity plots are used to compare many families of suitable materials. Performance characteristics, current limitations, and recent breakthroughs in the development of commercial intercalation materials such as lithium cobalt oxide (LCO), lithium nickel cobalt manganese oxide (NCM), lithium nickel cobalt aluminum oxide (NCA), lithium iron phosphate (LFP), lithium titanium oxide (LTO) and others are contrasted with that of conversion materials, such as alloying anodes (Si, Ge, Sn, etc.), chalcogenides (S, Se, Te), and metal halides (F, Cl, Br, I). New polyanion cathode materials are also discussed. The cost, abundance, safety, Li and electron transport, volumetric expansion, material dissolution, and surface reactions for each type of electrode materials are described. Both general and specific strategies to overcome the current challenges are covered and categorized.","author":[{"dropping-particle":"","family":"Nitta","given":"Naoki","non-dropping-particle":"","parse-names":false,"suffix":""},{"dropping-particle":"","family":"Wu","given":"Feixiang","non-dropping-particle":"","parse-names":false,"suffix":""},{"dropping-particle":"","family":"Lee","given":"Jung Tae","non-dropping-particle":"","parse-names":false,"suffix":""},{"dropping-particle":"","family":"Yushin","given":"Gleb","non-dropping-particle":"","parse-names":false,"suffix":""}],"container-title":"Materials Today","id":"ITEM-1","issue":"5","issued":{"date-parts":[["2015","6","1"]]},"page":"252-264","publisher":"Elsevier B.V.","title":"Li-ion battery materials: Present and future","type":"article","volume":"18"},"uris":["http://www.mendeley.com/documents/?uuid=8497ffdb-eb70-3e95-8faa-51ad3cd78e3b"]}],"mendeley":{"formattedCitation":"&lt;sup&gt;37&lt;/sup&gt;","plainTextFormattedCitation":"37","previouslyFormattedCitation":"&lt;sup&gt;37&lt;/sup&gt;"},"properties":{"noteIndex":0},"schema":"https://github.com/citation-style-language/schema/raw/master/csl-citation.json"}</w:instrText>
      </w:r>
      <w:r w:rsidRPr="0098261B">
        <w:fldChar w:fldCharType="separate"/>
      </w:r>
      <w:r w:rsidRPr="0098261B">
        <w:rPr>
          <w:noProof/>
          <w:vertAlign w:val="superscript"/>
        </w:rPr>
        <w:t>37</w:t>
      </w:r>
      <w:r w:rsidRPr="0098261B">
        <w:fldChar w:fldCharType="end"/>
      </w:r>
      <w:r w:rsidRPr="0098261B">
        <w:t xml:space="preserve"> However, when the capacity of the </w:t>
      </w:r>
      <w:r w:rsidRPr="0098261B">
        <w:rPr>
          <w:b/>
        </w:rPr>
        <w:t>PI50</w:t>
      </w:r>
      <w:r w:rsidRPr="0098261B">
        <w:t xml:space="preserve"> cell is calculated </w:t>
      </w:r>
      <w:r w:rsidR="007130C9">
        <w:t>by</w:t>
      </w:r>
      <w:r w:rsidRPr="0098261B">
        <w:t xml:space="preserve"> summing </w:t>
      </w:r>
      <w:r w:rsidR="007130C9">
        <w:t xml:space="preserve">combined </w:t>
      </w:r>
      <w:r w:rsidRPr="0098261B">
        <w:t xml:space="preserve">mass of the active material and conductive additives it was found to be only 52 </w:t>
      </w:r>
      <w:proofErr w:type="spellStart"/>
      <w:r w:rsidRPr="0098261B">
        <w:t>mAh</w:t>
      </w:r>
      <w:proofErr w:type="spellEnd"/>
      <w:r w:rsidRPr="0098261B">
        <w:t xml:space="preserve"> g</w:t>
      </w:r>
      <w:r w:rsidRPr="0098261B">
        <w:rPr>
          <w:vertAlign w:val="superscript"/>
        </w:rPr>
        <w:t>-1</w:t>
      </w:r>
      <w:r w:rsidR="009C4183" w:rsidRPr="0098261B">
        <w:t xml:space="preserve"> (Figure 3</w:t>
      </w:r>
      <w:r w:rsidRPr="0098261B">
        <w:t>d). Here, all gravimetric capacities and currents are normalized to the mass of the active material (</w:t>
      </w:r>
      <w:r w:rsidRPr="0098261B">
        <w:rPr>
          <w:b/>
        </w:rPr>
        <w:t>PI</w:t>
      </w:r>
      <w:r w:rsidRPr="0098261B">
        <w:t>), with the exception Figure 2d, wherein the galvanostatic charge/discharge profiles are based on the mass of the whole electrode in the cell.</w:t>
      </w:r>
      <w:bookmarkEnd w:id="0"/>
    </w:p>
    <w:p w14:paraId="2CBDA730" w14:textId="341B434C" w:rsidR="000177E0" w:rsidRDefault="000177E0" w:rsidP="00E04CBD">
      <w:pPr>
        <w:pStyle w:val="P1"/>
        <w:ind w:firstLine="425"/>
      </w:pPr>
      <w:r w:rsidRPr="0098261B">
        <w:t xml:space="preserve">Next, we explored whether the intricate mixture of the </w:t>
      </w:r>
      <w:r w:rsidRPr="0098261B">
        <w:rPr>
          <w:b/>
        </w:rPr>
        <w:t>PIX</w:t>
      </w:r>
      <w:r w:rsidRPr="0098261B">
        <w:t xml:space="preserve"> composites was required to obtain the observed increase in performance. For this, a physical mixture of </w:t>
      </w:r>
      <w:r w:rsidRPr="0098261B">
        <w:rPr>
          <w:b/>
        </w:rPr>
        <w:t>PI</w:t>
      </w:r>
      <w:r w:rsidRPr="0098261B">
        <w:t xml:space="preserve"> with </w:t>
      </w:r>
      <w:proofErr w:type="spellStart"/>
      <w:r w:rsidRPr="0098261B">
        <w:t>rGO</w:t>
      </w:r>
      <w:proofErr w:type="spellEnd"/>
      <w:r w:rsidRPr="0098261B">
        <w:t xml:space="preserve"> (PI/</w:t>
      </w:r>
      <w:proofErr w:type="spellStart"/>
      <w:r w:rsidRPr="0098261B">
        <w:t>rGO</w:t>
      </w:r>
      <w:proofErr w:type="spellEnd"/>
      <w:r w:rsidRPr="0098261B">
        <w:t xml:space="preserve">) was prepared by ball milling a 1:1 mass ratio of </w:t>
      </w:r>
      <w:r w:rsidRPr="0098261B">
        <w:rPr>
          <w:b/>
        </w:rPr>
        <w:t>PI</w:t>
      </w:r>
      <w:r w:rsidRPr="0098261B">
        <w:t xml:space="preserve"> and </w:t>
      </w:r>
      <w:proofErr w:type="spellStart"/>
      <w:r w:rsidRPr="0098261B">
        <w:t>rGO</w:t>
      </w:r>
      <w:proofErr w:type="spellEnd"/>
      <w:r w:rsidRPr="0098261B">
        <w:t xml:space="preserve">. When this mixture was used as </w:t>
      </w:r>
      <w:r w:rsidR="007130C9">
        <w:t xml:space="preserve">an </w:t>
      </w:r>
      <w:r w:rsidRPr="0098261B">
        <w:t xml:space="preserve">active component the resulting cell had a capacity of 86 </w:t>
      </w:r>
      <w:proofErr w:type="spellStart"/>
      <w:r w:rsidRPr="0098261B">
        <w:t>mAh</w:t>
      </w:r>
      <w:proofErr w:type="spellEnd"/>
      <w:r w:rsidRPr="0098261B">
        <w:t xml:space="preserve"> g</w:t>
      </w:r>
      <w:r w:rsidRPr="0098261B">
        <w:rPr>
          <w:vertAlign w:val="superscript"/>
        </w:rPr>
        <w:noBreakHyphen/>
        <w:t>1</w:t>
      </w:r>
      <w:r w:rsidRPr="0098261B">
        <w:t xml:space="preserve"> (Figure S</w:t>
      </w:r>
      <w:r w:rsidR="009C4183" w:rsidRPr="0098261B">
        <w:t>6</w:t>
      </w:r>
      <w:r w:rsidRPr="0098261B">
        <w:t>) at 500 mA g</w:t>
      </w:r>
      <w:r w:rsidRPr="0098261B">
        <w:rPr>
          <w:vertAlign w:val="superscript"/>
        </w:rPr>
        <w:t>-1</w:t>
      </w:r>
      <w:r w:rsidRPr="0098261B">
        <w:t xml:space="preserve">, which is 70% lower than </w:t>
      </w:r>
      <w:r w:rsidRPr="0098261B">
        <w:rPr>
          <w:b/>
        </w:rPr>
        <w:t>PI50</w:t>
      </w:r>
      <w:r w:rsidRPr="0098261B">
        <w:t xml:space="preserve">, which was synthesized by </w:t>
      </w:r>
      <w:r w:rsidRPr="0098261B">
        <w:rPr>
          <w:i/>
        </w:rPr>
        <w:t>in situ</w:t>
      </w:r>
      <w:r w:rsidRPr="0098261B">
        <w:t xml:space="preserve"> polycondensation. The physical mixture also has lower capacity retention of 78% after 200 cycles (Figure S</w:t>
      </w:r>
      <w:r w:rsidR="009C4183" w:rsidRPr="0098261B">
        <w:t>7</w:t>
      </w:r>
      <w:r w:rsidRPr="0098261B">
        <w:t xml:space="preserve">). The additives used in the cells—that is, </w:t>
      </w:r>
      <w:proofErr w:type="spellStart"/>
      <w:r w:rsidRPr="0098261B">
        <w:t>rGO</w:t>
      </w:r>
      <w:proofErr w:type="spellEnd"/>
      <w:r w:rsidRPr="0098261B">
        <w:t xml:space="preserve"> and carbon black—were also tested for their electrochemical performance, to evaluate their respective contributions towards the overall performance of the cells. When tested under the same conditions </w:t>
      </w:r>
      <w:proofErr w:type="spellStart"/>
      <w:r w:rsidRPr="0098261B">
        <w:t>rGO:PVDF</w:t>
      </w:r>
      <w:proofErr w:type="spellEnd"/>
      <w:r w:rsidRPr="0098261B">
        <w:t xml:space="preserve"> (9:1 by mass) and carbon black: PVDF (9:1 by mass) had a specific capacity of 48</w:t>
      </w:r>
      <w:r w:rsidR="001B0D9D">
        <w:t xml:space="preserve"> </w:t>
      </w:r>
      <w:r w:rsidRPr="0098261B">
        <w:t xml:space="preserve">and 1 </w:t>
      </w:r>
      <w:proofErr w:type="spellStart"/>
      <w:r w:rsidRPr="0098261B">
        <w:t>mAh</w:t>
      </w:r>
      <w:proofErr w:type="spellEnd"/>
      <w:r w:rsidRPr="0098261B">
        <w:t> g</w:t>
      </w:r>
      <w:r w:rsidRPr="0098261B">
        <w:rPr>
          <w:vertAlign w:val="superscript"/>
        </w:rPr>
        <w:t>-1</w:t>
      </w:r>
      <w:r w:rsidRPr="0098261B">
        <w:t xml:space="preserve"> (Figure S</w:t>
      </w:r>
      <w:r w:rsidR="009C4183" w:rsidRPr="0098261B">
        <w:t>8-S11</w:t>
      </w:r>
      <w:r w:rsidRPr="0098261B">
        <w:t>) originating primarily from capacitive charging of the electrochemical double layer.</w:t>
      </w:r>
    </w:p>
    <w:p w14:paraId="14F17941" w14:textId="1C9608A9" w:rsidR="000B5582" w:rsidRDefault="000B5582" w:rsidP="00E04CBD">
      <w:pPr>
        <w:pStyle w:val="P1"/>
        <w:ind w:firstLine="425"/>
      </w:pPr>
    </w:p>
    <w:p w14:paraId="42D70EB7" w14:textId="77777777" w:rsidR="000B5582" w:rsidRPr="0098261B" w:rsidRDefault="000B5582" w:rsidP="00E04CBD">
      <w:pPr>
        <w:pStyle w:val="P1"/>
        <w:ind w:firstLine="425"/>
      </w:pPr>
    </w:p>
    <w:p w14:paraId="02C3B156" w14:textId="77777777" w:rsidR="000177E0" w:rsidRPr="0098261B" w:rsidRDefault="000177E0" w:rsidP="008F4C47">
      <w:pPr>
        <w:pStyle w:val="P1"/>
      </w:pPr>
    </w:p>
    <w:p w14:paraId="2876DC01" w14:textId="77777777" w:rsidR="00655510" w:rsidRPr="0098261B" w:rsidRDefault="00655510" w:rsidP="00CB185D">
      <w:pPr>
        <w:pStyle w:val="P1"/>
        <w:spacing w:line="720" w:lineRule="auto"/>
        <w:sectPr w:rsidR="00655510" w:rsidRPr="0098261B" w:rsidSect="004920E9">
          <w:type w:val="continuous"/>
          <w:pgSz w:w="11906" w:h="16838" w:code="9"/>
          <w:pgMar w:top="1673" w:right="936" w:bottom="1134" w:left="936" w:header="709" w:footer="709" w:gutter="0"/>
          <w:cols w:num="2" w:space="284"/>
          <w:docGrid w:linePitch="360"/>
        </w:sectPr>
      </w:pPr>
    </w:p>
    <w:p w14:paraId="013FAC9D" w14:textId="77777777" w:rsidR="00587D54" w:rsidRPr="0098261B" w:rsidRDefault="00587D54" w:rsidP="00CB185D">
      <w:pPr>
        <w:pStyle w:val="P1"/>
        <w:spacing w:line="720" w:lineRule="auto"/>
      </w:pPr>
      <w:r w:rsidRPr="0098261B">
        <w:rPr>
          <w:noProof/>
          <w:lang w:val="en-GB" w:eastAsia="zh-CN"/>
        </w:rPr>
        <w:drawing>
          <wp:inline distT="0" distB="0" distL="0" distR="0" wp14:anchorId="118E2A99" wp14:editId="1604E310">
            <wp:extent cx="6371590" cy="7716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1590" cy="7716520"/>
                    </a:xfrm>
                    <a:prstGeom prst="rect">
                      <a:avLst/>
                    </a:prstGeom>
                  </pic:spPr>
                </pic:pic>
              </a:graphicData>
            </a:graphic>
          </wp:inline>
        </w:drawing>
      </w:r>
    </w:p>
    <w:p w14:paraId="02CDA1AF" w14:textId="097A5739" w:rsidR="00587D54" w:rsidRPr="0098261B" w:rsidRDefault="006B3798" w:rsidP="00587D54">
      <w:pPr>
        <w:jc w:val="both"/>
        <w:rPr>
          <w:rFonts w:ascii="Arial" w:hAnsi="Arial"/>
          <w:sz w:val="14"/>
          <w:szCs w:val="14"/>
          <w:lang w:val="en-GB" w:eastAsia="zh-CN"/>
        </w:rPr>
      </w:pPr>
      <w:r w:rsidRPr="0098261B">
        <w:rPr>
          <w:rFonts w:ascii="Arial" w:hAnsi="Arial"/>
          <w:b/>
          <w:sz w:val="14"/>
          <w:szCs w:val="14"/>
          <w:lang w:val="en-GB" w:eastAsia="zh-CN"/>
        </w:rPr>
        <w:t>Fig</w:t>
      </w:r>
      <w:r w:rsidR="00587D54" w:rsidRPr="0098261B">
        <w:rPr>
          <w:rFonts w:ascii="Arial" w:hAnsi="Arial"/>
          <w:b/>
          <w:sz w:val="14"/>
          <w:szCs w:val="14"/>
          <w:lang w:val="en-GB" w:eastAsia="zh-CN"/>
        </w:rPr>
        <w:t xml:space="preserve">ure 2. </w:t>
      </w:r>
      <w:r w:rsidRPr="0098261B">
        <w:rPr>
          <w:rFonts w:ascii="Arial" w:hAnsi="Arial"/>
          <w:sz w:val="14"/>
          <w:szCs w:val="14"/>
          <w:lang w:val="en-GB" w:eastAsia="zh-CN"/>
        </w:rPr>
        <w:t>Scanning electron microscopy i</w:t>
      </w:r>
      <w:r w:rsidR="00587D54" w:rsidRPr="0098261B">
        <w:rPr>
          <w:rFonts w:ascii="Arial" w:hAnsi="Arial"/>
          <w:sz w:val="14"/>
          <w:szCs w:val="14"/>
          <w:lang w:val="en-GB" w:eastAsia="zh-CN"/>
        </w:rPr>
        <w:t xml:space="preserve">mages of (a, b, c) </w:t>
      </w:r>
      <w:r w:rsidR="00587D54" w:rsidRPr="0098261B">
        <w:rPr>
          <w:rFonts w:ascii="Arial" w:hAnsi="Arial"/>
          <w:b/>
          <w:sz w:val="14"/>
          <w:szCs w:val="14"/>
          <w:lang w:val="en-GB" w:eastAsia="zh-CN"/>
        </w:rPr>
        <w:t>PI</w:t>
      </w:r>
      <w:r w:rsidR="00587D54" w:rsidRPr="0098261B">
        <w:rPr>
          <w:rFonts w:ascii="Arial" w:hAnsi="Arial"/>
          <w:sz w:val="14"/>
          <w:szCs w:val="14"/>
          <w:lang w:val="en-GB" w:eastAsia="zh-CN"/>
        </w:rPr>
        <w:t xml:space="preserve">; (d, e, f) </w:t>
      </w:r>
      <w:r w:rsidR="00587D54" w:rsidRPr="0098261B">
        <w:rPr>
          <w:rFonts w:ascii="Arial" w:hAnsi="Arial"/>
          <w:b/>
          <w:sz w:val="14"/>
          <w:szCs w:val="14"/>
          <w:lang w:val="en-GB" w:eastAsia="zh-CN"/>
        </w:rPr>
        <w:t>PI10</w:t>
      </w:r>
      <w:r w:rsidR="00587D54" w:rsidRPr="0098261B">
        <w:rPr>
          <w:rFonts w:ascii="Arial" w:hAnsi="Arial"/>
          <w:sz w:val="14"/>
          <w:szCs w:val="14"/>
          <w:lang w:val="en-GB" w:eastAsia="zh-CN"/>
        </w:rPr>
        <w:t xml:space="preserve">; (g, h, </w:t>
      </w:r>
      <w:proofErr w:type="spellStart"/>
      <w:r w:rsidR="00587D54" w:rsidRPr="0098261B">
        <w:rPr>
          <w:rFonts w:ascii="Arial" w:hAnsi="Arial"/>
          <w:sz w:val="14"/>
          <w:szCs w:val="14"/>
          <w:lang w:val="en-GB" w:eastAsia="zh-CN"/>
        </w:rPr>
        <w:t>i</w:t>
      </w:r>
      <w:proofErr w:type="spellEnd"/>
      <w:r w:rsidR="00587D54" w:rsidRPr="0098261B">
        <w:rPr>
          <w:rFonts w:ascii="Arial" w:hAnsi="Arial"/>
          <w:sz w:val="14"/>
          <w:szCs w:val="14"/>
          <w:lang w:val="en-GB" w:eastAsia="zh-CN"/>
        </w:rPr>
        <w:t>)</w:t>
      </w:r>
      <w:r w:rsidR="00587D54" w:rsidRPr="0098261B">
        <w:rPr>
          <w:rFonts w:ascii="Arial" w:hAnsi="Arial"/>
          <w:b/>
          <w:sz w:val="14"/>
          <w:szCs w:val="14"/>
          <w:lang w:val="en-GB" w:eastAsia="zh-CN"/>
        </w:rPr>
        <w:t xml:space="preserve"> PI30</w:t>
      </w:r>
      <w:r w:rsidR="00587D54" w:rsidRPr="0098261B">
        <w:rPr>
          <w:rFonts w:ascii="Arial" w:hAnsi="Arial"/>
          <w:sz w:val="14"/>
          <w:szCs w:val="14"/>
          <w:lang w:val="en-GB" w:eastAsia="zh-CN"/>
        </w:rPr>
        <w:t>; (j, k, l)</w:t>
      </w:r>
      <w:r w:rsidR="00587D54" w:rsidRPr="0098261B">
        <w:rPr>
          <w:rFonts w:ascii="Arial" w:hAnsi="Arial"/>
          <w:b/>
          <w:sz w:val="14"/>
          <w:szCs w:val="14"/>
          <w:lang w:val="en-GB" w:eastAsia="zh-CN"/>
        </w:rPr>
        <w:t xml:space="preserve"> PI50</w:t>
      </w:r>
      <w:r w:rsidR="00587D54" w:rsidRPr="0098261B">
        <w:rPr>
          <w:rFonts w:ascii="Arial" w:hAnsi="Arial"/>
          <w:sz w:val="14"/>
          <w:szCs w:val="14"/>
          <w:lang w:val="en-GB" w:eastAsia="zh-CN"/>
        </w:rPr>
        <w:t xml:space="preserve"> and (m, n, o) </w:t>
      </w:r>
      <w:proofErr w:type="spellStart"/>
      <w:r w:rsidR="00587D54" w:rsidRPr="0098261B">
        <w:rPr>
          <w:rFonts w:ascii="Arial" w:hAnsi="Arial"/>
          <w:sz w:val="14"/>
          <w:szCs w:val="14"/>
          <w:lang w:val="en-GB" w:eastAsia="zh-CN"/>
        </w:rPr>
        <w:t>rGO</w:t>
      </w:r>
      <w:proofErr w:type="spellEnd"/>
      <w:r w:rsidR="00587D54" w:rsidRPr="0098261B">
        <w:rPr>
          <w:rFonts w:ascii="Arial" w:hAnsi="Arial"/>
          <w:sz w:val="14"/>
          <w:szCs w:val="14"/>
          <w:lang w:val="en-GB" w:eastAsia="zh-CN"/>
        </w:rPr>
        <w:t xml:space="preserve"> (scale bar: 1</w:t>
      </w:r>
      <w:r w:rsidR="00BE2F38">
        <w:rPr>
          <w:rFonts w:ascii="Arial" w:hAnsi="Arial"/>
          <w:sz w:val="14"/>
          <w:szCs w:val="14"/>
          <w:lang w:val="en-GB" w:eastAsia="zh-CN"/>
        </w:rPr>
        <w:t> </w:t>
      </w:r>
      <w:r w:rsidR="00587D54" w:rsidRPr="0098261B">
        <w:rPr>
          <w:rFonts w:ascii="Arial" w:hAnsi="Arial"/>
          <w:sz w:val="14"/>
          <w:szCs w:val="14"/>
          <w:lang w:val="en-GB" w:eastAsia="zh-CN"/>
        </w:rPr>
        <w:t>µm).</w:t>
      </w:r>
    </w:p>
    <w:p w14:paraId="25C07538" w14:textId="77777777" w:rsidR="00587D54" w:rsidRPr="0098261B" w:rsidRDefault="00587D54" w:rsidP="00CB185D">
      <w:pPr>
        <w:pStyle w:val="P1"/>
        <w:spacing w:line="720" w:lineRule="auto"/>
        <w:rPr>
          <w:lang w:val="de-DE"/>
        </w:rPr>
      </w:pPr>
    </w:p>
    <w:p w14:paraId="635D9E9F" w14:textId="3A15F170" w:rsidR="008F4C47" w:rsidRPr="0098261B" w:rsidRDefault="00CB4D90" w:rsidP="00CB185D">
      <w:pPr>
        <w:pStyle w:val="P1"/>
        <w:spacing w:line="720" w:lineRule="auto"/>
      </w:pPr>
      <w:r w:rsidRPr="0098261B">
        <w:rPr>
          <w:noProof/>
          <w:lang w:val="en-GB" w:eastAsia="zh-CN"/>
        </w:rPr>
        <w:lastRenderedPageBreak/>
        <w:drawing>
          <wp:inline distT="0" distB="0" distL="0" distR="0" wp14:anchorId="76DC22C9" wp14:editId="2AE5BAE7">
            <wp:extent cx="6371590" cy="4820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nnnnnnn.tif"/>
                    <pic:cNvPicPr/>
                  </pic:nvPicPr>
                  <pic:blipFill>
                    <a:blip r:embed="rId16">
                      <a:extLst>
                        <a:ext uri="{28A0092B-C50C-407E-A947-70E740481C1C}">
                          <a14:useLocalDpi xmlns:a14="http://schemas.microsoft.com/office/drawing/2010/main" val="0"/>
                        </a:ext>
                      </a:extLst>
                    </a:blip>
                    <a:stretch>
                      <a:fillRect/>
                    </a:stretch>
                  </pic:blipFill>
                  <pic:spPr>
                    <a:xfrm>
                      <a:off x="0" y="0"/>
                      <a:ext cx="6371590" cy="4820285"/>
                    </a:xfrm>
                    <a:prstGeom prst="rect">
                      <a:avLst/>
                    </a:prstGeom>
                  </pic:spPr>
                </pic:pic>
              </a:graphicData>
            </a:graphic>
          </wp:inline>
        </w:drawing>
      </w:r>
    </w:p>
    <w:p w14:paraId="199B30F0" w14:textId="3399F0B5" w:rsidR="00655510" w:rsidRPr="0098261B" w:rsidRDefault="00587D54" w:rsidP="00655510">
      <w:pPr>
        <w:pStyle w:val="FigureCaption"/>
        <w:rPr>
          <w:lang w:eastAsia="zh-CN"/>
        </w:rPr>
      </w:pPr>
      <w:r w:rsidRPr="0098261B">
        <w:rPr>
          <w:b/>
          <w:lang w:eastAsia="zh-CN"/>
        </w:rPr>
        <w:t>Figure 3</w:t>
      </w:r>
      <w:r w:rsidR="00655510" w:rsidRPr="0098261B">
        <w:rPr>
          <w:b/>
          <w:lang w:eastAsia="zh-CN"/>
        </w:rPr>
        <w:t>.</w:t>
      </w:r>
      <w:r w:rsidR="00655510" w:rsidRPr="0098261B">
        <w:rPr>
          <w:lang w:eastAsia="zh-CN"/>
        </w:rPr>
        <w:t xml:space="preserve"> a) Cyclic voltammetry profiles at a scan rate of 0.1 mV s</w:t>
      </w:r>
      <w:r w:rsidR="00655510" w:rsidRPr="0098261B">
        <w:rPr>
          <w:vertAlign w:val="superscript"/>
          <w:lang w:eastAsia="zh-CN"/>
        </w:rPr>
        <w:t>-1</w:t>
      </w:r>
      <w:r w:rsidR="00655510" w:rsidRPr="0098261B">
        <w:rPr>
          <w:lang w:eastAsia="zh-CN"/>
        </w:rPr>
        <w:t>; b) Charge-discharge profiles at 500 mA g</w:t>
      </w:r>
      <w:r w:rsidR="00655510" w:rsidRPr="0098261B">
        <w:rPr>
          <w:vertAlign w:val="superscript"/>
          <w:lang w:eastAsia="zh-CN"/>
        </w:rPr>
        <w:t>-1</w:t>
      </w:r>
      <w:r w:rsidR="00655510" w:rsidRPr="0098261B">
        <w:rPr>
          <w:lang w:eastAsia="zh-CN"/>
        </w:rPr>
        <w:t>; c) Cycling performances over 200 cycles at 500</w:t>
      </w:r>
      <w:r w:rsidR="00BE2F38">
        <w:rPr>
          <w:lang w:eastAsia="zh-CN"/>
        </w:rPr>
        <w:t> </w:t>
      </w:r>
      <w:r w:rsidR="00655510" w:rsidRPr="0098261B">
        <w:rPr>
          <w:lang w:eastAsia="zh-CN"/>
        </w:rPr>
        <w:t>mA</w:t>
      </w:r>
      <w:r w:rsidR="00BE2F38">
        <w:rPr>
          <w:lang w:eastAsia="zh-CN"/>
        </w:rPr>
        <w:t> </w:t>
      </w:r>
      <w:r w:rsidR="00655510" w:rsidRPr="0098261B">
        <w:rPr>
          <w:lang w:eastAsia="zh-CN"/>
        </w:rPr>
        <w:t>g</w:t>
      </w:r>
      <w:r w:rsidR="00655510" w:rsidRPr="0098261B">
        <w:rPr>
          <w:vertAlign w:val="superscript"/>
          <w:lang w:eastAsia="zh-CN"/>
        </w:rPr>
        <w:t>-1</w:t>
      </w:r>
      <w:r w:rsidR="00655510" w:rsidRPr="0098261B">
        <w:rPr>
          <w:lang w:eastAsia="zh-CN"/>
        </w:rPr>
        <w:t xml:space="preserve">; d) Charge-discharge profiles (based on active polymer, </w:t>
      </w:r>
      <w:proofErr w:type="spellStart"/>
      <w:r w:rsidR="00655510" w:rsidRPr="0098261B">
        <w:rPr>
          <w:lang w:eastAsia="zh-CN"/>
        </w:rPr>
        <w:t>rGO</w:t>
      </w:r>
      <w:proofErr w:type="spellEnd"/>
      <w:r w:rsidR="00655510" w:rsidRPr="0098261B">
        <w:rPr>
          <w:lang w:eastAsia="zh-CN"/>
        </w:rPr>
        <w:t>, and carbon black (CB)) at 500 mA g</w:t>
      </w:r>
      <w:r w:rsidR="00655510" w:rsidRPr="0098261B">
        <w:rPr>
          <w:vertAlign w:val="superscript"/>
          <w:lang w:eastAsia="zh-CN"/>
        </w:rPr>
        <w:t>-1</w:t>
      </w:r>
      <w:r w:rsidR="00655510" w:rsidRPr="0098261B">
        <w:rPr>
          <w:lang w:eastAsia="zh-CN"/>
        </w:rPr>
        <w:t xml:space="preserve"> for </w:t>
      </w:r>
      <w:r w:rsidR="00655510" w:rsidRPr="0098261B">
        <w:rPr>
          <w:b/>
          <w:lang w:eastAsia="zh-CN"/>
        </w:rPr>
        <w:t>PI</w:t>
      </w:r>
      <w:r w:rsidR="00655510" w:rsidRPr="0098261B">
        <w:rPr>
          <w:lang w:eastAsia="zh-CN"/>
        </w:rPr>
        <w:t xml:space="preserve">, </w:t>
      </w:r>
      <w:r w:rsidR="00655510" w:rsidRPr="0098261B">
        <w:rPr>
          <w:b/>
          <w:bCs/>
          <w:lang w:eastAsia="zh-CN"/>
        </w:rPr>
        <w:t>PI10</w:t>
      </w:r>
      <w:r w:rsidR="00655510" w:rsidRPr="0098261B">
        <w:rPr>
          <w:lang w:eastAsia="zh-CN"/>
        </w:rPr>
        <w:t xml:space="preserve">, </w:t>
      </w:r>
      <w:r w:rsidR="00655510" w:rsidRPr="0098261B">
        <w:rPr>
          <w:b/>
          <w:bCs/>
          <w:lang w:eastAsia="zh-CN"/>
        </w:rPr>
        <w:t>PI30</w:t>
      </w:r>
      <w:r w:rsidR="00655510" w:rsidRPr="0098261B">
        <w:rPr>
          <w:lang w:eastAsia="zh-CN"/>
        </w:rPr>
        <w:t xml:space="preserve">, and </w:t>
      </w:r>
      <w:r w:rsidR="00655510" w:rsidRPr="0098261B">
        <w:rPr>
          <w:b/>
          <w:bCs/>
          <w:lang w:eastAsia="zh-CN"/>
        </w:rPr>
        <w:t>PI50</w:t>
      </w:r>
      <w:r w:rsidR="00655510" w:rsidRPr="0098261B">
        <w:rPr>
          <w:lang w:eastAsia="zh-CN"/>
        </w:rPr>
        <w:t>.</w:t>
      </w:r>
    </w:p>
    <w:p w14:paraId="71B12A05" w14:textId="77777777" w:rsidR="00655510" w:rsidRPr="0098261B" w:rsidRDefault="00655510" w:rsidP="00655510">
      <w:pPr>
        <w:pStyle w:val="FigureCaption"/>
        <w:rPr>
          <w:lang w:eastAsia="zh-CN"/>
        </w:rPr>
        <w:sectPr w:rsidR="00655510" w:rsidRPr="0098261B" w:rsidSect="00655510">
          <w:type w:val="continuous"/>
          <w:pgSz w:w="11906" w:h="16838" w:code="9"/>
          <w:pgMar w:top="1673" w:right="936" w:bottom="1134" w:left="936" w:header="709" w:footer="709" w:gutter="0"/>
          <w:cols w:space="284"/>
          <w:docGrid w:linePitch="360"/>
        </w:sectPr>
      </w:pPr>
    </w:p>
    <w:p w14:paraId="34A602EB" w14:textId="5205533D" w:rsidR="00655510" w:rsidRPr="0098261B" w:rsidRDefault="00655510" w:rsidP="009C4183">
      <w:pPr>
        <w:pStyle w:val="P1"/>
        <w:ind w:firstLine="425"/>
      </w:pPr>
      <w:r w:rsidRPr="0098261B">
        <w:rPr>
          <w:lang w:val="en-GB"/>
        </w:rPr>
        <w:t xml:space="preserve">Cycle life is another important </w:t>
      </w:r>
      <w:r w:rsidRPr="0098261B">
        <w:rPr>
          <w:rFonts w:eastAsiaTheme="minorEastAsia"/>
          <w:lang w:val="en-GB" w:eastAsia="zh-CN"/>
        </w:rPr>
        <w:t>factor for the performance of a battery cell</w:t>
      </w:r>
      <w:r w:rsidRPr="0098261B">
        <w:t xml:space="preserve">, in addition to the </w:t>
      </w:r>
      <w:r w:rsidRPr="0098261B">
        <w:rPr>
          <w:lang w:val="en-GB"/>
        </w:rPr>
        <w:t>specific capacity of the material</w:t>
      </w:r>
      <w:r w:rsidRPr="0098261B">
        <w:rPr>
          <w:rFonts w:eastAsiaTheme="minorEastAsia"/>
          <w:lang w:val="en-GB" w:eastAsia="zh-CN"/>
        </w:rPr>
        <w:t>. T</w:t>
      </w:r>
      <w:r w:rsidRPr="0098261B">
        <w:t xml:space="preserve">he long-term cycling performance of </w:t>
      </w:r>
      <w:r w:rsidRPr="0098261B">
        <w:rPr>
          <w:b/>
          <w:bCs/>
        </w:rPr>
        <w:t>PI50</w:t>
      </w:r>
      <w:r w:rsidRPr="0098261B">
        <w:t xml:space="preserve"> was studied at 2000 mA g</w:t>
      </w:r>
      <w:r w:rsidRPr="0098261B">
        <w:rPr>
          <w:vertAlign w:val="superscript"/>
        </w:rPr>
        <w:t>-1</w:t>
      </w:r>
      <w:r w:rsidR="009C4183" w:rsidRPr="0098261B">
        <w:t xml:space="preserve"> (Figure 4</w:t>
      </w:r>
      <w:r w:rsidRPr="0098261B">
        <w:t>a). A capacity of over 1</w:t>
      </w:r>
      <w:r w:rsidRPr="0098261B">
        <w:rPr>
          <w:rFonts w:hint="eastAsia"/>
        </w:rPr>
        <w:t>25</w:t>
      </w:r>
      <w:r w:rsidRPr="0098261B">
        <w:t xml:space="preserve"> </w:t>
      </w:r>
      <w:proofErr w:type="spellStart"/>
      <w:r w:rsidRPr="0098261B">
        <w:t>mAh</w:t>
      </w:r>
      <w:proofErr w:type="spellEnd"/>
      <w:r w:rsidRPr="0098261B">
        <w:t xml:space="preserve"> g</w:t>
      </w:r>
      <w:r w:rsidRPr="0098261B">
        <w:rPr>
          <w:vertAlign w:val="superscript"/>
        </w:rPr>
        <w:t>-1</w:t>
      </w:r>
      <w:r w:rsidRPr="0098261B">
        <w:t xml:space="preserve"> was observed for </w:t>
      </w:r>
      <w:r w:rsidRPr="0098261B">
        <w:rPr>
          <w:b/>
          <w:bCs/>
        </w:rPr>
        <w:t>PI50</w:t>
      </w:r>
      <w:r w:rsidRPr="0098261B">
        <w:t xml:space="preserve"> during this measurement, and minor capacity loss was observed for a </w:t>
      </w:r>
      <w:r w:rsidRPr="0098261B">
        <w:rPr>
          <w:b/>
          <w:bCs/>
        </w:rPr>
        <w:t>PI50</w:t>
      </w:r>
      <w:r w:rsidRPr="0098261B">
        <w:t xml:space="preserve"> during </w:t>
      </w:r>
      <w:r w:rsidRPr="0098261B">
        <w:rPr>
          <w:rFonts w:hint="eastAsia"/>
        </w:rPr>
        <w:t>9000</w:t>
      </w:r>
      <w:r w:rsidRPr="0098261B">
        <w:t xml:space="preserve"> charge-discharge cycles (capacity loss of </w:t>
      </w:r>
      <w:r w:rsidRPr="0098261B">
        <w:rPr>
          <w:i/>
          <w:iCs/>
        </w:rPr>
        <w:t>ca.</w:t>
      </w:r>
      <w:r w:rsidRPr="0098261B">
        <w:t xml:space="preserve"> </w:t>
      </w:r>
      <w:r w:rsidRPr="0098261B">
        <w:rPr>
          <w:rFonts w:hint="eastAsia"/>
        </w:rPr>
        <w:t>0.</w:t>
      </w:r>
      <w:r w:rsidRPr="0098261B">
        <w:t>00</w:t>
      </w:r>
      <w:r w:rsidRPr="0098261B">
        <w:rPr>
          <w:rFonts w:hint="eastAsia"/>
        </w:rPr>
        <w:t>27</w:t>
      </w:r>
      <w:r w:rsidRPr="0098261B">
        <w:t xml:space="preserve">% per cycle, 80% retention of the highest recorded capacity), demonstrating stable active site utilization and excellent rate performance. The Coulombic efficiency for </w:t>
      </w:r>
      <w:r w:rsidRPr="0098261B">
        <w:rPr>
          <w:b/>
          <w:bCs/>
        </w:rPr>
        <w:t>PI50</w:t>
      </w:r>
      <w:r w:rsidRPr="0098261B">
        <w:t xml:space="preserve"> was also maintained at close to 100%, at a current density of 2000 mA g</w:t>
      </w:r>
      <w:r w:rsidRPr="0098261B">
        <w:rPr>
          <w:vertAlign w:val="superscript"/>
        </w:rPr>
        <w:t>-1</w:t>
      </w:r>
      <w:r w:rsidRPr="0098261B">
        <w:t xml:space="preserve"> (about 13.8 C). The cycling performance of </w:t>
      </w:r>
      <w:r w:rsidRPr="0098261B">
        <w:rPr>
          <w:b/>
          <w:bCs/>
        </w:rPr>
        <w:t>PI50</w:t>
      </w:r>
      <w:r w:rsidRPr="0098261B">
        <w:t xml:space="preserve"> outperforms a series of organic hybrids materials, prepared using graphene, </w:t>
      </w:r>
      <w:proofErr w:type="spellStart"/>
      <w:r w:rsidRPr="0098261B">
        <w:t>rGO</w:t>
      </w:r>
      <w:proofErr w:type="spellEnd"/>
      <w:r w:rsidRPr="0098261B">
        <w:t xml:space="preserve">, and carbon nanotubes (Figure </w:t>
      </w:r>
      <w:r w:rsidR="009C4183" w:rsidRPr="0098261B">
        <w:t>4</w:t>
      </w:r>
      <w:r w:rsidRPr="0098261B">
        <w:t>b and Table S</w:t>
      </w:r>
      <w:r w:rsidR="008F6BFF" w:rsidRPr="0098261B">
        <w:t>3</w:t>
      </w:r>
      <w:r w:rsidRPr="0098261B">
        <w:t>). For example, PI-ECOF-1/rGO50 was reported to have a 76% capacity retention after 300 charge-discharge cycles under 1 C,</w:t>
      </w:r>
      <w:r w:rsidR="00F43D59" w:rsidRPr="0098261B">
        <w:rPr>
          <w:vertAlign w:val="superscript"/>
        </w:rPr>
        <w:t>[</w:t>
      </w:r>
      <w:r w:rsidRPr="0098261B">
        <w:fldChar w:fldCharType="begin" w:fldLock="1"/>
      </w:r>
      <w:r w:rsidRPr="0098261B">
        <w:instrText>ADDIN CSL_CITATION {"citationItems":[{"id":"ITEM-1","itemData":{"DOI":"10.1039/c9nr00088g","ISSN":"20403372","abstract":"Few layer COFs was incorporated with rGO to provide composite cathode materials with improved energy storage capability. Covalent organic frameworks (COFs) have attracted increasing interest for their use as electrode materials for lithium-ion batteries (LIBs) by virtue of their microporous crystalline structures and robust networks. However, the tightly stacked bulk COFs and their intrinsic low conductivity inevitably result in an inefficient utilization of redox-active sites so as to lower the electrochemical performance. Herein, we proposed a general strategy to improve the energy storage capability of polyimide (PI)-COF based cathode materials, which included the decrease of their stacked layer numbers to a few layers via a mechanical milling method for the efficient utilization of redox-active sites and the incorporation of few-layer COF sheets with chemically reduced graphene oxide (rGO) to increase the charge transfer. The excellent electrochemical performance of the composite few-layer PI-COFs with rGO cathodes indicated that reducing the layer number of COFs and incorporating rGO may pave the way for the successful development of COF-based organic electrodes for LIBs.","author":[{"dropping-particle":"","family":"Wang","given":"Zhaolei","non-dropping-particle":"","parse-names":false,"suffix":""},{"dropping-particle":"","family":"Li","given":"Yongjun","non-dropping-particle":"","parse-names":false,"suffix":""},{"dropping-particle":"","family":"Liu","given":"Pengju","non-dropping-particle":"","parse-names":false,"suffix":""},{"dropping-particle":"","family":"Qi","given":"Qiaoyan","non-dropping-particle":"","parse-names":false,"suffix":""},{"dropping-particle":"","family":"Zhang","given":"Fang","non-dropping-particle":"","parse-names":false,"suffix":""},{"dropping-particle":"","family":"Lu","given":"Guolin","non-dropping-particle":"","parse-names":false,"suffix":""},{"dropping-particle":"","family":"Zhao","given":"Xin","non-dropping-particle":"","parse-names":false,"suffix":""},{"dropping-particle":"","family":"Huang","given":"Xiaoyu","non-dropping-particle":"","parse-names":false,"suffix":""}],"container-title":"Nanoscale","id":"ITEM-1","issue":"12","issued":{"date-parts":[["2019"]]},"page":"5330-5335","title":"Few layer covalent organic frameworks with graphene sheets as cathode materials for lithium-ion batteries","type":"article-journal","volume":"11"},"uris":["http://www.mendeley.com/documents/?uuid=0bbf28d0-7fc9-3675-ac5b-68337abe0293"]}],"mendeley":{"formattedCitation":"&lt;sup&gt;26&lt;/sup&gt;","plainTextFormattedCitation":"26","previouslyFormattedCitation":"&lt;sup&gt;26&lt;/sup&gt;"},"properties":{"noteIndex":0},"schema":"https://github.com/citation-style-language/schema/raw/master/csl-citation.json"}</w:instrText>
      </w:r>
      <w:r w:rsidRPr="0098261B">
        <w:fldChar w:fldCharType="separate"/>
      </w:r>
      <w:r w:rsidRPr="0098261B">
        <w:rPr>
          <w:noProof/>
          <w:vertAlign w:val="superscript"/>
        </w:rPr>
        <w:t>26</w:t>
      </w:r>
      <w:r w:rsidRPr="0098261B">
        <w:fldChar w:fldCharType="end"/>
      </w:r>
      <w:r w:rsidR="00F43D59" w:rsidRPr="0098261B">
        <w:rPr>
          <w:vertAlign w:val="superscript"/>
        </w:rPr>
        <w:t>]</w:t>
      </w:r>
      <w:r w:rsidRPr="0098261B">
        <w:t xml:space="preserve"> PIDN-G exhibited 88% of the initial capacity after 300 charge-discharge cycles under 5 C,</w:t>
      </w:r>
      <w:r w:rsidR="00F43D59" w:rsidRPr="0098261B">
        <w:rPr>
          <w:vertAlign w:val="superscript"/>
        </w:rPr>
        <w:t>[</w:t>
      </w:r>
      <w:r w:rsidRPr="0098261B">
        <w:fldChar w:fldCharType="begin" w:fldLock="1"/>
      </w:r>
      <w:r w:rsidRPr="0098261B">
        <w:instrText>ADDIN CSL_CITATION {"citationItems":[{"id":"ITEM-1","itemData":{"DOI":"10.1002/anie.201805540","ISSN":"14337851","author":[{"dropping-particle":"","family":"Luo","given":"Zhiqiang","non-dropping-particle":"","parse-names":false,"suffix":""},{"dropping-particle":"","family":"Liu","given":"Luojia","non-dropping-particle":"","parse-names":false,"suffix":""},{"dropping-particle":"","family":"Ning","given":"Jiaxin","non-dropping-particle":"","parse-names":false,"suffix":""},{"dropping-particle":"","family":"Lei","given":"Kaixiang","non-dropping-particle":"","parse-names":false,"suffix":""},{"dropping-particle":"","family":"Lu","given":"Yong","non-dropping-particle":"","parse-names":false,"suffix":""},{"dropping-particle":"","family":"Li","given":"Fujun","non-dropping-particle":"","parse-names":false,"suffix":""},{"dropping-particle":"","family":"Chen","given":"Jun","non-dropping-particle":"","parse-names":false,"suffix":""}],"container-title":"Angewandte Chemie International Edition","id":"ITEM-1","issue":"30","issued":{"date-parts":[["2018","7","20"]]},"page":"9443-9446","publisher":"John Wiley &amp; Sons, Ltd","title":"A Microporous Covalent-Organic Framework with Abundant Accessible Carbonyl Groups for Lithium-Ion Batteries","type":"article-journal","volume":"57"},"uris":["http://www.mendeley.com/documents/?uuid=25ad227c-245c-3f93-b60b-1894e5762806"]}],"mendeley":{"formattedCitation":"&lt;sup&gt;14&lt;/sup&gt;","plainTextFormattedCitation":"14","previouslyFormattedCitation":"&lt;sup&gt;14&lt;/sup&gt;"},"properties":{"noteIndex":0},"schema":"https://github.com/citation-style-language/schema/raw/master/csl-citation.json"}</w:instrText>
      </w:r>
      <w:r w:rsidRPr="0098261B">
        <w:fldChar w:fldCharType="separate"/>
      </w:r>
      <w:r w:rsidRPr="0098261B">
        <w:rPr>
          <w:noProof/>
          <w:vertAlign w:val="superscript"/>
        </w:rPr>
        <w:t>14</w:t>
      </w:r>
      <w:r w:rsidRPr="0098261B">
        <w:fldChar w:fldCharType="end"/>
      </w:r>
      <w:r w:rsidR="00F43D59" w:rsidRPr="0098261B">
        <w:rPr>
          <w:vertAlign w:val="superscript"/>
        </w:rPr>
        <w:t>]</w:t>
      </w:r>
      <w:r w:rsidRPr="0098261B">
        <w:t xml:space="preserve"> and 2D-PAI@CNT showing the highest cycling performance reported (at </w:t>
      </w:r>
      <w:r w:rsidRPr="0098261B">
        <w:t>100% retention after 8000 charge-discharge cycles at 20 C).</w:t>
      </w:r>
      <w:r w:rsidR="00F43D59" w:rsidRPr="0098261B">
        <w:rPr>
          <w:vertAlign w:val="superscript"/>
        </w:rPr>
        <w:t>[</w:t>
      </w:r>
      <w:r w:rsidRPr="0098261B">
        <w:fldChar w:fldCharType="begin" w:fldLock="1"/>
      </w:r>
      <w:r w:rsidRPr="0098261B">
        <w:instrText>ADDIN CSL_CITATION {"citationItems":[{"id":"ITEM-1","itemData":{"DOI":"10.1002/adma.201901478","ISSN":"0935-9648","author":[{"dropping-particle":"","family":"Wang","given":"Gang","non-dropping-particle":"","parse-names":false,"suffix":""},{"dropping-particle":"","family":"Chandrasekhar","given":"Naisa","non-dropping-particle":"","parse-names":false,"suffix":""},{"dropping-particle":"","family":"Biswal","given":"Bishnu P.","non-dropping-particle":"","parse-names":false,"suffix":""},{"dropping-particle":"","family":"Becker","given":"Daniel","non-dropping-particle":"","parse-names":false,"suffix":""},{"dropping-particle":"","family":"Paasch","given":"Silvia","non-dropping-particle":"","parse-names":false,"suffix":""},{"dropping-particle":"","family":"Brunner","given":"Eike","non-dropping-particle":"","parse-names":false,"suffix":""},{"dropping-particle":"","family":"Addicoat","given":"Matthew","non-dropping-particle":"","parse-names":false,"suffix":""},{"dropping-particle":"","family":"Yu","given":"Minghao","non-dropping-particle":"","parse-names":false,"suffix":""},{"dropping-particle":"","family":"Berger","given":"Reinhard","non-dropping-particle":"","parse-names":false,"suffix":""},{"dropping-particle":"","family":"Feng","given":"Xinliang","non-dropping-particle":"","parse-names":false,"suffix":""}],"container-title":"Advanced Materials","id":"ITEM-1","issued":{"date-parts":[["2019","5","17"]]},"page":"1901478","publisher":"John Wiley &amp; Sons, Ltd","title":"A Crystalline, 2D Polyarylimide Cathode for Ultrastable and Ultrafast Li Storage","type":"article-journal"},"uris":["http://www.mendeley.com/documents/?uuid=8ca8761a-655c-3e8a-b5f4-770e70afa312"]}],"mendeley":{"formattedCitation":"&lt;sup&gt;31&lt;/sup&gt;","plainTextFormattedCitation":"31","previouslyFormattedCitation":"&lt;sup&gt;31&lt;/sup&gt;"},"properties":{"noteIndex":0},"schema":"https://github.com/citation-style-language/schema/raw/master/csl-citation.json"}</w:instrText>
      </w:r>
      <w:r w:rsidRPr="0098261B">
        <w:fldChar w:fldCharType="separate"/>
      </w:r>
      <w:r w:rsidRPr="0098261B">
        <w:rPr>
          <w:noProof/>
          <w:vertAlign w:val="superscript"/>
        </w:rPr>
        <w:t>31</w:t>
      </w:r>
      <w:r w:rsidRPr="0098261B">
        <w:fldChar w:fldCharType="end"/>
      </w:r>
      <w:r w:rsidR="00F43D59" w:rsidRPr="0098261B">
        <w:rPr>
          <w:vertAlign w:val="superscript"/>
        </w:rPr>
        <w:t>]</w:t>
      </w:r>
      <w:r w:rsidRPr="0098261B">
        <w:t xml:space="preserve"> In this context, it is important to note that long term testing is required to make fair conclusions regarding materials performances, which is unfortunately often not reported.</w:t>
      </w:r>
    </w:p>
    <w:p w14:paraId="5FCACA02" w14:textId="77777777" w:rsidR="00655510" w:rsidRPr="0098261B" w:rsidRDefault="00E04CBD" w:rsidP="00E04CBD">
      <w:pPr>
        <w:pStyle w:val="P1"/>
        <w:ind w:firstLine="425"/>
      </w:pPr>
      <w:r w:rsidRPr="0098261B">
        <w:rPr>
          <w:color w:val="000000"/>
        </w:rPr>
        <w:t>T</w:t>
      </w:r>
      <w:r w:rsidR="00655510" w:rsidRPr="0098261B">
        <w:t xml:space="preserve">o gain insight into the potential structural/chemical changes of </w:t>
      </w:r>
      <w:r w:rsidR="00655510" w:rsidRPr="0098261B">
        <w:rPr>
          <w:b/>
          <w:bCs/>
        </w:rPr>
        <w:t>PI50</w:t>
      </w:r>
      <w:r w:rsidR="00655510" w:rsidRPr="0098261B">
        <w:t xml:space="preserve"> after the long-term cycling test, FT-IR spectra were measured for the as-made material and for electrode material that was recovered from a cell that underwent 500 charge-discharge cycles at 500 mA g</w:t>
      </w:r>
      <w:r w:rsidR="00655510" w:rsidRPr="0098261B">
        <w:rPr>
          <w:vertAlign w:val="superscript"/>
        </w:rPr>
        <w:t>-1</w:t>
      </w:r>
      <w:r w:rsidR="00655510" w:rsidRPr="0098261B">
        <w:t xml:space="preserve">. For the cycled material, the coin cell was disassembled inside a glovebox and the electrode was washed with DOL before being dried under reduced pressure at room temperature. The FT-IR measurements were then performed under a nitrogen atmosphere. The FT-IR spectra of the </w:t>
      </w:r>
      <w:r w:rsidR="00655510" w:rsidRPr="0098261B">
        <w:rPr>
          <w:b/>
          <w:bCs/>
        </w:rPr>
        <w:t>PI50</w:t>
      </w:r>
      <w:r w:rsidR="00655510" w:rsidRPr="0098261B">
        <w:t xml:space="preserve"> electrodes before and after 500 cycles showed that the characteristic carbonyl (1772 and 1718 cm</w:t>
      </w:r>
      <w:r w:rsidR="00655510" w:rsidRPr="0098261B">
        <w:rPr>
          <w:vertAlign w:val="superscript"/>
        </w:rPr>
        <w:t>-1</w:t>
      </w:r>
      <w:r w:rsidR="00655510" w:rsidRPr="0098261B">
        <w:t>) and C-N-C (1356 cm</w:t>
      </w:r>
      <w:r w:rsidR="00655510" w:rsidRPr="0098261B">
        <w:rPr>
          <w:vertAlign w:val="superscript"/>
        </w:rPr>
        <w:t>-1</w:t>
      </w:r>
      <w:r w:rsidR="00655510" w:rsidRPr="0098261B">
        <w:t>) bands were retaine</w:t>
      </w:r>
      <w:r w:rsidR="004E4E19" w:rsidRPr="0098261B">
        <w:t>d after cycling (Figure S12</w:t>
      </w:r>
      <w:r w:rsidR="00655510" w:rsidRPr="0098261B">
        <w:t xml:space="preserve">). SEM images taken after the cycling experiment showed no obvious changes to the morphology of </w:t>
      </w:r>
      <w:r w:rsidR="00655510" w:rsidRPr="0098261B">
        <w:rPr>
          <w:b/>
          <w:bCs/>
        </w:rPr>
        <w:t>PI50</w:t>
      </w:r>
      <w:r w:rsidR="00655510" w:rsidRPr="0098261B">
        <w:t xml:space="preserve"> after 500 cycles (Figure S1</w:t>
      </w:r>
      <w:r w:rsidR="004E4E19" w:rsidRPr="0098261B">
        <w:t>3</w:t>
      </w:r>
      <w:r w:rsidR="00655510" w:rsidRPr="0098261B">
        <w:t xml:space="preserve">). </w:t>
      </w:r>
    </w:p>
    <w:p w14:paraId="0AF85A06" w14:textId="77777777" w:rsidR="00655510" w:rsidRPr="0098261B" w:rsidRDefault="00655510" w:rsidP="00655510">
      <w:pPr>
        <w:pStyle w:val="P1"/>
        <w:sectPr w:rsidR="00655510" w:rsidRPr="0098261B" w:rsidSect="00655510">
          <w:type w:val="continuous"/>
          <w:pgSz w:w="11906" w:h="16838" w:code="9"/>
          <w:pgMar w:top="1673" w:right="936" w:bottom="1134" w:left="936" w:header="709" w:footer="709" w:gutter="0"/>
          <w:cols w:num="2" w:space="284"/>
          <w:docGrid w:linePitch="360"/>
        </w:sectPr>
      </w:pPr>
    </w:p>
    <w:p w14:paraId="74A26069" w14:textId="77777777" w:rsidR="00655510" w:rsidRPr="0098261B" w:rsidRDefault="00655510" w:rsidP="00655510">
      <w:pPr>
        <w:pStyle w:val="P1"/>
        <w:spacing w:line="720" w:lineRule="auto"/>
      </w:pPr>
      <w:r w:rsidRPr="0098261B">
        <w:rPr>
          <w:noProof/>
          <w:lang w:val="en-GB" w:eastAsia="zh-CN"/>
        </w:rPr>
        <w:lastRenderedPageBreak/>
        <w:drawing>
          <wp:inline distT="0" distB="0" distL="0" distR="0" wp14:anchorId="6F0662E4" wp14:editId="630CB6F1">
            <wp:extent cx="6371590" cy="5076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1590" cy="5076190"/>
                    </a:xfrm>
                    <a:prstGeom prst="rect">
                      <a:avLst/>
                    </a:prstGeom>
                  </pic:spPr>
                </pic:pic>
              </a:graphicData>
            </a:graphic>
          </wp:inline>
        </w:drawing>
      </w:r>
    </w:p>
    <w:p w14:paraId="145990E0" w14:textId="77777777" w:rsidR="00655510" w:rsidRPr="0098261B" w:rsidRDefault="00655510" w:rsidP="00655510">
      <w:pPr>
        <w:pStyle w:val="FigureCaption"/>
      </w:pPr>
      <w:r w:rsidRPr="0098261B">
        <w:rPr>
          <w:b/>
        </w:rPr>
        <w:t xml:space="preserve">Figure </w:t>
      </w:r>
      <w:r w:rsidR="009C4183" w:rsidRPr="0098261B">
        <w:rPr>
          <w:b/>
        </w:rPr>
        <w:t>4</w:t>
      </w:r>
      <w:r w:rsidRPr="0098261B">
        <w:rPr>
          <w:b/>
        </w:rPr>
        <w:t>.</w:t>
      </w:r>
      <w:r w:rsidRPr="0098261B">
        <w:t xml:space="preserve"> a) Long-term cycling stability of </w:t>
      </w:r>
      <w:r w:rsidRPr="0098261B">
        <w:rPr>
          <w:b/>
          <w:bCs/>
        </w:rPr>
        <w:t>PI50</w:t>
      </w:r>
      <w:r w:rsidRPr="0098261B">
        <w:t xml:space="preserve"> at 2000 mA g</w:t>
      </w:r>
      <w:r w:rsidRPr="0098261B">
        <w:rPr>
          <w:vertAlign w:val="superscript"/>
        </w:rPr>
        <w:t>-1</w:t>
      </w:r>
      <w:r w:rsidRPr="0098261B">
        <w:t>; b) Comparison of the cycling performance to other polyimide cathodes (reference information for comparative data shown in the SI);</w:t>
      </w:r>
      <w:r w:rsidRPr="0098261B" w:rsidDel="00E06A96">
        <w:t xml:space="preserve"> </w:t>
      </w:r>
      <w:r w:rsidRPr="0098261B">
        <w:t xml:space="preserve">c) Rate performance of </w:t>
      </w:r>
      <w:r w:rsidRPr="0098261B">
        <w:rPr>
          <w:b/>
        </w:rPr>
        <w:t>PI</w:t>
      </w:r>
      <w:r w:rsidRPr="0098261B">
        <w:t xml:space="preserve">, </w:t>
      </w:r>
      <w:r w:rsidRPr="0098261B">
        <w:rPr>
          <w:b/>
          <w:bCs/>
        </w:rPr>
        <w:t>PI10</w:t>
      </w:r>
      <w:r w:rsidRPr="0098261B">
        <w:t xml:space="preserve">, </w:t>
      </w:r>
      <w:r w:rsidRPr="0098261B">
        <w:rPr>
          <w:b/>
          <w:bCs/>
        </w:rPr>
        <w:t>PI30</w:t>
      </w:r>
      <w:r w:rsidRPr="0098261B">
        <w:rPr>
          <w:bCs/>
        </w:rPr>
        <w:t>,</w:t>
      </w:r>
      <w:r w:rsidRPr="0098261B">
        <w:t xml:space="preserve"> and </w:t>
      </w:r>
      <w:r w:rsidRPr="0098261B">
        <w:rPr>
          <w:b/>
          <w:bCs/>
        </w:rPr>
        <w:t>PI50</w:t>
      </w:r>
      <w:r w:rsidRPr="0098261B">
        <w:t>. Please note that the break in the Coulombic efficiency plot is due to a break in the cycling measurement.</w:t>
      </w:r>
    </w:p>
    <w:p w14:paraId="4B17ABEE" w14:textId="77777777" w:rsidR="00655510" w:rsidRPr="0098261B" w:rsidRDefault="00655510" w:rsidP="00655510">
      <w:pPr>
        <w:pStyle w:val="FigureCaption"/>
        <w:sectPr w:rsidR="00655510" w:rsidRPr="0098261B" w:rsidSect="00655510">
          <w:type w:val="continuous"/>
          <w:pgSz w:w="11906" w:h="16838" w:code="9"/>
          <w:pgMar w:top="1673" w:right="936" w:bottom="1134" w:left="936" w:header="709" w:footer="709" w:gutter="0"/>
          <w:cols w:space="284"/>
          <w:docGrid w:linePitch="360"/>
        </w:sectPr>
      </w:pPr>
    </w:p>
    <w:p w14:paraId="631571BE" w14:textId="77777777" w:rsidR="00C9009E" w:rsidRPr="0098261B" w:rsidRDefault="00C9009E" w:rsidP="00C9009E">
      <w:pPr>
        <w:pStyle w:val="P1"/>
        <w:ind w:firstLine="425"/>
      </w:pPr>
      <w:r w:rsidRPr="0098261B">
        <w:t xml:space="preserve">The rate performance of </w:t>
      </w:r>
      <w:r w:rsidRPr="0098261B">
        <w:rPr>
          <w:b/>
        </w:rPr>
        <w:t>PI</w:t>
      </w:r>
      <w:r w:rsidRPr="0098261B">
        <w:t xml:space="preserve"> and the </w:t>
      </w:r>
      <w:r w:rsidRPr="0098261B">
        <w:rPr>
          <w:b/>
        </w:rPr>
        <w:t>PIX</w:t>
      </w:r>
      <w:r w:rsidRPr="0098261B">
        <w:t xml:space="preserve"> composites were investigated at different current densities (Figure </w:t>
      </w:r>
      <w:r w:rsidRPr="0098261B">
        <w:rPr>
          <w:rFonts w:hint="eastAsia"/>
          <w:lang w:eastAsia="zh-CN"/>
        </w:rPr>
        <w:t>4</w:t>
      </w:r>
      <w:r w:rsidRPr="0098261B">
        <w:rPr>
          <w:lang w:eastAsia="zh-CN"/>
        </w:rPr>
        <w:t>c</w:t>
      </w:r>
      <w:r w:rsidRPr="0098261B">
        <w:t>) and found to increase over the current rate range from 500–2000 mA g</w:t>
      </w:r>
      <w:r w:rsidRPr="0098261B">
        <w:rPr>
          <w:vertAlign w:val="superscript"/>
        </w:rPr>
        <w:t xml:space="preserve">-1 </w:t>
      </w:r>
      <w:r w:rsidRPr="0098261B">
        <w:t xml:space="preserve">(3.5 C to 13.9 C). Reversible capacities for </w:t>
      </w:r>
      <w:r w:rsidRPr="0098261B">
        <w:rPr>
          <w:b/>
          <w:bCs/>
        </w:rPr>
        <w:t>PI50</w:t>
      </w:r>
      <w:r w:rsidRPr="0098261B">
        <w:t xml:space="preserve"> of 165, 145, 142, 132, and 125 </w:t>
      </w:r>
      <w:proofErr w:type="spellStart"/>
      <w:r w:rsidRPr="0098261B">
        <w:t>mAh</w:t>
      </w:r>
      <w:proofErr w:type="spellEnd"/>
      <w:r w:rsidRPr="0098261B">
        <w:t xml:space="preserve"> g</w:t>
      </w:r>
      <w:r w:rsidRPr="0098261B">
        <w:rPr>
          <w:vertAlign w:val="superscript"/>
        </w:rPr>
        <w:noBreakHyphen/>
        <w:t>1</w:t>
      </w:r>
      <w:r w:rsidRPr="0098261B">
        <w:t xml:space="preserve"> were determined at </w:t>
      </w:r>
      <w:r w:rsidRPr="0098261B">
        <w:rPr>
          <w:rFonts w:hint="eastAsia"/>
          <w:lang w:eastAsia="zh-CN"/>
        </w:rPr>
        <w:t>5</w:t>
      </w:r>
      <w:r w:rsidRPr="0098261B">
        <w:t xml:space="preserve">00, </w:t>
      </w:r>
      <w:r w:rsidRPr="0098261B">
        <w:rPr>
          <w:rFonts w:hint="eastAsia"/>
          <w:lang w:eastAsia="zh-CN"/>
        </w:rPr>
        <w:t>8</w:t>
      </w:r>
      <w:r w:rsidRPr="0098261B">
        <w:t xml:space="preserve">00, </w:t>
      </w:r>
      <w:r w:rsidRPr="0098261B">
        <w:rPr>
          <w:rFonts w:hint="eastAsia"/>
          <w:lang w:eastAsia="zh-CN"/>
        </w:rPr>
        <w:t>10</w:t>
      </w:r>
      <w:r w:rsidRPr="0098261B">
        <w:t xml:space="preserve">00 </w:t>
      </w:r>
      <w:r w:rsidRPr="0098261B">
        <w:rPr>
          <w:rFonts w:hint="eastAsia"/>
          <w:lang w:eastAsia="zh-CN"/>
        </w:rPr>
        <w:t>1500</w:t>
      </w:r>
      <w:r w:rsidRPr="0098261B">
        <w:rPr>
          <w:lang w:eastAsia="zh-CN"/>
        </w:rPr>
        <w:t xml:space="preserve">, </w:t>
      </w:r>
      <w:r w:rsidRPr="0098261B">
        <w:t xml:space="preserve">and </w:t>
      </w:r>
    </w:p>
    <w:p w14:paraId="662B9908" w14:textId="37AB27ED" w:rsidR="00E04CBD" w:rsidRPr="0098261B" w:rsidRDefault="00E04CBD" w:rsidP="00655510">
      <w:pPr>
        <w:pStyle w:val="P1"/>
      </w:pPr>
      <w:r w:rsidRPr="0098261B">
        <w:rPr>
          <w:rFonts w:hint="eastAsia"/>
          <w:lang w:eastAsia="zh-CN"/>
        </w:rPr>
        <w:t>2</w:t>
      </w:r>
      <w:r w:rsidRPr="0098261B">
        <w:t>000 mA g</w:t>
      </w:r>
      <w:r w:rsidRPr="0098261B">
        <w:rPr>
          <w:vertAlign w:val="superscript"/>
        </w:rPr>
        <w:t>-1</w:t>
      </w:r>
      <w:r w:rsidRPr="0098261B">
        <w:t xml:space="preserve">, respectively. In addition, the capacity of 165 </w:t>
      </w:r>
      <w:proofErr w:type="spellStart"/>
      <w:r w:rsidRPr="0098261B">
        <w:t>mAh</w:t>
      </w:r>
      <w:proofErr w:type="spellEnd"/>
      <w:r w:rsidRPr="0098261B">
        <w:t xml:space="preserve"> g</w:t>
      </w:r>
      <w:r w:rsidR="00582D4F">
        <w:rPr>
          <w:vertAlign w:val="superscript"/>
        </w:rPr>
        <w:noBreakHyphen/>
      </w:r>
      <w:r w:rsidRPr="0098261B">
        <w:rPr>
          <w:vertAlign w:val="superscript"/>
        </w:rPr>
        <w:t>1</w:t>
      </w:r>
      <w:r w:rsidRPr="0098261B">
        <w:t xml:space="preserve"> for </w:t>
      </w:r>
      <w:r w:rsidRPr="0098261B">
        <w:rPr>
          <w:b/>
          <w:bCs/>
        </w:rPr>
        <w:t>PI50</w:t>
      </w:r>
      <w:r w:rsidRPr="0098261B">
        <w:t xml:space="preserve"> recovered to 159 </w:t>
      </w:r>
      <w:proofErr w:type="spellStart"/>
      <w:r w:rsidRPr="0098261B">
        <w:t>mAh</w:t>
      </w:r>
      <w:proofErr w:type="spellEnd"/>
      <w:r w:rsidRPr="0098261B">
        <w:t xml:space="preserve"> g</w:t>
      </w:r>
      <w:r w:rsidRPr="0098261B">
        <w:rPr>
          <w:vertAlign w:val="superscript"/>
        </w:rPr>
        <w:t>-1</w:t>
      </w:r>
      <w:r w:rsidRPr="0098261B">
        <w:t xml:space="preserve"> after 20 cycles at different currents, corresponding to 96% of </w:t>
      </w:r>
      <w:r w:rsidR="00FA0697">
        <w:t>the initial capacity at 500 </w:t>
      </w:r>
      <w:proofErr w:type="spellStart"/>
      <w:r w:rsidR="005C7758" w:rsidRPr="00FA0697">
        <w:t>mAh</w:t>
      </w:r>
      <w:proofErr w:type="spellEnd"/>
      <w:r w:rsidR="00FA0697">
        <w:t> </w:t>
      </w:r>
      <w:r w:rsidRPr="00FA0697">
        <w:t>g</w:t>
      </w:r>
      <w:r w:rsidRPr="0098261B">
        <w:rPr>
          <w:vertAlign w:val="superscript"/>
        </w:rPr>
        <w:t>-1</w:t>
      </w:r>
      <w:r w:rsidRPr="0098261B">
        <w:t>, implying good rate performance.</w:t>
      </w:r>
      <w:r w:rsidR="009C4183" w:rsidRPr="0098261B">
        <w:t xml:space="preserve"> </w:t>
      </w:r>
      <w:r w:rsidR="00EB681D" w:rsidRPr="0098261B">
        <w:rPr>
          <w:b/>
        </w:rPr>
        <w:t>PI</w:t>
      </w:r>
      <w:r w:rsidR="00EB681D" w:rsidRPr="0098261B">
        <w:t xml:space="preserve"> and </w:t>
      </w:r>
      <w:r w:rsidR="001459CB" w:rsidRPr="0098261B">
        <w:t xml:space="preserve">the </w:t>
      </w:r>
      <w:r w:rsidR="00EB681D" w:rsidRPr="0098261B">
        <w:rPr>
          <w:b/>
        </w:rPr>
        <w:t>PIX</w:t>
      </w:r>
      <w:r w:rsidR="00EB681D" w:rsidRPr="0098261B">
        <w:t xml:space="preserve"> </w:t>
      </w:r>
      <w:r w:rsidR="001245A6" w:rsidRPr="0098261B">
        <w:t xml:space="preserve">composites </w:t>
      </w:r>
      <w:r w:rsidR="00AC6B33" w:rsidRPr="0098261B">
        <w:t>were calculated to have</w:t>
      </w:r>
      <w:r w:rsidR="00EB681D" w:rsidRPr="0098261B">
        <w:t xml:space="preserve"> good </w:t>
      </w:r>
      <w:r w:rsidR="009C4183" w:rsidRPr="0098261B">
        <w:t>Coulombic efficienc</w:t>
      </w:r>
      <w:r w:rsidR="00AC6B33" w:rsidRPr="0098261B">
        <w:t xml:space="preserve">ies </w:t>
      </w:r>
      <w:r w:rsidR="00EB681D" w:rsidRPr="0098261B">
        <w:t>(around 100%)</w:t>
      </w:r>
      <w:r w:rsidR="009C4183" w:rsidRPr="0098261B">
        <w:t xml:space="preserve"> at </w:t>
      </w:r>
      <w:r w:rsidR="004B3A8C" w:rsidRPr="0098261B">
        <w:t xml:space="preserve">the </w:t>
      </w:r>
      <w:r w:rsidR="009C4183" w:rsidRPr="0098261B">
        <w:t xml:space="preserve">different </w:t>
      </w:r>
      <w:r w:rsidR="004B3A8C" w:rsidRPr="0098261B">
        <w:t xml:space="preserve">scan </w:t>
      </w:r>
      <w:r w:rsidR="009C4183" w:rsidRPr="0098261B">
        <w:t>rate</w:t>
      </w:r>
      <w:r w:rsidR="00DF48F5" w:rsidRPr="0098261B">
        <w:t>s</w:t>
      </w:r>
      <w:r w:rsidR="009C4183" w:rsidRPr="0098261B">
        <w:t xml:space="preserve"> </w:t>
      </w:r>
      <w:r w:rsidR="00EB681D" w:rsidRPr="0098261B">
        <w:t>(</w:t>
      </w:r>
      <w:r w:rsidR="009C4183" w:rsidRPr="0098261B">
        <w:t>Table S</w:t>
      </w:r>
      <w:r w:rsidR="008F6BFF" w:rsidRPr="0098261B">
        <w:t>4</w:t>
      </w:r>
      <w:r w:rsidR="00EB681D" w:rsidRPr="0098261B">
        <w:t>).</w:t>
      </w:r>
      <w:r w:rsidR="004B3A8C" w:rsidRPr="0098261B">
        <w:t xml:space="preserve"> </w:t>
      </w:r>
      <w:r w:rsidR="00AC6B33" w:rsidRPr="0098261B">
        <w:t>Initial f</w:t>
      </w:r>
      <w:r w:rsidR="0046510B" w:rsidRPr="0098261B">
        <w:t>luctuation</w:t>
      </w:r>
      <w:r w:rsidR="004B3A8C" w:rsidRPr="0098261B">
        <w:t>s</w:t>
      </w:r>
      <w:r w:rsidR="00977B2B" w:rsidRPr="0098261B">
        <w:t xml:space="preserve"> and</w:t>
      </w:r>
      <w:r w:rsidR="0046510B" w:rsidRPr="0098261B">
        <w:t xml:space="preserve"> Coulombic </w:t>
      </w:r>
      <w:r w:rsidR="004B3A8C" w:rsidRPr="0098261B">
        <w:t>efficiencies</w:t>
      </w:r>
      <w:r w:rsidR="00977B2B" w:rsidRPr="0098261B">
        <w:t xml:space="preserve"> marginally greater than 100%</w:t>
      </w:r>
      <w:r w:rsidR="00AE0FAB" w:rsidRPr="0098261B">
        <w:t xml:space="preserve"> indicated additional reactions occurred </w:t>
      </w:r>
      <w:r w:rsidR="00AC6B33" w:rsidRPr="0098261B">
        <w:t xml:space="preserve">during </w:t>
      </w:r>
      <w:r w:rsidR="00B1283E" w:rsidRPr="0098261B">
        <w:t xml:space="preserve">the </w:t>
      </w:r>
      <w:r w:rsidR="00AC6B33" w:rsidRPr="0098261B">
        <w:t>early cycles</w:t>
      </w:r>
      <w:r w:rsidR="00977B2B" w:rsidRPr="0098261B">
        <w:t xml:space="preserve">. However, </w:t>
      </w:r>
      <w:r w:rsidR="00AE0FAB" w:rsidRPr="0098261B">
        <w:t>th</w:t>
      </w:r>
      <w:r w:rsidR="00AC6B33" w:rsidRPr="0098261B">
        <w:t xml:space="preserve">ese </w:t>
      </w:r>
      <w:r w:rsidR="00AE0FAB" w:rsidRPr="0098261B">
        <w:t xml:space="preserve">stabilized with continued cycling </w:t>
      </w:r>
      <w:r w:rsidR="00AC6B33" w:rsidRPr="0098261B">
        <w:t xml:space="preserve">and did </w:t>
      </w:r>
      <w:r w:rsidR="004B3A8C" w:rsidRPr="0098261B">
        <w:t xml:space="preserve">not </w:t>
      </w:r>
      <w:r w:rsidR="00AE0FAB" w:rsidRPr="0098261B">
        <w:t>appear to negatively affect cell stability</w:t>
      </w:r>
      <w:r w:rsidR="00977B2B" w:rsidRPr="0098261B">
        <w:t>;</w:t>
      </w:r>
      <w:r w:rsidR="00B1283E" w:rsidRPr="0098261B">
        <w:t xml:space="preserve"> f</w:t>
      </w:r>
      <w:r w:rsidR="00AC6B33" w:rsidRPr="0098261B">
        <w:t xml:space="preserve">or example, </w:t>
      </w:r>
      <w:r w:rsidR="00AC6B33" w:rsidRPr="0098261B">
        <w:rPr>
          <w:b/>
        </w:rPr>
        <w:t>PI50</w:t>
      </w:r>
      <w:r w:rsidR="00AC6B33" w:rsidRPr="0098261B">
        <w:t xml:space="preserve"> could be </w:t>
      </w:r>
      <w:r w:rsidR="007F64E8" w:rsidRPr="0098261B">
        <w:t>cycle</w:t>
      </w:r>
      <w:r w:rsidR="00AC6B33" w:rsidRPr="0098261B">
        <w:t>d</w:t>
      </w:r>
      <w:r w:rsidR="007F64E8" w:rsidRPr="0098261B">
        <w:t xml:space="preserve"> 9000 </w:t>
      </w:r>
      <w:r w:rsidR="00AC6B33" w:rsidRPr="0098261B">
        <w:t>times (</w:t>
      </w:r>
      <w:r w:rsidR="007F64E8" w:rsidRPr="0098261B">
        <w:t>Figure 4a).</w:t>
      </w:r>
      <w:r w:rsidR="009C4183" w:rsidRPr="0098261B">
        <w:t xml:space="preserve"> </w:t>
      </w:r>
      <w:r w:rsidRPr="0098261B">
        <w:t xml:space="preserve">The rate performance of </w:t>
      </w:r>
      <w:r w:rsidRPr="0098261B">
        <w:rPr>
          <w:b/>
          <w:bCs/>
        </w:rPr>
        <w:t>PI50</w:t>
      </w:r>
      <w:r w:rsidRPr="0098261B">
        <w:t xml:space="preserve"> is better than many other reported polyimide electrode materials; for example, PI-ECOF-1/rGO30 and PI-ECOF-1/rGO50 discharged at 10 C still retain capacities of 60 </w:t>
      </w:r>
      <w:proofErr w:type="spellStart"/>
      <w:r w:rsidRPr="0098261B">
        <w:t>mAh</w:t>
      </w:r>
      <w:proofErr w:type="spellEnd"/>
      <w:r w:rsidRPr="0098261B">
        <w:t xml:space="preserve"> g</w:t>
      </w:r>
      <w:r w:rsidRPr="0098261B">
        <w:rPr>
          <w:vertAlign w:val="superscript"/>
        </w:rPr>
        <w:t>-1</w:t>
      </w:r>
      <w:r w:rsidRPr="0098261B">
        <w:t xml:space="preserve"> </w:t>
      </w:r>
      <w:r w:rsidRPr="0098261B">
        <w:t xml:space="preserve">and 90 </w:t>
      </w:r>
      <w:proofErr w:type="spellStart"/>
      <w:r w:rsidRPr="0098261B">
        <w:t>mAh</w:t>
      </w:r>
      <w:proofErr w:type="spellEnd"/>
      <w:r w:rsidRPr="0098261B">
        <w:t xml:space="preserve"> g</w:t>
      </w:r>
      <w:r w:rsidRPr="0098261B">
        <w:rPr>
          <w:vertAlign w:val="superscript"/>
        </w:rPr>
        <w:t>-1</w:t>
      </w:r>
      <w:r w:rsidRPr="0098261B">
        <w:t>,</w:t>
      </w:r>
      <w:r w:rsidRPr="0098261B">
        <w:rPr>
          <w:vertAlign w:val="superscript"/>
        </w:rPr>
        <w:t>[</w:t>
      </w:r>
      <w:r w:rsidRPr="0098261B">
        <w:fldChar w:fldCharType="begin" w:fldLock="1"/>
      </w:r>
      <w:r w:rsidRPr="0098261B">
        <w:instrText>ADDIN CSL_CITATION {"citationItems":[{"id":"ITEM-1","itemData":{"DOI":"10.1039/c9nr00088g","ISSN":"20403372","abstract":"Few layer COFs was incorporated with rGO to provide composite cathode materials with improved energy storage capability. Covalent organic frameworks (COFs) have attracted increasing interest for their use as electrode materials for lithium-ion batteries (LIBs) by virtue of their microporous crystalline structures and robust networks. However, the tightly stacked bulk COFs and their intrinsic low conductivity inevitably result in an inefficient utilization of redox-active sites so as to lower the electrochemical performance. Herein, we proposed a general strategy to improve the energy storage capability of polyimide (PI)-COF based cathode materials, which included the decrease of their stacked layer numbers to a few layers via a mechanical milling method for the efficient utilization of redox-active sites and the incorporation of few-layer COF sheets with chemically reduced graphene oxide (rGO) to increase the charge transfer. The excellent electrochemical performance of the composite few-layer PI-COFs with rGO cathodes indicated that reducing the layer number of COFs and incorporating rGO may pave the way for the successful development of COF-based organic electrodes for LIBs.","author":[{"dropping-particle":"","family":"Wang","given":"Zhaolei","non-dropping-particle":"","parse-names":false,"suffix":""},{"dropping-particle":"","family":"Li","given":"Yongjun","non-dropping-particle":"","parse-names":false,"suffix":""},{"dropping-particle":"","family":"Liu","given":"Pengju","non-dropping-particle":"","parse-names":false,"suffix":""},{"dropping-particle":"","family":"Qi","given":"Qiaoyan","non-dropping-particle":"","parse-names":false,"suffix":""},{"dropping-particle":"","family":"Zhang","given":"Fang","non-dropping-particle":"","parse-names":false,"suffix":""},{"dropping-particle":"","family":"Lu","given":"Guolin","non-dropping-particle":"","parse-names":false,"suffix":""},{"dropping-particle":"","family":"Zhao","given":"Xin","non-dropping-particle":"","parse-names":false,"suffix":""},{"dropping-particle":"","family":"Huang","given":"Xiaoyu","non-dropping-particle":"","parse-names":false,"suffix":""}],"container-title":"Nanoscale","id":"ITEM-1","issue":"12","issued":{"date-parts":[["2019"]]},"page":"5330-5335","title":"Few layer covalent organic frameworks with graphene sheets as cathode materials for lithium-ion batteries","type":"article-journal","volume":"11"},"uris":["http://www.mendeley.com/documents/?uuid=0bbf28d0-7fc9-3675-ac5b-68337abe0293"]}],"mendeley":{"formattedCitation":"&lt;sup&gt;26&lt;/sup&gt;","plainTextFormattedCitation":"26","previouslyFormattedCitation":"&lt;sup&gt;26&lt;/sup&gt;"},"properties":{"noteIndex":0},"schema":"https://github.com/citation-style-language/schema/raw/master/csl-citation.json"}</w:instrText>
      </w:r>
      <w:r w:rsidRPr="0098261B">
        <w:fldChar w:fldCharType="separate"/>
      </w:r>
      <w:r w:rsidRPr="0098261B">
        <w:rPr>
          <w:noProof/>
          <w:vertAlign w:val="superscript"/>
        </w:rPr>
        <w:t>26</w:t>
      </w:r>
      <w:r w:rsidRPr="0098261B">
        <w:fldChar w:fldCharType="end"/>
      </w:r>
      <w:r w:rsidRPr="0098261B">
        <w:rPr>
          <w:vertAlign w:val="superscript"/>
        </w:rPr>
        <w:t>]</w:t>
      </w:r>
      <w:r w:rsidRPr="0098261B">
        <w:t xml:space="preserve"> while DAAQ-E</w:t>
      </w:r>
      <w:r w:rsidR="0006538C">
        <w:t>COF has a capacity of 87 </w:t>
      </w:r>
      <w:proofErr w:type="spellStart"/>
      <w:r w:rsidR="0006538C">
        <w:t>mAh</w:t>
      </w:r>
      <w:proofErr w:type="spellEnd"/>
      <w:r w:rsidR="0006538C">
        <w:t> </w:t>
      </w:r>
      <w:r w:rsidRPr="0098261B">
        <w:t>g</w:t>
      </w:r>
      <w:r w:rsidRPr="0098261B">
        <w:rPr>
          <w:vertAlign w:val="superscript"/>
        </w:rPr>
        <w:t>-1</w:t>
      </w:r>
      <w:r w:rsidRPr="0098261B">
        <w:t xml:space="preserve"> at a current density of 2000 mA g</w:t>
      </w:r>
      <w:r w:rsidRPr="0098261B">
        <w:rPr>
          <w:vertAlign w:val="superscript"/>
        </w:rPr>
        <w:t>-1</w:t>
      </w:r>
      <w:r w:rsidRPr="0098261B">
        <w:t>, which is equivalent to 13.2 C.</w:t>
      </w:r>
      <w:r w:rsidRPr="0098261B">
        <w:rPr>
          <w:vertAlign w:val="superscript"/>
        </w:rPr>
        <w:t>[</w:t>
      </w:r>
      <w:r w:rsidRPr="0098261B">
        <w:fldChar w:fldCharType="begin" w:fldLock="1"/>
      </w:r>
      <w:r w:rsidRPr="0098261B">
        <w:instrText>ADDIN CSL_CITATION {"citationItems":[{"id":"ITEM-1","itemData":{"DOI":"10.1021/jacs.7b02648","ISBN":"0002-7863","ISSN":"15205126","abstract":"Covalent organic frameworks (COFs) have attracted growing interest by virtue of their structural diversity and tunability. Herein, we present a novel approach for the development of organic rechargeable battery cathodes in which three distinct redox-active COFs were successfully prepared and delaminated into 2D few layer nanosheets. Compared with the pristine COFs, the exfoliated COFs with shorter Li+ diffusion pathways allow a significant higher utilization efficiency of redox sites and faster kinetics for lithium storage. Unlike diffusion controlled manners in the bulk COFs, the redox reactions in ECOFs are mainly dominated by charge transfer process. The capacity and potential are further engineered by reticular design of. COFs without altering the underlying topology. Specifically; DAAQ-ECOF exhibits excellent rechargeability (98% capacity retention after 1800 cycles) and fast charge-discharge ability (74% retention at 500 mA g(-1) as compared to at 20 mA g(-1)). DABQ-ECOF shows a specific capacity of 210 mA h g(-1) and a voltage plateau of 2.8 V.","author":[{"dropping-particle":"","family":"Wang","given":"Shan","non-dropping-particle":"","parse-names":false,"suffix":""},{"dropping-particle":"","family":"Wang","given":"Qianyou","non-dropping-particle":"","parse-names":false,"suffix":""},{"dropping-particle":"","family":"Shao","given":"Pengpeng","non-dropping-particle":"","parse-names":false,"suffix":""},{"dropping-particle":"","family":"Han","given":"Yuzhen","non-dropping-particle":"","parse-names":false,"suffix":""},{"dropping-particle":"","family":"Gao","given":"Xing","non-dropping-particle":"","parse-names":false,"suffix":""},{"dropping-particle":"","family":"Ma","given":"Li","non-dropping-particle":"","parse-names":false,"suffix":""},{"dropping-particle":"","family":"Yuan","given":"Shuai","non-dropping-particle":"","parse-names":false,"suffix":""},{"dropping-particle":"","family":"Ma","given":"Xiaojie","non-dropping-particle":"","parse-names":false,"suffix":""},{"dropping-particle":"","family":"Zhou","given":"Junwen","non-dropping-particle":"","parse-names":false,"suffix":""},{"dropping-particle":"","family":"Feng","given":"Xiao","non-dropping-particle":"","parse-names":false,"suffix":""},{"dropping-particle":"","family":"Wang","given":"Bo","non-dropping-particle":"","parse-names":false,"suffix":""}],"container-title":"Journal of the American Chemical Society","id":"ITEM-1","issue":"12","issued":{"date-parts":[["2017"]]},"page":"4258-4261","title":"Exfoliation of Covalent Organic Frameworks into Few-Layer Redox-Active Nanosheets as Cathode Materials for Lithium-Ion Batteries","type":"article-journal","volume":"139"},"uris":["http://www.mendeley.com/documents/?uuid=5c14d95f-281a-4add-8163-e18bb9103784"]}],"mendeley":{"formattedCitation":"&lt;sup&gt;38&lt;/sup&gt;","plainTextFormattedCitation":"38","previouslyFormattedCitation":"&lt;sup&gt;38&lt;/sup&gt;"},"properties":{"noteIndex":0},"schema":"https://github.com/citation-style-language/schema/raw/master/csl-citation.json"}</w:instrText>
      </w:r>
      <w:r w:rsidRPr="0098261B">
        <w:fldChar w:fldCharType="separate"/>
      </w:r>
      <w:r w:rsidRPr="0098261B">
        <w:rPr>
          <w:noProof/>
          <w:vertAlign w:val="superscript"/>
        </w:rPr>
        <w:t>38</w:t>
      </w:r>
      <w:r w:rsidRPr="0098261B">
        <w:fldChar w:fldCharType="end"/>
      </w:r>
      <w:r w:rsidRPr="0098261B">
        <w:rPr>
          <w:vertAlign w:val="superscript"/>
        </w:rPr>
        <w:t>]</w:t>
      </w:r>
      <w:r w:rsidR="005E4D19" w:rsidRPr="0098261B">
        <w:t xml:space="preserve"> </w:t>
      </w:r>
    </w:p>
    <w:p w14:paraId="319AC45D" w14:textId="77777777" w:rsidR="00655510" w:rsidRPr="0098261B" w:rsidRDefault="00655510" w:rsidP="00E04CBD">
      <w:pPr>
        <w:pStyle w:val="P1"/>
        <w:ind w:firstLine="425"/>
      </w:pPr>
      <w:r w:rsidRPr="0098261B">
        <w:t xml:space="preserve">To further understand the rate capability, the electrochemical reaction kinetics of </w:t>
      </w:r>
      <w:r w:rsidRPr="0098261B">
        <w:rPr>
          <w:b/>
          <w:bCs/>
        </w:rPr>
        <w:t>PI50</w:t>
      </w:r>
      <w:r w:rsidRPr="0098261B">
        <w:t xml:space="preserve"> were investigated by scanning the CV at</w:t>
      </w:r>
      <w:r w:rsidR="004E4E19" w:rsidRPr="0098261B">
        <w:t xml:space="preserve"> different sweep rates (Figure 5</w:t>
      </w:r>
      <w:r w:rsidRPr="0098261B">
        <w:t>). The current response (</w:t>
      </w:r>
      <w:proofErr w:type="spellStart"/>
      <w:r w:rsidRPr="0098261B">
        <w:rPr>
          <w:i/>
        </w:rPr>
        <w:t>i</w:t>
      </w:r>
      <w:proofErr w:type="spellEnd"/>
      <w:r w:rsidRPr="0098261B">
        <w:t xml:space="preserve">) of </w:t>
      </w:r>
      <w:r w:rsidRPr="0098261B">
        <w:rPr>
          <w:b/>
          <w:bCs/>
        </w:rPr>
        <w:t>PI50</w:t>
      </w:r>
      <w:r w:rsidRPr="0098261B">
        <w:t xml:space="preserve"> to the applied sweep rate (</w:t>
      </w:r>
      <w:r w:rsidRPr="0098261B">
        <w:rPr>
          <w:i/>
        </w:rPr>
        <w:t>v</w:t>
      </w:r>
      <w:r w:rsidRPr="0098261B">
        <w:t>, 0.1–1.0 mV s</w:t>
      </w:r>
      <w:r w:rsidRPr="0098261B">
        <w:rPr>
          <w:vertAlign w:val="superscript"/>
        </w:rPr>
        <w:t>-1</w:t>
      </w:r>
      <w:r w:rsidR="004E4E19" w:rsidRPr="0098261B">
        <w:t>) was measured (Figure 5</w:t>
      </w:r>
      <w:r w:rsidR="006B3798" w:rsidRPr="0098261B">
        <w:t>a</w:t>
      </w:r>
      <w:r w:rsidRPr="0098261B">
        <w:t xml:space="preserve">). According to the power law, </w:t>
      </w:r>
      <w:proofErr w:type="spellStart"/>
      <w:r w:rsidRPr="0098261B">
        <w:rPr>
          <w:i/>
        </w:rPr>
        <w:t>i</w:t>
      </w:r>
      <w:proofErr w:type="spellEnd"/>
      <w:r w:rsidRPr="0098261B">
        <w:t xml:space="preserve"> = </w:t>
      </w:r>
      <w:proofErr w:type="spellStart"/>
      <w:r w:rsidRPr="0098261B">
        <w:t>a</w:t>
      </w:r>
      <w:r w:rsidRPr="0098261B">
        <w:rPr>
          <w:i/>
        </w:rPr>
        <w:t>v</w:t>
      </w:r>
      <w:r w:rsidRPr="0098261B">
        <w:rPr>
          <w:vertAlign w:val="superscript"/>
        </w:rPr>
        <w:t>b</w:t>
      </w:r>
      <w:proofErr w:type="spellEnd"/>
      <w:r w:rsidRPr="0098261B">
        <w:t>, b-values close to 0.5 indicate that the current is controlled by semi-infinite linear diffusion, by contrast, b-values close to 1 indicate that the current is surface-controlled. The b-values of four redox peaks R1, R2, O1 and O2 (0.90, 0.90, 0.86, and 0.</w:t>
      </w:r>
      <w:r w:rsidR="004E4E19" w:rsidRPr="0098261B">
        <w:t>89) are all close to 1 (Figure 5</w:t>
      </w:r>
      <w:r w:rsidRPr="0098261B">
        <w:t xml:space="preserve">b), indicating that the charge storage in </w:t>
      </w:r>
      <w:r w:rsidRPr="0098261B">
        <w:rPr>
          <w:b/>
          <w:bCs/>
        </w:rPr>
        <w:t>PI50</w:t>
      </w:r>
      <w:r w:rsidRPr="0098261B">
        <w:t xml:space="preserve"> is a fast surface-controlled process, which is expected as storage is through reversible redox-active functional groups. To account for some of the dominant capacitive contributions from the </w:t>
      </w:r>
      <w:proofErr w:type="spellStart"/>
      <w:r w:rsidRPr="0098261B">
        <w:t>rGO</w:t>
      </w:r>
      <w:proofErr w:type="spellEnd"/>
      <w:r w:rsidRPr="0098261B">
        <w:t xml:space="preserve">, the equivalent peak analysis was performed following baseline subtractions from linear back extrapolation of the positive and negative currents baselines in the region of ca. 2.8 - 3.2 V </w:t>
      </w:r>
      <w:r w:rsidRPr="0098261B">
        <w:rPr>
          <w:i/>
        </w:rPr>
        <w:t>vs</w:t>
      </w:r>
      <w:r w:rsidRPr="0098261B">
        <w:t xml:space="preserve">. </w:t>
      </w:r>
      <w:r w:rsidRPr="0098261B">
        <w:lastRenderedPageBreak/>
        <w:t>Li</w:t>
      </w:r>
      <w:r w:rsidRPr="0098261B">
        <w:rPr>
          <w:vertAlign w:val="superscript"/>
        </w:rPr>
        <w:t>+</w:t>
      </w:r>
      <w:r w:rsidRPr="0098261B">
        <w:t>/Li.  Consequently, the derived b-values for R1, R2, O1, and O2 reduced only slightly (0.8, 0.74, 0.84, 0.85, respectively, Figure S</w:t>
      </w:r>
      <w:r w:rsidR="004E4E19" w:rsidRPr="0098261B">
        <w:t>14</w:t>
      </w:r>
      <w:r w:rsidRPr="0098261B">
        <w:t xml:space="preserve">), further supporting the nature of the surface controlled processes on the active polymer. Further analysis of the </w:t>
      </w:r>
      <w:proofErr w:type="spellStart"/>
      <w:r w:rsidRPr="0098261B">
        <w:t>voltammetric</w:t>
      </w:r>
      <w:proofErr w:type="spellEnd"/>
      <w:r w:rsidRPr="0098261B">
        <w:t xml:space="preserve"> sweep rate dependence enables the surface controlled contribution to the current response to be quantitatively distinguished.</w:t>
      </w:r>
      <w:r w:rsidR="00F43D59" w:rsidRPr="0098261B">
        <w:rPr>
          <w:vertAlign w:val="superscript"/>
        </w:rPr>
        <w:t>[</w:t>
      </w:r>
      <w:r w:rsidRPr="0098261B">
        <w:fldChar w:fldCharType="begin" w:fldLock="1"/>
      </w:r>
      <w:r w:rsidRPr="0098261B">
        <w:instrText>ADDIN CSL_CITATION {"citationItems":[{"id":"ITEM-1","itemData":{"DOI":"10.1021/jp074464w","ISSN":"19327447","abstract":"The advantages in using nanostructured materials for electrochemical energy storage have largely focused on the benefits associated with short path lengths. In this paper, we consider another contribution, that of the capacitive effects, which become increasingly important at nanoscale dimensions. Nanocrystalline TiO 2 (anatase) was studied over a dimensional regime where both capacitive and lithium intercalation processes contribute to the total stored charge. An analysis of the voltammetric sweep data was used to distinguish between the amount of charge stored by these two processes. At particle sizes below 10 nm, capacitive contributions became increasingly important, leading to greater amounts of total stored charge (gravimetrically normalized) with decreasing TiO 2 particle size. The area normalized capacitance was determined to be well above 100 μF/cm 2, confirming that the capacitive contribution was pseudocapacitive in nature. Moreover, reducing the particle size to the nanoscale regime led to faster charge/discharge rates because the diffusion-controlled lithium ion intercalation process was replaced by faradaic reactions which occur at the surface of the material. The charge storage and kinetics benefits derived from using nanoscale metal oxides provide an interesting direction for the design of materials that offer both power density and energy density. © 2007 American Chemical Society.","author":[{"dropping-particle":"","family":"Wang","given":"John","non-dropping-particle":"","parse-names":false,"suffix":""},{"dropping-particle":"","family":"Polleux","given":"Julien","non-dropping-particle":"","parse-names":false,"suffix":""},{"dropping-particle":"","family":"Lim","given":"James","non-dropping-particle":"","parse-names":false,"suffix":""},{"dropping-particle":"","family":"Dunn","given":"Bruce","non-dropping-particle":"","parse-names":false,"suffix":""}],"container-title":"Journal of Physical Chemistry C","id":"ITEM-1","issue":"40","issued":{"date-parts":[["2007","10","11"]]},"page":"14925-14931","title":"Pseudocapacitive contributions to electrochemical energy storage in TiO 2 (anatase) nanoparticles","type":"article-journal","volume":"111"},"uris":["http://www.mendeley.com/documents/?uuid=ee201bcf-37a7-34ec-870d-773e5c5942ff"]},{"id":"ITEM-2","itemData":{"DOI":"10.1002/adma.201901478","ISSN":"0935-9648","author":[{"dropping-particle":"","family":"Wang","given":"Gang","non-dropping-particle":"","parse-names":false,"suffix":""},{"dropping-particle":"","family":"Chandrasekhar","given":"Naisa","non-dropping-particle":"","parse-names":false,"suffix":""},{"dropping-particle":"","family":"Biswal","given":"Bishnu P.","non-dropping-particle":"","parse-names":false,"suffix":""},{"dropping-particle":"","family":"Becker","given":"Daniel","non-dropping-particle":"","parse-names":false,"suffix":""},{"dropping-particle":"","family":"Paasch","given":"Silvia","non-dropping-particle":"","parse-names":false,"suffix":""},{"dropping-particle":"","family":"Brunner","given":"Eike","non-dropping-particle":"","parse-names":false,"suffix":""},{"dropping-particle":"","family":"Addicoat","given":"Matthew","non-dropping-particle":"","parse-names":false,"suffix":""},{"dropping-particle":"","family":"Yu","given":"Minghao","non-dropping-particle":"","parse-names":false,"suffix":""},{"dropping-particle":"","family":"Berger","given":"Reinhard","non-dropping-particle":"","parse-names":false,"suffix":""},{"dropping-particle":"","family":"Feng","given":"Xinliang","non-dropping-particle":"","parse-names":false,"suffix":""}],"container-title":"Advanced Materials","id":"ITEM-2","issued":{"date-parts":[["2019","5","17"]]},"page":"1901478","publisher":"John Wiley &amp; Sons, Ltd","title":"A Crystalline, 2D Polyarylimide Cathode for Ultrastable and Ultrafast Li Storage","type":"article-journal"},"uris":["http://www.mendeley.com/documents/?uuid=8ca8761a-655c-3e8a-b5f4-770e70afa312"]}],"mendeley":{"formattedCitation":"&lt;sup&gt;31,39&lt;/sup&gt;","plainTextFormattedCitation":"31,39","previouslyFormattedCitation":"&lt;sup&gt;31,39&lt;/sup&gt;"},"properties":{"noteIndex":0},"schema":"https://github.com/citation-style-language/schema/raw/master/csl-citation.json"}</w:instrText>
      </w:r>
      <w:r w:rsidRPr="0098261B">
        <w:fldChar w:fldCharType="separate"/>
      </w:r>
      <w:r w:rsidRPr="0098261B">
        <w:rPr>
          <w:noProof/>
          <w:vertAlign w:val="superscript"/>
        </w:rPr>
        <w:t>31,39</w:t>
      </w:r>
      <w:r w:rsidRPr="0098261B">
        <w:fldChar w:fldCharType="end"/>
      </w:r>
      <w:r w:rsidR="00F43D59" w:rsidRPr="0098261B">
        <w:rPr>
          <w:vertAlign w:val="superscript"/>
        </w:rPr>
        <w:t>]</w:t>
      </w:r>
      <w:r w:rsidRPr="0098261B">
        <w:t xml:space="preserve"> We can express the current response at a fixed potential as being the combination of two separate mechanisms, surface controlled contribution and diffusion-controlled insertion processes. </w:t>
      </w:r>
      <w:proofErr w:type="spellStart"/>
      <w:r w:rsidRPr="0098261B">
        <w:rPr>
          <w:i/>
        </w:rPr>
        <w:t>i</w:t>
      </w:r>
      <w:proofErr w:type="spellEnd"/>
      <w:r w:rsidRPr="0098261B">
        <w:rPr>
          <w:i/>
        </w:rPr>
        <w:t xml:space="preserve"> </w:t>
      </w:r>
      <w:r w:rsidRPr="0098261B">
        <w:t>= k</w:t>
      </w:r>
      <w:r w:rsidRPr="0098261B">
        <w:rPr>
          <w:vertAlign w:val="subscript"/>
        </w:rPr>
        <w:t>1</w:t>
      </w:r>
      <w:r w:rsidRPr="0098261B">
        <w:rPr>
          <w:i/>
        </w:rPr>
        <w:t>v</w:t>
      </w:r>
      <w:r w:rsidRPr="0098261B">
        <w:t xml:space="preserve"> + k</w:t>
      </w:r>
      <w:r w:rsidRPr="0098261B">
        <w:rPr>
          <w:vertAlign w:val="subscript"/>
        </w:rPr>
        <w:t>2</w:t>
      </w:r>
      <w:r w:rsidRPr="0098261B">
        <w:rPr>
          <w:i/>
        </w:rPr>
        <w:t>v</w:t>
      </w:r>
      <w:r w:rsidRPr="0098261B">
        <w:rPr>
          <w:vertAlign w:val="superscript"/>
        </w:rPr>
        <w:t>1/2</w:t>
      </w:r>
      <w:r w:rsidRPr="0098261B">
        <w:t>, the exact surface controlled contribution (k</w:t>
      </w:r>
      <w:r w:rsidRPr="0098261B">
        <w:rPr>
          <w:vertAlign w:val="subscript"/>
        </w:rPr>
        <w:t>1</w:t>
      </w:r>
      <w:r w:rsidRPr="0098261B">
        <w:rPr>
          <w:i/>
        </w:rPr>
        <w:t>v</w:t>
      </w:r>
      <w:r w:rsidRPr="0098261B">
        <w:t>) can be further quantified, where k</w:t>
      </w:r>
      <w:r w:rsidRPr="0098261B">
        <w:rPr>
          <w:vertAlign w:val="subscript"/>
        </w:rPr>
        <w:t>1</w:t>
      </w:r>
      <w:r w:rsidRPr="0098261B">
        <w:t xml:space="preserve"> and k</w:t>
      </w:r>
      <w:r w:rsidRPr="0098261B">
        <w:rPr>
          <w:vertAlign w:val="subscript"/>
        </w:rPr>
        <w:t>2</w:t>
      </w:r>
      <w:r w:rsidRPr="0098261B">
        <w:t xml:space="preserve"> constants can be simulated by plotting </w:t>
      </w:r>
      <w:r w:rsidRPr="0098261B">
        <w:rPr>
          <w:i/>
        </w:rPr>
        <w:t>iv</w:t>
      </w:r>
      <w:r w:rsidRPr="0098261B">
        <w:rPr>
          <w:vertAlign w:val="superscript"/>
        </w:rPr>
        <w:t>−1/2</w:t>
      </w:r>
      <w:r w:rsidRPr="0098261B">
        <w:t xml:space="preserve"> vs </w:t>
      </w:r>
      <w:r w:rsidRPr="0098261B">
        <w:rPr>
          <w:i/>
        </w:rPr>
        <w:t>v</w:t>
      </w:r>
      <w:r w:rsidRPr="0098261B">
        <w:rPr>
          <w:vertAlign w:val="superscript"/>
        </w:rPr>
        <w:t>1/2</w:t>
      </w:r>
      <w:r w:rsidRPr="0098261B">
        <w:t>, in which k</w:t>
      </w:r>
      <w:r w:rsidRPr="0098261B">
        <w:rPr>
          <w:vertAlign w:val="subscript"/>
        </w:rPr>
        <w:t>1</w:t>
      </w:r>
      <w:r w:rsidRPr="0098261B">
        <w:t>and k</w:t>
      </w:r>
      <w:r w:rsidRPr="0098261B">
        <w:rPr>
          <w:vertAlign w:val="subscript"/>
        </w:rPr>
        <w:t>2</w:t>
      </w:r>
      <w:r w:rsidRPr="0098261B">
        <w:t xml:space="preserve"> are the slope and intercept of the linear fitting plot. At 0.1 mV s</w:t>
      </w:r>
      <w:r w:rsidRPr="0098261B">
        <w:rPr>
          <w:vertAlign w:val="superscript"/>
        </w:rPr>
        <w:t>-1</w:t>
      </w:r>
      <w:r w:rsidRPr="0098261B">
        <w:t>, the surface contribution is determined to be 68%, which is further enhanced to 87% at 1 mV s</w:t>
      </w:r>
      <w:r w:rsidRPr="0098261B">
        <w:rPr>
          <w:vertAlign w:val="superscript"/>
        </w:rPr>
        <w:t>-1</w:t>
      </w:r>
      <w:r w:rsidRPr="0098261B">
        <w:t xml:space="preserve">. </w:t>
      </w:r>
    </w:p>
    <w:p w14:paraId="196BF250" w14:textId="6E602B1F" w:rsidR="00655510" w:rsidRPr="0098261B" w:rsidRDefault="004E0135" w:rsidP="00A63344">
      <w:pPr>
        <w:pStyle w:val="P1"/>
        <w:spacing w:line="720" w:lineRule="auto"/>
      </w:pPr>
      <w:r w:rsidRPr="0098261B">
        <w:rPr>
          <w:noProof/>
          <w:lang w:val="en-GB" w:eastAsia="zh-CN"/>
        </w:rPr>
        <w:drawing>
          <wp:inline distT="0" distB="0" distL="0" distR="0" wp14:anchorId="7A63485B" wp14:editId="256D2C83">
            <wp:extent cx="3095625" cy="4490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5. NNNp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5625" cy="4490085"/>
                    </a:xfrm>
                    <a:prstGeom prst="rect">
                      <a:avLst/>
                    </a:prstGeom>
                  </pic:spPr>
                </pic:pic>
              </a:graphicData>
            </a:graphic>
          </wp:inline>
        </w:drawing>
      </w:r>
    </w:p>
    <w:p w14:paraId="5D3BA853" w14:textId="77777777" w:rsidR="00A63344" w:rsidRPr="0098261B" w:rsidRDefault="009C4183" w:rsidP="00A63344">
      <w:pPr>
        <w:pStyle w:val="FigureCaption"/>
      </w:pPr>
      <w:r w:rsidRPr="0098261B">
        <w:rPr>
          <w:b/>
        </w:rPr>
        <w:t>Figure 5</w:t>
      </w:r>
      <w:r w:rsidR="00A63344" w:rsidRPr="0098261B">
        <w:rPr>
          <w:b/>
        </w:rPr>
        <w:t>.</w:t>
      </w:r>
      <w:r w:rsidR="00A63344" w:rsidRPr="0098261B">
        <w:t xml:space="preserve"> a) Cyclic voltammograms</w:t>
      </w:r>
      <w:r w:rsidR="00A63344" w:rsidRPr="0098261B" w:rsidDel="00E04A83">
        <w:t xml:space="preserve"> </w:t>
      </w:r>
      <w:r w:rsidR="00A63344" w:rsidRPr="0098261B">
        <w:t xml:space="preserve">of </w:t>
      </w:r>
      <w:r w:rsidR="00A63344" w:rsidRPr="0098261B">
        <w:rPr>
          <w:b/>
          <w:bCs/>
        </w:rPr>
        <w:t>PI50</w:t>
      </w:r>
      <w:r w:rsidR="00A63344" w:rsidRPr="0098261B">
        <w:t xml:space="preserve"> collected at different scan rates; b) ln </w:t>
      </w:r>
      <w:proofErr w:type="spellStart"/>
      <w:r w:rsidR="00A63344" w:rsidRPr="0098261B">
        <w:rPr>
          <w:i/>
        </w:rPr>
        <w:t>i</w:t>
      </w:r>
      <w:proofErr w:type="spellEnd"/>
      <w:r w:rsidR="00A63344" w:rsidRPr="0098261B">
        <w:t xml:space="preserve"> </w:t>
      </w:r>
      <w:r w:rsidR="00A63344" w:rsidRPr="0098261B">
        <w:rPr>
          <w:i/>
          <w:iCs/>
        </w:rPr>
        <w:t>vs.</w:t>
      </w:r>
      <w:r w:rsidR="00A63344" w:rsidRPr="0098261B">
        <w:t xml:space="preserve"> ln V plots to determine the b values of different peaks.</w:t>
      </w:r>
    </w:p>
    <w:p w14:paraId="54B55A02" w14:textId="39FB881A" w:rsidR="00A63344" w:rsidRPr="0098261B" w:rsidRDefault="00A63344" w:rsidP="00A63344">
      <w:pPr>
        <w:pStyle w:val="P1"/>
      </w:pPr>
      <w:r w:rsidRPr="0098261B">
        <w:t xml:space="preserve">Electrochemical impedance spectroscopy (EIS) was employed to further characterize the electrochemical and transport behavior of </w:t>
      </w:r>
      <w:r w:rsidRPr="0098261B">
        <w:rPr>
          <w:b/>
        </w:rPr>
        <w:t>PI</w:t>
      </w:r>
      <w:r w:rsidRPr="0098261B">
        <w:t xml:space="preserve"> and the </w:t>
      </w:r>
      <w:r w:rsidRPr="0098261B">
        <w:rPr>
          <w:b/>
        </w:rPr>
        <w:t>PIX</w:t>
      </w:r>
      <w:r w:rsidR="004E4E19" w:rsidRPr="0098261B">
        <w:t xml:space="preserve"> composites (Figure S15</w:t>
      </w:r>
      <w:r w:rsidRPr="0098261B">
        <w:t xml:space="preserve">a). A charge transfer resistance value </w:t>
      </w:r>
      <w:proofErr w:type="spellStart"/>
      <w:r w:rsidRPr="0098261B">
        <w:rPr>
          <w:iCs/>
        </w:rPr>
        <w:t>R</w:t>
      </w:r>
      <w:r w:rsidRPr="0098261B">
        <w:rPr>
          <w:iCs/>
          <w:vertAlign w:val="subscript"/>
        </w:rPr>
        <w:t>c</w:t>
      </w:r>
      <w:proofErr w:type="spellEnd"/>
      <w:r w:rsidRPr="0098261B">
        <w:rPr>
          <w:i/>
          <w:iCs/>
        </w:rPr>
        <w:t xml:space="preserve"> </w:t>
      </w:r>
      <w:r w:rsidRPr="0098261B">
        <w:t>was obtained by fitting Nyquist plots using an equi</w:t>
      </w:r>
      <w:r w:rsidR="004E4E19" w:rsidRPr="0098261B">
        <w:t>valent circuit model (Figure S15</w:t>
      </w:r>
      <w:r w:rsidRPr="0098261B">
        <w:t>b).</w:t>
      </w:r>
      <w:r w:rsidRPr="0098261B">
        <w:rPr>
          <w:b/>
          <w:bCs/>
        </w:rPr>
        <w:t xml:space="preserve"> </w:t>
      </w:r>
      <w:r w:rsidRPr="0098261B">
        <w:t>In this circuit, the constant phase element (CPE), the charge transfer resistance (</w:t>
      </w:r>
      <w:proofErr w:type="spellStart"/>
      <w:r w:rsidRPr="0098261B">
        <w:rPr>
          <w:i/>
          <w:iCs/>
        </w:rPr>
        <w:t>R</w:t>
      </w:r>
      <w:r w:rsidRPr="0098261B">
        <w:rPr>
          <w:iCs/>
          <w:vertAlign w:val="subscript"/>
        </w:rPr>
        <w:t>c</w:t>
      </w:r>
      <w:proofErr w:type="spellEnd"/>
      <w:r w:rsidRPr="0098261B">
        <w:t>), the resistance of the solution (</w:t>
      </w:r>
      <w:r w:rsidRPr="0098261B">
        <w:rPr>
          <w:i/>
        </w:rPr>
        <w:t>R</w:t>
      </w:r>
      <w:r w:rsidRPr="0098261B">
        <w:rPr>
          <w:vertAlign w:val="subscript"/>
        </w:rPr>
        <w:t>s</w:t>
      </w:r>
      <w:r w:rsidRPr="0098261B">
        <w:t>), and the mass transport resistance (</w:t>
      </w:r>
      <w:r w:rsidRPr="0098261B">
        <w:rPr>
          <w:i/>
        </w:rPr>
        <w:t>W</w:t>
      </w:r>
      <w:r w:rsidRPr="0098261B">
        <w:t xml:space="preserve">) were considered. The CPE is in parallel to the resistance </w:t>
      </w:r>
      <w:proofErr w:type="spellStart"/>
      <w:r w:rsidRPr="0098261B">
        <w:rPr>
          <w:i/>
        </w:rPr>
        <w:t>R</w:t>
      </w:r>
      <w:r w:rsidRPr="0098261B">
        <w:rPr>
          <w:vertAlign w:val="subscript"/>
        </w:rPr>
        <w:t>c</w:t>
      </w:r>
      <w:proofErr w:type="spellEnd"/>
      <w:r w:rsidRPr="0098261B">
        <w:rPr>
          <w:vertAlign w:val="subscript"/>
        </w:rPr>
        <w:t xml:space="preserve"> </w:t>
      </w:r>
      <w:r w:rsidRPr="0098261B">
        <w:t xml:space="preserve">and W, and they are connected in series to </w:t>
      </w:r>
      <w:r w:rsidRPr="0098261B">
        <w:rPr>
          <w:i/>
        </w:rPr>
        <w:t>R</w:t>
      </w:r>
      <w:r w:rsidRPr="0098261B">
        <w:rPr>
          <w:vertAlign w:val="subscript"/>
        </w:rPr>
        <w:t>s</w:t>
      </w:r>
      <w:r w:rsidRPr="0098261B">
        <w:t>. The semicircles in high frequency regions denote charge transfer resistance (</w:t>
      </w:r>
      <w:proofErr w:type="spellStart"/>
      <w:r w:rsidRPr="0098261B">
        <w:rPr>
          <w:i/>
        </w:rPr>
        <w:t>R</w:t>
      </w:r>
      <w:r w:rsidRPr="0098261B">
        <w:rPr>
          <w:vertAlign w:val="subscript"/>
        </w:rPr>
        <w:t>c</w:t>
      </w:r>
      <w:proofErr w:type="spellEnd"/>
      <w:r w:rsidRPr="0098261B">
        <w:t>), which is related to reaction kinetics, and the linear increase in the low frequency regions represents Li</w:t>
      </w:r>
      <w:r w:rsidRPr="0098261B">
        <w:rPr>
          <w:vertAlign w:val="superscript"/>
        </w:rPr>
        <w:t>+</w:t>
      </w:r>
      <w:r w:rsidRPr="0098261B">
        <w:t xml:space="preserve"> diffusion resistance in the electrolyte. Fitted values for the individual elements in the equivalent circuit of the EIS data of </w:t>
      </w:r>
      <w:r w:rsidRPr="0098261B">
        <w:rPr>
          <w:b/>
        </w:rPr>
        <w:t>PI</w:t>
      </w:r>
      <w:r w:rsidRPr="0098261B">
        <w:t xml:space="preserve"> and the </w:t>
      </w:r>
      <w:r w:rsidRPr="0098261B">
        <w:rPr>
          <w:b/>
        </w:rPr>
        <w:t>PIX</w:t>
      </w:r>
      <w:r w:rsidRPr="0098261B">
        <w:t xml:space="preserve"> composite elect</w:t>
      </w:r>
      <w:r w:rsidR="004E4E19" w:rsidRPr="0098261B">
        <w:t>rodes are summarized in Table S</w:t>
      </w:r>
      <w:r w:rsidR="008F6BFF" w:rsidRPr="0098261B">
        <w:t>5</w:t>
      </w:r>
      <w:r w:rsidRPr="0098261B">
        <w:t xml:space="preserve">. It was found that that the </w:t>
      </w:r>
      <w:proofErr w:type="spellStart"/>
      <w:r w:rsidRPr="0098261B">
        <w:rPr>
          <w:i/>
        </w:rPr>
        <w:t>R</w:t>
      </w:r>
      <w:r w:rsidRPr="0098261B">
        <w:rPr>
          <w:vertAlign w:val="subscript"/>
        </w:rPr>
        <w:t>c</w:t>
      </w:r>
      <w:proofErr w:type="spellEnd"/>
      <w:r w:rsidRPr="0098261B">
        <w:rPr>
          <w:vertAlign w:val="subscript"/>
        </w:rPr>
        <w:t xml:space="preserve"> </w:t>
      </w:r>
      <w:r w:rsidRPr="0098261B">
        <w:t xml:space="preserve">of </w:t>
      </w:r>
      <w:r w:rsidRPr="0098261B">
        <w:rPr>
          <w:b/>
          <w:bCs/>
        </w:rPr>
        <w:t>PI50</w:t>
      </w:r>
      <w:r w:rsidRPr="0098261B">
        <w:t xml:space="preserve"> (22.1 Ω) is smaller than that of </w:t>
      </w:r>
      <w:r w:rsidRPr="0098261B">
        <w:rPr>
          <w:b/>
        </w:rPr>
        <w:t xml:space="preserve">PI </w:t>
      </w:r>
      <w:r w:rsidRPr="0098261B">
        <w:t xml:space="preserve">(47.4 Ω), </w:t>
      </w:r>
      <w:r w:rsidRPr="0098261B">
        <w:rPr>
          <w:b/>
          <w:bCs/>
        </w:rPr>
        <w:t>PI10</w:t>
      </w:r>
      <w:r w:rsidRPr="0098261B">
        <w:t xml:space="preserve"> (38.1</w:t>
      </w:r>
      <w:r w:rsidR="00BE2F38">
        <w:t> </w:t>
      </w:r>
      <w:r w:rsidRPr="0098261B">
        <w:t xml:space="preserve">Ω), </w:t>
      </w:r>
      <w:r w:rsidRPr="0098261B">
        <w:rPr>
          <w:b/>
          <w:bCs/>
        </w:rPr>
        <w:t>PI30</w:t>
      </w:r>
      <w:r w:rsidRPr="0098261B">
        <w:t xml:space="preserve"> (35.4 Ω), supporting the assertion of improved charge transfer in </w:t>
      </w:r>
      <w:r w:rsidRPr="0098261B">
        <w:rPr>
          <w:b/>
          <w:bCs/>
        </w:rPr>
        <w:t xml:space="preserve">PI50 </w:t>
      </w:r>
      <w:r w:rsidRPr="0098261B">
        <w:t>due to optimi</w:t>
      </w:r>
      <w:r w:rsidR="00AE1BD9">
        <w:t>z</w:t>
      </w:r>
      <w:r w:rsidRPr="0098261B">
        <w:t xml:space="preserve">ation of contact between the </w:t>
      </w:r>
      <w:r w:rsidRPr="0098261B">
        <w:rPr>
          <w:b/>
        </w:rPr>
        <w:t xml:space="preserve">PI </w:t>
      </w:r>
      <w:r w:rsidRPr="0098261B">
        <w:t>and conductive carbon network.</w:t>
      </w:r>
    </w:p>
    <w:p w14:paraId="4C4AE11B" w14:textId="77777777" w:rsidR="00A63344" w:rsidRPr="0098261B" w:rsidRDefault="00A63344" w:rsidP="00E04CBD">
      <w:pPr>
        <w:pStyle w:val="P1"/>
        <w:ind w:firstLine="425"/>
      </w:pPr>
      <w:r w:rsidRPr="0098261B">
        <w:t xml:space="preserve">The mechanism of the lithiation and </w:t>
      </w:r>
      <w:proofErr w:type="spellStart"/>
      <w:r w:rsidRPr="0098261B">
        <w:t>delithiation</w:t>
      </w:r>
      <w:proofErr w:type="spellEnd"/>
      <w:r w:rsidRPr="0098261B">
        <w:t xml:space="preserve"> of conjugated carbonyl containing compounds has not been well-studied. It is important to gain insight into the mechanism to aid further material discovery and for this, we used </w:t>
      </w:r>
      <w:r w:rsidRPr="0098261B">
        <w:rPr>
          <w:i/>
        </w:rPr>
        <w:t>ex situ</w:t>
      </w:r>
      <w:r w:rsidRPr="0098261B">
        <w:t xml:space="preserve"> FT-IR spectroscopy to understand the redox processes. The underlying redox processes of the polyimide in the presence of lithium ions were investigated using </w:t>
      </w:r>
      <w:r w:rsidRPr="0098261B">
        <w:rPr>
          <w:i/>
        </w:rPr>
        <w:t>ex situ</w:t>
      </w:r>
      <w:r w:rsidRPr="0098261B">
        <w:t xml:space="preserve"> FT-IR spectroscopy </w:t>
      </w:r>
      <w:r w:rsidR="004E4E19" w:rsidRPr="0098261B">
        <w:t>(Figure 6</w:t>
      </w:r>
      <w:r w:rsidRPr="0098261B">
        <w:t xml:space="preserve">a). For this, cells with </w:t>
      </w:r>
      <w:r w:rsidRPr="0098261B">
        <w:rPr>
          <w:b/>
          <w:bCs/>
        </w:rPr>
        <w:t>PI50</w:t>
      </w:r>
      <w:r w:rsidRPr="0098261B">
        <w:t xml:space="preserve"> as the active material were disassembled at the end of the lithiation and </w:t>
      </w:r>
      <w:proofErr w:type="spellStart"/>
      <w:r w:rsidRPr="0098261B">
        <w:t>delithiation</w:t>
      </w:r>
      <w:proofErr w:type="spellEnd"/>
      <w:r w:rsidRPr="0098261B">
        <w:t xml:space="preserve"> stages, washed by DOL and dried under reduced pressure at room temperature, and FT-IR spectra were then recorded. It was found that for the pristine electrode materials, the IR band at 1497 and 1579 cm</w:t>
      </w:r>
      <w:r w:rsidRPr="0098261B">
        <w:rPr>
          <w:vertAlign w:val="superscript"/>
        </w:rPr>
        <w:t>-1</w:t>
      </w:r>
      <w:r w:rsidRPr="0098261B">
        <w:t xml:space="preserve"> can be assigned to the vibration of C=C bonds, and peaks at 1718 and 1772 cm</w:t>
      </w:r>
      <w:r w:rsidRPr="0098261B">
        <w:rPr>
          <w:vertAlign w:val="superscript"/>
        </w:rPr>
        <w:t>-1</w:t>
      </w:r>
      <w:r w:rsidRPr="0098261B">
        <w:t xml:space="preserve"> assigned to the vibration of the C=O bonds in </w:t>
      </w:r>
      <w:r w:rsidRPr="0098261B">
        <w:rPr>
          <w:b/>
          <w:bCs/>
        </w:rPr>
        <w:t>PI50</w:t>
      </w:r>
      <w:r w:rsidRPr="0098261B">
        <w:t>. When the sample was discharged to 1.5 V (lithiation), a new band at 1450 cm</w:t>
      </w:r>
      <w:r w:rsidRPr="0098261B">
        <w:rPr>
          <w:vertAlign w:val="superscript"/>
        </w:rPr>
        <w:t>-1</w:t>
      </w:r>
      <w:r w:rsidRPr="0098261B">
        <w:t xml:space="preserve"> became visible and this band is attributed to the vibration of C=C bonds. A new band at 1313 cm</w:t>
      </w:r>
      <w:r w:rsidRPr="0098261B">
        <w:rPr>
          <w:vertAlign w:val="superscript"/>
        </w:rPr>
        <w:t>-1</w:t>
      </w:r>
      <w:r w:rsidRPr="0098261B">
        <w:t xml:space="preserve"> can be assigned to the vibration of C–O bonds, indicating the formation of new C=C bonds and C–O–Li bonds in </w:t>
      </w:r>
      <w:proofErr w:type="spellStart"/>
      <w:r w:rsidRPr="0098261B">
        <w:t>lithiated</w:t>
      </w:r>
      <w:proofErr w:type="spellEnd"/>
      <w:r w:rsidRPr="0098261B">
        <w:t xml:space="preserve"> </w:t>
      </w:r>
      <w:r w:rsidRPr="0098261B">
        <w:rPr>
          <w:b/>
          <w:bCs/>
        </w:rPr>
        <w:t>PI50</w:t>
      </w:r>
      <w:r w:rsidRPr="0098261B">
        <w:t>. The signal at 1718 and 1772 cm</w:t>
      </w:r>
      <w:r w:rsidRPr="0098261B">
        <w:rPr>
          <w:vertAlign w:val="superscript"/>
        </w:rPr>
        <w:t>-1</w:t>
      </w:r>
      <w:r w:rsidRPr="0098261B">
        <w:t xml:space="preserve"> relating to C=O bonds is weaker after discharge to 1.5 V. When charged back to 3.4 V, the band at 1450 and 1313 cm</w:t>
      </w:r>
      <w:r w:rsidRPr="0098261B">
        <w:rPr>
          <w:vertAlign w:val="superscript"/>
        </w:rPr>
        <w:t>-1</w:t>
      </w:r>
      <w:r w:rsidRPr="0098261B">
        <w:t xml:space="preserve"> disappeared and the signal at 1718 and 1772 cm</w:t>
      </w:r>
      <w:r w:rsidRPr="0098261B">
        <w:rPr>
          <w:vertAlign w:val="superscript"/>
        </w:rPr>
        <w:t xml:space="preserve"> -1</w:t>
      </w:r>
      <w:r w:rsidRPr="0098261B">
        <w:t xml:space="preserve"> returned to a state similar to that of the pristine sample, implying that the lithiation/</w:t>
      </w:r>
      <w:proofErr w:type="spellStart"/>
      <w:r w:rsidRPr="0098261B">
        <w:t>delithiation</w:t>
      </w:r>
      <w:proofErr w:type="spellEnd"/>
      <w:r w:rsidRPr="0098261B">
        <w:t xml:space="preserve"> process is reversible under these conditions. The fact that the IR signal intensity for carbonyl groups on the polyimide is reduced, but still a low intensity band remains visible indicates that not full, but rather a partial lithiation of the polyimide C=O bonds occurs during the discharging process, in line with the observed electrochemical performance. The reversible changes of the C=O and C=C bonds vibrational modes in the electrode agree with the lithiation/</w:t>
      </w:r>
      <w:proofErr w:type="spellStart"/>
      <w:r w:rsidRPr="0098261B">
        <w:t>delithiation</w:t>
      </w:r>
      <w:proofErr w:type="spellEnd"/>
      <w:r w:rsidRPr="0098261B">
        <w:t xml:space="preserve"> of carbonyls in </w:t>
      </w:r>
      <w:r w:rsidRPr="0098261B">
        <w:rPr>
          <w:b/>
          <w:bCs/>
        </w:rPr>
        <w:t>PI50</w:t>
      </w:r>
      <w:r w:rsidRPr="0098261B">
        <w:t>, which is evidence for participation of C=O double bonds in the redox reaction.</w:t>
      </w:r>
    </w:p>
    <w:p w14:paraId="6FAAB59A" w14:textId="77777777" w:rsidR="00A63344" w:rsidRPr="0098261B" w:rsidRDefault="00A63344" w:rsidP="00E04CBD">
      <w:pPr>
        <w:pStyle w:val="P1"/>
        <w:ind w:firstLine="425"/>
      </w:pPr>
      <w:r w:rsidRPr="0098261B">
        <w:t xml:space="preserve">Based on these results we suggest a mechanism as outlined in </w:t>
      </w:r>
      <w:r w:rsidR="00B2435B" w:rsidRPr="0098261B">
        <w:t>Figure 6</w:t>
      </w:r>
      <w:r w:rsidRPr="0098261B">
        <w:t xml:space="preserve">b that involves redox reactions of carbonyl units in </w:t>
      </w:r>
      <w:r w:rsidRPr="0098261B">
        <w:rPr>
          <w:b/>
        </w:rPr>
        <w:t>PI</w:t>
      </w:r>
      <w:r w:rsidRPr="0098261B">
        <w:t>. This is in line with previous reports that have also suggested that only two carbonyl groups of dianhydride PMDA moieties participate in the redox reactions due to the electrostatic repulsion between injected negative charges.</w:t>
      </w:r>
      <w:r w:rsidR="00F43D59" w:rsidRPr="0098261B">
        <w:rPr>
          <w:vertAlign w:val="superscript"/>
        </w:rPr>
        <w:t>[</w:t>
      </w:r>
      <w:r w:rsidRPr="0098261B">
        <w:fldChar w:fldCharType="begin" w:fldLock="1"/>
      </w:r>
      <w:r w:rsidRPr="0098261B">
        <w:instrText>ADDIN CSL_CITATION {"citationItems":[{"id":"ITEM-1","itemData":{"DOI":"10.1002/anie.201002439","ISSN":"14337851","author":[{"dropping-particle":"","family":"Song","given":"Zhiping","non-dropping-particle":"","parse-names":false,"suffix":""},{"dropping-particle":"","family":"Zhan","given":"Hui","non-dropping-particle":"","parse-names":false,"suffix":""},{"dropping-particle":"","family":"Zhou","given":"Yunhong","non-dropping-particle":"","parse-names":false,"suffix":""}],"container-title":"Angewandte Chemie International Edition","id":"ITEM-1","issue":"45","issued":{"date-parts":[["2010","11","2"]]},"page":"8444-8448","publisher":"John Wiley &amp; Sons, Ltd","title":"Polyimides: Promising Energy-Storage Materials","type":"article-journal","volume":"49"},"uris":["http://www.mendeley.com/documents/?uuid=50bf179b-2819-303b-aa3d-a0df7fd064ad"]},{"id":"ITEM-2","itemData":{"DOI":"10.1021/jacs.5b13279","ISSN":"15205126","abstract":"The Li-binding thermodynamics and redox potentials of seven different quinone derivatives are investigated to determine their suitability as positive electrode materials for lithium-ion batteries. First, using density functional theory (DFT) calculations on the interactions between the quinone derivatives and Li atoms, we find that the Li atoms primarily bind with the carbonyl groups in the test molecules. Next, we observed that the redox properties of the quinone derivatives can be tuned in the desired direction by systematically modifying their chemical structures using electron-withdrawing functional groups. Further, DFT-based investigations of the redox potentials of the Li-bound quinone derivatives provide insights regarding the changes induced in their redox properties during the discharging process. The redox potential decreases as the number of bound Li atoms is increased. However, we found that the functionalization of the quinone derivatives with carboxylic acids can improve their redox potential as well as their charge capacity. Through this study, we also determined that the cathodic activity of quinone derivatives during the discharging process relies strongly on the solvation effect as well as on the number of carbonyl groups available for further Li binding.","author":[{"dropping-particle":"","family":"Kim","given":"Ki Chul","non-dropping-particle":"","parse-names":false,"suffix":""},{"dropping-particle":"","family":"Liu","given":"Tianyuan","non-dropping-particle":"","parse-names":false,"suffix":""},{"dropping-particle":"","family":"Lee","given":"Seung Woo","non-dropping-particle":"","parse-names":false,"suffix":""},{"dropping-particle":"","family":"Jang","given":"Seung Soon","non-dropping-particle":"","parse-names":false,"suffix":""}],"container-title":"Journal of the American Chemical Society","id":"ITEM-2","issue":"7","issued":{"date-parts":[["2016"]]},"page":"2374-2382","title":"First-Principles Density Functional Theory Modeling of Li Binding: Thermodynamics and Redox Properties of Quinone Derivatives for Lithium-Ion Batteries","type":"article-journal","volume":"138"},"uris":["http://www.mendeley.com/documents/?uuid=5db2ad00-c730-32ff-925a-419d81f0656a"]}],"mendeley":{"formattedCitation":"&lt;sup&gt;15,40&lt;/sup&gt;","plainTextFormattedCitation":"15,40","previouslyFormattedCitation":"&lt;sup&gt;15,40&lt;/sup&gt;"},"properties":{"noteIndex":0},"schema":"https://github.com/citation-style-language/schema/raw/master/csl-citation.json"}</w:instrText>
      </w:r>
      <w:r w:rsidRPr="0098261B">
        <w:fldChar w:fldCharType="separate"/>
      </w:r>
      <w:r w:rsidRPr="0098261B">
        <w:rPr>
          <w:noProof/>
          <w:vertAlign w:val="superscript"/>
        </w:rPr>
        <w:t>15,40</w:t>
      </w:r>
      <w:r w:rsidRPr="0098261B">
        <w:fldChar w:fldCharType="end"/>
      </w:r>
      <w:r w:rsidR="00F43D59" w:rsidRPr="0098261B">
        <w:rPr>
          <w:vertAlign w:val="superscript"/>
        </w:rPr>
        <w:t>]</w:t>
      </w:r>
    </w:p>
    <w:p w14:paraId="250F3B79" w14:textId="77777777" w:rsidR="00A63344" w:rsidRPr="0098261B" w:rsidRDefault="00A63344" w:rsidP="00A63344">
      <w:pPr>
        <w:pStyle w:val="FigureCaption"/>
        <w:spacing w:line="720" w:lineRule="auto"/>
        <w:rPr>
          <w:lang w:val="en-US"/>
        </w:rPr>
      </w:pPr>
      <w:r w:rsidRPr="0098261B">
        <w:rPr>
          <w:noProof/>
          <w:lang w:eastAsia="zh-CN"/>
        </w:rPr>
        <w:lastRenderedPageBreak/>
        <w:drawing>
          <wp:inline distT="0" distB="0" distL="0" distR="0" wp14:anchorId="072ED8AE" wp14:editId="2B3B48CE">
            <wp:extent cx="3095625" cy="3648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7n.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5625" cy="3648075"/>
                    </a:xfrm>
                    <a:prstGeom prst="rect">
                      <a:avLst/>
                    </a:prstGeom>
                  </pic:spPr>
                </pic:pic>
              </a:graphicData>
            </a:graphic>
          </wp:inline>
        </w:drawing>
      </w:r>
    </w:p>
    <w:p w14:paraId="54695883" w14:textId="3461F2B2" w:rsidR="00A63344" w:rsidRPr="0098261B" w:rsidRDefault="004E4E19" w:rsidP="00A63344">
      <w:pPr>
        <w:pStyle w:val="FigureCaption"/>
      </w:pPr>
      <w:r w:rsidRPr="0098261B">
        <w:rPr>
          <w:b/>
        </w:rPr>
        <w:t>Figure 6</w:t>
      </w:r>
      <w:r w:rsidR="00A63344" w:rsidRPr="0098261B">
        <w:rPr>
          <w:b/>
        </w:rPr>
        <w:t>.</w:t>
      </w:r>
      <w:r w:rsidR="00A63344" w:rsidRPr="0098261B">
        <w:t xml:space="preserve"> a) FT-IR Spectra of </w:t>
      </w:r>
      <w:r w:rsidR="00A63344" w:rsidRPr="0098261B">
        <w:rPr>
          <w:b/>
          <w:bCs/>
        </w:rPr>
        <w:t>PI50</w:t>
      </w:r>
      <w:r w:rsidR="00A63344" w:rsidRPr="0098261B">
        <w:t xml:space="preserve"> electrode materials at different states of lithiation/</w:t>
      </w:r>
      <w:proofErr w:type="spellStart"/>
      <w:r w:rsidR="00A63344" w:rsidRPr="0098261B">
        <w:t>delithiation</w:t>
      </w:r>
      <w:proofErr w:type="spellEnd"/>
      <w:r w:rsidR="00A63344" w:rsidRPr="0098261B">
        <w:t xml:space="preserve"> (pristine, </w:t>
      </w:r>
      <w:proofErr w:type="spellStart"/>
      <w:r w:rsidR="00A63344" w:rsidRPr="0098261B">
        <w:t>lithiated</w:t>
      </w:r>
      <w:proofErr w:type="spellEnd"/>
      <w:r w:rsidR="00A63344" w:rsidRPr="0098261B">
        <w:t xml:space="preserve"> to 1.5 V and </w:t>
      </w:r>
      <w:proofErr w:type="spellStart"/>
      <w:r w:rsidR="00A63344" w:rsidRPr="0098261B">
        <w:t>delithiated</w:t>
      </w:r>
      <w:proofErr w:type="spellEnd"/>
      <w:r w:rsidR="00A63344" w:rsidRPr="0098261B">
        <w:t xml:space="preserve"> to 3.4 V); b) Proposed reversible electrochemical redox mechanism of </w:t>
      </w:r>
      <w:r w:rsidR="00A63344" w:rsidRPr="0098261B">
        <w:rPr>
          <w:b/>
          <w:bCs/>
        </w:rPr>
        <w:t>PI50</w:t>
      </w:r>
      <w:r w:rsidR="00A63344" w:rsidRPr="0098261B">
        <w:t xml:space="preserve"> during the lithiation/</w:t>
      </w:r>
      <w:proofErr w:type="spellStart"/>
      <w:r w:rsidR="00A63344" w:rsidRPr="0098261B">
        <w:t>delithiation</w:t>
      </w:r>
      <w:proofErr w:type="spellEnd"/>
      <w:r w:rsidR="00A63344" w:rsidRPr="0098261B">
        <w:t xml:space="preserve"> process.</w:t>
      </w:r>
    </w:p>
    <w:p w14:paraId="7C613433" w14:textId="77777777" w:rsidR="004C1B1E" w:rsidRPr="0098261B" w:rsidRDefault="004C1B1E" w:rsidP="004C1B1E">
      <w:pPr>
        <w:pStyle w:val="H1"/>
      </w:pPr>
      <w:r w:rsidRPr="0098261B">
        <w:t>Conclusion</w:t>
      </w:r>
    </w:p>
    <w:p w14:paraId="381C843C" w14:textId="77777777" w:rsidR="004C1B1E" w:rsidRPr="0098261B" w:rsidRDefault="004C1B1E" w:rsidP="004C1B1E">
      <w:pPr>
        <w:pStyle w:val="P1"/>
      </w:pPr>
      <w:r w:rsidRPr="0098261B">
        <w:rPr>
          <w:b/>
        </w:rPr>
        <w:t>PIX</w:t>
      </w:r>
      <w:r w:rsidRPr="0098261B">
        <w:t xml:space="preserve"> composite materials were synthesized by </w:t>
      </w:r>
      <w:r w:rsidRPr="0098261B">
        <w:rPr>
          <w:i/>
        </w:rPr>
        <w:t>in situ</w:t>
      </w:r>
      <w:r w:rsidRPr="0098261B">
        <w:t xml:space="preserve"> polycondensation on </w:t>
      </w:r>
      <w:proofErr w:type="spellStart"/>
      <w:r w:rsidRPr="0098261B">
        <w:t>rGO</w:t>
      </w:r>
      <w:proofErr w:type="spellEnd"/>
      <w:r w:rsidRPr="0098261B">
        <w:t xml:space="preserve"> and used as redox-active positive electrode material in a lithium-ion cell. The reduced particle size of the polyimide polymer in the composites from this synthesis route resulted in the dramatic enhancement of the accessible electrochemically active surface area and, in turn, improved both electron transfer and Li</w:t>
      </w:r>
      <w:r w:rsidRPr="0098261B">
        <w:rPr>
          <w:vertAlign w:val="superscript"/>
        </w:rPr>
        <w:t>+</w:t>
      </w:r>
      <w:r w:rsidRPr="0098261B">
        <w:t xml:space="preserve"> ion transport to the redox-active carbonyl groups. As a consequence, the electrochemical performance of </w:t>
      </w:r>
      <w:r w:rsidRPr="0098261B">
        <w:rPr>
          <w:b/>
        </w:rPr>
        <w:t>PI</w:t>
      </w:r>
      <w:r w:rsidRPr="0098261B">
        <w:t xml:space="preserve"> was improve</w:t>
      </w:r>
      <w:r w:rsidRPr="0098261B">
        <w:rPr>
          <w:lang w:val="en-GB"/>
        </w:rPr>
        <w:t>d</w:t>
      </w:r>
      <w:r w:rsidRPr="0098261B">
        <w:t xml:space="preserve"> and the composite materials were found to have much greater specific capacities, with </w:t>
      </w:r>
      <w:r w:rsidRPr="0098261B">
        <w:rPr>
          <w:b/>
          <w:bCs/>
        </w:rPr>
        <w:t>PI50</w:t>
      </w:r>
      <w:r w:rsidRPr="0098261B">
        <w:t xml:space="preserve"> having the largest of 172 </w:t>
      </w:r>
      <w:proofErr w:type="spellStart"/>
      <w:r w:rsidRPr="0098261B">
        <w:t>mAh</w:t>
      </w:r>
      <w:proofErr w:type="spellEnd"/>
      <w:r w:rsidRPr="0098261B">
        <w:t> g</w:t>
      </w:r>
      <w:r w:rsidRPr="0098261B">
        <w:rPr>
          <w:vertAlign w:val="superscript"/>
        </w:rPr>
        <w:t>-1</w:t>
      </w:r>
      <w:r w:rsidRPr="0098261B">
        <w:t xml:space="preserve"> at 500 mA g</w:t>
      </w:r>
      <w:r w:rsidRPr="0098261B">
        <w:rPr>
          <w:vertAlign w:val="superscript"/>
        </w:rPr>
        <w:t>-1</w:t>
      </w:r>
      <w:r w:rsidRPr="0098261B">
        <w:t>. This corresponded to high utilization of the redox active sites of 86%, and a retention of 80% of the capacity of 125 </w:t>
      </w:r>
      <w:proofErr w:type="spellStart"/>
      <w:r w:rsidRPr="0098261B">
        <w:t>mAh</w:t>
      </w:r>
      <w:proofErr w:type="spellEnd"/>
      <w:r w:rsidRPr="0098261B">
        <w:t xml:space="preserve"> g</w:t>
      </w:r>
      <w:r w:rsidRPr="0098261B">
        <w:rPr>
          <w:vertAlign w:val="superscript"/>
        </w:rPr>
        <w:t xml:space="preserve">-1 </w:t>
      </w:r>
      <w:r w:rsidRPr="0098261B">
        <w:t>after 9000 cycles at 2000 mA g</w:t>
      </w:r>
      <w:r w:rsidRPr="0098261B">
        <w:rPr>
          <w:vertAlign w:val="superscript"/>
        </w:rPr>
        <w:t>-1</w:t>
      </w:r>
      <w:r w:rsidRPr="0098261B">
        <w:t xml:space="preserve">. Detailed FT-IR investigations showed conclusively the mechanism of storage on the </w:t>
      </w:r>
      <w:r w:rsidRPr="0098261B">
        <w:rPr>
          <w:b/>
        </w:rPr>
        <w:t>PI</w:t>
      </w:r>
      <w:r w:rsidRPr="0098261B">
        <w:t xml:space="preserve"> resulted from the participation of C=O double bonds in the redox reaction.</w:t>
      </w:r>
    </w:p>
    <w:p w14:paraId="3909C771" w14:textId="77777777" w:rsidR="004C1B1E" w:rsidRPr="0098261B" w:rsidRDefault="004C1B1E" w:rsidP="004C1B1E">
      <w:pPr>
        <w:pStyle w:val="P1"/>
        <w:ind w:firstLine="425"/>
      </w:pPr>
      <w:r w:rsidRPr="0098261B">
        <w:t>The use of redox active functional groups in polymers as a high-rate, long-life energy storage mechanism shows promise. However, the relative amount of redox-active material needs to be considered, which is thus far too low for practical applications. This is because of the significant ratio of conductive additives that are used. Looking forward, we need to optimize these materials in terms of their accessible redox-active sites while lowering the carbon loadings.</w:t>
      </w:r>
    </w:p>
    <w:p w14:paraId="68758556" w14:textId="77777777" w:rsidR="007D2ED9" w:rsidRPr="0098261B" w:rsidRDefault="000E76B8" w:rsidP="000E76B8">
      <w:pPr>
        <w:pStyle w:val="HExperimentalSection"/>
        <w:rPr>
          <w:lang w:val="en-US"/>
        </w:rPr>
      </w:pPr>
      <w:r w:rsidRPr="0098261B">
        <w:rPr>
          <w:lang w:val="en-US"/>
        </w:rPr>
        <w:t>Experimental Section</w:t>
      </w:r>
    </w:p>
    <w:p w14:paraId="7F8915B8" w14:textId="21AC7DE5" w:rsidR="00E96DDF" w:rsidRPr="0098261B" w:rsidRDefault="00E96DDF" w:rsidP="00E96DDF">
      <w:pPr>
        <w:pStyle w:val="ExperimentalSection"/>
      </w:pPr>
      <w:r w:rsidRPr="0098261B">
        <w:t xml:space="preserve">Materials: Pyromellitic dianhydride (PMDA), </w:t>
      </w:r>
      <w:r w:rsidRPr="00A57E2B">
        <w:rPr>
          <w:i/>
          <w:iCs/>
        </w:rPr>
        <w:t>N</w:t>
      </w:r>
      <w:r w:rsidRPr="0098261B">
        <w:t xml:space="preserve">-methyl-2-pyrrolidone (NMP), polyvinylidene fluoride (PVDF), and </w:t>
      </w:r>
      <w:proofErr w:type="spellStart"/>
      <w:r w:rsidRPr="0098261B">
        <w:t>isoquinoline</w:t>
      </w:r>
      <w:proofErr w:type="spellEnd"/>
      <w:r w:rsidRPr="0098261B">
        <w:t xml:space="preserve"> were purchased from Sigma Aldrich. Tetra-4-</w:t>
      </w:r>
      <w:proofErr w:type="gramStart"/>
      <w:r w:rsidRPr="0098261B">
        <w:t>aminophenyl)methane</w:t>
      </w:r>
      <w:proofErr w:type="gramEnd"/>
      <w:r w:rsidRPr="0098261B">
        <w:t xml:space="preserve"> (TAPM) was bought from Manchester Organics, and mesitylene was obtained from </w:t>
      </w:r>
      <w:proofErr w:type="spellStart"/>
      <w:r w:rsidRPr="0098261B">
        <w:t>Acros</w:t>
      </w:r>
      <w:proofErr w:type="spellEnd"/>
      <w:r w:rsidRPr="0098261B">
        <w:t xml:space="preserve"> Organics. </w:t>
      </w:r>
      <w:proofErr w:type="gramStart"/>
      <w:r w:rsidRPr="00A57E2B">
        <w:rPr>
          <w:i/>
          <w:iCs/>
        </w:rPr>
        <w:t>N</w:t>
      </w:r>
      <w:r w:rsidRPr="0098261B">
        <w:t>,</w:t>
      </w:r>
      <w:r w:rsidRPr="00A57E2B">
        <w:rPr>
          <w:i/>
          <w:iCs/>
        </w:rPr>
        <w:t>N</w:t>
      </w:r>
      <w:proofErr w:type="gramEnd"/>
      <w:r w:rsidRPr="0098261B">
        <w:t>-Dimethylformamide and tetrahydrofuran were obtained from Fisher. Reduced graphene oxide (</w:t>
      </w:r>
      <w:proofErr w:type="spellStart"/>
      <w:r w:rsidRPr="0098261B">
        <w:t>rGO</w:t>
      </w:r>
      <w:proofErr w:type="spellEnd"/>
      <w:r w:rsidRPr="0098261B">
        <w:t>) was obtain</w:t>
      </w:r>
      <w:r w:rsidR="0062449E" w:rsidRPr="0098261B">
        <w:t xml:space="preserve">ed from </w:t>
      </w:r>
      <w:proofErr w:type="spellStart"/>
      <w:r w:rsidR="0062449E" w:rsidRPr="0098261B">
        <w:t>Ossila</w:t>
      </w:r>
      <w:proofErr w:type="spellEnd"/>
      <w:r w:rsidR="0062449E" w:rsidRPr="0098261B">
        <w:t xml:space="preserve"> (UK.; Figure S4</w:t>
      </w:r>
      <w:r w:rsidRPr="0098261B">
        <w:t xml:space="preserve"> shows the Raman spectrum of the </w:t>
      </w:r>
      <w:proofErr w:type="spellStart"/>
      <w:r w:rsidRPr="0098261B">
        <w:t>rGO</w:t>
      </w:r>
      <w:proofErr w:type="spellEnd"/>
      <w:r w:rsidRPr="0098261B">
        <w:t>). All reagents were used as received without further purification.</w:t>
      </w:r>
    </w:p>
    <w:p w14:paraId="4913401C" w14:textId="77777777" w:rsidR="00E96DDF" w:rsidRPr="0098261B" w:rsidRDefault="00E96DDF" w:rsidP="00E96DDF">
      <w:pPr>
        <w:pStyle w:val="ExperimentalSection"/>
      </w:pPr>
      <w:r w:rsidRPr="0098261B">
        <w:t xml:space="preserve">Physicochemical Analyses: Fourier-transform infrared spectra (FT-IR) of the as-prepared samples were measured on a Bruker alpha spectrometer by attenuated total reflectance.  Powder X-ray diffraction (PXRD) patterns were measured on </w:t>
      </w:r>
      <w:proofErr w:type="spellStart"/>
      <w:r w:rsidRPr="0098261B">
        <w:t>Panalytical</w:t>
      </w:r>
      <w:proofErr w:type="spellEnd"/>
      <w:r w:rsidRPr="0098261B">
        <w:t xml:space="preserve"> Empyrean diffractometer, equipped with a high throughput screening XYZ stage operating transmission mode, X-ray focusing mirror, and </w:t>
      </w:r>
      <w:proofErr w:type="spellStart"/>
      <w:r w:rsidRPr="0098261B">
        <w:t>PIXcel</w:t>
      </w:r>
      <w:proofErr w:type="spellEnd"/>
      <w:r w:rsidRPr="0098261B">
        <w:t xml:space="preserve"> detector, using Cu-Kα (λ = 1.541 Å) radiation. The morphology of the samples was studied on a Hitachi S-4800 cold field emission scanning electron microscope (FE-SEM). Samples were prepared by depositing the dry powders on 15 mm Hitachi M4 aluminium stubs using an adhesive high-purity carbon tab before coating with a 2 nm layer of gold using an </w:t>
      </w:r>
      <w:proofErr w:type="spellStart"/>
      <w:r w:rsidRPr="0098261B">
        <w:t>Emitech</w:t>
      </w:r>
      <w:proofErr w:type="spellEnd"/>
      <w:r w:rsidRPr="0098261B">
        <w:t xml:space="preserve"> K550X automated sputter coater. Imaging was conducted at a working voltage of 10 kV and a working distance of 4 mm using a combination of upper and lower secondary electron detectors. Surface areas were measured by N</w:t>
      </w:r>
      <w:r w:rsidRPr="0098261B">
        <w:rPr>
          <w:vertAlign w:val="subscript"/>
        </w:rPr>
        <w:t>2</w:t>
      </w:r>
      <w:r w:rsidRPr="0098261B">
        <w:t xml:space="preserve"> adsorption and desorption at 77.3 K using a Micromeritics ASAP 2420 volumetric adsorption </w:t>
      </w:r>
      <w:proofErr w:type="spellStart"/>
      <w:r w:rsidRPr="0098261B">
        <w:t>analyzer</w:t>
      </w:r>
      <w:proofErr w:type="spellEnd"/>
      <w:r w:rsidRPr="0098261B">
        <w:t>. The surface areas were calculated in the relative pressure range (P/P</w:t>
      </w:r>
      <w:r w:rsidRPr="005E5387">
        <w:rPr>
          <w:vertAlign w:val="superscript"/>
        </w:rPr>
        <w:t>o</w:t>
      </w:r>
      <w:r w:rsidRPr="0098261B">
        <w:t xml:space="preserve">) from 0.05 to 0.12 using </w:t>
      </w:r>
      <w:proofErr w:type="spellStart"/>
      <w:r w:rsidRPr="0098261B">
        <w:t>Brunauer</w:t>
      </w:r>
      <w:proofErr w:type="spellEnd"/>
      <w:r w:rsidRPr="0098261B">
        <w:t>-Emmet-Teller (</w:t>
      </w:r>
      <w:r w:rsidRPr="005E5387">
        <w:rPr>
          <w:i/>
        </w:rPr>
        <w:t>SA</w:t>
      </w:r>
      <w:r w:rsidRPr="005E5387">
        <w:rPr>
          <w:vertAlign w:val="subscript"/>
        </w:rPr>
        <w:t>BET</w:t>
      </w:r>
      <w:r w:rsidRPr="0098261B">
        <w:t xml:space="preserve">) method. Samples were degassed at 100 </w:t>
      </w:r>
      <w:r w:rsidRPr="0098261B">
        <w:rPr>
          <w:rFonts w:hint="eastAsia"/>
        </w:rPr>
        <w:t>℃</w:t>
      </w:r>
      <w:r w:rsidRPr="0098261B">
        <w:rPr>
          <w:rFonts w:hint="eastAsia"/>
        </w:rPr>
        <w:t xml:space="preserve"> </w:t>
      </w:r>
      <w:r w:rsidRPr="0098261B">
        <w:t xml:space="preserve">for 15 hours under vacuum (10-5 bar) before analysis. Ball milling was processed on </w:t>
      </w:r>
      <w:proofErr w:type="spellStart"/>
      <w:r w:rsidRPr="0098261B">
        <w:t>Retsch</w:t>
      </w:r>
      <w:proofErr w:type="spellEnd"/>
      <w:r w:rsidRPr="0098261B">
        <w:t xml:space="preserve"> MM400 with the Grinding jar sizes of 25 ml. </w:t>
      </w:r>
      <w:r w:rsidRPr="007130C9">
        <w:rPr>
          <w:i/>
        </w:rPr>
        <w:t>Ex situ</w:t>
      </w:r>
      <w:r w:rsidRPr="0098261B">
        <w:t xml:space="preserve"> FT-IR spectra were measured on a Nicolet iS50 FT-IR spectrometer by attenuated total reflectance inside a glovebox under N</w:t>
      </w:r>
      <w:r w:rsidRPr="0098261B">
        <w:rPr>
          <w:vertAlign w:val="subscript"/>
        </w:rPr>
        <w:t>2</w:t>
      </w:r>
      <w:r w:rsidRPr="0098261B">
        <w:t xml:space="preserve"> atmosphere.</w:t>
      </w:r>
    </w:p>
    <w:p w14:paraId="028F4D37" w14:textId="12266BCB" w:rsidR="00E96DDF" w:rsidRPr="0098261B" w:rsidRDefault="00E96DDF" w:rsidP="00E96DDF">
      <w:pPr>
        <w:pStyle w:val="ExperimentalSection"/>
      </w:pPr>
      <w:r w:rsidRPr="0098261B">
        <w:t xml:space="preserve">Synthesis of </w:t>
      </w:r>
      <w:r w:rsidRPr="0098261B">
        <w:rPr>
          <w:b/>
        </w:rPr>
        <w:t>PI</w:t>
      </w:r>
      <w:r w:rsidRPr="0098261B">
        <w:t>: A 10 mL Pyrex tube was charged with pyromellitic dianhydride (43.6 mg, 0.2 mmol) and tetra-(4-aminophenyl)methane (38.1</w:t>
      </w:r>
      <w:r w:rsidR="00BE2F38">
        <w:t> </w:t>
      </w:r>
      <w:r w:rsidRPr="0098261B">
        <w:t xml:space="preserve">mg, 0.1 mmol) in solution of </w:t>
      </w:r>
      <w:r w:rsidRPr="00126122">
        <w:rPr>
          <w:i/>
          <w:iCs/>
        </w:rPr>
        <w:t>N</w:t>
      </w:r>
      <w:r w:rsidRPr="0098261B">
        <w:t xml:space="preserve">-methyl-2-pyrrolidone (NMP) (0.2 mL), 1,3,5-mesitylene (1.0 mL), and </w:t>
      </w:r>
      <w:proofErr w:type="spellStart"/>
      <w:r w:rsidRPr="0098261B">
        <w:t>isoquinoline</w:t>
      </w:r>
      <w:proofErr w:type="spellEnd"/>
      <w:r w:rsidRPr="0098261B">
        <w:t xml:space="preserve"> (0.02 mL). This reaction mixture was homogenized by ultrasonication for 10 minutes and the tube was flash frozen at 77 K (liquid N</w:t>
      </w:r>
      <w:r w:rsidRPr="0098261B">
        <w:rPr>
          <w:vertAlign w:val="subscript"/>
        </w:rPr>
        <w:t>2</w:t>
      </w:r>
      <w:r w:rsidRPr="0098261B">
        <w:t xml:space="preserve"> bath), degassed by three freeze-pump-thaw cycles, and evacuated to an internal pressure of 100 </w:t>
      </w:r>
      <w:proofErr w:type="spellStart"/>
      <w:r w:rsidRPr="0098261B">
        <w:t>mTorr</w:t>
      </w:r>
      <w:proofErr w:type="spellEnd"/>
      <w:r w:rsidRPr="0098261B">
        <w:t xml:space="preserve">. The tube was sealed off and heated at 160 °C for 5 days to afford a yellow precipitate, which was isolated by filtration over a medium glass frit and washed with </w:t>
      </w:r>
      <w:r w:rsidRPr="0045628B">
        <w:rPr>
          <w:i/>
          <w:iCs/>
        </w:rPr>
        <w:t>N,N</w:t>
      </w:r>
      <w:r w:rsidRPr="0098261B">
        <w:t>-dimethylformamide (</w:t>
      </w:r>
      <w:r w:rsidRPr="0098261B">
        <w:rPr>
          <w:rFonts w:hint="eastAsia"/>
        </w:rPr>
        <w:t>5</w:t>
      </w:r>
      <w:r w:rsidRPr="0098261B">
        <w:t>0.0 mL) and tetrahydrofuran (</w:t>
      </w:r>
      <w:r w:rsidRPr="0098261B">
        <w:rPr>
          <w:rFonts w:hint="eastAsia"/>
        </w:rPr>
        <w:t>5</w:t>
      </w:r>
      <w:r w:rsidRPr="0098261B">
        <w:t xml:space="preserve">0.0 mL). The product was dried under reduced pressure at 85 °C to give </w:t>
      </w:r>
      <w:r w:rsidRPr="0098261B">
        <w:rPr>
          <w:b/>
        </w:rPr>
        <w:t>PI</w:t>
      </w:r>
      <w:r w:rsidRPr="0098261B">
        <w:t xml:space="preserve"> as a yellow powder (67 mg, 90%). Anal. </w:t>
      </w:r>
      <w:proofErr w:type="spellStart"/>
      <w:r w:rsidRPr="0098261B">
        <w:t>calcd</w:t>
      </w:r>
      <w:proofErr w:type="spellEnd"/>
      <w:r w:rsidRPr="0098261B">
        <w:t>. for (C</w:t>
      </w:r>
      <w:r w:rsidRPr="005E5387">
        <w:rPr>
          <w:vertAlign w:val="subscript"/>
        </w:rPr>
        <w:t>45</w:t>
      </w:r>
      <w:r w:rsidRPr="0098261B">
        <w:t>H</w:t>
      </w:r>
      <w:r w:rsidRPr="005E5387">
        <w:rPr>
          <w:vertAlign w:val="subscript"/>
        </w:rPr>
        <w:t>20</w:t>
      </w:r>
      <w:r w:rsidRPr="0098261B">
        <w:t>N</w:t>
      </w:r>
      <w:r w:rsidRPr="005E5387">
        <w:rPr>
          <w:vertAlign w:val="subscript"/>
        </w:rPr>
        <w:t>4</w:t>
      </w:r>
      <w:r w:rsidRPr="0098261B">
        <w:t>O</w:t>
      </w:r>
      <w:proofErr w:type="gramStart"/>
      <w:r w:rsidRPr="005E5387">
        <w:rPr>
          <w:vertAlign w:val="subscript"/>
        </w:rPr>
        <w:t>8</w:t>
      </w:r>
      <w:r w:rsidRPr="0098261B">
        <w:t>)</w:t>
      </w:r>
      <w:r w:rsidRPr="00BE2F38">
        <w:rPr>
          <w:i/>
          <w:iCs/>
          <w:vertAlign w:val="subscript"/>
        </w:rPr>
        <w:t>n</w:t>
      </w:r>
      <w:proofErr w:type="gramEnd"/>
      <w:r w:rsidRPr="0098261B">
        <w:t>: C 72.5, H 2.68, N 7.52%; found: C 65.85, H 3.53, N 8.03%.</w:t>
      </w:r>
    </w:p>
    <w:p w14:paraId="4E91DEB1" w14:textId="2B46DC97" w:rsidR="00E96DDF" w:rsidRPr="0098261B" w:rsidRDefault="00E96DDF" w:rsidP="00E96DDF">
      <w:pPr>
        <w:pStyle w:val="ExperimentalSection"/>
      </w:pPr>
      <w:r w:rsidRPr="0098261B">
        <w:t>Synthesis of</w:t>
      </w:r>
      <w:r w:rsidR="007130C9">
        <w:t xml:space="preserve"> the</w:t>
      </w:r>
      <w:r w:rsidRPr="0098261B">
        <w:t xml:space="preserve"> </w:t>
      </w:r>
      <w:r w:rsidRPr="0098261B">
        <w:rPr>
          <w:b/>
        </w:rPr>
        <w:t>PIX</w:t>
      </w:r>
      <w:r w:rsidR="007130C9">
        <w:rPr>
          <w:b/>
        </w:rPr>
        <w:t xml:space="preserve"> </w:t>
      </w:r>
      <w:r w:rsidR="007130C9" w:rsidRPr="007130C9">
        <w:t>composites</w:t>
      </w:r>
      <w:r w:rsidRPr="0098261B">
        <w:t xml:space="preserve">: A 10 mL Pyrex tube was charged with pyromellitic dianhydride (43.6 mg, 0.2 mmol), tetra-(4-aminophenyl)methane (38.1 mg, 0.1 mmol) and reduced graphene oxide (10, 30, 50 wt.% of the composite based on the yield of the </w:t>
      </w:r>
      <w:r w:rsidRPr="005E5387">
        <w:rPr>
          <w:b/>
        </w:rPr>
        <w:t>PI</w:t>
      </w:r>
      <w:r w:rsidRPr="0098261B">
        <w:t xml:space="preserve">) in solution of N-methyl-2-pyrrolidone (NMP) (0.2 mL), 1,3,5-mesitylene (1.0 mL), and </w:t>
      </w:r>
      <w:proofErr w:type="spellStart"/>
      <w:r w:rsidRPr="0098261B">
        <w:t>isoquinoline</w:t>
      </w:r>
      <w:proofErr w:type="spellEnd"/>
      <w:r w:rsidRPr="0098261B">
        <w:t xml:space="preserve"> (0.02 mL).  This reaction mixture was homogenized by ultrasonication for 10 minutes and the tube was flash frozen at 77 K (liquid N</w:t>
      </w:r>
      <w:r w:rsidRPr="0098261B">
        <w:rPr>
          <w:vertAlign w:val="subscript"/>
        </w:rPr>
        <w:t>2</w:t>
      </w:r>
      <w:r w:rsidRPr="0098261B">
        <w:t xml:space="preserve"> bath), degassed by three freeze-pump-thaw cycles, and evacuated to an internal pressure of 100 </w:t>
      </w:r>
      <w:proofErr w:type="spellStart"/>
      <w:r w:rsidRPr="0098261B">
        <w:t>mTorr</w:t>
      </w:r>
      <w:proofErr w:type="spellEnd"/>
      <w:r w:rsidRPr="0098261B">
        <w:t xml:space="preserve">. The tube was sealed off and heated at 160 °C for 5 days to afford a yellow precipitate, which was isolated by filtration over a medium glass frit and washed with </w:t>
      </w:r>
      <w:r w:rsidRPr="007130C9">
        <w:rPr>
          <w:i/>
        </w:rPr>
        <w:t>N</w:t>
      </w:r>
      <w:r w:rsidRPr="0098261B">
        <w:t>,</w:t>
      </w:r>
      <w:r w:rsidRPr="007130C9">
        <w:rPr>
          <w:i/>
        </w:rPr>
        <w:t>N</w:t>
      </w:r>
      <w:r w:rsidRPr="0098261B">
        <w:t>-dimethylformamide (</w:t>
      </w:r>
      <w:r w:rsidRPr="0098261B">
        <w:rPr>
          <w:rFonts w:hint="eastAsia"/>
        </w:rPr>
        <w:t>5</w:t>
      </w:r>
      <w:r w:rsidRPr="0098261B">
        <w:t>0.0 mL) and tetrahydrofuran (</w:t>
      </w:r>
      <w:r w:rsidRPr="0098261B">
        <w:rPr>
          <w:rFonts w:hint="eastAsia"/>
        </w:rPr>
        <w:t>5</w:t>
      </w:r>
      <w:r w:rsidRPr="0098261B">
        <w:t xml:space="preserve">0.0 mL). The product was dried under reduced pressure at 85 °C to give PIX as a black powder. The yields calculated for </w:t>
      </w:r>
      <w:r w:rsidRPr="0098261B">
        <w:rPr>
          <w:b/>
        </w:rPr>
        <w:t>PI10</w:t>
      </w:r>
      <w:r w:rsidRPr="0098261B">
        <w:t xml:space="preserve">, </w:t>
      </w:r>
      <w:r w:rsidRPr="0098261B">
        <w:rPr>
          <w:b/>
        </w:rPr>
        <w:t>PI30</w:t>
      </w:r>
      <w:r w:rsidRPr="0098261B">
        <w:t xml:space="preserve">, and </w:t>
      </w:r>
      <w:r w:rsidRPr="0098261B">
        <w:rPr>
          <w:b/>
        </w:rPr>
        <w:t>PI50</w:t>
      </w:r>
      <w:r w:rsidRPr="0098261B">
        <w:t xml:space="preserve"> were 89.4%, 88.7%, and 87.5%, respectively.  Anal. </w:t>
      </w:r>
      <w:proofErr w:type="spellStart"/>
      <w:r w:rsidRPr="0098261B">
        <w:t>calcd</w:t>
      </w:r>
      <w:proofErr w:type="spellEnd"/>
      <w:r w:rsidRPr="0098261B">
        <w:t xml:space="preserve">. for </w:t>
      </w:r>
      <w:r w:rsidRPr="0098261B">
        <w:rPr>
          <w:b/>
        </w:rPr>
        <w:t>PI10</w:t>
      </w:r>
      <w:r w:rsidRPr="0098261B">
        <w:t xml:space="preserve">:  C 70.48, H 2.64, N 8.18%; found: C 64.45, H 3.01, N 7.00%; Anal. </w:t>
      </w:r>
      <w:proofErr w:type="spellStart"/>
      <w:r w:rsidRPr="0098261B">
        <w:t>calcd</w:t>
      </w:r>
      <w:proofErr w:type="spellEnd"/>
      <w:r w:rsidRPr="0098261B">
        <w:t xml:space="preserve">. for </w:t>
      </w:r>
      <w:r w:rsidRPr="0098261B">
        <w:rPr>
          <w:b/>
        </w:rPr>
        <w:t>PI30</w:t>
      </w:r>
      <w:r w:rsidRPr="0098261B">
        <w:t xml:space="preserve">:  C 77.04, H 2.05, N 6.36%; found: C 67.42, H 2.43, N 6.74%; Anal. </w:t>
      </w:r>
      <w:proofErr w:type="spellStart"/>
      <w:r w:rsidRPr="0098261B">
        <w:t>calcd</w:t>
      </w:r>
      <w:proofErr w:type="spellEnd"/>
      <w:r w:rsidRPr="0098261B">
        <w:t xml:space="preserve">. for </w:t>
      </w:r>
      <w:r w:rsidRPr="0098261B">
        <w:rPr>
          <w:b/>
        </w:rPr>
        <w:t>PI50</w:t>
      </w:r>
      <w:r w:rsidRPr="0098261B">
        <w:t>:  C 83.60, H 1.47, N 4.50%; found: C 68.91, H 1.96, N 6.70%).</w:t>
      </w:r>
    </w:p>
    <w:p w14:paraId="4D19107B" w14:textId="70A78B3E" w:rsidR="00E96DDF" w:rsidRPr="0098261B" w:rsidRDefault="00E96DDF" w:rsidP="00E96DDF">
      <w:pPr>
        <w:pStyle w:val="ExperimentalSection"/>
      </w:pPr>
      <w:r w:rsidRPr="0098261B">
        <w:lastRenderedPageBreak/>
        <w:t>Preparation of PI/</w:t>
      </w:r>
      <w:proofErr w:type="spellStart"/>
      <w:r w:rsidRPr="0098261B">
        <w:t>rGO</w:t>
      </w:r>
      <w:proofErr w:type="spellEnd"/>
      <w:r w:rsidRPr="0098261B">
        <w:t xml:space="preserve"> Composite via Mechanical Ball Milling: </w:t>
      </w:r>
      <w:r w:rsidRPr="0098261B">
        <w:rPr>
          <w:b/>
        </w:rPr>
        <w:t>PI</w:t>
      </w:r>
      <w:r w:rsidRPr="0098261B">
        <w:t xml:space="preserve"> (50 mg) and </w:t>
      </w:r>
      <w:proofErr w:type="spellStart"/>
      <w:r w:rsidRPr="0098261B">
        <w:t>rGO</w:t>
      </w:r>
      <w:proofErr w:type="spellEnd"/>
      <w:r w:rsidRPr="0098261B">
        <w:t xml:space="preserve"> (50 mg) were placed in a ball mill grinding jar together with seven steel balls (Φ = 3 mm). The mixture was then ball milled at 30 Hz for 30</w:t>
      </w:r>
      <w:r w:rsidR="00BE2F38">
        <w:t> </w:t>
      </w:r>
      <w:r w:rsidRPr="0098261B">
        <w:t>minutes. The product was recovered for the jar to give the physical mixture PI/</w:t>
      </w:r>
      <w:proofErr w:type="spellStart"/>
      <w:r w:rsidRPr="0098261B">
        <w:t>rGO</w:t>
      </w:r>
      <w:proofErr w:type="spellEnd"/>
      <w:r w:rsidRPr="0098261B">
        <w:t>.</w:t>
      </w:r>
    </w:p>
    <w:p w14:paraId="559A29E8" w14:textId="373CF7F6" w:rsidR="00E96DDF" w:rsidRPr="0098261B" w:rsidRDefault="00E96DDF" w:rsidP="00E96DDF">
      <w:pPr>
        <w:pStyle w:val="ExperimentalSection"/>
      </w:pPr>
      <w:r w:rsidRPr="0098261B">
        <w:t xml:space="preserve">Preparation of Electrodes and Electrochemical Characterization: The positive electrodes were prepared using the following method: </w:t>
      </w:r>
      <w:r w:rsidRPr="0098261B">
        <w:rPr>
          <w:b/>
        </w:rPr>
        <w:t>PI</w:t>
      </w:r>
      <w:r w:rsidRPr="0098261B">
        <w:t>/</w:t>
      </w:r>
      <w:r w:rsidRPr="0098261B">
        <w:rPr>
          <w:b/>
        </w:rPr>
        <w:t>PIX</w:t>
      </w:r>
      <w:r w:rsidRPr="0098261B">
        <w:t xml:space="preserve"> active material, carbon black (Super C65, IMERYS) and poly(vinylidene fluoride) were mixed in a 6:3:1 mass ratio. NMP was then added to generate a slurry. After stirring for 12 hours a finely dispersed slurry was obtained and this was coated onto an aluminium foil substrate (thickness × wid</w:t>
      </w:r>
      <w:r w:rsidR="00BE2F38">
        <w:t>th</w:t>
      </w:r>
      <w:r w:rsidRPr="0098261B">
        <w:t xml:space="preserve"> × height = 0.005 × 16 × 25 cm) using a doctor blade at a fixed thickness. The substrate was then dried at room temperature for 6 hours followed by drying under vacuum pressure at 80 </w:t>
      </w:r>
      <w:r w:rsidRPr="0098261B">
        <w:rPr>
          <w:rFonts w:ascii="Cambria Math" w:hAnsi="Cambria Math" w:cs="Cambria Math"/>
        </w:rPr>
        <w:t>℃</w:t>
      </w:r>
      <w:r w:rsidRPr="0098261B">
        <w:t xml:space="preserve"> for 12 hours giving the dry film. A punching tool was then used to punch out discs of 10 mm diameter which were dried overnight under vacuum at</w:t>
      </w:r>
      <w:r w:rsidR="00B12A03" w:rsidRPr="0098261B">
        <w:t xml:space="preserve"> 80</w:t>
      </w:r>
      <w:r w:rsidRPr="0098261B">
        <w:rPr>
          <w:rFonts w:ascii="Cambria Math" w:hAnsi="Cambria Math" w:cs="Cambria Math"/>
        </w:rPr>
        <w:t>℃</w:t>
      </w:r>
      <w:r w:rsidRPr="0098261B">
        <w:t xml:space="preserve"> and transferred directly into a glovebox under an </w:t>
      </w:r>
      <w:proofErr w:type="spellStart"/>
      <w:r w:rsidRPr="0098261B">
        <w:t>Ar</w:t>
      </w:r>
      <w:proofErr w:type="spellEnd"/>
      <w:r w:rsidRPr="0098261B">
        <w:t xml:space="preserve"> atmosphere with H</w:t>
      </w:r>
      <w:r w:rsidRPr="0098261B">
        <w:rPr>
          <w:vertAlign w:val="subscript"/>
        </w:rPr>
        <w:t>2</w:t>
      </w:r>
      <w:r w:rsidRPr="0098261B">
        <w:t>O and O</w:t>
      </w:r>
      <w:r w:rsidRPr="0098261B">
        <w:rPr>
          <w:vertAlign w:val="subscript"/>
        </w:rPr>
        <w:t xml:space="preserve">2 </w:t>
      </w:r>
      <w:r w:rsidRPr="0098261B">
        <w:t>contents below 0.1 ppm. The resulting electrode loadings were in the range of 0.2-0.4 mg cm</w:t>
      </w:r>
      <w:r w:rsidRPr="0098261B">
        <w:rPr>
          <w:vertAlign w:val="superscript"/>
        </w:rPr>
        <w:t>-2</w:t>
      </w:r>
      <w:r w:rsidRPr="0098261B">
        <w:t>.</w:t>
      </w:r>
    </w:p>
    <w:p w14:paraId="1646805A" w14:textId="06EBF3EA" w:rsidR="00E96DDF" w:rsidRPr="0098261B" w:rsidRDefault="00E96DDF" w:rsidP="00E96DDF">
      <w:pPr>
        <w:pStyle w:val="ExperimentalSection"/>
      </w:pPr>
      <w:r w:rsidRPr="0098261B">
        <w:t xml:space="preserve">Coin cells (CR2025) were then assembled inside the </w:t>
      </w:r>
      <w:proofErr w:type="spellStart"/>
      <w:r w:rsidRPr="0098261B">
        <w:t>Ar</w:t>
      </w:r>
      <w:proofErr w:type="spellEnd"/>
      <w:r w:rsidRPr="0098261B">
        <w:t>-filled glovebox. Lithium foil with a diameter of 12 mm and a thickness of 0.38 mm was used as the counter electrode, and glass microfiber (Whatman GF/F) was used as the separator. A mixture of 1,3-dioxolane and 1,2-dimethoxyethane (1:1</w:t>
      </w:r>
      <w:r w:rsidR="00BE2F38">
        <w:t> </w:t>
      </w:r>
      <w:r w:rsidRPr="0098261B">
        <w:t>v/v) containing 1 M lithium bis(</w:t>
      </w:r>
      <w:proofErr w:type="spellStart"/>
      <w:r w:rsidRPr="0098261B">
        <w:t>trifluoromethanesulfonyl</w:t>
      </w:r>
      <w:proofErr w:type="spellEnd"/>
      <w:r w:rsidRPr="0098261B">
        <w:t>)imide (</w:t>
      </w:r>
      <w:proofErr w:type="spellStart"/>
      <w:r w:rsidRPr="0098261B">
        <w:t>LiTFSI</w:t>
      </w:r>
      <w:proofErr w:type="spellEnd"/>
      <w:r w:rsidRPr="0098261B">
        <w:t>) was used as the electrolyte (</w:t>
      </w:r>
      <w:proofErr w:type="spellStart"/>
      <w:r w:rsidRPr="0098261B">
        <w:t>Duoduo</w:t>
      </w:r>
      <w:proofErr w:type="spellEnd"/>
      <w:r w:rsidRPr="0098261B">
        <w:t xml:space="preserve"> Chemicals). After preparation, the coin cells were taken out of the glovebox and tested.</w:t>
      </w:r>
    </w:p>
    <w:p w14:paraId="29B6B2B8" w14:textId="0003F3B1" w:rsidR="00E96DDF" w:rsidRPr="0098261B" w:rsidRDefault="00E96DDF" w:rsidP="00E96DDF">
      <w:pPr>
        <w:pStyle w:val="ExperimentalSection"/>
      </w:pPr>
      <w:r w:rsidRPr="0098261B">
        <w:t>Cyclic voltammograms (Biologic) were recorded over a potential range of 1.5–3.4 V (vs Li/Li</w:t>
      </w:r>
      <w:r w:rsidRPr="0098261B">
        <w:rPr>
          <w:vertAlign w:val="superscript"/>
        </w:rPr>
        <w:t>+</w:t>
      </w:r>
      <w:r w:rsidRPr="0098261B">
        <w:t>) at a scanning rate of 0.1 mV s</w:t>
      </w:r>
      <w:r w:rsidRPr="0098261B">
        <w:rPr>
          <w:vertAlign w:val="superscript"/>
        </w:rPr>
        <w:t>-1</w:t>
      </w:r>
      <w:r w:rsidRPr="0098261B">
        <w:t>, starting from open circuit potential (2.7 V) to the cathodic scan (discharge) direction. Electrochemical impedance spectroscopy (Biologic) was carried out over a frequency range from 1 MHz to 100 </w:t>
      </w:r>
      <w:proofErr w:type="spellStart"/>
      <w:r w:rsidRPr="0098261B">
        <w:t>mHz</w:t>
      </w:r>
      <w:proofErr w:type="spellEnd"/>
      <w:r w:rsidRPr="0098261B">
        <w:t>, with an amplified voltage of 10</w:t>
      </w:r>
      <w:r w:rsidR="00BE2F38">
        <w:t> </w:t>
      </w:r>
      <w:r w:rsidRPr="0098261B">
        <w:t>mV. Galvanostatic discharge-charge cycling of t</w:t>
      </w:r>
      <w:r w:rsidR="004E366B" w:rsidRPr="0098261B">
        <w:t xml:space="preserve">he cells was measured within a </w:t>
      </w:r>
      <w:r w:rsidRPr="0098261B">
        <w:t>potential window of 1.5–3.4 V (</w:t>
      </w:r>
      <w:proofErr w:type="spellStart"/>
      <w:r w:rsidRPr="0098261B">
        <w:t>Maccor</w:t>
      </w:r>
      <w:proofErr w:type="spellEnd"/>
      <w:r w:rsidRPr="0098261B">
        <w:t>). All potentials are given versus Li/Li</w:t>
      </w:r>
      <w:r w:rsidRPr="0098261B">
        <w:rPr>
          <w:vertAlign w:val="superscript"/>
        </w:rPr>
        <w:t>+</w:t>
      </w:r>
      <w:r w:rsidRPr="0098261B">
        <w:t>. All electrochemical measurements were performed on the coin cells at 25 °C.</w:t>
      </w:r>
    </w:p>
    <w:p w14:paraId="60F31542" w14:textId="77777777" w:rsidR="00E4350D" w:rsidRPr="0098261B" w:rsidRDefault="00E96DDF" w:rsidP="00E4350D">
      <w:pPr>
        <w:pStyle w:val="HAcknowledgements"/>
        <w:rPr>
          <w:color w:val="FF0000"/>
          <w:lang w:val="en-US"/>
        </w:rPr>
      </w:pPr>
      <w:r w:rsidRPr="0098261B">
        <w:t>Acknowledgements</w:t>
      </w:r>
    </w:p>
    <w:p w14:paraId="68836BB3" w14:textId="47B4AD76" w:rsidR="00E96DDF" w:rsidRPr="0098261B" w:rsidRDefault="00E96DDF" w:rsidP="00E96DDF">
      <w:pPr>
        <w:pStyle w:val="Acknowledgements"/>
      </w:pPr>
      <w:r w:rsidRPr="0098261B">
        <w:t>We thank the Engineering and Physical Sciences Research Council (EPSRC) for financial support under grant EP/N004884/1. LJH and ARN acknowledge the EPSRC funding under grant EP/R020744/1. HG thanks the C</w:t>
      </w:r>
      <w:r w:rsidR="007130C9">
        <w:t xml:space="preserve">hinese Scholarship Council </w:t>
      </w:r>
      <w:r w:rsidRPr="0098261B">
        <w:t>for a scholarship.</w:t>
      </w:r>
      <w:r w:rsidR="007130C9">
        <w:t xml:space="preserve"> </w:t>
      </w:r>
      <w:r w:rsidR="007130C9" w:rsidRPr="005E5387">
        <w:t>The author</w:t>
      </w:r>
      <w:r w:rsidR="005E5387" w:rsidRPr="005E5387">
        <w:t xml:space="preserve">s thank Dr. Michael Briggs for </w:t>
      </w:r>
      <w:r w:rsidR="00AC016B">
        <w:t>valuable discussions</w:t>
      </w:r>
      <w:r w:rsidR="005E5387">
        <w:t>.</w:t>
      </w:r>
    </w:p>
    <w:p w14:paraId="14C7B35B" w14:textId="77777777" w:rsidR="004556E1" w:rsidRPr="0098261B" w:rsidRDefault="00F45722" w:rsidP="00F45722">
      <w:pPr>
        <w:pStyle w:val="Keywords"/>
      </w:pPr>
      <w:r w:rsidRPr="0098261B">
        <w:rPr>
          <w:b/>
        </w:rPr>
        <w:t>Keywords:</w:t>
      </w:r>
      <w:r w:rsidRPr="0098261B">
        <w:t xml:space="preserve"> </w:t>
      </w:r>
      <w:r w:rsidR="00E96DDF" w:rsidRPr="0098261B">
        <w:t>crosslinked polyimides</w:t>
      </w:r>
      <w:r w:rsidRPr="0098261B">
        <w:t xml:space="preserve"> • </w:t>
      </w:r>
      <w:r w:rsidR="00E96DDF" w:rsidRPr="0098261B">
        <w:t xml:space="preserve">cathode </w:t>
      </w:r>
      <w:r w:rsidRPr="0098261B">
        <w:t xml:space="preserve">• </w:t>
      </w:r>
      <w:r w:rsidR="00E96DDF" w:rsidRPr="0098261B">
        <w:t xml:space="preserve">long cycle life </w:t>
      </w:r>
      <w:r w:rsidRPr="0098261B">
        <w:t xml:space="preserve">• </w:t>
      </w:r>
      <w:r w:rsidR="00E96DDF" w:rsidRPr="0098261B">
        <w:t xml:space="preserve">lithium ion batteries </w:t>
      </w:r>
    </w:p>
    <w:p w14:paraId="4C38712A" w14:textId="77777777" w:rsidR="00E96DDF" w:rsidRPr="0098261B" w:rsidRDefault="00E96DDF" w:rsidP="00E96DDF">
      <w:pPr>
        <w:pStyle w:val="References"/>
        <w:rPr>
          <w:noProof/>
        </w:rPr>
      </w:pPr>
      <w:r w:rsidRPr="0098261B">
        <w:rPr>
          <w:lang w:val="de-DE"/>
        </w:rPr>
        <w:fldChar w:fldCharType="begin" w:fldLock="1"/>
      </w:r>
      <w:r w:rsidRPr="0098261B">
        <w:instrText xml:space="preserve">ADDIN Mendeley Bibliography CSL_BIBLIOGRAPHY </w:instrText>
      </w:r>
      <w:r w:rsidRPr="0098261B">
        <w:rPr>
          <w:lang w:val="de-DE"/>
        </w:rPr>
        <w:fldChar w:fldCharType="separate"/>
      </w:r>
      <w:r w:rsidRPr="0098261B">
        <w:rPr>
          <w:noProof/>
        </w:rPr>
        <w:t xml:space="preserve">[1] </w:t>
      </w:r>
      <w:r w:rsidRPr="0098261B">
        <w:rPr>
          <w:noProof/>
        </w:rPr>
        <w:tab/>
        <w:t xml:space="preserve">J. M. Tarascon, M. Armand, </w:t>
      </w:r>
      <w:r w:rsidRPr="0098261B">
        <w:rPr>
          <w:i/>
          <w:iCs/>
          <w:noProof/>
        </w:rPr>
        <w:t>Nature</w:t>
      </w:r>
      <w:r w:rsidRPr="0098261B">
        <w:rPr>
          <w:noProof/>
        </w:rPr>
        <w:t xml:space="preserve"> </w:t>
      </w:r>
      <w:r w:rsidRPr="0098261B">
        <w:rPr>
          <w:b/>
          <w:bCs/>
          <w:noProof/>
        </w:rPr>
        <w:t>2001</w:t>
      </w:r>
      <w:r w:rsidRPr="0098261B">
        <w:rPr>
          <w:noProof/>
        </w:rPr>
        <w:t xml:space="preserve">, </w:t>
      </w:r>
      <w:r w:rsidRPr="0098261B">
        <w:rPr>
          <w:i/>
          <w:iCs/>
          <w:noProof/>
        </w:rPr>
        <w:t>414</w:t>
      </w:r>
      <w:r w:rsidRPr="0098261B">
        <w:rPr>
          <w:noProof/>
        </w:rPr>
        <w:t>, 359.</w:t>
      </w:r>
    </w:p>
    <w:p w14:paraId="2C5A408F" w14:textId="77777777" w:rsidR="00E96DDF" w:rsidRPr="0098261B" w:rsidRDefault="00E96DDF" w:rsidP="00E96DDF">
      <w:pPr>
        <w:pStyle w:val="References"/>
        <w:rPr>
          <w:noProof/>
        </w:rPr>
      </w:pPr>
      <w:r w:rsidRPr="0098261B">
        <w:rPr>
          <w:noProof/>
        </w:rPr>
        <w:t xml:space="preserve">[2] </w:t>
      </w:r>
      <w:r w:rsidRPr="0098261B">
        <w:rPr>
          <w:noProof/>
        </w:rPr>
        <w:tab/>
        <w:t xml:space="preserve">P. G. Bruce, S. A. Freunberger, L. J. Hardwick, J.-M. Tarascon, </w:t>
      </w:r>
      <w:r w:rsidRPr="0098261B">
        <w:rPr>
          <w:i/>
          <w:iCs/>
          <w:noProof/>
        </w:rPr>
        <w:t>Nat. Mater.</w:t>
      </w:r>
      <w:r w:rsidRPr="0098261B">
        <w:rPr>
          <w:noProof/>
        </w:rPr>
        <w:t xml:space="preserve"> </w:t>
      </w:r>
      <w:r w:rsidRPr="0098261B">
        <w:rPr>
          <w:b/>
          <w:bCs/>
          <w:noProof/>
        </w:rPr>
        <w:t>2011</w:t>
      </w:r>
      <w:r w:rsidRPr="0098261B">
        <w:rPr>
          <w:noProof/>
        </w:rPr>
        <w:t xml:space="preserve">, </w:t>
      </w:r>
      <w:r w:rsidRPr="0098261B">
        <w:rPr>
          <w:i/>
          <w:iCs/>
          <w:noProof/>
        </w:rPr>
        <w:t>11</w:t>
      </w:r>
      <w:r w:rsidRPr="0098261B">
        <w:rPr>
          <w:noProof/>
        </w:rPr>
        <w:t>, 172.</w:t>
      </w:r>
    </w:p>
    <w:p w14:paraId="1D6B81CC" w14:textId="77777777" w:rsidR="00E96DDF" w:rsidRPr="0098261B" w:rsidRDefault="00E96DDF" w:rsidP="00E96DDF">
      <w:pPr>
        <w:pStyle w:val="References"/>
        <w:rPr>
          <w:noProof/>
        </w:rPr>
      </w:pPr>
      <w:r w:rsidRPr="0098261B">
        <w:rPr>
          <w:noProof/>
        </w:rPr>
        <w:t xml:space="preserve">[3] </w:t>
      </w:r>
      <w:r w:rsidRPr="0098261B">
        <w:rPr>
          <w:noProof/>
        </w:rPr>
        <w:tab/>
        <w:t xml:space="preserve">Y. Lu, Q. Zhang, L. Li, Z. Niu, J. Chen, </w:t>
      </w:r>
      <w:r w:rsidRPr="0098261B">
        <w:rPr>
          <w:i/>
          <w:iCs/>
          <w:noProof/>
        </w:rPr>
        <w:t>Chem</w:t>
      </w:r>
      <w:r w:rsidRPr="0098261B">
        <w:rPr>
          <w:noProof/>
        </w:rPr>
        <w:t xml:space="preserve"> </w:t>
      </w:r>
      <w:r w:rsidRPr="0098261B">
        <w:rPr>
          <w:b/>
          <w:bCs/>
          <w:noProof/>
        </w:rPr>
        <w:t>2018</w:t>
      </w:r>
      <w:r w:rsidRPr="0098261B">
        <w:rPr>
          <w:noProof/>
        </w:rPr>
        <w:t xml:space="preserve">, </w:t>
      </w:r>
      <w:r w:rsidRPr="0098261B">
        <w:rPr>
          <w:i/>
          <w:iCs/>
          <w:noProof/>
        </w:rPr>
        <w:t>4</w:t>
      </w:r>
      <w:r w:rsidRPr="0098261B">
        <w:rPr>
          <w:noProof/>
        </w:rPr>
        <w:t>, 1.</w:t>
      </w:r>
    </w:p>
    <w:p w14:paraId="405F2C67" w14:textId="77777777" w:rsidR="00E96DDF" w:rsidRPr="0098261B" w:rsidRDefault="00E96DDF" w:rsidP="00E96DDF">
      <w:pPr>
        <w:pStyle w:val="References"/>
        <w:rPr>
          <w:noProof/>
        </w:rPr>
      </w:pPr>
      <w:r w:rsidRPr="0098261B">
        <w:rPr>
          <w:noProof/>
        </w:rPr>
        <w:t xml:space="preserve">[4] </w:t>
      </w:r>
      <w:r w:rsidRPr="0098261B">
        <w:rPr>
          <w:noProof/>
        </w:rPr>
        <w:tab/>
        <w:t xml:space="preserve">S. Wang, L. Wang, K. Zhang, Z. Zhu, Z. Tao, J. Chen, </w:t>
      </w:r>
      <w:r w:rsidRPr="0098261B">
        <w:rPr>
          <w:i/>
          <w:iCs/>
          <w:noProof/>
        </w:rPr>
        <w:t>Nano Lett.</w:t>
      </w:r>
      <w:r w:rsidRPr="0098261B">
        <w:rPr>
          <w:noProof/>
        </w:rPr>
        <w:t xml:space="preserve"> </w:t>
      </w:r>
      <w:r w:rsidRPr="0098261B">
        <w:rPr>
          <w:b/>
          <w:bCs/>
          <w:noProof/>
        </w:rPr>
        <w:t>2013</w:t>
      </w:r>
      <w:r w:rsidRPr="0098261B">
        <w:rPr>
          <w:noProof/>
        </w:rPr>
        <w:t xml:space="preserve">, </w:t>
      </w:r>
      <w:r w:rsidRPr="0098261B">
        <w:rPr>
          <w:i/>
          <w:iCs/>
          <w:noProof/>
        </w:rPr>
        <w:t>13</w:t>
      </w:r>
      <w:r w:rsidRPr="0098261B">
        <w:rPr>
          <w:noProof/>
        </w:rPr>
        <w:t>, 4404.</w:t>
      </w:r>
    </w:p>
    <w:p w14:paraId="1E37353A" w14:textId="75434362" w:rsidR="00E96DDF" w:rsidRPr="0098261B" w:rsidRDefault="00E96DDF" w:rsidP="00E96DDF">
      <w:pPr>
        <w:pStyle w:val="References"/>
        <w:rPr>
          <w:noProof/>
        </w:rPr>
      </w:pPr>
      <w:r w:rsidRPr="0098261B">
        <w:rPr>
          <w:noProof/>
        </w:rPr>
        <w:t xml:space="preserve">[5] </w:t>
      </w:r>
      <w:r w:rsidRPr="0098261B">
        <w:rPr>
          <w:noProof/>
        </w:rPr>
        <w:tab/>
        <w:t xml:space="preserve">M. E. Bhosale, S. Chae, J. M. Kim, J. Y. Choi, </w:t>
      </w:r>
      <w:r w:rsidRPr="0098261B">
        <w:rPr>
          <w:i/>
          <w:iCs/>
          <w:noProof/>
        </w:rPr>
        <w:t>J. Mater. Chem. A</w:t>
      </w:r>
      <w:r w:rsidRPr="0098261B">
        <w:rPr>
          <w:noProof/>
        </w:rPr>
        <w:t xml:space="preserve"> </w:t>
      </w:r>
      <w:r w:rsidRPr="0098261B">
        <w:rPr>
          <w:b/>
          <w:bCs/>
          <w:noProof/>
        </w:rPr>
        <w:t>2018</w:t>
      </w:r>
      <w:r w:rsidRPr="0098261B">
        <w:rPr>
          <w:noProof/>
        </w:rPr>
        <w:t xml:space="preserve">, </w:t>
      </w:r>
      <w:r w:rsidRPr="0098261B">
        <w:rPr>
          <w:i/>
          <w:iCs/>
          <w:noProof/>
        </w:rPr>
        <w:t>6</w:t>
      </w:r>
      <w:r w:rsidRPr="0098261B">
        <w:rPr>
          <w:noProof/>
        </w:rPr>
        <w:t>, 19885–19911.</w:t>
      </w:r>
    </w:p>
    <w:p w14:paraId="4701A253" w14:textId="307D054E" w:rsidR="00E96DDF" w:rsidRPr="0098261B" w:rsidRDefault="00E96DDF" w:rsidP="00E96DDF">
      <w:pPr>
        <w:pStyle w:val="References"/>
        <w:rPr>
          <w:noProof/>
        </w:rPr>
      </w:pPr>
      <w:r w:rsidRPr="0098261B">
        <w:rPr>
          <w:noProof/>
        </w:rPr>
        <w:t xml:space="preserve">[6] </w:t>
      </w:r>
      <w:r w:rsidRPr="0098261B">
        <w:rPr>
          <w:noProof/>
        </w:rPr>
        <w:tab/>
        <w:t xml:space="preserve">L. M. Zhu, A. W. Lei, Y. L. Cao, X. P. Ai, H. X. Yang, </w:t>
      </w:r>
      <w:r w:rsidRPr="0098261B">
        <w:rPr>
          <w:i/>
          <w:iCs/>
          <w:noProof/>
        </w:rPr>
        <w:t>Chem. Commun</w:t>
      </w:r>
      <w:r w:rsidR="007130C9">
        <w:rPr>
          <w:i/>
          <w:iCs/>
          <w:noProof/>
        </w:rPr>
        <w:t>.</w:t>
      </w:r>
      <w:r w:rsidRPr="0098261B">
        <w:rPr>
          <w:noProof/>
        </w:rPr>
        <w:t xml:space="preserve"> </w:t>
      </w:r>
      <w:r w:rsidRPr="0098261B">
        <w:rPr>
          <w:b/>
          <w:bCs/>
          <w:noProof/>
        </w:rPr>
        <w:t>2013</w:t>
      </w:r>
      <w:r w:rsidRPr="0098261B">
        <w:rPr>
          <w:noProof/>
        </w:rPr>
        <w:t xml:space="preserve">, </w:t>
      </w:r>
      <w:r w:rsidRPr="0098261B">
        <w:rPr>
          <w:i/>
          <w:iCs/>
          <w:noProof/>
        </w:rPr>
        <w:t>49</w:t>
      </w:r>
      <w:r w:rsidRPr="0098261B">
        <w:rPr>
          <w:noProof/>
        </w:rPr>
        <w:t>, 567.</w:t>
      </w:r>
    </w:p>
    <w:p w14:paraId="24BD2318" w14:textId="77777777" w:rsidR="00E96DDF" w:rsidRPr="0098261B" w:rsidRDefault="00E96DDF" w:rsidP="00E96DDF">
      <w:pPr>
        <w:pStyle w:val="References"/>
        <w:rPr>
          <w:noProof/>
        </w:rPr>
      </w:pPr>
      <w:r w:rsidRPr="0098261B">
        <w:rPr>
          <w:noProof/>
        </w:rPr>
        <w:t xml:space="preserve">[7] </w:t>
      </w:r>
      <w:r w:rsidRPr="0098261B">
        <w:rPr>
          <w:noProof/>
        </w:rPr>
        <w:tab/>
        <w:t xml:space="preserve">P. J. Nigrey, D. MacInnes, D. P. Nairns, A. G. MacDiarmid, A. J. Heeger, </w:t>
      </w:r>
      <w:r w:rsidRPr="0098261B">
        <w:rPr>
          <w:i/>
          <w:iCs/>
          <w:noProof/>
        </w:rPr>
        <w:t>J. Electrochem. Soc.</w:t>
      </w:r>
      <w:r w:rsidRPr="0098261B">
        <w:rPr>
          <w:noProof/>
        </w:rPr>
        <w:t xml:space="preserve"> </w:t>
      </w:r>
      <w:r w:rsidRPr="0098261B">
        <w:rPr>
          <w:b/>
          <w:bCs/>
          <w:noProof/>
        </w:rPr>
        <w:t>1981</w:t>
      </w:r>
      <w:r w:rsidRPr="0098261B">
        <w:rPr>
          <w:noProof/>
        </w:rPr>
        <w:t xml:space="preserve">, </w:t>
      </w:r>
      <w:r w:rsidRPr="0098261B">
        <w:rPr>
          <w:i/>
          <w:iCs/>
          <w:noProof/>
        </w:rPr>
        <w:t>128</w:t>
      </w:r>
      <w:r w:rsidRPr="0098261B">
        <w:rPr>
          <w:noProof/>
        </w:rPr>
        <w:t>, 1651.</w:t>
      </w:r>
    </w:p>
    <w:p w14:paraId="06F81A80" w14:textId="77777777" w:rsidR="00E96DDF" w:rsidRPr="0098261B" w:rsidRDefault="00E96DDF" w:rsidP="00E96DDF">
      <w:pPr>
        <w:pStyle w:val="References"/>
        <w:rPr>
          <w:noProof/>
        </w:rPr>
      </w:pPr>
      <w:r w:rsidRPr="0098261B">
        <w:rPr>
          <w:noProof/>
        </w:rPr>
        <w:t xml:space="preserve">[8] </w:t>
      </w:r>
      <w:r w:rsidRPr="0098261B">
        <w:rPr>
          <w:noProof/>
        </w:rPr>
        <w:tab/>
        <w:t xml:space="preserve">S. J. Visco, L. C. DeJonghe, </w:t>
      </w:r>
      <w:r w:rsidRPr="0098261B">
        <w:rPr>
          <w:i/>
          <w:iCs/>
          <w:noProof/>
        </w:rPr>
        <w:t>J. Electrochem. Soc.</w:t>
      </w:r>
      <w:r w:rsidRPr="0098261B">
        <w:rPr>
          <w:noProof/>
        </w:rPr>
        <w:t xml:space="preserve"> </w:t>
      </w:r>
      <w:r w:rsidRPr="0098261B">
        <w:rPr>
          <w:b/>
          <w:bCs/>
          <w:noProof/>
        </w:rPr>
        <w:t>1988</w:t>
      </w:r>
      <w:r w:rsidRPr="0098261B">
        <w:rPr>
          <w:noProof/>
        </w:rPr>
        <w:t xml:space="preserve">, </w:t>
      </w:r>
      <w:r w:rsidRPr="0098261B">
        <w:rPr>
          <w:i/>
          <w:iCs/>
          <w:noProof/>
        </w:rPr>
        <w:t>135</w:t>
      </w:r>
      <w:r w:rsidRPr="0098261B">
        <w:rPr>
          <w:noProof/>
        </w:rPr>
        <w:t>, 2905.</w:t>
      </w:r>
    </w:p>
    <w:p w14:paraId="771D5E9D" w14:textId="77777777" w:rsidR="00E96DDF" w:rsidRPr="0098261B" w:rsidRDefault="00E96DDF" w:rsidP="00E96DDF">
      <w:pPr>
        <w:pStyle w:val="References"/>
        <w:rPr>
          <w:noProof/>
        </w:rPr>
      </w:pPr>
      <w:r w:rsidRPr="0098261B">
        <w:rPr>
          <w:noProof/>
        </w:rPr>
        <w:t xml:space="preserve">[9] </w:t>
      </w:r>
      <w:r w:rsidRPr="0098261B">
        <w:rPr>
          <w:noProof/>
        </w:rPr>
        <w:tab/>
        <w:t xml:space="preserve">S.-R. Deng, L.-B. Kong, G.-Q. Hu, T. Wu, D. Li, Y.-H. Zhou, Z.-Y. Li, </w:t>
      </w:r>
      <w:r w:rsidRPr="0098261B">
        <w:rPr>
          <w:i/>
          <w:iCs/>
          <w:noProof/>
        </w:rPr>
        <w:t>Electrochim. Acta</w:t>
      </w:r>
      <w:r w:rsidRPr="0098261B">
        <w:rPr>
          <w:noProof/>
        </w:rPr>
        <w:t xml:space="preserve"> </w:t>
      </w:r>
      <w:r w:rsidRPr="0098261B">
        <w:rPr>
          <w:b/>
          <w:bCs/>
          <w:noProof/>
        </w:rPr>
        <w:t>2006</w:t>
      </w:r>
      <w:r w:rsidRPr="0098261B">
        <w:rPr>
          <w:noProof/>
        </w:rPr>
        <w:t xml:space="preserve">, </w:t>
      </w:r>
      <w:r w:rsidRPr="0098261B">
        <w:rPr>
          <w:i/>
          <w:iCs/>
          <w:noProof/>
        </w:rPr>
        <w:t>51</w:t>
      </w:r>
      <w:r w:rsidRPr="0098261B">
        <w:rPr>
          <w:noProof/>
        </w:rPr>
        <w:t>, 2589.</w:t>
      </w:r>
    </w:p>
    <w:p w14:paraId="3CC39D21" w14:textId="77777777" w:rsidR="00E96DDF" w:rsidRPr="0098261B" w:rsidRDefault="00E96DDF" w:rsidP="00E96DDF">
      <w:pPr>
        <w:pStyle w:val="References"/>
        <w:rPr>
          <w:noProof/>
        </w:rPr>
      </w:pPr>
      <w:r w:rsidRPr="0098261B">
        <w:rPr>
          <w:noProof/>
        </w:rPr>
        <w:t xml:space="preserve">[10] </w:t>
      </w:r>
      <w:r w:rsidRPr="0098261B">
        <w:rPr>
          <w:noProof/>
        </w:rPr>
        <w:tab/>
        <w:t xml:space="preserve">D. Y. Wang, W. Guo, Y. Fu, </w:t>
      </w:r>
      <w:r w:rsidRPr="0098261B">
        <w:rPr>
          <w:i/>
          <w:iCs/>
          <w:noProof/>
        </w:rPr>
        <w:t>Acc. Chem. Res.</w:t>
      </w:r>
      <w:r w:rsidRPr="0098261B">
        <w:rPr>
          <w:noProof/>
        </w:rPr>
        <w:t xml:space="preserve"> </w:t>
      </w:r>
      <w:r w:rsidRPr="0098261B">
        <w:rPr>
          <w:b/>
          <w:bCs/>
          <w:noProof/>
        </w:rPr>
        <w:t>2019</w:t>
      </w:r>
      <w:r w:rsidRPr="0098261B">
        <w:rPr>
          <w:noProof/>
        </w:rPr>
        <w:t xml:space="preserve">, </w:t>
      </w:r>
      <w:r w:rsidRPr="0098261B">
        <w:rPr>
          <w:i/>
          <w:iCs/>
          <w:noProof/>
        </w:rPr>
        <w:t>52</w:t>
      </w:r>
      <w:r w:rsidRPr="0098261B">
        <w:rPr>
          <w:noProof/>
        </w:rPr>
        <w:t>, 2290.</w:t>
      </w:r>
    </w:p>
    <w:p w14:paraId="376FCAA3" w14:textId="77777777" w:rsidR="00E96DDF" w:rsidRPr="0098261B" w:rsidRDefault="00E96DDF" w:rsidP="00E96DDF">
      <w:pPr>
        <w:pStyle w:val="References"/>
        <w:rPr>
          <w:noProof/>
        </w:rPr>
      </w:pPr>
      <w:r w:rsidRPr="0098261B">
        <w:rPr>
          <w:noProof/>
        </w:rPr>
        <w:t xml:space="preserve">[11] </w:t>
      </w:r>
      <w:r w:rsidRPr="0098261B">
        <w:rPr>
          <w:noProof/>
        </w:rPr>
        <w:tab/>
        <w:t xml:space="preserve">K. Oyaizu, H. Nishide, </w:t>
      </w:r>
      <w:r w:rsidRPr="0098261B">
        <w:rPr>
          <w:i/>
          <w:iCs/>
          <w:noProof/>
        </w:rPr>
        <w:t>Adv. Mater.</w:t>
      </w:r>
      <w:r w:rsidRPr="0098261B">
        <w:rPr>
          <w:noProof/>
        </w:rPr>
        <w:t xml:space="preserve"> </w:t>
      </w:r>
      <w:r w:rsidRPr="0098261B">
        <w:rPr>
          <w:b/>
          <w:bCs/>
          <w:noProof/>
        </w:rPr>
        <w:t>2009</w:t>
      </w:r>
      <w:r w:rsidRPr="0098261B">
        <w:rPr>
          <w:noProof/>
        </w:rPr>
        <w:t xml:space="preserve">, </w:t>
      </w:r>
      <w:r w:rsidRPr="0098261B">
        <w:rPr>
          <w:i/>
          <w:iCs/>
          <w:noProof/>
        </w:rPr>
        <w:t>21</w:t>
      </w:r>
      <w:r w:rsidRPr="0098261B">
        <w:rPr>
          <w:noProof/>
        </w:rPr>
        <w:t>, 2339.</w:t>
      </w:r>
    </w:p>
    <w:p w14:paraId="56BDAC46" w14:textId="77777777" w:rsidR="00E96DDF" w:rsidRPr="0098261B" w:rsidRDefault="00E96DDF" w:rsidP="00E96DDF">
      <w:pPr>
        <w:pStyle w:val="References"/>
        <w:rPr>
          <w:noProof/>
        </w:rPr>
      </w:pPr>
      <w:r w:rsidRPr="0098261B">
        <w:rPr>
          <w:noProof/>
        </w:rPr>
        <w:t xml:space="preserve">[12] </w:t>
      </w:r>
      <w:r w:rsidRPr="0098261B">
        <w:rPr>
          <w:noProof/>
        </w:rPr>
        <w:tab/>
        <w:t xml:space="preserve">T. Janoschka, M. D. Hager, U. S. Schubert, </w:t>
      </w:r>
      <w:r w:rsidRPr="0098261B">
        <w:rPr>
          <w:i/>
          <w:iCs/>
          <w:noProof/>
        </w:rPr>
        <w:t>Adv. Mater.</w:t>
      </w:r>
      <w:r w:rsidRPr="0098261B">
        <w:rPr>
          <w:noProof/>
        </w:rPr>
        <w:t xml:space="preserve"> </w:t>
      </w:r>
      <w:r w:rsidRPr="0098261B">
        <w:rPr>
          <w:b/>
          <w:bCs/>
          <w:noProof/>
        </w:rPr>
        <w:t>2012</w:t>
      </w:r>
      <w:r w:rsidRPr="0098261B">
        <w:rPr>
          <w:noProof/>
        </w:rPr>
        <w:t xml:space="preserve">, </w:t>
      </w:r>
      <w:r w:rsidRPr="0098261B">
        <w:rPr>
          <w:i/>
          <w:iCs/>
          <w:noProof/>
        </w:rPr>
        <w:t>24</w:t>
      </w:r>
      <w:r w:rsidRPr="0098261B">
        <w:rPr>
          <w:noProof/>
        </w:rPr>
        <w:t>, 6397.</w:t>
      </w:r>
    </w:p>
    <w:p w14:paraId="4586EA32" w14:textId="77777777" w:rsidR="00E96DDF" w:rsidRPr="0098261B" w:rsidRDefault="00E96DDF" w:rsidP="00E96DDF">
      <w:pPr>
        <w:pStyle w:val="References"/>
        <w:rPr>
          <w:noProof/>
        </w:rPr>
      </w:pPr>
      <w:r w:rsidRPr="0098261B">
        <w:rPr>
          <w:noProof/>
        </w:rPr>
        <w:t xml:space="preserve">[13] </w:t>
      </w:r>
      <w:r w:rsidRPr="0098261B">
        <w:rPr>
          <w:noProof/>
        </w:rPr>
        <w:tab/>
        <w:t xml:space="preserve">Y. Liang, P. Zhang, J. Chen, </w:t>
      </w:r>
      <w:r w:rsidRPr="0098261B">
        <w:rPr>
          <w:i/>
          <w:iCs/>
          <w:noProof/>
        </w:rPr>
        <w:t>Chem. Sci.</w:t>
      </w:r>
      <w:r w:rsidRPr="0098261B">
        <w:rPr>
          <w:noProof/>
        </w:rPr>
        <w:t xml:space="preserve"> </w:t>
      </w:r>
      <w:r w:rsidRPr="0098261B">
        <w:rPr>
          <w:b/>
          <w:bCs/>
          <w:noProof/>
        </w:rPr>
        <w:t>2013</w:t>
      </w:r>
      <w:r w:rsidRPr="0098261B">
        <w:rPr>
          <w:noProof/>
        </w:rPr>
        <w:t xml:space="preserve">, </w:t>
      </w:r>
      <w:r w:rsidRPr="0098261B">
        <w:rPr>
          <w:i/>
          <w:iCs/>
          <w:noProof/>
        </w:rPr>
        <w:t>4</w:t>
      </w:r>
      <w:r w:rsidRPr="0098261B">
        <w:rPr>
          <w:noProof/>
        </w:rPr>
        <w:t>, 1330.</w:t>
      </w:r>
    </w:p>
    <w:p w14:paraId="63D3682A" w14:textId="77777777" w:rsidR="00E96DDF" w:rsidRPr="0098261B" w:rsidRDefault="00E96DDF" w:rsidP="00E96DDF">
      <w:pPr>
        <w:pStyle w:val="References"/>
        <w:rPr>
          <w:noProof/>
        </w:rPr>
      </w:pPr>
      <w:r w:rsidRPr="0098261B">
        <w:rPr>
          <w:noProof/>
        </w:rPr>
        <w:t xml:space="preserve">[14] </w:t>
      </w:r>
      <w:r w:rsidRPr="0098261B">
        <w:rPr>
          <w:noProof/>
        </w:rPr>
        <w:tab/>
        <w:t xml:space="preserve">Z. Luo, L. Liu, J. Ning, K. Lei, Y. Lu, F. Li, J. Chen, </w:t>
      </w:r>
      <w:r w:rsidRPr="0098261B">
        <w:rPr>
          <w:i/>
          <w:iCs/>
          <w:noProof/>
        </w:rPr>
        <w:t>Angew. Chemie Int. Ed.</w:t>
      </w:r>
      <w:r w:rsidRPr="0098261B">
        <w:rPr>
          <w:noProof/>
        </w:rPr>
        <w:t xml:space="preserve"> </w:t>
      </w:r>
      <w:r w:rsidRPr="0098261B">
        <w:rPr>
          <w:b/>
          <w:bCs/>
          <w:noProof/>
        </w:rPr>
        <w:t>2018</w:t>
      </w:r>
      <w:r w:rsidRPr="0098261B">
        <w:rPr>
          <w:noProof/>
        </w:rPr>
        <w:t xml:space="preserve">, </w:t>
      </w:r>
      <w:r w:rsidRPr="0098261B">
        <w:rPr>
          <w:i/>
          <w:iCs/>
          <w:noProof/>
        </w:rPr>
        <w:t>57</w:t>
      </w:r>
      <w:r w:rsidRPr="0098261B">
        <w:rPr>
          <w:noProof/>
        </w:rPr>
        <w:t>, 9443.</w:t>
      </w:r>
    </w:p>
    <w:p w14:paraId="404FF198" w14:textId="77777777" w:rsidR="00E96DDF" w:rsidRPr="0098261B" w:rsidRDefault="00E96DDF" w:rsidP="00E96DDF">
      <w:pPr>
        <w:pStyle w:val="References"/>
        <w:rPr>
          <w:noProof/>
        </w:rPr>
      </w:pPr>
      <w:r w:rsidRPr="0098261B">
        <w:rPr>
          <w:noProof/>
        </w:rPr>
        <w:t xml:space="preserve">[15] </w:t>
      </w:r>
      <w:r w:rsidRPr="0098261B">
        <w:rPr>
          <w:noProof/>
        </w:rPr>
        <w:tab/>
        <w:t xml:space="preserve">Z. Song, H. Zhan, Y. Zhou, </w:t>
      </w:r>
      <w:r w:rsidRPr="0098261B">
        <w:rPr>
          <w:i/>
          <w:iCs/>
          <w:noProof/>
        </w:rPr>
        <w:t>Angew. Chemie Int. Ed.</w:t>
      </w:r>
      <w:r w:rsidRPr="0098261B">
        <w:rPr>
          <w:noProof/>
        </w:rPr>
        <w:t xml:space="preserve"> </w:t>
      </w:r>
      <w:r w:rsidRPr="0098261B">
        <w:rPr>
          <w:b/>
          <w:bCs/>
          <w:noProof/>
        </w:rPr>
        <w:t>2010</w:t>
      </w:r>
      <w:r w:rsidRPr="0098261B">
        <w:rPr>
          <w:noProof/>
        </w:rPr>
        <w:t xml:space="preserve">, </w:t>
      </w:r>
      <w:r w:rsidRPr="0098261B">
        <w:rPr>
          <w:i/>
          <w:iCs/>
          <w:noProof/>
        </w:rPr>
        <w:t>49</w:t>
      </w:r>
      <w:r w:rsidRPr="0098261B">
        <w:rPr>
          <w:noProof/>
        </w:rPr>
        <w:t>, 8444.</w:t>
      </w:r>
    </w:p>
    <w:p w14:paraId="55F421FE" w14:textId="77777777" w:rsidR="00E96DDF" w:rsidRPr="0098261B" w:rsidRDefault="00E96DDF" w:rsidP="00E96DDF">
      <w:pPr>
        <w:pStyle w:val="References"/>
        <w:rPr>
          <w:noProof/>
        </w:rPr>
      </w:pPr>
      <w:r w:rsidRPr="0098261B">
        <w:rPr>
          <w:noProof/>
        </w:rPr>
        <w:t xml:space="preserve">[16] </w:t>
      </w:r>
      <w:r w:rsidRPr="0098261B">
        <w:rPr>
          <w:noProof/>
        </w:rPr>
        <w:tab/>
        <w:t xml:space="preserve">Y. Lu, X. Hou, L. Miao, L. Li, R. Shi, L. Liu, J. Chen, </w:t>
      </w:r>
      <w:r w:rsidRPr="0098261B">
        <w:rPr>
          <w:i/>
          <w:iCs/>
          <w:noProof/>
        </w:rPr>
        <w:t>Angew. Chemie - Int. Ed.</w:t>
      </w:r>
      <w:r w:rsidRPr="0098261B">
        <w:rPr>
          <w:noProof/>
        </w:rPr>
        <w:t xml:space="preserve"> </w:t>
      </w:r>
      <w:r w:rsidRPr="0098261B">
        <w:rPr>
          <w:b/>
          <w:bCs/>
          <w:noProof/>
        </w:rPr>
        <w:t>2019</w:t>
      </w:r>
      <w:r w:rsidRPr="0098261B">
        <w:rPr>
          <w:noProof/>
        </w:rPr>
        <w:t xml:space="preserve">, </w:t>
      </w:r>
      <w:r w:rsidRPr="0098261B">
        <w:rPr>
          <w:i/>
          <w:iCs/>
          <w:noProof/>
        </w:rPr>
        <w:t>58</w:t>
      </w:r>
      <w:r w:rsidRPr="0098261B">
        <w:rPr>
          <w:noProof/>
        </w:rPr>
        <w:t>, 7020.</w:t>
      </w:r>
    </w:p>
    <w:p w14:paraId="11C8FBF2" w14:textId="77777777" w:rsidR="00E96DDF" w:rsidRPr="0098261B" w:rsidRDefault="00E96DDF" w:rsidP="00E96DDF">
      <w:pPr>
        <w:pStyle w:val="References"/>
        <w:rPr>
          <w:noProof/>
        </w:rPr>
      </w:pPr>
      <w:r w:rsidRPr="0098261B">
        <w:rPr>
          <w:noProof/>
        </w:rPr>
        <w:t xml:space="preserve">[17] </w:t>
      </w:r>
      <w:r w:rsidRPr="0098261B">
        <w:rPr>
          <w:noProof/>
        </w:rPr>
        <w:tab/>
        <w:t xml:space="preserve">T. Matsunaga, T. Kubota, T. Sugimoto, M. Satoh, </w:t>
      </w:r>
      <w:r w:rsidRPr="0098261B">
        <w:rPr>
          <w:i/>
          <w:iCs/>
          <w:noProof/>
        </w:rPr>
        <w:t>Chem. Lett.</w:t>
      </w:r>
      <w:r w:rsidRPr="0098261B">
        <w:rPr>
          <w:noProof/>
        </w:rPr>
        <w:t xml:space="preserve"> </w:t>
      </w:r>
      <w:r w:rsidRPr="0098261B">
        <w:rPr>
          <w:b/>
          <w:bCs/>
          <w:noProof/>
        </w:rPr>
        <w:t>2011</w:t>
      </w:r>
      <w:r w:rsidRPr="0098261B">
        <w:rPr>
          <w:noProof/>
        </w:rPr>
        <w:t xml:space="preserve">, </w:t>
      </w:r>
      <w:r w:rsidRPr="0098261B">
        <w:rPr>
          <w:i/>
          <w:iCs/>
          <w:noProof/>
        </w:rPr>
        <w:t>40</w:t>
      </w:r>
      <w:r w:rsidRPr="0098261B">
        <w:rPr>
          <w:noProof/>
        </w:rPr>
        <w:t>, 750.</w:t>
      </w:r>
    </w:p>
    <w:p w14:paraId="66763141" w14:textId="77777777" w:rsidR="00E96DDF" w:rsidRPr="0098261B" w:rsidRDefault="00E96DDF" w:rsidP="00E96DDF">
      <w:pPr>
        <w:pStyle w:val="References"/>
        <w:rPr>
          <w:noProof/>
        </w:rPr>
      </w:pPr>
      <w:r w:rsidRPr="0098261B">
        <w:rPr>
          <w:noProof/>
        </w:rPr>
        <w:t xml:space="preserve">[18] </w:t>
      </w:r>
      <w:r w:rsidRPr="0098261B">
        <w:rPr>
          <w:noProof/>
        </w:rPr>
        <w:tab/>
        <w:t xml:space="preserve">C. Peng, G. H. Ning, J. Su, G. Zhong, W. Tang, B. Tian, C. Su, Di. Yu, L. Zu, J. Yang, M. F. Ng, Y. S. Hu, Y. Yang, M. Armand, K. P. Loh, </w:t>
      </w:r>
      <w:r w:rsidRPr="0098261B">
        <w:rPr>
          <w:i/>
          <w:iCs/>
          <w:noProof/>
        </w:rPr>
        <w:t>Nat. Energy</w:t>
      </w:r>
      <w:r w:rsidRPr="0098261B">
        <w:rPr>
          <w:noProof/>
        </w:rPr>
        <w:t xml:space="preserve"> </w:t>
      </w:r>
      <w:r w:rsidRPr="0098261B">
        <w:rPr>
          <w:b/>
          <w:bCs/>
          <w:noProof/>
        </w:rPr>
        <w:t>2017</w:t>
      </w:r>
      <w:r w:rsidRPr="0098261B">
        <w:rPr>
          <w:noProof/>
        </w:rPr>
        <w:t xml:space="preserve">, </w:t>
      </w:r>
      <w:r w:rsidRPr="0098261B">
        <w:rPr>
          <w:i/>
          <w:iCs/>
          <w:noProof/>
        </w:rPr>
        <w:t>2</w:t>
      </w:r>
      <w:r w:rsidRPr="0098261B">
        <w:rPr>
          <w:noProof/>
        </w:rPr>
        <w:t>, 1.</w:t>
      </w:r>
    </w:p>
    <w:p w14:paraId="5F4C693F" w14:textId="77777777" w:rsidR="00E96DDF" w:rsidRPr="0098261B" w:rsidRDefault="00E96DDF" w:rsidP="00E96DDF">
      <w:pPr>
        <w:pStyle w:val="References"/>
        <w:rPr>
          <w:noProof/>
        </w:rPr>
      </w:pPr>
      <w:r w:rsidRPr="0098261B">
        <w:rPr>
          <w:noProof/>
        </w:rPr>
        <w:t xml:space="preserve">[19] </w:t>
      </w:r>
      <w:r w:rsidRPr="0098261B">
        <w:rPr>
          <w:noProof/>
        </w:rPr>
        <w:tab/>
        <w:t xml:space="preserve">C. Luo, X. Ji, S. Hou, N. Eidson, X. Fan, Y. Liang, T. Deng, J. Jiang, C. Wang, </w:t>
      </w:r>
      <w:r w:rsidRPr="0098261B">
        <w:rPr>
          <w:i/>
          <w:iCs/>
          <w:noProof/>
        </w:rPr>
        <w:t>Adv. Mater.</w:t>
      </w:r>
      <w:r w:rsidRPr="0098261B">
        <w:rPr>
          <w:noProof/>
        </w:rPr>
        <w:t xml:space="preserve"> </w:t>
      </w:r>
      <w:r w:rsidRPr="0098261B">
        <w:rPr>
          <w:b/>
          <w:bCs/>
          <w:noProof/>
        </w:rPr>
        <w:t>2018</w:t>
      </w:r>
      <w:r w:rsidRPr="0098261B">
        <w:rPr>
          <w:noProof/>
        </w:rPr>
        <w:t xml:space="preserve">, </w:t>
      </w:r>
      <w:r w:rsidRPr="0098261B">
        <w:rPr>
          <w:i/>
          <w:iCs/>
          <w:noProof/>
        </w:rPr>
        <w:t>30</w:t>
      </w:r>
      <w:r w:rsidRPr="0098261B">
        <w:rPr>
          <w:noProof/>
        </w:rPr>
        <w:t>, 1706498.</w:t>
      </w:r>
    </w:p>
    <w:p w14:paraId="116E7F8A" w14:textId="77777777" w:rsidR="00E96DDF" w:rsidRPr="0098261B" w:rsidRDefault="00E96DDF" w:rsidP="00E96DDF">
      <w:pPr>
        <w:pStyle w:val="References"/>
        <w:rPr>
          <w:noProof/>
        </w:rPr>
      </w:pPr>
      <w:r w:rsidRPr="0098261B">
        <w:rPr>
          <w:noProof/>
        </w:rPr>
        <w:t xml:space="preserve">[20] </w:t>
      </w:r>
      <w:r w:rsidRPr="0098261B">
        <w:rPr>
          <w:noProof/>
        </w:rPr>
        <w:tab/>
        <w:t xml:space="preserve">C. Luo, O. Borodin, X. Ji, S. Hou, K. J. Gaskell, X. Fan, J. Chen, T. Deng, R. Wang, J. Jiang, C. Wang, </w:t>
      </w:r>
      <w:r w:rsidRPr="0098261B">
        <w:rPr>
          <w:i/>
          <w:iCs/>
          <w:noProof/>
        </w:rPr>
        <w:t>Proc. Natl. Acad. Sci.</w:t>
      </w:r>
      <w:r w:rsidRPr="0098261B">
        <w:rPr>
          <w:noProof/>
        </w:rPr>
        <w:t xml:space="preserve"> </w:t>
      </w:r>
      <w:r w:rsidRPr="0098261B">
        <w:rPr>
          <w:b/>
          <w:bCs/>
          <w:noProof/>
        </w:rPr>
        <w:t>2018</w:t>
      </w:r>
      <w:r w:rsidRPr="0098261B">
        <w:rPr>
          <w:noProof/>
        </w:rPr>
        <w:t xml:space="preserve">, </w:t>
      </w:r>
      <w:r w:rsidRPr="0098261B">
        <w:rPr>
          <w:i/>
          <w:iCs/>
          <w:noProof/>
        </w:rPr>
        <w:t>115</w:t>
      </w:r>
      <w:r w:rsidRPr="0098261B">
        <w:rPr>
          <w:noProof/>
        </w:rPr>
        <w:t>, 2004.</w:t>
      </w:r>
    </w:p>
    <w:p w14:paraId="571F88F4" w14:textId="77777777" w:rsidR="00E96DDF" w:rsidRPr="0098261B" w:rsidRDefault="00E96DDF" w:rsidP="00E96DDF">
      <w:pPr>
        <w:pStyle w:val="References"/>
        <w:rPr>
          <w:noProof/>
        </w:rPr>
      </w:pPr>
      <w:r w:rsidRPr="0098261B">
        <w:rPr>
          <w:noProof/>
        </w:rPr>
        <w:t xml:space="preserve">[21] </w:t>
      </w:r>
      <w:r w:rsidRPr="0098261B">
        <w:rPr>
          <w:noProof/>
        </w:rPr>
        <w:tab/>
        <w:t xml:space="preserve">B. Häupler, A. Wild, U. S. Schubert, </w:t>
      </w:r>
      <w:r w:rsidRPr="0098261B">
        <w:rPr>
          <w:i/>
          <w:iCs/>
          <w:noProof/>
        </w:rPr>
        <w:t>Adv. Energy Mater.</w:t>
      </w:r>
      <w:r w:rsidRPr="0098261B">
        <w:rPr>
          <w:noProof/>
        </w:rPr>
        <w:t xml:space="preserve"> </w:t>
      </w:r>
      <w:r w:rsidRPr="0098261B">
        <w:rPr>
          <w:b/>
          <w:bCs/>
          <w:noProof/>
        </w:rPr>
        <w:t>2015</w:t>
      </w:r>
      <w:r w:rsidRPr="0098261B">
        <w:rPr>
          <w:noProof/>
        </w:rPr>
        <w:t xml:space="preserve">, </w:t>
      </w:r>
      <w:r w:rsidRPr="0098261B">
        <w:rPr>
          <w:i/>
          <w:iCs/>
          <w:noProof/>
        </w:rPr>
        <w:t>5</w:t>
      </w:r>
      <w:r w:rsidRPr="0098261B">
        <w:rPr>
          <w:noProof/>
        </w:rPr>
        <w:t>, 1402034.</w:t>
      </w:r>
    </w:p>
    <w:p w14:paraId="6FD5DED7" w14:textId="77777777" w:rsidR="00E96DDF" w:rsidRPr="0098261B" w:rsidRDefault="00E96DDF" w:rsidP="00E96DDF">
      <w:pPr>
        <w:pStyle w:val="References"/>
        <w:rPr>
          <w:noProof/>
        </w:rPr>
      </w:pPr>
      <w:r w:rsidRPr="0098261B">
        <w:rPr>
          <w:noProof/>
        </w:rPr>
        <w:t xml:space="preserve">[22] </w:t>
      </w:r>
      <w:r w:rsidRPr="0098261B">
        <w:rPr>
          <w:noProof/>
        </w:rPr>
        <w:tab/>
        <w:t xml:space="preserve">A. Jaffe, A. Saldivar Valdes, H. I. Karunadasa, </w:t>
      </w:r>
      <w:r w:rsidRPr="0098261B">
        <w:rPr>
          <w:i/>
          <w:iCs/>
          <w:noProof/>
        </w:rPr>
        <w:t>Chem. Mater.</w:t>
      </w:r>
      <w:r w:rsidRPr="0098261B">
        <w:rPr>
          <w:noProof/>
        </w:rPr>
        <w:t xml:space="preserve"> </w:t>
      </w:r>
      <w:r w:rsidRPr="0098261B">
        <w:rPr>
          <w:b/>
          <w:bCs/>
          <w:noProof/>
        </w:rPr>
        <w:t>2015</w:t>
      </w:r>
      <w:r w:rsidRPr="0098261B">
        <w:rPr>
          <w:noProof/>
        </w:rPr>
        <w:t xml:space="preserve">, </w:t>
      </w:r>
      <w:r w:rsidRPr="0098261B">
        <w:rPr>
          <w:i/>
          <w:iCs/>
          <w:noProof/>
        </w:rPr>
        <w:t>27</w:t>
      </w:r>
      <w:r w:rsidRPr="0098261B">
        <w:rPr>
          <w:noProof/>
        </w:rPr>
        <w:t>, 3568.</w:t>
      </w:r>
    </w:p>
    <w:p w14:paraId="7AD2D503" w14:textId="77777777" w:rsidR="00E96DDF" w:rsidRPr="0098261B" w:rsidRDefault="00E96DDF" w:rsidP="00E96DDF">
      <w:pPr>
        <w:pStyle w:val="References"/>
        <w:rPr>
          <w:noProof/>
        </w:rPr>
      </w:pPr>
      <w:r w:rsidRPr="0098261B">
        <w:rPr>
          <w:noProof/>
        </w:rPr>
        <w:t xml:space="preserve">[23] </w:t>
      </w:r>
      <w:r w:rsidRPr="0098261B">
        <w:rPr>
          <w:noProof/>
        </w:rPr>
        <w:tab/>
        <w:t xml:space="preserve">H. Chen, M. Armand, M. Courty, M. Jiang, C. P. Grey, F. Dolhem, J. M. Tarascon, P. Poizot, </w:t>
      </w:r>
      <w:r w:rsidRPr="0098261B">
        <w:rPr>
          <w:i/>
          <w:iCs/>
          <w:noProof/>
        </w:rPr>
        <w:t>J. Am. Chem. Soc.</w:t>
      </w:r>
      <w:r w:rsidRPr="0098261B">
        <w:rPr>
          <w:noProof/>
        </w:rPr>
        <w:t xml:space="preserve"> </w:t>
      </w:r>
      <w:r w:rsidRPr="0098261B">
        <w:rPr>
          <w:b/>
          <w:bCs/>
          <w:noProof/>
        </w:rPr>
        <w:t>2009</w:t>
      </w:r>
      <w:r w:rsidRPr="0098261B">
        <w:rPr>
          <w:noProof/>
        </w:rPr>
        <w:t xml:space="preserve">, </w:t>
      </w:r>
      <w:r w:rsidRPr="0098261B">
        <w:rPr>
          <w:i/>
          <w:iCs/>
          <w:noProof/>
        </w:rPr>
        <w:t>131</w:t>
      </w:r>
      <w:r w:rsidRPr="0098261B">
        <w:rPr>
          <w:noProof/>
        </w:rPr>
        <w:t>, 8984.</w:t>
      </w:r>
    </w:p>
    <w:p w14:paraId="0542DE7C" w14:textId="77777777" w:rsidR="00E96DDF" w:rsidRPr="0098261B" w:rsidRDefault="00E96DDF" w:rsidP="00E96DDF">
      <w:pPr>
        <w:pStyle w:val="References"/>
        <w:rPr>
          <w:noProof/>
        </w:rPr>
      </w:pPr>
      <w:r w:rsidRPr="0098261B">
        <w:rPr>
          <w:noProof/>
        </w:rPr>
        <w:t xml:space="preserve">[24] </w:t>
      </w:r>
      <w:r w:rsidRPr="0098261B">
        <w:rPr>
          <w:noProof/>
        </w:rPr>
        <w:tab/>
        <w:t xml:space="preserve">B. Tian, G.-H. Ning, W. Tang, C. Peng, D. Yu, Z. Chen, Y. Xiao, C. Su, K. P. Loh, </w:t>
      </w:r>
      <w:r w:rsidRPr="0098261B">
        <w:rPr>
          <w:i/>
          <w:iCs/>
          <w:noProof/>
        </w:rPr>
        <w:t>Mater. Horiz.</w:t>
      </w:r>
      <w:r w:rsidRPr="0098261B">
        <w:rPr>
          <w:noProof/>
        </w:rPr>
        <w:t xml:space="preserve"> </w:t>
      </w:r>
      <w:r w:rsidRPr="0098261B">
        <w:rPr>
          <w:b/>
          <w:bCs/>
          <w:noProof/>
        </w:rPr>
        <w:t>2016</w:t>
      </w:r>
      <w:r w:rsidRPr="0098261B">
        <w:rPr>
          <w:noProof/>
        </w:rPr>
        <w:t xml:space="preserve">, </w:t>
      </w:r>
      <w:r w:rsidRPr="0098261B">
        <w:rPr>
          <w:i/>
          <w:iCs/>
          <w:noProof/>
        </w:rPr>
        <w:t>3</w:t>
      </w:r>
      <w:r w:rsidRPr="0098261B">
        <w:rPr>
          <w:noProof/>
        </w:rPr>
        <w:t>, 429.</w:t>
      </w:r>
    </w:p>
    <w:p w14:paraId="715E0167" w14:textId="77777777" w:rsidR="00E96DDF" w:rsidRPr="0098261B" w:rsidRDefault="00E96DDF" w:rsidP="00E96DDF">
      <w:pPr>
        <w:pStyle w:val="References"/>
        <w:rPr>
          <w:noProof/>
        </w:rPr>
      </w:pPr>
      <w:r w:rsidRPr="0098261B">
        <w:rPr>
          <w:noProof/>
        </w:rPr>
        <w:t xml:space="preserve">[25] </w:t>
      </w:r>
      <w:r w:rsidRPr="0098261B">
        <w:rPr>
          <w:noProof/>
        </w:rPr>
        <w:tab/>
        <w:t xml:space="preserve">S. Muench, A. Wild, C. Friebe, B. Häupler, T. Janoschka, U. S. Schubert, </w:t>
      </w:r>
      <w:r w:rsidRPr="0098261B">
        <w:rPr>
          <w:i/>
          <w:iCs/>
          <w:noProof/>
        </w:rPr>
        <w:t>Chem. Rev.</w:t>
      </w:r>
      <w:r w:rsidRPr="0098261B">
        <w:rPr>
          <w:noProof/>
        </w:rPr>
        <w:t xml:space="preserve"> </w:t>
      </w:r>
      <w:r w:rsidRPr="0098261B">
        <w:rPr>
          <w:b/>
          <w:bCs/>
          <w:noProof/>
        </w:rPr>
        <w:t>2016</w:t>
      </w:r>
      <w:r w:rsidRPr="0098261B">
        <w:rPr>
          <w:noProof/>
        </w:rPr>
        <w:t xml:space="preserve">, </w:t>
      </w:r>
      <w:r w:rsidRPr="0098261B">
        <w:rPr>
          <w:i/>
          <w:iCs/>
          <w:noProof/>
        </w:rPr>
        <w:t>116</w:t>
      </w:r>
      <w:r w:rsidRPr="0098261B">
        <w:rPr>
          <w:noProof/>
        </w:rPr>
        <w:t>, 9438.</w:t>
      </w:r>
    </w:p>
    <w:p w14:paraId="3E68BBC3" w14:textId="77777777" w:rsidR="00E96DDF" w:rsidRPr="0098261B" w:rsidRDefault="00E96DDF" w:rsidP="00E96DDF">
      <w:pPr>
        <w:pStyle w:val="References"/>
        <w:rPr>
          <w:noProof/>
        </w:rPr>
      </w:pPr>
      <w:r w:rsidRPr="0098261B">
        <w:rPr>
          <w:noProof/>
        </w:rPr>
        <w:t xml:space="preserve">[26] </w:t>
      </w:r>
      <w:r w:rsidRPr="0098261B">
        <w:rPr>
          <w:noProof/>
        </w:rPr>
        <w:tab/>
        <w:t xml:space="preserve">Z. Wang, Y. Li, P. Liu, Q. Qi, F. Zhang, G. Lu, X. Zhao, X. Huang, </w:t>
      </w:r>
      <w:r w:rsidRPr="0098261B">
        <w:rPr>
          <w:i/>
          <w:iCs/>
          <w:noProof/>
        </w:rPr>
        <w:t>Nanoscale</w:t>
      </w:r>
      <w:r w:rsidRPr="0098261B">
        <w:rPr>
          <w:noProof/>
        </w:rPr>
        <w:t xml:space="preserve"> </w:t>
      </w:r>
      <w:r w:rsidRPr="0098261B">
        <w:rPr>
          <w:b/>
          <w:bCs/>
          <w:noProof/>
        </w:rPr>
        <w:t>2019</w:t>
      </w:r>
      <w:r w:rsidRPr="0098261B">
        <w:rPr>
          <w:noProof/>
        </w:rPr>
        <w:t xml:space="preserve">, </w:t>
      </w:r>
      <w:r w:rsidRPr="0098261B">
        <w:rPr>
          <w:i/>
          <w:iCs/>
          <w:noProof/>
        </w:rPr>
        <w:t>11</w:t>
      </w:r>
      <w:r w:rsidRPr="0098261B">
        <w:rPr>
          <w:noProof/>
        </w:rPr>
        <w:t>, 5330.</w:t>
      </w:r>
    </w:p>
    <w:p w14:paraId="52F7FEAE" w14:textId="77777777" w:rsidR="00E96DDF" w:rsidRPr="0098261B" w:rsidRDefault="00E96DDF" w:rsidP="00E96DDF">
      <w:pPr>
        <w:pStyle w:val="References"/>
        <w:rPr>
          <w:noProof/>
        </w:rPr>
      </w:pPr>
      <w:r w:rsidRPr="0098261B">
        <w:rPr>
          <w:noProof/>
        </w:rPr>
        <w:t xml:space="preserve">[27] </w:t>
      </w:r>
      <w:r w:rsidRPr="0098261B">
        <w:rPr>
          <w:noProof/>
        </w:rPr>
        <w:tab/>
        <w:t xml:space="preserve">A. Molina, N. Patil, E. Ventosa, M. Liras, J. Palma, R. Marcilla, </w:t>
      </w:r>
      <w:r w:rsidRPr="0098261B">
        <w:rPr>
          <w:i/>
          <w:iCs/>
          <w:noProof/>
        </w:rPr>
        <w:t>Adv. Funct. Mater.</w:t>
      </w:r>
      <w:r w:rsidRPr="0098261B">
        <w:rPr>
          <w:noProof/>
        </w:rPr>
        <w:t xml:space="preserve"> </w:t>
      </w:r>
      <w:r w:rsidRPr="0098261B">
        <w:rPr>
          <w:b/>
          <w:bCs/>
          <w:noProof/>
        </w:rPr>
        <w:t>2020</w:t>
      </w:r>
      <w:r w:rsidRPr="0098261B">
        <w:rPr>
          <w:noProof/>
        </w:rPr>
        <w:t xml:space="preserve">, </w:t>
      </w:r>
      <w:r w:rsidRPr="0098261B">
        <w:rPr>
          <w:i/>
          <w:iCs/>
          <w:noProof/>
        </w:rPr>
        <w:t>30</w:t>
      </w:r>
      <w:r w:rsidRPr="0098261B">
        <w:rPr>
          <w:noProof/>
        </w:rPr>
        <w:t>, 1908074.</w:t>
      </w:r>
    </w:p>
    <w:p w14:paraId="0EF2470F" w14:textId="77777777" w:rsidR="00E96DDF" w:rsidRPr="0098261B" w:rsidRDefault="00E96DDF" w:rsidP="00E96DDF">
      <w:pPr>
        <w:pStyle w:val="References"/>
        <w:rPr>
          <w:noProof/>
        </w:rPr>
      </w:pPr>
      <w:r w:rsidRPr="0098261B">
        <w:rPr>
          <w:noProof/>
        </w:rPr>
        <w:t xml:space="preserve">[28] </w:t>
      </w:r>
      <w:r w:rsidRPr="0098261B">
        <w:rPr>
          <w:noProof/>
        </w:rPr>
        <w:tab/>
        <w:t xml:space="preserve">Y. Huang, K. Li, J. Liu, X. Zhong, X. Duan, I. Shakir, Y. Xu, </w:t>
      </w:r>
      <w:r w:rsidRPr="0098261B">
        <w:rPr>
          <w:i/>
          <w:iCs/>
          <w:noProof/>
        </w:rPr>
        <w:t>J. Mater. Chem. A</w:t>
      </w:r>
      <w:r w:rsidRPr="0098261B">
        <w:rPr>
          <w:noProof/>
        </w:rPr>
        <w:t xml:space="preserve"> </w:t>
      </w:r>
      <w:r w:rsidRPr="0098261B">
        <w:rPr>
          <w:b/>
          <w:bCs/>
          <w:noProof/>
        </w:rPr>
        <w:t>2017</w:t>
      </w:r>
      <w:r w:rsidRPr="0098261B">
        <w:rPr>
          <w:noProof/>
        </w:rPr>
        <w:t xml:space="preserve">, </w:t>
      </w:r>
      <w:r w:rsidRPr="0098261B">
        <w:rPr>
          <w:i/>
          <w:iCs/>
          <w:noProof/>
        </w:rPr>
        <w:t>5</w:t>
      </w:r>
      <w:r w:rsidRPr="0098261B">
        <w:rPr>
          <w:noProof/>
        </w:rPr>
        <w:t>, 2710.</w:t>
      </w:r>
    </w:p>
    <w:p w14:paraId="7F9CC8DC" w14:textId="77777777" w:rsidR="00E96DDF" w:rsidRPr="0098261B" w:rsidRDefault="00E96DDF" w:rsidP="00E96DDF">
      <w:pPr>
        <w:pStyle w:val="References"/>
        <w:rPr>
          <w:noProof/>
        </w:rPr>
      </w:pPr>
      <w:r w:rsidRPr="0098261B">
        <w:rPr>
          <w:noProof/>
        </w:rPr>
        <w:t xml:space="preserve">[29] </w:t>
      </w:r>
      <w:r w:rsidRPr="0098261B">
        <w:rPr>
          <w:noProof/>
        </w:rPr>
        <w:tab/>
        <w:t xml:space="preserve">D. Sui, L. Xu, H. Zhang, Z. Sun, B. Kan, Y. Ma, Y. Chen, </w:t>
      </w:r>
      <w:r w:rsidRPr="0098261B">
        <w:rPr>
          <w:i/>
          <w:iCs/>
          <w:noProof/>
        </w:rPr>
        <w:t>Carbon N. Y.</w:t>
      </w:r>
      <w:r w:rsidRPr="0098261B">
        <w:rPr>
          <w:noProof/>
        </w:rPr>
        <w:t xml:space="preserve"> </w:t>
      </w:r>
      <w:r w:rsidRPr="0098261B">
        <w:rPr>
          <w:b/>
          <w:bCs/>
          <w:noProof/>
        </w:rPr>
        <w:t>2020</w:t>
      </w:r>
      <w:r w:rsidRPr="0098261B">
        <w:rPr>
          <w:noProof/>
        </w:rPr>
        <w:t xml:space="preserve">, </w:t>
      </w:r>
      <w:r w:rsidRPr="0098261B">
        <w:rPr>
          <w:i/>
          <w:iCs/>
          <w:noProof/>
        </w:rPr>
        <w:t>157</w:t>
      </w:r>
      <w:r w:rsidRPr="0098261B">
        <w:rPr>
          <w:noProof/>
        </w:rPr>
        <w:t>, 656.</w:t>
      </w:r>
    </w:p>
    <w:p w14:paraId="3CD2ABE3" w14:textId="77777777" w:rsidR="00E96DDF" w:rsidRPr="0098261B" w:rsidRDefault="00E96DDF" w:rsidP="00E96DDF">
      <w:pPr>
        <w:pStyle w:val="References"/>
        <w:rPr>
          <w:noProof/>
        </w:rPr>
      </w:pPr>
      <w:r w:rsidRPr="0098261B">
        <w:rPr>
          <w:noProof/>
        </w:rPr>
        <w:t xml:space="preserve">[30] </w:t>
      </w:r>
      <w:r w:rsidRPr="0098261B">
        <w:rPr>
          <w:noProof/>
        </w:rPr>
        <w:tab/>
        <w:t xml:space="preserve">Z. Zhu, J. Chen, </w:t>
      </w:r>
      <w:r w:rsidRPr="0098261B">
        <w:rPr>
          <w:i/>
          <w:iCs/>
          <w:noProof/>
        </w:rPr>
        <w:t>J. Electrochem. Soc.</w:t>
      </w:r>
      <w:r w:rsidRPr="0098261B">
        <w:rPr>
          <w:noProof/>
        </w:rPr>
        <w:t xml:space="preserve"> </w:t>
      </w:r>
      <w:r w:rsidRPr="0098261B">
        <w:rPr>
          <w:b/>
          <w:bCs/>
          <w:noProof/>
        </w:rPr>
        <w:t>2015</w:t>
      </w:r>
      <w:r w:rsidRPr="0098261B">
        <w:rPr>
          <w:noProof/>
        </w:rPr>
        <w:t xml:space="preserve">, </w:t>
      </w:r>
      <w:r w:rsidRPr="0098261B">
        <w:rPr>
          <w:i/>
          <w:iCs/>
          <w:noProof/>
        </w:rPr>
        <w:t>162</w:t>
      </w:r>
      <w:r w:rsidRPr="0098261B">
        <w:rPr>
          <w:noProof/>
        </w:rPr>
        <w:t>, A2393.</w:t>
      </w:r>
    </w:p>
    <w:p w14:paraId="791908FD" w14:textId="77777777" w:rsidR="00E96DDF" w:rsidRPr="0098261B" w:rsidRDefault="00E96DDF" w:rsidP="00E96DDF">
      <w:pPr>
        <w:pStyle w:val="References"/>
        <w:rPr>
          <w:noProof/>
        </w:rPr>
      </w:pPr>
      <w:r w:rsidRPr="0098261B">
        <w:rPr>
          <w:noProof/>
        </w:rPr>
        <w:t xml:space="preserve">[31] </w:t>
      </w:r>
      <w:r w:rsidRPr="0098261B">
        <w:rPr>
          <w:noProof/>
        </w:rPr>
        <w:tab/>
        <w:t xml:space="preserve">G. Wang, N. Chandrasekhar, B. P. Biswal, D. Becker, S. Paasch, E. Brunner, M. Addicoat, M. Yu, R. Berger, X. Feng, </w:t>
      </w:r>
      <w:r w:rsidRPr="0098261B">
        <w:rPr>
          <w:i/>
          <w:iCs/>
          <w:noProof/>
        </w:rPr>
        <w:t>Adv. Mater.</w:t>
      </w:r>
      <w:r w:rsidRPr="0098261B">
        <w:rPr>
          <w:noProof/>
        </w:rPr>
        <w:t xml:space="preserve"> </w:t>
      </w:r>
      <w:r w:rsidRPr="0098261B">
        <w:rPr>
          <w:b/>
          <w:bCs/>
          <w:noProof/>
        </w:rPr>
        <w:t>2019</w:t>
      </w:r>
      <w:r w:rsidRPr="0098261B">
        <w:rPr>
          <w:noProof/>
        </w:rPr>
        <w:t xml:space="preserve">, </w:t>
      </w:r>
      <w:r w:rsidRPr="0098261B">
        <w:rPr>
          <w:i/>
          <w:iCs/>
          <w:noProof/>
        </w:rPr>
        <w:t>31</w:t>
      </w:r>
      <w:r w:rsidRPr="0098261B">
        <w:rPr>
          <w:noProof/>
        </w:rPr>
        <w:t>, 1901478.</w:t>
      </w:r>
    </w:p>
    <w:p w14:paraId="507AD6D5" w14:textId="77777777" w:rsidR="00E96DDF" w:rsidRPr="0098261B" w:rsidRDefault="00E96DDF" w:rsidP="00E96DDF">
      <w:pPr>
        <w:pStyle w:val="References"/>
        <w:rPr>
          <w:noProof/>
        </w:rPr>
      </w:pPr>
      <w:r w:rsidRPr="0098261B">
        <w:rPr>
          <w:noProof/>
        </w:rPr>
        <w:t xml:space="preserve">[32] </w:t>
      </w:r>
      <w:r w:rsidRPr="0098261B">
        <w:rPr>
          <w:noProof/>
        </w:rPr>
        <w:tab/>
        <w:t xml:space="preserve">Q. Fang, J. Wang, S. Gu, R. B. Kaspar, Z. Zhuang, J. Zheng, H. Guo, S. Qiu, Y. Yan, </w:t>
      </w:r>
      <w:r w:rsidRPr="0098261B">
        <w:rPr>
          <w:i/>
          <w:iCs/>
          <w:noProof/>
        </w:rPr>
        <w:t>J. Am. Chem. Soc.</w:t>
      </w:r>
      <w:r w:rsidRPr="0098261B">
        <w:rPr>
          <w:noProof/>
        </w:rPr>
        <w:t xml:space="preserve"> </w:t>
      </w:r>
      <w:r w:rsidRPr="0098261B">
        <w:rPr>
          <w:b/>
          <w:bCs/>
          <w:noProof/>
        </w:rPr>
        <w:t>2015</w:t>
      </w:r>
      <w:r w:rsidRPr="0098261B">
        <w:rPr>
          <w:noProof/>
        </w:rPr>
        <w:t xml:space="preserve">, </w:t>
      </w:r>
      <w:r w:rsidRPr="0098261B">
        <w:rPr>
          <w:i/>
          <w:iCs/>
          <w:noProof/>
        </w:rPr>
        <w:t>137</w:t>
      </w:r>
      <w:r w:rsidRPr="0098261B">
        <w:rPr>
          <w:noProof/>
        </w:rPr>
        <w:t>, 8352.</w:t>
      </w:r>
    </w:p>
    <w:p w14:paraId="13908C36" w14:textId="77777777" w:rsidR="00E96DDF" w:rsidRPr="0098261B" w:rsidRDefault="00E96DDF" w:rsidP="00E96DDF">
      <w:pPr>
        <w:pStyle w:val="References"/>
        <w:rPr>
          <w:noProof/>
        </w:rPr>
      </w:pPr>
      <w:r w:rsidRPr="0098261B">
        <w:rPr>
          <w:noProof/>
        </w:rPr>
        <w:t xml:space="preserve">[33] </w:t>
      </w:r>
      <w:r w:rsidRPr="0098261B">
        <w:rPr>
          <w:noProof/>
        </w:rPr>
        <w:tab/>
        <w:t xml:space="preserve">A. I. Cooper, </w:t>
      </w:r>
      <w:r w:rsidRPr="0098261B">
        <w:rPr>
          <w:i/>
          <w:iCs/>
          <w:noProof/>
        </w:rPr>
        <w:t>Adv. Mater.</w:t>
      </w:r>
      <w:r w:rsidRPr="0098261B">
        <w:rPr>
          <w:noProof/>
        </w:rPr>
        <w:t xml:space="preserve"> </w:t>
      </w:r>
      <w:r w:rsidRPr="0098261B">
        <w:rPr>
          <w:b/>
          <w:bCs/>
          <w:noProof/>
        </w:rPr>
        <w:t>2009</w:t>
      </w:r>
      <w:r w:rsidRPr="0098261B">
        <w:rPr>
          <w:noProof/>
        </w:rPr>
        <w:t xml:space="preserve">, </w:t>
      </w:r>
      <w:r w:rsidRPr="0098261B">
        <w:rPr>
          <w:i/>
          <w:iCs/>
          <w:noProof/>
        </w:rPr>
        <w:t>21</w:t>
      </w:r>
      <w:r w:rsidRPr="0098261B">
        <w:rPr>
          <w:noProof/>
        </w:rPr>
        <w:t>, 1291.</w:t>
      </w:r>
    </w:p>
    <w:p w14:paraId="2B5FBD80" w14:textId="77777777" w:rsidR="00E96DDF" w:rsidRPr="0098261B" w:rsidRDefault="00E96DDF" w:rsidP="00E96DDF">
      <w:pPr>
        <w:pStyle w:val="References"/>
        <w:rPr>
          <w:noProof/>
        </w:rPr>
      </w:pPr>
      <w:r w:rsidRPr="0098261B">
        <w:rPr>
          <w:noProof/>
        </w:rPr>
        <w:t xml:space="preserve">[34] </w:t>
      </w:r>
      <w:r w:rsidRPr="0098261B">
        <w:rPr>
          <w:noProof/>
        </w:rPr>
        <w:tab/>
        <w:t xml:space="preserve">J. M. H. Thomas, A. Trewin, </w:t>
      </w:r>
      <w:r w:rsidRPr="0098261B">
        <w:rPr>
          <w:i/>
          <w:iCs/>
          <w:noProof/>
        </w:rPr>
        <w:t>J. Phys. Chem. C</w:t>
      </w:r>
      <w:r w:rsidRPr="0098261B">
        <w:rPr>
          <w:noProof/>
        </w:rPr>
        <w:t xml:space="preserve"> </w:t>
      </w:r>
      <w:r w:rsidRPr="0098261B">
        <w:rPr>
          <w:b/>
          <w:bCs/>
          <w:noProof/>
        </w:rPr>
        <w:t>2014</w:t>
      </w:r>
      <w:r w:rsidRPr="0098261B">
        <w:rPr>
          <w:noProof/>
        </w:rPr>
        <w:t xml:space="preserve">, </w:t>
      </w:r>
      <w:r w:rsidRPr="0098261B">
        <w:rPr>
          <w:i/>
          <w:iCs/>
          <w:noProof/>
        </w:rPr>
        <w:t>118</w:t>
      </w:r>
      <w:r w:rsidRPr="0098261B">
        <w:rPr>
          <w:noProof/>
        </w:rPr>
        <w:t>, 19712.</w:t>
      </w:r>
    </w:p>
    <w:p w14:paraId="12F58EBA" w14:textId="77777777" w:rsidR="00E96DDF" w:rsidRPr="0098261B" w:rsidRDefault="00E96DDF" w:rsidP="00E96DDF">
      <w:pPr>
        <w:pStyle w:val="References"/>
        <w:rPr>
          <w:noProof/>
        </w:rPr>
      </w:pPr>
      <w:r w:rsidRPr="0098261B">
        <w:rPr>
          <w:noProof/>
        </w:rPr>
        <w:t xml:space="preserve">[35] </w:t>
      </w:r>
      <w:r w:rsidRPr="0098261B">
        <w:rPr>
          <w:noProof/>
        </w:rPr>
        <w:tab/>
        <w:t xml:space="preserve">A. M. Khattak, H. Sin, Z. A. Ghazi, X. He, B. Liang, N. A. Khan, H. R. Alanagh, A. Iqbal, L. Li, Z. Tang, </w:t>
      </w:r>
      <w:r w:rsidRPr="0098261B">
        <w:rPr>
          <w:i/>
          <w:iCs/>
          <w:noProof/>
        </w:rPr>
        <w:t>J. Mater. Chem. A</w:t>
      </w:r>
      <w:r w:rsidRPr="0098261B">
        <w:rPr>
          <w:noProof/>
        </w:rPr>
        <w:t xml:space="preserve"> </w:t>
      </w:r>
      <w:r w:rsidRPr="0098261B">
        <w:rPr>
          <w:b/>
          <w:bCs/>
          <w:noProof/>
        </w:rPr>
        <w:t>2018</w:t>
      </w:r>
      <w:r w:rsidRPr="0098261B">
        <w:rPr>
          <w:noProof/>
        </w:rPr>
        <w:t xml:space="preserve">, </w:t>
      </w:r>
      <w:r w:rsidRPr="0098261B">
        <w:rPr>
          <w:i/>
          <w:iCs/>
          <w:noProof/>
        </w:rPr>
        <w:t>6</w:t>
      </w:r>
      <w:r w:rsidRPr="0098261B">
        <w:rPr>
          <w:noProof/>
        </w:rPr>
        <w:t>, 18827.</w:t>
      </w:r>
    </w:p>
    <w:p w14:paraId="71712406" w14:textId="77777777" w:rsidR="00E96DDF" w:rsidRPr="0098261B" w:rsidRDefault="00E96DDF" w:rsidP="00E96DDF">
      <w:pPr>
        <w:pStyle w:val="References"/>
        <w:rPr>
          <w:noProof/>
        </w:rPr>
      </w:pPr>
      <w:r w:rsidRPr="0098261B">
        <w:rPr>
          <w:noProof/>
        </w:rPr>
        <w:t xml:space="preserve">[36] </w:t>
      </w:r>
      <w:r w:rsidRPr="0098261B">
        <w:rPr>
          <w:noProof/>
        </w:rPr>
        <w:tab/>
        <w:t xml:space="preserve">W. Xu, A. Read, P. K. Koech, D. Hu, C. Wang, J. Xiao, A. B. Padmaperuma, G. L. Graff, J. Liu, J. G. Zhang, </w:t>
      </w:r>
      <w:r w:rsidRPr="0098261B">
        <w:rPr>
          <w:i/>
          <w:iCs/>
          <w:noProof/>
        </w:rPr>
        <w:t>J. Mater. Chem.</w:t>
      </w:r>
      <w:r w:rsidRPr="0098261B">
        <w:rPr>
          <w:noProof/>
        </w:rPr>
        <w:t xml:space="preserve"> </w:t>
      </w:r>
      <w:r w:rsidRPr="0098261B">
        <w:rPr>
          <w:b/>
          <w:bCs/>
          <w:noProof/>
        </w:rPr>
        <w:t>2012</w:t>
      </w:r>
      <w:r w:rsidRPr="0098261B">
        <w:rPr>
          <w:noProof/>
        </w:rPr>
        <w:t xml:space="preserve">, </w:t>
      </w:r>
      <w:r w:rsidRPr="0098261B">
        <w:rPr>
          <w:i/>
          <w:iCs/>
          <w:noProof/>
        </w:rPr>
        <w:t>22</w:t>
      </w:r>
      <w:r w:rsidRPr="0098261B">
        <w:rPr>
          <w:noProof/>
        </w:rPr>
        <w:t>, 4032.</w:t>
      </w:r>
    </w:p>
    <w:p w14:paraId="1C7FEBB3" w14:textId="77777777" w:rsidR="00E96DDF" w:rsidRPr="0098261B" w:rsidRDefault="00E96DDF" w:rsidP="00E96DDF">
      <w:pPr>
        <w:pStyle w:val="References"/>
        <w:rPr>
          <w:noProof/>
        </w:rPr>
      </w:pPr>
      <w:r w:rsidRPr="0098261B">
        <w:rPr>
          <w:noProof/>
        </w:rPr>
        <w:t xml:space="preserve">[37] </w:t>
      </w:r>
      <w:r w:rsidRPr="0098261B">
        <w:rPr>
          <w:noProof/>
        </w:rPr>
        <w:tab/>
        <w:t xml:space="preserve">N. Nitta, F. Wu, J. T. Lee, G. Yushin, Li-ion battery materials: Present and future. </w:t>
      </w:r>
      <w:r w:rsidRPr="0098261B">
        <w:rPr>
          <w:i/>
          <w:iCs/>
          <w:noProof/>
        </w:rPr>
        <w:t>Mater. Today</w:t>
      </w:r>
      <w:r w:rsidRPr="0098261B">
        <w:rPr>
          <w:noProof/>
        </w:rPr>
        <w:t xml:space="preserve"> </w:t>
      </w:r>
      <w:r w:rsidRPr="0098261B">
        <w:rPr>
          <w:b/>
          <w:bCs/>
          <w:noProof/>
        </w:rPr>
        <w:t>2015</w:t>
      </w:r>
      <w:r w:rsidRPr="0098261B">
        <w:rPr>
          <w:noProof/>
        </w:rPr>
        <w:t xml:space="preserve">, </w:t>
      </w:r>
      <w:r w:rsidRPr="0098261B">
        <w:rPr>
          <w:i/>
          <w:iCs/>
          <w:noProof/>
        </w:rPr>
        <w:t>18</w:t>
      </w:r>
      <w:r w:rsidRPr="0098261B">
        <w:rPr>
          <w:noProof/>
        </w:rPr>
        <w:t>, 252–264.</w:t>
      </w:r>
    </w:p>
    <w:p w14:paraId="7281ECB2" w14:textId="77777777" w:rsidR="00E96DDF" w:rsidRPr="0098261B" w:rsidRDefault="00E96DDF" w:rsidP="00E96DDF">
      <w:pPr>
        <w:pStyle w:val="References"/>
        <w:rPr>
          <w:noProof/>
        </w:rPr>
      </w:pPr>
      <w:r w:rsidRPr="0098261B">
        <w:rPr>
          <w:noProof/>
        </w:rPr>
        <w:t xml:space="preserve">[38] </w:t>
      </w:r>
      <w:r w:rsidRPr="0098261B">
        <w:rPr>
          <w:noProof/>
        </w:rPr>
        <w:tab/>
        <w:t xml:space="preserve">S. Wang, Q. Wang, P. Shao, Y. Han, X. Gao, L. Ma, S. Yuan, X. Ma, J. Zhou, X. Feng, B. Wang, </w:t>
      </w:r>
      <w:r w:rsidRPr="0098261B">
        <w:rPr>
          <w:i/>
          <w:iCs/>
          <w:noProof/>
        </w:rPr>
        <w:t>J. Am. Chem. Soc.</w:t>
      </w:r>
      <w:r w:rsidRPr="0098261B">
        <w:rPr>
          <w:noProof/>
        </w:rPr>
        <w:t xml:space="preserve"> </w:t>
      </w:r>
      <w:r w:rsidRPr="0098261B">
        <w:rPr>
          <w:b/>
          <w:bCs/>
          <w:noProof/>
        </w:rPr>
        <w:t>2017</w:t>
      </w:r>
      <w:r w:rsidRPr="0098261B">
        <w:rPr>
          <w:noProof/>
        </w:rPr>
        <w:t xml:space="preserve">, </w:t>
      </w:r>
      <w:r w:rsidRPr="0098261B">
        <w:rPr>
          <w:i/>
          <w:iCs/>
          <w:noProof/>
        </w:rPr>
        <w:t>139</w:t>
      </w:r>
      <w:r w:rsidRPr="0098261B">
        <w:rPr>
          <w:noProof/>
        </w:rPr>
        <w:t>, 4258.</w:t>
      </w:r>
    </w:p>
    <w:p w14:paraId="7D624B1E" w14:textId="77777777" w:rsidR="00E96DDF" w:rsidRPr="0098261B" w:rsidRDefault="00E96DDF" w:rsidP="00E96DDF">
      <w:pPr>
        <w:pStyle w:val="References"/>
        <w:rPr>
          <w:noProof/>
        </w:rPr>
      </w:pPr>
      <w:r w:rsidRPr="0098261B">
        <w:rPr>
          <w:noProof/>
        </w:rPr>
        <w:t xml:space="preserve">[39] </w:t>
      </w:r>
      <w:r w:rsidRPr="0098261B">
        <w:rPr>
          <w:noProof/>
        </w:rPr>
        <w:tab/>
        <w:t xml:space="preserve">J. Wang, J. Polleux, J. Lim, B. Dunn, </w:t>
      </w:r>
      <w:r w:rsidRPr="0098261B">
        <w:rPr>
          <w:i/>
          <w:iCs/>
          <w:noProof/>
        </w:rPr>
        <w:t>J. Phys. Chem. C</w:t>
      </w:r>
      <w:r w:rsidRPr="0098261B">
        <w:rPr>
          <w:noProof/>
        </w:rPr>
        <w:t xml:space="preserve"> </w:t>
      </w:r>
      <w:r w:rsidRPr="0098261B">
        <w:rPr>
          <w:b/>
          <w:bCs/>
          <w:noProof/>
        </w:rPr>
        <w:t>2007</w:t>
      </w:r>
      <w:r w:rsidRPr="0098261B">
        <w:rPr>
          <w:noProof/>
        </w:rPr>
        <w:t xml:space="preserve">, </w:t>
      </w:r>
      <w:r w:rsidRPr="0098261B">
        <w:rPr>
          <w:i/>
          <w:iCs/>
          <w:noProof/>
        </w:rPr>
        <w:t>111</w:t>
      </w:r>
      <w:r w:rsidRPr="0098261B">
        <w:rPr>
          <w:noProof/>
        </w:rPr>
        <w:t>, 14925.</w:t>
      </w:r>
    </w:p>
    <w:p w14:paraId="3EE8B1D0" w14:textId="77777777" w:rsidR="00E96DDF" w:rsidRPr="0098261B" w:rsidRDefault="00E96DDF" w:rsidP="00E96DDF">
      <w:pPr>
        <w:pStyle w:val="References"/>
        <w:rPr>
          <w:noProof/>
        </w:rPr>
      </w:pPr>
      <w:r w:rsidRPr="0098261B">
        <w:rPr>
          <w:noProof/>
        </w:rPr>
        <w:t xml:space="preserve">[40] </w:t>
      </w:r>
      <w:r w:rsidRPr="0098261B">
        <w:rPr>
          <w:noProof/>
        </w:rPr>
        <w:tab/>
        <w:t xml:space="preserve">K. C. Kim, T. Liu, S. W. Lee, S. S. Jang, </w:t>
      </w:r>
      <w:r w:rsidRPr="0098261B">
        <w:rPr>
          <w:i/>
          <w:iCs/>
          <w:noProof/>
        </w:rPr>
        <w:t>J. Am. Chem. Soc.</w:t>
      </w:r>
      <w:r w:rsidRPr="0098261B">
        <w:rPr>
          <w:noProof/>
        </w:rPr>
        <w:t xml:space="preserve"> </w:t>
      </w:r>
      <w:r w:rsidRPr="0098261B">
        <w:rPr>
          <w:b/>
          <w:bCs/>
          <w:noProof/>
        </w:rPr>
        <w:t>2016</w:t>
      </w:r>
      <w:r w:rsidRPr="0098261B">
        <w:rPr>
          <w:noProof/>
        </w:rPr>
        <w:t xml:space="preserve">, </w:t>
      </w:r>
      <w:r w:rsidRPr="0098261B">
        <w:rPr>
          <w:i/>
          <w:iCs/>
          <w:noProof/>
        </w:rPr>
        <w:t>138</w:t>
      </w:r>
      <w:r w:rsidRPr="0098261B">
        <w:rPr>
          <w:noProof/>
        </w:rPr>
        <w:t>, 2374.</w:t>
      </w:r>
    </w:p>
    <w:p w14:paraId="7FFA5266" w14:textId="77777777" w:rsidR="00773C4B" w:rsidRPr="0098261B" w:rsidRDefault="00E96DDF" w:rsidP="00E96DDF">
      <w:pPr>
        <w:pStyle w:val="References"/>
      </w:pPr>
      <w:r w:rsidRPr="0098261B">
        <w:fldChar w:fldCharType="end"/>
      </w:r>
    </w:p>
    <w:p w14:paraId="41380B17" w14:textId="77777777" w:rsidR="00773C4B" w:rsidRPr="0098261B" w:rsidRDefault="00773C4B" w:rsidP="00773C4B">
      <w:pPr>
        <w:rPr>
          <w:lang w:val="en-GB"/>
        </w:rPr>
        <w:sectPr w:rsidR="00773C4B" w:rsidRPr="0098261B" w:rsidSect="00655510">
          <w:type w:val="continuous"/>
          <w:pgSz w:w="11906" w:h="16838" w:code="9"/>
          <w:pgMar w:top="1673" w:right="936" w:bottom="1134" w:left="936" w:header="709" w:footer="709" w:gutter="0"/>
          <w:cols w:num="2" w:space="284"/>
          <w:docGrid w:linePitch="360"/>
        </w:sectPr>
      </w:pPr>
    </w:p>
    <w:p w14:paraId="1E0E4AE6" w14:textId="77777777" w:rsidR="00CF143A" w:rsidRPr="0098261B" w:rsidRDefault="00CF143A" w:rsidP="00CF143A">
      <w:pPr>
        <w:rPr>
          <w:bCs/>
          <w:lang w:val="en-GB"/>
        </w:rPr>
      </w:pPr>
    </w:p>
    <w:p w14:paraId="255C0F5B" w14:textId="77777777" w:rsidR="00CF143A" w:rsidRPr="0098261B" w:rsidRDefault="00CF143A" w:rsidP="00CF143A">
      <w:pPr>
        <w:rPr>
          <w:b/>
          <w:lang w:val="en-GB"/>
        </w:rPr>
      </w:pPr>
      <w:r w:rsidRPr="0098261B">
        <w:rPr>
          <w:b/>
          <w:lang w:val="en-GB"/>
        </w:rPr>
        <w:t>Entry for the Table of Contents</w:t>
      </w:r>
    </w:p>
    <w:p w14:paraId="57C5D991" w14:textId="77777777" w:rsidR="000177E0" w:rsidRPr="0098261B" w:rsidRDefault="000177E0" w:rsidP="00CF143A">
      <w:pPr>
        <w:pStyle w:val="TableOfContentText"/>
        <w:rPr>
          <w:color w:val="auto"/>
        </w:rPr>
      </w:pPr>
      <w:r w:rsidRPr="0098261B">
        <w:rPr>
          <w:noProof/>
          <w:color w:val="auto"/>
          <w:lang w:eastAsia="zh-CN"/>
        </w:rPr>
        <w:drawing>
          <wp:inline distT="0" distB="0" distL="0" distR="0" wp14:anchorId="1C64C627" wp14:editId="61128C4D">
            <wp:extent cx="1980000" cy="1800000"/>
            <wp:effectExtent l="0" t="0" r="127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OCCCCCCCCCCCCCC.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0000" cy="1800000"/>
                    </a:xfrm>
                    <a:prstGeom prst="rect">
                      <a:avLst/>
                    </a:prstGeom>
                  </pic:spPr>
                </pic:pic>
              </a:graphicData>
            </a:graphic>
          </wp:inline>
        </w:drawing>
      </w:r>
    </w:p>
    <w:p w14:paraId="5C3882C4" w14:textId="77777777" w:rsidR="000177E0" w:rsidRPr="0098261B" w:rsidRDefault="005806D1" w:rsidP="000177E0">
      <w:pPr>
        <w:pStyle w:val="TableOfContentText"/>
      </w:pPr>
      <w:r w:rsidRPr="0098261B">
        <w:t>C</w:t>
      </w:r>
      <w:r w:rsidR="000177E0" w:rsidRPr="0098261B">
        <w:t>omposites of reduced graphene oxide and a three-dimensional polyimide with electrochemical redox active groups are synthesized and used as positive electrodes in lithium-ion batteries. The composites show higher specific capacity (125 </w:t>
      </w:r>
      <w:proofErr w:type="spellStart"/>
      <w:r w:rsidR="000177E0" w:rsidRPr="0098261B">
        <w:t>mAh</w:t>
      </w:r>
      <w:proofErr w:type="spellEnd"/>
      <w:r w:rsidR="000177E0" w:rsidRPr="0098261B">
        <w:t xml:space="preserve"> g</w:t>
      </w:r>
      <w:r w:rsidR="000177E0" w:rsidRPr="0098261B">
        <w:rPr>
          <w:vertAlign w:val="superscript"/>
        </w:rPr>
        <w:t>-1</w:t>
      </w:r>
      <w:r w:rsidR="000177E0" w:rsidRPr="0098261B">
        <w:t>, 2000 mA g</w:t>
      </w:r>
      <w:r w:rsidR="000177E0" w:rsidRPr="0098261B">
        <w:rPr>
          <w:vertAlign w:val="superscript"/>
        </w:rPr>
        <w:t>-1</w:t>
      </w:r>
      <w:r w:rsidR="000177E0" w:rsidRPr="0098261B">
        <w:t xml:space="preserve">) and longer cycling life (80% </w:t>
      </w:r>
      <w:proofErr w:type="spellStart"/>
      <w:r w:rsidR="000177E0" w:rsidRPr="0098261B">
        <w:t>retaintion</w:t>
      </w:r>
      <w:proofErr w:type="spellEnd"/>
      <w:r w:rsidR="000177E0" w:rsidRPr="0098261B">
        <w:t xml:space="preserve"> after 9000 cycles) than the polyimide on its own. </w:t>
      </w:r>
    </w:p>
    <w:p w14:paraId="7EFD730A" w14:textId="5C3DC7FC" w:rsidR="005755CC" w:rsidRDefault="005755CC" w:rsidP="005755CC">
      <w:pPr>
        <w:pStyle w:val="TableOfContentText"/>
        <w:spacing w:before="360"/>
      </w:pPr>
      <w:r w:rsidRPr="0098261B">
        <w:rPr>
          <w:lang w:val="en-US"/>
        </w:rPr>
        <w:t xml:space="preserve">Institute and/or researcher Twitter usernames: </w:t>
      </w:r>
      <w:r w:rsidR="00FB7451" w:rsidRPr="0098261B">
        <w:rPr>
          <w:color w:val="auto"/>
          <w:lang w:val="en-US"/>
        </w:rPr>
        <w:t>@AICooperGroup</w:t>
      </w:r>
      <w:r w:rsidR="002417B2" w:rsidRPr="0098261B">
        <w:rPr>
          <w:color w:val="auto"/>
          <w:lang w:val="en-US"/>
        </w:rPr>
        <w:t xml:space="preserve"> </w:t>
      </w:r>
      <w:r w:rsidR="0098261B" w:rsidRPr="0098261B">
        <w:rPr>
          <w:color w:val="auto"/>
          <w:lang w:val="en-US"/>
        </w:rPr>
        <w:t>@livunisire</w:t>
      </w:r>
      <w:r w:rsidR="0098261B">
        <w:rPr>
          <w:color w:val="auto"/>
          <w:lang w:val="en-US"/>
        </w:rPr>
        <w:t xml:space="preserve"> </w:t>
      </w:r>
      <w:r w:rsidR="002417B2" w:rsidRPr="0098261B">
        <w:rPr>
          <w:color w:val="auto"/>
          <w:lang w:val="en-US"/>
        </w:rPr>
        <w:t>@livuniphyssci</w:t>
      </w:r>
    </w:p>
    <w:sectPr w:rsidR="005755CC"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AF035" w14:textId="77777777" w:rsidR="00497FE7" w:rsidRDefault="00497FE7">
      <w:r>
        <w:separator/>
      </w:r>
    </w:p>
  </w:endnote>
  <w:endnote w:type="continuationSeparator" w:id="0">
    <w:p w14:paraId="083FAAFC" w14:textId="77777777" w:rsidR="00497FE7" w:rsidRDefault="00497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7FC87" w14:textId="70D06F2C" w:rsidR="00AC1CE7" w:rsidRDefault="00AC1CE7">
    <w:pPr>
      <w:pStyle w:val="Footer"/>
      <w:jc w:val="center"/>
    </w:pPr>
    <w:r>
      <w:fldChar w:fldCharType="begin"/>
    </w:r>
    <w:r>
      <w:instrText xml:space="preserve"> PAGE   \* MERGEFORMAT </w:instrText>
    </w:r>
    <w:r>
      <w:fldChar w:fldCharType="separate"/>
    </w:r>
    <w:r w:rsidR="0006538C">
      <w:rPr>
        <w:noProof/>
      </w:rPr>
      <w:t>10</w:t>
    </w:r>
    <w:r>
      <w:rPr>
        <w:noProof/>
      </w:rPr>
      <w:fldChar w:fldCharType="end"/>
    </w:r>
  </w:p>
  <w:p w14:paraId="341F9B7D" w14:textId="77777777" w:rsidR="0097560B" w:rsidRPr="0095126A" w:rsidRDefault="0097560B"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DDD28" w14:textId="77777777" w:rsidR="00497FE7" w:rsidRDefault="00497FE7">
      <w:r>
        <w:separator/>
      </w:r>
    </w:p>
  </w:footnote>
  <w:footnote w:type="continuationSeparator" w:id="0">
    <w:p w14:paraId="528CCEF3" w14:textId="77777777" w:rsidR="00497FE7" w:rsidRDefault="00497FE7">
      <w:r>
        <w:continuationSeparator/>
      </w:r>
    </w:p>
  </w:footnote>
  <w:footnote w:id="1">
    <w:p w14:paraId="387A90CC" w14:textId="77777777" w:rsidR="00E04CBD" w:rsidRPr="00E04CBD" w:rsidRDefault="00E04CBD">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A9744" w14:textId="77777777" w:rsidR="00C00B45" w:rsidRPr="00863DFC" w:rsidRDefault="00497FE7" w:rsidP="00863DFC">
    <w:pPr>
      <w:pStyle w:val="Header"/>
      <w:pBdr>
        <w:bottom w:val="single" w:sz="18" w:space="1" w:color="C0C0C0"/>
      </w:pBdr>
    </w:pPr>
    <w:r>
      <w:rPr>
        <w:rFonts w:ascii="Arial Narrow" w:hAnsi="Arial Narrow" w:cs="Arial"/>
        <w:b/>
        <w:bCs/>
        <w:noProof/>
        <w:color w:val="C0C0C0"/>
        <w:sz w:val="32"/>
        <w:szCs w:val="36"/>
        <w:lang w:eastAsia="zh-CN"/>
      </w:rPr>
      <w:pict w14:anchorId="37A30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728;mso-position-horizontal:center;mso-position-horizontal-relative:margin;mso-position-vertical:center;mso-position-vertical-relative:margin" o:allowincell="f">
          <v:imagedata r:id="rId1" o:title="Wiley-VCH_gedreht" gain="19661f" blacklevel="22938f"/>
          <w10:wrap anchorx="margin" anchory="margin"/>
        </v:shape>
      </w:pict>
    </w:r>
    <w:r w:rsidR="00900D39">
      <w:rPr>
        <w:rFonts w:ascii="Arial Narrow" w:hAnsi="Arial Narrow" w:cs="Arial"/>
        <w:b/>
        <w:bCs/>
        <w:noProof/>
        <w:color w:val="C0C0C0"/>
        <w:sz w:val="32"/>
        <w:szCs w:val="36"/>
        <w:lang w:val="en-GB" w:eastAsia="zh-CN"/>
      </w:rPr>
      <w:drawing>
        <wp:anchor distT="0" distB="0" distL="114300" distR="114300" simplePos="0" relativeHeight="251656704" behindDoc="0" locked="0" layoutInCell="1" allowOverlap="1" wp14:anchorId="05355333" wp14:editId="69C57B7B">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816397">
      <w:rPr>
        <w:rFonts w:ascii="Arial Narrow" w:hAnsi="Arial Narrow" w:cs="Arial"/>
        <w:b/>
        <w:bCs/>
        <w:color w:val="C0C0C0"/>
        <w:sz w:val="32"/>
        <w:szCs w:val="36"/>
      </w:rPr>
      <w:t>FULL PAPER</w:t>
    </w:r>
    <w:r w:rsidR="00863DFC" w:rsidRPr="00971FC5">
      <w:rPr>
        <w:rFonts w:ascii="Arial Narrow" w:hAnsi="Arial Narrow" w:cs="Arial"/>
        <w:sz w:val="32"/>
        <w:szCs w:val="36"/>
      </w:rPr>
      <w:tab/>
    </w:r>
    <w:r w:rsidR="00863DFC" w:rsidRPr="00971FC5">
      <w:rPr>
        <w:rFonts w:ascii="Arial Narrow" w:hAnsi="Arial Narrow" w:cs="Arial"/>
        <w:sz w:val="32"/>
        <w:szCs w:val="36"/>
      </w:rPr>
      <w:tab/>
    </w:r>
    <w:r w:rsidR="00863DFC">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0F032" w14:textId="77777777" w:rsidR="0097560B" w:rsidRDefault="00497FE7">
    <w:pPr>
      <w:pStyle w:val="Header"/>
    </w:pPr>
    <w:r>
      <w:rPr>
        <w:noProof/>
        <w:lang w:eastAsia="zh-CN"/>
      </w:rPr>
      <w:pict w14:anchorId="581F0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8752;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35pt;height:15.6pt" o:bullet="t">
        <v:imagedata r:id="rId1" o:title=""/>
      </v:shape>
    </w:pict>
  </w:numPicBullet>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3NjEztDQytDQwNzZT0lEKTi0uzszPAykwrAUAPMIWCiwAAAA="/>
  </w:docVars>
  <w:rsids>
    <w:rsidRoot w:val="005E6545"/>
    <w:rsid w:val="00000FCA"/>
    <w:rsid w:val="0000214A"/>
    <w:rsid w:val="00002DBC"/>
    <w:rsid w:val="00003927"/>
    <w:rsid w:val="0000457A"/>
    <w:rsid w:val="00010410"/>
    <w:rsid w:val="00011D51"/>
    <w:rsid w:val="00013DD7"/>
    <w:rsid w:val="000177E0"/>
    <w:rsid w:val="000208F6"/>
    <w:rsid w:val="000209F9"/>
    <w:rsid w:val="00022DB4"/>
    <w:rsid w:val="00033C26"/>
    <w:rsid w:val="00033D1A"/>
    <w:rsid w:val="00033F43"/>
    <w:rsid w:val="00036490"/>
    <w:rsid w:val="0004091A"/>
    <w:rsid w:val="00042BF0"/>
    <w:rsid w:val="00045AB9"/>
    <w:rsid w:val="000468CF"/>
    <w:rsid w:val="0005096E"/>
    <w:rsid w:val="0005140E"/>
    <w:rsid w:val="00055485"/>
    <w:rsid w:val="0006281D"/>
    <w:rsid w:val="00063E0F"/>
    <w:rsid w:val="0006489B"/>
    <w:rsid w:val="000650AB"/>
    <w:rsid w:val="0006538C"/>
    <w:rsid w:val="0006694D"/>
    <w:rsid w:val="000669E3"/>
    <w:rsid w:val="00066B8E"/>
    <w:rsid w:val="00070B55"/>
    <w:rsid w:val="00070E0D"/>
    <w:rsid w:val="0007315F"/>
    <w:rsid w:val="00077560"/>
    <w:rsid w:val="000806F8"/>
    <w:rsid w:val="0008077D"/>
    <w:rsid w:val="00091323"/>
    <w:rsid w:val="0009539C"/>
    <w:rsid w:val="00095C2F"/>
    <w:rsid w:val="000A37F3"/>
    <w:rsid w:val="000A77DC"/>
    <w:rsid w:val="000B0026"/>
    <w:rsid w:val="000B5582"/>
    <w:rsid w:val="000B6DF3"/>
    <w:rsid w:val="000C1DBD"/>
    <w:rsid w:val="000C53F1"/>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245A6"/>
    <w:rsid w:val="00126122"/>
    <w:rsid w:val="001322FF"/>
    <w:rsid w:val="0013316F"/>
    <w:rsid w:val="001344F7"/>
    <w:rsid w:val="001348CD"/>
    <w:rsid w:val="0014043E"/>
    <w:rsid w:val="00141356"/>
    <w:rsid w:val="00143551"/>
    <w:rsid w:val="0014374D"/>
    <w:rsid w:val="00143B89"/>
    <w:rsid w:val="001459CB"/>
    <w:rsid w:val="001475BF"/>
    <w:rsid w:val="00152751"/>
    <w:rsid w:val="00152E6D"/>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75965"/>
    <w:rsid w:val="001800AA"/>
    <w:rsid w:val="0018165B"/>
    <w:rsid w:val="00181774"/>
    <w:rsid w:val="00184021"/>
    <w:rsid w:val="00184380"/>
    <w:rsid w:val="00186601"/>
    <w:rsid w:val="001878D0"/>
    <w:rsid w:val="0019014F"/>
    <w:rsid w:val="00194818"/>
    <w:rsid w:val="0019487B"/>
    <w:rsid w:val="00194A21"/>
    <w:rsid w:val="00196DEB"/>
    <w:rsid w:val="00197F42"/>
    <w:rsid w:val="001A0D55"/>
    <w:rsid w:val="001A0DE0"/>
    <w:rsid w:val="001A2FE3"/>
    <w:rsid w:val="001A3120"/>
    <w:rsid w:val="001A39AE"/>
    <w:rsid w:val="001A438D"/>
    <w:rsid w:val="001B0D9D"/>
    <w:rsid w:val="001B0DFC"/>
    <w:rsid w:val="001B286E"/>
    <w:rsid w:val="001B73B9"/>
    <w:rsid w:val="001B7620"/>
    <w:rsid w:val="001C1039"/>
    <w:rsid w:val="001C21E3"/>
    <w:rsid w:val="001C26A7"/>
    <w:rsid w:val="001C4CF6"/>
    <w:rsid w:val="001D1155"/>
    <w:rsid w:val="001D13EA"/>
    <w:rsid w:val="001D216B"/>
    <w:rsid w:val="001D29CA"/>
    <w:rsid w:val="001D54CA"/>
    <w:rsid w:val="001D7ECC"/>
    <w:rsid w:val="001E0137"/>
    <w:rsid w:val="001E164A"/>
    <w:rsid w:val="001E2F1C"/>
    <w:rsid w:val="001F16EF"/>
    <w:rsid w:val="001F1A2D"/>
    <w:rsid w:val="001F252B"/>
    <w:rsid w:val="001F3ACC"/>
    <w:rsid w:val="001F4235"/>
    <w:rsid w:val="001F45C3"/>
    <w:rsid w:val="001F4EE4"/>
    <w:rsid w:val="0020306E"/>
    <w:rsid w:val="002124FA"/>
    <w:rsid w:val="00213B67"/>
    <w:rsid w:val="00213D0E"/>
    <w:rsid w:val="002221BA"/>
    <w:rsid w:val="00222D97"/>
    <w:rsid w:val="0022537E"/>
    <w:rsid w:val="0022582C"/>
    <w:rsid w:val="00225890"/>
    <w:rsid w:val="00232C14"/>
    <w:rsid w:val="002362C7"/>
    <w:rsid w:val="002417B2"/>
    <w:rsid w:val="00241D85"/>
    <w:rsid w:val="00242E54"/>
    <w:rsid w:val="002433F0"/>
    <w:rsid w:val="00243927"/>
    <w:rsid w:val="00260EDA"/>
    <w:rsid w:val="00261387"/>
    <w:rsid w:val="00261882"/>
    <w:rsid w:val="00265DCA"/>
    <w:rsid w:val="00267F8A"/>
    <w:rsid w:val="002702BC"/>
    <w:rsid w:val="0027068B"/>
    <w:rsid w:val="00274379"/>
    <w:rsid w:val="00287256"/>
    <w:rsid w:val="00287B32"/>
    <w:rsid w:val="00291C93"/>
    <w:rsid w:val="002A36FA"/>
    <w:rsid w:val="002A561E"/>
    <w:rsid w:val="002A69D1"/>
    <w:rsid w:val="002B16E2"/>
    <w:rsid w:val="002B22BA"/>
    <w:rsid w:val="002B25E2"/>
    <w:rsid w:val="002B453B"/>
    <w:rsid w:val="002B56C9"/>
    <w:rsid w:val="002B7CA9"/>
    <w:rsid w:val="002C36E0"/>
    <w:rsid w:val="002D0B17"/>
    <w:rsid w:val="002D24CB"/>
    <w:rsid w:val="002D42FF"/>
    <w:rsid w:val="002D5148"/>
    <w:rsid w:val="002D74F9"/>
    <w:rsid w:val="002E066F"/>
    <w:rsid w:val="002E2CA8"/>
    <w:rsid w:val="002E3FFF"/>
    <w:rsid w:val="002E55D5"/>
    <w:rsid w:val="002F0269"/>
    <w:rsid w:val="002F1479"/>
    <w:rsid w:val="002F17FB"/>
    <w:rsid w:val="002F56D6"/>
    <w:rsid w:val="002F6A4C"/>
    <w:rsid w:val="002F73A5"/>
    <w:rsid w:val="003006A7"/>
    <w:rsid w:val="00301167"/>
    <w:rsid w:val="00301D1E"/>
    <w:rsid w:val="003039C9"/>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674A7"/>
    <w:rsid w:val="00375415"/>
    <w:rsid w:val="00376792"/>
    <w:rsid w:val="00376F37"/>
    <w:rsid w:val="0038506F"/>
    <w:rsid w:val="00390DD7"/>
    <w:rsid w:val="00395872"/>
    <w:rsid w:val="00396BE2"/>
    <w:rsid w:val="003A2744"/>
    <w:rsid w:val="003A6168"/>
    <w:rsid w:val="003B04BA"/>
    <w:rsid w:val="003B0FC4"/>
    <w:rsid w:val="003B6C60"/>
    <w:rsid w:val="003B70C8"/>
    <w:rsid w:val="003C134A"/>
    <w:rsid w:val="003C1CCA"/>
    <w:rsid w:val="003C2972"/>
    <w:rsid w:val="003C2C9C"/>
    <w:rsid w:val="003C6E1A"/>
    <w:rsid w:val="003C7F89"/>
    <w:rsid w:val="003D0F51"/>
    <w:rsid w:val="003D1C1A"/>
    <w:rsid w:val="003D3F9A"/>
    <w:rsid w:val="003E345B"/>
    <w:rsid w:val="003E54CD"/>
    <w:rsid w:val="003E7319"/>
    <w:rsid w:val="003F1223"/>
    <w:rsid w:val="003F2556"/>
    <w:rsid w:val="003F50D4"/>
    <w:rsid w:val="0040080D"/>
    <w:rsid w:val="0040270E"/>
    <w:rsid w:val="00403876"/>
    <w:rsid w:val="004062B1"/>
    <w:rsid w:val="004070B6"/>
    <w:rsid w:val="004072DD"/>
    <w:rsid w:val="00411AA6"/>
    <w:rsid w:val="00411FF5"/>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5628B"/>
    <w:rsid w:val="004609E1"/>
    <w:rsid w:val="00460C28"/>
    <w:rsid w:val="00461BD2"/>
    <w:rsid w:val="00462A09"/>
    <w:rsid w:val="004644E1"/>
    <w:rsid w:val="0046510B"/>
    <w:rsid w:val="0046574E"/>
    <w:rsid w:val="004657E8"/>
    <w:rsid w:val="00467E99"/>
    <w:rsid w:val="00470790"/>
    <w:rsid w:val="00473029"/>
    <w:rsid w:val="00473EE4"/>
    <w:rsid w:val="00477B4C"/>
    <w:rsid w:val="00477B99"/>
    <w:rsid w:val="004823EF"/>
    <w:rsid w:val="004841CA"/>
    <w:rsid w:val="00485C84"/>
    <w:rsid w:val="00486215"/>
    <w:rsid w:val="0048630D"/>
    <w:rsid w:val="004920E9"/>
    <w:rsid w:val="004921CF"/>
    <w:rsid w:val="004930F0"/>
    <w:rsid w:val="004952D8"/>
    <w:rsid w:val="00497FE7"/>
    <w:rsid w:val="004A0BA8"/>
    <w:rsid w:val="004A489D"/>
    <w:rsid w:val="004A4A2E"/>
    <w:rsid w:val="004A4CD0"/>
    <w:rsid w:val="004A73A8"/>
    <w:rsid w:val="004A75D5"/>
    <w:rsid w:val="004A771F"/>
    <w:rsid w:val="004A78AE"/>
    <w:rsid w:val="004B004E"/>
    <w:rsid w:val="004B0589"/>
    <w:rsid w:val="004B0B74"/>
    <w:rsid w:val="004B1783"/>
    <w:rsid w:val="004B2350"/>
    <w:rsid w:val="004B39D9"/>
    <w:rsid w:val="004B3A8C"/>
    <w:rsid w:val="004B65AE"/>
    <w:rsid w:val="004B7661"/>
    <w:rsid w:val="004C1836"/>
    <w:rsid w:val="004C1B1E"/>
    <w:rsid w:val="004C22E6"/>
    <w:rsid w:val="004C2834"/>
    <w:rsid w:val="004C2FAC"/>
    <w:rsid w:val="004C33E4"/>
    <w:rsid w:val="004C3CC9"/>
    <w:rsid w:val="004C471F"/>
    <w:rsid w:val="004C5F41"/>
    <w:rsid w:val="004C6D04"/>
    <w:rsid w:val="004D090A"/>
    <w:rsid w:val="004D31C6"/>
    <w:rsid w:val="004D4293"/>
    <w:rsid w:val="004D5ABB"/>
    <w:rsid w:val="004D6DB8"/>
    <w:rsid w:val="004E0135"/>
    <w:rsid w:val="004E2D29"/>
    <w:rsid w:val="004E3010"/>
    <w:rsid w:val="004E366B"/>
    <w:rsid w:val="004E3F83"/>
    <w:rsid w:val="004E4A53"/>
    <w:rsid w:val="004E4DFF"/>
    <w:rsid w:val="004E4E19"/>
    <w:rsid w:val="004E5278"/>
    <w:rsid w:val="004E74F4"/>
    <w:rsid w:val="004F0129"/>
    <w:rsid w:val="004F257F"/>
    <w:rsid w:val="004F35CD"/>
    <w:rsid w:val="004F7F41"/>
    <w:rsid w:val="0050029F"/>
    <w:rsid w:val="00500F94"/>
    <w:rsid w:val="00501639"/>
    <w:rsid w:val="00501EFF"/>
    <w:rsid w:val="0050277D"/>
    <w:rsid w:val="005035EB"/>
    <w:rsid w:val="005057CC"/>
    <w:rsid w:val="0050689B"/>
    <w:rsid w:val="005068AA"/>
    <w:rsid w:val="00506EDB"/>
    <w:rsid w:val="00511093"/>
    <w:rsid w:val="00512A8E"/>
    <w:rsid w:val="00520422"/>
    <w:rsid w:val="0052085F"/>
    <w:rsid w:val="0052404D"/>
    <w:rsid w:val="00530284"/>
    <w:rsid w:val="005321B0"/>
    <w:rsid w:val="0053418A"/>
    <w:rsid w:val="005349D6"/>
    <w:rsid w:val="00536BC1"/>
    <w:rsid w:val="00537F36"/>
    <w:rsid w:val="00541205"/>
    <w:rsid w:val="005433DE"/>
    <w:rsid w:val="0054420E"/>
    <w:rsid w:val="00545CF7"/>
    <w:rsid w:val="005472E5"/>
    <w:rsid w:val="0055057E"/>
    <w:rsid w:val="00550B0C"/>
    <w:rsid w:val="0055113D"/>
    <w:rsid w:val="005551F3"/>
    <w:rsid w:val="00556A65"/>
    <w:rsid w:val="00561C0E"/>
    <w:rsid w:val="005662EA"/>
    <w:rsid w:val="00567B5A"/>
    <w:rsid w:val="00567C18"/>
    <w:rsid w:val="0057009B"/>
    <w:rsid w:val="005735B3"/>
    <w:rsid w:val="005755CC"/>
    <w:rsid w:val="005801F0"/>
    <w:rsid w:val="005806D1"/>
    <w:rsid w:val="005826CC"/>
    <w:rsid w:val="00582861"/>
    <w:rsid w:val="00582D4F"/>
    <w:rsid w:val="005839B9"/>
    <w:rsid w:val="00586DF8"/>
    <w:rsid w:val="00587D54"/>
    <w:rsid w:val="00591262"/>
    <w:rsid w:val="00591AB8"/>
    <w:rsid w:val="00597954"/>
    <w:rsid w:val="005A57C1"/>
    <w:rsid w:val="005B10C2"/>
    <w:rsid w:val="005B15A7"/>
    <w:rsid w:val="005B3509"/>
    <w:rsid w:val="005B430B"/>
    <w:rsid w:val="005B43B7"/>
    <w:rsid w:val="005B5D4F"/>
    <w:rsid w:val="005B6716"/>
    <w:rsid w:val="005B6C80"/>
    <w:rsid w:val="005B71FC"/>
    <w:rsid w:val="005C08BF"/>
    <w:rsid w:val="005C4CEE"/>
    <w:rsid w:val="005C4F38"/>
    <w:rsid w:val="005C5196"/>
    <w:rsid w:val="005C7758"/>
    <w:rsid w:val="005D14B4"/>
    <w:rsid w:val="005D1EBB"/>
    <w:rsid w:val="005D43FD"/>
    <w:rsid w:val="005D4D26"/>
    <w:rsid w:val="005D65E6"/>
    <w:rsid w:val="005D7DBA"/>
    <w:rsid w:val="005E4D19"/>
    <w:rsid w:val="005E5387"/>
    <w:rsid w:val="005E6545"/>
    <w:rsid w:val="005F19CB"/>
    <w:rsid w:val="005F5348"/>
    <w:rsid w:val="005F74E7"/>
    <w:rsid w:val="005F7871"/>
    <w:rsid w:val="006011C8"/>
    <w:rsid w:val="006024FD"/>
    <w:rsid w:val="0060310C"/>
    <w:rsid w:val="00605FAC"/>
    <w:rsid w:val="006134A3"/>
    <w:rsid w:val="006150DB"/>
    <w:rsid w:val="006200AB"/>
    <w:rsid w:val="00620450"/>
    <w:rsid w:val="00620753"/>
    <w:rsid w:val="00620911"/>
    <w:rsid w:val="00620C61"/>
    <w:rsid w:val="0062449E"/>
    <w:rsid w:val="006274CF"/>
    <w:rsid w:val="00627F57"/>
    <w:rsid w:val="00636481"/>
    <w:rsid w:val="00644209"/>
    <w:rsid w:val="00647525"/>
    <w:rsid w:val="006479FE"/>
    <w:rsid w:val="00654E17"/>
    <w:rsid w:val="00655510"/>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3798"/>
    <w:rsid w:val="006B4DC6"/>
    <w:rsid w:val="006B4E8D"/>
    <w:rsid w:val="006B5DE9"/>
    <w:rsid w:val="006B6806"/>
    <w:rsid w:val="006B72C2"/>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5BEA"/>
    <w:rsid w:val="006F0EB7"/>
    <w:rsid w:val="006F47C8"/>
    <w:rsid w:val="006F6671"/>
    <w:rsid w:val="00700F72"/>
    <w:rsid w:val="007013DE"/>
    <w:rsid w:val="00701830"/>
    <w:rsid w:val="00702F63"/>
    <w:rsid w:val="00710812"/>
    <w:rsid w:val="00711E9D"/>
    <w:rsid w:val="007130C9"/>
    <w:rsid w:val="007130CE"/>
    <w:rsid w:val="00713548"/>
    <w:rsid w:val="00713B1C"/>
    <w:rsid w:val="00713C58"/>
    <w:rsid w:val="00714DB9"/>
    <w:rsid w:val="00714DC9"/>
    <w:rsid w:val="0071700B"/>
    <w:rsid w:val="00717BD5"/>
    <w:rsid w:val="00720CC1"/>
    <w:rsid w:val="00720FED"/>
    <w:rsid w:val="007224C1"/>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974B0"/>
    <w:rsid w:val="007A0D98"/>
    <w:rsid w:val="007A6D99"/>
    <w:rsid w:val="007A7E01"/>
    <w:rsid w:val="007B05F5"/>
    <w:rsid w:val="007B584E"/>
    <w:rsid w:val="007B6A97"/>
    <w:rsid w:val="007C2805"/>
    <w:rsid w:val="007C3D60"/>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4E8"/>
    <w:rsid w:val="007F664A"/>
    <w:rsid w:val="007F66E6"/>
    <w:rsid w:val="007F68CC"/>
    <w:rsid w:val="00804822"/>
    <w:rsid w:val="00805729"/>
    <w:rsid w:val="00813005"/>
    <w:rsid w:val="00813FEF"/>
    <w:rsid w:val="00816397"/>
    <w:rsid w:val="00817ACD"/>
    <w:rsid w:val="00823310"/>
    <w:rsid w:val="008249B7"/>
    <w:rsid w:val="00826879"/>
    <w:rsid w:val="008272FD"/>
    <w:rsid w:val="00827A4E"/>
    <w:rsid w:val="00832891"/>
    <w:rsid w:val="008339A8"/>
    <w:rsid w:val="00836959"/>
    <w:rsid w:val="00847D4E"/>
    <w:rsid w:val="008508FF"/>
    <w:rsid w:val="00851D03"/>
    <w:rsid w:val="008536CE"/>
    <w:rsid w:val="008544DF"/>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75A2"/>
    <w:rsid w:val="008C0905"/>
    <w:rsid w:val="008C26A3"/>
    <w:rsid w:val="008C4A56"/>
    <w:rsid w:val="008D05CC"/>
    <w:rsid w:val="008D0D68"/>
    <w:rsid w:val="008D306F"/>
    <w:rsid w:val="008D3292"/>
    <w:rsid w:val="008D3340"/>
    <w:rsid w:val="008D3912"/>
    <w:rsid w:val="008E1877"/>
    <w:rsid w:val="008E4C32"/>
    <w:rsid w:val="008F195C"/>
    <w:rsid w:val="008F3789"/>
    <w:rsid w:val="008F4C47"/>
    <w:rsid w:val="008F525A"/>
    <w:rsid w:val="008F5663"/>
    <w:rsid w:val="008F6BFF"/>
    <w:rsid w:val="008F6D3F"/>
    <w:rsid w:val="008F71A1"/>
    <w:rsid w:val="008F7FE1"/>
    <w:rsid w:val="00900B9E"/>
    <w:rsid w:val="00900D39"/>
    <w:rsid w:val="00901A45"/>
    <w:rsid w:val="00902AF3"/>
    <w:rsid w:val="0090576D"/>
    <w:rsid w:val="00913C5E"/>
    <w:rsid w:val="00915FA4"/>
    <w:rsid w:val="009179FB"/>
    <w:rsid w:val="009203FD"/>
    <w:rsid w:val="0092483C"/>
    <w:rsid w:val="009264DF"/>
    <w:rsid w:val="009317ED"/>
    <w:rsid w:val="0093355D"/>
    <w:rsid w:val="00935D92"/>
    <w:rsid w:val="009361EB"/>
    <w:rsid w:val="00941003"/>
    <w:rsid w:val="009425B3"/>
    <w:rsid w:val="0094567D"/>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77B2B"/>
    <w:rsid w:val="0098261B"/>
    <w:rsid w:val="0098401D"/>
    <w:rsid w:val="009849E5"/>
    <w:rsid w:val="0098548B"/>
    <w:rsid w:val="00985D3C"/>
    <w:rsid w:val="0098683C"/>
    <w:rsid w:val="0098753E"/>
    <w:rsid w:val="009923A9"/>
    <w:rsid w:val="00996071"/>
    <w:rsid w:val="009964CD"/>
    <w:rsid w:val="00997637"/>
    <w:rsid w:val="009A27D2"/>
    <w:rsid w:val="009A53C8"/>
    <w:rsid w:val="009A6414"/>
    <w:rsid w:val="009B3D65"/>
    <w:rsid w:val="009B426B"/>
    <w:rsid w:val="009B5513"/>
    <w:rsid w:val="009B626F"/>
    <w:rsid w:val="009B7251"/>
    <w:rsid w:val="009C0ABF"/>
    <w:rsid w:val="009C4183"/>
    <w:rsid w:val="009C43E7"/>
    <w:rsid w:val="009D14CA"/>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2FFD"/>
    <w:rsid w:val="00A0349A"/>
    <w:rsid w:val="00A04427"/>
    <w:rsid w:val="00A04B91"/>
    <w:rsid w:val="00A04D83"/>
    <w:rsid w:val="00A054B0"/>
    <w:rsid w:val="00A069E1"/>
    <w:rsid w:val="00A1019C"/>
    <w:rsid w:val="00A11648"/>
    <w:rsid w:val="00A2029A"/>
    <w:rsid w:val="00A2084A"/>
    <w:rsid w:val="00A20872"/>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57E2B"/>
    <w:rsid w:val="00A60783"/>
    <w:rsid w:val="00A6116D"/>
    <w:rsid w:val="00A63344"/>
    <w:rsid w:val="00A65F2C"/>
    <w:rsid w:val="00A7081B"/>
    <w:rsid w:val="00A71DC3"/>
    <w:rsid w:val="00A72188"/>
    <w:rsid w:val="00A734EF"/>
    <w:rsid w:val="00A737D3"/>
    <w:rsid w:val="00A73873"/>
    <w:rsid w:val="00A8041F"/>
    <w:rsid w:val="00A8062A"/>
    <w:rsid w:val="00A807A5"/>
    <w:rsid w:val="00A842F8"/>
    <w:rsid w:val="00A8458D"/>
    <w:rsid w:val="00A87B0A"/>
    <w:rsid w:val="00A93198"/>
    <w:rsid w:val="00A9668D"/>
    <w:rsid w:val="00A97137"/>
    <w:rsid w:val="00AA1BF0"/>
    <w:rsid w:val="00AA3059"/>
    <w:rsid w:val="00AA35BC"/>
    <w:rsid w:val="00AA4441"/>
    <w:rsid w:val="00AA5045"/>
    <w:rsid w:val="00AA73FE"/>
    <w:rsid w:val="00AA7D8F"/>
    <w:rsid w:val="00AB14AF"/>
    <w:rsid w:val="00AC016B"/>
    <w:rsid w:val="00AC1CE7"/>
    <w:rsid w:val="00AC390C"/>
    <w:rsid w:val="00AC51F3"/>
    <w:rsid w:val="00AC532F"/>
    <w:rsid w:val="00AC6B33"/>
    <w:rsid w:val="00AC710B"/>
    <w:rsid w:val="00AC768E"/>
    <w:rsid w:val="00AC7B67"/>
    <w:rsid w:val="00AD0B89"/>
    <w:rsid w:val="00AD47D4"/>
    <w:rsid w:val="00AD62D8"/>
    <w:rsid w:val="00AD78DA"/>
    <w:rsid w:val="00AE0FAB"/>
    <w:rsid w:val="00AE1546"/>
    <w:rsid w:val="00AE1BD9"/>
    <w:rsid w:val="00AE33D9"/>
    <w:rsid w:val="00AE7A63"/>
    <w:rsid w:val="00AF1253"/>
    <w:rsid w:val="00AF267E"/>
    <w:rsid w:val="00AF63C3"/>
    <w:rsid w:val="00AF7CE1"/>
    <w:rsid w:val="00B00E7C"/>
    <w:rsid w:val="00B011E3"/>
    <w:rsid w:val="00B0301F"/>
    <w:rsid w:val="00B0351C"/>
    <w:rsid w:val="00B03934"/>
    <w:rsid w:val="00B048B1"/>
    <w:rsid w:val="00B05D56"/>
    <w:rsid w:val="00B065A8"/>
    <w:rsid w:val="00B11686"/>
    <w:rsid w:val="00B1283E"/>
    <w:rsid w:val="00B12A03"/>
    <w:rsid w:val="00B12C6B"/>
    <w:rsid w:val="00B13276"/>
    <w:rsid w:val="00B139D9"/>
    <w:rsid w:val="00B14EAD"/>
    <w:rsid w:val="00B22DD8"/>
    <w:rsid w:val="00B2435B"/>
    <w:rsid w:val="00B26826"/>
    <w:rsid w:val="00B31D15"/>
    <w:rsid w:val="00B31D8E"/>
    <w:rsid w:val="00B329A9"/>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7183"/>
    <w:rsid w:val="00B906B5"/>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2F38"/>
    <w:rsid w:val="00BE7761"/>
    <w:rsid w:val="00BF03A9"/>
    <w:rsid w:val="00BF0F57"/>
    <w:rsid w:val="00BF14BC"/>
    <w:rsid w:val="00BF1BD2"/>
    <w:rsid w:val="00C00948"/>
    <w:rsid w:val="00C00B45"/>
    <w:rsid w:val="00C047F9"/>
    <w:rsid w:val="00C06CDB"/>
    <w:rsid w:val="00C06D0F"/>
    <w:rsid w:val="00C070FB"/>
    <w:rsid w:val="00C13799"/>
    <w:rsid w:val="00C2460C"/>
    <w:rsid w:val="00C2552A"/>
    <w:rsid w:val="00C3074F"/>
    <w:rsid w:val="00C308BE"/>
    <w:rsid w:val="00C31F5F"/>
    <w:rsid w:val="00C32053"/>
    <w:rsid w:val="00C40FD8"/>
    <w:rsid w:val="00C41730"/>
    <w:rsid w:val="00C41733"/>
    <w:rsid w:val="00C43D44"/>
    <w:rsid w:val="00C462C4"/>
    <w:rsid w:val="00C55A65"/>
    <w:rsid w:val="00C60C71"/>
    <w:rsid w:val="00C632B3"/>
    <w:rsid w:val="00C63B7C"/>
    <w:rsid w:val="00C65F66"/>
    <w:rsid w:val="00C70D48"/>
    <w:rsid w:val="00C71038"/>
    <w:rsid w:val="00C74E04"/>
    <w:rsid w:val="00C77158"/>
    <w:rsid w:val="00C77DFE"/>
    <w:rsid w:val="00C80D4B"/>
    <w:rsid w:val="00C8278A"/>
    <w:rsid w:val="00C8558C"/>
    <w:rsid w:val="00C85ABE"/>
    <w:rsid w:val="00C9009E"/>
    <w:rsid w:val="00C90A57"/>
    <w:rsid w:val="00C91087"/>
    <w:rsid w:val="00C91F07"/>
    <w:rsid w:val="00C92120"/>
    <w:rsid w:val="00C93BA8"/>
    <w:rsid w:val="00C942FC"/>
    <w:rsid w:val="00C966DA"/>
    <w:rsid w:val="00C976B2"/>
    <w:rsid w:val="00CA1213"/>
    <w:rsid w:val="00CA16E3"/>
    <w:rsid w:val="00CA2E29"/>
    <w:rsid w:val="00CA3607"/>
    <w:rsid w:val="00CA72F1"/>
    <w:rsid w:val="00CB185D"/>
    <w:rsid w:val="00CB26EA"/>
    <w:rsid w:val="00CB2DCB"/>
    <w:rsid w:val="00CB4591"/>
    <w:rsid w:val="00CB4D90"/>
    <w:rsid w:val="00CB6F85"/>
    <w:rsid w:val="00CC0473"/>
    <w:rsid w:val="00CC1E8D"/>
    <w:rsid w:val="00CC3970"/>
    <w:rsid w:val="00CC3ED1"/>
    <w:rsid w:val="00CC4988"/>
    <w:rsid w:val="00CD66D5"/>
    <w:rsid w:val="00CE0A40"/>
    <w:rsid w:val="00CE1852"/>
    <w:rsid w:val="00CE2946"/>
    <w:rsid w:val="00CE4329"/>
    <w:rsid w:val="00CF1014"/>
    <w:rsid w:val="00CF143A"/>
    <w:rsid w:val="00CF7619"/>
    <w:rsid w:val="00D00EA0"/>
    <w:rsid w:val="00D01999"/>
    <w:rsid w:val="00D01A50"/>
    <w:rsid w:val="00D05D33"/>
    <w:rsid w:val="00D160F3"/>
    <w:rsid w:val="00D17B72"/>
    <w:rsid w:val="00D17E86"/>
    <w:rsid w:val="00D201E6"/>
    <w:rsid w:val="00D20FFB"/>
    <w:rsid w:val="00D23118"/>
    <w:rsid w:val="00D237C3"/>
    <w:rsid w:val="00D2517E"/>
    <w:rsid w:val="00D25CD7"/>
    <w:rsid w:val="00D3261D"/>
    <w:rsid w:val="00D32B51"/>
    <w:rsid w:val="00D33A08"/>
    <w:rsid w:val="00D3541E"/>
    <w:rsid w:val="00D35F06"/>
    <w:rsid w:val="00D36192"/>
    <w:rsid w:val="00D36226"/>
    <w:rsid w:val="00D43886"/>
    <w:rsid w:val="00D455D4"/>
    <w:rsid w:val="00D45E62"/>
    <w:rsid w:val="00D46DC4"/>
    <w:rsid w:val="00D5062B"/>
    <w:rsid w:val="00D50B17"/>
    <w:rsid w:val="00D53541"/>
    <w:rsid w:val="00D5515A"/>
    <w:rsid w:val="00D55E39"/>
    <w:rsid w:val="00D575BB"/>
    <w:rsid w:val="00D60633"/>
    <w:rsid w:val="00D620FF"/>
    <w:rsid w:val="00D63E1C"/>
    <w:rsid w:val="00D65A90"/>
    <w:rsid w:val="00D65BF3"/>
    <w:rsid w:val="00D7323E"/>
    <w:rsid w:val="00D73D35"/>
    <w:rsid w:val="00D74C34"/>
    <w:rsid w:val="00D7679A"/>
    <w:rsid w:val="00D76A3B"/>
    <w:rsid w:val="00D80821"/>
    <w:rsid w:val="00D83505"/>
    <w:rsid w:val="00D872B1"/>
    <w:rsid w:val="00D91D07"/>
    <w:rsid w:val="00D96A89"/>
    <w:rsid w:val="00DC1CC0"/>
    <w:rsid w:val="00DC273F"/>
    <w:rsid w:val="00DC38B8"/>
    <w:rsid w:val="00DC4475"/>
    <w:rsid w:val="00DC58C0"/>
    <w:rsid w:val="00DD3A2B"/>
    <w:rsid w:val="00DD61DE"/>
    <w:rsid w:val="00DD66CB"/>
    <w:rsid w:val="00DD78E2"/>
    <w:rsid w:val="00DE11A5"/>
    <w:rsid w:val="00DE25A0"/>
    <w:rsid w:val="00DE4E91"/>
    <w:rsid w:val="00DF0B35"/>
    <w:rsid w:val="00DF39D2"/>
    <w:rsid w:val="00DF48F5"/>
    <w:rsid w:val="00DF56A7"/>
    <w:rsid w:val="00DF6BBB"/>
    <w:rsid w:val="00DF7125"/>
    <w:rsid w:val="00E017F3"/>
    <w:rsid w:val="00E01912"/>
    <w:rsid w:val="00E04749"/>
    <w:rsid w:val="00E04CBD"/>
    <w:rsid w:val="00E07A22"/>
    <w:rsid w:val="00E16674"/>
    <w:rsid w:val="00E21911"/>
    <w:rsid w:val="00E2417A"/>
    <w:rsid w:val="00E25B4B"/>
    <w:rsid w:val="00E26437"/>
    <w:rsid w:val="00E30E17"/>
    <w:rsid w:val="00E34D7A"/>
    <w:rsid w:val="00E37F4B"/>
    <w:rsid w:val="00E411A9"/>
    <w:rsid w:val="00E4350D"/>
    <w:rsid w:val="00E4387D"/>
    <w:rsid w:val="00E43A22"/>
    <w:rsid w:val="00E516CB"/>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60BA"/>
    <w:rsid w:val="00E96C90"/>
    <w:rsid w:val="00E96DDF"/>
    <w:rsid w:val="00E9768D"/>
    <w:rsid w:val="00EA067A"/>
    <w:rsid w:val="00EA1A26"/>
    <w:rsid w:val="00EA2F92"/>
    <w:rsid w:val="00EA5A23"/>
    <w:rsid w:val="00EA7141"/>
    <w:rsid w:val="00EB27E9"/>
    <w:rsid w:val="00EB47D2"/>
    <w:rsid w:val="00EB5774"/>
    <w:rsid w:val="00EB6169"/>
    <w:rsid w:val="00EB64CF"/>
    <w:rsid w:val="00EB681D"/>
    <w:rsid w:val="00EB74A3"/>
    <w:rsid w:val="00EC1F3E"/>
    <w:rsid w:val="00EC65CA"/>
    <w:rsid w:val="00ED2C01"/>
    <w:rsid w:val="00ED7B9C"/>
    <w:rsid w:val="00EE3131"/>
    <w:rsid w:val="00EE6D9A"/>
    <w:rsid w:val="00EE7426"/>
    <w:rsid w:val="00EF0027"/>
    <w:rsid w:val="00EF0F49"/>
    <w:rsid w:val="00EF26EB"/>
    <w:rsid w:val="00EF291C"/>
    <w:rsid w:val="00EF584E"/>
    <w:rsid w:val="00F007F5"/>
    <w:rsid w:val="00F01D4C"/>
    <w:rsid w:val="00F02583"/>
    <w:rsid w:val="00F031FD"/>
    <w:rsid w:val="00F04C12"/>
    <w:rsid w:val="00F052B6"/>
    <w:rsid w:val="00F115D4"/>
    <w:rsid w:val="00F14219"/>
    <w:rsid w:val="00F14A3D"/>
    <w:rsid w:val="00F1565A"/>
    <w:rsid w:val="00F156C3"/>
    <w:rsid w:val="00F25E14"/>
    <w:rsid w:val="00F271F7"/>
    <w:rsid w:val="00F301F9"/>
    <w:rsid w:val="00F34324"/>
    <w:rsid w:val="00F36B32"/>
    <w:rsid w:val="00F43D59"/>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77002"/>
    <w:rsid w:val="00F80B2F"/>
    <w:rsid w:val="00F81D1A"/>
    <w:rsid w:val="00F84389"/>
    <w:rsid w:val="00F851EC"/>
    <w:rsid w:val="00F854CA"/>
    <w:rsid w:val="00F855A7"/>
    <w:rsid w:val="00F86B1F"/>
    <w:rsid w:val="00F8779E"/>
    <w:rsid w:val="00F87AF0"/>
    <w:rsid w:val="00F94259"/>
    <w:rsid w:val="00F96F1F"/>
    <w:rsid w:val="00FA0025"/>
    <w:rsid w:val="00FA0697"/>
    <w:rsid w:val="00FA0E7F"/>
    <w:rsid w:val="00FA24B0"/>
    <w:rsid w:val="00FA4314"/>
    <w:rsid w:val="00FA45BB"/>
    <w:rsid w:val="00FA5099"/>
    <w:rsid w:val="00FA72FD"/>
    <w:rsid w:val="00FB04B7"/>
    <w:rsid w:val="00FB4551"/>
    <w:rsid w:val="00FB698B"/>
    <w:rsid w:val="00FB7451"/>
    <w:rsid w:val="00FC2F44"/>
    <w:rsid w:val="00FC62BC"/>
    <w:rsid w:val="00FC63D2"/>
    <w:rsid w:val="00FD1481"/>
    <w:rsid w:val="00FD30D6"/>
    <w:rsid w:val="00FD520C"/>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4:docId w14:val="1B5EFC55"/>
  <w15:chartTrackingRefBased/>
  <w15:docId w15:val="{7BD44664-26D8-4475-9CC0-801B3A2C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Title2">
    <w:name w:val="Title2"/>
    <w:basedOn w:val="Normal"/>
    <w:rsid w:val="005E6545"/>
    <w:rPr>
      <w:b/>
      <w:lang w:val="en-US"/>
    </w:rPr>
  </w:style>
  <w:style w:type="paragraph" w:customStyle="1" w:styleId="AuthorsFull">
    <w:name w:val="Authors Full"/>
    <w:basedOn w:val="Normal"/>
    <w:rsid w:val="005E6545"/>
    <w:rPr>
      <w:i/>
      <w:lang w:val="en-US"/>
    </w:rPr>
  </w:style>
  <w:style w:type="paragraph" w:customStyle="1" w:styleId="Addresses">
    <w:name w:val="Addresses"/>
    <w:basedOn w:val="Normal"/>
    <w:rsid w:val="0050029F"/>
    <w:rPr>
      <w:lang w:val="en-US"/>
    </w:rPr>
  </w:style>
  <w:style w:type="character" w:styleId="Hyperlink">
    <w:name w:val="Hyperlink"/>
    <w:basedOn w:val="DefaultParagraphFont"/>
    <w:uiPriority w:val="99"/>
    <w:unhideWhenUsed/>
    <w:rsid w:val="0050029F"/>
    <w:rPr>
      <w:color w:val="0563C1" w:themeColor="hyperlink"/>
      <w:u w:val="single"/>
    </w:rPr>
  </w:style>
  <w:style w:type="paragraph" w:customStyle="1" w:styleId="RSCB02ArticleText">
    <w:name w:val="RSC B02 Article Text"/>
    <w:basedOn w:val="Normal"/>
    <w:link w:val="RSCB02ArticleTextChar"/>
    <w:qFormat/>
    <w:rsid w:val="00F031FD"/>
    <w:pPr>
      <w:tabs>
        <w:tab w:val="left" w:pos="284"/>
      </w:tabs>
      <w:spacing w:line="240" w:lineRule="exact"/>
      <w:jc w:val="both"/>
    </w:pPr>
    <w:rPr>
      <w:rFonts w:ascii="Calibri" w:eastAsia="SimSun" w:hAnsi="Calibri"/>
      <w:w w:val="108"/>
      <w:sz w:val="18"/>
      <w:szCs w:val="18"/>
      <w:lang w:val="en-GB" w:eastAsia="en-US"/>
    </w:rPr>
  </w:style>
  <w:style w:type="character" w:customStyle="1" w:styleId="RSCB02ArticleTextChar">
    <w:name w:val="RSC B02 Article Text Char"/>
    <w:link w:val="RSCB02ArticleText"/>
    <w:rsid w:val="00F031FD"/>
    <w:rPr>
      <w:rFonts w:ascii="Calibri" w:eastAsia="SimSun" w:hAnsi="Calibri"/>
      <w:w w:val="108"/>
      <w:sz w:val="18"/>
      <w:szCs w:val="18"/>
      <w:lang w:eastAsia="en-US"/>
    </w:rPr>
  </w:style>
  <w:style w:type="paragraph" w:customStyle="1" w:styleId="MainText">
    <w:name w:val="Main Text"/>
    <w:basedOn w:val="Normal"/>
    <w:link w:val="MainTextChar"/>
    <w:rsid w:val="00274379"/>
    <w:pPr>
      <w:spacing w:line="480" w:lineRule="auto"/>
    </w:pPr>
    <w:rPr>
      <w:lang w:val="en-US"/>
    </w:rPr>
  </w:style>
  <w:style w:type="character" w:customStyle="1" w:styleId="MainTextChar">
    <w:name w:val="Main Text Char"/>
    <w:link w:val="MainText"/>
    <w:rsid w:val="00274379"/>
    <w:rPr>
      <w:sz w:val="24"/>
      <w:szCs w:val="24"/>
      <w:lang w:val="en-US" w:eastAsia="ja-JP"/>
    </w:rPr>
  </w:style>
  <w:style w:type="paragraph" w:customStyle="1" w:styleId="VCSchemeTitle">
    <w:name w:val="VC_Scheme_Title"/>
    <w:basedOn w:val="Normal"/>
    <w:next w:val="Normal"/>
    <w:rsid w:val="004920E9"/>
    <w:pPr>
      <w:spacing w:after="200" w:line="480" w:lineRule="auto"/>
      <w:jc w:val="both"/>
    </w:pPr>
    <w:rPr>
      <w:rFonts w:ascii="Times" w:eastAsia="Times New Roman" w:hAnsi="Times"/>
      <w:szCs w:val="20"/>
      <w:lang w:val="en-US" w:eastAsia="en-US"/>
    </w:rPr>
  </w:style>
  <w:style w:type="paragraph" w:customStyle="1" w:styleId="TAMainText">
    <w:name w:val="TA_Main_Text"/>
    <w:basedOn w:val="Normal"/>
    <w:rsid w:val="00CB185D"/>
    <w:pPr>
      <w:spacing w:line="480" w:lineRule="auto"/>
      <w:ind w:firstLine="202"/>
      <w:jc w:val="both"/>
    </w:pPr>
    <w:rPr>
      <w:rFonts w:ascii="Times" w:eastAsia="Times New Roman" w:hAnsi="Times"/>
      <w:szCs w:val="20"/>
      <w:lang w:val="en-US" w:eastAsia="en-US"/>
    </w:rPr>
  </w:style>
  <w:style w:type="paragraph" w:customStyle="1" w:styleId="VAFigureCaption">
    <w:name w:val="VA_Figure_Caption"/>
    <w:basedOn w:val="Normal"/>
    <w:next w:val="Normal"/>
    <w:rsid w:val="008F4C47"/>
    <w:pPr>
      <w:spacing w:after="200" w:line="480" w:lineRule="auto"/>
      <w:jc w:val="both"/>
    </w:pPr>
    <w:rPr>
      <w:rFonts w:ascii="Times" w:eastAsia="Times New Roman" w:hAnsi="Times"/>
      <w:szCs w:val="20"/>
      <w:lang w:val="en-US" w:eastAsia="en-US"/>
    </w:rPr>
  </w:style>
  <w:style w:type="paragraph" w:customStyle="1" w:styleId="TDAcknowledgments">
    <w:name w:val="TD_Acknowledgments"/>
    <w:basedOn w:val="Normal"/>
    <w:next w:val="Normal"/>
    <w:rsid w:val="00E96DDF"/>
    <w:pPr>
      <w:spacing w:before="200" w:after="200" w:line="480" w:lineRule="auto"/>
      <w:ind w:firstLine="202"/>
      <w:jc w:val="both"/>
    </w:pPr>
    <w:rPr>
      <w:rFonts w:ascii="Times" w:eastAsia="Times New Roman" w:hAnsi="Times"/>
      <w:szCs w:val="20"/>
      <w:lang w:val="en-US" w:eastAsia="en-US"/>
    </w:rPr>
  </w:style>
  <w:style w:type="paragraph" w:styleId="FootnoteText">
    <w:name w:val="footnote text"/>
    <w:basedOn w:val="Normal"/>
    <w:link w:val="FootnoteTextChar"/>
    <w:uiPriority w:val="99"/>
    <w:semiHidden/>
    <w:unhideWhenUsed/>
    <w:rsid w:val="00E04CBD"/>
    <w:rPr>
      <w:sz w:val="20"/>
      <w:szCs w:val="20"/>
    </w:rPr>
  </w:style>
  <w:style w:type="character" w:customStyle="1" w:styleId="FootnoteTextChar">
    <w:name w:val="Footnote Text Char"/>
    <w:basedOn w:val="DefaultParagraphFont"/>
    <w:link w:val="FootnoteText"/>
    <w:uiPriority w:val="99"/>
    <w:semiHidden/>
    <w:rsid w:val="00E04CBD"/>
    <w:rPr>
      <w:lang w:val="de-DE" w:eastAsia="ja-JP"/>
    </w:rPr>
  </w:style>
  <w:style w:type="character" w:styleId="FootnoteReference">
    <w:name w:val="footnote reference"/>
    <w:basedOn w:val="DefaultParagraphFont"/>
    <w:uiPriority w:val="99"/>
    <w:semiHidden/>
    <w:unhideWhenUsed/>
    <w:rsid w:val="00E04CBD"/>
    <w:rPr>
      <w:vertAlign w:val="superscript"/>
    </w:rPr>
  </w:style>
  <w:style w:type="character" w:styleId="CommentReference">
    <w:name w:val="annotation reference"/>
    <w:basedOn w:val="DefaultParagraphFont"/>
    <w:uiPriority w:val="99"/>
    <w:semiHidden/>
    <w:unhideWhenUsed/>
    <w:rsid w:val="00A2084A"/>
    <w:rPr>
      <w:sz w:val="16"/>
      <w:szCs w:val="16"/>
    </w:rPr>
  </w:style>
  <w:style w:type="paragraph" w:styleId="CommentText">
    <w:name w:val="annotation text"/>
    <w:basedOn w:val="Normal"/>
    <w:link w:val="CommentTextChar"/>
    <w:uiPriority w:val="99"/>
    <w:semiHidden/>
    <w:unhideWhenUsed/>
    <w:rsid w:val="00A2084A"/>
    <w:rPr>
      <w:sz w:val="20"/>
      <w:szCs w:val="20"/>
    </w:rPr>
  </w:style>
  <w:style w:type="character" w:customStyle="1" w:styleId="CommentTextChar">
    <w:name w:val="Comment Text Char"/>
    <w:basedOn w:val="DefaultParagraphFont"/>
    <w:link w:val="CommentText"/>
    <w:uiPriority w:val="99"/>
    <w:semiHidden/>
    <w:rsid w:val="00A2084A"/>
    <w:rPr>
      <w:lang w:val="de-DE" w:eastAsia="ja-JP"/>
    </w:rPr>
  </w:style>
  <w:style w:type="paragraph" w:styleId="CommentSubject">
    <w:name w:val="annotation subject"/>
    <w:basedOn w:val="CommentText"/>
    <w:next w:val="CommentText"/>
    <w:link w:val="CommentSubjectChar"/>
    <w:uiPriority w:val="99"/>
    <w:semiHidden/>
    <w:unhideWhenUsed/>
    <w:rsid w:val="00A2084A"/>
    <w:rPr>
      <w:b/>
      <w:bCs/>
    </w:rPr>
  </w:style>
  <w:style w:type="character" w:customStyle="1" w:styleId="CommentSubjectChar">
    <w:name w:val="Comment Subject Char"/>
    <w:basedOn w:val="CommentTextChar"/>
    <w:link w:val="CommentSubject"/>
    <w:uiPriority w:val="99"/>
    <w:semiHidden/>
    <w:rsid w:val="00A2084A"/>
    <w:rPr>
      <w:b/>
      <w:bCs/>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814392">
      <w:bodyDiv w:val="1"/>
      <w:marLeft w:val="0"/>
      <w:marRight w:val="0"/>
      <w:marTop w:val="0"/>
      <w:marBottom w:val="0"/>
      <w:divBdr>
        <w:top w:val="none" w:sz="0" w:space="0" w:color="auto"/>
        <w:left w:val="none" w:sz="0" w:space="0" w:color="auto"/>
        <w:bottom w:val="none" w:sz="0" w:space="0" w:color="auto"/>
        <w:right w:val="none" w:sz="0" w:space="0" w:color="auto"/>
      </w:divBdr>
      <w:divsChild>
        <w:div w:id="20859072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cooper@liverpool.ac.uk" TargetMode="External"/><Relationship Id="rId13" Type="http://schemas.openxmlformats.org/officeDocument/2006/relationships/image" Target="media/image4.tif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header" Target="header1.xml"/><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mailto:hardwick@liverpool.ac.uk" TargetMode="External"/><Relationship Id="rId14" Type="http://schemas.openxmlformats.org/officeDocument/2006/relationships/image" Target="media/image5.tif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ohui\Dropbox\Polyimide%20draft\ChemSusChem\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0888D-5A9F-4507-A6F6-59EAA27C2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Full_Paper.dot</Template>
  <TotalTime>146</TotalTime>
  <Pages>10</Pages>
  <Words>21882</Words>
  <Characters>124730</Characters>
  <Application>Microsoft Office Word</Application>
  <DocSecurity>0</DocSecurity>
  <Lines>1039</Lines>
  <Paragraphs>292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146320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Gao, Hui [gaohui]</dc:creator>
  <cp:keywords/>
  <cp:lastModifiedBy>Little, Marc</cp:lastModifiedBy>
  <cp:revision>24</cp:revision>
  <cp:lastPrinted>2012-11-08T15:19:00Z</cp:lastPrinted>
  <dcterms:created xsi:type="dcterms:W3CDTF">2020-07-28T08:24:00Z</dcterms:created>
  <dcterms:modified xsi:type="dcterms:W3CDTF">2020-07-29T09:22:00Z</dcterms:modified>
</cp:coreProperties>
</file>