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160F2" w14:textId="7666DB83" w:rsidR="00E142E9" w:rsidRDefault="00EA06E2" w:rsidP="00C70670">
      <w:pPr>
        <w:jc w:val="center"/>
        <w:rPr>
          <w:b/>
          <w:bCs/>
        </w:rPr>
      </w:pPr>
      <w:r>
        <w:rPr>
          <w:b/>
          <w:bCs/>
        </w:rPr>
        <w:t>Plunder</w:t>
      </w:r>
      <w:r w:rsidR="006C12E0">
        <w:rPr>
          <w:b/>
          <w:bCs/>
        </w:rPr>
        <w:t xml:space="preserve"> via </w:t>
      </w:r>
      <w:r w:rsidR="00925C59">
        <w:rPr>
          <w:b/>
          <w:bCs/>
        </w:rPr>
        <w:t>Violation of</w:t>
      </w:r>
      <w:r w:rsidR="003328A3" w:rsidRPr="003328A3">
        <w:rPr>
          <w:b/>
          <w:bCs/>
        </w:rPr>
        <w:t xml:space="preserve"> </w:t>
      </w:r>
      <w:r w:rsidR="006A3DB7">
        <w:rPr>
          <w:b/>
          <w:bCs/>
        </w:rPr>
        <w:t>FPIC</w:t>
      </w:r>
      <w:r>
        <w:rPr>
          <w:b/>
          <w:bCs/>
        </w:rPr>
        <w:t>:</w:t>
      </w:r>
      <w:r w:rsidR="00E142E9">
        <w:rPr>
          <w:b/>
          <w:bCs/>
        </w:rPr>
        <w:t xml:space="preserve"> </w:t>
      </w:r>
    </w:p>
    <w:p w14:paraId="4C26306A" w14:textId="77777777" w:rsidR="00E142E9" w:rsidRDefault="00BB1211" w:rsidP="00E142E9">
      <w:pPr>
        <w:jc w:val="center"/>
        <w:rPr>
          <w:b/>
          <w:bCs/>
        </w:rPr>
      </w:pPr>
      <w:r>
        <w:rPr>
          <w:b/>
          <w:bCs/>
        </w:rPr>
        <w:t>Land Grab</w:t>
      </w:r>
      <w:r w:rsidR="00C91E0D">
        <w:rPr>
          <w:b/>
          <w:bCs/>
        </w:rPr>
        <w:t>bing</w:t>
      </w:r>
      <w:r w:rsidR="00246981">
        <w:rPr>
          <w:b/>
          <w:bCs/>
        </w:rPr>
        <w:t>,</w:t>
      </w:r>
      <w:r w:rsidR="00C91E0D">
        <w:rPr>
          <w:b/>
          <w:bCs/>
        </w:rPr>
        <w:t xml:space="preserve"> </w:t>
      </w:r>
      <w:r w:rsidR="00960082">
        <w:rPr>
          <w:b/>
          <w:bCs/>
        </w:rPr>
        <w:t>State Negligence</w:t>
      </w:r>
      <w:r w:rsidR="00246981">
        <w:rPr>
          <w:b/>
          <w:bCs/>
        </w:rPr>
        <w:t xml:space="preserve">, </w:t>
      </w:r>
      <w:r w:rsidR="00620F61">
        <w:rPr>
          <w:b/>
          <w:bCs/>
        </w:rPr>
        <w:t xml:space="preserve">and </w:t>
      </w:r>
      <w:r w:rsidR="00246981">
        <w:rPr>
          <w:b/>
          <w:bCs/>
        </w:rPr>
        <w:t>Pathways to Peace</w:t>
      </w:r>
      <w:r w:rsidR="00C91E0D">
        <w:rPr>
          <w:b/>
          <w:bCs/>
        </w:rPr>
        <w:t xml:space="preserve"> </w:t>
      </w:r>
    </w:p>
    <w:p w14:paraId="359801B2" w14:textId="23CAA17A" w:rsidR="006F4CD7" w:rsidRDefault="00B254D1" w:rsidP="00E142E9">
      <w:pPr>
        <w:jc w:val="center"/>
        <w:rPr>
          <w:b/>
          <w:bCs/>
        </w:rPr>
      </w:pPr>
      <w:r w:rsidRPr="003328A3">
        <w:rPr>
          <w:b/>
          <w:bCs/>
        </w:rPr>
        <w:t xml:space="preserve">in </w:t>
      </w:r>
      <w:r w:rsidR="0051513A">
        <w:rPr>
          <w:b/>
          <w:bCs/>
        </w:rPr>
        <w:t xml:space="preserve">Central America and </w:t>
      </w:r>
      <w:r w:rsidR="006A2F79">
        <w:rPr>
          <w:b/>
          <w:bCs/>
        </w:rPr>
        <w:t>the Caribbean</w:t>
      </w:r>
    </w:p>
    <w:p w14:paraId="5188EF13" w14:textId="0D489422" w:rsidR="003F6C73" w:rsidRDefault="003F6C73" w:rsidP="003F6C73">
      <w:pPr>
        <w:jc w:val="center"/>
        <w:rPr>
          <w:b/>
          <w:bCs/>
        </w:rPr>
      </w:pPr>
    </w:p>
    <w:p w14:paraId="34BDB85A" w14:textId="63FC953E" w:rsidR="003F6C73" w:rsidRPr="00D96113" w:rsidRDefault="003F6C73" w:rsidP="003F6C73">
      <w:pPr>
        <w:spacing w:before="120" w:after="120"/>
        <w:jc w:val="both"/>
        <w:rPr>
          <w:rFonts w:ascii="Times" w:hAnsi="Times"/>
          <w:color w:val="000000" w:themeColor="text1"/>
          <w:lang w:val="en-US"/>
        </w:rPr>
      </w:pPr>
      <w:r w:rsidRPr="00D96113">
        <w:rPr>
          <w:rFonts w:ascii="Times" w:hAnsi="Times"/>
          <w:color w:val="000000" w:themeColor="text1"/>
          <w:lang w:val="en-US"/>
        </w:rPr>
        <w:t>Levi Gahman</w:t>
      </w:r>
      <w:r>
        <w:rPr>
          <w:rFonts w:ascii="Times" w:hAnsi="Times"/>
          <w:color w:val="000000" w:themeColor="text1"/>
          <w:lang w:val="en-US"/>
        </w:rPr>
        <w:t xml:space="preserve">, </w:t>
      </w:r>
      <w:r w:rsidRPr="00D96113">
        <w:rPr>
          <w:rFonts w:ascii="Times" w:hAnsi="Times"/>
          <w:color w:val="000000" w:themeColor="text1"/>
          <w:lang w:val="en-US"/>
        </w:rPr>
        <w:t>University of Liverpool (United Kingdom): Power, Space, and Cultural Change</w:t>
      </w:r>
    </w:p>
    <w:p w14:paraId="6D561402" w14:textId="77777777" w:rsidR="003F6C73" w:rsidRPr="00D96113" w:rsidRDefault="003F6C73" w:rsidP="003F6C73">
      <w:pPr>
        <w:spacing w:before="120" w:after="120"/>
        <w:jc w:val="both"/>
        <w:rPr>
          <w:rFonts w:ascii="Times" w:hAnsi="Times"/>
          <w:color w:val="000000" w:themeColor="text1"/>
          <w:lang w:val="en-US"/>
        </w:rPr>
      </w:pPr>
      <w:r w:rsidRPr="00D96113">
        <w:rPr>
          <w:rFonts w:ascii="Times" w:hAnsi="Times"/>
          <w:color w:val="000000" w:themeColor="text1"/>
          <w:lang w:val="en-US"/>
        </w:rPr>
        <w:t>Adaeze Greenidge</w:t>
      </w:r>
      <w:r>
        <w:rPr>
          <w:rFonts w:ascii="Times" w:hAnsi="Times"/>
          <w:color w:val="000000" w:themeColor="text1"/>
          <w:lang w:val="en-US"/>
        </w:rPr>
        <w:t xml:space="preserve">, </w:t>
      </w:r>
      <w:r w:rsidRPr="00D96113">
        <w:rPr>
          <w:rFonts w:ascii="Times" w:hAnsi="Times"/>
          <w:color w:val="000000" w:themeColor="text1"/>
          <w:lang w:val="en-US"/>
        </w:rPr>
        <w:t>University of the West Indies (Trinidad and Tobago)</w:t>
      </w:r>
    </w:p>
    <w:p w14:paraId="1A4A7D3A" w14:textId="77777777" w:rsidR="003F6C73" w:rsidRPr="00D96113" w:rsidRDefault="003F6C73" w:rsidP="003F6C73">
      <w:pPr>
        <w:spacing w:before="120" w:after="120"/>
        <w:jc w:val="both"/>
        <w:rPr>
          <w:rFonts w:ascii="Times" w:hAnsi="Times"/>
          <w:color w:val="000000" w:themeColor="text1"/>
          <w:lang w:val="en-US"/>
        </w:rPr>
      </w:pPr>
      <w:proofErr w:type="spellStart"/>
      <w:r>
        <w:rPr>
          <w:rFonts w:ascii="Times" w:hAnsi="Times"/>
          <w:color w:val="000000" w:themeColor="text1"/>
          <w:lang w:val="en-US"/>
        </w:rPr>
        <w:t>Atiyah</w:t>
      </w:r>
      <w:proofErr w:type="spellEnd"/>
      <w:r>
        <w:rPr>
          <w:rFonts w:ascii="Times" w:hAnsi="Times"/>
          <w:color w:val="000000" w:themeColor="text1"/>
          <w:lang w:val="en-US"/>
        </w:rPr>
        <w:t xml:space="preserve"> Mohamed, </w:t>
      </w:r>
      <w:r w:rsidRPr="00D96113">
        <w:rPr>
          <w:rFonts w:ascii="Times" w:hAnsi="Times"/>
          <w:color w:val="000000" w:themeColor="text1"/>
          <w:lang w:val="en-US"/>
        </w:rPr>
        <w:t>University of the West Indies (Trinidad and Tobago)</w:t>
      </w:r>
    </w:p>
    <w:p w14:paraId="346782DE" w14:textId="36B2CE25" w:rsidR="003F6C73" w:rsidRDefault="003F6C73" w:rsidP="00C70670">
      <w:pPr>
        <w:jc w:val="center"/>
        <w:rPr>
          <w:b/>
          <w:bCs/>
        </w:rPr>
      </w:pPr>
    </w:p>
    <w:p w14:paraId="3EB17D4B" w14:textId="573B0CDC" w:rsidR="00A11080" w:rsidRDefault="00A11080" w:rsidP="00C70670">
      <w:pPr>
        <w:pStyle w:val="Heading1"/>
        <w:jc w:val="both"/>
      </w:pPr>
      <w:r>
        <w:t>Keywords</w:t>
      </w:r>
    </w:p>
    <w:p w14:paraId="31476477" w14:textId="5BF44292" w:rsidR="00EA06E2" w:rsidRPr="00EA06E2" w:rsidRDefault="00EA06E2" w:rsidP="00C70670">
      <w:pPr>
        <w:jc w:val="both"/>
      </w:pPr>
      <w:r>
        <w:t xml:space="preserve">Land Grabbing; Free, Prior, and Informed Consent; Duty to Consult; </w:t>
      </w:r>
      <w:r w:rsidR="006C12E0">
        <w:t>Indigenous</w:t>
      </w:r>
      <w:r>
        <w:t xml:space="preserve"> Rights; Belize</w:t>
      </w:r>
    </w:p>
    <w:p w14:paraId="10F75BEF" w14:textId="77777777" w:rsidR="003F2C95" w:rsidRDefault="003F2C95" w:rsidP="00766B9F">
      <w:pPr>
        <w:jc w:val="both"/>
      </w:pPr>
    </w:p>
    <w:p w14:paraId="750B4993" w14:textId="79356883" w:rsidR="00766B9F" w:rsidRPr="00766B9F" w:rsidRDefault="00766B9F" w:rsidP="00766B9F">
      <w:pPr>
        <w:jc w:val="both"/>
      </w:pPr>
      <w:r w:rsidRPr="00766B9F">
        <w:t xml:space="preserve">This briefing provides an explicatory synopsis of tensions that emerge at the nexus of state power, corporate extraction, and struggles for Indigenous self-determination in Central America and the Caribbean. </w:t>
      </w:r>
      <w:r w:rsidR="00D70A0A">
        <w:t>S</w:t>
      </w:r>
      <w:r w:rsidRPr="00766B9F">
        <w:t>pecifically, it offers a</w:t>
      </w:r>
      <w:r w:rsidR="00D70A0A">
        <w:t xml:space="preserve">n </w:t>
      </w:r>
      <w:r w:rsidRPr="00766B9F">
        <w:t>overview of the ongoing land rights conflict taking place in Toledo District, Southern Belize between Maya communities, the Westminster</w:t>
      </w:r>
      <w:r w:rsidR="00707F06">
        <w:t>-</w:t>
      </w:r>
      <w:r>
        <w:t>modelled</w:t>
      </w:r>
      <w:r w:rsidRPr="00766B9F">
        <w:t xml:space="preserve"> Government of Belize</w:t>
      </w:r>
      <w:r w:rsidR="00E142E9">
        <w:t xml:space="preserve"> (</w:t>
      </w:r>
      <w:proofErr w:type="spellStart"/>
      <w:r w:rsidR="00E142E9">
        <w:t>GoB</w:t>
      </w:r>
      <w:proofErr w:type="spellEnd"/>
      <w:r w:rsidR="00E142E9">
        <w:t>)</w:t>
      </w:r>
      <w:r w:rsidRPr="00766B9F">
        <w:t>, and extractivist corporations. In doing so, we draw from both on-the-ground realities and recent human rights reports to illustrate how violations of Free, Prior, and Informed Consent</w:t>
      </w:r>
      <w:r w:rsidR="00E142E9">
        <w:t xml:space="preserve"> (FPIC)</w:t>
      </w:r>
      <w:r w:rsidRPr="00766B9F">
        <w:t xml:space="preserve"> </w:t>
      </w:r>
      <w:r>
        <w:t>in conjunction with</w:t>
      </w:r>
      <w:r w:rsidRPr="00766B9F">
        <w:t xml:space="preserve"> state refusals of the duty to consult are facilitating the damage, dispossession, and plunder of Maya lands. The piece concludes with a series of </w:t>
      </w:r>
      <w:r w:rsidR="00E142E9">
        <w:t>key questions and cogent solutions</w:t>
      </w:r>
      <w:r>
        <w:t xml:space="preserve"> </w:t>
      </w:r>
      <w:r w:rsidRPr="00766B9F">
        <w:t>that are oriented towards correcting historical</w:t>
      </w:r>
      <w:r>
        <w:t xml:space="preserve"> wrongs, </w:t>
      </w:r>
      <w:r w:rsidRPr="00766B9F">
        <w:t>contemporary injustices</w:t>
      </w:r>
      <w:r>
        <w:t>,</w:t>
      </w:r>
      <w:r w:rsidRPr="00766B9F">
        <w:t xml:space="preserve"> and creating pathways towards peace</w:t>
      </w:r>
      <w:r>
        <w:t xml:space="preserve"> in Belize and beyond.</w:t>
      </w:r>
    </w:p>
    <w:p w14:paraId="55B7C16C" w14:textId="77777777" w:rsidR="00766B9F" w:rsidRDefault="00766B9F">
      <w:pPr>
        <w:jc w:val="both"/>
      </w:pPr>
    </w:p>
    <w:p w14:paraId="11662A71" w14:textId="21300F2F" w:rsidR="00780090" w:rsidRDefault="00BE4F5C" w:rsidP="0067053F">
      <w:pPr>
        <w:jc w:val="both"/>
      </w:pPr>
      <w:r w:rsidRPr="00A20AE9">
        <w:t>Gaining independence in 1981 makes Belize, formerly “British Honduras”</w:t>
      </w:r>
      <w:r w:rsidR="0037470E">
        <w:t xml:space="preserve"> and currently a constitutional monarchy whose head of state remains the Queen of the United Kingdom,</w:t>
      </w:r>
      <w:r w:rsidRPr="00A20AE9">
        <w:t xml:space="preserve"> one of the </w:t>
      </w:r>
      <w:r w:rsidR="00A14231" w:rsidRPr="00A20AE9">
        <w:t>youngest</w:t>
      </w:r>
      <w:r w:rsidRPr="00A20AE9">
        <w:t xml:space="preserve"> members of the Caribbean Community (CARICOM).</w:t>
      </w:r>
      <w:r w:rsidR="00095327">
        <w:t xml:space="preserve"> Rather uniquely, Belize is at once a part of Central America and the Caribbean. Notably, </w:t>
      </w:r>
      <w:r w:rsidR="00095327" w:rsidRPr="00095327">
        <w:t xml:space="preserve">Central America remains one of the most dangerous places in world </w:t>
      </w:r>
      <w:r w:rsidR="00BB1211">
        <w:t>vis-à-vis</w:t>
      </w:r>
      <w:r w:rsidR="00095327" w:rsidRPr="00095327">
        <w:t xml:space="preserve"> the</w:t>
      </w:r>
      <w:r w:rsidR="00095327">
        <w:t xml:space="preserve"> repression</w:t>
      </w:r>
      <w:r w:rsidR="00095327" w:rsidRPr="00095327">
        <w:t xml:space="preserve"> </w:t>
      </w:r>
      <w:r w:rsidR="00BB1211">
        <w:t>of</w:t>
      </w:r>
      <w:r w:rsidR="00095327" w:rsidRPr="00095327">
        <w:t xml:space="preserve"> </w:t>
      </w:r>
      <w:r w:rsidR="00095327">
        <w:t>environmental</w:t>
      </w:r>
      <w:r w:rsidR="00BB1211">
        <w:t xml:space="preserve"> activists and killing of land</w:t>
      </w:r>
      <w:r w:rsidR="00095327" w:rsidRPr="00095327">
        <w:t xml:space="preserve"> defenders</w:t>
      </w:r>
      <w:r w:rsidR="00095327">
        <w:t>, the vast majority of whom are Indigenous. This means it is not insignificant</w:t>
      </w:r>
      <w:r w:rsidRPr="006C7F56">
        <w:t xml:space="preserve"> </w:t>
      </w:r>
      <w:r w:rsidR="00095327">
        <w:t xml:space="preserve">that </w:t>
      </w:r>
      <w:r w:rsidRPr="006C7F56">
        <w:t>the</w:t>
      </w:r>
      <w:r w:rsidR="00177524">
        <w:t xml:space="preserve"> </w:t>
      </w:r>
      <w:proofErr w:type="spellStart"/>
      <w:r w:rsidR="0037470E">
        <w:t>GoB</w:t>
      </w:r>
      <w:proofErr w:type="spellEnd"/>
      <w:r w:rsidR="001B1171">
        <w:t xml:space="preserve"> </w:t>
      </w:r>
      <w:r w:rsidR="00034AAE" w:rsidRPr="006C7F56">
        <w:t xml:space="preserve">has agreed and is party </w:t>
      </w:r>
      <w:r w:rsidR="0037470E">
        <w:t>to</w:t>
      </w:r>
      <w:r w:rsidR="00034AAE" w:rsidRPr="006C7F56">
        <w:t xml:space="preserve"> a multitude of conventions aim</w:t>
      </w:r>
      <w:r w:rsidR="0037470E">
        <w:t>ed</w:t>
      </w:r>
      <w:r w:rsidR="00034AAE" w:rsidRPr="006C7F56">
        <w:t xml:space="preserve"> </w:t>
      </w:r>
      <w:r w:rsidR="0037470E">
        <w:t>at</w:t>
      </w:r>
      <w:r w:rsidR="00034AAE" w:rsidRPr="006C7F56">
        <w:t xml:space="preserve"> protect</w:t>
      </w:r>
      <w:r w:rsidR="0037470E">
        <w:t>ing</w:t>
      </w:r>
      <w:r w:rsidR="00034AAE" w:rsidRPr="006C7F56">
        <w:t xml:space="preserve"> and preserv</w:t>
      </w:r>
      <w:r w:rsidR="0037470E">
        <w:t>ing</w:t>
      </w:r>
      <w:r w:rsidR="00034AAE" w:rsidRPr="006C7F56">
        <w:t xml:space="preserve"> human rights</w:t>
      </w:r>
      <w:r w:rsidR="00820688" w:rsidRPr="006C7F56">
        <w:t>. These</w:t>
      </w:r>
      <w:r w:rsidR="00034AAE" w:rsidRPr="006C7F56">
        <w:t xml:space="preserve"> </w:t>
      </w:r>
      <w:r w:rsidRPr="006C7F56">
        <w:t>includ</w:t>
      </w:r>
      <w:r w:rsidR="00820688" w:rsidRPr="006C7F56">
        <w:t>e</w:t>
      </w:r>
      <w:r w:rsidR="00034AAE" w:rsidRPr="006C7F56">
        <w:t xml:space="preserve"> the International Covenant on Civil and Political Rights (ICCPR)</w:t>
      </w:r>
      <w:r w:rsidRPr="006C7F56">
        <w:t xml:space="preserve">; </w:t>
      </w:r>
      <w:r w:rsidR="00034AAE" w:rsidRPr="006C7F56">
        <w:t>the International Covenant on Economic, Social and Cultural Rights (ICESCR)</w:t>
      </w:r>
      <w:r w:rsidRPr="006C7F56">
        <w:t>;</w:t>
      </w:r>
      <w:r w:rsidR="00034AAE" w:rsidRPr="006C7F56">
        <w:t xml:space="preserve"> </w:t>
      </w:r>
      <w:r w:rsidRPr="006C7F56">
        <w:t xml:space="preserve">and </w:t>
      </w:r>
      <w:r w:rsidR="00034AAE" w:rsidRPr="006C7F56">
        <w:t>the International Convention on the Elimination of All Forms of Racial Discrimination (ICERD)</w:t>
      </w:r>
      <w:r w:rsidRPr="006C7F56">
        <w:t xml:space="preserve">. In addition, the </w:t>
      </w:r>
      <w:proofErr w:type="spellStart"/>
      <w:r w:rsidR="0037470E">
        <w:t>GoB</w:t>
      </w:r>
      <w:proofErr w:type="spellEnd"/>
      <w:r w:rsidRPr="006C7F56">
        <w:t xml:space="preserve"> </w:t>
      </w:r>
      <w:r w:rsidR="00034AAE" w:rsidRPr="006C7F56">
        <w:t xml:space="preserve">has </w:t>
      </w:r>
      <w:r w:rsidR="00491BDD" w:rsidRPr="006C7F56">
        <w:t>articulated</w:t>
      </w:r>
      <w:r w:rsidR="00034AAE" w:rsidRPr="006C7F56">
        <w:t xml:space="preserve"> its support for </w:t>
      </w:r>
      <w:r w:rsidR="00491BDD" w:rsidRPr="006C7F56">
        <w:t xml:space="preserve">the adoption of </w:t>
      </w:r>
      <w:r w:rsidR="00034AAE" w:rsidRPr="006C7F56">
        <w:t>both the Universal Declaration of Human Rights (UDHR) and the</w:t>
      </w:r>
      <w:r w:rsidR="00820688" w:rsidRPr="006C7F56">
        <w:t xml:space="preserve"> </w:t>
      </w:r>
      <w:r w:rsidR="00034AAE" w:rsidRPr="006C7F56">
        <w:t xml:space="preserve">United Nations Declaration on the Rights of </w:t>
      </w:r>
      <w:r w:rsidR="00D61237" w:rsidRPr="006C7F56">
        <w:t>Indigenous</w:t>
      </w:r>
      <w:r w:rsidR="00034AAE" w:rsidRPr="006C7F56">
        <w:t xml:space="preserve"> Peoples (UNDRIP).</w:t>
      </w:r>
      <w:r w:rsidR="00A20AE9">
        <w:t xml:space="preserve"> </w:t>
      </w:r>
    </w:p>
    <w:p w14:paraId="00D6FF9B" w14:textId="77777777" w:rsidR="003F6C73" w:rsidRDefault="003F6C73" w:rsidP="003F6C73">
      <w:pPr>
        <w:jc w:val="both"/>
      </w:pPr>
    </w:p>
    <w:p w14:paraId="3E9995CE" w14:textId="4A5F8F2E" w:rsidR="00E142E9" w:rsidRDefault="00A20AE9">
      <w:pPr>
        <w:jc w:val="both"/>
      </w:pPr>
      <w:r w:rsidRPr="00A20AE9">
        <w:t>Since the</w:t>
      </w:r>
      <w:r w:rsidR="00685C4E">
        <w:t xml:space="preserve"> </w:t>
      </w:r>
      <w:r w:rsidRPr="00A20AE9">
        <w:t xml:space="preserve">nation-state’s </w:t>
      </w:r>
      <w:r w:rsidR="00BB1211">
        <w:t>postcolonial</w:t>
      </w:r>
      <w:r w:rsidRPr="00A20AE9">
        <w:t xml:space="preserve"> </w:t>
      </w:r>
      <w:r w:rsidR="00780090">
        <w:t>advent</w:t>
      </w:r>
      <w:r w:rsidRPr="00A20AE9">
        <w:t>, however, the Westminster</w:t>
      </w:r>
      <w:r w:rsidR="00707F06">
        <w:t>-</w:t>
      </w:r>
      <w:r w:rsidR="00125A22">
        <w:t>modelled</w:t>
      </w:r>
      <w:r w:rsidR="00125A22" w:rsidRPr="006C7F56">
        <w:t xml:space="preserve"> </w:t>
      </w:r>
      <w:r w:rsidRPr="006C7F56">
        <w:t xml:space="preserve">governance system that constitutes the </w:t>
      </w:r>
      <w:proofErr w:type="spellStart"/>
      <w:r w:rsidR="0037470E">
        <w:t>GoB</w:t>
      </w:r>
      <w:proofErr w:type="spellEnd"/>
      <w:r w:rsidRPr="006C7F56">
        <w:t xml:space="preserve"> has adversely affected, </w:t>
      </w:r>
      <w:r w:rsidR="00BB1211" w:rsidRPr="006C7F56">
        <w:t>routinely</w:t>
      </w:r>
      <w:r w:rsidRPr="006C7F56">
        <w:t xml:space="preserve"> and for decades, the Maya people of the Toledo District</w:t>
      </w:r>
      <w:r w:rsidR="00095327">
        <w:t>, Southern Belize</w:t>
      </w:r>
      <w:r w:rsidRPr="006C7F56">
        <w:t xml:space="preserve"> (</w:t>
      </w:r>
      <w:r w:rsidR="00733F48">
        <w:t xml:space="preserve">Gahman, Greenidge, and Penados </w:t>
      </w:r>
      <w:r>
        <w:t>2020</w:t>
      </w:r>
      <w:r w:rsidRPr="006C7F56">
        <w:t>).</w:t>
      </w:r>
      <w:r w:rsidR="00095327">
        <w:t xml:space="preserve"> </w:t>
      </w:r>
      <w:r w:rsidR="00A5235D">
        <w:t>That is, w</w:t>
      </w:r>
      <w:r w:rsidR="00BA1A05" w:rsidRPr="006C7F56">
        <w:t xml:space="preserve">hilst </w:t>
      </w:r>
      <w:r>
        <w:t>the aforementioned</w:t>
      </w:r>
      <w:r w:rsidR="00685C4E">
        <w:t xml:space="preserve"> human rights</w:t>
      </w:r>
      <w:r w:rsidR="00034AAE" w:rsidRPr="006C7F56">
        <w:t xml:space="preserve"> </w:t>
      </w:r>
      <w:r w:rsidR="00BA1A05" w:rsidRPr="006C7F56">
        <w:t xml:space="preserve">instruments continue to be recognised by the </w:t>
      </w:r>
      <w:proofErr w:type="spellStart"/>
      <w:r w:rsidR="0037470E">
        <w:t>GoB</w:t>
      </w:r>
      <w:proofErr w:type="spellEnd"/>
      <w:r w:rsidR="00BA1A05" w:rsidRPr="006C7F56">
        <w:t xml:space="preserve"> </w:t>
      </w:r>
      <w:r w:rsidR="00685C4E">
        <w:t xml:space="preserve">on paper and </w:t>
      </w:r>
      <w:r w:rsidR="00BA1A05" w:rsidRPr="006C7F56">
        <w:t>in prose</w:t>
      </w:r>
      <w:r w:rsidR="00A5235D">
        <w:t xml:space="preserve">; </w:t>
      </w:r>
      <w:r w:rsidR="00BA1A05" w:rsidRPr="006C7F56">
        <w:t xml:space="preserve">in practice, a </w:t>
      </w:r>
      <w:r w:rsidR="002512DB">
        <w:t>different</w:t>
      </w:r>
      <w:r w:rsidR="00BA1A05" w:rsidRPr="006C7F56">
        <w:t xml:space="preserve"> story emerges. </w:t>
      </w:r>
      <w:r>
        <w:t>The</w:t>
      </w:r>
      <w:r w:rsidR="00BA1A05" w:rsidRPr="006C7F56">
        <w:t xml:space="preserve"> </w:t>
      </w:r>
      <w:proofErr w:type="spellStart"/>
      <w:r w:rsidR="0037470E">
        <w:t>GoB</w:t>
      </w:r>
      <w:proofErr w:type="spellEnd"/>
      <w:r w:rsidR="00034AAE" w:rsidRPr="006C7F56">
        <w:t xml:space="preserve"> has </w:t>
      </w:r>
      <w:r w:rsidR="00BA1A05" w:rsidRPr="006C7F56">
        <w:t xml:space="preserve">and continues to </w:t>
      </w:r>
      <w:r w:rsidR="00034AAE" w:rsidRPr="006C7F56">
        <w:t>fai</w:t>
      </w:r>
      <w:r w:rsidR="00BA1A05" w:rsidRPr="006C7F56">
        <w:t>l</w:t>
      </w:r>
      <w:r w:rsidR="00034AAE" w:rsidRPr="006C7F56">
        <w:t xml:space="preserve"> to protect the rights of the Maya</w:t>
      </w:r>
      <w:r>
        <w:t xml:space="preserve"> as Indigenous</w:t>
      </w:r>
      <w:r w:rsidR="00034AAE" w:rsidRPr="006C7F56">
        <w:t xml:space="preserve"> people</w:t>
      </w:r>
      <w:r w:rsidR="00BA1A05" w:rsidRPr="006C7F56">
        <w:t xml:space="preserve"> on a host of fronts</w:t>
      </w:r>
      <w:r w:rsidR="001A191E" w:rsidRPr="006C7F56">
        <w:t>. These include,</w:t>
      </w:r>
      <w:r w:rsidR="00BA1A05" w:rsidRPr="006C7F56">
        <w:t xml:space="preserve"> inter alia,</w:t>
      </w:r>
      <w:r w:rsidR="00034AAE" w:rsidRPr="006C7F56">
        <w:t xml:space="preserve"> </w:t>
      </w:r>
      <w:r w:rsidR="00820688" w:rsidRPr="006C7F56">
        <w:t xml:space="preserve">collective </w:t>
      </w:r>
      <w:r w:rsidR="00034AAE" w:rsidRPr="006C7F56">
        <w:t>land</w:t>
      </w:r>
      <w:r w:rsidR="00BA1A05" w:rsidRPr="006C7F56">
        <w:t xml:space="preserve"> </w:t>
      </w:r>
      <w:r w:rsidR="00820688" w:rsidRPr="006C7F56">
        <w:t>ownership</w:t>
      </w:r>
      <w:r w:rsidR="00034AAE" w:rsidRPr="006C7F56">
        <w:t>,</w:t>
      </w:r>
      <w:r w:rsidR="00BA1A05" w:rsidRPr="006C7F56">
        <w:t xml:space="preserve"> </w:t>
      </w:r>
      <w:r w:rsidR="001A191E" w:rsidRPr="006C7F56">
        <w:t xml:space="preserve">freedom from </w:t>
      </w:r>
      <w:r w:rsidR="00BA1A05" w:rsidRPr="006C7F56">
        <w:t>racial</w:t>
      </w:r>
      <w:r w:rsidR="00034AAE" w:rsidRPr="006C7F56">
        <w:t xml:space="preserve"> discrimination</w:t>
      </w:r>
      <w:r w:rsidR="002512DB">
        <w:t xml:space="preserve"> and of</w:t>
      </w:r>
      <w:r w:rsidR="002512DB" w:rsidRPr="002512DB">
        <w:t xml:space="preserve"> </w:t>
      </w:r>
      <w:r w:rsidR="002512DB" w:rsidRPr="006C7F56">
        <w:t>religious and cultural practice</w:t>
      </w:r>
      <w:r w:rsidR="00034AAE" w:rsidRPr="006C7F56">
        <w:t>, equality before the law,</w:t>
      </w:r>
      <w:r w:rsidR="00BA1A05" w:rsidRPr="006C7F56">
        <w:t xml:space="preserve"> and</w:t>
      </w:r>
      <w:r w:rsidR="00685C4E">
        <w:t xml:space="preserve"> their right to</w:t>
      </w:r>
      <w:r w:rsidR="00034AAE" w:rsidRPr="006C7F56">
        <w:t xml:space="preserve"> self-determination</w:t>
      </w:r>
      <w:r w:rsidR="00BA1A05" w:rsidRPr="006C7F56">
        <w:t xml:space="preserve"> </w:t>
      </w:r>
      <w:r w:rsidR="00BE4F5C" w:rsidRPr="006C7F56">
        <w:t>(</w:t>
      </w:r>
      <w:r w:rsidR="002512DB">
        <w:t>MLA 2018</w:t>
      </w:r>
      <w:r w:rsidR="00BE4F5C" w:rsidRPr="006C7F56">
        <w:t>)</w:t>
      </w:r>
      <w:r w:rsidR="00034AAE" w:rsidRPr="006C7F56">
        <w:t xml:space="preserve">. </w:t>
      </w:r>
    </w:p>
    <w:p w14:paraId="49F8FC70" w14:textId="77777777" w:rsidR="00E142E9" w:rsidRDefault="00E142E9">
      <w:pPr>
        <w:jc w:val="both"/>
      </w:pPr>
    </w:p>
    <w:p w14:paraId="00000004" w14:textId="29EF2E39" w:rsidR="00845E43" w:rsidRPr="006C7F56" w:rsidRDefault="00C3501D" w:rsidP="00DE1D87">
      <w:pPr>
        <w:jc w:val="both"/>
      </w:pPr>
      <w:r>
        <w:t>In short, Indigenous life in Belize</w:t>
      </w:r>
      <w:r w:rsidR="009D324B">
        <w:t xml:space="preserve"> is </w:t>
      </w:r>
      <w:r w:rsidR="00A5235D">
        <w:t xml:space="preserve">equally </w:t>
      </w:r>
      <w:r w:rsidR="009D324B">
        <w:t>being negatively racialized</w:t>
      </w:r>
      <w:r>
        <w:t xml:space="preserve">, </w:t>
      </w:r>
      <w:r w:rsidR="009D324B">
        <w:t xml:space="preserve">as well as </w:t>
      </w:r>
      <w:r>
        <w:t xml:space="preserve">has </w:t>
      </w:r>
      <w:r w:rsidR="00034AAE" w:rsidRPr="006C7F56">
        <w:t>been</w:t>
      </w:r>
      <w:r w:rsidR="00A20AE9">
        <w:t xml:space="preserve"> both</w:t>
      </w:r>
      <w:r w:rsidR="00034AAE" w:rsidRPr="006C7F56">
        <w:t xml:space="preserve"> </w:t>
      </w:r>
      <w:r w:rsidR="00A20AE9">
        <w:t>hampered and harmed</w:t>
      </w:r>
      <w:r w:rsidR="00034AAE" w:rsidRPr="006C7F56">
        <w:t xml:space="preserve"> by the</w:t>
      </w:r>
      <w:r w:rsidR="00685C4E">
        <w:t xml:space="preserve"> discriminatory</w:t>
      </w:r>
      <w:r w:rsidR="00034AAE" w:rsidRPr="006C7F56">
        <w:t xml:space="preserve"> </w:t>
      </w:r>
      <w:r w:rsidR="00A20AE9">
        <w:t>behaviour</w:t>
      </w:r>
      <w:r w:rsidR="00034AAE" w:rsidRPr="006C7F56">
        <w:t xml:space="preserve"> of the </w:t>
      </w:r>
      <w:proofErr w:type="spellStart"/>
      <w:r w:rsidR="0037470E">
        <w:t>GoB</w:t>
      </w:r>
      <w:proofErr w:type="spellEnd"/>
      <w:r w:rsidR="00034AAE" w:rsidRPr="006C7F56">
        <w:t xml:space="preserve">. Foreign </w:t>
      </w:r>
      <w:r w:rsidR="00820688" w:rsidRPr="006C7F56">
        <w:t>capital</w:t>
      </w:r>
      <w:r w:rsidR="00034AAE" w:rsidRPr="006C7F56">
        <w:t xml:space="preserve">, </w:t>
      </w:r>
      <w:r w:rsidR="00491BDD" w:rsidRPr="006C7F56">
        <w:t>state</w:t>
      </w:r>
      <w:r w:rsidR="00034AAE" w:rsidRPr="006C7F56">
        <w:t xml:space="preserve"> </w:t>
      </w:r>
      <w:r w:rsidR="00A14231" w:rsidRPr="006C7F56">
        <w:t>functionaries,</w:t>
      </w:r>
      <w:r w:rsidR="00034AAE" w:rsidRPr="006C7F56">
        <w:t xml:space="preserve"> and</w:t>
      </w:r>
      <w:r w:rsidR="00A14231" w:rsidRPr="006C7F56">
        <w:t xml:space="preserve"> corporate</w:t>
      </w:r>
      <w:r w:rsidR="00034AAE" w:rsidRPr="006C7F56">
        <w:t xml:space="preserve"> investors </w:t>
      </w:r>
      <w:r w:rsidR="00685C4E">
        <w:t>continue to</w:t>
      </w:r>
      <w:r w:rsidR="0098314B">
        <w:t xml:space="preserve"> respectively</w:t>
      </w:r>
      <w:r w:rsidR="00685C4E">
        <w:t xml:space="preserve"> be</w:t>
      </w:r>
      <w:r w:rsidR="00034AAE" w:rsidRPr="006C7F56">
        <w:t xml:space="preserve"> allowed to </w:t>
      </w:r>
      <w:r w:rsidR="00820688" w:rsidRPr="006C7F56">
        <w:t>encroach upon</w:t>
      </w:r>
      <w:r w:rsidR="00685C4E">
        <w:t>, offer concessions to,</w:t>
      </w:r>
      <w:r w:rsidR="00820688" w:rsidRPr="006C7F56">
        <w:t xml:space="preserve"> and </w:t>
      </w:r>
      <w:r w:rsidR="00491BDD" w:rsidRPr="006C7F56">
        <w:t>extract</w:t>
      </w:r>
      <w:r w:rsidR="00034AAE" w:rsidRPr="006C7F56">
        <w:t xml:space="preserve"> resources</w:t>
      </w:r>
      <w:r w:rsidR="00685C4E">
        <w:t xml:space="preserve"> from lands</w:t>
      </w:r>
      <w:r w:rsidR="00034AAE" w:rsidRPr="006C7F56">
        <w:t xml:space="preserve"> </w:t>
      </w:r>
      <w:r w:rsidR="00491BDD" w:rsidRPr="006C7F56">
        <w:t>they have no right</w:t>
      </w:r>
      <w:r w:rsidR="00685C4E">
        <w:t>s</w:t>
      </w:r>
      <w:r w:rsidR="00491BDD" w:rsidRPr="006C7F56">
        <w:t xml:space="preserve"> to</w:t>
      </w:r>
      <w:r w:rsidR="0098314B">
        <w:t xml:space="preserve"> (Campbell and Anaya 2008).</w:t>
      </w:r>
      <w:r w:rsidR="000475D8">
        <w:t xml:space="preserve"> </w:t>
      </w:r>
      <w:r w:rsidR="0098314B">
        <w:t>C</w:t>
      </w:r>
      <w:r w:rsidR="00BB1211">
        <w:t>onsistently</w:t>
      </w:r>
      <w:r w:rsidR="0098314B">
        <w:t>, this is being carried out</w:t>
      </w:r>
      <w:r w:rsidR="000475D8">
        <w:t xml:space="preserve"> in the name of</w:t>
      </w:r>
      <w:r w:rsidR="00BB1211">
        <w:t xml:space="preserve"> economic</w:t>
      </w:r>
      <w:r w:rsidR="000475D8">
        <w:t xml:space="preserve"> </w:t>
      </w:r>
      <w:r w:rsidR="00685C4E">
        <w:t>“</w:t>
      </w:r>
      <w:r w:rsidR="000475D8">
        <w:t>development</w:t>
      </w:r>
      <w:r w:rsidR="00310D78">
        <w:t>.</w:t>
      </w:r>
      <w:r w:rsidR="00685C4E">
        <w:t>”</w:t>
      </w:r>
      <w:r w:rsidR="00034AAE" w:rsidRPr="006C7F56">
        <w:t xml:space="preserve"> </w:t>
      </w:r>
      <w:r w:rsidR="00823078">
        <w:t>On material, economic, and environmental levels, l</w:t>
      </w:r>
      <w:r w:rsidRPr="006C7F56">
        <w:t>and</w:t>
      </w:r>
      <w:r w:rsidR="00B0264F">
        <w:t>-</w:t>
      </w:r>
      <w:r>
        <w:t>grab</w:t>
      </w:r>
      <w:r w:rsidR="00685C4E">
        <w:t>bing</w:t>
      </w:r>
      <w:r>
        <w:t xml:space="preserve"> </w:t>
      </w:r>
      <w:r w:rsidRPr="006C7F56">
        <w:t xml:space="preserve">and resource </w:t>
      </w:r>
      <w:r>
        <w:t xml:space="preserve">expropriations </w:t>
      </w:r>
      <w:r w:rsidR="0098314B">
        <w:t>of this nature</w:t>
      </w:r>
      <w:r>
        <w:t xml:space="preserve"> </w:t>
      </w:r>
      <w:r w:rsidR="0098314B">
        <w:t>damage</w:t>
      </w:r>
      <w:r w:rsidR="00034AAE" w:rsidRPr="006C7F56">
        <w:t xml:space="preserve"> </w:t>
      </w:r>
      <w:r w:rsidR="00823078">
        <w:t xml:space="preserve">both </w:t>
      </w:r>
      <w:r w:rsidR="00034AAE" w:rsidRPr="006C7F56">
        <w:t xml:space="preserve">Maya </w:t>
      </w:r>
      <w:r>
        <w:t>communities</w:t>
      </w:r>
      <w:r w:rsidR="00823078">
        <w:t xml:space="preserve"> and livelihoods. </w:t>
      </w:r>
      <w:r w:rsidR="00E142E9">
        <w:t>O</w:t>
      </w:r>
      <w:r w:rsidR="00823078">
        <w:t>n psychosocial, cultural, and spiritual levels,</w:t>
      </w:r>
      <w:r w:rsidR="00685C4E">
        <w:t xml:space="preserve"> </w:t>
      </w:r>
      <w:r w:rsidR="00823078">
        <w:t xml:space="preserve">they </w:t>
      </w:r>
      <w:r w:rsidR="00685C4E">
        <w:t xml:space="preserve">disrupt </w:t>
      </w:r>
      <w:r w:rsidR="00491BDD" w:rsidRPr="006C7F56">
        <w:t xml:space="preserve">the </w:t>
      </w:r>
      <w:r w:rsidR="00E802E9">
        <w:t>relationships</w:t>
      </w:r>
      <w:r w:rsidR="0098314B">
        <w:t xml:space="preserve"> and</w:t>
      </w:r>
      <w:r w:rsidR="00E802E9">
        <w:t xml:space="preserve"> </w:t>
      </w:r>
      <w:r w:rsidR="00034AAE" w:rsidRPr="006C7F56">
        <w:t>use</w:t>
      </w:r>
      <w:r w:rsidR="00491BDD" w:rsidRPr="006C7F56">
        <w:t>s</w:t>
      </w:r>
      <w:r w:rsidR="00E802E9">
        <w:t xml:space="preserve"> </w:t>
      </w:r>
      <w:r w:rsidR="0098314B">
        <w:t>the Maya</w:t>
      </w:r>
      <w:r w:rsidR="00E802E9">
        <w:t xml:space="preserve"> </w:t>
      </w:r>
      <w:r w:rsidR="0098314B">
        <w:t>enjoy</w:t>
      </w:r>
      <w:r w:rsidR="00491BDD" w:rsidRPr="006C7F56">
        <w:t xml:space="preserve"> </w:t>
      </w:r>
      <w:r w:rsidR="00866F45">
        <w:t>with</w:t>
      </w:r>
      <w:r w:rsidR="00491BDD" w:rsidRPr="006C7F56">
        <w:t xml:space="preserve"> the </w:t>
      </w:r>
      <w:r w:rsidR="00685C4E">
        <w:t>territories and ecosystems</w:t>
      </w:r>
      <w:r w:rsidR="00491BDD" w:rsidRPr="006C7F56">
        <w:t xml:space="preserve"> they and their ancestors have lived </w:t>
      </w:r>
      <w:r w:rsidR="00866F45">
        <w:t>in</w:t>
      </w:r>
      <w:r w:rsidR="00491BDD" w:rsidRPr="006C7F56">
        <w:t xml:space="preserve"> for generations</w:t>
      </w:r>
      <w:r w:rsidR="00034AAE" w:rsidRPr="006C7F56">
        <w:t xml:space="preserve">. </w:t>
      </w:r>
      <w:r w:rsidR="00685C4E">
        <w:t xml:space="preserve">Notably, </w:t>
      </w:r>
      <w:proofErr w:type="spellStart"/>
      <w:r w:rsidR="0037470E">
        <w:t>GoB</w:t>
      </w:r>
      <w:proofErr w:type="spellEnd"/>
      <w:r w:rsidR="00491BDD" w:rsidRPr="006C7F56">
        <w:t>-</w:t>
      </w:r>
      <w:r w:rsidR="00820688" w:rsidRPr="006C7F56">
        <w:t>sanctioned</w:t>
      </w:r>
      <w:r w:rsidR="00491BDD" w:rsidRPr="006C7F56">
        <w:t xml:space="preserve"> </w:t>
      </w:r>
      <w:r>
        <w:t>acts of dispossession</w:t>
      </w:r>
      <w:r w:rsidR="00491BDD" w:rsidRPr="006C7F56">
        <w:t xml:space="preserve"> </w:t>
      </w:r>
      <w:r>
        <w:t>are</w:t>
      </w:r>
      <w:r w:rsidR="00034AAE" w:rsidRPr="006C7F56">
        <w:t xml:space="preserve"> </w:t>
      </w:r>
      <w:r w:rsidR="00491BDD" w:rsidRPr="006C7F56">
        <w:t xml:space="preserve">occurring </w:t>
      </w:r>
      <w:r w:rsidR="00034AAE" w:rsidRPr="006C7F56">
        <w:t>without</w:t>
      </w:r>
      <w:r w:rsidR="00491BDD" w:rsidRPr="006C7F56">
        <w:t xml:space="preserve"> the</w:t>
      </w:r>
      <w:r w:rsidR="00034AAE" w:rsidRPr="006C7F56">
        <w:t xml:space="preserve"> </w:t>
      </w:r>
      <w:r w:rsidR="00491BDD" w:rsidRPr="006C7F56">
        <w:t>F</w:t>
      </w:r>
      <w:r w:rsidR="00034AAE" w:rsidRPr="006C7F56">
        <w:t xml:space="preserve">ree, </w:t>
      </w:r>
      <w:r w:rsidR="00491BDD" w:rsidRPr="006C7F56">
        <w:t>P</w:t>
      </w:r>
      <w:r w:rsidR="00034AAE" w:rsidRPr="006C7F56">
        <w:t>rior, and</w:t>
      </w:r>
      <w:r w:rsidR="00491BDD" w:rsidRPr="006C7F56">
        <w:t xml:space="preserve"> I</w:t>
      </w:r>
      <w:r w:rsidR="00034AAE" w:rsidRPr="006C7F56">
        <w:t xml:space="preserve">nformed </w:t>
      </w:r>
      <w:r w:rsidR="00491BDD" w:rsidRPr="006C7F56">
        <w:t>C</w:t>
      </w:r>
      <w:r w:rsidR="00034AAE" w:rsidRPr="006C7F56">
        <w:t>onsent</w:t>
      </w:r>
      <w:r w:rsidR="0098314B">
        <w:t xml:space="preserve"> (</w:t>
      </w:r>
      <w:proofErr w:type="spellStart"/>
      <w:r w:rsidR="0098314B">
        <w:t>FPIC</w:t>
      </w:r>
      <w:proofErr w:type="spellEnd"/>
      <w:r w:rsidR="0098314B">
        <w:t>)</w:t>
      </w:r>
      <w:r w:rsidR="00491BDD" w:rsidRPr="006C7F56">
        <w:t xml:space="preserve"> of the Maya </w:t>
      </w:r>
      <w:r w:rsidR="0098314B">
        <w:t>villages that are</w:t>
      </w:r>
      <w:r w:rsidR="00491BDD" w:rsidRPr="006C7F56">
        <w:t xml:space="preserve"> being </w:t>
      </w:r>
      <w:r w:rsidR="0027774D">
        <w:t>impacted</w:t>
      </w:r>
      <w:r w:rsidR="00820688" w:rsidRPr="006C7F56">
        <w:t xml:space="preserve"> (</w:t>
      </w:r>
      <w:r w:rsidR="00173E72" w:rsidRPr="00322BE5">
        <w:rPr>
          <w:rFonts w:ascii="Times" w:hAnsi="Times"/>
          <w:color w:val="000000" w:themeColor="text1"/>
        </w:rPr>
        <w:t>Anaya</w:t>
      </w:r>
      <w:r w:rsidR="00173E72">
        <w:rPr>
          <w:rFonts w:ascii="Times" w:hAnsi="Times"/>
          <w:color w:val="000000" w:themeColor="text1"/>
        </w:rPr>
        <w:t xml:space="preserve"> </w:t>
      </w:r>
      <w:r w:rsidR="00173E72" w:rsidRPr="00322BE5">
        <w:rPr>
          <w:rFonts w:ascii="Times" w:hAnsi="Times"/>
          <w:color w:val="000000" w:themeColor="text1"/>
        </w:rPr>
        <w:t>2008</w:t>
      </w:r>
      <w:r w:rsidR="00820688" w:rsidRPr="006C7F56">
        <w:t>)</w:t>
      </w:r>
      <w:r w:rsidR="00A84E92">
        <w:t>.</w:t>
      </w:r>
      <w:r w:rsidR="004933D9">
        <w:t xml:space="preserve"> FPIC is the right Indigenous people have to refuse/permit development projects that may adversely impact their communities or ancestral lands. Whi</w:t>
      </w:r>
      <w:r w:rsidR="00941C4E">
        <w:t>l</w:t>
      </w:r>
      <w:r w:rsidR="004933D9">
        <w:t>st a</w:t>
      </w:r>
      <w:r w:rsidR="00941C4E">
        <w:t xml:space="preserve">n aspect </w:t>
      </w:r>
      <w:r w:rsidR="004933D9">
        <w:t>of safeguarding and</w:t>
      </w:r>
      <w:r w:rsidR="00941C4E">
        <w:t xml:space="preserve"> </w:t>
      </w:r>
      <w:r w:rsidR="004933D9">
        <w:t xml:space="preserve">self-determination, FPIC is a </w:t>
      </w:r>
      <w:proofErr w:type="gramStart"/>
      <w:r w:rsidR="004933D9">
        <w:t>highly</w:t>
      </w:r>
      <w:r w:rsidR="00E142E9">
        <w:t>-</w:t>
      </w:r>
      <w:r w:rsidR="004933D9">
        <w:t>contested</w:t>
      </w:r>
      <w:proofErr w:type="gramEnd"/>
      <w:r w:rsidR="004933D9">
        <w:t>, imperfect, and politically</w:t>
      </w:r>
      <w:r w:rsidR="00941C4E">
        <w:t>-</w:t>
      </w:r>
      <w:r w:rsidR="004933D9">
        <w:t>loaded premise and process</w:t>
      </w:r>
      <w:r w:rsidR="00941C4E">
        <w:t xml:space="preserve"> </w:t>
      </w:r>
      <w:r w:rsidR="00E142E9">
        <w:t>that</w:t>
      </w:r>
      <w:r w:rsidR="00F63975">
        <w:t>,</w:t>
      </w:r>
      <w:r w:rsidR="00E142E9">
        <w:t xml:space="preserve"> while oft-necessary</w:t>
      </w:r>
      <w:r w:rsidR="00F63975">
        <w:t>,</w:t>
      </w:r>
      <w:r w:rsidR="004933D9">
        <w:t xml:space="preserve"> </w:t>
      </w:r>
      <w:r w:rsidR="00941C4E">
        <w:t>legitimizes both</w:t>
      </w:r>
      <w:r w:rsidR="004933D9">
        <w:t xml:space="preserve"> the state </w:t>
      </w:r>
      <w:r w:rsidR="00941C4E">
        <w:t>and Western worldviews.</w:t>
      </w:r>
    </w:p>
    <w:p w14:paraId="0448607D" w14:textId="4AACB6C0" w:rsidR="00E720B6" w:rsidRDefault="00E720B6" w:rsidP="00F63975">
      <w:pPr>
        <w:pStyle w:val="Heading1"/>
        <w:jc w:val="both"/>
      </w:pPr>
      <w:r>
        <w:t xml:space="preserve">Violations of </w:t>
      </w:r>
      <w:r w:rsidR="0098314B">
        <w:t>FPIC and the Duty to Consult</w:t>
      </w:r>
    </w:p>
    <w:p w14:paraId="51CD64CB" w14:textId="40FF7726" w:rsidR="009F0388" w:rsidRPr="006C7F56" w:rsidRDefault="00A84E92" w:rsidP="00933AAA">
      <w:pPr>
        <w:jc w:val="both"/>
      </w:pPr>
      <w:r>
        <w:t xml:space="preserve">Documented </w:t>
      </w:r>
      <w:proofErr w:type="spellStart"/>
      <w:r w:rsidR="0037470E">
        <w:t>GoB</w:t>
      </w:r>
      <w:proofErr w:type="spellEnd"/>
      <w:r w:rsidR="00820688" w:rsidRPr="006C7F56">
        <w:t xml:space="preserve"> </w:t>
      </w:r>
      <w:r w:rsidR="00545CB1" w:rsidRPr="006C7F56">
        <w:t xml:space="preserve">violations of </w:t>
      </w:r>
      <w:proofErr w:type="spellStart"/>
      <w:r w:rsidR="00545CB1" w:rsidRPr="006C7F56">
        <w:t>FPIC</w:t>
      </w:r>
      <w:proofErr w:type="spellEnd"/>
      <w:r w:rsidR="00820688" w:rsidRPr="006C7F56">
        <w:t xml:space="preserve"> against the Maya</w:t>
      </w:r>
      <w:r w:rsidR="00545CB1" w:rsidRPr="006C7F56">
        <w:t xml:space="preserve"> have been </w:t>
      </w:r>
      <w:r>
        <w:t>ongoing</w:t>
      </w:r>
      <w:r w:rsidR="00545CB1" w:rsidRPr="006C7F56">
        <w:t xml:space="preserve"> for decades (</w:t>
      </w:r>
      <w:r w:rsidR="006C1187">
        <w:t xml:space="preserve">Anaya </w:t>
      </w:r>
      <w:r w:rsidR="00DC3B92">
        <w:t>2008</w:t>
      </w:r>
      <w:r w:rsidR="00545CB1" w:rsidRPr="006C7F56">
        <w:t>)</w:t>
      </w:r>
      <w:r w:rsidR="00A14231" w:rsidRPr="006C7F56">
        <w:t>.</w:t>
      </w:r>
      <w:r w:rsidR="00034AAE" w:rsidRPr="006C7F56">
        <w:t xml:space="preserve"> </w:t>
      </w:r>
      <w:r w:rsidR="00360C9F" w:rsidRPr="006C7F56">
        <w:t xml:space="preserve">In 1994, without having either consulted any communities or followed ancestral protocols apropos consent, the </w:t>
      </w:r>
      <w:proofErr w:type="spellStart"/>
      <w:r w:rsidR="0037470E">
        <w:t>GoB</w:t>
      </w:r>
      <w:proofErr w:type="spellEnd"/>
      <w:r w:rsidR="00360C9F" w:rsidRPr="006C7F56">
        <w:t xml:space="preserve"> requisitioned over 40,000 acres of traditional Indigenous land. It was turned into the Sarstoon-</w:t>
      </w:r>
      <w:proofErr w:type="spellStart"/>
      <w:r w:rsidR="00360C9F" w:rsidRPr="006C7F56">
        <w:t>Temash</w:t>
      </w:r>
      <w:proofErr w:type="spellEnd"/>
      <w:r w:rsidR="00360C9F" w:rsidRPr="006C7F56">
        <w:t xml:space="preserve"> National Park</w:t>
      </w:r>
      <w:r w:rsidR="006C1187">
        <w:t xml:space="preserve"> (Purvis 2013)</w:t>
      </w:r>
      <w:r w:rsidR="00360C9F" w:rsidRPr="006C7F56">
        <w:t xml:space="preserve">. Subsequently, the </w:t>
      </w:r>
      <w:proofErr w:type="spellStart"/>
      <w:r w:rsidR="0037470E">
        <w:t>GoB</w:t>
      </w:r>
      <w:proofErr w:type="spellEnd"/>
      <w:r w:rsidR="00360C9F" w:rsidRPr="006C7F56">
        <w:t xml:space="preserve"> </w:t>
      </w:r>
      <w:r w:rsidR="00820688" w:rsidRPr="006C7F56">
        <w:t>opened</w:t>
      </w:r>
      <w:r w:rsidR="00360C9F" w:rsidRPr="006C7F56">
        <w:t xml:space="preserve"> the newly minted public land </w:t>
      </w:r>
      <w:r w:rsidR="009F0388" w:rsidRPr="006C7F56">
        <w:t>to</w:t>
      </w:r>
      <w:r w:rsidR="00360C9F" w:rsidRPr="006C7F56">
        <w:t xml:space="preserve"> oil exploration by US</w:t>
      </w:r>
      <w:r w:rsidR="0027774D">
        <w:t xml:space="preserve"> </w:t>
      </w:r>
      <w:r w:rsidR="00360C9F" w:rsidRPr="006C7F56">
        <w:t>Capital Energy Belize</w:t>
      </w:r>
      <w:r w:rsidR="00594393">
        <w:t xml:space="preserve"> Ltd</w:t>
      </w:r>
      <w:r w:rsidR="00360C9F" w:rsidRPr="006C7F56">
        <w:t xml:space="preserve">, a </w:t>
      </w:r>
      <w:r w:rsidR="009F0388" w:rsidRPr="006C7F56">
        <w:t>domestic</w:t>
      </w:r>
      <w:r w:rsidR="00360C9F" w:rsidRPr="006C7F56">
        <w:t xml:space="preserve"> subsidiary of </w:t>
      </w:r>
      <w:r w:rsidR="009F0388" w:rsidRPr="006C7F56">
        <w:t xml:space="preserve">the </w:t>
      </w:r>
      <w:r w:rsidR="00594393">
        <w:t>American</w:t>
      </w:r>
      <w:r w:rsidR="009F0388" w:rsidRPr="006C7F56">
        <w:t xml:space="preserve"> corporation </w:t>
      </w:r>
      <w:r w:rsidR="00360C9F" w:rsidRPr="006C7F56">
        <w:t>US</w:t>
      </w:r>
      <w:r w:rsidR="0027774D">
        <w:t xml:space="preserve"> </w:t>
      </w:r>
      <w:r w:rsidR="00360C9F" w:rsidRPr="006C7F56">
        <w:t>Capital Energy Inc</w:t>
      </w:r>
      <w:r w:rsidR="009F0388" w:rsidRPr="006C7F56">
        <w:t xml:space="preserve"> (</w:t>
      </w:r>
      <w:r w:rsidR="00695365" w:rsidRPr="006E3E7A">
        <w:t>Etchart</w:t>
      </w:r>
      <w:r w:rsidR="00695365">
        <w:t xml:space="preserve"> </w:t>
      </w:r>
      <w:r w:rsidR="00695365" w:rsidRPr="006E3E7A">
        <w:t>2019</w:t>
      </w:r>
      <w:r w:rsidR="009F0388" w:rsidRPr="006C7F56">
        <w:t>)</w:t>
      </w:r>
      <w:r w:rsidR="00360C9F" w:rsidRPr="006C7F56">
        <w:t>.</w:t>
      </w:r>
      <w:r w:rsidR="009F0388" w:rsidRPr="006C7F56">
        <w:t xml:space="preserve"> </w:t>
      </w:r>
      <w:r w:rsidR="00360C9F" w:rsidRPr="006C7F56">
        <w:t xml:space="preserve">The </w:t>
      </w:r>
      <w:r w:rsidR="009F0388" w:rsidRPr="006C7F56">
        <w:t>legitimacy</w:t>
      </w:r>
      <w:r w:rsidR="00360C9F" w:rsidRPr="006C7F56">
        <w:t xml:space="preserve"> of these actions </w:t>
      </w:r>
      <w:r w:rsidR="009F0388" w:rsidRPr="006C7F56">
        <w:t>was promptly</w:t>
      </w:r>
      <w:r w:rsidR="00360C9F" w:rsidRPr="006C7F56">
        <w:t xml:space="preserve"> challenged by </w:t>
      </w:r>
      <w:r w:rsidR="009F0388" w:rsidRPr="006C7F56">
        <w:t xml:space="preserve">Maya activists in </w:t>
      </w:r>
      <w:r w:rsidR="00360C9F" w:rsidRPr="006C7F56">
        <w:t>national</w:t>
      </w:r>
      <w:r w:rsidR="009F0388" w:rsidRPr="006C7F56">
        <w:t xml:space="preserve"> (Supreme Court of Belize)</w:t>
      </w:r>
      <w:r w:rsidR="00360C9F" w:rsidRPr="006C7F56">
        <w:t xml:space="preserve"> and international </w:t>
      </w:r>
      <w:r w:rsidR="009F0388" w:rsidRPr="006C7F56">
        <w:t>(Inter-American Commission on Human Rights)</w:t>
      </w:r>
      <w:r w:rsidR="003D4655">
        <w:t xml:space="preserve"> bodies</w:t>
      </w:r>
      <w:r w:rsidR="00360C9F" w:rsidRPr="006C7F56">
        <w:t xml:space="preserve">. </w:t>
      </w:r>
      <w:r w:rsidR="009F0388" w:rsidRPr="006C7F56">
        <w:t xml:space="preserve">The decisions rendered by </w:t>
      </w:r>
      <w:r w:rsidR="00820688" w:rsidRPr="006C7F56">
        <w:t>each entity</w:t>
      </w:r>
      <w:r w:rsidR="003F43AB">
        <w:t>––</w:t>
      </w:r>
      <w:r>
        <w:t>issued in multiple instances over a sequence of years</w:t>
      </w:r>
      <w:r w:rsidR="003F43AB">
        <w:t>––</w:t>
      </w:r>
      <w:r>
        <w:t>have been</w:t>
      </w:r>
      <w:r w:rsidR="009F0388" w:rsidRPr="006C7F56">
        <w:t xml:space="preserve"> </w:t>
      </w:r>
      <w:r w:rsidR="00820688" w:rsidRPr="006C7F56">
        <w:t xml:space="preserve">as explicit as </w:t>
      </w:r>
      <w:r>
        <w:t>they are</w:t>
      </w:r>
      <w:r w:rsidR="00820688" w:rsidRPr="006C7F56">
        <w:t xml:space="preserve"> </w:t>
      </w:r>
      <w:r w:rsidR="009F0388" w:rsidRPr="006C7F56">
        <w:t>definite</w:t>
      </w:r>
      <w:r w:rsidR="00820688" w:rsidRPr="006C7F56">
        <w:t>. A</w:t>
      </w:r>
      <w:r w:rsidR="009F0388" w:rsidRPr="006C7F56">
        <w:t xml:space="preserve">s Purvis (2013) </w:t>
      </w:r>
      <w:r w:rsidR="00820688" w:rsidRPr="006C7F56">
        <w:t>reports</w:t>
      </w:r>
      <w:r w:rsidR="009F0388" w:rsidRPr="006C7F56">
        <w:t>:</w:t>
      </w:r>
    </w:p>
    <w:p w14:paraId="3E0DFACB" w14:textId="28FFBCD1" w:rsidR="009F0388" w:rsidRPr="008326CF" w:rsidRDefault="00360C9F" w:rsidP="00F31C61">
      <w:pPr>
        <w:pStyle w:val="Quote"/>
      </w:pPr>
      <w:r w:rsidRPr="008326CF">
        <w:t>First the (IACHR) in 2004, and then the Supreme Court of Belize in 2007 and 2010 instructed Belize to abstain from oil exploration in Toledo. These bodies concluded that the Belize government</w:t>
      </w:r>
      <w:r w:rsidR="009F0388" w:rsidRPr="008326CF">
        <w:t xml:space="preserve"> </w:t>
      </w:r>
      <w:r w:rsidRPr="008326CF">
        <w:t>must recognize Maya collective land ownership in Toledo and obtain the free, prior and informed consent of Maya communities before awarding concessions.</w:t>
      </w:r>
    </w:p>
    <w:p w14:paraId="19E47997" w14:textId="5AC83049" w:rsidR="00827E71" w:rsidRDefault="006C7F56" w:rsidP="001A2B22">
      <w:pPr>
        <w:jc w:val="both"/>
      </w:pPr>
      <w:r w:rsidRPr="0029347E">
        <w:t>Afterward</w:t>
      </w:r>
      <w:r w:rsidR="001A191E" w:rsidRPr="0029347E">
        <w:t>, i</w:t>
      </w:r>
      <w:r w:rsidR="00820688" w:rsidRPr="0029347E">
        <w:t xml:space="preserve">n 2015, </w:t>
      </w:r>
      <w:r w:rsidRPr="0029347E">
        <w:t>following</w:t>
      </w:r>
      <w:r w:rsidR="00820688" w:rsidRPr="0029347E">
        <w:t xml:space="preserve"> </w:t>
      </w:r>
      <w:r w:rsidR="001A191E" w:rsidRPr="0029347E">
        <w:t>30 years</w:t>
      </w:r>
      <w:r w:rsidR="00820688" w:rsidRPr="0029347E">
        <w:t xml:space="preserve"> of </w:t>
      </w:r>
      <w:r>
        <w:t xml:space="preserve">grassroots </w:t>
      </w:r>
      <w:r w:rsidR="001A191E" w:rsidRPr="0029347E">
        <w:t>organising</w:t>
      </w:r>
      <w:r w:rsidR="00820688" w:rsidRPr="0029347E">
        <w:t xml:space="preserve"> and </w:t>
      </w:r>
      <w:r w:rsidR="001A191E" w:rsidRPr="0029347E">
        <w:t>a</w:t>
      </w:r>
      <w:r w:rsidR="00A84E92">
        <w:t xml:space="preserve"> protracted</w:t>
      </w:r>
      <w:r w:rsidR="00820688" w:rsidRPr="0029347E">
        <w:t xml:space="preserve"> </w:t>
      </w:r>
      <w:r w:rsidR="00A84E92" w:rsidRPr="0029347E">
        <w:t>series</w:t>
      </w:r>
      <w:r w:rsidR="00820688" w:rsidRPr="0029347E">
        <w:t xml:space="preserve"> of litigation</w:t>
      </w:r>
      <w:r w:rsidR="00A84E92">
        <w:t>s</w:t>
      </w:r>
      <w:r w:rsidR="00820688" w:rsidRPr="0029347E">
        <w:t xml:space="preserve"> in </w:t>
      </w:r>
      <w:r w:rsidR="001A191E" w:rsidRPr="0029347E">
        <w:t>domestic</w:t>
      </w:r>
      <w:r w:rsidR="00820688" w:rsidRPr="0029347E">
        <w:t xml:space="preserve"> and intraregional courts, the Maya</w:t>
      </w:r>
      <w:r w:rsidR="001A191E" w:rsidRPr="0029347E">
        <w:t xml:space="preserve"> were</w:t>
      </w:r>
      <w:r w:rsidR="00820688" w:rsidRPr="0029347E">
        <w:t xml:space="preserve"> </w:t>
      </w:r>
      <w:r w:rsidR="001A191E" w:rsidRPr="0029347E">
        <w:t>granted</w:t>
      </w:r>
      <w:r w:rsidR="00820688" w:rsidRPr="0029347E">
        <w:t xml:space="preserve"> a</w:t>
      </w:r>
      <w:r w:rsidR="001A191E" w:rsidRPr="0029347E">
        <w:t xml:space="preserve">n unprecedented </w:t>
      </w:r>
      <w:r w:rsidR="00820688" w:rsidRPr="0029347E">
        <w:t xml:space="preserve">legal </w:t>
      </w:r>
      <w:r w:rsidR="001A191E" w:rsidRPr="0029347E">
        <w:t>victory</w:t>
      </w:r>
      <w:r w:rsidR="00820688" w:rsidRPr="0029347E">
        <w:t xml:space="preserve"> in the Caribbean Court of Justice (CCJ).</w:t>
      </w:r>
      <w:r w:rsidR="00DC3B92">
        <w:t xml:space="preserve"> </w:t>
      </w:r>
      <w:r w:rsidR="00820688" w:rsidRPr="0029347E">
        <w:t xml:space="preserve">The CCJ </w:t>
      </w:r>
      <w:r w:rsidR="001A191E" w:rsidRPr="0029347E">
        <w:t>judgement</w:t>
      </w:r>
      <w:r w:rsidR="00820688" w:rsidRPr="0029347E">
        <w:t xml:space="preserve"> </w:t>
      </w:r>
      <w:r w:rsidR="001A191E" w:rsidRPr="0029347E">
        <w:t>confirmed</w:t>
      </w:r>
      <w:r w:rsidR="00820688" w:rsidRPr="0029347E">
        <w:t xml:space="preserve"> that </w:t>
      </w:r>
      <w:r w:rsidR="008326CF">
        <w:t xml:space="preserve">the </w:t>
      </w:r>
      <w:r w:rsidR="00820688" w:rsidRPr="0029347E">
        <w:t>Maya</w:t>
      </w:r>
      <w:r w:rsidR="001A191E" w:rsidRPr="0029347E">
        <w:t xml:space="preserve"> </w:t>
      </w:r>
      <w:r w:rsidR="008326CF" w:rsidRPr="0029347E">
        <w:t>communities</w:t>
      </w:r>
      <w:r w:rsidR="00594393">
        <w:t>’</w:t>
      </w:r>
      <w:r w:rsidR="007E3C35">
        <w:t xml:space="preserve"> </w:t>
      </w:r>
      <w:r w:rsidR="0029347E" w:rsidRPr="0029347E">
        <w:t>communal</w:t>
      </w:r>
      <w:r w:rsidR="00820688" w:rsidRPr="0029347E">
        <w:t xml:space="preserve"> land </w:t>
      </w:r>
      <w:r w:rsidR="0029347E" w:rsidRPr="0029347E">
        <w:t>ownership</w:t>
      </w:r>
      <w:r w:rsidR="00820688" w:rsidRPr="0029347E">
        <w:t xml:space="preserve"> systems are </w:t>
      </w:r>
      <w:r w:rsidR="0029347E" w:rsidRPr="0029347E">
        <w:t>equal</w:t>
      </w:r>
      <w:r w:rsidR="00820688" w:rsidRPr="0029347E">
        <w:t xml:space="preserve"> </w:t>
      </w:r>
      <w:r w:rsidR="00594393">
        <w:t xml:space="preserve">in status </w:t>
      </w:r>
      <w:r w:rsidR="0029347E" w:rsidRPr="0029347E">
        <w:t>to</w:t>
      </w:r>
      <w:r w:rsidR="00820688" w:rsidRPr="0029347E">
        <w:t xml:space="preserve"> </w:t>
      </w:r>
      <w:r w:rsidR="00594393">
        <w:t>any</w:t>
      </w:r>
      <w:r w:rsidR="0029347E" w:rsidRPr="0029347E">
        <w:t xml:space="preserve"> </w:t>
      </w:r>
      <w:r w:rsidR="00820688" w:rsidRPr="0029347E">
        <w:t xml:space="preserve">property rights </w:t>
      </w:r>
      <w:r w:rsidR="0029347E" w:rsidRPr="0029347E">
        <w:t>upheld</w:t>
      </w:r>
      <w:r w:rsidR="00820688" w:rsidRPr="0029347E">
        <w:t xml:space="preserve"> by the constitution </w:t>
      </w:r>
      <w:r w:rsidR="008326CF">
        <w:t xml:space="preserve">of </w:t>
      </w:r>
      <w:r w:rsidR="0029347E" w:rsidRPr="0029347E">
        <w:t>Belize</w:t>
      </w:r>
      <w:r w:rsidR="004C1940">
        <w:t>.</w:t>
      </w:r>
      <w:r w:rsidR="00941C4E">
        <w:t xml:space="preserve"> </w:t>
      </w:r>
      <w:r w:rsidR="004C1940">
        <w:t>This</w:t>
      </w:r>
      <w:r w:rsidR="00941C4E">
        <w:t xml:space="preserve"> set a precedent in the region for the recognition of Indigenous people</w:t>
      </w:r>
      <w:r w:rsidR="004C1940">
        <w:t>’</w:t>
      </w:r>
      <w:r w:rsidR="00941C4E">
        <w:t>s land rights</w:t>
      </w:r>
      <w:r w:rsidR="00820688" w:rsidRPr="0029347E">
        <w:t>.</w:t>
      </w:r>
      <w:r w:rsidR="0029347E" w:rsidRPr="0029347E">
        <w:t xml:space="preserve"> Since these decisions, t</w:t>
      </w:r>
      <w:r w:rsidR="00360C9F" w:rsidRPr="0029347E">
        <w:t xml:space="preserve">he </w:t>
      </w:r>
      <w:proofErr w:type="spellStart"/>
      <w:r w:rsidR="0037470E">
        <w:t>GoB</w:t>
      </w:r>
      <w:proofErr w:type="spellEnd"/>
      <w:r w:rsidR="00360C9F" w:rsidRPr="0029347E">
        <w:t xml:space="preserve"> has</w:t>
      </w:r>
      <w:r w:rsidR="00820688" w:rsidRPr="0029347E">
        <w:t xml:space="preserve"> </w:t>
      </w:r>
      <w:r w:rsidR="0029347E" w:rsidRPr="0029347E">
        <w:t xml:space="preserve">been </w:t>
      </w:r>
      <w:r w:rsidR="008326CF" w:rsidRPr="0029347E">
        <w:t>persistent</w:t>
      </w:r>
      <w:r w:rsidR="0029347E" w:rsidRPr="0029347E">
        <w:t xml:space="preserve"> in</w:t>
      </w:r>
      <w:r w:rsidR="00360C9F" w:rsidRPr="0029347E">
        <w:t xml:space="preserve"> </w:t>
      </w:r>
      <w:r w:rsidR="0029347E" w:rsidRPr="0029347E">
        <w:t xml:space="preserve">non-compliance, as well as absconded from the processes of delimiting, demarcating, titling, and otherwise protecting Maya lands as was ordered by the </w:t>
      </w:r>
      <w:r w:rsidR="008326CF">
        <w:t>CCJ</w:t>
      </w:r>
      <w:r w:rsidR="003E7861">
        <w:t xml:space="preserve"> (MLA 2018)</w:t>
      </w:r>
      <w:r w:rsidR="0029347E" w:rsidRPr="0029347E">
        <w:t>.</w:t>
      </w:r>
    </w:p>
    <w:p w14:paraId="6FF026C5" w14:textId="77777777" w:rsidR="003F6C73" w:rsidRDefault="003F6C73" w:rsidP="003F6C73">
      <w:pPr>
        <w:jc w:val="both"/>
      </w:pPr>
    </w:p>
    <w:p w14:paraId="4857B58C" w14:textId="411AA887" w:rsidR="001F31BB" w:rsidRDefault="00034AAE" w:rsidP="004D7B9D">
      <w:pPr>
        <w:jc w:val="both"/>
      </w:pPr>
      <w:r w:rsidRPr="00B10670">
        <w:t xml:space="preserve">The </w:t>
      </w:r>
      <w:proofErr w:type="spellStart"/>
      <w:r w:rsidR="0037470E">
        <w:t>GoB</w:t>
      </w:r>
      <w:r w:rsidR="00545CB1">
        <w:t>’</w:t>
      </w:r>
      <w:r w:rsidRPr="00B10670">
        <w:t>s</w:t>
      </w:r>
      <w:proofErr w:type="spellEnd"/>
      <w:r w:rsidRPr="00B10670">
        <w:t xml:space="preserve"> </w:t>
      </w:r>
      <w:r w:rsidR="00545CB1">
        <w:t>refusal</w:t>
      </w:r>
      <w:r w:rsidRPr="00B10670">
        <w:t xml:space="preserve"> to adhere to</w:t>
      </w:r>
      <w:r w:rsidR="00537384">
        <w:t xml:space="preserve"> FPIC</w:t>
      </w:r>
      <w:r w:rsidRPr="00B10670">
        <w:t xml:space="preserve"> directives from the CCJ</w:t>
      </w:r>
      <w:r w:rsidR="007E3C35">
        <w:t xml:space="preserve"> Consent Order</w:t>
      </w:r>
      <w:r w:rsidRPr="00B10670">
        <w:t xml:space="preserve"> and the Supreme Court</w:t>
      </w:r>
      <w:r w:rsidR="008326CF">
        <w:t xml:space="preserve"> </w:t>
      </w:r>
      <w:r w:rsidR="007E3C35" w:rsidRPr="00B10670">
        <w:t>appreciably</w:t>
      </w:r>
      <w:r w:rsidRPr="00B10670">
        <w:t xml:space="preserve"> deprives </w:t>
      </w:r>
      <w:r w:rsidR="008326CF">
        <w:t>the Maya</w:t>
      </w:r>
      <w:r w:rsidRPr="00B10670">
        <w:t xml:space="preserve"> of the</w:t>
      </w:r>
      <w:r w:rsidR="002E0B8C">
        <w:t xml:space="preserve"> right to</w:t>
      </w:r>
      <w:r w:rsidRPr="00B10670">
        <w:t xml:space="preserve"> </w:t>
      </w:r>
      <w:r w:rsidR="00870A01">
        <w:t>self-determin</w:t>
      </w:r>
      <w:r w:rsidR="00132115">
        <w:t>ation</w:t>
      </w:r>
      <w:r w:rsidR="007E3C35">
        <w:t xml:space="preserve">. State negligence related to duty to consult </w:t>
      </w:r>
      <w:r w:rsidR="008B3A2C">
        <w:t xml:space="preserve">(i.e. the obligation a government has to engage with Indigenous communities about projects that will affect their lands) </w:t>
      </w:r>
      <w:r w:rsidR="007E3C35">
        <w:t>similarly</w:t>
      </w:r>
      <w:r w:rsidR="00132115">
        <w:t xml:space="preserve"> </w:t>
      </w:r>
      <w:r w:rsidR="007E3C35">
        <w:t>weakens the</w:t>
      </w:r>
      <w:r w:rsidR="00132115">
        <w:t xml:space="preserve"> protections</w:t>
      </w:r>
      <w:r w:rsidRPr="00B10670">
        <w:t xml:space="preserve"> </w:t>
      </w:r>
      <w:r w:rsidR="007E3C35">
        <w:t>the Maya</w:t>
      </w:r>
      <w:r w:rsidRPr="00B10670">
        <w:t xml:space="preserve"> are </w:t>
      </w:r>
      <w:r w:rsidR="008326CF">
        <w:t>entitled</w:t>
      </w:r>
      <w:r w:rsidRPr="00B10670">
        <w:t xml:space="preserve"> to</w:t>
      </w:r>
      <w:r w:rsidR="00132115">
        <w:t xml:space="preserve"> as </w:t>
      </w:r>
      <w:r w:rsidR="00132115">
        <w:lastRenderedPageBreak/>
        <w:t>Indigenous people</w:t>
      </w:r>
      <w:r w:rsidRPr="00B10670">
        <w:t xml:space="preserve"> according to the various </w:t>
      </w:r>
      <w:r w:rsidR="008326CF">
        <w:t xml:space="preserve">international </w:t>
      </w:r>
      <w:r w:rsidRPr="00B10670">
        <w:t>declarations</w:t>
      </w:r>
      <w:r w:rsidR="007E3C35">
        <w:t xml:space="preserve"> and </w:t>
      </w:r>
      <w:r w:rsidR="007E3C35" w:rsidRPr="00B10670">
        <w:t>resolutions</w:t>
      </w:r>
      <w:r w:rsidR="007E3C35">
        <w:t xml:space="preserve"> </w:t>
      </w:r>
      <w:r w:rsidR="008326CF">
        <w:t>mentioned at the outset</w:t>
      </w:r>
      <w:r w:rsidRPr="00B10670">
        <w:t xml:space="preserve">. </w:t>
      </w:r>
      <w:r w:rsidR="004C1940">
        <w:t>Following</w:t>
      </w:r>
      <w:r w:rsidRPr="00B10670">
        <w:t xml:space="preserve"> the introduction of the</w:t>
      </w:r>
      <w:r w:rsidR="008326CF">
        <w:t xml:space="preserve"> </w:t>
      </w:r>
      <w:proofErr w:type="spellStart"/>
      <w:r w:rsidR="0037470E">
        <w:t>GoB</w:t>
      </w:r>
      <w:r w:rsidR="008326CF">
        <w:t>’s</w:t>
      </w:r>
      <w:proofErr w:type="spellEnd"/>
      <w:r w:rsidR="008326CF">
        <w:t xml:space="preserve"> </w:t>
      </w:r>
      <w:r w:rsidRPr="00B10670">
        <w:t>Toledo Maya Land Rights Commission (TMLR</w:t>
      </w:r>
      <w:r w:rsidR="008326CF">
        <w:t>C</w:t>
      </w:r>
      <w:r w:rsidRPr="00B10670">
        <w:t xml:space="preserve">) in 2016, there </w:t>
      </w:r>
      <w:r w:rsidR="004C1940">
        <w:t>were</w:t>
      </w:r>
      <w:r w:rsidR="005E6E54">
        <w:t xml:space="preserve"> no</w:t>
      </w:r>
      <w:r w:rsidRPr="00B10670">
        <w:t xml:space="preserve"> </w:t>
      </w:r>
      <w:r w:rsidR="004C1940">
        <w:t>meaningful</w:t>
      </w:r>
      <w:r w:rsidRPr="00B10670">
        <w:t xml:space="preserve"> plan</w:t>
      </w:r>
      <w:r w:rsidR="004C1940">
        <w:t xml:space="preserve">s implemented by the </w:t>
      </w:r>
      <w:proofErr w:type="spellStart"/>
      <w:r w:rsidR="004C1940">
        <w:t>GoB</w:t>
      </w:r>
      <w:proofErr w:type="spellEnd"/>
      <w:r w:rsidRPr="00B10670">
        <w:t xml:space="preserve"> to </w:t>
      </w:r>
      <w:r w:rsidR="008326CF">
        <w:t>delimit, demarcate</w:t>
      </w:r>
      <w:r w:rsidRPr="00B10670">
        <w:t xml:space="preserve">, </w:t>
      </w:r>
      <w:r w:rsidR="007E3C35">
        <w:t>or</w:t>
      </w:r>
      <w:r w:rsidR="008326CF">
        <w:t xml:space="preserve"> title land according to the terms and preferences of the Maya communities. </w:t>
      </w:r>
      <w:r w:rsidR="007E3C35">
        <w:t xml:space="preserve">The </w:t>
      </w:r>
      <w:r w:rsidR="007E3C35" w:rsidRPr="00B10670">
        <w:t>TMLR</w:t>
      </w:r>
      <w:r w:rsidR="007E3C35">
        <w:t>C is the government body that was created to</w:t>
      </w:r>
      <w:r w:rsidR="007E3C35" w:rsidRPr="007E3C35">
        <w:t xml:space="preserve"> </w:t>
      </w:r>
      <w:r w:rsidR="007E3C35">
        <w:t>make good on</w:t>
      </w:r>
      <w:r w:rsidR="007E3C35" w:rsidRPr="007E3C35">
        <w:t xml:space="preserve"> the</w:t>
      </w:r>
      <w:r w:rsidR="0063097B">
        <w:t xml:space="preserve"> 2015</w:t>
      </w:r>
      <w:r w:rsidR="007E3C35" w:rsidRPr="007E3C35">
        <w:t xml:space="preserve"> </w:t>
      </w:r>
      <w:r w:rsidR="007E3C35">
        <w:t>CCJ</w:t>
      </w:r>
      <w:r w:rsidR="007E3C35" w:rsidRPr="007E3C35">
        <w:t xml:space="preserve"> </w:t>
      </w:r>
      <w:r w:rsidR="007E3C35">
        <w:t xml:space="preserve">order. </w:t>
      </w:r>
    </w:p>
    <w:p w14:paraId="4F252A49" w14:textId="77777777" w:rsidR="003F6C73" w:rsidRDefault="003F6C73" w:rsidP="003F6C73">
      <w:pPr>
        <w:jc w:val="both"/>
      </w:pPr>
    </w:p>
    <w:p w14:paraId="7A6F26E3" w14:textId="38F5723B" w:rsidR="001F31BB" w:rsidRDefault="00FA2EBE" w:rsidP="004432EF">
      <w:pPr>
        <w:jc w:val="both"/>
      </w:pPr>
      <w:r w:rsidRPr="00B10670">
        <w:t xml:space="preserve">In addition, </w:t>
      </w:r>
      <w:r>
        <w:t>in</w:t>
      </w:r>
      <w:r w:rsidRPr="00B10670">
        <w:t xml:space="preserve"> March 2016, the</w:t>
      </w:r>
      <w:r>
        <w:t xml:space="preserve"> </w:t>
      </w:r>
      <w:proofErr w:type="spellStart"/>
      <w:r w:rsidR="0037470E">
        <w:t>GoB</w:t>
      </w:r>
      <w:proofErr w:type="spellEnd"/>
      <w:r w:rsidRPr="00B10670">
        <w:t xml:space="preserve"> Ministry of Economic Development, Petroleum, Investment, Trade</w:t>
      </w:r>
      <w:r w:rsidR="001F31BB">
        <w:t>,</w:t>
      </w:r>
      <w:r w:rsidRPr="00B10670">
        <w:t xml:space="preserve"> and Commerce granted a </w:t>
      </w:r>
      <w:r w:rsidR="004B2D30" w:rsidRPr="00B10670">
        <w:t>one-year</w:t>
      </w:r>
      <w:r w:rsidRPr="00B10670">
        <w:t xml:space="preserve"> extension of an oil concession </w:t>
      </w:r>
      <w:r>
        <w:t>i</w:t>
      </w:r>
      <w:r w:rsidRPr="00B10670">
        <w:t>n Maya territory to US Capital</w:t>
      </w:r>
      <w:r w:rsidR="00741858">
        <w:t xml:space="preserve"> Energy Ltd</w:t>
      </w:r>
      <w:r w:rsidR="0063097B">
        <w:t xml:space="preserve"> without following</w:t>
      </w:r>
      <w:r w:rsidR="004C1940">
        <w:t xml:space="preserve"> </w:t>
      </w:r>
      <w:proofErr w:type="spellStart"/>
      <w:r w:rsidR="00A90A92">
        <w:t>FPIC</w:t>
      </w:r>
      <w:proofErr w:type="spellEnd"/>
      <w:r w:rsidR="00A90A92">
        <w:t xml:space="preserve"> protocols</w:t>
      </w:r>
      <w:r w:rsidR="00741858">
        <w:t xml:space="preserve"> (</w:t>
      </w:r>
      <w:proofErr w:type="spellStart"/>
      <w:r w:rsidR="00741858">
        <w:t>Amandala</w:t>
      </w:r>
      <w:proofErr w:type="spellEnd"/>
      <w:r w:rsidR="00741858">
        <w:t xml:space="preserve"> 2016)</w:t>
      </w:r>
      <w:r w:rsidRPr="00B10670">
        <w:t xml:space="preserve">. </w:t>
      </w:r>
      <w:r w:rsidR="001F31BB">
        <w:t>Later</w:t>
      </w:r>
      <w:r>
        <w:t>, in</w:t>
      </w:r>
      <w:r w:rsidR="001423E3">
        <w:t xml:space="preserve"> a 2017 follow-up CCJ hearing, the</w:t>
      </w:r>
      <w:r w:rsidR="00034AAE" w:rsidRPr="00B10670">
        <w:t xml:space="preserve"> TMLR</w:t>
      </w:r>
      <w:r w:rsidR="001F31BB">
        <w:t xml:space="preserve">C </w:t>
      </w:r>
      <w:r w:rsidR="00EC0B01">
        <w:t>proclaimed that</w:t>
      </w:r>
      <w:r w:rsidR="008D2E97" w:rsidRPr="00B10670">
        <w:t>,</w:t>
      </w:r>
      <w:r w:rsidR="00034AAE" w:rsidRPr="00B10670">
        <w:t xml:space="preserve"> “it does not see the demarcation and documentation process as being within its mandate of work, and it does not expect the development of such a process to occur for several more years.”</w:t>
      </w:r>
      <w:r w:rsidR="00741858">
        <w:t xml:space="preserve"> </w:t>
      </w:r>
      <w:r w:rsidR="001F31BB">
        <w:t>A human rights report submitted to the</w:t>
      </w:r>
      <w:r w:rsidR="001F31BB" w:rsidRPr="001423E3">
        <w:t xml:space="preserve"> ICCPR</w:t>
      </w:r>
      <w:r w:rsidR="001F31BB">
        <w:t xml:space="preserve"> in September 2018 by the Maya Leaders Alliance, an autonomous social movement comprised of Indigenous organisers, </w:t>
      </w:r>
      <w:r w:rsidR="004933D9">
        <w:t>is indicative of the impunity with which the state acts</w:t>
      </w:r>
      <w:r w:rsidR="001F31BB">
        <w:t>:</w:t>
      </w:r>
    </w:p>
    <w:p w14:paraId="6B220A56" w14:textId="64ADD096" w:rsidR="00827E71" w:rsidRDefault="001F31BB" w:rsidP="004432EF">
      <w:pPr>
        <w:pStyle w:val="Quote"/>
      </w:pPr>
      <w:r w:rsidRPr="008326CF">
        <w:t>In January 2016, the government established the Toledo Maya Land Rights Commission under the authority of the Belize Attorney General as the government’s mechanism to implement the CCJ Consent Order. The TMLR Commission</w:t>
      </w:r>
      <w:r>
        <w:t>… …</w:t>
      </w:r>
      <w:r w:rsidRPr="008326CF">
        <w:t xml:space="preserve">was tasked with developing a draft implementation plan by 30 June 2016. The plan has not been completed. </w:t>
      </w:r>
    </w:p>
    <w:p w14:paraId="454B920D" w14:textId="114B7B10" w:rsidR="00EC0B01" w:rsidRDefault="00EC0B01" w:rsidP="00296664">
      <w:pPr>
        <w:pStyle w:val="Heading1"/>
        <w:jc w:val="both"/>
      </w:pPr>
      <w:r>
        <w:t xml:space="preserve">State </w:t>
      </w:r>
      <w:r w:rsidR="00B32F3D">
        <w:t xml:space="preserve">Negligence, </w:t>
      </w:r>
      <w:r>
        <w:t>Equivocation</w:t>
      </w:r>
      <w:r w:rsidR="00B32F3D">
        <w:t>,</w:t>
      </w:r>
      <w:r>
        <w:t xml:space="preserve"> and Impunity</w:t>
      </w:r>
    </w:p>
    <w:p w14:paraId="55E35AEC" w14:textId="4D761CC9" w:rsidR="00A84E92" w:rsidRDefault="00A84E92" w:rsidP="003E56E8">
      <w:pPr>
        <w:jc w:val="both"/>
      </w:pPr>
      <w:r w:rsidRPr="006C7F56">
        <w:t>Although there have been direct orders from the Supreme Court of Belize (2007</w:t>
      </w:r>
      <w:r>
        <w:t>, 2010</w:t>
      </w:r>
      <w:r w:rsidRPr="006C7F56">
        <w:t>)</w:t>
      </w:r>
      <w:r>
        <w:t>,</w:t>
      </w:r>
      <w:r w:rsidRPr="006C7F56">
        <w:t xml:space="preserve"> and more recently the Caribbean Court of Justice (2015), the </w:t>
      </w:r>
      <w:proofErr w:type="spellStart"/>
      <w:r>
        <w:t>GoB</w:t>
      </w:r>
      <w:proofErr w:type="spellEnd"/>
      <w:r w:rsidRPr="006C7F56">
        <w:t xml:space="preserve"> continues to encroach upon Maya lands</w:t>
      </w:r>
      <w:r>
        <w:t xml:space="preserve"> (MLA 2018)</w:t>
      </w:r>
      <w:r w:rsidRPr="006C7F56">
        <w:t>. Dismissing FPIC, as contended by critical legal scholars, is a distinct violation of human rights (</w:t>
      </w:r>
      <w:r w:rsidRPr="00CE74BB">
        <w:t>Fontana</w:t>
      </w:r>
      <w:r>
        <w:t xml:space="preserve"> and </w:t>
      </w:r>
      <w:proofErr w:type="spellStart"/>
      <w:r w:rsidRPr="00CE74BB">
        <w:t>Grugel</w:t>
      </w:r>
      <w:proofErr w:type="spellEnd"/>
      <w:r>
        <w:t xml:space="preserve"> </w:t>
      </w:r>
      <w:r w:rsidRPr="00CE74BB">
        <w:t>2016</w:t>
      </w:r>
      <w:r w:rsidRPr="006C7F56">
        <w:t xml:space="preserve">). </w:t>
      </w:r>
      <w:r w:rsidR="00C411CB">
        <w:t>Over the past decade</w:t>
      </w:r>
      <w:r w:rsidRPr="006C7F56">
        <w:t xml:space="preserve">, social movement scholars are arguing that </w:t>
      </w:r>
      <w:r w:rsidR="001B6863">
        <w:t xml:space="preserve">FPIC </w:t>
      </w:r>
      <w:r w:rsidRPr="006C7F56">
        <w:t xml:space="preserve">violations constitute a form of ‘slow violence’ (Nixon 2011). </w:t>
      </w:r>
      <w:r>
        <w:t xml:space="preserve">This is discernible </w:t>
      </w:r>
      <w:r w:rsidR="00A90A92">
        <w:t>in how</w:t>
      </w:r>
      <w:r>
        <w:t xml:space="preserve"> profit-driven extractive activities </w:t>
      </w:r>
      <w:r w:rsidR="00A90A92">
        <w:t>that occur</w:t>
      </w:r>
      <w:r>
        <w:t xml:space="preserve"> as a result of non-consultation and FPIC violations</w:t>
      </w:r>
      <w:r w:rsidRPr="006C7F56">
        <w:t xml:space="preserve"> are destroying Indigenous cultural heritage</w:t>
      </w:r>
      <w:r w:rsidR="00AA6F65">
        <w:t xml:space="preserve"> and</w:t>
      </w:r>
      <w:r w:rsidRPr="006C7F56">
        <w:t xml:space="preserve"> spiritual sites</w:t>
      </w:r>
      <w:r w:rsidR="00A90A92">
        <w:t>––as well as</w:t>
      </w:r>
      <w:r>
        <w:t xml:space="preserve"> fracturing community</w:t>
      </w:r>
      <w:r w:rsidR="00AA6F65">
        <w:t>/ecosystem</w:t>
      </w:r>
      <w:r>
        <w:t xml:space="preserve"> relations</w:t>
      </w:r>
      <w:r w:rsidRPr="006C7F56">
        <w:t>. The failure to engage in</w:t>
      </w:r>
      <w:r>
        <w:t xml:space="preserve"> good faith</w:t>
      </w:r>
      <w:r w:rsidRPr="006C7F56">
        <w:t xml:space="preserve"> FPIC with the Maya communities</w:t>
      </w:r>
      <w:r w:rsidR="00A90A92">
        <w:t xml:space="preserve"> of Toledo District</w:t>
      </w:r>
      <w:r w:rsidRPr="006C7F56">
        <w:t xml:space="preserve"> on the part of both the state and private capital </w:t>
      </w:r>
      <w:r>
        <w:t xml:space="preserve">disavows their </w:t>
      </w:r>
      <w:r w:rsidRPr="006C7F56">
        <w:t>ancestral system of communal ownership</w:t>
      </w:r>
      <w:r w:rsidR="00A90A92">
        <w:t>. More broadly, it</w:t>
      </w:r>
      <w:r>
        <w:t xml:space="preserve"> </w:t>
      </w:r>
      <w:r w:rsidRPr="006C7F56">
        <w:t xml:space="preserve">breaches </w:t>
      </w:r>
      <w:r>
        <w:t>the Mayas’</w:t>
      </w:r>
      <w:r w:rsidRPr="006C7F56">
        <w:t xml:space="preserve"> right to self-determination</w:t>
      </w:r>
      <w:r>
        <w:t xml:space="preserve"> as Indigenous people.</w:t>
      </w:r>
    </w:p>
    <w:p w14:paraId="632A8B44" w14:textId="77777777" w:rsidR="003F6C73" w:rsidRDefault="003F6C73" w:rsidP="003F6C73">
      <w:pPr>
        <w:jc w:val="both"/>
      </w:pPr>
    </w:p>
    <w:p w14:paraId="2341F773" w14:textId="1C33AEF3" w:rsidR="00827E71" w:rsidRDefault="00FA2EBE" w:rsidP="00DD1D14">
      <w:pPr>
        <w:jc w:val="both"/>
      </w:pPr>
      <w:r>
        <w:t>I</w:t>
      </w:r>
      <w:r w:rsidR="001423E3">
        <w:t xml:space="preserve">n rendering its 2015 land rights </w:t>
      </w:r>
      <w:r w:rsidR="00B03EC6">
        <w:t xml:space="preserve">decision </w:t>
      </w:r>
      <w:r w:rsidR="001423E3">
        <w:t>t</w:t>
      </w:r>
      <w:r w:rsidR="00034AAE" w:rsidRPr="00B10670">
        <w:t xml:space="preserve">he CCJ allocated </w:t>
      </w:r>
      <w:r w:rsidR="001423E3">
        <w:t>$150,000USD</w:t>
      </w:r>
      <w:r w:rsidR="00034AAE" w:rsidRPr="00B10670">
        <w:t xml:space="preserve"> </w:t>
      </w:r>
      <w:r w:rsidR="001423E3">
        <w:t>to</w:t>
      </w:r>
      <w:r w:rsidR="00034AAE" w:rsidRPr="00B10670">
        <w:t xml:space="preserve"> the Maya people </w:t>
      </w:r>
      <w:r w:rsidR="001423E3">
        <w:t>for the rights violations</w:t>
      </w:r>
      <w:r w:rsidR="00A90A92">
        <w:t xml:space="preserve"> and harm</w:t>
      </w:r>
      <w:r w:rsidR="001423E3">
        <w:t xml:space="preserve"> they experienced. </w:t>
      </w:r>
      <w:r w:rsidR="00B03EC6">
        <w:t>Despite this, t</w:t>
      </w:r>
      <w:r w:rsidR="001423E3">
        <w:t xml:space="preserve">he </w:t>
      </w:r>
      <w:proofErr w:type="spellStart"/>
      <w:r w:rsidR="0037470E">
        <w:t>GoB</w:t>
      </w:r>
      <w:proofErr w:type="spellEnd"/>
      <w:r w:rsidR="001423E3">
        <w:t xml:space="preserve"> has since</w:t>
      </w:r>
      <w:r w:rsidR="00034AAE" w:rsidRPr="00B10670">
        <w:t xml:space="preserve"> </w:t>
      </w:r>
      <w:r w:rsidR="008D2E97" w:rsidRPr="00B10670">
        <w:t>declared</w:t>
      </w:r>
      <w:r w:rsidR="00034AAE" w:rsidRPr="00B10670">
        <w:t xml:space="preserve"> that </w:t>
      </w:r>
      <w:r w:rsidR="001423E3">
        <w:t>this remedial</w:t>
      </w:r>
      <w:r w:rsidR="00034AAE" w:rsidRPr="00B10670">
        <w:t xml:space="preserve"> money was</w:t>
      </w:r>
      <w:r w:rsidR="00B03EC6">
        <w:t xml:space="preserve"> </w:t>
      </w:r>
      <w:r w:rsidR="00034AAE" w:rsidRPr="00B10670">
        <w:t xml:space="preserve">spent </w:t>
      </w:r>
      <w:r w:rsidR="001423E3">
        <w:t>on</w:t>
      </w:r>
      <w:r w:rsidR="00034AAE" w:rsidRPr="00B10670">
        <w:t xml:space="preserve"> the </w:t>
      </w:r>
      <w:r w:rsidR="00D41C29" w:rsidRPr="00B10670">
        <w:t xml:space="preserve">establishment </w:t>
      </w:r>
      <w:r w:rsidR="00034AAE" w:rsidRPr="00B10670">
        <w:t>of the TMLR</w:t>
      </w:r>
      <w:r w:rsidR="001423E3">
        <w:t>C</w:t>
      </w:r>
      <w:r w:rsidR="00C411CB">
        <w:t>, meaning the funds were not transferred directly to the Maya communities that were aggrieved.</w:t>
      </w:r>
      <w:r w:rsidR="000400E5">
        <w:t xml:space="preserve"> T</w:t>
      </w:r>
      <w:r w:rsidR="00C411CB">
        <w:t>he TMLRC</w:t>
      </w:r>
      <w:r w:rsidR="000400E5">
        <w:t>, again,</w:t>
      </w:r>
      <w:r w:rsidR="00C411CB">
        <w:t xml:space="preserve"> </w:t>
      </w:r>
      <w:r w:rsidR="00A90A92">
        <w:t xml:space="preserve">is a state entity that </w:t>
      </w:r>
      <w:r w:rsidR="00034AAE" w:rsidRPr="00B10670">
        <w:t xml:space="preserve">did not </w:t>
      </w:r>
      <w:r w:rsidR="00A34130" w:rsidRPr="00B10670">
        <w:t>fulfil</w:t>
      </w:r>
      <w:r w:rsidR="00034AAE" w:rsidRPr="00B10670">
        <w:t xml:space="preserve"> its mandate</w:t>
      </w:r>
      <w:r w:rsidR="001423E3">
        <w:t xml:space="preserve"> of meaningful consultation with representatives selected by Maya communities</w:t>
      </w:r>
      <w:r w:rsidR="00B32F3D">
        <w:t xml:space="preserve"> (Penados 2018)</w:t>
      </w:r>
      <w:r w:rsidR="00034AAE" w:rsidRPr="00B10670">
        <w:t xml:space="preserve">. The </w:t>
      </w:r>
      <w:r w:rsidR="001423E3">
        <w:t>TMLRC, however, did</w:t>
      </w:r>
      <w:r w:rsidR="00034AAE" w:rsidRPr="00B10670">
        <w:t xml:space="preserve"> m</w:t>
      </w:r>
      <w:r w:rsidR="001423E3">
        <w:t>e</w:t>
      </w:r>
      <w:r w:rsidR="00034AAE" w:rsidRPr="00B10670">
        <w:t>et with non-Maya groups and</w:t>
      </w:r>
      <w:r w:rsidR="001423E3">
        <w:t xml:space="preserve"> select Maya</w:t>
      </w:r>
      <w:r w:rsidR="00034AAE" w:rsidRPr="00B10670">
        <w:t xml:space="preserve"> individuals</w:t>
      </w:r>
      <w:r w:rsidR="001423E3">
        <w:t>,</w:t>
      </w:r>
      <w:r w:rsidR="00034AAE" w:rsidRPr="00B10670">
        <w:t xml:space="preserve"> </w:t>
      </w:r>
      <w:r w:rsidR="008D2E97">
        <w:t>although these meetings</w:t>
      </w:r>
      <w:r w:rsidR="00125A22">
        <w:t>, which took place to set the parameters of the delimitation and demarcation of Maya lands,</w:t>
      </w:r>
      <w:r w:rsidR="00034AAE" w:rsidRPr="00B10670">
        <w:t xml:space="preserve"> did not prove beneficial as </w:t>
      </w:r>
      <w:r w:rsidR="008D2E97">
        <w:t>the invited</w:t>
      </w:r>
      <w:r w:rsidR="00034AAE" w:rsidRPr="00B10670">
        <w:t xml:space="preserve"> parties </w:t>
      </w:r>
      <w:r w:rsidR="001423E3">
        <w:t>were</w:t>
      </w:r>
      <w:r w:rsidR="00034AAE" w:rsidRPr="00B10670">
        <w:t xml:space="preserve"> not directly affected by the </w:t>
      </w:r>
      <w:proofErr w:type="spellStart"/>
      <w:r w:rsidR="0037470E">
        <w:t>GoB</w:t>
      </w:r>
      <w:proofErr w:type="spellEnd"/>
      <w:r w:rsidR="008D2E97">
        <w:t xml:space="preserve"> violations in question</w:t>
      </w:r>
      <w:r w:rsidR="00034AAE" w:rsidRPr="00B10670">
        <w:t xml:space="preserve">. </w:t>
      </w:r>
      <w:r w:rsidR="001423E3">
        <w:t>Further,</w:t>
      </w:r>
      <w:r w:rsidR="008D2E97">
        <w:t xml:space="preserve"> </w:t>
      </w:r>
      <w:r w:rsidR="00A84E92">
        <w:t>representatives from</w:t>
      </w:r>
      <w:r w:rsidR="008D2E97">
        <w:t xml:space="preserve"> </w:t>
      </w:r>
      <w:r w:rsidR="001423E3">
        <w:t>the</w:t>
      </w:r>
      <w:r w:rsidR="00034AAE" w:rsidRPr="00B10670">
        <w:t xml:space="preserve"> Toledo Alcalde</w:t>
      </w:r>
      <w:r w:rsidR="001423E3">
        <w:t>s</w:t>
      </w:r>
      <w:r w:rsidR="00034AAE" w:rsidRPr="00B10670">
        <w:t xml:space="preserve"> Association</w:t>
      </w:r>
      <w:r w:rsidR="008D2E97">
        <w:t xml:space="preserve"> (TAA)</w:t>
      </w:r>
      <w:r w:rsidR="001423E3">
        <w:t xml:space="preserve">, </w:t>
      </w:r>
      <w:r w:rsidR="001423E3" w:rsidRPr="001423E3">
        <w:t>a</w:t>
      </w:r>
      <w:r w:rsidR="008D2E97">
        <w:t>n</w:t>
      </w:r>
      <w:r w:rsidR="001423E3" w:rsidRPr="001423E3">
        <w:t xml:space="preserve"> organization </w:t>
      </w:r>
      <w:r w:rsidR="00A84E92" w:rsidRPr="001423E3">
        <w:t>comprised</w:t>
      </w:r>
      <w:r w:rsidR="001423E3" w:rsidRPr="001423E3">
        <w:t xml:space="preserve"> </w:t>
      </w:r>
      <w:r w:rsidR="00A84E92">
        <w:t>of</w:t>
      </w:r>
      <w:r w:rsidR="001423E3" w:rsidRPr="001423E3">
        <w:t xml:space="preserve"> traditional </w:t>
      </w:r>
      <w:r w:rsidR="001423E3">
        <w:t>Maya</w:t>
      </w:r>
      <w:r w:rsidR="001423E3" w:rsidRPr="001423E3">
        <w:t xml:space="preserve"> leaders</w:t>
      </w:r>
      <w:r w:rsidR="00A84E92">
        <w:t xml:space="preserve"> (Alcaldes)</w:t>
      </w:r>
      <w:r w:rsidR="001423E3">
        <w:t xml:space="preserve"> from differing villages, were expelled from a TMLRC meeting</w:t>
      </w:r>
      <w:r w:rsidR="00AA6F65">
        <w:t>––</w:t>
      </w:r>
      <w:r w:rsidR="001423E3">
        <w:t xml:space="preserve">a </w:t>
      </w:r>
      <w:r w:rsidR="008D2E97">
        <w:t>repudiation</w:t>
      </w:r>
      <w:r w:rsidR="00D14E07">
        <w:t xml:space="preserve"> of good faith consultation (</w:t>
      </w:r>
      <w:r w:rsidR="00537384">
        <w:t>Penados 2018</w:t>
      </w:r>
      <w:r w:rsidR="00D14E07">
        <w:t>)</w:t>
      </w:r>
      <w:r w:rsidR="00034AAE" w:rsidRPr="00B10670">
        <w:t xml:space="preserve">. </w:t>
      </w:r>
      <w:r w:rsidR="001B6863">
        <w:t>B</w:t>
      </w:r>
      <w:r w:rsidR="006C67EC">
        <w:t>arring</w:t>
      </w:r>
      <w:r w:rsidR="00AA6F65">
        <w:t xml:space="preserve"> </w:t>
      </w:r>
      <w:r w:rsidR="006C67EC">
        <w:t xml:space="preserve">Alcaldes </w:t>
      </w:r>
      <w:r w:rsidR="00D14E07">
        <w:t>constitutes a denial of</w:t>
      </w:r>
      <w:r w:rsidR="00D14E07" w:rsidRPr="00D14E07">
        <w:t xml:space="preserve"> effective remedy</w:t>
      </w:r>
      <w:r w:rsidR="009A57E9">
        <w:t xml:space="preserve"> given that the process of resolution the </w:t>
      </w:r>
      <w:proofErr w:type="spellStart"/>
      <w:r w:rsidR="009A57E9">
        <w:t>GoB</w:t>
      </w:r>
      <w:proofErr w:type="spellEnd"/>
      <w:r w:rsidR="009A57E9">
        <w:t xml:space="preserve"> was required to engage in as a result of the CCJ ruling </w:t>
      </w:r>
      <w:r w:rsidR="00AA6F65">
        <w:t>(</w:t>
      </w:r>
      <w:r w:rsidR="009A57E9">
        <w:t xml:space="preserve">and </w:t>
      </w:r>
      <w:r w:rsidR="009A57E9">
        <w:lastRenderedPageBreak/>
        <w:t>parameters outlined</w:t>
      </w:r>
      <w:r w:rsidR="009A57E9" w:rsidRPr="009A57E9">
        <w:t xml:space="preserve"> </w:t>
      </w:r>
      <w:r w:rsidR="009A57E9">
        <w:t xml:space="preserve">by </w:t>
      </w:r>
      <w:r w:rsidR="009A57E9" w:rsidRPr="009A57E9">
        <w:t>the IACHR</w:t>
      </w:r>
      <w:r w:rsidR="00AA6F65">
        <w:t>)</w:t>
      </w:r>
      <w:r w:rsidR="009A57E9">
        <w:t xml:space="preserve"> was </w:t>
      </w:r>
      <w:r w:rsidR="009A57E9" w:rsidRPr="00C867F4">
        <w:rPr>
          <w:i/>
          <w:iCs/>
        </w:rPr>
        <w:t>not</w:t>
      </w:r>
      <w:r w:rsidR="009A57E9">
        <w:t xml:space="preserve"> guided by the terms of the Maya communities </w:t>
      </w:r>
      <w:r w:rsidR="0015025E">
        <w:t>(</w:t>
      </w:r>
      <w:proofErr w:type="spellStart"/>
      <w:r w:rsidR="0015025E" w:rsidRPr="00D02985">
        <w:t>Wickeri</w:t>
      </w:r>
      <w:proofErr w:type="spellEnd"/>
      <w:r w:rsidR="0015025E">
        <w:t xml:space="preserve"> and</w:t>
      </w:r>
      <w:r w:rsidR="0015025E" w:rsidRPr="00D02985">
        <w:t xml:space="preserve"> </w:t>
      </w:r>
      <w:proofErr w:type="spellStart"/>
      <w:r w:rsidR="0015025E" w:rsidRPr="00D02985">
        <w:t>Kalhan</w:t>
      </w:r>
      <w:proofErr w:type="spellEnd"/>
      <w:r w:rsidR="0015025E">
        <w:t xml:space="preserve"> </w:t>
      </w:r>
      <w:r w:rsidR="0015025E" w:rsidRPr="00D02985">
        <w:t>2010</w:t>
      </w:r>
      <w:r w:rsidR="0015025E">
        <w:t>)</w:t>
      </w:r>
      <w:r w:rsidR="00034AAE" w:rsidRPr="00B10670">
        <w:t xml:space="preserve">. Thus far, nothing has been done by the </w:t>
      </w:r>
      <w:proofErr w:type="spellStart"/>
      <w:r w:rsidR="0037470E">
        <w:t>GoB</w:t>
      </w:r>
      <w:proofErr w:type="spellEnd"/>
      <w:r w:rsidR="00034AAE" w:rsidRPr="00B10670">
        <w:t xml:space="preserve"> to rectify the injustices the Maya peoples have faced. </w:t>
      </w:r>
    </w:p>
    <w:p w14:paraId="5C4C79C4" w14:textId="77777777" w:rsidR="003F6C73" w:rsidRDefault="003F6C73" w:rsidP="003F6C73">
      <w:pPr>
        <w:jc w:val="both"/>
      </w:pPr>
    </w:p>
    <w:p w14:paraId="6B28E5D9" w14:textId="491C7E83" w:rsidR="00827E71" w:rsidRDefault="006C67EC" w:rsidP="00A032B8">
      <w:pPr>
        <w:jc w:val="both"/>
      </w:pPr>
      <w:r w:rsidRPr="001F2C78">
        <w:t>In sum, Indigenous s</w:t>
      </w:r>
      <w:r w:rsidR="00FA2EBE" w:rsidRPr="001F2C78">
        <w:t>elf-</w:t>
      </w:r>
      <w:r w:rsidRPr="001F2C78">
        <w:t>determination</w:t>
      </w:r>
      <w:r w:rsidR="00FA2EBE" w:rsidRPr="001F2C78">
        <w:t xml:space="preserve"> </w:t>
      </w:r>
      <w:r w:rsidRPr="001F2C78">
        <w:t>is effectively a non-starter for the</w:t>
      </w:r>
      <w:r w:rsidR="00FA2EBE" w:rsidRPr="001F2C78">
        <w:t xml:space="preserve"> </w:t>
      </w:r>
      <w:proofErr w:type="spellStart"/>
      <w:r w:rsidR="0037470E">
        <w:t>GoB</w:t>
      </w:r>
      <w:proofErr w:type="spellEnd"/>
      <w:r w:rsidR="00FA2EBE" w:rsidRPr="001F2C78">
        <w:t>. Th</w:t>
      </w:r>
      <w:r w:rsidRPr="001F2C78">
        <w:t>at a Westminster</w:t>
      </w:r>
      <w:r w:rsidR="00707F06">
        <w:t>-</w:t>
      </w:r>
      <w:r w:rsidR="006A2F79">
        <w:t>modelled</w:t>
      </w:r>
      <w:r w:rsidR="006A2F79" w:rsidRPr="001F2C78">
        <w:t xml:space="preserve"> </w:t>
      </w:r>
      <w:r w:rsidRPr="001F2C78">
        <w:t>state</w:t>
      </w:r>
      <w:r w:rsidR="00160786">
        <w:t xml:space="preserve"> (i.e. mode of governance devised by the British Empire)</w:t>
      </w:r>
      <w:r w:rsidR="00FA2EBE" w:rsidRPr="001F2C78">
        <w:t xml:space="preserve"> </w:t>
      </w:r>
      <w:r w:rsidRPr="001F2C78">
        <w:t>refused to acknowledge village-sanctioned Indigenous</w:t>
      </w:r>
      <w:r w:rsidR="00FA2EBE" w:rsidRPr="001F2C78">
        <w:t xml:space="preserve"> representatives during </w:t>
      </w:r>
      <w:r w:rsidRPr="001F2C78">
        <w:t>a</w:t>
      </w:r>
      <w:r w:rsidR="00FA2EBE" w:rsidRPr="001F2C78">
        <w:t xml:space="preserve"> </w:t>
      </w:r>
      <w:r w:rsidRPr="001F2C78">
        <w:t xml:space="preserve">court </w:t>
      </w:r>
      <w:r w:rsidR="00FA2EBE" w:rsidRPr="001F2C78">
        <w:t>mandated consultation process</w:t>
      </w:r>
      <w:r w:rsidRPr="001F2C78">
        <w:t xml:space="preserve"> is</w:t>
      </w:r>
      <w:r w:rsidR="00DE100C">
        <w:t xml:space="preserve"> also</w:t>
      </w:r>
      <w:r w:rsidRPr="001F2C78">
        <w:t xml:space="preserve"> telling apropos the ongoing colonial logics and </w:t>
      </w:r>
      <w:r w:rsidR="00707F06">
        <w:t>liberal-Western</w:t>
      </w:r>
      <w:r w:rsidRPr="001F2C78">
        <w:t xml:space="preserve"> </w:t>
      </w:r>
      <w:r w:rsidR="00707F06">
        <w:t>ideology</w:t>
      </w:r>
      <w:r w:rsidR="00707F06" w:rsidRPr="001F2C78">
        <w:t xml:space="preserve"> </w:t>
      </w:r>
      <w:r w:rsidRPr="001F2C78">
        <w:t xml:space="preserve">with which it governs. Moreover, the </w:t>
      </w:r>
      <w:proofErr w:type="spellStart"/>
      <w:r w:rsidR="0037470E">
        <w:t>GoB</w:t>
      </w:r>
      <w:proofErr w:type="spellEnd"/>
      <w:r w:rsidRPr="001F2C78">
        <w:t xml:space="preserve">, which has prioritized </w:t>
      </w:r>
      <w:r w:rsidR="001F2C78">
        <w:t>placing</w:t>
      </w:r>
      <w:r w:rsidRPr="001F2C78">
        <w:t xml:space="preserve"> itself </w:t>
      </w:r>
      <w:r w:rsidR="001F2C78">
        <w:t>in</w:t>
      </w:r>
      <w:r w:rsidRPr="001F2C78">
        <w:t xml:space="preserve"> the service of foreign multi-national corporations</w:t>
      </w:r>
      <w:r w:rsidR="001F2C78">
        <w:t xml:space="preserve"> that are grabbing land and </w:t>
      </w:r>
      <w:r w:rsidR="00DE100C">
        <w:t>resources</w:t>
      </w:r>
      <w:r w:rsidR="00251990">
        <w:t xml:space="preserve"> (Purvis, 2013)</w:t>
      </w:r>
      <w:r w:rsidRPr="001F2C78">
        <w:t xml:space="preserve">, </w:t>
      </w:r>
      <w:r w:rsidR="00FA2EBE" w:rsidRPr="001F2C78">
        <w:t xml:space="preserve">has </w:t>
      </w:r>
      <w:r w:rsidR="001F2C78" w:rsidRPr="001F2C78">
        <w:t xml:space="preserve">continually </w:t>
      </w:r>
      <w:r w:rsidR="00FA2EBE" w:rsidRPr="001F2C78">
        <w:t>dismissed the Maya peoples</w:t>
      </w:r>
      <w:r w:rsidR="001F2C78">
        <w:t>’</w:t>
      </w:r>
      <w:r w:rsidR="00FA2EBE" w:rsidRPr="001F2C78">
        <w:t xml:space="preserve"> right to self-determination </w:t>
      </w:r>
      <w:r w:rsidRPr="001F2C78">
        <w:t>and is operating</w:t>
      </w:r>
      <w:r w:rsidR="001F2C78">
        <w:t>––</w:t>
      </w:r>
      <w:r w:rsidR="001F2C78" w:rsidRPr="001F2C78">
        <w:t>with impunity</w:t>
      </w:r>
      <w:r w:rsidR="001F2C78">
        <w:t>––</w:t>
      </w:r>
      <w:r w:rsidR="00FA2EBE" w:rsidRPr="001F2C78">
        <w:t>in contravention of numerous principles expressed in the UNDRIP.</w:t>
      </w:r>
      <w:r>
        <w:t xml:space="preserve"> </w:t>
      </w:r>
    </w:p>
    <w:p w14:paraId="5F3DF5FB" w14:textId="16388A9E" w:rsidR="00EC0B01" w:rsidRDefault="00EC0B01" w:rsidP="007F51A2">
      <w:pPr>
        <w:pStyle w:val="Heading1"/>
        <w:jc w:val="both"/>
      </w:pPr>
      <w:r>
        <w:t>Necessary Questions</w:t>
      </w:r>
      <w:r w:rsidR="00B254D1">
        <w:t xml:space="preserve"> for a Peaceful Solution</w:t>
      </w:r>
    </w:p>
    <w:p w14:paraId="4B82AAE3" w14:textId="4DCF9F5C" w:rsidR="00EA06E2" w:rsidRDefault="00B254D1" w:rsidP="002D3AF5">
      <w:pPr>
        <w:jc w:val="both"/>
      </w:pPr>
      <w:r w:rsidRPr="003563E9">
        <w:t>Whilst th</w:t>
      </w:r>
      <w:r w:rsidR="003563E9" w:rsidRPr="003563E9">
        <w:t xml:space="preserve">e </w:t>
      </w:r>
      <w:r w:rsidR="00B91D04">
        <w:t>situation</w:t>
      </w:r>
      <w:r w:rsidR="003563E9" w:rsidRPr="003563E9">
        <w:t xml:space="preserve"> between the Maya communities and the </w:t>
      </w:r>
      <w:proofErr w:type="spellStart"/>
      <w:r w:rsidR="0037470E">
        <w:t>GoB</w:t>
      </w:r>
      <w:proofErr w:type="spellEnd"/>
      <w:r w:rsidR="003563E9" w:rsidRPr="003563E9">
        <w:t xml:space="preserve"> is </w:t>
      </w:r>
      <w:r w:rsidRPr="003563E9">
        <w:t xml:space="preserve">seemingly a conflict-laden </w:t>
      </w:r>
      <w:r w:rsidR="003563E9" w:rsidRPr="003563E9">
        <w:t>affair on account of the litany of</w:t>
      </w:r>
      <w:r w:rsidR="00714EC9">
        <w:t xml:space="preserve"> state-sanctioned</w:t>
      </w:r>
      <w:r w:rsidR="003563E9" w:rsidRPr="003563E9">
        <w:t xml:space="preserve"> rights violations, there are numerous </w:t>
      </w:r>
      <w:r w:rsidR="008A38E1">
        <w:t>avenues</w:t>
      </w:r>
      <w:r w:rsidR="003563E9" w:rsidRPr="003563E9">
        <w:t xml:space="preserve"> </w:t>
      </w:r>
      <w:r w:rsidR="00417E21">
        <w:t>for</w:t>
      </w:r>
      <w:r w:rsidR="003563E9" w:rsidRPr="003563E9">
        <w:t xml:space="preserve"> a peaceful </w:t>
      </w:r>
      <w:r w:rsidR="00B91D04" w:rsidRPr="003563E9">
        <w:t>resolution</w:t>
      </w:r>
      <w:r w:rsidR="003563E9" w:rsidRPr="003563E9">
        <w:t xml:space="preserve">. </w:t>
      </w:r>
      <w:r w:rsidR="008A38E1">
        <w:t>Charting a course towards</w:t>
      </w:r>
      <w:r w:rsidR="00714EC9">
        <w:t xml:space="preserve"> </w:t>
      </w:r>
      <w:r w:rsidR="007325D1">
        <w:t>conflict</w:t>
      </w:r>
      <w:r w:rsidR="00714EC9">
        <w:t>-attenuating</w:t>
      </w:r>
      <w:r w:rsidR="00417E21">
        <w:t xml:space="preserve"> concrete action</w:t>
      </w:r>
      <w:r w:rsidR="008A38E1">
        <w:t xml:space="preserve"> and </w:t>
      </w:r>
      <w:r w:rsidR="00370CA3">
        <w:t>eventual</w:t>
      </w:r>
      <w:r w:rsidR="008A38E1">
        <w:t xml:space="preserve"> </w:t>
      </w:r>
      <w:r w:rsidR="00D15AAC">
        <w:t xml:space="preserve">lasting </w:t>
      </w:r>
      <w:r w:rsidR="008A38E1">
        <w:t>peace, however, must</w:t>
      </w:r>
      <w:r w:rsidR="003563E9" w:rsidRPr="003563E9">
        <w:t xml:space="preserve"> begin with</w:t>
      </w:r>
      <w:r w:rsidR="008A38E1">
        <w:t xml:space="preserve"> </w:t>
      </w:r>
      <w:r w:rsidR="00417E21">
        <w:t xml:space="preserve">finding some </w:t>
      </w:r>
      <w:r w:rsidR="008A38E1">
        <w:t>earnes</w:t>
      </w:r>
      <w:r w:rsidR="00417E21">
        <w:t>t</w:t>
      </w:r>
      <w:r w:rsidR="008A38E1">
        <w:t xml:space="preserve"> answer</w:t>
      </w:r>
      <w:r w:rsidR="00417E21">
        <w:t>s</w:t>
      </w:r>
      <w:r w:rsidR="008A38E1">
        <w:t xml:space="preserve"> to a host of necessary </w:t>
      </w:r>
      <w:r w:rsidR="003563E9" w:rsidRPr="003563E9">
        <w:t>questions</w:t>
      </w:r>
      <w:r w:rsidR="008A38E1">
        <w:t>.</w:t>
      </w:r>
      <w:r w:rsidR="003563E9" w:rsidRPr="003563E9">
        <w:t xml:space="preserve"> </w:t>
      </w:r>
      <w:r w:rsidR="00B91D04">
        <w:t xml:space="preserve">A </w:t>
      </w:r>
      <w:r w:rsidR="007203BE">
        <w:t>partial list</w:t>
      </w:r>
      <w:r w:rsidR="00B91D04">
        <w:t xml:space="preserve"> of these queries, </w:t>
      </w:r>
      <w:r w:rsidR="00FD36DF">
        <w:t xml:space="preserve">which can be </w:t>
      </w:r>
      <w:r w:rsidR="00EA06E2">
        <w:t xml:space="preserve">derived by looking </w:t>
      </w:r>
      <w:r w:rsidR="003F4284">
        <w:t>to</w:t>
      </w:r>
      <w:r w:rsidR="0013618B">
        <w:t xml:space="preserve"> </w:t>
      </w:r>
      <w:r w:rsidR="00FD36DF">
        <w:t xml:space="preserve">grassroots </w:t>
      </w:r>
      <w:r w:rsidR="0013618B">
        <w:t xml:space="preserve">land defenders </w:t>
      </w:r>
      <w:r w:rsidR="00FD36DF">
        <w:t>(</w:t>
      </w:r>
      <w:r w:rsidR="00B1510E">
        <w:t>MLA 2018</w:t>
      </w:r>
      <w:r w:rsidR="00FD36DF">
        <w:t>)</w:t>
      </w:r>
      <w:r w:rsidR="00B91D04">
        <w:t xml:space="preserve">, are as follows: </w:t>
      </w:r>
    </w:p>
    <w:p w14:paraId="318107E4" w14:textId="11BEFB48" w:rsidR="00A6518E" w:rsidRPr="00EA06E2" w:rsidRDefault="00A6518E" w:rsidP="002D3AF5">
      <w:pPr>
        <w:pStyle w:val="Quote"/>
        <w:numPr>
          <w:ilvl w:val="0"/>
          <w:numId w:val="1"/>
        </w:numPr>
        <w:ind w:left="720" w:hanging="270"/>
      </w:pPr>
      <w:r>
        <w:t xml:space="preserve">Why has the </w:t>
      </w:r>
      <w:proofErr w:type="spellStart"/>
      <w:r w:rsidR="0037470E">
        <w:t>GoB</w:t>
      </w:r>
      <w:proofErr w:type="spellEnd"/>
      <w:r>
        <w:t xml:space="preserve"> persisted in failing to </w:t>
      </w:r>
      <w:r w:rsidRPr="00EA06E2">
        <w:t xml:space="preserve">recognize and publicly support the validity of Maya customary rights over lands and resources, in accordance with the report of the </w:t>
      </w:r>
      <w:r>
        <w:t>IACHR</w:t>
      </w:r>
      <w:r w:rsidRPr="00EA06E2">
        <w:t xml:space="preserve"> and judgments of the Supreme Court </w:t>
      </w:r>
      <w:r>
        <w:t>and CCJ?</w:t>
      </w:r>
    </w:p>
    <w:p w14:paraId="07D47C70" w14:textId="25ED2CF4" w:rsidR="003F4284" w:rsidRDefault="00034AAE" w:rsidP="002D3AF5">
      <w:pPr>
        <w:pStyle w:val="Quote"/>
        <w:numPr>
          <w:ilvl w:val="0"/>
          <w:numId w:val="1"/>
        </w:numPr>
        <w:ind w:left="720" w:hanging="270"/>
      </w:pPr>
      <w:r w:rsidRPr="00EA06E2">
        <w:t xml:space="preserve">What is preventing the </w:t>
      </w:r>
      <w:proofErr w:type="spellStart"/>
      <w:r w:rsidR="0037470E">
        <w:t>GoB</w:t>
      </w:r>
      <w:proofErr w:type="spellEnd"/>
      <w:r w:rsidRPr="00EA06E2">
        <w:t xml:space="preserve"> from acting in good faith and </w:t>
      </w:r>
      <w:r w:rsidR="003F4284">
        <w:t>consulting Maya communities, on their terms and preferences, on issues of land and resource use</w:t>
      </w:r>
      <w:r w:rsidRPr="00EA06E2">
        <w:t>?</w:t>
      </w:r>
    </w:p>
    <w:p w14:paraId="0840F31D" w14:textId="016F08D1" w:rsidR="00EA06E2" w:rsidRDefault="00B1510E" w:rsidP="002D3AF5">
      <w:pPr>
        <w:pStyle w:val="Quote"/>
        <w:numPr>
          <w:ilvl w:val="0"/>
          <w:numId w:val="1"/>
        </w:numPr>
        <w:ind w:left="720" w:hanging="270"/>
      </w:pPr>
      <w:r>
        <w:t xml:space="preserve">What can be done to ensure that the </w:t>
      </w:r>
      <w:proofErr w:type="spellStart"/>
      <w:r w:rsidR="0037470E">
        <w:t>GoB</w:t>
      </w:r>
      <w:r w:rsidR="00D15AAC">
        <w:t>’s</w:t>
      </w:r>
      <w:proofErr w:type="spellEnd"/>
      <w:r w:rsidR="00D15AAC">
        <w:t xml:space="preserve"> </w:t>
      </w:r>
      <w:proofErr w:type="spellStart"/>
      <w:r>
        <w:t>TMLRC</w:t>
      </w:r>
      <w:proofErr w:type="spellEnd"/>
      <w:r w:rsidR="00043A44" w:rsidRPr="00EA06E2">
        <w:t xml:space="preserve"> work</w:t>
      </w:r>
      <w:r w:rsidR="00D15AAC">
        <w:t>s</w:t>
      </w:r>
      <w:r w:rsidR="00043A44" w:rsidRPr="00EA06E2">
        <w:t xml:space="preserve"> in</w:t>
      </w:r>
      <w:r w:rsidR="00D15AAC">
        <w:t xml:space="preserve"> </w:t>
      </w:r>
      <w:r w:rsidR="00043A44" w:rsidRPr="00EA06E2">
        <w:t>partnership with the MLA</w:t>
      </w:r>
      <w:r>
        <w:t xml:space="preserve"> and TAA</w:t>
      </w:r>
      <w:r w:rsidR="00043A44" w:rsidRPr="00EA06E2">
        <w:t xml:space="preserve"> to adopt meaningful consultation policies</w:t>
      </w:r>
      <w:r>
        <w:t xml:space="preserve"> related to the </w:t>
      </w:r>
      <w:r w:rsidR="00D15AAC">
        <w:t>court ordered</w:t>
      </w:r>
      <w:r>
        <w:t xml:space="preserve"> land delimitation, demarcation, and titling processes?</w:t>
      </w:r>
    </w:p>
    <w:p w14:paraId="5D84E581" w14:textId="26882730" w:rsidR="00D15AAC" w:rsidRPr="00D15AAC" w:rsidRDefault="00D15AAC" w:rsidP="002D3AF5">
      <w:pPr>
        <w:pStyle w:val="Quote"/>
        <w:numPr>
          <w:ilvl w:val="0"/>
          <w:numId w:val="1"/>
        </w:numPr>
        <w:ind w:left="720" w:hanging="270"/>
      </w:pPr>
      <w:r w:rsidRPr="00EA06E2">
        <w:t>Wh</w:t>
      </w:r>
      <w:r>
        <w:t xml:space="preserve">at is needed in order for the </w:t>
      </w:r>
      <w:proofErr w:type="spellStart"/>
      <w:r w:rsidR="0037470E">
        <w:t>GoB</w:t>
      </w:r>
      <w:proofErr w:type="spellEnd"/>
      <w:r>
        <w:t xml:space="preserve"> to </w:t>
      </w:r>
      <w:r w:rsidR="00A6518E">
        <w:t>r</w:t>
      </w:r>
      <w:r w:rsidR="00A6518E" w:rsidRPr="00EA06E2">
        <w:t>ecognize Maya customary governance</w:t>
      </w:r>
      <w:r w:rsidR="00A6518E">
        <w:t xml:space="preserve"> (the </w:t>
      </w:r>
      <w:r w:rsidR="00A6518E" w:rsidRPr="00EA06E2">
        <w:t>Alcaldes</w:t>
      </w:r>
      <w:r w:rsidR="00A6518E">
        <w:t xml:space="preserve">) and </w:t>
      </w:r>
      <w:r w:rsidRPr="00EA06E2">
        <w:t xml:space="preserve">adapt </w:t>
      </w:r>
      <w:r>
        <w:t>the</w:t>
      </w:r>
      <w:r w:rsidR="005B48E6">
        <w:t xml:space="preserve"> consultation</w:t>
      </w:r>
      <w:r>
        <w:t xml:space="preserve"> </w:t>
      </w:r>
      <w:r w:rsidR="005B48E6">
        <w:t>f</w:t>
      </w:r>
      <w:r>
        <w:t>ramework</w:t>
      </w:r>
      <w:r w:rsidR="005B48E6">
        <w:t xml:space="preserve"> the Maya have developed</w:t>
      </w:r>
      <w:r>
        <w:t xml:space="preserve"> apropos</w:t>
      </w:r>
      <w:r w:rsidRPr="00EA06E2">
        <w:t xml:space="preserve"> </w:t>
      </w:r>
      <w:r>
        <w:t>FPIC</w:t>
      </w:r>
      <w:r w:rsidRPr="00EA06E2">
        <w:t>?</w:t>
      </w:r>
    </w:p>
    <w:p w14:paraId="6822710B" w14:textId="3B35E071" w:rsidR="007203BE" w:rsidRDefault="00A6518E" w:rsidP="002D3AF5">
      <w:pPr>
        <w:pStyle w:val="Quote"/>
        <w:numPr>
          <w:ilvl w:val="0"/>
          <w:numId w:val="1"/>
        </w:numPr>
        <w:ind w:left="720" w:hanging="270"/>
      </w:pPr>
      <w:r>
        <w:t xml:space="preserve">What might motivate the </w:t>
      </w:r>
      <w:proofErr w:type="spellStart"/>
      <w:r w:rsidR="0037470E">
        <w:t>GoB</w:t>
      </w:r>
      <w:proofErr w:type="spellEnd"/>
      <w:r>
        <w:t xml:space="preserve"> to </w:t>
      </w:r>
      <w:r w:rsidR="00043A44" w:rsidRPr="00EA06E2">
        <w:t>repair the environmental damage</w:t>
      </w:r>
      <w:r>
        <w:t xml:space="preserve"> that has</w:t>
      </w:r>
      <w:r w:rsidR="00043A44" w:rsidRPr="00EA06E2">
        <w:t xml:space="preserve"> result</w:t>
      </w:r>
      <w:r>
        <w:t>ed</w:t>
      </w:r>
      <w:r w:rsidR="00043A44" w:rsidRPr="00EA06E2">
        <w:t xml:space="preserve"> from logging concessions and</w:t>
      </w:r>
      <w:r>
        <w:t xml:space="preserve"> oil</w:t>
      </w:r>
      <w:r w:rsidR="00043A44" w:rsidRPr="00EA06E2">
        <w:t xml:space="preserve"> leases</w:t>
      </w:r>
      <w:r>
        <w:t xml:space="preserve"> it has</w:t>
      </w:r>
      <w:r w:rsidR="00043A44" w:rsidRPr="00EA06E2">
        <w:t xml:space="preserve"> </w:t>
      </w:r>
      <w:r>
        <w:t>offered sans FPIC</w:t>
      </w:r>
      <w:r w:rsidR="00043A44" w:rsidRPr="00EA06E2">
        <w:t xml:space="preserve"> on Maya lands</w:t>
      </w:r>
      <w:r>
        <w:t>?</w:t>
      </w:r>
    </w:p>
    <w:p w14:paraId="1EED1131" w14:textId="4C2C7785" w:rsidR="007203BE" w:rsidRPr="007203BE" w:rsidRDefault="007203BE" w:rsidP="00391875">
      <w:pPr>
        <w:jc w:val="both"/>
      </w:pPr>
      <w:r w:rsidRPr="009B1BB3">
        <w:t xml:space="preserve">Ultimately, the </w:t>
      </w:r>
      <w:r w:rsidR="005A3801">
        <w:t>escalating tension resulting from</w:t>
      </w:r>
      <w:r w:rsidRPr="009B1BB3">
        <w:t xml:space="preserve"> </w:t>
      </w:r>
      <w:r w:rsidR="00370CA3" w:rsidRPr="009B1BB3">
        <w:t>land</w:t>
      </w:r>
      <w:r w:rsidR="007325D1">
        <w:t>-</w:t>
      </w:r>
      <w:r w:rsidR="009B1BB3" w:rsidRPr="009B1BB3">
        <w:t>g</w:t>
      </w:r>
      <w:r w:rsidR="00370CA3" w:rsidRPr="009B1BB3">
        <w:t>rabbing, FPIC violations, and human rights</w:t>
      </w:r>
      <w:r w:rsidR="007325D1">
        <w:t xml:space="preserve"> infringements</w:t>
      </w:r>
      <w:r w:rsidR="00370CA3" w:rsidRPr="009B1BB3">
        <w:t xml:space="preserve"> </w:t>
      </w:r>
      <w:r w:rsidR="009B1BB3" w:rsidRPr="009B1BB3">
        <w:t>on</w:t>
      </w:r>
      <w:r w:rsidRPr="009B1BB3">
        <w:t xml:space="preserve"> </w:t>
      </w:r>
      <w:r w:rsidR="00370CA3" w:rsidRPr="009B1BB3">
        <w:t>the</w:t>
      </w:r>
      <w:r w:rsidR="009B1BB3" w:rsidRPr="009B1BB3">
        <w:t xml:space="preserve"> part of </w:t>
      </w:r>
      <w:r w:rsidR="002502E8">
        <w:t>the</w:t>
      </w:r>
      <w:r w:rsidR="00370CA3" w:rsidRPr="009B1BB3">
        <w:t xml:space="preserve"> </w:t>
      </w:r>
      <w:proofErr w:type="spellStart"/>
      <w:r w:rsidR="00370CA3" w:rsidRPr="009B1BB3">
        <w:t>GoB</w:t>
      </w:r>
      <w:proofErr w:type="spellEnd"/>
      <w:r w:rsidR="009B1BB3" w:rsidRPr="009B1BB3">
        <w:t xml:space="preserve"> and corporate extractors</w:t>
      </w:r>
      <w:r w:rsidRPr="009B1BB3">
        <w:t xml:space="preserve"> will persist until </w:t>
      </w:r>
      <w:r w:rsidR="009B1BB3" w:rsidRPr="009B1BB3">
        <w:t>each</w:t>
      </w:r>
      <w:r w:rsidR="00370CA3" w:rsidRPr="009B1BB3">
        <w:t xml:space="preserve"> </w:t>
      </w:r>
      <w:r w:rsidR="009B1BB3" w:rsidRPr="009B1BB3">
        <w:t>are disciplined by</w:t>
      </w:r>
      <w:r w:rsidR="005A3801">
        <w:t xml:space="preserve"> a recognition of </w:t>
      </w:r>
      <w:r w:rsidR="009B1BB3" w:rsidRPr="009B1BB3">
        <w:t xml:space="preserve">Indigenous </w:t>
      </w:r>
      <w:r w:rsidR="007325D1">
        <w:t>sovereignty</w:t>
      </w:r>
      <w:r w:rsidR="009B1BB3" w:rsidRPr="009B1BB3">
        <w:t xml:space="preserve"> and</w:t>
      </w:r>
      <w:r w:rsidR="005A3801">
        <w:t xml:space="preserve"> good faith commitment to Maya</w:t>
      </w:r>
      <w:r w:rsidR="009B1BB3" w:rsidRPr="009B1BB3">
        <w:t xml:space="preserve"> autonomy. </w:t>
      </w:r>
      <w:r w:rsidR="00567228">
        <w:t>In terms of solutions, then, the most effective</w:t>
      </w:r>
      <w:r w:rsidR="00391875">
        <w:t xml:space="preserve"> starting point begins with consulting the Maya communities</w:t>
      </w:r>
      <w:r w:rsidR="00D61F3D">
        <w:t>––</w:t>
      </w:r>
      <w:r w:rsidR="00391875">
        <w:t xml:space="preserve">on their terms and preferences. Here, the </w:t>
      </w:r>
      <w:r w:rsidR="00D61F3D">
        <w:t xml:space="preserve">onus for a fulsome </w:t>
      </w:r>
      <w:r w:rsidR="00391875">
        <w:t xml:space="preserve">peacebuilding process </w:t>
      </w:r>
      <w:r w:rsidR="00D61F3D">
        <w:t xml:space="preserve">is on </w:t>
      </w:r>
      <w:r w:rsidR="00391875">
        <w:t xml:space="preserve">the state. That is, </w:t>
      </w:r>
      <w:r w:rsidR="00D61F3D">
        <w:t xml:space="preserve">the </w:t>
      </w:r>
      <w:proofErr w:type="spellStart"/>
      <w:r w:rsidR="00D61F3D">
        <w:t>GoB</w:t>
      </w:r>
      <w:proofErr w:type="spellEnd"/>
      <w:r w:rsidR="00D61F3D">
        <w:t xml:space="preserve"> </w:t>
      </w:r>
      <w:r w:rsidR="00391875">
        <w:t xml:space="preserve">must </w:t>
      </w:r>
      <w:r w:rsidR="00391875" w:rsidRPr="00391875">
        <w:t>cease from</w:t>
      </w:r>
      <w:r w:rsidR="00901A97">
        <w:t xml:space="preserve"> encroaching upon and/or</w:t>
      </w:r>
      <w:r w:rsidR="00391875" w:rsidRPr="00391875">
        <w:t xml:space="preserve"> permitting</w:t>
      </w:r>
      <w:r w:rsidR="00391875">
        <w:t xml:space="preserve"> </w:t>
      </w:r>
      <w:r w:rsidR="00391875" w:rsidRPr="00391875">
        <w:t xml:space="preserve">third parties to </w:t>
      </w:r>
      <w:r w:rsidR="00901A97">
        <w:t xml:space="preserve">intrude into </w:t>
      </w:r>
      <w:r w:rsidR="00391875">
        <w:t xml:space="preserve">the lands of the </w:t>
      </w:r>
      <w:r w:rsidR="00391875" w:rsidRPr="00391875">
        <w:t>Maya people</w:t>
      </w:r>
      <w:r w:rsidR="00391875">
        <w:t xml:space="preserve">, not to mention </w:t>
      </w:r>
      <w:r w:rsidR="00901A97">
        <w:t xml:space="preserve">must </w:t>
      </w:r>
      <w:r w:rsidR="00391875">
        <w:t>a</w:t>
      </w:r>
      <w:r w:rsidR="00391875" w:rsidRPr="00391875">
        <w:t xml:space="preserve">cknowledge and endorse the Maya customary </w:t>
      </w:r>
      <w:r w:rsidR="00901A97">
        <w:t>form</w:t>
      </w:r>
      <w:r w:rsidR="00901A97" w:rsidRPr="00391875">
        <w:t xml:space="preserve"> </w:t>
      </w:r>
      <w:r w:rsidR="00391875" w:rsidRPr="00391875">
        <w:t>of governance</w:t>
      </w:r>
      <w:r w:rsidR="00391875">
        <w:t>––</w:t>
      </w:r>
      <w:r w:rsidR="00391875" w:rsidRPr="00391875">
        <w:t>the Alcalde</w:t>
      </w:r>
      <w:r w:rsidR="002D5F86">
        <w:t>s</w:t>
      </w:r>
      <w:r w:rsidR="003F6717">
        <w:t>.</w:t>
      </w:r>
    </w:p>
    <w:p w14:paraId="3AAA710D" w14:textId="77777777" w:rsidR="00AB79A0" w:rsidRDefault="00AB79A0" w:rsidP="005B1AE4">
      <w:pPr>
        <w:rPr>
          <w:b/>
          <w:bCs/>
        </w:rPr>
      </w:pPr>
      <w:r>
        <w:br w:type="page"/>
      </w:r>
    </w:p>
    <w:p w14:paraId="536A41C1" w14:textId="4DDD3797" w:rsidR="00B970B0" w:rsidRDefault="00B970B0" w:rsidP="005B1AE4">
      <w:pPr>
        <w:pStyle w:val="Heading1"/>
        <w:jc w:val="both"/>
      </w:pPr>
      <w:r>
        <w:lastRenderedPageBreak/>
        <w:t xml:space="preserve">Funding </w:t>
      </w:r>
      <w:r w:rsidR="00E829D7">
        <w:t>Acknowledgement</w:t>
      </w:r>
    </w:p>
    <w:p w14:paraId="1BC99F08" w14:textId="59AE471D" w:rsidR="00B970B0" w:rsidRDefault="00A11080" w:rsidP="003F6C73">
      <w:pPr>
        <w:jc w:val="both"/>
      </w:pPr>
      <w:r w:rsidRPr="00A11080">
        <w:t>This work was supported by a Heritage, Dignity, and Violence Programme Grant from the British Academy under the UK’s Global Challenges Research Fund</w:t>
      </w:r>
      <w:r w:rsidR="004F709B">
        <w:t xml:space="preserve"> </w:t>
      </w:r>
      <w:r w:rsidR="004F709B" w:rsidRPr="00A11080">
        <w:t>(Award: HDV190078)</w:t>
      </w:r>
      <w:r w:rsidRPr="00A11080">
        <w:t>.</w:t>
      </w:r>
    </w:p>
    <w:p w14:paraId="0DEAFD14" w14:textId="0AFB9E11" w:rsidR="003F6C73" w:rsidRDefault="003F6C73" w:rsidP="003F6C73">
      <w:pPr>
        <w:jc w:val="both"/>
      </w:pPr>
    </w:p>
    <w:p w14:paraId="47A1FB54" w14:textId="77777777" w:rsidR="003F6C73" w:rsidRPr="00D96113" w:rsidRDefault="003F6C73" w:rsidP="003F6C73">
      <w:pPr>
        <w:jc w:val="both"/>
        <w:rPr>
          <w:rFonts w:ascii="Times" w:hAnsi="Times"/>
          <w:lang w:val="en-US"/>
        </w:rPr>
      </w:pPr>
    </w:p>
    <w:p w14:paraId="2C33A5E0" w14:textId="77777777" w:rsidR="003F6C73" w:rsidRPr="00D96113" w:rsidRDefault="003F6C73" w:rsidP="003F6C73">
      <w:pPr>
        <w:pStyle w:val="Heading1"/>
        <w:spacing w:before="0" w:after="0"/>
        <w:rPr>
          <w:rFonts w:ascii="Times" w:hAnsi="Times"/>
        </w:rPr>
      </w:pPr>
      <w:r w:rsidRPr="00D96113">
        <w:rPr>
          <w:rFonts w:ascii="Times" w:hAnsi="Times"/>
        </w:rPr>
        <w:t>Author Bios:</w:t>
      </w:r>
    </w:p>
    <w:p w14:paraId="546F4C7A" w14:textId="3A5D5E56" w:rsidR="003F6C73" w:rsidRPr="00D96113" w:rsidRDefault="003F6C73" w:rsidP="003F6C73">
      <w:pPr>
        <w:jc w:val="both"/>
        <w:rPr>
          <w:rFonts w:ascii="Times" w:hAnsi="Times"/>
          <w:color w:val="000000" w:themeColor="text1"/>
          <w:lang w:val="en-US"/>
        </w:rPr>
      </w:pPr>
      <w:r w:rsidRPr="00D96113">
        <w:rPr>
          <w:rFonts w:ascii="Times" w:hAnsi="Times"/>
          <w:color w:val="000000" w:themeColor="text1"/>
          <w:lang w:val="en-US"/>
        </w:rPr>
        <w:t>Levi Gahman</w:t>
      </w:r>
      <w:r>
        <w:rPr>
          <w:rFonts w:ascii="Times" w:hAnsi="Times"/>
          <w:color w:val="000000" w:themeColor="text1"/>
          <w:lang w:val="en-US"/>
        </w:rPr>
        <w:t xml:space="preserve"> is the author of </w:t>
      </w:r>
      <w:r w:rsidRPr="00382BB5">
        <w:rPr>
          <w:rFonts w:ascii="Times" w:hAnsi="Times"/>
          <w:i/>
          <w:iCs/>
          <w:color w:val="000000" w:themeColor="text1"/>
          <w:lang w:val="en-US"/>
        </w:rPr>
        <w:t>Land, God, and Guns</w:t>
      </w:r>
      <w:r>
        <w:rPr>
          <w:rFonts w:ascii="Times" w:hAnsi="Times"/>
          <w:color w:val="000000" w:themeColor="text1"/>
          <w:lang w:val="en-US"/>
        </w:rPr>
        <w:t xml:space="preserve"> (Zed Scholar). His research focuses on autonomous</w:t>
      </w:r>
      <w:r w:rsidRPr="00382BB5">
        <w:rPr>
          <w:rFonts w:ascii="Times" w:hAnsi="Times"/>
          <w:color w:val="000000" w:themeColor="text1"/>
          <w:lang w:val="en-US"/>
        </w:rPr>
        <w:t xml:space="preserve"> </w:t>
      </w:r>
      <w:r>
        <w:rPr>
          <w:rFonts w:ascii="Times" w:hAnsi="Times"/>
          <w:color w:val="000000" w:themeColor="text1"/>
          <w:lang w:val="en-US"/>
        </w:rPr>
        <w:t xml:space="preserve">social movements, emancipatory praxis, </w:t>
      </w:r>
      <w:r w:rsidRPr="00D96113">
        <w:rPr>
          <w:rFonts w:ascii="Times" w:hAnsi="Times"/>
          <w:color w:val="000000" w:themeColor="text1"/>
          <w:lang w:val="en-US"/>
        </w:rPr>
        <w:t xml:space="preserve">and </w:t>
      </w:r>
      <w:r w:rsidR="0002528F">
        <w:rPr>
          <w:rFonts w:ascii="Times" w:hAnsi="Times"/>
          <w:color w:val="000000" w:themeColor="text1"/>
          <w:lang w:val="en-US"/>
        </w:rPr>
        <w:t>mutual aid</w:t>
      </w:r>
      <w:r w:rsidRPr="00D96113">
        <w:rPr>
          <w:rFonts w:ascii="Times" w:hAnsi="Times"/>
          <w:color w:val="000000" w:themeColor="text1"/>
          <w:lang w:val="en-US"/>
        </w:rPr>
        <w:t>.</w:t>
      </w:r>
      <w:r>
        <w:rPr>
          <w:rFonts w:ascii="Times" w:hAnsi="Times"/>
          <w:color w:val="000000" w:themeColor="text1"/>
          <w:lang w:val="en-US"/>
        </w:rPr>
        <w:t xml:space="preserve"> </w:t>
      </w:r>
    </w:p>
    <w:p w14:paraId="4CD5D6CF" w14:textId="77777777" w:rsidR="003F6C73" w:rsidRPr="00D96113" w:rsidRDefault="003F6C73" w:rsidP="003F6C73">
      <w:pPr>
        <w:jc w:val="both"/>
        <w:rPr>
          <w:rFonts w:ascii="Times" w:hAnsi="Times"/>
          <w:color w:val="000000" w:themeColor="text1"/>
          <w:lang w:val="en-US"/>
        </w:rPr>
      </w:pPr>
    </w:p>
    <w:p w14:paraId="429EB205" w14:textId="6DEB8EF0" w:rsidR="003F6C73" w:rsidRDefault="003F6C73" w:rsidP="003F6C73">
      <w:pPr>
        <w:jc w:val="both"/>
        <w:rPr>
          <w:rFonts w:ascii="Times" w:hAnsi="Times"/>
          <w:color w:val="000000" w:themeColor="text1"/>
          <w:lang w:val="en-US"/>
        </w:rPr>
      </w:pPr>
      <w:r w:rsidRPr="00D96113">
        <w:rPr>
          <w:rFonts w:ascii="Times" w:hAnsi="Times"/>
          <w:color w:val="000000" w:themeColor="text1"/>
          <w:lang w:val="en-US"/>
        </w:rPr>
        <w:t>Adaeze Greenidge is a</w:t>
      </w:r>
      <w:r>
        <w:rPr>
          <w:rFonts w:ascii="Times" w:hAnsi="Times"/>
          <w:color w:val="000000" w:themeColor="text1"/>
          <w:lang w:val="en-US"/>
        </w:rPr>
        <w:t xml:space="preserve"> community </w:t>
      </w:r>
      <w:r w:rsidRPr="00D96113">
        <w:rPr>
          <w:rFonts w:ascii="Times" w:hAnsi="Times"/>
          <w:color w:val="000000" w:themeColor="text1"/>
          <w:lang w:val="en-US"/>
        </w:rPr>
        <w:t>volunteer working on issues of environmental awareness, gender justice, and mental health.</w:t>
      </w:r>
    </w:p>
    <w:p w14:paraId="5D203618" w14:textId="77777777" w:rsidR="003F6C73" w:rsidRDefault="003F6C73" w:rsidP="003F6C73">
      <w:pPr>
        <w:jc w:val="both"/>
        <w:rPr>
          <w:rFonts w:ascii="Times" w:hAnsi="Times"/>
          <w:color w:val="000000" w:themeColor="text1"/>
          <w:lang w:val="en-US"/>
        </w:rPr>
      </w:pPr>
    </w:p>
    <w:p w14:paraId="37C80D1D" w14:textId="70F9CD69" w:rsidR="003F6C73" w:rsidRPr="00D96113" w:rsidRDefault="003F6C73" w:rsidP="003F6C73">
      <w:pPr>
        <w:jc w:val="both"/>
        <w:rPr>
          <w:rFonts w:ascii="Times" w:hAnsi="Times"/>
          <w:color w:val="000000" w:themeColor="text1"/>
          <w:lang w:val="en-US"/>
        </w:rPr>
      </w:pPr>
      <w:proofErr w:type="spellStart"/>
      <w:r>
        <w:rPr>
          <w:rFonts w:ascii="Times" w:hAnsi="Times"/>
          <w:color w:val="000000" w:themeColor="text1"/>
          <w:lang w:val="en-US"/>
        </w:rPr>
        <w:t>Atiyah</w:t>
      </w:r>
      <w:proofErr w:type="spellEnd"/>
      <w:r>
        <w:rPr>
          <w:rFonts w:ascii="Times" w:hAnsi="Times"/>
          <w:color w:val="000000" w:themeColor="text1"/>
          <w:lang w:val="en-US"/>
        </w:rPr>
        <w:t xml:space="preserve"> Mohamed is an independent researcher and community volunteer from Trinidad and Tobago who has conducted research on homelessness, mutual aid, and sense of place.</w:t>
      </w:r>
    </w:p>
    <w:p w14:paraId="71EBB5AF" w14:textId="77777777" w:rsidR="003F6C73" w:rsidRPr="00B970B0" w:rsidRDefault="003F6C73" w:rsidP="005B1AE4">
      <w:pPr>
        <w:jc w:val="both"/>
      </w:pPr>
    </w:p>
    <w:p w14:paraId="481723FB" w14:textId="5D2E4718" w:rsidR="002512DB" w:rsidRDefault="00040B5A" w:rsidP="005B1AE4">
      <w:pPr>
        <w:pStyle w:val="Heading1"/>
        <w:jc w:val="both"/>
      </w:pPr>
      <w:r>
        <w:t>References</w:t>
      </w:r>
    </w:p>
    <w:p w14:paraId="0085A7B8" w14:textId="4123729D" w:rsidR="00741858" w:rsidRPr="006B7F85" w:rsidRDefault="00741858" w:rsidP="005B1AE4">
      <w:pPr>
        <w:ind w:left="540" w:hanging="540"/>
        <w:jc w:val="both"/>
        <w:rPr>
          <w:rFonts w:ascii="Times" w:hAnsi="Times"/>
          <w:color w:val="000000" w:themeColor="text1"/>
        </w:rPr>
      </w:pPr>
      <w:proofErr w:type="spellStart"/>
      <w:r w:rsidRPr="006B7F85">
        <w:rPr>
          <w:rFonts w:ascii="Times" w:hAnsi="Times"/>
          <w:color w:val="000000" w:themeColor="text1"/>
        </w:rPr>
        <w:t>Amandala</w:t>
      </w:r>
      <w:proofErr w:type="spellEnd"/>
      <w:r w:rsidRPr="006B7F85">
        <w:rPr>
          <w:rFonts w:ascii="Times" w:hAnsi="Times"/>
          <w:color w:val="000000" w:themeColor="text1"/>
        </w:rPr>
        <w:t xml:space="preserve"> News. (2016). US Capital gets contract extension—did Toledo Maya acquiesce? </w:t>
      </w:r>
      <w:proofErr w:type="spellStart"/>
      <w:r w:rsidRPr="006B7F85">
        <w:rPr>
          <w:rFonts w:ascii="Times" w:hAnsi="Times"/>
          <w:i/>
          <w:iCs/>
          <w:color w:val="000000" w:themeColor="text1"/>
        </w:rPr>
        <w:t>Amandala</w:t>
      </w:r>
      <w:proofErr w:type="spellEnd"/>
      <w:r w:rsidRPr="006B7F85">
        <w:rPr>
          <w:rFonts w:ascii="Times" w:hAnsi="Times"/>
          <w:i/>
          <w:iCs/>
          <w:color w:val="000000" w:themeColor="text1"/>
        </w:rPr>
        <w:t xml:space="preserve"> News</w:t>
      </w:r>
      <w:r w:rsidRPr="006B7F85">
        <w:rPr>
          <w:rFonts w:ascii="Times" w:hAnsi="Times"/>
          <w:color w:val="000000" w:themeColor="text1"/>
        </w:rPr>
        <w:t xml:space="preserve"> [online]. </w:t>
      </w:r>
      <w:r w:rsidR="009D184D" w:rsidRPr="006B7F85">
        <w:rPr>
          <w:rFonts w:ascii="Times" w:hAnsi="Times"/>
          <w:color w:val="000000" w:themeColor="text1"/>
        </w:rPr>
        <w:t>Retrieved</w:t>
      </w:r>
      <w:r w:rsidRPr="006B7F85">
        <w:rPr>
          <w:rFonts w:ascii="Times" w:hAnsi="Times"/>
          <w:color w:val="000000" w:themeColor="text1"/>
        </w:rPr>
        <w:t xml:space="preserve"> from: https://amandala.com.bz/news/capital-contract-extension-did-toledo-maya-acquiesce/.</w:t>
      </w:r>
    </w:p>
    <w:p w14:paraId="1F76BE31" w14:textId="77777777" w:rsidR="00741858" w:rsidRPr="006B7F85" w:rsidRDefault="00741858" w:rsidP="005B1AE4">
      <w:pPr>
        <w:ind w:left="540" w:hanging="540"/>
        <w:jc w:val="both"/>
        <w:rPr>
          <w:rFonts w:ascii="Times" w:hAnsi="Times"/>
          <w:color w:val="000000" w:themeColor="text1"/>
        </w:rPr>
      </w:pPr>
    </w:p>
    <w:p w14:paraId="3723957C" w14:textId="227FE4BC" w:rsidR="00D02985" w:rsidRPr="006B7F85" w:rsidRDefault="00173E72" w:rsidP="005B1AE4">
      <w:pPr>
        <w:ind w:left="540" w:hanging="540"/>
        <w:jc w:val="both"/>
        <w:rPr>
          <w:rFonts w:ascii="Times" w:hAnsi="Times"/>
          <w:color w:val="000000" w:themeColor="text1"/>
        </w:rPr>
      </w:pPr>
      <w:r w:rsidRPr="006B7F85">
        <w:rPr>
          <w:rFonts w:ascii="Times" w:hAnsi="Times"/>
          <w:color w:val="000000" w:themeColor="text1"/>
        </w:rPr>
        <w:t xml:space="preserve">Anaya, S.J. (2008). Reparations for neglect of Indigenous land rights at the intersection of domestic and international law–The Maya cases in the supreme court of Belize. In F. </w:t>
      </w:r>
      <w:proofErr w:type="spellStart"/>
      <w:r w:rsidRPr="006B7F85">
        <w:rPr>
          <w:rFonts w:ascii="Times" w:hAnsi="Times"/>
          <w:color w:val="000000" w:themeColor="text1"/>
        </w:rPr>
        <w:t>Lenzerini</w:t>
      </w:r>
      <w:proofErr w:type="spellEnd"/>
      <w:r w:rsidRPr="006B7F85">
        <w:rPr>
          <w:rFonts w:ascii="Times" w:hAnsi="Times"/>
          <w:color w:val="000000" w:themeColor="text1"/>
        </w:rPr>
        <w:t xml:space="preserve"> (Ed.) </w:t>
      </w:r>
      <w:r w:rsidRPr="006B7F85">
        <w:rPr>
          <w:rFonts w:ascii="Times" w:hAnsi="Times"/>
          <w:i/>
          <w:iCs/>
          <w:color w:val="000000" w:themeColor="text1"/>
        </w:rPr>
        <w:t>Reparations for Indigenous Peoples: International and Comparative Perspectives</w:t>
      </w:r>
      <w:r w:rsidRPr="006B7F85">
        <w:rPr>
          <w:rFonts w:ascii="Times" w:hAnsi="Times"/>
          <w:color w:val="000000" w:themeColor="text1"/>
        </w:rPr>
        <w:t>. Oxford: Oxford University Press.</w:t>
      </w:r>
    </w:p>
    <w:p w14:paraId="6530CB28" w14:textId="77777777" w:rsidR="002512DB" w:rsidRPr="006B7F85" w:rsidRDefault="002512DB" w:rsidP="005B1AE4">
      <w:pPr>
        <w:jc w:val="both"/>
        <w:rPr>
          <w:rFonts w:ascii="Times" w:hAnsi="Times"/>
          <w:lang w:val="en-US"/>
        </w:rPr>
      </w:pPr>
    </w:p>
    <w:p w14:paraId="20B386F0" w14:textId="3CB9FF98" w:rsidR="00367B66" w:rsidRPr="006B7F85" w:rsidRDefault="002512DB" w:rsidP="005B1AE4">
      <w:pPr>
        <w:ind w:left="540" w:hanging="540"/>
        <w:jc w:val="both"/>
        <w:rPr>
          <w:rFonts w:ascii="Times" w:hAnsi="Times"/>
        </w:rPr>
      </w:pPr>
      <w:r w:rsidRPr="006B7F85">
        <w:rPr>
          <w:rFonts w:ascii="Times" w:hAnsi="Times"/>
        </w:rPr>
        <w:t xml:space="preserve">Campbell, M.S., and Anaya, S.J. (2008). The case of the Maya villages of Belize: </w:t>
      </w:r>
      <w:r w:rsidR="00CB5187" w:rsidRPr="006B7F85">
        <w:rPr>
          <w:rFonts w:ascii="Times" w:hAnsi="Times"/>
        </w:rPr>
        <w:t>R</w:t>
      </w:r>
      <w:r w:rsidRPr="006B7F85">
        <w:rPr>
          <w:rFonts w:ascii="Times" w:hAnsi="Times"/>
        </w:rPr>
        <w:t>eversing the trend of government neglect to secure indigenous land rights. </w:t>
      </w:r>
      <w:r w:rsidRPr="006B7F85">
        <w:rPr>
          <w:rFonts w:ascii="Times" w:hAnsi="Times"/>
          <w:i/>
          <w:iCs/>
        </w:rPr>
        <w:t>Human Rights Law Review</w:t>
      </w:r>
      <w:r w:rsidRPr="006B7F85">
        <w:rPr>
          <w:rFonts w:ascii="Times" w:hAnsi="Times"/>
        </w:rPr>
        <w:t>. 8, 2, 377-399.</w:t>
      </w:r>
    </w:p>
    <w:p w14:paraId="41C0C3D0" w14:textId="77777777" w:rsidR="002952F8" w:rsidRPr="006B7F85" w:rsidRDefault="002952F8" w:rsidP="005B1AE4">
      <w:pPr>
        <w:ind w:left="540" w:hanging="540"/>
        <w:jc w:val="both"/>
        <w:rPr>
          <w:rFonts w:ascii="Times" w:hAnsi="Times"/>
        </w:rPr>
      </w:pPr>
    </w:p>
    <w:p w14:paraId="37591910" w14:textId="1D58ED55" w:rsidR="00A45B50" w:rsidRPr="006B7F85" w:rsidRDefault="006E3E7A" w:rsidP="005B1AE4">
      <w:pPr>
        <w:ind w:left="540" w:hanging="540"/>
        <w:jc w:val="both"/>
        <w:rPr>
          <w:rFonts w:ascii="Times" w:hAnsi="Times"/>
        </w:rPr>
      </w:pPr>
      <w:r w:rsidRPr="006B7F85">
        <w:rPr>
          <w:rFonts w:ascii="Times" w:hAnsi="Times"/>
        </w:rPr>
        <w:t xml:space="preserve">Etchart, L. (2019). Indigenous peoples and the rights of nature. In T. Gatehouse (Ed.) </w:t>
      </w:r>
      <w:r w:rsidRPr="006B7F85">
        <w:rPr>
          <w:rFonts w:ascii="Times" w:hAnsi="Times"/>
          <w:i/>
          <w:iCs/>
        </w:rPr>
        <w:t>Voices of Latin America: Social Movements and the New Activism</w:t>
      </w:r>
      <w:r w:rsidRPr="006B7F85">
        <w:rPr>
          <w:rFonts w:ascii="Times" w:hAnsi="Times"/>
        </w:rPr>
        <w:t>. New York: Monthly Review Press, pp. 97-120.</w:t>
      </w:r>
    </w:p>
    <w:p w14:paraId="735CA5F5" w14:textId="77777777" w:rsidR="00A45B50" w:rsidRPr="006B7F85" w:rsidRDefault="00A45B50" w:rsidP="005B1AE4">
      <w:pPr>
        <w:ind w:left="540" w:hanging="540"/>
        <w:jc w:val="both"/>
        <w:rPr>
          <w:rFonts w:ascii="Times" w:hAnsi="Times"/>
        </w:rPr>
      </w:pPr>
    </w:p>
    <w:p w14:paraId="0776D0F6" w14:textId="77777777" w:rsidR="00233978" w:rsidRPr="006B7F85" w:rsidRDefault="00233978" w:rsidP="005B1AE4">
      <w:pPr>
        <w:ind w:left="540" w:hanging="540"/>
        <w:jc w:val="both"/>
        <w:rPr>
          <w:rFonts w:ascii="Times" w:hAnsi="Times"/>
        </w:rPr>
      </w:pPr>
      <w:r w:rsidRPr="006B7F85">
        <w:rPr>
          <w:rFonts w:ascii="Times" w:hAnsi="Times"/>
        </w:rPr>
        <w:t xml:space="preserve">Fontana, </w:t>
      </w:r>
      <w:proofErr w:type="spellStart"/>
      <w:r w:rsidRPr="006B7F85">
        <w:rPr>
          <w:rFonts w:ascii="Times" w:hAnsi="Times"/>
        </w:rPr>
        <w:t>L.B</w:t>
      </w:r>
      <w:proofErr w:type="spellEnd"/>
      <w:r w:rsidRPr="006B7F85">
        <w:rPr>
          <w:rFonts w:ascii="Times" w:hAnsi="Times"/>
        </w:rPr>
        <w:t xml:space="preserve">., and </w:t>
      </w:r>
      <w:proofErr w:type="spellStart"/>
      <w:r w:rsidRPr="006B7F85">
        <w:rPr>
          <w:rFonts w:ascii="Times" w:hAnsi="Times"/>
        </w:rPr>
        <w:t>Grugel</w:t>
      </w:r>
      <w:proofErr w:type="spellEnd"/>
      <w:r w:rsidRPr="006B7F85">
        <w:rPr>
          <w:rFonts w:ascii="Times" w:hAnsi="Times"/>
        </w:rPr>
        <w:t>, J. (2016). The politics of indigenous participation through “free prior informed consent”: reflections from the Bolivian case. </w:t>
      </w:r>
      <w:r w:rsidRPr="006B7F85">
        <w:rPr>
          <w:rFonts w:ascii="Times" w:hAnsi="Times"/>
          <w:i/>
          <w:iCs/>
        </w:rPr>
        <w:t>World Development</w:t>
      </w:r>
      <w:r w:rsidRPr="006B7F85">
        <w:rPr>
          <w:rFonts w:ascii="Times" w:hAnsi="Times"/>
        </w:rPr>
        <w:t>, 77, 249-261.</w:t>
      </w:r>
    </w:p>
    <w:p w14:paraId="743B16CD" w14:textId="77777777" w:rsidR="00233978" w:rsidRPr="006B7F85" w:rsidRDefault="00233978" w:rsidP="005B1AE4">
      <w:pPr>
        <w:ind w:left="540" w:hanging="540"/>
        <w:jc w:val="both"/>
        <w:rPr>
          <w:rFonts w:ascii="Times" w:hAnsi="Times"/>
        </w:rPr>
      </w:pPr>
    </w:p>
    <w:p w14:paraId="19E6A179" w14:textId="6F68B520" w:rsidR="00233978" w:rsidRPr="006B7F85" w:rsidRDefault="00233978" w:rsidP="005B1AE4">
      <w:pPr>
        <w:ind w:left="540" w:hanging="540"/>
        <w:jc w:val="both"/>
        <w:rPr>
          <w:rFonts w:ascii="Times" w:hAnsi="Times"/>
          <w:lang w:val="en-US"/>
        </w:rPr>
      </w:pPr>
      <w:r w:rsidRPr="006B7F85">
        <w:rPr>
          <w:rFonts w:ascii="Times" w:hAnsi="Times"/>
          <w:lang w:val="en-US"/>
        </w:rPr>
        <w:t>Gahman, L., Greenidge, A., and Penados, F. (2020)</w:t>
      </w:r>
      <w:r w:rsidR="00F761B7" w:rsidRPr="006B7F85">
        <w:rPr>
          <w:rFonts w:ascii="Times" w:hAnsi="Times"/>
          <w:lang w:val="en-US"/>
        </w:rPr>
        <w:t>.</w:t>
      </w:r>
      <w:r w:rsidRPr="006B7F85">
        <w:rPr>
          <w:rFonts w:ascii="Times" w:hAnsi="Times"/>
          <w:lang w:val="en-US"/>
        </w:rPr>
        <w:t xml:space="preserve"> Indigenous resurgence, decolonial praxis, alternative futures: the Maya Leaders Alliance of Southern Belize, </w:t>
      </w:r>
      <w:r w:rsidRPr="006B7F85">
        <w:rPr>
          <w:rFonts w:ascii="Times" w:hAnsi="Times"/>
          <w:i/>
          <w:iCs/>
          <w:lang w:val="en-US"/>
        </w:rPr>
        <w:t>Social Movement Studies</w:t>
      </w:r>
      <w:r w:rsidRPr="006B7F85">
        <w:rPr>
          <w:rFonts w:ascii="Times" w:hAnsi="Times"/>
          <w:lang w:val="en-US"/>
        </w:rPr>
        <w:t>, 19(2): 241-248, DOI: 10.1080/14742837.2019.1709433.</w:t>
      </w:r>
    </w:p>
    <w:p w14:paraId="2739D8C0" w14:textId="77777777" w:rsidR="0037470E" w:rsidRPr="006B7F85" w:rsidRDefault="0037470E" w:rsidP="005B1AE4">
      <w:pPr>
        <w:jc w:val="both"/>
        <w:rPr>
          <w:rFonts w:ascii="Times" w:hAnsi="Times"/>
        </w:rPr>
      </w:pPr>
    </w:p>
    <w:p w14:paraId="1276C9F9" w14:textId="4EAB932C" w:rsidR="00B32F3D" w:rsidRPr="006B7F85" w:rsidRDefault="002512DB" w:rsidP="005B1AE4">
      <w:pPr>
        <w:ind w:left="540" w:hanging="540"/>
        <w:jc w:val="both"/>
        <w:rPr>
          <w:rFonts w:ascii="Times" w:hAnsi="Times"/>
        </w:rPr>
      </w:pPr>
      <w:r w:rsidRPr="006B7F85">
        <w:rPr>
          <w:rFonts w:ascii="Times" w:hAnsi="Times"/>
        </w:rPr>
        <w:t>MLA</w:t>
      </w:r>
      <w:r w:rsidR="003E7861" w:rsidRPr="006B7F85">
        <w:rPr>
          <w:rFonts w:ascii="Times" w:hAnsi="Times"/>
        </w:rPr>
        <w:t xml:space="preserve"> (Maya Leaders Alliance</w:t>
      </w:r>
      <w:r w:rsidRPr="006B7F85">
        <w:rPr>
          <w:rFonts w:ascii="Times" w:hAnsi="Times"/>
        </w:rPr>
        <w:t xml:space="preserve">). (2018). Joint Stakeholder Submission on Belize. Prepared for the 31st Session of the United Nations Human Rights Council Universal Periodic Review. </w:t>
      </w:r>
      <w:r w:rsidRPr="006B7F85">
        <w:rPr>
          <w:rFonts w:ascii="Times" w:hAnsi="Times"/>
          <w:i/>
          <w:iCs/>
        </w:rPr>
        <w:t xml:space="preserve">Cultural Survival Quarterly. </w:t>
      </w:r>
    </w:p>
    <w:p w14:paraId="2CDFC73B" w14:textId="77777777" w:rsidR="00B32F3D" w:rsidRPr="006B7F85" w:rsidRDefault="00B32F3D" w:rsidP="005B1AE4">
      <w:pPr>
        <w:jc w:val="both"/>
        <w:rPr>
          <w:rFonts w:ascii="Times" w:hAnsi="Times"/>
        </w:rPr>
      </w:pPr>
    </w:p>
    <w:p w14:paraId="6450400F" w14:textId="4EEB1DB7" w:rsidR="002512DB" w:rsidRPr="006B7F85" w:rsidRDefault="002512DB" w:rsidP="005B1AE4">
      <w:pPr>
        <w:ind w:left="540" w:hanging="540"/>
        <w:jc w:val="both"/>
        <w:rPr>
          <w:rFonts w:ascii="Times" w:hAnsi="Times"/>
        </w:rPr>
      </w:pPr>
      <w:r w:rsidRPr="006B7F85">
        <w:rPr>
          <w:rFonts w:ascii="Times" w:hAnsi="Times"/>
          <w:lang w:val="en-US"/>
        </w:rPr>
        <w:lastRenderedPageBreak/>
        <w:t>Nixon, R. (2011). </w:t>
      </w:r>
      <w:r w:rsidRPr="006B7F85">
        <w:rPr>
          <w:rFonts w:ascii="Times" w:hAnsi="Times"/>
          <w:i/>
          <w:iCs/>
          <w:lang w:val="en-US"/>
        </w:rPr>
        <w:t>Slow Violence and the Environmentalism of the Poor</w:t>
      </w:r>
      <w:r w:rsidRPr="006B7F85">
        <w:rPr>
          <w:rFonts w:ascii="Times" w:hAnsi="Times"/>
          <w:lang w:val="en-US"/>
        </w:rPr>
        <w:t>. Cambridge: Harvard University Press.</w:t>
      </w:r>
    </w:p>
    <w:p w14:paraId="3BA44CF1" w14:textId="77777777" w:rsidR="009D184D" w:rsidRPr="006B7F85" w:rsidRDefault="009D184D" w:rsidP="005B1AE4">
      <w:pPr>
        <w:jc w:val="both"/>
        <w:rPr>
          <w:rFonts w:ascii="Times" w:hAnsi="Times"/>
        </w:rPr>
      </w:pPr>
    </w:p>
    <w:p w14:paraId="3AC15CA7" w14:textId="735C6BE6" w:rsidR="00537384" w:rsidRPr="006B7F85" w:rsidRDefault="00537384" w:rsidP="005B1AE4">
      <w:pPr>
        <w:ind w:left="540" w:hanging="540"/>
        <w:jc w:val="both"/>
        <w:rPr>
          <w:rFonts w:ascii="Times" w:hAnsi="Times"/>
        </w:rPr>
      </w:pPr>
      <w:r w:rsidRPr="006B7F85">
        <w:rPr>
          <w:rFonts w:ascii="Times" w:hAnsi="Times"/>
        </w:rPr>
        <w:t xml:space="preserve">Penados, F. (2018). Indigenous governance and education in Belize: Lessons from the Maya land rights struggle and Indigenous education initiatives. In </w:t>
      </w:r>
      <w:proofErr w:type="spellStart"/>
      <w:r w:rsidRPr="006B7F85">
        <w:rPr>
          <w:rFonts w:ascii="Times" w:hAnsi="Times"/>
        </w:rPr>
        <w:t>McKinely</w:t>
      </w:r>
      <w:proofErr w:type="spellEnd"/>
      <w:r w:rsidRPr="006B7F85">
        <w:rPr>
          <w:rFonts w:ascii="Times" w:hAnsi="Times"/>
        </w:rPr>
        <w:t xml:space="preserve">, E.A. and Smith, L.T. (Eds.) </w:t>
      </w:r>
      <w:r w:rsidRPr="006B7F85">
        <w:rPr>
          <w:rFonts w:ascii="Times" w:hAnsi="Times"/>
          <w:i/>
          <w:iCs/>
        </w:rPr>
        <w:t>Handbook of Indigenous Education</w:t>
      </w:r>
      <w:r w:rsidRPr="006B7F85">
        <w:rPr>
          <w:rFonts w:ascii="Times" w:hAnsi="Times"/>
        </w:rPr>
        <w:t>. Singapore: Springer Nature, pp. 207-228.</w:t>
      </w:r>
    </w:p>
    <w:p w14:paraId="37AB4523" w14:textId="77777777" w:rsidR="00537384" w:rsidRPr="006B7F85" w:rsidRDefault="00537384" w:rsidP="005B1AE4">
      <w:pPr>
        <w:ind w:left="540" w:hanging="540"/>
        <w:jc w:val="both"/>
        <w:rPr>
          <w:rFonts w:ascii="Times" w:hAnsi="Times"/>
        </w:rPr>
      </w:pPr>
    </w:p>
    <w:p w14:paraId="3E0DFDF4" w14:textId="406CD4B9" w:rsidR="00775497" w:rsidRPr="006B7F85" w:rsidRDefault="006C1187" w:rsidP="005B1AE4">
      <w:pPr>
        <w:ind w:left="540" w:hanging="540"/>
        <w:jc w:val="both"/>
        <w:rPr>
          <w:rFonts w:ascii="Times" w:hAnsi="Times"/>
        </w:rPr>
      </w:pPr>
      <w:r w:rsidRPr="006B7F85">
        <w:rPr>
          <w:rFonts w:ascii="Times" w:hAnsi="Times"/>
        </w:rPr>
        <w:t xml:space="preserve">Purvis, C. (2013). ‘Suddenly we have no more power’: Oil drilling on Maya and Garifuna land in </w:t>
      </w:r>
      <w:r w:rsidRPr="006B7F85">
        <w:rPr>
          <w:rFonts w:ascii="Times" w:hAnsi="Times"/>
          <w:color w:val="000000" w:themeColor="text1"/>
        </w:rPr>
        <w:t>Belize. Minority Rights Group International. Retrieved from: https://minorityrights.org/wp-content/uploads/2015/07/MRG_Brief_Belize.pdf.</w:t>
      </w:r>
    </w:p>
    <w:p w14:paraId="3F8551BD" w14:textId="77777777" w:rsidR="00775497" w:rsidRPr="006B7F85" w:rsidRDefault="00775497" w:rsidP="005B1AE4">
      <w:pPr>
        <w:jc w:val="both"/>
        <w:rPr>
          <w:rFonts w:ascii="Times" w:hAnsi="Times"/>
        </w:rPr>
      </w:pPr>
    </w:p>
    <w:p w14:paraId="7FEC723C" w14:textId="07F0B825" w:rsidR="00D41C29" w:rsidRPr="006B7F85" w:rsidRDefault="00D02985" w:rsidP="005B1AE4">
      <w:pPr>
        <w:ind w:left="540" w:hanging="540"/>
        <w:jc w:val="both"/>
        <w:rPr>
          <w:rFonts w:ascii="Times" w:hAnsi="Times"/>
        </w:rPr>
      </w:pPr>
      <w:proofErr w:type="spellStart"/>
      <w:r w:rsidRPr="006B7F85">
        <w:rPr>
          <w:rFonts w:ascii="Times" w:hAnsi="Times"/>
        </w:rPr>
        <w:t>Wickeri</w:t>
      </w:r>
      <w:proofErr w:type="spellEnd"/>
      <w:r w:rsidRPr="006B7F85">
        <w:rPr>
          <w:rFonts w:ascii="Times" w:hAnsi="Times"/>
        </w:rPr>
        <w:t xml:space="preserve">, E., and </w:t>
      </w:r>
      <w:proofErr w:type="spellStart"/>
      <w:r w:rsidRPr="006B7F85">
        <w:rPr>
          <w:rFonts w:ascii="Times" w:hAnsi="Times"/>
        </w:rPr>
        <w:t>Kalhan</w:t>
      </w:r>
      <w:proofErr w:type="spellEnd"/>
      <w:r w:rsidRPr="006B7F85">
        <w:rPr>
          <w:rFonts w:ascii="Times" w:hAnsi="Times"/>
        </w:rPr>
        <w:t xml:space="preserve">, A. (2010). Land rights issues in international human rights law. </w:t>
      </w:r>
      <w:r w:rsidRPr="006B7F85">
        <w:rPr>
          <w:rFonts w:ascii="Times" w:hAnsi="Times"/>
          <w:i/>
          <w:iCs/>
        </w:rPr>
        <w:t>Malaysian Journal on Human rights</w:t>
      </w:r>
      <w:r w:rsidRPr="006B7F85">
        <w:rPr>
          <w:rFonts w:ascii="Times" w:hAnsi="Times"/>
        </w:rPr>
        <w:t>, 4(10), 16-25.</w:t>
      </w:r>
    </w:p>
    <w:p w14:paraId="2EEF4269" w14:textId="77777777" w:rsidR="009D184D" w:rsidRPr="006B7F85" w:rsidRDefault="009D184D" w:rsidP="005B1AE4">
      <w:pPr>
        <w:ind w:left="540" w:hanging="540"/>
        <w:jc w:val="both"/>
        <w:rPr>
          <w:rFonts w:ascii="Times" w:hAnsi="Times"/>
        </w:rPr>
      </w:pPr>
    </w:p>
    <w:p w14:paraId="38D52561" w14:textId="77777777" w:rsidR="009D184D" w:rsidRPr="006B7F85" w:rsidRDefault="009D184D" w:rsidP="005B1AE4">
      <w:pPr>
        <w:ind w:left="540" w:hanging="540"/>
        <w:jc w:val="both"/>
        <w:rPr>
          <w:rFonts w:ascii="Times" w:hAnsi="Times"/>
        </w:rPr>
      </w:pPr>
    </w:p>
    <w:sectPr w:rsidR="009D184D" w:rsidRPr="006B7F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A26D2"/>
    <w:multiLevelType w:val="hybridMultilevel"/>
    <w:tmpl w:val="0C50CE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43"/>
    <w:rsid w:val="0002528F"/>
    <w:rsid w:val="00027BA2"/>
    <w:rsid w:val="00034AAE"/>
    <w:rsid w:val="000400E5"/>
    <w:rsid w:val="00040B5A"/>
    <w:rsid w:val="00043A44"/>
    <w:rsid w:val="000475D8"/>
    <w:rsid w:val="00064407"/>
    <w:rsid w:val="000671D3"/>
    <w:rsid w:val="0009229E"/>
    <w:rsid w:val="00095327"/>
    <w:rsid w:val="000D4AAC"/>
    <w:rsid w:val="000E593D"/>
    <w:rsid w:val="00125A22"/>
    <w:rsid w:val="00130C70"/>
    <w:rsid w:val="00132115"/>
    <w:rsid w:val="0013618B"/>
    <w:rsid w:val="001423E3"/>
    <w:rsid w:val="0015025E"/>
    <w:rsid w:val="00152C95"/>
    <w:rsid w:val="001553E3"/>
    <w:rsid w:val="00160786"/>
    <w:rsid w:val="00173E72"/>
    <w:rsid w:val="00177524"/>
    <w:rsid w:val="00186170"/>
    <w:rsid w:val="00190396"/>
    <w:rsid w:val="001A191E"/>
    <w:rsid w:val="001A2B22"/>
    <w:rsid w:val="001B1171"/>
    <w:rsid w:val="001B6863"/>
    <w:rsid w:val="001F2C78"/>
    <w:rsid w:val="001F31BB"/>
    <w:rsid w:val="00205619"/>
    <w:rsid w:val="00212C42"/>
    <w:rsid w:val="00232333"/>
    <w:rsid w:val="00232481"/>
    <w:rsid w:val="00233978"/>
    <w:rsid w:val="00243988"/>
    <w:rsid w:val="00246981"/>
    <w:rsid w:val="00247F35"/>
    <w:rsid w:val="002502E8"/>
    <w:rsid w:val="002512DB"/>
    <w:rsid w:val="00251990"/>
    <w:rsid w:val="00273676"/>
    <w:rsid w:val="0027774D"/>
    <w:rsid w:val="00286F45"/>
    <w:rsid w:val="0029347E"/>
    <w:rsid w:val="002952F8"/>
    <w:rsid w:val="00296664"/>
    <w:rsid w:val="002B002D"/>
    <w:rsid w:val="002D021B"/>
    <w:rsid w:val="002D022C"/>
    <w:rsid w:val="002D3AF5"/>
    <w:rsid w:val="002D4259"/>
    <w:rsid w:val="002D5F86"/>
    <w:rsid w:val="002E0B8C"/>
    <w:rsid w:val="002F580B"/>
    <w:rsid w:val="00310D78"/>
    <w:rsid w:val="0032390C"/>
    <w:rsid w:val="003328A3"/>
    <w:rsid w:val="003563E9"/>
    <w:rsid w:val="00360C9F"/>
    <w:rsid w:val="00367B66"/>
    <w:rsid w:val="00370CA3"/>
    <w:rsid w:val="0037470E"/>
    <w:rsid w:val="0038127D"/>
    <w:rsid w:val="00391875"/>
    <w:rsid w:val="003A0737"/>
    <w:rsid w:val="003A6A2B"/>
    <w:rsid w:val="003A6F53"/>
    <w:rsid w:val="003D344A"/>
    <w:rsid w:val="003D4655"/>
    <w:rsid w:val="003E4894"/>
    <w:rsid w:val="003E56E8"/>
    <w:rsid w:val="003E7861"/>
    <w:rsid w:val="003F2C95"/>
    <w:rsid w:val="003F3A90"/>
    <w:rsid w:val="003F4284"/>
    <w:rsid w:val="003F43AB"/>
    <w:rsid w:val="003F6717"/>
    <w:rsid w:val="003F6C73"/>
    <w:rsid w:val="00401F55"/>
    <w:rsid w:val="00417E21"/>
    <w:rsid w:val="00437844"/>
    <w:rsid w:val="004432EF"/>
    <w:rsid w:val="004602A7"/>
    <w:rsid w:val="00460554"/>
    <w:rsid w:val="00466F0A"/>
    <w:rsid w:val="00485992"/>
    <w:rsid w:val="00491BDD"/>
    <w:rsid w:val="004933D9"/>
    <w:rsid w:val="004B2508"/>
    <w:rsid w:val="004B2D30"/>
    <w:rsid w:val="004C1940"/>
    <w:rsid w:val="004D7B9D"/>
    <w:rsid w:val="004F709B"/>
    <w:rsid w:val="0051513A"/>
    <w:rsid w:val="0053193A"/>
    <w:rsid w:val="00537384"/>
    <w:rsid w:val="00545CB1"/>
    <w:rsid w:val="00556855"/>
    <w:rsid w:val="00567228"/>
    <w:rsid w:val="00594393"/>
    <w:rsid w:val="005A3801"/>
    <w:rsid w:val="005B1AE4"/>
    <w:rsid w:val="005B28B8"/>
    <w:rsid w:val="005B3A23"/>
    <w:rsid w:val="005B48E6"/>
    <w:rsid w:val="005B648F"/>
    <w:rsid w:val="005C3686"/>
    <w:rsid w:val="005C51BC"/>
    <w:rsid w:val="005E6E54"/>
    <w:rsid w:val="00606543"/>
    <w:rsid w:val="00612142"/>
    <w:rsid w:val="00620F61"/>
    <w:rsid w:val="0063097B"/>
    <w:rsid w:val="00642498"/>
    <w:rsid w:val="00644AE2"/>
    <w:rsid w:val="0067053F"/>
    <w:rsid w:val="00677F2C"/>
    <w:rsid w:val="00685C4E"/>
    <w:rsid w:val="00695365"/>
    <w:rsid w:val="006A2F79"/>
    <w:rsid w:val="006A3DB7"/>
    <w:rsid w:val="006A449A"/>
    <w:rsid w:val="006B7F85"/>
    <w:rsid w:val="006C1187"/>
    <w:rsid w:val="006C12E0"/>
    <w:rsid w:val="006C6705"/>
    <w:rsid w:val="006C67EC"/>
    <w:rsid w:val="006C7F56"/>
    <w:rsid w:val="006E3E7A"/>
    <w:rsid w:val="006F4CD7"/>
    <w:rsid w:val="00707F06"/>
    <w:rsid w:val="00714EC9"/>
    <w:rsid w:val="007203BE"/>
    <w:rsid w:val="00723B17"/>
    <w:rsid w:val="007316BE"/>
    <w:rsid w:val="007325D1"/>
    <w:rsid w:val="00733F48"/>
    <w:rsid w:val="007414F4"/>
    <w:rsid w:val="00741858"/>
    <w:rsid w:val="00743CB4"/>
    <w:rsid w:val="00745325"/>
    <w:rsid w:val="00762CC5"/>
    <w:rsid w:val="00766B9F"/>
    <w:rsid w:val="00775497"/>
    <w:rsid w:val="00780090"/>
    <w:rsid w:val="00791871"/>
    <w:rsid w:val="007C4C08"/>
    <w:rsid w:val="007D433D"/>
    <w:rsid w:val="007E3C35"/>
    <w:rsid w:val="007F51A2"/>
    <w:rsid w:val="00820688"/>
    <w:rsid w:val="00823078"/>
    <w:rsid w:val="00827E71"/>
    <w:rsid w:val="008307BC"/>
    <w:rsid w:val="008326CF"/>
    <w:rsid w:val="00832E19"/>
    <w:rsid w:val="00845E43"/>
    <w:rsid w:val="00866F45"/>
    <w:rsid w:val="00867221"/>
    <w:rsid w:val="00870A01"/>
    <w:rsid w:val="008A38E1"/>
    <w:rsid w:val="008A412F"/>
    <w:rsid w:val="008A4138"/>
    <w:rsid w:val="008B3A2C"/>
    <w:rsid w:val="008C4ECC"/>
    <w:rsid w:val="008C5DA2"/>
    <w:rsid w:val="008C7F3B"/>
    <w:rsid w:val="008D04CF"/>
    <w:rsid w:val="008D2E97"/>
    <w:rsid w:val="008D6144"/>
    <w:rsid w:val="009009BD"/>
    <w:rsid w:val="00901A97"/>
    <w:rsid w:val="00913E3D"/>
    <w:rsid w:val="00925C59"/>
    <w:rsid w:val="00933AAA"/>
    <w:rsid w:val="00941C4E"/>
    <w:rsid w:val="00946255"/>
    <w:rsid w:val="00960082"/>
    <w:rsid w:val="009757F8"/>
    <w:rsid w:val="0098314B"/>
    <w:rsid w:val="009834C4"/>
    <w:rsid w:val="009A34F0"/>
    <w:rsid w:val="009A5724"/>
    <w:rsid w:val="009A57E9"/>
    <w:rsid w:val="009B1BB3"/>
    <w:rsid w:val="009B627B"/>
    <w:rsid w:val="009C2529"/>
    <w:rsid w:val="009D184D"/>
    <w:rsid w:val="009D324B"/>
    <w:rsid w:val="009E5900"/>
    <w:rsid w:val="009F0388"/>
    <w:rsid w:val="009F2D9B"/>
    <w:rsid w:val="00A032B8"/>
    <w:rsid w:val="00A11080"/>
    <w:rsid w:val="00A11FA4"/>
    <w:rsid w:val="00A14231"/>
    <w:rsid w:val="00A20AE9"/>
    <w:rsid w:val="00A34130"/>
    <w:rsid w:val="00A45B50"/>
    <w:rsid w:val="00A5235D"/>
    <w:rsid w:val="00A6518E"/>
    <w:rsid w:val="00A84E92"/>
    <w:rsid w:val="00A90A92"/>
    <w:rsid w:val="00A9582E"/>
    <w:rsid w:val="00AA2DFC"/>
    <w:rsid w:val="00AA6F65"/>
    <w:rsid w:val="00AB12E5"/>
    <w:rsid w:val="00AB79A0"/>
    <w:rsid w:val="00AC4A6E"/>
    <w:rsid w:val="00AD46FD"/>
    <w:rsid w:val="00AF5F2C"/>
    <w:rsid w:val="00B0264F"/>
    <w:rsid w:val="00B03EC6"/>
    <w:rsid w:val="00B10670"/>
    <w:rsid w:val="00B1510E"/>
    <w:rsid w:val="00B15E3A"/>
    <w:rsid w:val="00B254D1"/>
    <w:rsid w:val="00B32F3D"/>
    <w:rsid w:val="00B91D04"/>
    <w:rsid w:val="00B970B0"/>
    <w:rsid w:val="00BA1A05"/>
    <w:rsid w:val="00BB1211"/>
    <w:rsid w:val="00BE4F5C"/>
    <w:rsid w:val="00C162D3"/>
    <w:rsid w:val="00C34ACF"/>
    <w:rsid w:val="00C3501D"/>
    <w:rsid w:val="00C411CB"/>
    <w:rsid w:val="00C41ECF"/>
    <w:rsid w:val="00C57C4E"/>
    <w:rsid w:val="00C70670"/>
    <w:rsid w:val="00C73001"/>
    <w:rsid w:val="00C867F4"/>
    <w:rsid w:val="00C86A95"/>
    <w:rsid w:val="00C91E0D"/>
    <w:rsid w:val="00C96F1E"/>
    <w:rsid w:val="00CB5187"/>
    <w:rsid w:val="00CD1620"/>
    <w:rsid w:val="00CE2DC0"/>
    <w:rsid w:val="00CE74BB"/>
    <w:rsid w:val="00D0205F"/>
    <w:rsid w:val="00D02985"/>
    <w:rsid w:val="00D06188"/>
    <w:rsid w:val="00D14E07"/>
    <w:rsid w:val="00D15AAC"/>
    <w:rsid w:val="00D34CC3"/>
    <w:rsid w:val="00D41C29"/>
    <w:rsid w:val="00D53754"/>
    <w:rsid w:val="00D61237"/>
    <w:rsid w:val="00D61F3D"/>
    <w:rsid w:val="00D64F16"/>
    <w:rsid w:val="00D70A0A"/>
    <w:rsid w:val="00D772C8"/>
    <w:rsid w:val="00D85D50"/>
    <w:rsid w:val="00D86D15"/>
    <w:rsid w:val="00D956B2"/>
    <w:rsid w:val="00DC3B92"/>
    <w:rsid w:val="00DC7C9D"/>
    <w:rsid w:val="00DD1D14"/>
    <w:rsid w:val="00DE0224"/>
    <w:rsid w:val="00DE100C"/>
    <w:rsid w:val="00DE1D87"/>
    <w:rsid w:val="00DE2D62"/>
    <w:rsid w:val="00DE6C0C"/>
    <w:rsid w:val="00DF0720"/>
    <w:rsid w:val="00E02295"/>
    <w:rsid w:val="00E113EE"/>
    <w:rsid w:val="00E142E9"/>
    <w:rsid w:val="00E22F57"/>
    <w:rsid w:val="00E312C6"/>
    <w:rsid w:val="00E37018"/>
    <w:rsid w:val="00E55AB7"/>
    <w:rsid w:val="00E64A1A"/>
    <w:rsid w:val="00E720B6"/>
    <w:rsid w:val="00E73E38"/>
    <w:rsid w:val="00E75906"/>
    <w:rsid w:val="00E802E9"/>
    <w:rsid w:val="00E829D7"/>
    <w:rsid w:val="00E83264"/>
    <w:rsid w:val="00EA06E2"/>
    <w:rsid w:val="00EC0B01"/>
    <w:rsid w:val="00F018C2"/>
    <w:rsid w:val="00F31C61"/>
    <w:rsid w:val="00F632B0"/>
    <w:rsid w:val="00F63975"/>
    <w:rsid w:val="00F761B7"/>
    <w:rsid w:val="00F815BB"/>
    <w:rsid w:val="00F85929"/>
    <w:rsid w:val="00F94EFC"/>
    <w:rsid w:val="00FA2EBE"/>
    <w:rsid w:val="00FA7A59"/>
    <w:rsid w:val="00FB059E"/>
    <w:rsid w:val="00FC3FFD"/>
    <w:rsid w:val="00FD0917"/>
    <w:rsid w:val="00FD36D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9348"/>
  <w15:docId w15:val="{064D6C40-B3FE-D240-952D-6D52667A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5"/>
    <w:pPr>
      <w:spacing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uiPriority w:val="9"/>
    <w:qFormat/>
    <w:rsid w:val="00E720B6"/>
    <w:pPr>
      <w:spacing w:before="240" w:after="120"/>
      <w:outlineLvl w:val="0"/>
    </w:pPr>
    <w:rPr>
      <w:b/>
      <w:bCs/>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AB12E5"/>
    <w:rPr>
      <w:sz w:val="16"/>
      <w:szCs w:val="16"/>
    </w:rPr>
  </w:style>
  <w:style w:type="paragraph" w:styleId="CommentText">
    <w:name w:val="annotation text"/>
    <w:basedOn w:val="Normal"/>
    <w:link w:val="CommentTextChar"/>
    <w:uiPriority w:val="99"/>
    <w:unhideWhenUsed/>
    <w:rsid w:val="00AB12E5"/>
    <w:rPr>
      <w:sz w:val="20"/>
      <w:szCs w:val="20"/>
    </w:rPr>
  </w:style>
  <w:style w:type="character" w:customStyle="1" w:styleId="CommentTextChar">
    <w:name w:val="Comment Text Char"/>
    <w:basedOn w:val="DefaultParagraphFont"/>
    <w:link w:val="CommentText"/>
    <w:uiPriority w:val="99"/>
    <w:rsid w:val="00AB12E5"/>
    <w:rPr>
      <w:sz w:val="20"/>
      <w:szCs w:val="20"/>
    </w:rPr>
  </w:style>
  <w:style w:type="paragraph" w:styleId="CommentSubject">
    <w:name w:val="annotation subject"/>
    <w:basedOn w:val="CommentText"/>
    <w:next w:val="CommentText"/>
    <w:link w:val="CommentSubjectChar"/>
    <w:uiPriority w:val="99"/>
    <w:semiHidden/>
    <w:unhideWhenUsed/>
    <w:rsid w:val="00AB12E5"/>
    <w:rPr>
      <w:b/>
      <w:bCs/>
    </w:rPr>
  </w:style>
  <w:style w:type="character" w:customStyle="1" w:styleId="CommentSubjectChar">
    <w:name w:val="Comment Subject Char"/>
    <w:basedOn w:val="CommentTextChar"/>
    <w:link w:val="CommentSubject"/>
    <w:uiPriority w:val="99"/>
    <w:semiHidden/>
    <w:rsid w:val="00AB12E5"/>
    <w:rPr>
      <w:b/>
      <w:bCs/>
      <w:sz w:val="20"/>
      <w:szCs w:val="20"/>
    </w:rPr>
  </w:style>
  <w:style w:type="paragraph" w:styleId="BalloonText">
    <w:name w:val="Balloon Text"/>
    <w:basedOn w:val="Normal"/>
    <w:link w:val="BalloonTextChar"/>
    <w:uiPriority w:val="99"/>
    <w:semiHidden/>
    <w:unhideWhenUsed/>
    <w:rsid w:val="00AB12E5"/>
    <w:rPr>
      <w:sz w:val="18"/>
      <w:szCs w:val="18"/>
    </w:rPr>
  </w:style>
  <w:style w:type="character" w:customStyle="1" w:styleId="BalloonTextChar">
    <w:name w:val="Balloon Text Char"/>
    <w:basedOn w:val="DefaultParagraphFont"/>
    <w:link w:val="BalloonText"/>
    <w:uiPriority w:val="99"/>
    <w:semiHidden/>
    <w:rsid w:val="00AB12E5"/>
    <w:rPr>
      <w:rFonts w:ascii="Times New Roman" w:hAnsi="Times New Roman" w:cs="Times New Roman"/>
      <w:sz w:val="18"/>
      <w:szCs w:val="18"/>
    </w:rPr>
  </w:style>
  <w:style w:type="paragraph" w:styleId="Quote">
    <w:name w:val="Quote"/>
    <w:basedOn w:val="Normal"/>
    <w:next w:val="Normal"/>
    <w:link w:val="QuoteChar"/>
    <w:uiPriority w:val="29"/>
    <w:qFormat/>
    <w:rsid w:val="00EA06E2"/>
    <w:pPr>
      <w:spacing w:before="120" w:after="120"/>
      <w:ind w:left="720" w:right="720"/>
      <w:jc w:val="both"/>
    </w:pPr>
  </w:style>
  <w:style w:type="character" w:customStyle="1" w:styleId="QuoteChar">
    <w:name w:val="Quote Char"/>
    <w:basedOn w:val="DefaultParagraphFont"/>
    <w:link w:val="Quote"/>
    <w:uiPriority w:val="29"/>
    <w:rsid w:val="00EA06E2"/>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326CF"/>
    <w:rPr>
      <w:b/>
      <w:bCs/>
    </w:rPr>
  </w:style>
  <w:style w:type="character" w:styleId="Hyperlink">
    <w:name w:val="Hyperlink"/>
    <w:basedOn w:val="DefaultParagraphFont"/>
    <w:uiPriority w:val="99"/>
    <w:unhideWhenUsed/>
    <w:rsid w:val="006C1187"/>
    <w:rPr>
      <w:color w:val="0000FF"/>
      <w:u w:val="single"/>
    </w:rPr>
  </w:style>
  <w:style w:type="character" w:customStyle="1" w:styleId="UnresolvedMention1">
    <w:name w:val="Unresolved Mention1"/>
    <w:basedOn w:val="DefaultParagraphFont"/>
    <w:uiPriority w:val="99"/>
    <w:semiHidden/>
    <w:unhideWhenUsed/>
    <w:rsid w:val="002952F8"/>
    <w:rPr>
      <w:color w:val="605E5C"/>
      <w:shd w:val="clear" w:color="auto" w:fill="E1DFDD"/>
    </w:rPr>
  </w:style>
  <w:style w:type="paragraph" w:styleId="ListParagraph">
    <w:name w:val="List Paragraph"/>
    <w:basedOn w:val="Normal"/>
    <w:uiPriority w:val="34"/>
    <w:qFormat/>
    <w:rsid w:val="007203BE"/>
    <w:pPr>
      <w:ind w:left="720"/>
      <w:contextualSpacing/>
    </w:pPr>
  </w:style>
  <w:style w:type="paragraph" w:styleId="Revision">
    <w:name w:val="Revision"/>
    <w:hidden/>
    <w:uiPriority w:val="99"/>
    <w:semiHidden/>
    <w:rsid w:val="00791871"/>
    <w:pPr>
      <w:spacing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7737">
      <w:bodyDiv w:val="1"/>
      <w:marLeft w:val="0"/>
      <w:marRight w:val="0"/>
      <w:marTop w:val="0"/>
      <w:marBottom w:val="0"/>
      <w:divBdr>
        <w:top w:val="none" w:sz="0" w:space="0" w:color="auto"/>
        <w:left w:val="none" w:sz="0" w:space="0" w:color="auto"/>
        <w:bottom w:val="none" w:sz="0" w:space="0" w:color="auto"/>
        <w:right w:val="none" w:sz="0" w:space="0" w:color="auto"/>
      </w:divBdr>
      <w:divsChild>
        <w:div w:id="389573252">
          <w:marLeft w:val="0"/>
          <w:marRight w:val="0"/>
          <w:marTop w:val="0"/>
          <w:marBottom w:val="0"/>
          <w:divBdr>
            <w:top w:val="none" w:sz="0" w:space="0" w:color="auto"/>
            <w:left w:val="none" w:sz="0" w:space="0" w:color="auto"/>
            <w:bottom w:val="none" w:sz="0" w:space="0" w:color="auto"/>
            <w:right w:val="none" w:sz="0" w:space="0" w:color="auto"/>
          </w:divBdr>
          <w:divsChild>
            <w:div w:id="369644343">
              <w:marLeft w:val="0"/>
              <w:marRight w:val="0"/>
              <w:marTop w:val="0"/>
              <w:marBottom w:val="0"/>
              <w:divBdr>
                <w:top w:val="none" w:sz="0" w:space="0" w:color="auto"/>
                <w:left w:val="none" w:sz="0" w:space="0" w:color="auto"/>
                <w:bottom w:val="none" w:sz="0" w:space="0" w:color="auto"/>
                <w:right w:val="none" w:sz="0" w:space="0" w:color="auto"/>
              </w:divBdr>
              <w:divsChild>
                <w:div w:id="15884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565">
      <w:bodyDiv w:val="1"/>
      <w:marLeft w:val="0"/>
      <w:marRight w:val="0"/>
      <w:marTop w:val="0"/>
      <w:marBottom w:val="0"/>
      <w:divBdr>
        <w:top w:val="none" w:sz="0" w:space="0" w:color="auto"/>
        <w:left w:val="none" w:sz="0" w:space="0" w:color="auto"/>
        <w:bottom w:val="none" w:sz="0" w:space="0" w:color="auto"/>
        <w:right w:val="none" w:sz="0" w:space="0" w:color="auto"/>
      </w:divBdr>
    </w:div>
    <w:div w:id="122693177">
      <w:bodyDiv w:val="1"/>
      <w:marLeft w:val="0"/>
      <w:marRight w:val="0"/>
      <w:marTop w:val="0"/>
      <w:marBottom w:val="0"/>
      <w:divBdr>
        <w:top w:val="none" w:sz="0" w:space="0" w:color="auto"/>
        <w:left w:val="none" w:sz="0" w:space="0" w:color="auto"/>
        <w:bottom w:val="none" w:sz="0" w:space="0" w:color="auto"/>
        <w:right w:val="none" w:sz="0" w:space="0" w:color="auto"/>
      </w:divBdr>
    </w:div>
    <w:div w:id="131140855">
      <w:bodyDiv w:val="1"/>
      <w:marLeft w:val="0"/>
      <w:marRight w:val="0"/>
      <w:marTop w:val="0"/>
      <w:marBottom w:val="0"/>
      <w:divBdr>
        <w:top w:val="none" w:sz="0" w:space="0" w:color="auto"/>
        <w:left w:val="none" w:sz="0" w:space="0" w:color="auto"/>
        <w:bottom w:val="none" w:sz="0" w:space="0" w:color="auto"/>
        <w:right w:val="none" w:sz="0" w:space="0" w:color="auto"/>
      </w:divBdr>
    </w:div>
    <w:div w:id="212356627">
      <w:bodyDiv w:val="1"/>
      <w:marLeft w:val="0"/>
      <w:marRight w:val="0"/>
      <w:marTop w:val="0"/>
      <w:marBottom w:val="0"/>
      <w:divBdr>
        <w:top w:val="none" w:sz="0" w:space="0" w:color="auto"/>
        <w:left w:val="none" w:sz="0" w:space="0" w:color="auto"/>
        <w:bottom w:val="none" w:sz="0" w:space="0" w:color="auto"/>
        <w:right w:val="none" w:sz="0" w:space="0" w:color="auto"/>
      </w:divBdr>
    </w:div>
    <w:div w:id="292443097">
      <w:bodyDiv w:val="1"/>
      <w:marLeft w:val="0"/>
      <w:marRight w:val="0"/>
      <w:marTop w:val="0"/>
      <w:marBottom w:val="0"/>
      <w:divBdr>
        <w:top w:val="none" w:sz="0" w:space="0" w:color="auto"/>
        <w:left w:val="none" w:sz="0" w:space="0" w:color="auto"/>
        <w:bottom w:val="none" w:sz="0" w:space="0" w:color="auto"/>
        <w:right w:val="none" w:sz="0" w:space="0" w:color="auto"/>
      </w:divBdr>
      <w:divsChild>
        <w:div w:id="578294105">
          <w:marLeft w:val="0"/>
          <w:marRight w:val="0"/>
          <w:marTop w:val="0"/>
          <w:marBottom w:val="0"/>
          <w:divBdr>
            <w:top w:val="none" w:sz="0" w:space="0" w:color="auto"/>
            <w:left w:val="none" w:sz="0" w:space="0" w:color="auto"/>
            <w:bottom w:val="none" w:sz="0" w:space="0" w:color="auto"/>
            <w:right w:val="none" w:sz="0" w:space="0" w:color="auto"/>
          </w:divBdr>
          <w:divsChild>
            <w:div w:id="839733067">
              <w:marLeft w:val="0"/>
              <w:marRight w:val="0"/>
              <w:marTop w:val="0"/>
              <w:marBottom w:val="0"/>
              <w:divBdr>
                <w:top w:val="none" w:sz="0" w:space="0" w:color="auto"/>
                <w:left w:val="none" w:sz="0" w:space="0" w:color="auto"/>
                <w:bottom w:val="none" w:sz="0" w:space="0" w:color="auto"/>
                <w:right w:val="none" w:sz="0" w:space="0" w:color="auto"/>
              </w:divBdr>
              <w:divsChild>
                <w:div w:id="1079518412">
                  <w:marLeft w:val="0"/>
                  <w:marRight w:val="0"/>
                  <w:marTop w:val="0"/>
                  <w:marBottom w:val="0"/>
                  <w:divBdr>
                    <w:top w:val="none" w:sz="0" w:space="0" w:color="auto"/>
                    <w:left w:val="none" w:sz="0" w:space="0" w:color="auto"/>
                    <w:bottom w:val="none" w:sz="0" w:space="0" w:color="auto"/>
                    <w:right w:val="none" w:sz="0" w:space="0" w:color="auto"/>
                  </w:divBdr>
                </w:div>
                <w:div w:id="8401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1320">
      <w:bodyDiv w:val="1"/>
      <w:marLeft w:val="0"/>
      <w:marRight w:val="0"/>
      <w:marTop w:val="0"/>
      <w:marBottom w:val="0"/>
      <w:divBdr>
        <w:top w:val="none" w:sz="0" w:space="0" w:color="auto"/>
        <w:left w:val="none" w:sz="0" w:space="0" w:color="auto"/>
        <w:bottom w:val="none" w:sz="0" w:space="0" w:color="auto"/>
        <w:right w:val="none" w:sz="0" w:space="0" w:color="auto"/>
      </w:divBdr>
    </w:div>
    <w:div w:id="377169997">
      <w:bodyDiv w:val="1"/>
      <w:marLeft w:val="0"/>
      <w:marRight w:val="0"/>
      <w:marTop w:val="0"/>
      <w:marBottom w:val="0"/>
      <w:divBdr>
        <w:top w:val="none" w:sz="0" w:space="0" w:color="auto"/>
        <w:left w:val="none" w:sz="0" w:space="0" w:color="auto"/>
        <w:bottom w:val="none" w:sz="0" w:space="0" w:color="auto"/>
        <w:right w:val="none" w:sz="0" w:space="0" w:color="auto"/>
      </w:divBdr>
      <w:divsChild>
        <w:div w:id="16153040">
          <w:marLeft w:val="0"/>
          <w:marRight w:val="0"/>
          <w:marTop w:val="0"/>
          <w:marBottom w:val="0"/>
          <w:divBdr>
            <w:top w:val="none" w:sz="0" w:space="0" w:color="auto"/>
            <w:left w:val="none" w:sz="0" w:space="0" w:color="auto"/>
            <w:bottom w:val="none" w:sz="0" w:space="0" w:color="auto"/>
            <w:right w:val="none" w:sz="0" w:space="0" w:color="auto"/>
          </w:divBdr>
          <w:divsChild>
            <w:div w:id="1967270406">
              <w:marLeft w:val="0"/>
              <w:marRight w:val="0"/>
              <w:marTop w:val="0"/>
              <w:marBottom w:val="0"/>
              <w:divBdr>
                <w:top w:val="none" w:sz="0" w:space="0" w:color="auto"/>
                <w:left w:val="none" w:sz="0" w:space="0" w:color="auto"/>
                <w:bottom w:val="none" w:sz="0" w:space="0" w:color="auto"/>
                <w:right w:val="none" w:sz="0" w:space="0" w:color="auto"/>
              </w:divBdr>
              <w:divsChild>
                <w:div w:id="1530142345">
                  <w:marLeft w:val="0"/>
                  <w:marRight w:val="0"/>
                  <w:marTop w:val="0"/>
                  <w:marBottom w:val="0"/>
                  <w:divBdr>
                    <w:top w:val="none" w:sz="0" w:space="0" w:color="auto"/>
                    <w:left w:val="none" w:sz="0" w:space="0" w:color="auto"/>
                    <w:bottom w:val="none" w:sz="0" w:space="0" w:color="auto"/>
                    <w:right w:val="none" w:sz="0" w:space="0" w:color="auto"/>
                  </w:divBdr>
                </w:div>
              </w:divsChild>
            </w:div>
            <w:div w:id="580605057">
              <w:marLeft w:val="0"/>
              <w:marRight w:val="0"/>
              <w:marTop w:val="0"/>
              <w:marBottom w:val="0"/>
              <w:divBdr>
                <w:top w:val="none" w:sz="0" w:space="0" w:color="auto"/>
                <w:left w:val="none" w:sz="0" w:space="0" w:color="auto"/>
                <w:bottom w:val="none" w:sz="0" w:space="0" w:color="auto"/>
                <w:right w:val="none" w:sz="0" w:space="0" w:color="auto"/>
              </w:divBdr>
              <w:divsChild>
                <w:div w:id="12134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8923">
          <w:marLeft w:val="0"/>
          <w:marRight w:val="0"/>
          <w:marTop w:val="0"/>
          <w:marBottom w:val="0"/>
          <w:divBdr>
            <w:top w:val="none" w:sz="0" w:space="0" w:color="auto"/>
            <w:left w:val="none" w:sz="0" w:space="0" w:color="auto"/>
            <w:bottom w:val="none" w:sz="0" w:space="0" w:color="auto"/>
            <w:right w:val="none" w:sz="0" w:space="0" w:color="auto"/>
          </w:divBdr>
          <w:divsChild>
            <w:div w:id="1117485320">
              <w:marLeft w:val="0"/>
              <w:marRight w:val="0"/>
              <w:marTop w:val="0"/>
              <w:marBottom w:val="0"/>
              <w:divBdr>
                <w:top w:val="none" w:sz="0" w:space="0" w:color="auto"/>
                <w:left w:val="none" w:sz="0" w:space="0" w:color="auto"/>
                <w:bottom w:val="none" w:sz="0" w:space="0" w:color="auto"/>
                <w:right w:val="none" w:sz="0" w:space="0" w:color="auto"/>
              </w:divBdr>
              <w:divsChild>
                <w:div w:id="9001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567713">
      <w:bodyDiv w:val="1"/>
      <w:marLeft w:val="0"/>
      <w:marRight w:val="0"/>
      <w:marTop w:val="0"/>
      <w:marBottom w:val="0"/>
      <w:divBdr>
        <w:top w:val="none" w:sz="0" w:space="0" w:color="auto"/>
        <w:left w:val="none" w:sz="0" w:space="0" w:color="auto"/>
        <w:bottom w:val="none" w:sz="0" w:space="0" w:color="auto"/>
        <w:right w:val="none" w:sz="0" w:space="0" w:color="auto"/>
      </w:divBdr>
    </w:div>
    <w:div w:id="410812172">
      <w:bodyDiv w:val="1"/>
      <w:marLeft w:val="0"/>
      <w:marRight w:val="0"/>
      <w:marTop w:val="0"/>
      <w:marBottom w:val="0"/>
      <w:divBdr>
        <w:top w:val="none" w:sz="0" w:space="0" w:color="auto"/>
        <w:left w:val="none" w:sz="0" w:space="0" w:color="auto"/>
        <w:bottom w:val="none" w:sz="0" w:space="0" w:color="auto"/>
        <w:right w:val="none" w:sz="0" w:space="0" w:color="auto"/>
      </w:divBdr>
    </w:div>
    <w:div w:id="459809031">
      <w:bodyDiv w:val="1"/>
      <w:marLeft w:val="0"/>
      <w:marRight w:val="0"/>
      <w:marTop w:val="0"/>
      <w:marBottom w:val="0"/>
      <w:divBdr>
        <w:top w:val="none" w:sz="0" w:space="0" w:color="auto"/>
        <w:left w:val="none" w:sz="0" w:space="0" w:color="auto"/>
        <w:bottom w:val="none" w:sz="0" w:space="0" w:color="auto"/>
        <w:right w:val="none" w:sz="0" w:space="0" w:color="auto"/>
      </w:divBdr>
    </w:div>
    <w:div w:id="475992482">
      <w:bodyDiv w:val="1"/>
      <w:marLeft w:val="0"/>
      <w:marRight w:val="0"/>
      <w:marTop w:val="0"/>
      <w:marBottom w:val="0"/>
      <w:divBdr>
        <w:top w:val="none" w:sz="0" w:space="0" w:color="auto"/>
        <w:left w:val="none" w:sz="0" w:space="0" w:color="auto"/>
        <w:bottom w:val="none" w:sz="0" w:space="0" w:color="auto"/>
        <w:right w:val="none" w:sz="0" w:space="0" w:color="auto"/>
      </w:divBdr>
    </w:div>
    <w:div w:id="481892310">
      <w:bodyDiv w:val="1"/>
      <w:marLeft w:val="0"/>
      <w:marRight w:val="0"/>
      <w:marTop w:val="0"/>
      <w:marBottom w:val="0"/>
      <w:divBdr>
        <w:top w:val="none" w:sz="0" w:space="0" w:color="auto"/>
        <w:left w:val="none" w:sz="0" w:space="0" w:color="auto"/>
        <w:bottom w:val="none" w:sz="0" w:space="0" w:color="auto"/>
        <w:right w:val="none" w:sz="0" w:space="0" w:color="auto"/>
      </w:divBdr>
    </w:div>
    <w:div w:id="483278864">
      <w:bodyDiv w:val="1"/>
      <w:marLeft w:val="0"/>
      <w:marRight w:val="0"/>
      <w:marTop w:val="0"/>
      <w:marBottom w:val="0"/>
      <w:divBdr>
        <w:top w:val="none" w:sz="0" w:space="0" w:color="auto"/>
        <w:left w:val="none" w:sz="0" w:space="0" w:color="auto"/>
        <w:bottom w:val="none" w:sz="0" w:space="0" w:color="auto"/>
        <w:right w:val="none" w:sz="0" w:space="0" w:color="auto"/>
      </w:divBdr>
    </w:div>
    <w:div w:id="507254646">
      <w:bodyDiv w:val="1"/>
      <w:marLeft w:val="0"/>
      <w:marRight w:val="0"/>
      <w:marTop w:val="0"/>
      <w:marBottom w:val="0"/>
      <w:divBdr>
        <w:top w:val="none" w:sz="0" w:space="0" w:color="auto"/>
        <w:left w:val="none" w:sz="0" w:space="0" w:color="auto"/>
        <w:bottom w:val="none" w:sz="0" w:space="0" w:color="auto"/>
        <w:right w:val="none" w:sz="0" w:space="0" w:color="auto"/>
      </w:divBdr>
    </w:div>
    <w:div w:id="713233142">
      <w:bodyDiv w:val="1"/>
      <w:marLeft w:val="0"/>
      <w:marRight w:val="0"/>
      <w:marTop w:val="0"/>
      <w:marBottom w:val="0"/>
      <w:divBdr>
        <w:top w:val="none" w:sz="0" w:space="0" w:color="auto"/>
        <w:left w:val="none" w:sz="0" w:space="0" w:color="auto"/>
        <w:bottom w:val="none" w:sz="0" w:space="0" w:color="auto"/>
        <w:right w:val="none" w:sz="0" w:space="0" w:color="auto"/>
      </w:divBdr>
    </w:div>
    <w:div w:id="727144189">
      <w:bodyDiv w:val="1"/>
      <w:marLeft w:val="0"/>
      <w:marRight w:val="0"/>
      <w:marTop w:val="0"/>
      <w:marBottom w:val="0"/>
      <w:divBdr>
        <w:top w:val="none" w:sz="0" w:space="0" w:color="auto"/>
        <w:left w:val="none" w:sz="0" w:space="0" w:color="auto"/>
        <w:bottom w:val="none" w:sz="0" w:space="0" w:color="auto"/>
        <w:right w:val="none" w:sz="0" w:space="0" w:color="auto"/>
      </w:divBdr>
      <w:divsChild>
        <w:div w:id="1526938502">
          <w:marLeft w:val="0"/>
          <w:marRight w:val="0"/>
          <w:marTop w:val="0"/>
          <w:marBottom w:val="0"/>
          <w:divBdr>
            <w:top w:val="none" w:sz="0" w:space="0" w:color="auto"/>
            <w:left w:val="none" w:sz="0" w:space="0" w:color="auto"/>
            <w:bottom w:val="none" w:sz="0" w:space="0" w:color="auto"/>
            <w:right w:val="none" w:sz="0" w:space="0" w:color="auto"/>
          </w:divBdr>
          <w:divsChild>
            <w:div w:id="703595646">
              <w:marLeft w:val="0"/>
              <w:marRight w:val="0"/>
              <w:marTop w:val="0"/>
              <w:marBottom w:val="0"/>
              <w:divBdr>
                <w:top w:val="none" w:sz="0" w:space="0" w:color="auto"/>
                <w:left w:val="none" w:sz="0" w:space="0" w:color="auto"/>
                <w:bottom w:val="none" w:sz="0" w:space="0" w:color="auto"/>
                <w:right w:val="none" w:sz="0" w:space="0" w:color="auto"/>
              </w:divBdr>
              <w:divsChild>
                <w:div w:id="2056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1702">
      <w:bodyDiv w:val="1"/>
      <w:marLeft w:val="0"/>
      <w:marRight w:val="0"/>
      <w:marTop w:val="0"/>
      <w:marBottom w:val="0"/>
      <w:divBdr>
        <w:top w:val="none" w:sz="0" w:space="0" w:color="auto"/>
        <w:left w:val="none" w:sz="0" w:space="0" w:color="auto"/>
        <w:bottom w:val="none" w:sz="0" w:space="0" w:color="auto"/>
        <w:right w:val="none" w:sz="0" w:space="0" w:color="auto"/>
      </w:divBdr>
      <w:divsChild>
        <w:div w:id="1496451477">
          <w:marLeft w:val="0"/>
          <w:marRight w:val="0"/>
          <w:marTop w:val="0"/>
          <w:marBottom w:val="0"/>
          <w:divBdr>
            <w:top w:val="none" w:sz="0" w:space="0" w:color="auto"/>
            <w:left w:val="none" w:sz="0" w:space="0" w:color="auto"/>
            <w:bottom w:val="none" w:sz="0" w:space="0" w:color="auto"/>
            <w:right w:val="none" w:sz="0" w:space="0" w:color="auto"/>
          </w:divBdr>
          <w:divsChild>
            <w:div w:id="188226094">
              <w:marLeft w:val="0"/>
              <w:marRight w:val="0"/>
              <w:marTop w:val="0"/>
              <w:marBottom w:val="0"/>
              <w:divBdr>
                <w:top w:val="none" w:sz="0" w:space="0" w:color="auto"/>
                <w:left w:val="none" w:sz="0" w:space="0" w:color="auto"/>
                <w:bottom w:val="none" w:sz="0" w:space="0" w:color="auto"/>
                <w:right w:val="none" w:sz="0" w:space="0" w:color="auto"/>
              </w:divBdr>
              <w:divsChild>
                <w:div w:id="7763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47228">
      <w:bodyDiv w:val="1"/>
      <w:marLeft w:val="0"/>
      <w:marRight w:val="0"/>
      <w:marTop w:val="0"/>
      <w:marBottom w:val="0"/>
      <w:divBdr>
        <w:top w:val="none" w:sz="0" w:space="0" w:color="auto"/>
        <w:left w:val="none" w:sz="0" w:space="0" w:color="auto"/>
        <w:bottom w:val="none" w:sz="0" w:space="0" w:color="auto"/>
        <w:right w:val="none" w:sz="0" w:space="0" w:color="auto"/>
      </w:divBdr>
    </w:div>
    <w:div w:id="748038001">
      <w:bodyDiv w:val="1"/>
      <w:marLeft w:val="0"/>
      <w:marRight w:val="0"/>
      <w:marTop w:val="0"/>
      <w:marBottom w:val="0"/>
      <w:divBdr>
        <w:top w:val="none" w:sz="0" w:space="0" w:color="auto"/>
        <w:left w:val="none" w:sz="0" w:space="0" w:color="auto"/>
        <w:bottom w:val="none" w:sz="0" w:space="0" w:color="auto"/>
        <w:right w:val="none" w:sz="0" w:space="0" w:color="auto"/>
      </w:divBdr>
    </w:div>
    <w:div w:id="769274861">
      <w:bodyDiv w:val="1"/>
      <w:marLeft w:val="0"/>
      <w:marRight w:val="0"/>
      <w:marTop w:val="0"/>
      <w:marBottom w:val="0"/>
      <w:divBdr>
        <w:top w:val="none" w:sz="0" w:space="0" w:color="auto"/>
        <w:left w:val="none" w:sz="0" w:space="0" w:color="auto"/>
        <w:bottom w:val="none" w:sz="0" w:space="0" w:color="auto"/>
        <w:right w:val="none" w:sz="0" w:space="0" w:color="auto"/>
      </w:divBdr>
      <w:divsChild>
        <w:div w:id="655184696">
          <w:marLeft w:val="0"/>
          <w:marRight w:val="0"/>
          <w:marTop w:val="0"/>
          <w:marBottom w:val="0"/>
          <w:divBdr>
            <w:top w:val="none" w:sz="0" w:space="0" w:color="auto"/>
            <w:left w:val="none" w:sz="0" w:space="0" w:color="auto"/>
            <w:bottom w:val="none" w:sz="0" w:space="0" w:color="auto"/>
            <w:right w:val="none" w:sz="0" w:space="0" w:color="auto"/>
          </w:divBdr>
          <w:divsChild>
            <w:div w:id="1557668954">
              <w:marLeft w:val="0"/>
              <w:marRight w:val="0"/>
              <w:marTop w:val="0"/>
              <w:marBottom w:val="0"/>
              <w:divBdr>
                <w:top w:val="none" w:sz="0" w:space="0" w:color="auto"/>
                <w:left w:val="none" w:sz="0" w:space="0" w:color="auto"/>
                <w:bottom w:val="none" w:sz="0" w:space="0" w:color="auto"/>
                <w:right w:val="none" w:sz="0" w:space="0" w:color="auto"/>
              </w:divBdr>
              <w:divsChild>
                <w:div w:id="5779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07459">
      <w:bodyDiv w:val="1"/>
      <w:marLeft w:val="0"/>
      <w:marRight w:val="0"/>
      <w:marTop w:val="0"/>
      <w:marBottom w:val="0"/>
      <w:divBdr>
        <w:top w:val="none" w:sz="0" w:space="0" w:color="auto"/>
        <w:left w:val="none" w:sz="0" w:space="0" w:color="auto"/>
        <w:bottom w:val="none" w:sz="0" w:space="0" w:color="auto"/>
        <w:right w:val="none" w:sz="0" w:space="0" w:color="auto"/>
      </w:divBdr>
      <w:divsChild>
        <w:div w:id="1083338634">
          <w:marLeft w:val="0"/>
          <w:marRight w:val="0"/>
          <w:marTop w:val="0"/>
          <w:marBottom w:val="0"/>
          <w:divBdr>
            <w:top w:val="none" w:sz="0" w:space="0" w:color="auto"/>
            <w:left w:val="none" w:sz="0" w:space="0" w:color="auto"/>
            <w:bottom w:val="none" w:sz="0" w:space="0" w:color="auto"/>
            <w:right w:val="none" w:sz="0" w:space="0" w:color="auto"/>
          </w:divBdr>
          <w:divsChild>
            <w:div w:id="1076786636">
              <w:marLeft w:val="0"/>
              <w:marRight w:val="0"/>
              <w:marTop w:val="0"/>
              <w:marBottom w:val="0"/>
              <w:divBdr>
                <w:top w:val="none" w:sz="0" w:space="0" w:color="auto"/>
                <w:left w:val="none" w:sz="0" w:space="0" w:color="auto"/>
                <w:bottom w:val="none" w:sz="0" w:space="0" w:color="auto"/>
                <w:right w:val="none" w:sz="0" w:space="0" w:color="auto"/>
              </w:divBdr>
              <w:divsChild>
                <w:div w:id="13591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00584">
      <w:bodyDiv w:val="1"/>
      <w:marLeft w:val="0"/>
      <w:marRight w:val="0"/>
      <w:marTop w:val="0"/>
      <w:marBottom w:val="0"/>
      <w:divBdr>
        <w:top w:val="none" w:sz="0" w:space="0" w:color="auto"/>
        <w:left w:val="none" w:sz="0" w:space="0" w:color="auto"/>
        <w:bottom w:val="none" w:sz="0" w:space="0" w:color="auto"/>
        <w:right w:val="none" w:sz="0" w:space="0" w:color="auto"/>
      </w:divBdr>
    </w:div>
    <w:div w:id="966353535">
      <w:bodyDiv w:val="1"/>
      <w:marLeft w:val="0"/>
      <w:marRight w:val="0"/>
      <w:marTop w:val="0"/>
      <w:marBottom w:val="0"/>
      <w:divBdr>
        <w:top w:val="none" w:sz="0" w:space="0" w:color="auto"/>
        <w:left w:val="none" w:sz="0" w:space="0" w:color="auto"/>
        <w:bottom w:val="none" w:sz="0" w:space="0" w:color="auto"/>
        <w:right w:val="none" w:sz="0" w:space="0" w:color="auto"/>
      </w:divBdr>
    </w:div>
    <w:div w:id="1047608324">
      <w:bodyDiv w:val="1"/>
      <w:marLeft w:val="0"/>
      <w:marRight w:val="0"/>
      <w:marTop w:val="0"/>
      <w:marBottom w:val="0"/>
      <w:divBdr>
        <w:top w:val="none" w:sz="0" w:space="0" w:color="auto"/>
        <w:left w:val="none" w:sz="0" w:space="0" w:color="auto"/>
        <w:bottom w:val="none" w:sz="0" w:space="0" w:color="auto"/>
        <w:right w:val="none" w:sz="0" w:space="0" w:color="auto"/>
      </w:divBdr>
      <w:divsChild>
        <w:div w:id="1053654453">
          <w:marLeft w:val="0"/>
          <w:marRight w:val="0"/>
          <w:marTop w:val="0"/>
          <w:marBottom w:val="0"/>
          <w:divBdr>
            <w:top w:val="none" w:sz="0" w:space="0" w:color="auto"/>
            <w:left w:val="none" w:sz="0" w:space="0" w:color="auto"/>
            <w:bottom w:val="none" w:sz="0" w:space="0" w:color="auto"/>
            <w:right w:val="none" w:sz="0" w:space="0" w:color="auto"/>
          </w:divBdr>
          <w:divsChild>
            <w:div w:id="1794789390">
              <w:marLeft w:val="0"/>
              <w:marRight w:val="0"/>
              <w:marTop w:val="0"/>
              <w:marBottom w:val="0"/>
              <w:divBdr>
                <w:top w:val="none" w:sz="0" w:space="0" w:color="auto"/>
                <w:left w:val="none" w:sz="0" w:space="0" w:color="auto"/>
                <w:bottom w:val="none" w:sz="0" w:space="0" w:color="auto"/>
                <w:right w:val="none" w:sz="0" w:space="0" w:color="auto"/>
              </w:divBdr>
              <w:divsChild>
                <w:div w:id="11008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2301">
      <w:bodyDiv w:val="1"/>
      <w:marLeft w:val="0"/>
      <w:marRight w:val="0"/>
      <w:marTop w:val="0"/>
      <w:marBottom w:val="0"/>
      <w:divBdr>
        <w:top w:val="none" w:sz="0" w:space="0" w:color="auto"/>
        <w:left w:val="none" w:sz="0" w:space="0" w:color="auto"/>
        <w:bottom w:val="none" w:sz="0" w:space="0" w:color="auto"/>
        <w:right w:val="none" w:sz="0" w:space="0" w:color="auto"/>
      </w:divBdr>
      <w:divsChild>
        <w:div w:id="1873105948">
          <w:marLeft w:val="0"/>
          <w:marRight w:val="0"/>
          <w:marTop w:val="0"/>
          <w:marBottom w:val="0"/>
          <w:divBdr>
            <w:top w:val="none" w:sz="0" w:space="0" w:color="auto"/>
            <w:left w:val="none" w:sz="0" w:space="0" w:color="auto"/>
            <w:bottom w:val="none" w:sz="0" w:space="0" w:color="auto"/>
            <w:right w:val="none" w:sz="0" w:space="0" w:color="auto"/>
          </w:divBdr>
          <w:divsChild>
            <w:div w:id="1938515371">
              <w:marLeft w:val="0"/>
              <w:marRight w:val="0"/>
              <w:marTop w:val="0"/>
              <w:marBottom w:val="0"/>
              <w:divBdr>
                <w:top w:val="none" w:sz="0" w:space="0" w:color="auto"/>
                <w:left w:val="none" w:sz="0" w:space="0" w:color="auto"/>
                <w:bottom w:val="none" w:sz="0" w:space="0" w:color="auto"/>
                <w:right w:val="none" w:sz="0" w:space="0" w:color="auto"/>
              </w:divBdr>
              <w:divsChild>
                <w:div w:id="7527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3123">
      <w:bodyDiv w:val="1"/>
      <w:marLeft w:val="0"/>
      <w:marRight w:val="0"/>
      <w:marTop w:val="0"/>
      <w:marBottom w:val="0"/>
      <w:divBdr>
        <w:top w:val="none" w:sz="0" w:space="0" w:color="auto"/>
        <w:left w:val="none" w:sz="0" w:space="0" w:color="auto"/>
        <w:bottom w:val="none" w:sz="0" w:space="0" w:color="auto"/>
        <w:right w:val="none" w:sz="0" w:space="0" w:color="auto"/>
      </w:divBdr>
    </w:div>
    <w:div w:id="1223130692">
      <w:bodyDiv w:val="1"/>
      <w:marLeft w:val="0"/>
      <w:marRight w:val="0"/>
      <w:marTop w:val="0"/>
      <w:marBottom w:val="0"/>
      <w:divBdr>
        <w:top w:val="none" w:sz="0" w:space="0" w:color="auto"/>
        <w:left w:val="none" w:sz="0" w:space="0" w:color="auto"/>
        <w:bottom w:val="none" w:sz="0" w:space="0" w:color="auto"/>
        <w:right w:val="none" w:sz="0" w:space="0" w:color="auto"/>
      </w:divBdr>
    </w:div>
    <w:div w:id="1247572519">
      <w:bodyDiv w:val="1"/>
      <w:marLeft w:val="0"/>
      <w:marRight w:val="0"/>
      <w:marTop w:val="0"/>
      <w:marBottom w:val="0"/>
      <w:divBdr>
        <w:top w:val="none" w:sz="0" w:space="0" w:color="auto"/>
        <w:left w:val="none" w:sz="0" w:space="0" w:color="auto"/>
        <w:bottom w:val="none" w:sz="0" w:space="0" w:color="auto"/>
        <w:right w:val="none" w:sz="0" w:space="0" w:color="auto"/>
      </w:divBdr>
    </w:div>
    <w:div w:id="1248730732">
      <w:bodyDiv w:val="1"/>
      <w:marLeft w:val="0"/>
      <w:marRight w:val="0"/>
      <w:marTop w:val="0"/>
      <w:marBottom w:val="0"/>
      <w:divBdr>
        <w:top w:val="none" w:sz="0" w:space="0" w:color="auto"/>
        <w:left w:val="none" w:sz="0" w:space="0" w:color="auto"/>
        <w:bottom w:val="none" w:sz="0" w:space="0" w:color="auto"/>
        <w:right w:val="none" w:sz="0" w:space="0" w:color="auto"/>
      </w:divBdr>
      <w:divsChild>
        <w:div w:id="619727379">
          <w:marLeft w:val="0"/>
          <w:marRight w:val="0"/>
          <w:marTop w:val="0"/>
          <w:marBottom w:val="0"/>
          <w:divBdr>
            <w:top w:val="none" w:sz="0" w:space="0" w:color="auto"/>
            <w:left w:val="none" w:sz="0" w:space="0" w:color="auto"/>
            <w:bottom w:val="none" w:sz="0" w:space="0" w:color="auto"/>
            <w:right w:val="none" w:sz="0" w:space="0" w:color="auto"/>
          </w:divBdr>
          <w:divsChild>
            <w:div w:id="641811445">
              <w:marLeft w:val="0"/>
              <w:marRight w:val="0"/>
              <w:marTop w:val="0"/>
              <w:marBottom w:val="0"/>
              <w:divBdr>
                <w:top w:val="none" w:sz="0" w:space="0" w:color="auto"/>
                <w:left w:val="none" w:sz="0" w:space="0" w:color="auto"/>
                <w:bottom w:val="none" w:sz="0" w:space="0" w:color="auto"/>
                <w:right w:val="none" w:sz="0" w:space="0" w:color="auto"/>
              </w:divBdr>
              <w:divsChild>
                <w:div w:id="827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4348">
      <w:bodyDiv w:val="1"/>
      <w:marLeft w:val="0"/>
      <w:marRight w:val="0"/>
      <w:marTop w:val="0"/>
      <w:marBottom w:val="0"/>
      <w:divBdr>
        <w:top w:val="none" w:sz="0" w:space="0" w:color="auto"/>
        <w:left w:val="none" w:sz="0" w:space="0" w:color="auto"/>
        <w:bottom w:val="none" w:sz="0" w:space="0" w:color="auto"/>
        <w:right w:val="none" w:sz="0" w:space="0" w:color="auto"/>
      </w:divBdr>
    </w:div>
    <w:div w:id="1458446839">
      <w:bodyDiv w:val="1"/>
      <w:marLeft w:val="0"/>
      <w:marRight w:val="0"/>
      <w:marTop w:val="0"/>
      <w:marBottom w:val="0"/>
      <w:divBdr>
        <w:top w:val="none" w:sz="0" w:space="0" w:color="auto"/>
        <w:left w:val="none" w:sz="0" w:space="0" w:color="auto"/>
        <w:bottom w:val="none" w:sz="0" w:space="0" w:color="auto"/>
        <w:right w:val="none" w:sz="0" w:space="0" w:color="auto"/>
      </w:divBdr>
    </w:div>
    <w:div w:id="1467351198">
      <w:bodyDiv w:val="1"/>
      <w:marLeft w:val="0"/>
      <w:marRight w:val="0"/>
      <w:marTop w:val="0"/>
      <w:marBottom w:val="0"/>
      <w:divBdr>
        <w:top w:val="none" w:sz="0" w:space="0" w:color="auto"/>
        <w:left w:val="none" w:sz="0" w:space="0" w:color="auto"/>
        <w:bottom w:val="none" w:sz="0" w:space="0" w:color="auto"/>
        <w:right w:val="none" w:sz="0" w:space="0" w:color="auto"/>
      </w:divBdr>
    </w:div>
    <w:div w:id="1620918060">
      <w:bodyDiv w:val="1"/>
      <w:marLeft w:val="0"/>
      <w:marRight w:val="0"/>
      <w:marTop w:val="0"/>
      <w:marBottom w:val="0"/>
      <w:divBdr>
        <w:top w:val="none" w:sz="0" w:space="0" w:color="auto"/>
        <w:left w:val="none" w:sz="0" w:space="0" w:color="auto"/>
        <w:bottom w:val="none" w:sz="0" w:space="0" w:color="auto"/>
        <w:right w:val="none" w:sz="0" w:space="0" w:color="auto"/>
      </w:divBdr>
    </w:div>
    <w:div w:id="1694182735">
      <w:bodyDiv w:val="1"/>
      <w:marLeft w:val="0"/>
      <w:marRight w:val="0"/>
      <w:marTop w:val="0"/>
      <w:marBottom w:val="0"/>
      <w:divBdr>
        <w:top w:val="none" w:sz="0" w:space="0" w:color="auto"/>
        <w:left w:val="none" w:sz="0" w:space="0" w:color="auto"/>
        <w:bottom w:val="none" w:sz="0" w:space="0" w:color="auto"/>
        <w:right w:val="none" w:sz="0" w:space="0" w:color="auto"/>
      </w:divBdr>
    </w:div>
    <w:div w:id="1702509095">
      <w:bodyDiv w:val="1"/>
      <w:marLeft w:val="0"/>
      <w:marRight w:val="0"/>
      <w:marTop w:val="0"/>
      <w:marBottom w:val="0"/>
      <w:divBdr>
        <w:top w:val="none" w:sz="0" w:space="0" w:color="auto"/>
        <w:left w:val="none" w:sz="0" w:space="0" w:color="auto"/>
        <w:bottom w:val="none" w:sz="0" w:space="0" w:color="auto"/>
        <w:right w:val="none" w:sz="0" w:space="0" w:color="auto"/>
      </w:divBdr>
    </w:div>
    <w:div w:id="1742093961">
      <w:bodyDiv w:val="1"/>
      <w:marLeft w:val="0"/>
      <w:marRight w:val="0"/>
      <w:marTop w:val="0"/>
      <w:marBottom w:val="0"/>
      <w:divBdr>
        <w:top w:val="none" w:sz="0" w:space="0" w:color="auto"/>
        <w:left w:val="none" w:sz="0" w:space="0" w:color="auto"/>
        <w:bottom w:val="none" w:sz="0" w:space="0" w:color="auto"/>
        <w:right w:val="none" w:sz="0" w:space="0" w:color="auto"/>
      </w:divBdr>
      <w:divsChild>
        <w:div w:id="1636177757">
          <w:marLeft w:val="0"/>
          <w:marRight w:val="0"/>
          <w:marTop w:val="0"/>
          <w:marBottom w:val="0"/>
          <w:divBdr>
            <w:top w:val="none" w:sz="0" w:space="0" w:color="auto"/>
            <w:left w:val="none" w:sz="0" w:space="0" w:color="auto"/>
            <w:bottom w:val="none" w:sz="0" w:space="0" w:color="auto"/>
            <w:right w:val="none" w:sz="0" w:space="0" w:color="auto"/>
          </w:divBdr>
          <w:divsChild>
            <w:div w:id="1411148737">
              <w:marLeft w:val="0"/>
              <w:marRight w:val="0"/>
              <w:marTop w:val="0"/>
              <w:marBottom w:val="0"/>
              <w:divBdr>
                <w:top w:val="none" w:sz="0" w:space="0" w:color="auto"/>
                <w:left w:val="none" w:sz="0" w:space="0" w:color="auto"/>
                <w:bottom w:val="none" w:sz="0" w:space="0" w:color="auto"/>
                <w:right w:val="none" w:sz="0" w:space="0" w:color="auto"/>
              </w:divBdr>
              <w:divsChild>
                <w:div w:id="12092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307">
      <w:bodyDiv w:val="1"/>
      <w:marLeft w:val="0"/>
      <w:marRight w:val="0"/>
      <w:marTop w:val="0"/>
      <w:marBottom w:val="0"/>
      <w:divBdr>
        <w:top w:val="none" w:sz="0" w:space="0" w:color="auto"/>
        <w:left w:val="none" w:sz="0" w:space="0" w:color="auto"/>
        <w:bottom w:val="none" w:sz="0" w:space="0" w:color="auto"/>
        <w:right w:val="none" w:sz="0" w:space="0" w:color="auto"/>
      </w:divBdr>
    </w:div>
    <w:div w:id="1825314898">
      <w:bodyDiv w:val="1"/>
      <w:marLeft w:val="0"/>
      <w:marRight w:val="0"/>
      <w:marTop w:val="0"/>
      <w:marBottom w:val="0"/>
      <w:divBdr>
        <w:top w:val="none" w:sz="0" w:space="0" w:color="auto"/>
        <w:left w:val="none" w:sz="0" w:space="0" w:color="auto"/>
        <w:bottom w:val="none" w:sz="0" w:space="0" w:color="auto"/>
        <w:right w:val="none" w:sz="0" w:space="0" w:color="auto"/>
      </w:divBdr>
    </w:div>
    <w:div w:id="1909150922">
      <w:bodyDiv w:val="1"/>
      <w:marLeft w:val="0"/>
      <w:marRight w:val="0"/>
      <w:marTop w:val="0"/>
      <w:marBottom w:val="0"/>
      <w:divBdr>
        <w:top w:val="none" w:sz="0" w:space="0" w:color="auto"/>
        <w:left w:val="none" w:sz="0" w:space="0" w:color="auto"/>
        <w:bottom w:val="none" w:sz="0" w:space="0" w:color="auto"/>
        <w:right w:val="none" w:sz="0" w:space="0" w:color="auto"/>
      </w:divBdr>
      <w:divsChild>
        <w:div w:id="1387337789">
          <w:marLeft w:val="0"/>
          <w:marRight w:val="0"/>
          <w:marTop w:val="0"/>
          <w:marBottom w:val="0"/>
          <w:divBdr>
            <w:top w:val="none" w:sz="0" w:space="0" w:color="auto"/>
            <w:left w:val="none" w:sz="0" w:space="0" w:color="auto"/>
            <w:bottom w:val="none" w:sz="0" w:space="0" w:color="auto"/>
            <w:right w:val="none" w:sz="0" w:space="0" w:color="auto"/>
          </w:divBdr>
          <w:divsChild>
            <w:div w:id="1692804804">
              <w:marLeft w:val="0"/>
              <w:marRight w:val="0"/>
              <w:marTop w:val="0"/>
              <w:marBottom w:val="0"/>
              <w:divBdr>
                <w:top w:val="none" w:sz="0" w:space="0" w:color="auto"/>
                <w:left w:val="none" w:sz="0" w:space="0" w:color="auto"/>
                <w:bottom w:val="none" w:sz="0" w:space="0" w:color="auto"/>
                <w:right w:val="none" w:sz="0" w:space="0" w:color="auto"/>
              </w:divBdr>
              <w:divsChild>
                <w:div w:id="12996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0851">
      <w:bodyDiv w:val="1"/>
      <w:marLeft w:val="0"/>
      <w:marRight w:val="0"/>
      <w:marTop w:val="0"/>
      <w:marBottom w:val="0"/>
      <w:divBdr>
        <w:top w:val="none" w:sz="0" w:space="0" w:color="auto"/>
        <w:left w:val="none" w:sz="0" w:space="0" w:color="auto"/>
        <w:bottom w:val="none" w:sz="0" w:space="0" w:color="auto"/>
        <w:right w:val="none" w:sz="0" w:space="0" w:color="auto"/>
      </w:divBdr>
      <w:divsChild>
        <w:div w:id="805463607">
          <w:marLeft w:val="0"/>
          <w:marRight w:val="0"/>
          <w:marTop w:val="0"/>
          <w:marBottom w:val="0"/>
          <w:divBdr>
            <w:top w:val="none" w:sz="0" w:space="0" w:color="auto"/>
            <w:left w:val="none" w:sz="0" w:space="0" w:color="auto"/>
            <w:bottom w:val="none" w:sz="0" w:space="0" w:color="auto"/>
            <w:right w:val="none" w:sz="0" w:space="0" w:color="auto"/>
          </w:divBdr>
          <w:divsChild>
            <w:div w:id="1693456046">
              <w:marLeft w:val="0"/>
              <w:marRight w:val="0"/>
              <w:marTop w:val="0"/>
              <w:marBottom w:val="0"/>
              <w:divBdr>
                <w:top w:val="none" w:sz="0" w:space="0" w:color="auto"/>
                <w:left w:val="none" w:sz="0" w:space="0" w:color="auto"/>
                <w:bottom w:val="none" w:sz="0" w:space="0" w:color="auto"/>
                <w:right w:val="none" w:sz="0" w:space="0" w:color="auto"/>
              </w:divBdr>
              <w:divsChild>
                <w:div w:id="17902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Gahman, Levi</dc:creator>
  <cp:lastModifiedBy>Gahman, Levi</cp:lastModifiedBy>
  <cp:revision>42</cp:revision>
  <dcterms:created xsi:type="dcterms:W3CDTF">2020-07-13T13:34:00Z</dcterms:created>
  <dcterms:modified xsi:type="dcterms:W3CDTF">2020-07-29T15:00:00Z</dcterms:modified>
</cp:coreProperties>
</file>