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529FC7" w14:textId="386E88E5" w:rsidR="00BC7334" w:rsidRPr="0024604A" w:rsidRDefault="00BC7334" w:rsidP="000F76C0">
      <w:pPr>
        <w:spacing w:line="360" w:lineRule="auto"/>
        <w:jc w:val="both"/>
        <w:rPr>
          <w:rFonts w:ascii="Calibri" w:hAnsi="Calibri"/>
          <w:b/>
          <w:bCs/>
          <w:sz w:val="32"/>
          <w:szCs w:val="28"/>
          <w:lang w:val="en-US" w:eastAsia="en-US"/>
        </w:rPr>
      </w:pPr>
      <w:bookmarkStart w:id="0" w:name="_Hlk34295829"/>
      <w:bookmarkStart w:id="1" w:name="_Hlk34238541"/>
      <w:bookmarkStart w:id="2" w:name="_GoBack"/>
      <w:r w:rsidRPr="0024604A">
        <w:rPr>
          <w:rFonts w:ascii="Calibri" w:hAnsi="Calibri"/>
          <w:b/>
          <w:bCs/>
          <w:sz w:val="32"/>
          <w:szCs w:val="28"/>
          <w:lang w:val="en-US" w:eastAsia="en-US"/>
        </w:rPr>
        <w:t>Phosp</w:t>
      </w:r>
      <w:r w:rsidR="00A34DC1" w:rsidRPr="0024604A">
        <w:rPr>
          <w:rFonts w:ascii="Calibri" w:hAnsi="Calibri"/>
          <w:b/>
          <w:bCs/>
          <w:sz w:val="32"/>
          <w:szCs w:val="28"/>
          <w:lang w:val="en-US" w:eastAsia="en-US"/>
        </w:rPr>
        <w:t>h</w:t>
      </w:r>
      <w:r w:rsidRPr="0024604A">
        <w:rPr>
          <w:rFonts w:ascii="Calibri" w:hAnsi="Calibri"/>
          <w:b/>
          <w:bCs/>
          <w:sz w:val="32"/>
          <w:szCs w:val="28"/>
          <w:lang w:val="en-US" w:eastAsia="en-US"/>
        </w:rPr>
        <w:t>olipidomics of peripheral blood mononuclear cells (PBM</w:t>
      </w:r>
      <w:r w:rsidR="003D3D0B" w:rsidRPr="0024604A">
        <w:rPr>
          <w:rFonts w:ascii="Calibri" w:hAnsi="Calibri"/>
          <w:b/>
          <w:bCs/>
          <w:sz w:val="32"/>
          <w:szCs w:val="28"/>
          <w:lang w:val="en-US" w:eastAsia="en-US"/>
        </w:rPr>
        <w:t>C</w:t>
      </w:r>
      <w:r w:rsidRPr="0024604A">
        <w:rPr>
          <w:rFonts w:ascii="Calibri" w:hAnsi="Calibri"/>
          <w:b/>
          <w:bCs/>
          <w:sz w:val="32"/>
          <w:szCs w:val="28"/>
          <w:lang w:val="en-US" w:eastAsia="en-US"/>
        </w:rPr>
        <w:t xml:space="preserve">): the tricky case of children with autism spectrum disorder (ASD) and their </w:t>
      </w:r>
      <w:r w:rsidR="002878FB" w:rsidRPr="0024604A">
        <w:rPr>
          <w:rFonts w:ascii="Calibri" w:hAnsi="Calibri"/>
          <w:b/>
          <w:bCs/>
          <w:sz w:val="32"/>
          <w:szCs w:val="28"/>
          <w:lang w:val="en-US" w:eastAsia="en-US"/>
        </w:rPr>
        <w:t xml:space="preserve">healthy </w:t>
      </w:r>
      <w:r w:rsidRPr="0024604A">
        <w:rPr>
          <w:rFonts w:ascii="Calibri" w:hAnsi="Calibri"/>
          <w:b/>
          <w:bCs/>
          <w:sz w:val="32"/>
          <w:szCs w:val="28"/>
          <w:lang w:val="en-US" w:eastAsia="en-US"/>
        </w:rPr>
        <w:t>siblings</w:t>
      </w:r>
    </w:p>
    <w:p w14:paraId="19F73C17" w14:textId="77777777" w:rsidR="00BC7334" w:rsidRPr="0024604A" w:rsidRDefault="00BC7334" w:rsidP="00BC7334">
      <w:pPr>
        <w:jc w:val="both"/>
        <w:rPr>
          <w:rFonts w:ascii="Calibri" w:hAnsi="Calibri"/>
          <w:b/>
          <w:bCs/>
          <w:sz w:val="32"/>
          <w:szCs w:val="28"/>
          <w:lang w:val="en-US" w:eastAsia="en-US"/>
        </w:rPr>
      </w:pPr>
    </w:p>
    <w:bookmarkEnd w:id="0"/>
    <w:p w14:paraId="1FEDACD2" w14:textId="007F28AF" w:rsidR="00DE56B3" w:rsidRPr="0024604A" w:rsidRDefault="00DE56B3" w:rsidP="008219C6">
      <w:pPr>
        <w:pStyle w:val="NormaleWeb"/>
        <w:spacing w:line="480" w:lineRule="auto"/>
        <w:rPr>
          <w:rFonts w:ascii="Calibri" w:hAnsi="Calibri" w:cs="Calibri"/>
          <w:position w:val="8"/>
        </w:rPr>
      </w:pPr>
      <w:r w:rsidRPr="0024604A">
        <w:rPr>
          <w:rFonts w:ascii="Calibri" w:hAnsi="Calibri" w:cs="Calibri"/>
        </w:rPr>
        <w:t>G. Ventura</w:t>
      </w:r>
      <w:r w:rsidRPr="0024604A">
        <w:rPr>
          <w:rFonts w:ascii="Calibri" w:hAnsi="Calibri" w:cs="Calibri"/>
          <w:iCs/>
          <w:position w:val="8"/>
          <w:sz w:val="16"/>
          <w:szCs w:val="16"/>
        </w:rPr>
        <w:t>1</w:t>
      </w:r>
      <w:r w:rsidRPr="0024604A">
        <w:rPr>
          <w:rFonts w:ascii="Calibri" w:hAnsi="Calibri" w:cs="Calibri"/>
        </w:rPr>
        <w:t>, C. D. Calvano</w:t>
      </w:r>
      <w:r w:rsidRPr="0024604A">
        <w:rPr>
          <w:rFonts w:ascii="Calibri" w:hAnsi="Calibri" w:cs="Calibri"/>
          <w:iCs/>
          <w:position w:val="8"/>
          <w:sz w:val="16"/>
          <w:szCs w:val="16"/>
        </w:rPr>
        <w:t>1,2</w:t>
      </w:r>
      <w:r w:rsidRPr="0024604A">
        <w:rPr>
          <w:rFonts w:ascii="Calibri" w:hAnsi="Calibri" w:cs="Calibri"/>
        </w:rPr>
        <w:t>, V. Porcelli</w:t>
      </w:r>
      <w:r w:rsidRPr="0024604A">
        <w:rPr>
          <w:rFonts w:ascii="Calibri" w:hAnsi="Calibri" w:cs="Calibri"/>
          <w:position w:val="8"/>
          <w:sz w:val="16"/>
          <w:szCs w:val="16"/>
        </w:rPr>
        <w:t>3</w:t>
      </w:r>
      <w:r w:rsidRPr="0024604A">
        <w:rPr>
          <w:rFonts w:ascii="Calibri" w:hAnsi="Calibri" w:cs="Calibri"/>
        </w:rPr>
        <w:t>, L. Palmieri</w:t>
      </w:r>
      <w:r w:rsidRPr="0024604A">
        <w:rPr>
          <w:rFonts w:ascii="Calibri" w:hAnsi="Calibri" w:cs="Calibri"/>
          <w:position w:val="8"/>
          <w:sz w:val="16"/>
          <w:szCs w:val="16"/>
        </w:rPr>
        <w:t>3,4</w:t>
      </w:r>
      <w:r w:rsidRPr="0024604A">
        <w:rPr>
          <w:rFonts w:ascii="Calibri" w:hAnsi="Calibri" w:cs="Calibri"/>
        </w:rPr>
        <w:t>,</w:t>
      </w:r>
      <w:r w:rsidR="000C5510" w:rsidRPr="0024604A">
        <w:rPr>
          <w:rFonts w:asciiTheme="minorHAnsi" w:eastAsiaTheme="minorHAnsi" w:hAnsiTheme="minorHAnsi" w:cstheme="minorBidi"/>
          <w:lang w:eastAsia="en-US"/>
        </w:rPr>
        <w:t xml:space="preserve"> </w:t>
      </w:r>
      <w:r w:rsidR="00AC34F4" w:rsidRPr="0024604A">
        <w:rPr>
          <w:rFonts w:asciiTheme="minorHAnsi" w:eastAsiaTheme="minorHAnsi" w:hAnsiTheme="minorHAnsi" w:cstheme="minorBidi"/>
          <w:lang w:eastAsia="en-US"/>
        </w:rPr>
        <w:t>A</w:t>
      </w:r>
      <w:r w:rsidR="000C5510" w:rsidRPr="0024604A">
        <w:rPr>
          <w:rFonts w:asciiTheme="minorHAnsi" w:eastAsiaTheme="minorHAnsi" w:hAnsiTheme="minorHAnsi" w:cstheme="minorBidi"/>
          <w:lang w:eastAsia="en-US"/>
        </w:rPr>
        <w:t xml:space="preserve">. </w:t>
      </w:r>
      <w:r w:rsidR="000C5510" w:rsidRPr="0024604A">
        <w:rPr>
          <w:rFonts w:ascii="Calibri" w:hAnsi="Calibri" w:cs="Calibri"/>
        </w:rPr>
        <w:t>De Giacomo</w:t>
      </w:r>
      <w:r w:rsidR="000C5510" w:rsidRPr="0024604A">
        <w:rPr>
          <w:rFonts w:ascii="Calibri" w:hAnsi="Calibri" w:cs="Calibri"/>
          <w:vertAlign w:val="superscript"/>
        </w:rPr>
        <w:t>5</w:t>
      </w:r>
      <w:r w:rsidR="000C5510" w:rsidRPr="0024604A">
        <w:rPr>
          <w:rFonts w:ascii="Calibri" w:hAnsi="Calibri" w:cs="Calibri"/>
        </w:rPr>
        <w:t>,</w:t>
      </w:r>
      <w:r w:rsidRPr="0024604A">
        <w:rPr>
          <w:rFonts w:ascii="Calibri" w:hAnsi="Calibri" w:cs="Calibri"/>
        </w:rPr>
        <w:t xml:space="preserve"> Y. </w:t>
      </w:r>
      <w:r w:rsidR="000C5510" w:rsidRPr="0024604A">
        <w:rPr>
          <w:rFonts w:ascii="Calibri" w:hAnsi="Calibri" w:cs="Calibri"/>
        </w:rPr>
        <w:t>Xu</w:t>
      </w:r>
      <w:r w:rsidR="000C5510" w:rsidRPr="0024604A">
        <w:rPr>
          <w:rFonts w:ascii="Calibri" w:hAnsi="Calibri" w:cs="Calibri"/>
          <w:iCs/>
          <w:position w:val="8"/>
          <w:sz w:val="16"/>
          <w:szCs w:val="16"/>
        </w:rPr>
        <w:t>6</w:t>
      </w:r>
      <w:r w:rsidRPr="0024604A">
        <w:rPr>
          <w:rFonts w:ascii="Calibri" w:hAnsi="Calibri" w:cs="Calibri"/>
        </w:rPr>
        <w:t xml:space="preserve">, R. </w:t>
      </w:r>
      <w:r w:rsidR="000C5510" w:rsidRPr="0024604A">
        <w:rPr>
          <w:rFonts w:ascii="Calibri" w:hAnsi="Calibri" w:cs="Calibri"/>
        </w:rPr>
        <w:t>Goodacre</w:t>
      </w:r>
      <w:r w:rsidR="000C5510" w:rsidRPr="0024604A">
        <w:rPr>
          <w:rFonts w:ascii="Calibri" w:hAnsi="Calibri" w:cs="Calibri"/>
          <w:iCs/>
          <w:position w:val="8"/>
          <w:sz w:val="16"/>
          <w:szCs w:val="16"/>
        </w:rPr>
        <w:t>6</w:t>
      </w:r>
      <w:r w:rsidRPr="0024604A">
        <w:rPr>
          <w:rFonts w:ascii="Calibri" w:hAnsi="Calibri" w:cs="Calibri"/>
        </w:rPr>
        <w:t>, F. Palmisano</w:t>
      </w:r>
      <w:r w:rsidRPr="0024604A">
        <w:rPr>
          <w:rFonts w:ascii="Calibri" w:hAnsi="Calibri" w:cs="Calibri"/>
          <w:iCs/>
          <w:position w:val="8"/>
          <w:sz w:val="16"/>
          <w:szCs w:val="16"/>
        </w:rPr>
        <w:t xml:space="preserve">1,2 </w:t>
      </w:r>
      <w:r w:rsidRPr="0024604A">
        <w:rPr>
          <w:rFonts w:ascii="Calibri" w:hAnsi="Calibri" w:cs="Calibri"/>
        </w:rPr>
        <w:t>and T.R.I. Cataldi</w:t>
      </w:r>
      <w:r w:rsidR="00AC34F4" w:rsidRPr="0024604A">
        <w:rPr>
          <w:rFonts w:ascii="Calibri" w:hAnsi="Calibri" w:cs="Calibri"/>
        </w:rPr>
        <w:t>*</w:t>
      </w:r>
      <w:r w:rsidRPr="0024604A">
        <w:rPr>
          <w:rFonts w:ascii="Calibri" w:hAnsi="Calibri" w:cs="Calibri"/>
          <w:iCs/>
          <w:position w:val="8"/>
          <w:sz w:val="16"/>
          <w:szCs w:val="16"/>
        </w:rPr>
        <w:t>1,2</w:t>
      </w:r>
    </w:p>
    <w:p w14:paraId="7C0BC549" w14:textId="59EEBEED" w:rsidR="00DE56B3" w:rsidRPr="0024604A" w:rsidRDefault="008219C6" w:rsidP="00DE56B3">
      <w:pPr>
        <w:pStyle w:val="NormaleWeb"/>
        <w:rPr>
          <w:rFonts w:asciiTheme="minorHAnsi" w:hAnsiTheme="minorHAnsi" w:cstheme="minorHAnsi"/>
          <w:i/>
          <w:iCs/>
          <w:lang w:val="en-GB"/>
        </w:rPr>
      </w:pPr>
      <w:r w:rsidRPr="0024604A">
        <w:rPr>
          <w:rFonts w:asciiTheme="minorHAnsi" w:hAnsiTheme="minorHAnsi" w:cstheme="minorHAnsi"/>
          <w:i/>
          <w:iCs/>
          <w:vertAlign w:val="superscript"/>
          <w:lang w:val="en-GB"/>
        </w:rPr>
        <w:t>1</w:t>
      </w:r>
      <w:r w:rsidR="00DE56B3" w:rsidRPr="0024604A">
        <w:rPr>
          <w:rFonts w:asciiTheme="minorHAnsi" w:hAnsiTheme="minorHAnsi" w:cstheme="minorHAnsi"/>
          <w:i/>
          <w:iCs/>
          <w:lang w:val="en-GB"/>
        </w:rPr>
        <w:t xml:space="preserve">Department of Chemistry, and </w:t>
      </w:r>
      <w:r w:rsidRPr="0024604A">
        <w:rPr>
          <w:rFonts w:asciiTheme="minorHAnsi" w:hAnsiTheme="minorHAnsi" w:cstheme="minorHAnsi"/>
          <w:i/>
          <w:iCs/>
          <w:vertAlign w:val="superscript"/>
          <w:lang w:val="en-GB"/>
        </w:rPr>
        <w:t>2</w:t>
      </w:r>
      <w:r w:rsidR="00DE56B3" w:rsidRPr="0024604A">
        <w:rPr>
          <w:rFonts w:asciiTheme="minorHAnsi" w:hAnsiTheme="minorHAnsi" w:cstheme="minorHAnsi"/>
          <w:i/>
          <w:iCs/>
          <w:lang w:val="en-GB"/>
        </w:rPr>
        <w:t xml:space="preserve">Interdepartmental Research </w:t>
      </w:r>
      <w:proofErr w:type="spellStart"/>
      <w:r w:rsidR="00DE56B3" w:rsidRPr="0024604A">
        <w:rPr>
          <w:rFonts w:asciiTheme="minorHAnsi" w:hAnsiTheme="minorHAnsi" w:cstheme="minorHAnsi"/>
          <w:i/>
          <w:iCs/>
          <w:lang w:val="en-GB"/>
        </w:rPr>
        <w:t>Center</w:t>
      </w:r>
      <w:proofErr w:type="spellEnd"/>
      <w:r w:rsidR="00DE56B3" w:rsidRPr="0024604A">
        <w:rPr>
          <w:rFonts w:asciiTheme="minorHAnsi" w:hAnsiTheme="minorHAnsi" w:cstheme="minorHAnsi"/>
          <w:i/>
          <w:iCs/>
          <w:lang w:val="en-GB"/>
        </w:rPr>
        <w:t xml:space="preserve"> SMART University of Bari Aldo Moro, via </w:t>
      </w:r>
      <w:proofErr w:type="spellStart"/>
      <w:r w:rsidR="00DE56B3" w:rsidRPr="0024604A">
        <w:rPr>
          <w:rFonts w:asciiTheme="minorHAnsi" w:hAnsiTheme="minorHAnsi" w:cstheme="minorHAnsi"/>
          <w:i/>
          <w:iCs/>
          <w:lang w:val="en-GB"/>
        </w:rPr>
        <w:t>Orabona</w:t>
      </w:r>
      <w:proofErr w:type="spellEnd"/>
      <w:r w:rsidR="00DE56B3" w:rsidRPr="0024604A">
        <w:rPr>
          <w:rFonts w:asciiTheme="minorHAnsi" w:hAnsiTheme="minorHAnsi" w:cstheme="minorHAnsi"/>
          <w:i/>
          <w:iCs/>
          <w:lang w:val="en-GB"/>
        </w:rPr>
        <w:t xml:space="preserve"> 4, 70126, Bari, Italy </w:t>
      </w:r>
    </w:p>
    <w:p w14:paraId="3181FD42" w14:textId="4B2FB583" w:rsidR="000C5510" w:rsidRPr="0024604A" w:rsidRDefault="008219C6" w:rsidP="000C5510">
      <w:pPr>
        <w:pStyle w:val="NormaleWeb"/>
        <w:rPr>
          <w:rFonts w:asciiTheme="minorHAnsi" w:hAnsiTheme="minorHAnsi" w:cstheme="minorHAnsi"/>
          <w:i/>
          <w:iCs/>
          <w:lang w:val="en-GB"/>
        </w:rPr>
      </w:pPr>
      <w:r w:rsidRPr="0024604A">
        <w:rPr>
          <w:rFonts w:asciiTheme="minorHAnsi" w:hAnsiTheme="minorHAnsi" w:cstheme="minorHAnsi"/>
          <w:i/>
          <w:iCs/>
          <w:vertAlign w:val="superscript"/>
          <w:lang w:val="en-GB"/>
        </w:rPr>
        <w:t>3</w:t>
      </w:r>
      <w:r w:rsidR="00DE56B3" w:rsidRPr="0024604A">
        <w:rPr>
          <w:rFonts w:asciiTheme="minorHAnsi" w:hAnsiTheme="minorHAnsi" w:cstheme="minorHAnsi"/>
          <w:i/>
          <w:iCs/>
          <w:lang w:val="en-GB"/>
        </w:rPr>
        <w:t xml:space="preserve">Department of Biosciences, Biotechnologies and Biopharmaceutics, University of Bari Aldo Moro, via </w:t>
      </w:r>
      <w:proofErr w:type="spellStart"/>
      <w:r w:rsidR="00DE56B3" w:rsidRPr="0024604A">
        <w:rPr>
          <w:rFonts w:asciiTheme="minorHAnsi" w:hAnsiTheme="minorHAnsi" w:cstheme="minorHAnsi"/>
          <w:i/>
          <w:iCs/>
          <w:lang w:val="en-GB"/>
        </w:rPr>
        <w:t>Orabona</w:t>
      </w:r>
      <w:proofErr w:type="spellEnd"/>
      <w:r w:rsidR="00DE56B3" w:rsidRPr="0024604A">
        <w:rPr>
          <w:rFonts w:asciiTheme="minorHAnsi" w:hAnsiTheme="minorHAnsi" w:cstheme="minorHAnsi"/>
          <w:i/>
          <w:iCs/>
          <w:lang w:val="en-GB"/>
        </w:rPr>
        <w:t xml:space="preserve"> 4, 70126, Bari, Italy </w:t>
      </w:r>
      <w:r w:rsidRPr="0024604A">
        <w:rPr>
          <w:rFonts w:asciiTheme="minorHAnsi" w:hAnsiTheme="minorHAnsi" w:cstheme="minorHAnsi"/>
          <w:i/>
          <w:iCs/>
          <w:vertAlign w:val="superscript"/>
          <w:lang w:val="en-GB"/>
        </w:rPr>
        <w:t>4</w:t>
      </w:r>
      <w:r w:rsidR="000C5510" w:rsidRPr="0024604A">
        <w:rPr>
          <w:rFonts w:asciiTheme="minorHAnsi" w:hAnsiTheme="minorHAnsi" w:cstheme="minorHAnsi"/>
          <w:i/>
          <w:iCs/>
          <w:shd w:val="clear" w:color="auto" w:fill="FFFFFF"/>
          <w:lang w:val="en-GB"/>
        </w:rPr>
        <w:t xml:space="preserve">CNR Institute of </w:t>
      </w:r>
      <w:proofErr w:type="spellStart"/>
      <w:r w:rsidR="000C5510" w:rsidRPr="0024604A">
        <w:rPr>
          <w:rFonts w:asciiTheme="minorHAnsi" w:hAnsiTheme="minorHAnsi" w:cstheme="minorHAnsi"/>
          <w:i/>
          <w:iCs/>
          <w:shd w:val="clear" w:color="auto" w:fill="FFFFFF"/>
          <w:lang w:val="en-GB"/>
        </w:rPr>
        <w:t>Biomembranes</w:t>
      </w:r>
      <w:proofErr w:type="spellEnd"/>
      <w:r w:rsidR="000C5510" w:rsidRPr="0024604A">
        <w:rPr>
          <w:rFonts w:asciiTheme="minorHAnsi" w:hAnsiTheme="minorHAnsi" w:cstheme="minorHAnsi"/>
          <w:i/>
          <w:iCs/>
          <w:shd w:val="clear" w:color="auto" w:fill="FFFFFF"/>
          <w:lang w:val="en-GB"/>
        </w:rPr>
        <w:t>, Bioenergetics and Molecular Biotechnologies (IBIOM), Bari, Italy</w:t>
      </w:r>
    </w:p>
    <w:p w14:paraId="2196ED1C" w14:textId="1B84ABD4" w:rsidR="000C5510" w:rsidRPr="0024604A" w:rsidRDefault="000C5510" w:rsidP="000C5510">
      <w:pPr>
        <w:pStyle w:val="NormaleWeb"/>
        <w:rPr>
          <w:rFonts w:asciiTheme="minorHAnsi" w:hAnsiTheme="minorHAnsi" w:cstheme="minorHAnsi"/>
          <w:i/>
          <w:iCs/>
          <w:lang w:val="en-GB"/>
        </w:rPr>
      </w:pPr>
      <w:r w:rsidRPr="0024604A">
        <w:rPr>
          <w:rFonts w:asciiTheme="minorHAnsi" w:hAnsiTheme="minorHAnsi" w:cstheme="minorHAnsi"/>
          <w:i/>
          <w:iCs/>
          <w:vertAlign w:val="superscript"/>
          <w:lang w:val="en-GB"/>
        </w:rPr>
        <w:t>5</w:t>
      </w:r>
      <w:r w:rsidRPr="0024604A">
        <w:rPr>
          <w:rFonts w:asciiTheme="minorHAnsi" w:hAnsiTheme="minorHAnsi" w:cstheme="minorHAnsi"/>
          <w:i/>
          <w:iCs/>
          <w:lang w:val="en-GB"/>
        </w:rPr>
        <w:t>Child Neuropsychiatry Unit, Department of Basic Medical Sciences, Neuroscience and Sense Organs, University of Bari Aldo Moro, Bari, Italy</w:t>
      </w:r>
    </w:p>
    <w:p w14:paraId="5C5A69B5" w14:textId="1F1D7D7A" w:rsidR="00210AB3" w:rsidRPr="0024604A" w:rsidRDefault="000C5510" w:rsidP="00210AB3">
      <w:pPr>
        <w:pStyle w:val="NormaleWeb"/>
        <w:rPr>
          <w:rFonts w:ascii="Calibri" w:hAnsi="Calibri" w:cs="Calibri"/>
          <w:i/>
          <w:iCs/>
          <w:lang w:val="en-US"/>
        </w:rPr>
      </w:pPr>
      <w:r w:rsidRPr="0024604A">
        <w:rPr>
          <w:rFonts w:ascii="Calibri" w:hAnsi="Calibri" w:cs="Calibri"/>
          <w:i/>
          <w:iCs/>
          <w:position w:val="8"/>
          <w:sz w:val="16"/>
          <w:szCs w:val="16"/>
          <w:lang w:val="en-GB"/>
        </w:rPr>
        <w:t>6</w:t>
      </w:r>
      <w:r w:rsidRPr="0024604A">
        <w:rPr>
          <w:rFonts w:ascii="Calibri" w:hAnsi="Calibri" w:cs="Calibri"/>
          <w:i/>
          <w:iCs/>
          <w:lang w:val="en-US"/>
        </w:rPr>
        <w:t xml:space="preserve">Department </w:t>
      </w:r>
      <w:r w:rsidR="00210AB3" w:rsidRPr="0024604A">
        <w:rPr>
          <w:rFonts w:ascii="Calibri" w:hAnsi="Calibri" w:cs="Calibri"/>
          <w:i/>
          <w:iCs/>
          <w:lang w:val="en-US"/>
        </w:rPr>
        <w:t xml:space="preserve">of Biochemistry, Institute of Integrative Biology, University of Liverpool, </w:t>
      </w:r>
      <w:r w:rsidR="00BC4A07" w:rsidRPr="0024604A">
        <w:rPr>
          <w:rFonts w:ascii="Calibri" w:hAnsi="Calibri" w:cs="Calibri"/>
          <w:i/>
          <w:iCs/>
          <w:lang w:val="en-US"/>
        </w:rPr>
        <w:t xml:space="preserve">Biosciences Building, Crown Street, Liverpool L69 7ZB, </w:t>
      </w:r>
      <w:r w:rsidR="00210AB3" w:rsidRPr="0024604A">
        <w:rPr>
          <w:rFonts w:ascii="Calibri" w:hAnsi="Calibri" w:cs="Calibri"/>
          <w:i/>
          <w:iCs/>
          <w:lang w:val="en-US"/>
        </w:rPr>
        <w:t>UK</w:t>
      </w:r>
    </w:p>
    <w:bookmarkEnd w:id="1"/>
    <w:p w14:paraId="0463991A" w14:textId="77777777" w:rsidR="001F5530" w:rsidRPr="0024604A" w:rsidRDefault="001F5530" w:rsidP="004954AE">
      <w:pPr>
        <w:spacing w:line="480" w:lineRule="auto"/>
        <w:rPr>
          <w:rFonts w:ascii="Calibri" w:hAnsi="Calibri"/>
          <w:b/>
          <w:bCs/>
          <w:iCs/>
          <w:lang w:val="en-GB"/>
        </w:rPr>
      </w:pPr>
    </w:p>
    <w:p w14:paraId="6BCA9042" w14:textId="77777777" w:rsidR="004E7527" w:rsidRPr="0024604A" w:rsidRDefault="004E7527" w:rsidP="004954AE">
      <w:pPr>
        <w:widowControl w:val="0"/>
        <w:tabs>
          <w:tab w:val="left" w:pos="864"/>
          <w:tab w:val="left" w:pos="960"/>
        </w:tabs>
        <w:spacing w:line="480" w:lineRule="auto"/>
        <w:ind w:left="567" w:right="567"/>
        <w:jc w:val="both"/>
        <w:outlineLvl w:val="0"/>
        <w:rPr>
          <w:rFonts w:ascii="Calibri" w:hAnsi="Calibri"/>
          <w:lang w:val="en-GB"/>
        </w:rPr>
      </w:pPr>
      <w:r w:rsidRPr="0024604A">
        <w:rPr>
          <w:rFonts w:ascii="Calibri" w:hAnsi="Calibri"/>
          <w:lang w:val="en-GB"/>
        </w:rPr>
        <w:t xml:space="preserve">Number of Tables: </w:t>
      </w:r>
      <w:r w:rsidR="00163C54" w:rsidRPr="0024604A">
        <w:rPr>
          <w:rFonts w:ascii="Calibri" w:hAnsi="Calibri"/>
          <w:lang w:val="en-GB"/>
        </w:rPr>
        <w:t>2</w:t>
      </w:r>
    </w:p>
    <w:p w14:paraId="550D32E7" w14:textId="77777777" w:rsidR="00A127C5" w:rsidRPr="0024604A" w:rsidRDefault="00A127C5" w:rsidP="004954AE">
      <w:pPr>
        <w:widowControl w:val="0"/>
        <w:tabs>
          <w:tab w:val="left" w:pos="864"/>
          <w:tab w:val="left" w:pos="960"/>
        </w:tabs>
        <w:spacing w:line="480" w:lineRule="auto"/>
        <w:ind w:left="567" w:right="567"/>
        <w:jc w:val="both"/>
        <w:rPr>
          <w:rFonts w:ascii="Calibri" w:hAnsi="Calibri"/>
          <w:lang w:val="en-GB"/>
        </w:rPr>
      </w:pPr>
      <w:r w:rsidRPr="0024604A">
        <w:rPr>
          <w:rFonts w:ascii="Calibri" w:hAnsi="Calibri"/>
          <w:lang w:val="en-GB"/>
        </w:rPr>
        <w:t>Number of Figures:</w:t>
      </w:r>
      <w:r w:rsidR="00B744C7" w:rsidRPr="0024604A">
        <w:rPr>
          <w:rFonts w:ascii="Calibri" w:hAnsi="Calibri"/>
          <w:lang w:val="en-GB"/>
        </w:rPr>
        <w:t xml:space="preserve"> </w:t>
      </w:r>
      <w:r w:rsidR="004B60F9" w:rsidRPr="0024604A">
        <w:rPr>
          <w:rFonts w:ascii="Calibri" w:hAnsi="Calibri"/>
          <w:lang w:val="en-GB"/>
        </w:rPr>
        <w:t>7</w:t>
      </w:r>
    </w:p>
    <w:p w14:paraId="7666BCBA" w14:textId="77777777" w:rsidR="00D724B4" w:rsidRPr="0024604A" w:rsidRDefault="00D724B4" w:rsidP="004954AE">
      <w:pPr>
        <w:widowControl w:val="0"/>
        <w:tabs>
          <w:tab w:val="left" w:pos="864"/>
          <w:tab w:val="left" w:pos="960"/>
        </w:tabs>
        <w:spacing w:line="480" w:lineRule="auto"/>
        <w:ind w:left="567" w:right="567"/>
        <w:jc w:val="both"/>
        <w:rPr>
          <w:rFonts w:ascii="Calibri" w:hAnsi="Calibri"/>
          <w:lang w:val="en-GB"/>
        </w:rPr>
      </w:pPr>
      <w:r w:rsidRPr="0024604A">
        <w:rPr>
          <w:rFonts w:ascii="Calibri" w:hAnsi="Calibri"/>
          <w:lang w:val="en-GB"/>
        </w:rPr>
        <w:t xml:space="preserve">Number of Schemes: </w:t>
      </w:r>
      <w:r w:rsidR="00163C54" w:rsidRPr="0024604A">
        <w:rPr>
          <w:rFonts w:ascii="Calibri" w:hAnsi="Calibri"/>
          <w:lang w:val="en-GB"/>
        </w:rPr>
        <w:t>1</w:t>
      </w:r>
    </w:p>
    <w:p w14:paraId="2CA8B188" w14:textId="59B1E7E5" w:rsidR="003B0DF3" w:rsidRPr="0024604A" w:rsidRDefault="00A127C5" w:rsidP="004954AE">
      <w:pPr>
        <w:widowControl w:val="0"/>
        <w:tabs>
          <w:tab w:val="left" w:pos="864"/>
          <w:tab w:val="left" w:pos="960"/>
        </w:tabs>
        <w:spacing w:line="480" w:lineRule="auto"/>
        <w:ind w:left="567" w:right="567"/>
        <w:jc w:val="both"/>
        <w:rPr>
          <w:rFonts w:ascii="Calibri" w:hAnsi="Calibri"/>
          <w:lang w:val="en-GB"/>
        </w:rPr>
      </w:pPr>
      <w:r w:rsidRPr="0024604A">
        <w:rPr>
          <w:rFonts w:ascii="Calibri" w:hAnsi="Calibri"/>
          <w:lang w:val="en-GB"/>
        </w:rPr>
        <w:t>Supplemental Material: Yes</w:t>
      </w:r>
    </w:p>
    <w:p w14:paraId="0D2F1CB4" w14:textId="3E4793C7" w:rsidR="004B4D96" w:rsidRPr="0024604A" w:rsidRDefault="004B4D96" w:rsidP="004954AE">
      <w:pPr>
        <w:autoSpaceDE w:val="0"/>
        <w:autoSpaceDN w:val="0"/>
        <w:adjustRightInd w:val="0"/>
        <w:spacing w:line="480" w:lineRule="auto"/>
        <w:jc w:val="both"/>
        <w:rPr>
          <w:rFonts w:ascii="Calibri" w:hAnsi="Calibri"/>
          <w:b/>
          <w:lang w:val="en-GB"/>
        </w:rPr>
      </w:pPr>
    </w:p>
    <w:p w14:paraId="5AFD20C5" w14:textId="77777777" w:rsidR="00777A41" w:rsidRPr="0024604A" w:rsidRDefault="00777A41" w:rsidP="004954AE">
      <w:pPr>
        <w:autoSpaceDE w:val="0"/>
        <w:autoSpaceDN w:val="0"/>
        <w:adjustRightInd w:val="0"/>
        <w:spacing w:line="480" w:lineRule="auto"/>
        <w:jc w:val="both"/>
        <w:rPr>
          <w:rFonts w:ascii="Calibri" w:hAnsi="Calibri"/>
          <w:b/>
          <w:lang w:val="en-GB"/>
        </w:rPr>
      </w:pPr>
    </w:p>
    <w:p w14:paraId="0586B63B" w14:textId="1C09A6AA" w:rsidR="008219C6" w:rsidRPr="0024604A" w:rsidRDefault="008219C6" w:rsidP="004954AE">
      <w:pPr>
        <w:autoSpaceDE w:val="0"/>
        <w:autoSpaceDN w:val="0"/>
        <w:adjustRightInd w:val="0"/>
        <w:spacing w:line="480" w:lineRule="auto"/>
        <w:jc w:val="both"/>
        <w:rPr>
          <w:rFonts w:ascii="Calibri" w:hAnsi="Calibri"/>
          <w:b/>
          <w:lang w:val="en-GB"/>
        </w:rPr>
      </w:pPr>
    </w:p>
    <w:p w14:paraId="636CE454" w14:textId="152F328B" w:rsidR="00650CF0" w:rsidRPr="0024604A" w:rsidRDefault="00A127C5" w:rsidP="001F5530">
      <w:pPr>
        <w:autoSpaceDE w:val="0"/>
        <w:autoSpaceDN w:val="0"/>
        <w:adjustRightInd w:val="0"/>
        <w:jc w:val="both"/>
        <w:rPr>
          <w:rFonts w:ascii="Calibri" w:hAnsi="Calibri"/>
          <w:lang w:val="en-GB"/>
        </w:rPr>
      </w:pPr>
      <w:r w:rsidRPr="0024604A">
        <w:rPr>
          <w:rFonts w:ascii="Calibri" w:hAnsi="Calibri"/>
          <w:b/>
          <w:lang w:val="en-GB"/>
        </w:rPr>
        <w:t>Keywords:</w:t>
      </w:r>
      <w:r w:rsidR="00EA0D3E" w:rsidRPr="0024604A">
        <w:rPr>
          <w:rFonts w:ascii="Calibri" w:hAnsi="Calibri"/>
          <w:lang w:val="en-GB"/>
        </w:rPr>
        <w:t xml:space="preserve"> </w:t>
      </w:r>
      <w:r w:rsidR="00650CF0" w:rsidRPr="0024604A">
        <w:rPr>
          <w:rFonts w:ascii="Calibri" w:hAnsi="Calibri"/>
          <w:lang w:val="en-GB"/>
        </w:rPr>
        <w:t xml:space="preserve">Autism </w:t>
      </w:r>
      <w:r w:rsidR="00CD386C" w:rsidRPr="0024604A">
        <w:rPr>
          <w:rFonts w:ascii="Calibri" w:hAnsi="Calibri"/>
          <w:lang w:val="en-GB"/>
        </w:rPr>
        <w:t>S</w:t>
      </w:r>
      <w:r w:rsidR="00650CF0" w:rsidRPr="0024604A">
        <w:rPr>
          <w:rFonts w:ascii="Calibri" w:hAnsi="Calibri"/>
          <w:lang w:val="en-GB"/>
        </w:rPr>
        <w:t xml:space="preserve">pectrum </w:t>
      </w:r>
      <w:r w:rsidR="00CD386C" w:rsidRPr="0024604A">
        <w:rPr>
          <w:rFonts w:ascii="Calibri" w:hAnsi="Calibri"/>
          <w:lang w:val="en-GB"/>
        </w:rPr>
        <w:t>D</w:t>
      </w:r>
      <w:r w:rsidR="00650CF0" w:rsidRPr="0024604A">
        <w:rPr>
          <w:rFonts w:ascii="Calibri" w:hAnsi="Calibri"/>
          <w:lang w:val="en-GB"/>
        </w:rPr>
        <w:t>isorder, lipidomics, HILIC-ESI-</w:t>
      </w:r>
      <w:r w:rsidR="00CD386C" w:rsidRPr="0024604A">
        <w:rPr>
          <w:rFonts w:ascii="Calibri" w:hAnsi="Calibri"/>
          <w:lang w:val="en-GB"/>
        </w:rPr>
        <w:t>FT</w:t>
      </w:r>
      <w:r w:rsidR="00650CF0" w:rsidRPr="0024604A">
        <w:rPr>
          <w:rFonts w:ascii="Calibri" w:hAnsi="Calibri"/>
          <w:lang w:val="en-GB"/>
        </w:rPr>
        <w:t xml:space="preserve">MS, </w:t>
      </w:r>
      <w:r w:rsidR="002878FB" w:rsidRPr="0024604A">
        <w:rPr>
          <w:rFonts w:ascii="Calibri" w:hAnsi="Calibri"/>
          <w:lang w:val="en-GB"/>
        </w:rPr>
        <w:t>PBMC</w:t>
      </w:r>
      <w:r w:rsidR="00650CF0" w:rsidRPr="0024604A">
        <w:rPr>
          <w:rFonts w:ascii="Calibri" w:hAnsi="Calibri"/>
          <w:lang w:val="en-GB"/>
        </w:rPr>
        <w:t xml:space="preserve">, </w:t>
      </w:r>
      <w:r w:rsidR="00CD386C" w:rsidRPr="0024604A">
        <w:rPr>
          <w:rFonts w:ascii="Calibri" w:hAnsi="Calibri"/>
          <w:lang w:val="en-GB"/>
        </w:rPr>
        <w:t xml:space="preserve">biomarkers, </w:t>
      </w:r>
      <w:r w:rsidR="00650CF0" w:rsidRPr="0024604A">
        <w:rPr>
          <w:rFonts w:ascii="Calibri" w:hAnsi="Calibri"/>
          <w:lang w:val="en-GB"/>
        </w:rPr>
        <w:t>chemometrics</w:t>
      </w:r>
    </w:p>
    <w:p w14:paraId="3D7D1AE4" w14:textId="15702909" w:rsidR="00906743" w:rsidRPr="0024604A" w:rsidRDefault="00A127C5" w:rsidP="00210AB3">
      <w:pPr>
        <w:pBdr>
          <w:top w:val="single" w:sz="4" w:space="1" w:color="auto"/>
        </w:pBdr>
        <w:autoSpaceDE w:val="0"/>
        <w:autoSpaceDN w:val="0"/>
        <w:adjustRightInd w:val="0"/>
        <w:rPr>
          <w:lang w:val="en-US"/>
        </w:rPr>
      </w:pPr>
      <w:r w:rsidRPr="0024604A">
        <w:rPr>
          <w:rFonts w:ascii="Calibri" w:hAnsi="Calibri"/>
          <w:lang w:val="en-GB"/>
        </w:rPr>
        <w:t xml:space="preserve">Author for correspondence, </w:t>
      </w:r>
      <w:r w:rsidRPr="0024604A">
        <w:rPr>
          <w:rFonts w:ascii="Calibri" w:hAnsi="Calibri"/>
          <w:iCs/>
          <w:lang w:val="en-GB"/>
        </w:rPr>
        <w:t xml:space="preserve">email: </w:t>
      </w:r>
      <w:r w:rsidR="00C47A6B" w:rsidRPr="0024604A">
        <w:fldChar w:fldCharType="begin"/>
      </w:r>
      <w:r w:rsidR="00C47A6B" w:rsidRPr="0024604A">
        <w:rPr>
          <w:lang w:val="en-GB"/>
        </w:rPr>
        <w:instrText xml:space="preserve"> HYPERLINK "mailto:tommaso.cataldi@uniba.it" </w:instrText>
      </w:r>
      <w:r w:rsidR="00C47A6B" w:rsidRPr="0024604A">
        <w:fldChar w:fldCharType="separate"/>
      </w:r>
      <w:r w:rsidR="00906743" w:rsidRPr="0024604A">
        <w:rPr>
          <w:rStyle w:val="Collegamentoipertestuale"/>
          <w:rFonts w:ascii="Calibri" w:hAnsi="Calibri"/>
          <w:i/>
          <w:color w:val="auto"/>
          <w:lang w:val="en-GB"/>
        </w:rPr>
        <w:t>tommaso.cataldi@uniba.it</w:t>
      </w:r>
      <w:r w:rsidR="00C47A6B" w:rsidRPr="0024604A">
        <w:rPr>
          <w:rStyle w:val="Collegamentoipertestuale"/>
          <w:rFonts w:ascii="Calibri" w:hAnsi="Calibri"/>
          <w:i/>
          <w:color w:val="auto"/>
          <w:lang w:val="en-GB"/>
        </w:rPr>
        <w:fldChar w:fldCharType="end"/>
      </w:r>
    </w:p>
    <w:p w14:paraId="4E1E0273" w14:textId="03465D7C" w:rsidR="001F5530" w:rsidRPr="0024604A" w:rsidRDefault="001F5530" w:rsidP="00210AB3">
      <w:pPr>
        <w:pBdr>
          <w:top w:val="single" w:sz="4" w:space="1" w:color="auto"/>
        </w:pBdr>
        <w:autoSpaceDE w:val="0"/>
        <w:autoSpaceDN w:val="0"/>
        <w:adjustRightInd w:val="0"/>
        <w:rPr>
          <w:rFonts w:ascii="Calibri" w:hAnsi="Calibri"/>
          <w:iCs/>
          <w:lang w:val="en-GB"/>
        </w:rPr>
      </w:pPr>
      <w:r w:rsidRPr="0024604A">
        <w:rPr>
          <w:rFonts w:ascii="Calibri" w:hAnsi="Calibri"/>
          <w:b/>
          <w:lang w:val="en-GB"/>
        </w:rPr>
        <w:br w:type="page"/>
      </w:r>
    </w:p>
    <w:p w14:paraId="7050D6F5" w14:textId="77777777" w:rsidR="00A127C5" w:rsidRPr="0024604A" w:rsidRDefault="00A127C5" w:rsidP="00EA1C6B">
      <w:pPr>
        <w:widowControl w:val="0"/>
        <w:spacing w:line="480" w:lineRule="auto"/>
        <w:jc w:val="both"/>
        <w:rPr>
          <w:rFonts w:ascii="Calibri" w:hAnsi="Calibri"/>
          <w:b/>
          <w:lang w:val="en-GB"/>
        </w:rPr>
      </w:pPr>
      <w:r w:rsidRPr="0024604A">
        <w:rPr>
          <w:rFonts w:ascii="Calibri" w:hAnsi="Calibri"/>
          <w:b/>
          <w:lang w:val="en-GB"/>
        </w:rPr>
        <w:lastRenderedPageBreak/>
        <w:t xml:space="preserve">Abstract </w:t>
      </w:r>
    </w:p>
    <w:p w14:paraId="1ED342B5" w14:textId="77777777" w:rsidR="002E7DA0" w:rsidRPr="0024604A" w:rsidRDefault="00F40E25" w:rsidP="002E7DA0">
      <w:pPr>
        <w:pStyle w:val="Corpotesto"/>
        <w:spacing w:line="480" w:lineRule="auto"/>
        <w:jc w:val="both"/>
        <w:rPr>
          <w:rFonts w:ascii="Calibri" w:hAnsi="Calibri"/>
          <w:lang w:val="en-GB"/>
        </w:rPr>
      </w:pPr>
      <w:r w:rsidRPr="0024604A">
        <w:rPr>
          <w:rFonts w:ascii="Calibri" w:hAnsi="Calibri"/>
          <w:lang w:val="en-GB"/>
        </w:rPr>
        <w:t xml:space="preserve">Autism spectrum disorder (ASD) is a broad and heterogeneous group of neurological developmental </w:t>
      </w:r>
      <w:r w:rsidR="002878FB" w:rsidRPr="0024604A">
        <w:rPr>
          <w:rFonts w:ascii="Calibri" w:hAnsi="Calibri"/>
          <w:lang w:val="en-GB"/>
        </w:rPr>
        <w:t>disorders characterized by impaired social interaction and communication, restricted and repetitive behavioural patterns, and altered sensory processing</w:t>
      </w:r>
      <w:r w:rsidR="0085707C" w:rsidRPr="0024604A">
        <w:rPr>
          <w:rFonts w:ascii="Calibri" w:hAnsi="Calibri"/>
          <w:lang w:val="en-GB"/>
        </w:rPr>
        <w:t xml:space="preserve">. Currently, </w:t>
      </w:r>
      <w:r w:rsidR="00DC2C84" w:rsidRPr="0024604A">
        <w:rPr>
          <w:rFonts w:ascii="Calibri" w:hAnsi="Calibri"/>
          <w:lang w:val="en-GB"/>
        </w:rPr>
        <w:t>no</w:t>
      </w:r>
      <w:r w:rsidR="0085707C" w:rsidRPr="0024604A">
        <w:rPr>
          <w:rFonts w:ascii="Calibri" w:hAnsi="Calibri"/>
          <w:lang w:val="en-GB"/>
        </w:rPr>
        <w:t xml:space="preserve"> reliable </w:t>
      </w:r>
      <w:r w:rsidR="00DC2C84" w:rsidRPr="0024604A">
        <w:rPr>
          <w:rFonts w:ascii="Calibri" w:hAnsi="Calibri"/>
          <w:lang w:val="en-GB"/>
        </w:rPr>
        <w:t xml:space="preserve">ASD </w:t>
      </w:r>
      <w:r w:rsidR="0085707C" w:rsidRPr="0024604A">
        <w:rPr>
          <w:rFonts w:ascii="Calibri" w:hAnsi="Calibri"/>
          <w:lang w:val="en-GB"/>
        </w:rPr>
        <w:t>molecular biomarkers</w:t>
      </w:r>
      <w:r w:rsidR="00DC2C84" w:rsidRPr="0024604A">
        <w:rPr>
          <w:rFonts w:ascii="Calibri" w:hAnsi="Calibri"/>
          <w:lang w:val="en-GB"/>
        </w:rPr>
        <w:t xml:space="preserve"> are available</w:t>
      </w:r>
      <w:r w:rsidR="002878FB" w:rsidRPr="0024604A">
        <w:rPr>
          <w:rFonts w:ascii="Calibri" w:hAnsi="Calibri"/>
          <w:lang w:val="en-GB"/>
        </w:rPr>
        <w:t>.</w:t>
      </w:r>
      <w:r w:rsidR="00FC569D" w:rsidRPr="0024604A">
        <w:rPr>
          <w:rFonts w:ascii="Calibri" w:hAnsi="Calibri"/>
          <w:lang w:val="en-GB"/>
        </w:rPr>
        <w:t xml:space="preserve"> </w:t>
      </w:r>
      <w:r w:rsidR="002878FB" w:rsidRPr="0024604A">
        <w:rPr>
          <w:rFonts w:ascii="Calibri" w:hAnsi="Calibri"/>
          <w:lang w:val="en-GB"/>
        </w:rPr>
        <w:t xml:space="preserve">Since immune dysregulation has been supposed to be related with ASD onset and dyslipidaemia has been recognised as an early symptom of biological perturbation, lipid extracts from peripheral blood mononuclear cells (PBMC), </w:t>
      </w:r>
      <w:r w:rsidR="002878FB" w:rsidRPr="0024604A">
        <w:rPr>
          <w:rFonts w:ascii="Calibri" w:hAnsi="Calibri"/>
          <w:szCs w:val="24"/>
          <w:lang w:val="en-GB"/>
        </w:rPr>
        <w:t>consisting primarily of lymphocytes (T cells, B cells and NK cells) and monocytes, of 38 children with ASD and their non-autistic</w:t>
      </w:r>
      <w:r w:rsidR="002878FB" w:rsidRPr="0024604A">
        <w:rPr>
          <w:rFonts w:ascii="Calibri" w:hAnsi="Calibri"/>
          <w:lang w:val="en-GB"/>
        </w:rPr>
        <w:t xml:space="preserve"> siblings were investigated by </w:t>
      </w:r>
      <w:r w:rsidR="002878FB" w:rsidRPr="0024604A">
        <w:rPr>
          <w:rFonts w:ascii="Calibri" w:hAnsi="Calibri"/>
          <w:szCs w:val="24"/>
          <w:lang w:val="en-GB"/>
        </w:rPr>
        <w:t>hydrophilic interaction liquid chromatography (</w:t>
      </w:r>
      <w:r w:rsidR="002878FB" w:rsidRPr="0024604A">
        <w:rPr>
          <w:rFonts w:ascii="Calibri" w:hAnsi="Calibri"/>
          <w:lang w:val="en-GB"/>
        </w:rPr>
        <w:t xml:space="preserve">HILIC) coupled with electrospray ionization and Fourier-transform mass spectrometry (ESI-FTMS). Performances of two freeware </w:t>
      </w:r>
      <w:r w:rsidR="00FC569D" w:rsidRPr="0024604A">
        <w:rPr>
          <w:rFonts w:ascii="Calibri" w:hAnsi="Calibri"/>
          <w:lang w:val="en-GB"/>
        </w:rPr>
        <w:t>software</w:t>
      </w:r>
      <w:r w:rsidR="002878FB" w:rsidRPr="0024604A">
        <w:rPr>
          <w:rFonts w:ascii="Calibri" w:hAnsi="Calibri"/>
          <w:lang w:val="en-GB"/>
        </w:rPr>
        <w:t xml:space="preserve"> for data extraction and processing were compared to acquire reliable data regardless the used informatics. A reduction of variables from 1460 by the untargeted XCMS to 324 by the semi-untargeted Alex</w:t>
      </w:r>
      <w:r w:rsidR="002878FB" w:rsidRPr="0024604A">
        <w:rPr>
          <w:rFonts w:ascii="Calibri" w:hAnsi="Calibri"/>
          <w:vertAlign w:val="superscript"/>
          <w:lang w:val="en-GB"/>
        </w:rPr>
        <w:t>123</w:t>
      </w:r>
      <w:r w:rsidR="002878FB" w:rsidRPr="0024604A">
        <w:rPr>
          <w:rFonts w:ascii="Calibri" w:hAnsi="Calibri"/>
          <w:lang w:val="en-GB"/>
        </w:rPr>
        <w:t xml:space="preserve"> software was </w:t>
      </w:r>
      <w:r w:rsidR="00A34DC1" w:rsidRPr="0024604A">
        <w:rPr>
          <w:rFonts w:ascii="Calibri" w:hAnsi="Calibri"/>
          <w:lang w:val="en-GB"/>
        </w:rPr>
        <w:t>at</w:t>
      </w:r>
      <w:r w:rsidR="002878FB" w:rsidRPr="0024604A">
        <w:rPr>
          <w:rFonts w:ascii="Calibri" w:hAnsi="Calibri"/>
          <w:lang w:val="en-GB"/>
        </w:rPr>
        <w:t>tained</w:t>
      </w:r>
      <w:bookmarkStart w:id="3" w:name="_Hlk40513854"/>
      <w:r w:rsidR="002878FB" w:rsidRPr="0024604A">
        <w:rPr>
          <w:rFonts w:ascii="Calibri" w:hAnsi="Calibri"/>
          <w:lang w:val="en-GB"/>
        </w:rPr>
        <w:t>. All ion fragmentation (AIF) MS scans along with Alex</w:t>
      </w:r>
      <w:r w:rsidR="002878FB" w:rsidRPr="0024604A">
        <w:rPr>
          <w:rFonts w:ascii="Calibri" w:hAnsi="Calibri"/>
          <w:vertAlign w:val="superscript"/>
          <w:lang w:val="en-GB"/>
        </w:rPr>
        <w:t xml:space="preserve">123 </w:t>
      </w:r>
      <w:r w:rsidR="002878FB" w:rsidRPr="0024604A">
        <w:rPr>
          <w:rFonts w:ascii="Calibri" w:hAnsi="Calibri"/>
          <w:lang w:val="en-GB"/>
        </w:rPr>
        <w:t xml:space="preserve">software were successfully applied to </w:t>
      </w:r>
      <w:r w:rsidR="00614B48" w:rsidRPr="0024604A">
        <w:rPr>
          <w:rFonts w:ascii="Calibri" w:hAnsi="Calibri"/>
          <w:lang w:val="en-GB"/>
        </w:rPr>
        <w:t xml:space="preserve">obtain information </w:t>
      </w:r>
      <w:r w:rsidR="00E96A18" w:rsidRPr="0024604A">
        <w:rPr>
          <w:rFonts w:ascii="Calibri" w:hAnsi="Calibri"/>
          <w:lang w:val="en-GB"/>
        </w:rPr>
        <w:t>related</w:t>
      </w:r>
      <w:r w:rsidR="00614B48" w:rsidRPr="0024604A">
        <w:rPr>
          <w:rFonts w:ascii="Calibri" w:hAnsi="Calibri"/>
          <w:lang w:val="en-GB"/>
        </w:rPr>
        <w:t xml:space="preserve"> to</w:t>
      </w:r>
      <w:r w:rsidR="002878FB" w:rsidRPr="0024604A">
        <w:rPr>
          <w:rFonts w:ascii="Calibri" w:hAnsi="Calibri"/>
          <w:lang w:val="en-GB"/>
        </w:rPr>
        <w:t xml:space="preserve"> fatty acyl chain</w:t>
      </w:r>
      <w:r w:rsidR="00B44B72" w:rsidRPr="0024604A">
        <w:rPr>
          <w:rFonts w:ascii="Calibri" w:hAnsi="Calibri"/>
          <w:lang w:val="en-GB"/>
        </w:rPr>
        <w:t xml:space="preserve"> composition</w:t>
      </w:r>
      <w:r w:rsidR="002878FB" w:rsidRPr="0024604A">
        <w:rPr>
          <w:rFonts w:ascii="Calibri" w:hAnsi="Calibri"/>
          <w:lang w:val="en-GB"/>
        </w:rPr>
        <w:t xml:space="preserve"> of </w:t>
      </w:r>
      <w:r w:rsidR="00614B48" w:rsidRPr="0024604A">
        <w:rPr>
          <w:rFonts w:ascii="Calibri" w:hAnsi="Calibri"/>
          <w:lang w:val="en-GB"/>
        </w:rPr>
        <w:t>six</w:t>
      </w:r>
      <w:r w:rsidR="00B44B72" w:rsidRPr="0024604A">
        <w:rPr>
          <w:rFonts w:ascii="Calibri" w:hAnsi="Calibri"/>
          <w:lang w:val="en-GB"/>
        </w:rPr>
        <w:t xml:space="preserve"> glycerophospholipid classes </w:t>
      </w:r>
      <w:r w:rsidR="002878FB" w:rsidRPr="0024604A">
        <w:rPr>
          <w:rFonts w:ascii="Calibri" w:hAnsi="Calibri"/>
          <w:lang w:val="en-GB"/>
        </w:rPr>
        <w:t xml:space="preserve">occurring in PBMC. </w:t>
      </w:r>
      <w:bookmarkEnd w:id="3"/>
      <w:r w:rsidR="002878FB" w:rsidRPr="0024604A">
        <w:rPr>
          <w:rFonts w:ascii="Calibri" w:hAnsi="Calibri"/>
          <w:lang w:val="en-GB"/>
        </w:rPr>
        <w:t xml:space="preserve">Principal component analysis (PCA) and partial least squares discriminant analysis (PLS-DA) were explored to verify the occurrence of significant differences in the lipid pool composition of ASD children </w:t>
      </w:r>
      <w:r w:rsidR="002E7DA0" w:rsidRPr="0024604A">
        <w:rPr>
          <w:rFonts w:ascii="Calibri" w:hAnsi="Calibri"/>
          <w:lang w:val="en-GB"/>
        </w:rPr>
        <w:t>compared with 36 healthy siblings. After rigorous statistical validation we conclude that phospholipids extracted from PBMC of children affected by ASD do not exhibit diagnostic biomarkers. Yet interindividual variability comes forth from this study as the dominant effect</w:t>
      </w:r>
      <w:r w:rsidR="002E7DA0" w:rsidRPr="0024604A">
        <w:rPr>
          <w:rFonts w:ascii="MyriadPro-Light" w:hAnsi="MyriadPro-Light" w:cs="MyriadPro-Light"/>
          <w:sz w:val="20"/>
          <w:lang w:val="en-GB" w:eastAsia="en-GB"/>
        </w:rPr>
        <w:t xml:space="preserve"> </w:t>
      </w:r>
      <w:r w:rsidR="002E7DA0" w:rsidRPr="0024604A">
        <w:rPr>
          <w:rFonts w:ascii="Calibri" w:hAnsi="Calibri"/>
          <w:lang w:val="en-GB"/>
        </w:rPr>
        <w:t>in keeping with the existing phenotypic and etiological heterogeneity among ASD individuals.</w:t>
      </w:r>
    </w:p>
    <w:p w14:paraId="747553F1" w14:textId="20BC53E0" w:rsidR="002E7DA0" w:rsidRPr="0024604A" w:rsidRDefault="002E7DA0" w:rsidP="002E7DA0">
      <w:pPr>
        <w:pStyle w:val="Corpotesto"/>
        <w:tabs>
          <w:tab w:val="left" w:pos="6612"/>
        </w:tabs>
        <w:spacing w:line="480" w:lineRule="auto"/>
        <w:jc w:val="both"/>
        <w:rPr>
          <w:rFonts w:ascii="Calibri" w:hAnsi="Calibri"/>
          <w:lang w:val="en-GB"/>
        </w:rPr>
      </w:pPr>
    </w:p>
    <w:p w14:paraId="29B2CFEE" w14:textId="7E148669" w:rsidR="002E7DA0" w:rsidRPr="0024604A" w:rsidRDefault="002E7DA0" w:rsidP="002E7DA0">
      <w:pPr>
        <w:pStyle w:val="Corpotesto"/>
        <w:spacing w:line="480" w:lineRule="auto"/>
        <w:jc w:val="both"/>
        <w:rPr>
          <w:rFonts w:ascii="Calibri" w:hAnsi="Calibri"/>
          <w:b/>
          <w:szCs w:val="24"/>
          <w:lang w:val="en-GB"/>
        </w:rPr>
      </w:pPr>
      <w:r w:rsidRPr="0024604A">
        <w:rPr>
          <w:lang w:val="en-GB"/>
        </w:rPr>
        <w:br w:type="page"/>
      </w:r>
      <w:r w:rsidRPr="0024604A">
        <w:rPr>
          <w:rFonts w:ascii="Calibri" w:hAnsi="Calibri"/>
          <w:b/>
          <w:sz w:val="23"/>
          <w:lang w:val="en-GB"/>
        </w:rPr>
        <w:lastRenderedPageBreak/>
        <w:t>1.</w:t>
      </w:r>
      <w:r w:rsidRPr="0024604A">
        <w:rPr>
          <w:rFonts w:ascii="Calibri" w:hAnsi="Calibri"/>
          <w:b/>
          <w:sz w:val="23"/>
          <w:lang w:val="en-GB"/>
        </w:rPr>
        <w:tab/>
      </w:r>
      <w:r w:rsidRPr="0024604A">
        <w:rPr>
          <w:rFonts w:ascii="Calibri" w:hAnsi="Calibri"/>
          <w:b/>
          <w:szCs w:val="24"/>
          <w:lang w:val="en-GB"/>
        </w:rPr>
        <w:t>INTRODUCTION</w:t>
      </w:r>
    </w:p>
    <w:p w14:paraId="56056B91" w14:textId="089E711D" w:rsidR="00570512" w:rsidRPr="0024604A" w:rsidRDefault="002E7DA0" w:rsidP="002E7DA0">
      <w:pPr>
        <w:pStyle w:val="Corpotesto"/>
        <w:spacing w:line="480" w:lineRule="auto"/>
        <w:jc w:val="both"/>
        <w:rPr>
          <w:rFonts w:ascii="Calibri" w:hAnsi="Calibri"/>
        </w:rPr>
      </w:pPr>
      <w:r w:rsidRPr="0024604A">
        <w:rPr>
          <w:rFonts w:ascii="Calibri" w:hAnsi="Calibri"/>
          <w:lang w:val="en-GB"/>
        </w:rPr>
        <w:t xml:space="preserve">The American Psychiatric Association in their </w:t>
      </w:r>
      <w:r w:rsidRPr="0024604A">
        <w:rPr>
          <w:rFonts w:ascii="Calibri" w:hAnsi="Calibri"/>
        </w:rPr>
        <w:t xml:space="preserve">5th edition of </w:t>
      </w:r>
      <w:r w:rsidRPr="0024604A">
        <w:rPr>
          <w:rFonts w:ascii="Calibri" w:hAnsi="Calibri"/>
          <w:i/>
          <w:lang w:val="en-GB"/>
        </w:rPr>
        <w:t xml:space="preserve">“Diagnostic and Statistical Manual </w:t>
      </w:r>
      <w:r w:rsidR="009D4D92" w:rsidRPr="0024604A">
        <w:rPr>
          <w:rFonts w:ascii="Calibri" w:hAnsi="Calibri"/>
          <w:i/>
          <w:szCs w:val="24"/>
          <w:lang w:val="en-GB"/>
        </w:rPr>
        <w:t>of Mental Disorders”</w:t>
      </w:r>
      <w:r w:rsidR="009D4D92" w:rsidRPr="0024604A">
        <w:rPr>
          <w:rFonts w:ascii="Calibri" w:hAnsi="Calibri"/>
          <w:szCs w:val="24"/>
          <w:lang w:val="en-GB"/>
        </w:rPr>
        <w:t xml:space="preserve"> (DSM-5) </w:t>
      </w:r>
      <w:r w:rsidR="007E6DC2" w:rsidRPr="0024604A">
        <w:rPr>
          <w:rFonts w:ascii="Calibri" w:hAnsi="Calibri"/>
        </w:rPr>
        <w:fldChar w:fldCharType="begin" w:fldLock="1"/>
      </w:r>
      <w:r w:rsidR="006126E3" w:rsidRPr="0024604A">
        <w:rPr>
          <w:rFonts w:ascii="Calibri" w:hAnsi="Calibri"/>
        </w:rPr>
        <w:instrText>ADDIN CSL_CITATION {"citationItems":[{"id":"ITEM-1","itemData":{"DOI":"10.1176/appi.books.9780890425596.dsm01","author":[{"dropping-particle":"","family":"American Psychiatric Association","given":"","non-dropping-particle":"","parse-names":false,"suffix":""}],"container-title":"Diagnostic and Statistical Manual of Mental Disorders","edition":"5th","id":"ITEM-1","issued":{"date-parts":[["2013","5"]]},"publisher":"American Psychiatric Publishing","title":"Neurodevelopmental Disorders","type":"chapter"},"uris":["http://www.mendeley.com/documents/?uuid=36208317-e233-4262-b6ab-62dc1b5d6c1f","http://www.mendeley.com/documents/?uuid=69be435f-bd4e-4282-8e31-18072bd2b8fc"]}],"mendeley":{"formattedCitation":"[1]","plainTextFormattedCitation":"[1]","previouslyFormattedCitation":"[1]"},"properties":{"noteIndex":0},"schema":"https://github.com/citation-style-language/schema/raw/master/csl-citation.json"}</w:instrText>
      </w:r>
      <w:r w:rsidR="007E6DC2" w:rsidRPr="0024604A">
        <w:rPr>
          <w:rFonts w:ascii="Calibri" w:hAnsi="Calibri"/>
        </w:rPr>
        <w:fldChar w:fldCharType="separate"/>
      </w:r>
      <w:r w:rsidR="00755F28" w:rsidRPr="0024604A">
        <w:rPr>
          <w:rFonts w:ascii="Calibri" w:hAnsi="Calibri"/>
          <w:noProof/>
        </w:rPr>
        <w:t>[1]</w:t>
      </w:r>
      <w:r w:rsidR="007E6DC2" w:rsidRPr="0024604A">
        <w:rPr>
          <w:rFonts w:ascii="Calibri" w:hAnsi="Calibri"/>
        </w:rPr>
        <w:fldChar w:fldCharType="end"/>
      </w:r>
      <w:r w:rsidR="009D4D92" w:rsidRPr="0024604A">
        <w:rPr>
          <w:rFonts w:ascii="Calibri" w:hAnsi="Calibri"/>
        </w:rPr>
        <w:t xml:space="preserve"> </w:t>
      </w:r>
      <w:r w:rsidR="00A34DC1" w:rsidRPr="0024604A">
        <w:rPr>
          <w:rFonts w:ascii="Calibri" w:hAnsi="Calibri"/>
        </w:rPr>
        <w:t>defined</w:t>
      </w:r>
      <w:r w:rsidR="009D4D92" w:rsidRPr="0024604A">
        <w:rPr>
          <w:rFonts w:ascii="Calibri" w:hAnsi="Calibri"/>
        </w:rPr>
        <w:t xml:space="preserve"> that a</w:t>
      </w:r>
      <w:r w:rsidR="00FF49E6" w:rsidRPr="0024604A">
        <w:rPr>
          <w:rFonts w:ascii="Calibri" w:hAnsi="Calibri"/>
        </w:rPr>
        <w:t xml:space="preserve">utism spectrum disorder (ASD) </w:t>
      </w:r>
      <w:r w:rsidR="00A34DC1" w:rsidRPr="0024604A">
        <w:rPr>
          <w:rFonts w:ascii="Calibri" w:hAnsi="Calibri"/>
        </w:rPr>
        <w:t>a</w:t>
      </w:r>
      <w:r w:rsidR="00FF49E6" w:rsidRPr="0024604A">
        <w:rPr>
          <w:rFonts w:ascii="Calibri" w:hAnsi="Calibri"/>
        </w:rPr>
        <w:t xml:space="preserve">s </w:t>
      </w:r>
      <w:r w:rsidR="00FF49E6" w:rsidRPr="0024604A">
        <w:rPr>
          <w:rFonts w:ascii="Calibri" w:hAnsi="Calibri"/>
          <w:szCs w:val="24"/>
          <w:lang w:val="en-GB"/>
        </w:rPr>
        <w:t xml:space="preserve">a broad and heterogeneous group of neurological developmental disorders </w:t>
      </w:r>
      <w:r w:rsidR="00FF49E6" w:rsidRPr="0024604A">
        <w:rPr>
          <w:rFonts w:ascii="Calibri" w:hAnsi="Calibri"/>
        </w:rPr>
        <w:t xml:space="preserve">characterized by several primary symptoms across several areas, such as </w:t>
      </w:r>
      <w:r w:rsidR="00FF49E6" w:rsidRPr="0024604A">
        <w:rPr>
          <w:rFonts w:ascii="Calibri" w:hAnsi="Calibri"/>
          <w:szCs w:val="24"/>
          <w:lang w:val="en-GB"/>
        </w:rPr>
        <w:t xml:space="preserve">difficulty with social abilities, </w:t>
      </w:r>
      <w:r w:rsidR="00A002C2" w:rsidRPr="0024604A">
        <w:rPr>
          <w:rFonts w:ascii="Calibri" w:hAnsi="Calibri"/>
        </w:rPr>
        <w:t xml:space="preserve">stereotypical repetitive behaviors </w:t>
      </w:r>
      <w:r w:rsidR="002264B5" w:rsidRPr="0024604A">
        <w:rPr>
          <w:rFonts w:ascii="Calibri" w:hAnsi="Calibri"/>
        </w:rPr>
        <w:t>and</w:t>
      </w:r>
      <w:r w:rsidR="00FF49E6" w:rsidRPr="0024604A">
        <w:rPr>
          <w:rFonts w:ascii="Calibri" w:hAnsi="Calibri"/>
        </w:rPr>
        <w:t xml:space="preserve"> </w:t>
      </w:r>
      <w:r w:rsidR="00A35838" w:rsidRPr="0024604A">
        <w:rPr>
          <w:rFonts w:ascii="Calibri" w:hAnsi="Calibri"/>
        </w:rPr>
        <w:t xml:space="preserve">interests, </w:t>
      </w:r>
      <w:r w:rsidR="002264B5" w:rsidRPr="0024604A">
        <w:rPr>
          <w:rFonts w:ascii="Calibri" w:hAnsi="Calibri"/>
        </w:rPr>
        <w:t>flawed</w:t>
      </w:r>
      <w:r w:rsidR="00FF49E6" w:rsidRPr="0024604A">
        <w:rPr>
          <w:rFonts w:ascii="Calibri" w:hAnsi="Calibri"/>
        </w:rPr>
        <w:t xml:space="preserve"> language and </w:t>
      </w:r>
      <w:r w:rsidR="002264B5" w:rsidRPr="0024604A">
        <w:rPr>
          <w:rFonts w:ascii="Calibri" w:hAnsi="Calibri"/>
        </w:rPr>
        <w:t>conversation.</w:t>
      </w:r>
      <w:r w:rsidR="00FF49E6" w:rsidRPr="0024604A">
        <w:rPr>
          <w:rFonts w:ascii="Calibri" w:hAnsi="Calibri"/>
        </w:rPr>
        <w:t xml:space="preserve"> Incidence rates of ASD are </w:t>
      </w:r>
      <w:r w:rsidR="004D324A" w:rsidRPr="0024604A">
        <w:rPr>
          <w:rFonts w:ascii="Calibri" w:hAnsi="Calibri"/>
        </w:rPr>
        <w:t>argue</w:t>
      </w:r>
      <w:r w:rsidR="00FF49E6" w:rsidRPr="0024604A">
        <w:rPr>
          <w:rFonts w:ascii="Calibri" w:hAnsi="Calibri"/>
        </w:rPr>
        <w:t xml:space="preserve">d and dependent on diagnostic criteria. The Centers for Disease Control and Prevention </w:t>
      </w:r>
      <w:r w:rsidR="009D4D92" w:rsidRPr="0024604A">
        <w:rPr>
          <w:rFonts w:ascii="Calibri" w:hAnsi="Calibri"/>
        </w:rPr>
        <w:t xml:space="preserve">has evaluated </w:t>
      </w:r>
      <w:r w:rsidR="00FF49E6" w:rsidRPr="0024604A">
        <w:rPr>
          <w:rFonts w:ascii="Calibri" w:hAnsi="Calibri"/>
        </w:rPr>
        <w:t xml:space="preserve">that the overall prevalence of ASD in children aged 8 years in the USA equaled 1 out of 68 children </w:t>
      </w:r>
      <w:r w:rsidR="007E6DC2" w:rsidRPr="0024604A">
        <w:rPr>
          <w:rFonts w:ascii="Calibri" w:hAnsi="Calibri"/>
        </w:rPr>
        <w:fldChar w:fldCharType="begin" w:fldLock="1"/>
      </w:r>
      <w:r w:rsidR="006126E3" w:rsidRPr="0024604A">
        <w:rPr>
          <w:rFonts w:ascii="Calibri" w:hAnsi="Calibri"/>
        </w:rPr>
        <w:instrText>ADDIN CSL_CITATION {"citationItems":[{"id":"ITEM-1","itemData":{"DOI":"10.1023/A:1025054610557","author":[{"dropping-particle":"","family":"Fombonne","given":"Éric","non-dropping-particle":"","parse-names":false,"suffix":""}],"container-title":"Journal of Autism and Developmental Disorders","id":"ITEM-1","issue":"4","issued":{"date-parts":[["2003"]]},"page":"365-382","title":"Epidemiological surveys of autism and other pervasive developmental disorders: an update","type":"article-journal","volume":"33"},"uris":["http://www.mendeley.com/documents/?uuid=30bf05ce-90a7-41cf-bc03-2b885f23e6fe"]}],"mendeley":{"formattedCitation":"[2]","plainTextFormattedCitation":"[2]","previouslyFormattedCitation":"[2]"},"properties":{"noteIndex":0},"schema":"https://github.com/citation-style-language/schema/raw/master/csl-citation.json"}</w:instrText>
      </w:r>
      <w:r w:rsidR="007E6DC2" w:rsidRPr="0024604A">
        <w:rPr>
          <w:rFonts w:ascii="Calibri" w:hAnsi="Calibri"/>
        </w:rPr>
        <w:fldChar w:fldCharType="separate"/>
      </w:r>
      <w:r w:rsidR="00755F28" w:rsidRPr="0024604A">
        <w:rPr>
          <w:rFonts w:ascii="Calibri" w:hAnsi="Calibri"/>
          <w:noProof/>
        </w:rPr>
        <w:t>[2]</w:t>
      </w:r>
      <w:r w:rsidR="007E6DC2" w:rsidRPr="0024604A">
        <w:rPr>
          <w:rFonts w:ascii="Calibri" w:hAnsi="Calibri"/>
        </w:rPr>
        <w:fldChar w:fldCharType="end"/>
      </w:r>
      <w:r w:rsidR="00FF49E6" w:rsidRPr="0024604A">
        <w:rPr>
          <w:rFonts w:ascii="Calibri" w:hAnsi="Calibri"/>
        </w:rPr>
        <w:t xml:space="preserve">. </w:t>
      </w:r>
      <w:r w:rsidR="00570512" w:rsidRPr="0024604A">
        <w:rPr>
          <w:rFonts w:ascii="Calibri" w:hAnsi="Calibri"/>
        </w:rPr>
        <w:t>Despite thorough neurological, genetic and biochemical studies, the ASD aetiology is still largely mysterious. To add further complexity, environmental factors are also likely involved.</w:t>
      </w:r>
    </w:p>
    <w:p w14:paraId="55449CB1" w14:textId="051FB2EB" w:rsidR="00E07DB9" w:rsidRPr="0024604A" w:rsidRDefault="00570512" w:rsidP="00FA2C42">
      <w:pPr>
        <w:pStyle w:val="Corpotesto"/>
        <w:spacing w:line="480" w:lineRule="auto"/>
        <w:ind w:firstLine="708"/>
        <w:jc w:val="both"/>
        <w:rPr>
          <w:rFonts w:ascii="Calibri" w:hAnsi="Calibri"/>
        </w:rPr>
      </w:pPr>
      <w:r w:rsidRPr="0024604A">
        <w:rPr>
          <w:rFonts w:ascii="Calibri" w:hAnsi="Calibri"/>
        </w:rPr>
        <w:t>Due to lack of information regarding molecular mechanisms of the disorder</w:t>
      </w:r>
      <w:r w:rsidRPr="0024604A">
        <w:rPr>
          <w:rFonts w:ascii="Calibri" w:hAnsi="Calibri"/>
          <w:szCs w:val="24"/>
          <w:lang w:val="en-GB"/>
        </w:rPr>
        <w:t xml:space="preserve">, specific treatment and reliable diagnostic biomarkers are not available. Hence, diagnosis is currently made based on information gathered through children’s interviews performed by specialized physicians and psychologists in which behaviour impairments are assessed along with psychiatric and developmental disorders </w:t>
      </w:r>
      <w:r w:rsidR="00CD0625" w:rsidRPr="0024604A">
        <w:rPr>
          <w:rFonts w:ascii="Calibri" w:hAnsi="Calibri"/>
          <w:szCs w:val="24"/>
          <w:lang w:val="en-GB"/>
        </w:rPr>
        <w:fldChar w:fldCharType="begin" w:fldLock="1"/>
      </w:r>
      <w:r w:rsidR="006126E3" w:rsidRPr="0024604A">
        <w:rPr>
          <w:rFonts w:ascii="Calibri" w:hAnsi="Calibri"/>
          <w:szCs w:val="24"/>
          <w:lang w:val="en-GB"/>
        </w:rPr>
        <w:instrText>ADDIN CSL_CITATION {"citationItems":[{"id":"ITEM-1","itemData":{"DOI":"10.1176/appi.books.9780890425596.dsm01","author":[{"dropping-particle":"","family":"American Psychiatric Association","given":"","non-dropping-particle":"","parse-names":false,"suffix":""}],"container-title":"Diagnostic and Statistical Manual of Mental Disorders","edition":"5th","id":"ITEM-1","issued":{"date-parts":[["2013","5"]]},"publisher":"American Psychiatric Publishing","title":"Neurodevelopmental Disorders","type":"chapter"},"uris":["http://www.mendeley.com/documents/?uuid=69be435f-bd4e-4282-8e31-18072bd2b8fc","http://www.mendeley.com/documents/?uuid=36208317-e233-4262-b6ab-62dc1b5d6c1f"]}],"mendeley":{"formattedCitation":"[1]","plainTextFormattedCitation":"[1]","previouslyFormattedCitation":"[1]"},"properties":{"noteIndex":0},"schema":"https://github.com/citation-style-language/schema/raw/master/csl-citation.json"}</w:instrText>
      </w:r>
      <w:r w:rsidR="00CD0625" w:rsidRPr="0024604A">
        <w:rPr>
          <w:rFonts w:ascii="Calibri" w:hAnsi="Calibri"/>
          <w:szCs w:val="24"/>
          <w:lang w:val="en-GB"/>
        </w:rPr>
        <w:fldChar w:fldCharType="separate"/>
      </w:r>
      <w:r w:rsidR="0089225B" w:rsidRPr="0024604A">
        <w:rPr>
          <w:rFonts w:ascii="Calibri" w:hAnsi="Calibri"/>
          <w:noProof/>
          <w:szCs w:val="24"/>
          <w:lang w:val="en-GB"/>
        </w:rPr>
        <w:t>[1]</w:t>
      </w:r>
      <w:r w:rsidR="00CD0625" w:rsidRPr="0024604A">
        <w:rPr>
          <w:rFonts w:ascii="Calibri" w:hAnsi="Calibri"/>
          <w:szCs w:val="24"/>
          <w:lang w:val="en-GB"/>
        </w:rPr>
        <w:fldChar w:fldCharType="end"/>
      </w:r>
      <w:r w:rsidR="008E394B" w:rsidRPr="0024604A">
        <w:rPr>
          <w:rFonts w:ascii="Calibri" w:hAnsi="Calibri"/>
          <w:szCs w:val="24"/>
          <w:lang w:val="en-GB"/>
        </w:rPr>
        <w:t>. DSM-5 diagnostic criteria include three functional raising levels</w:t>
      </w:r>
      <w:r w:rsidR="00CD0625" w:rsidRPr="0024604A">
        <w:rPr>
          <w:rFonts w:ascii="Calibri" w:hAnsi="Calibri"/>
          <w:szCs w:val="24"/>
          <w:lang w:val="en-GB"/>
        </w:rPr>
        <w:t xml:space="preserve"> defined on the base of </w:t>
      </w:r>
      <w:r w:rsidR="002362B2" w:rsidRPr="0024604A">
        <w:rPr>
          <w:rFonts w:ascii="Calibri" w:hAnsi="Calibri"/>
          <w:szCs w:val="24"/>
          <w:lang w:val="en-GB"/>
        </w:rPr>
        <w:t xml:space="preserve">needed </w:t>
      </w:r>
      <w:r w:rsidR="00CD0625" w:rsidRPr="0024604A">
        <w:rPr>
          <w:rFonts w:ascii="Calibri" w:hAnsi="Calibri"/>
          <w:i/>
          <w:szCs w:val="24"/>
          <w:lang w:val="en-GB"/>
        </w:rPr>
        <w:t>support</w:t>
      </w:r>
      <w:r w:rsidR="00CD0625" w:rsidRPr="0024604A">
        <w:rPr>
          <w:rFonts w:ascii="Calibri" w:hAnsi="Calibri"/>
          <w:szCs w:val="24"/>
          <w:lang w:val="en-GB"/>
        </w:rPr>
        <w:t xml:space="preserve"> that a </w:t>
      </w:r>
      <w:r w:rsidR="00247794" w:rsidRPr="0024604A">
        <w:rPr>
          <w:rFonts w:ascii="Calibri" w:hAnsi="Calibri"/>
          <w:szCs w:val="24"/>
          <w:lang w:val="en-GB"/>
        </w:rPr>
        <w:t xml:space="preserve">subject </w:t>
      </w:r>
      <w:r w:rsidR="00CD0625" w:rsidRPr="0024604A">
        <w:rPr>
          <w:rFonts w:ascii="Calibri" w:hAnsi="Calibri"/>
          <w:szCs w:val="24"/>
          <w:lang w:val="en-GB"/>
        </w:rPr>
        <w:t>requires to relationship in the general community</w:t>
      </w:r>
      <w:r w:rsidR="00CB2403" w:rsidRPr="0024604A">
        <w:rPr>
          <w:rFonts w:ascii="Calibri" w:hAnsi="Calibri"/>
          <w:szCs w:val="24"/>
          <w:lang w:val="en-GB"/>
        </w:rPr>
        <w:t>. A</w:t>
      </w:r>
      <w:r w:rsidR="00CD0625" w:rsidRPr="0024604A">
        <w:rPr>
          <w:rFonts w:ascii="Calibri" w:hAnsi="Calibri"/>
          <w:szCs w:val="24"/>
          <w:lang w:val="en-GB"/>
        </w:rPr>
        <w:t>t least 24 – 36 months of age are ne</w:t>
      </w:r>
      <w:r w:rsidR="00247794" w:rsidRPr="0024604A">
        <w:rPr>
          <w:rFonts w:ascii="Calibri" w:hAnsi="Calibri"/>
          <w:szCs w:val="24"/>
          <w:lang w:val="en-GB"/>
        </w:rPr>
        <w:t>eded</w:t>
      </w:r>
      <w:r w:rsidR="00CD0625" w:rsidRPr="0024604A">
        <w:rPr>
          <w:rFonts w:ascii="Calibri" w:hAnsi="Calibri"/>
          <w:szCs w:val="24"/>
          <w:lang w:val="en-GB"/>
        </w:rPr>
        <w:t xml:space="preserve"> to diagnose ASD in child</w:t>
      </w:r>
      <w:r w:rsidR="009D4D92" w:rsidRPr="0024604A">
        <w:rPr>
          <w:rFonts w:ascii="Calibri" w:hAnsi="Calibri"/>
          <w:szCs w:val="24"/>
          <w:lang w:val="en-GB"/>
        </w:rPr>
        <w:t>ren</w:t>
      </w:r>
      <w:r w:rsidR="00CD0625" w:rsidRPr="0024604A">
        <w:rPr>
          <w:rFonts w:ascii="Calibri" w:hAnsi="Calibri"/>
          <w:szCs w:val="24"/>
          <w:lang w:val="en-GB"/>
        </w:rPr>
        <w:t xml:space="preserve"> </w:t>
      </w:r>
      <w:r w:rsidR="00CD0625" w:rsidRPr="0024604A">
        <w:rPr>
          <w:rFonts w:ascii="Calibri" w:hAnsi="Calibri"/>
          <w:szCs w:val="24"/>
          <w:lang w:val="en-GB"/>
        </w:rPr>
        <w:fldChar w:fldCharType="begin" w:fldLock="1"/>
      </w:r>
      <w:r w:rsidR="006126E3" w:rsidRPr="0024604A">
        <w:rPr>
          <w:rFonts w:ascii="Calibri" w:hAnsi="Calibri"/>
          <w:szCs w:val="24"/>
          <w:lang w:val="en-GB"/>
        </w:rPr>
        <w:instrText>ADDIN CSL_CITATION {"citationItems":[{"id":"ITEM-1","itemData":{"DOI":"10.1177/1362361313480277","ISBN":"1362361313","ISSN":"14617005","PMID":"23787411","abstract":"The diagnosis of autism is often delayed, which translates into a missed opportunity to provide treatment during a critical developmental period. This study reviews studies that assessed factors associated with age at autism spectrum disorder diagnosis and provides recommendations on future research, programs, and policies to improve early detection. A search for all peer-reviewed articles containing the words autism, age, and diagnosis in either the title or abstract was performed. A total of 42 studies published from January 1990 through March 2012 were identified. Mean age at diagnosis for all autism spectrum disorders ranged from 38 to 120 months and has decreased over time. Factors associated with earlier diagnosis included greater symptom severity, high socioeconomic status, and greater parental concern about initial symptoms. Family interactions with the health and education systems prior to diagnosis also influenced age at diagnosis. Geographic variation in age at autism spectrum disorder diagnosis was identified in a number of studies, suggesting that community resources and state policies play a role in early identification. Early detection efforts should include enhanced parental and provider education on the early recognition of developmental problems, interventions aimed at streamlining the process from first concern to eventual diagnosis, and strategies that target underserved populations.","author":[{"dropping-particle":"","family":"Daniels","given":"Amy M.","non-dropping-particle":"","parse-names":false,"suffix":""},{"dropping-particle":"","family":"Mandell","given":"David S.","non-dropping-particle":"","parse-names":false,"suffix":""}],"container-title":"Autism","id":"ITEM-1","issue":"5","issued":{"date-parts":[["2014"]]},"page":"583-597","title":"Explaining differences in age at autism spectrum disorder diagnosis: A critical review","type":"article-journal","volume":"18"},"uris":["http://www.mendeley.com/documents/?uuid=bf8bf71b-c5f8-4206-ad6e-9d1816ce63eb"]}],"mendeley":{"formattedCitation":"[3]","plainTextFormattedCitation":"[3]","previouslyFormattedCitation":"[3]"},"properties":{"noteIndex":0},"schema":"https://github.com/citation-style-language/schema/raw/master/csl-citation.json"}</w:instrText>
      </w:r>
      <w:r w:rsidR="00CD0625" w:rsidRPr="0024604A">
        <w:rPr>
          <w:rFonts w:ascii="Calibri" w:hAnsi="Calibri"/>
          <w:szCs w:val="24"/>
          <w:lang w:val="en-GB"/>
        </w:rPr>
        <w:fldChar w:fldCharType="separate"/>
      </w:r>
      <w:r w:rsidR="0089225B" w:rsidRPr="0024604A">
        <w:rPr>
          <w:rFonts w:ascii="Calibri" w:hAnsi="Calibri"/>
          <w:noProof/>
          <w:szCs w:val="24"/>
          <w:lang w:val="en-GB"/>
        </w:rPr>
        <w:t>[3]</w:t>
      </w:r>
      <w:r w:rsidR="00CD0625" w:rsidRPr="0024604A">
        <w:rPr>
          <w:rFonts w:ascii="Calibri" w:hAnsi="Calibri"/>
          <w:szCs w:val="24"/>
          <w:lang w:val="en-GB"/>
        </w:rPr>
        <w:fldChar w:fldCharType="end"/>
      </w:r>
      <w:r w:rsidR="00CD0625" w:rsidRPr="0024604A">
        <w:rPr>
          <w:rFonts w:ascii="Calibri" w:hAnsi="Calibri"/>
          <w:szCs w:val="24"/>
          <w:lang w:val="en-GB"/>
        </w:rPr>
        <w:t>.</w:t>
      </w:r>
      <w:r w:rsidR="00AE076C" w:rsidRPr="0024604A">
        <w:rPr>
          <w:rFonts w:ascii="Calibri" w:hAnsi="Calibri"/>
          <w:szCs w:val="24"/>
          <w:lang w:val="en-GB"/>
        </w:rPr>
        <w:t xml:space="preserve"> </w:t>
      </w:r>
      <w:r w:rsidRPr="0024604A">
        <w:rPr>
          <w:rFonts w:ascii="Calibri" w:hAnsi="Calibri"/>
          <w:szCs w:val="24"/>
          <w:lang w:val="en-GB"/>
        </w:rPr>
        <w:t xml:space="preserve">Clinically, individuals with ASD can differ substantially from each other in terms of the quality and severity of core symptoms, level of intellectual ability, co-occurring psychiatric symptoms, and developmental trajectories. Multiple neurocognitive and neurobiological abnormalities have been reported, yet none seem to be shared by all individuals with ASD </w:t>
      </w:r>
      <w:r w:rsidR="00AE076C" w:rsidRPr="0024604A">
        <w:rPr>
          <w:rFonts w:ascii="Calibri" w:hAnsi="Calibri"/>
          <w:szCs w:val="24"/>
          <w:lang w:val="en-GB"/>
        </w:rPr>
        <w:fldChar w:fldCharType="begin" w:fldLock="1"/>
      </w:r>
      <w:r w:rsidR="006126E3" w:rsidRPr="0024604A">
        <w:rPr>
          <w:rFonts w:ascii="Calibri" w:hAnsi="Calibri"/>
          <w:szCs w:val="24"/>
          <w:lang w:val="en-GB"/>
        </w:rPr>
        <w:instrText>ADDIN CSL_CITATION {"citationItems":[{"id":"ITEM-1","itemData":{"DOI":"10.4324/9781315735313-17","ISBN":"978-1-84872-329-0","abstract":"Autism has been one of the most widely studied neurodevelopmental disorders since it was first described in the 1940s by Leo Kanner and Hans Asperger. Indeed, it has been highlighted that relative to its prevalence (and more arguably its impact on the individual) autism both receives more research funding, and generates more research publications than many other neurodevelopmental disorders that are also very impairing for individuals, their families and those who care for them. The positives of this is that the disorder is now much better understood; notwithstanding the fundamental conundrums and uncertainties that still exist about what causes the disorder, in particular at the level of the individual. One touchstone for researchers and clinicians in the field over the past decade and more is that autism is very heterogeneous or variable. This variability includes both aetiology and phenotypic presentation—both in terms of the range and characteristics of individuals who meet the diagnostic criteria for the disorder and in terms of individual variability and outcome over the course of development. To clinicians and researchers, this heterogeneity presents both challenges and opportunities. In the present chapter we outline recent work on variability in Autism Spectrum Disorders (ASD). We emphasise the impact this has on our understanding of its prevalence, causes, diagnosis, cognitive and behavioural profile, and in particular, its developmental trajectory across the lifespan. (PsycINFO Database Record (c) 2016 APA, all rights reserved)","author":[{"dropping-particle":"","family":"Charman","given":"Tony","non-dropping-particle":"","parse-names":false,"suffix":""}],"container-title":"Neurodevelopmental disorders: Research challenges and solutions.","id":"ITEM-1","issued":{"date-parts":[["2015"]]},"page":"117-140","publisher":"Psychology Press","title":"Variability in neurodevelopmental disorders: Evidence from autism spectrum disorders","type":"chapter"},"uris":["http://www.mendeley.com/documents/?uuid=6b49d681-f760-3181-bb60-8f307a572c0e"]}],"mendeley":{"formattedCitation":"[4]","plainTextFormattedCitation":"[4]","previouslyFormattedCitation":"[4]"},"properties":{"noteIndex":0},"schema":"https://github.com/citation-style-language/schema/raw/master/csl-citation.json"}</w:instrText>
      </w:r>
      <w:r w:rsidR="00AE076C" w:rsidRPr="0024604A">
        <w:rPr>
          <w:rFonts w:ascii="Calibri" w:hAnsi="Calibri"/>
          <w:szCs w:val="24"/>
          <w:lang w:val="en-GB"/>
        </w:rPr>
        <w:fldChar w:fldCharType="separate"/>
      </w:r>
      <w:r w:rsidR="0089225B" w:rsidRPr="0024604A">
        <w:rPr>
          <w:rFonts w:ascii="Calibri" w:hAnsi="Calibri"/>
          <w:noProof/>
          <w:szCs w:val="24"/>
          <w:lang w:val="en-GB"/>
        </w:rPr>
        <w:t>[4]</w:t>
      </w:r>
      <w:r w:rsidR="00AE076C" w:rsidRPr="0024604A">
        <w:rPr>
          <w:rFonts w:ascii="Calibri" w:hAnsi="Calibri"/>
          <w:szCs w:val="24"/>
          <w:lang w:val="en-GB"/>
        </w:rPr>
        <w:fldChar w:fldCharType="end"/>
      </w:r>
      <w:r w:rsidRPr="0024604A">
        <w:rPr>
          <w:rFonts w:ascii="Calibri" w:hAnsi="Calibri"/>
          <w:szCs w:val="24"/>
          <w:lang w:val="en-GB"/>
        </w:rPr>
        <w:t>.</w:t>
      </w:r>
      <w:r w:rsidR="00AE076C" w:rsidRPr="0024604A">
        <w:rPr>
          <w:rFonts w:ascii="Calibri" w:hAnsi="Calibri"/>
          <w:szCs w:val="24"/>
          <w:lang w:val="en-GB"/>
        </w:rPr>
        <w:t xml:space="preserve"> </w:t>
      </w:r>
      <w:r w:rsidR="00AE076C" w:rsidRPr="0024604A">
        <w:rPr>
          <w:rFonts w:ascii="Calibri" w:hAnsi="Calibri"/>
          <w:lang w:val="en-GB"/>
        </w:rPr>
        <w:t>Yet, since the</w:t>
      </w:r>
      <w:r w:rsidR="00AE076C" w:rsidRPr="0024604A">
        <w:rPr>
          <w:rFonts w:ascii="Calibri" w:hAnsi="Calibri"/>
        </w:rPr>
        <w:t xml:space="preserve"> effect of early </w:t>
      </w:r>
      <w:r w:rsidR="0092105D" w:rsidRPr="0024604A">
        <w:rPr>
          <w:rFonts w:ascii="Calibri" w:hAnsi="Calibri"/>
        </w:rPr>
        <w:t>behavioral</w:t>
      </w:r>
      <w:r w:rsidR="00AE076C" w:rsidRPr="0024604A">
        <w:rPr>
          <w:rFonts w:ascii="Calibri" w:hAnsi="Calibri"/>
        </w:rPr>
        <w:t xml:space="preserve"> intervention is significant, the identification of diagnostic markers has gained considerable attention also due to the </w:t>
      </w:r>
      <w:r w:rsidR="00AE076C" w:rsidRPr="0024604A">
        <w:rPr>
          <w:rFonts w:ascii="Calibri" w:hAnsi="Calibri"/>
        </w:rPr>
        <w:lastRenderedPageBreak/>
        <w:t xml:space="preserve">increasing prevalence of ASD </w:t>
      </w:r>
      <w:r w:rsidR="0092105D" w:rsidRPr="0024604A">
        <w:rPr>
          <w:rFonts w:ascii="Calibri" w:hAnsi="Calibri"/>
        </w:rPr>
        <w:fldChar w:fldCharType="begin" w:fldLock="1"/>
      </w:r>
      <w:r w:rsidR="006126E3" w:rsidRPr="0024604A">
        <w:rPr>
          <w:rFonts w:ascii="Calibri" w:hAnsi="Calibri"/>
        </w:rPr>
        <w:instrText>ADDIN CSL_CITATION {"citationItems":[{"id":"ITEM-1","itemData":{"DOI":"10.1016/j.cca.2019.12.009","ISSN":"18733492","abstract":"Autism spectrum disorder (ASD) refers to a group of complex neurodevelopmental disorders characterized by social interaction and communication deficits and repetitive and stereotyped behaviors. As the etiology and pathogenesis of the disorder have not yet been elucidated, specific treatment and reliable diagnostic biomarkers are not available. Early behavioral interventions have been shown to substantially improve symptoms in children with ASD. Given the rapidly increasing prevalence of ASD, there is an urgent need to identify related diagnostic biomarkers. Although specific diagnostic markers for ASD have not been identified, the related research has made progress in different aspects. This review summarizes recent findings of the use of genes, proteins, peptides, and metabolites as diagnostic markers for ASD. The associated techniques include genetic testing and proteomic and metabolomic analyses. In addition, some studies have focused on single or several proteins and metabolites. Moreover, transcriptomic analysis, immune disturbances and cytokine may also be used for this purpose. The pathogenesis involving genes, proteins, and metabolites is also discussed here.","author":[{"dropping-particle":"","family":"Shen","given":"Liming","non-dropping-particle":"","parse-names":false,"suffix":""},{"dropping-particle":"","family":"Liu","given":"Xu Kun","non-dropping-particle":"","parse-names":false,"suffix":""},{"dropping-particle":"","family":"Zhang","given":"Huajie","non-dropping-particle":"","parse-names":false,"suffix":""},{"dropping-particle":"","family":"Lin","given":"Jing","non-dropping-particle":"","parse-names":false,"suffix":""},{"dropping-particle":"","family":"Feng","given":"Chengyun","non-dropping-particle":"","parse-names":false,"suffix":""},{"dropping-particle":"","family":"Iqbal","given":"Javed","non-dropping-particle":"","parse-names":false,"suffix":""}],"container-title":"Clinica Chimica Acta","id":"ITEM-1","issued":{"date-parts":[["2020","3","1"]]},"page":"41-54","publisher":"Elsevier B.V.","title":"Biomarkers in autism spectrum disorders: Current progress","type":"article","volume":"502"},"uris":["http://www.mendeley.com/documents/?uuid=f3c8be3e-d70c-3f93-8402-efabf7b02580"]}],"mendeley":{"formattedCitation":"[5]","plainTextFormattedCitation":"[5]","previouslyFormattedCitation":"[5]"},"properties":{"noteIndex":0},"schema":"https://github.com/citation-style-language/schema/raw/master/csl-citation.json"}</w:instrText>
      </w:r>
      <w:r w:rsidR="0092105D" w:rsidRPr="0024604A">
        <w:rPr>
          <w:rFonts w:ascii="Calibri" w:hAnsi="Calibri"/>
        </w:rPr>
        <w:fldChar w:fldCharType="separate"/>
      </w:r>
      <w:r w:rsidR="0089225B" w:rsidRPr="0024604A">
        <w:rPr>
          <w:rFonts w:ascii="Calibri" w:hAnsi="Calibri"/>
          <w:noProof/>
        </w:rPr>
        <w:t>[5]</w:t>
      </w:r>
      <w:r w:rsidR="0092105D" w:rsidRPr="0024604A">
        <w:rPr>
          <w:rFonts w:ascii="Calibri" w:hAnsi="Calibri"/>
        </w:rPr>
        <w:fldChar w:fldCharType="end"/>
      </w:r>
      <w:r w:rsidR="00AE076C" w:rsidRPr="0024604A">
        <w:rPr>
          <w:rFonts w:ascii="Calibri" w:hAnsi="Calibri"/>
        </w:rPr>
        <w:t>.</w:t>
      </w:r>
      <w:r w:rsidR="00016CA9" w:rsidRPr="0024604A">
        <w:rPr>
          <w:rFonts w:ascii="Calibri" w:hAnsi="Calibri"/>
        </w:rPr>
        <w:t xml:space="preserve"> </w:t>
      </w:r>
      <w:r w:rsidR="00E07DB9" w:rsidRPr="0024604A">
        <w:rPr>
          <w:rFonts w:ascii="Calibri" w:hAnsi="Calibri"/>
        </w:rPr>
        <w:t>Interestingly, several lines of evidence indicate that diverse genetic as well as environmental risk factors may converge on a smaller number of interacting molecular pathways, including (Ca</w:t>
      </w:r>
      <w:r w:rsidR="00E07DB9" w:rsidRPr="0024604A">
        <w:rPr>
          <w:rFonts w:ascii="Calibri" w:hAnsi="Calibri"/>
          <w:vertAlign w:val="superscript"/>
        </w:rPr>
        <w:t>2+</w:t>
      </w:r>
      <w:r w:rsidR="00E07DB9" w:rsidRPr="0024604A">
        <w:rPr>
          <w:rFonts w:ascii="Calibri" w:hAnsi="Calibri"/>
        </w:rPr>
        <w:t>) homeostasis</w:t>
      </w:r>
      <w:r w:rsidR="008968E3" w:rsidRPr="0024604A">
        <w:rPr>
          <w:rFonts w:ascii="Calibri" w:hAnsi="Calibri"/>
        </w:rPr>
        <w:t xml:space="preserve"> </w:t>
      </w:r>
      <w:r w:rsidR="00962B27" w:rsidRPr="0024604A">
        <w:rPr>
          <w:rFonts w:ascii="Calibri" w:hAnsi="Calibri"/>
        </w:rPr>
        <w:fldChar w:fldCharType="begin" w:fldLock="1"/>
      </w:r>
      <w:r w:rsidR="00DF72B3" w:rsidRPr="0024604A">
        <w:rPr>
          <w:rFonts w:ascii="Calibri" w:hAnsi="Calibri"/>
        </w:rPr>
        <w:instrText>ADDIN CSL_CITATION {"citationItems":[{"id":"ITEM-1","itemData":{"DOI":"10.1016/j.bbamcr.2018.08.003","ISSN":"18792596","abstract":"Autism spectrum disorder (ASD) is a group of complex, neurological disorders that affect early cognitive, social, and verbal development. Our understanding of ASD has vastly improved with advances in genomic sequencing technology and genetic models that have identified &gt;800 loci with variants that increase susceptibility to ASD. Although these findings have confirmed its high heritability, the underlying mechanisms by which these genes produce the ASD phenotypes have not been defined. Current efforts have begun to “functionalize” many of these variants and envisage how these susceptibility factors converge at key biochemical and biophysical pathways. In this review, we discuss recent work on intracellular calcium signaling in ASD, including our own work, which begins to suggest it as a compelling candidate mechanism in the pathophysiology of autism and a potential therapeutic target. We consider how known variants in the calcium signaling genomic architecture of ASD may exert their deleterious effects along pathways particularly involving organelle dysfunction including the endoplasmic reticulum (ER), a major calcium store, and the mitochondria, a major calcium ion buffer, and theorize how many of these pathways intersect.","author":[{"dropping-particle":"","family":"Nguyen","given":"Rachel L.","non-dropping-particle":"","parse-names":false,"suffix":""},{"dropping-particle":"V.","family":"Medvedeva","given":"Yuliya","non-dropping-particle":"","parse-names":false,"suffix":""},{"dropping-particle":"","family":"Ayyagari","given":"Tejasvi E.","non-dropping-particle":"","parse-names":false,"suffix":""},{"dropping-particle":"","family":"Schmunk","given":"Galina","non-dropping-particle":"","parse-names":false,"suffix":""},{"dropping-particle":"","family":"Gargus","given":"John Jay","non-dropping-particle":"","parse-names":false,"suffix":""}],"container-title":"Biochimica et Biophysica Acta - Molecular Cell Research","id":"ITEM-1","issue":"11","issued":{"date-parts":[["2018"]]},"page":"1718-1732","publisher":"Elsevier","title":"Intracellular calcium dysregulation in autism spectrum disorder: An analysis of converging organelle signaling pathways","type":"article-journal","volume":"1865"},"uris":["http://www.mendeley.com/documents/?uuid=258f9af7-5350-4ee5-8778-d653578ed2e7"]},{"id":"ITEM-2","itemData":{"DOI":"10.1038/mp.2008.63","ISBN":"3908054427","ISSN":"1359-4184","PMID":"18607376","abstract":"Autism is a severe developmental disorder, whose pathogenetic underpinnings are still largely unknown. Temporocortical gray matter from six matched patient-control pairs was used to perform post-mortem biochemical and genetic studies of the mitochondrial aspartate/glutamate carrier (AGC), which participates in the aspartate/malate reduced nicotinamide adenine dinucleotide shuttle and is physiologically activated by calcium (Ca(2+)). AGC transport rates were significantly higher in tissue homogenates from all six patients, including those with no history of seizures and with normal electroencephalograms prior to death. This increase was consistently blunted by the Ca(2+) chelator ethylene glycol tetraacetic acid; neocortical Ca(2+) levels were significantly higher in all six patients; no difference in AGC transport rates was found in isolated mitochondria from patients and controls following removal of the Ca(2+)-containing postmitochondrial supernatant. Expression of AGC1, the predominant AGC isoform in brain, and cytochrome c oxidase activity were both increased in autistic patients, indicating an activation of mitochondrial metabolism. Furthermore, oxidized mitochondrial proteins were markedly increased in four of the six patients. Variants of the AGC1-encoding SLC25A12 gene were neither correlated with AGC activation nor associated with autism-spectrum disorders in 309 simplex and 17 multiplex families, whereas some unaffected siblings may carry a protective gene variant. Therefore, excessive Ca(2+) levels are responsible for boosting AGC activity, mitochondrial metabolism and, to a more variable degree, oxidative stress in autistic brains. AGC and altered Ca(2+) homeostasis play a key interactive role in the cascade of signaling events leading to autism: their modulation could provide new preventive and therapeutic strategies.","author":[{"dropping-particle":"","family":"Palmieri","given":"L","non-dropping-particle":"","parse-names":false,"suffix":""},{"dropping-particle":"","family":"Papaleo","given":"V","non-dropping-particle":"","parse-names":false,"suffix":""},{"dropping-particle":"","family":"Porcelli","given":"V","non-dropping-particle":"","parse-names":false,"suffix":""},{"dropping-particle":"","family":"Scarcia","given":"P","non-dropping-particle":"","parse-names":false,"suffix":""},{"dropping-particle":"","family":"Gaita","given":"L","non-dropping-particle":"","parse-names":false,"suffix":""},{"dropping-particle":"","family":"Sacco","given":"R","non-dropping-particle":"","parse-names":false,"suffix":""},{"dropping-particle":"","family":"Hager","given":"J","non-dropping-particle":"","parse-names":false,"suffix":""},{"dropping-particle":"","family":"Rousseau","given":"F","non-dropping-particle":"","parse-names":false,"suffix":""},{"dropping-particle":"","family":"Curatolo","given":"P","non-dropping-particle":"","parse-names":false,"suffix":""},{"dropping-particle":"","family":"Manzi","given":"B","non-dropping-particle":"","parse-names":false,"suffix":""},{"dropping-particle":"","family":"Militerni","given":"R","non-dropping-particle":"","parse-names":false,"suffix":""},{"dropping-particle":"","family":"Bravaccio","given":"C","non-dropping-particle":"","parse-names":false,"suffix":""},{"dropping-particle":"","family":"Trillo","given":"S","non-dropping-particle":"","parse-names":false,"suffix":""},{"dropping-particle":"","family":"Schneider","given":"C","non-dropping-particle":"","parse-names":false,"suffix":""},{"dropping-particle":"","family":"Melmed","given":"R","non-dropping-particle":"","parse-names":false,"suffix":""},{"dropping-particle":"","family":"Elia","given":"M","non-dropping-particle":"","parse-names":false,"suffix":""},{"dropping-particle":"","family":"Lenti","given":"C","non-dropping-particle":"","parse-names":false,"suffix":""},{"dropping-particle":"","family":"Saccani","given":"M","non-dropping-particle":"","parse-names":false,"suffix":""},{"dropping-particle":"","family":"Pascucci","given":"T","non-dropping-particle":"","parse-names":false,"suffix":""},{"dropping-particle":"","family":"Puglisi-Allegra","given":"S","non-dropping-particle":"","parse-names":false,"suffix":""},{"dropping-particle":"","family":"Reichelt","given":"K-L","non-dropping-particle":"","parse-names":false,"suffix":""},{"dropping-particle":"","family":"Persico","given":"A.M.","non-dropping-particle":"","parse-names":false,"suffix":""}],"container-title":"Molecular Psychiatry","id":"ITEM-2","issue":"1","issued":{"date-parts":[["2010"]]},"page":"38-52","publisher":"Nature Publishing Group","title":"Altered calcium homeostasis in autism-spectrum disorders: evidence from biochemical and genetic studies of the mitochondrial aspartate/glutamate carrier AGC1.","type":"article-journal","volume":"15"},"uris":["http://www.mendeley.com/documents/?uuid=ce58cd3c-1fd9-4421-860a-3e88c95dbace"]}],"mendeley":{"formattedCitation":"[6, 7]","plainTextFormattedCitation":"[6, 7]","previouslyFormattedCitation":"[6, 7]"},"properties":{"noteIndex":0},"schema":"https://github.com/citation-style-language/schema/raw/master/csl-citation.json"}</w:instrText>
      </w:r>
      <w:r w:rsidR="00962B27" w:rsidRPr="0024604A">
        <w:rPr>
          <w:rFonts w:ascii="Calibri" w:hAnsi="Calibri"/>
        </w:rPr>
        <w:fldChar w:fldCharType="separate"/>
      </w:r>
      <w:r w:rsidR="0089225B" w:rsidRPr="0024604A">
        <w:rPr>
          <w:rFonts w:ascii="Calibri" w:hAnsi="Calibri"/>
          <w:noProof/>
        </w:rPr>
        <w:t>[6, 7]</w:t>
      </w:r>
      <w:r w:rsidR="00962B27" w:rsidRPr="0024604A">
        <w:rPr>
          <w:rFonts w:ascii="Calibri" w:hAnsi="Calibri"/>
        </w:rPr>
        <w:fldChar w:fldCharType="end"/>
      </w:r>
      <w:r w:rsidR="00E07DB9" w:rsidRPr="0024604A">
        <w:rPr>
          <w:rFonts w:ascii="Calibri" w:hAnsi="Calibri"/>
        </w:rPr>
        <w:t xml:space="preserve">, mitochondrial function </w:t>
      </w:r>
      <w:r w:rsidR="00016CA9" w:rsidRPr="0024604A">
        <w:rPr>
          <w:rFonts w:ascii="Calibri" w:hAnsi="Calibri"/>
        </w:rPr>
        <w:fldChar w:fldCharType="begin" w:fldLock="1"/>
      </w:r>
      <w:r w:rsidR="006126E3" w:rsidRPr="0024604A">
        <w:rPr>
          <w:rFonts w:ascii="Calibri" w:hAnsi="Calibri"/>
        </w:rPr>
        <w:instrText>ADDIN CSL_CITATION {"citationItems":[{"id":"ITEM-1","itemData":{"DOI":"10.1016/j.bbabio.2010.04.018","ISSN":"00052728","abstract":"Autism Spectrum Disorders encompass severe developmental disorders characterized by variable degrees of impairment in language, communication and social skills, as well as by repetitive and stereotypic patterns of behaviour. Substantial percentages of autistic patients display peripheral markers of mitochondrial energy metabolism dysfunction, such as (a) elevated lactate, pyruvate, and alanine levels in blood, urine and/or cerebrospinal fluid, (b) serum carnitine deficiency, and/or (c) enhanced oxidative stress. These biochemical abnormalities are accompanied by highly heterogeneous clinical presentations, which generally (but by no means always) encompass neurological and systemic symptoms relatively unusual in idiopathic autistic disorder. In some patients, these abnormalities have been successfully explained by the presence of specific mutations or rearrangements in their mitochondrial or nuclear DNA. However, in the majority of cases, abnormal energy metabolism cannot be immediately linked to specific genetic or genomic defects. Recent evidence from post-mortem studies of autistic brains points toward abnormalities in mitochondrial function as possible downstream consequences of dysreactive immunity and altered calcium (Ca2+) signalling. © 2010 Elsevier B.V.","author":[{"dropping-particle":"","family":"Palmieri","given":"Luigi","non-dropping-particle":"","parse-names":false,"suffix":""},{"dropping-particle":"","family":"Persico","given":"Antonio M.","non-dropping-particle":"","parse-names":false,"suffix":""}],"container-title":"Biochimica et Biophysica Acta - Bioenergetics","id":"ITEM-1","issue":"6-7","issued":{"date-parts":[["2010","6"]]},"page":"1130-1137","title":"Mitochondrial dysfunction in autism spectrum disorders: Cause or effect?","type":"article-journal","volume":"1797"},"uris":["http://www.mendeley.com/documents/?uuid=f0d0bc51-a5ae-3408-b32e-8833f296933d"]},{"id":"ITEM-2","itemData":{"DOI":"10.1007/s40291-018-0352-x","ISSN":"11792000","abstract":"Autism spectrum disorder (ASD) affects ~ 2% of children in the United States. The etiology of ASD likely involves environmental factors triggering physiological abnormalities in genetically sensitive individuals. One of these major physiological abnormalities is mitochondrial dysfunction, which may affect a significant subset of children with ASD. Here we systematically review the literature on human studies of mitochondrial dysfunction related to ASD. Clinical aspects of mitochondrial dysfunction in ASD include unusual neurodevelopmental regression, especially if triggered by an inflammatory event, gastrointestinal symptoms, seizures, motor delays, fatigue and lethargy. Traditional biomarkers of mitochondrial disease are widely reported to be abnormal in ASD, but appear non-specific. Newer biomarkers include buccal cell enzymology, biomarkers of fatty acid metabolism, non-mitochondrial enzyme function, apoptosis markers and mitochondrial antibodies. Many genetic abnormalities are associated with mitochondrial dysfunction in ASD, including chromosomal abnormalities, mitochondrial DNA mutations and large-scale deletions, and mutations in both mitochondrial and non-mitochondrial nuclear genes. Mitochondrial dysfunction has been described in immune and buccal cells, fibroblasts, muscle and gastrointestinal tissue and the brains of individuals with ASD. Several environmental factors, including toxicants, microbiome metabolites and an oxidized microenvironment are shown to modulate mitochondrial function in ASD tissues. Investigations of treatments for mitochondrial dysfunction in ASD are promising but preliminary. The etiology of mitochondrial dysfunction and how to define it in ASD is currently unclear. However, preliminary evidence suggests that the mitochondria may be a fruitful target for treatment and prevention of ASD. Further research is needed to better understand the role of mitochondrial dysfunction in the pathophysiology of ASD.","author":[{"dropping-particle":"","family":"Rose","given":"Shannon","non-dropping-particle":"","parse-names":false,"suffix":""},{"dropping-particle":"","family":"Niyazov","given":"Dmitriy M.","non-dropping-particle":"","parse-names":false,"suffix":""},{"dropping-particle":"","family":"Rossignol","given":"Daniel A.","non-dropping-particle":"","parse-names":false,"suffix":""},{"dropping-particle":"","family":"Goldenthal","given":"Michael","non-dropping-particle":"","parse-names":false,"suffix":""},{"dropping-particle":"","family":"Kahler","given":"Stephen G.","non-dropping-particle":"","parse-names":false,"suffix":""},{"dropping-particle":"","family":"Frye","given":"Richard E.","non-dropping-particle":"","parse-names":false,"suffix":""}],"container-title":"Molecular Diagnosis and Therapy","id":"ITEM-2","issue":"5","issued":{"date-parts":[["2018","10","1"]]},"page":"571-593","publisher":"Springer International Publishing","title":"Clinical and Molecular Characteristics of Mitochondrial Dysfunction in Autism Spectrum Disorder","type":"article","volume":"22"},"uris":["http://www.mendeley.com/documents/?uuid=402d3bea-f92d-37b4-a581-4a6298acbd60"]}],"mendeley":{"formattedCitation":"[8, 9]","plainTextFormattedCitation":"[8, 9]","previouslyFormattedCitation":"[8, 9]"},"properties":{"noteIndex":0},"schema":"https://github.com/citation-style-language/schema/raw/master/csl-citation.json"}</w:instrText>
      </w:r>
      <w:r w:rsidR="00016CA9" w:rsidRPr="0024604A">
        <w:rPr>
          <w:rFonts w:ascii="Calibri" w:hAnsi="Calibri"/>
        </w:rPr>
        <w:fldChar w:fldCharType="separate"/>
      </w:r>
      <w:r w:rsidR="0089225B" w:rsidRPr="0024604A">
        <w:rPr>
          <w:rFonts w:ascii="Calibri" w:hAnsi="Calibri"/>
          <w:noProof/>
        </w:rPr>
        <w:t>[8, 9]</w:t>
      </w:r>
      <w:r w:rsidR="00016CA9" w:rsidRPr="0024604A">
        <w:rPr>
          <w:rFonts w:ascii="Calibri" w:hAnsi="Calibri"/>
        </w:rPr>
        <w:fldChar w:fldCharType="end"/>
      </w:r>
      <w:r w:rsidR="00E07DB9" w:rsidRPr="0024604A">
        <w:rPr>
          <w:rFonts w:ascii="Calibri" w:hAnsi="Calibri"/>
        </w:rPr>
        <w:t xml:space="preserve"> and immune response </w:t>
      </w:r>
      <w:r w:rsidR="00962B27" w:rsidRPr="0024604A">
        <w:rPr>
          <w:rFonts w:ascii="Calibri" w:hAnsi="Calibri"/>
        </w:rPr>
        <w:fldChar w:fldCharType="begin" w:fldLock="1"/>
      </w:r>
      <w:r w:rsidR="006126E3" w:rsidRPr="0024604A">
        <w:rPr>
          <w:rFonts w:ascii="Calibri" w:hAnsi="Calibri"/>
        </w:rPr>
        <w:instrText>ADDIN CSL_CITATION {"citationItems":[{"id":"ITEM-1","itemData":{"DOI":"10.1189/jlb.1205707","ISBN":"0741-5400 (Print)","ISSN":"0741-5400","PMID":"16698940","abstract":"Autism spectrum disorders (ASD) are part of a broad spectrum of neurodevelopmental disorders known as pervasive developmental disorders, which occur in childhood. They are characterized by impairments in social interaction, verbal and nonverbal communication and the presence of restricted and repetitive stereotyped behaviors. At the present time, the etiology of ASD is largely unknown, but genetic, environmental, immunological, and neurological factors are thought to play a role in the development of ASD. Recently, increasing research has focused on the connections between the immune system and the nervous system, including its possible role in the development of ASD. These neuroimmune interactions begin early during embryogenesis and persist throughout an individual's lifetime, with successful neurodevelopment contingent upon a normal balanced immune response. Immune aberrations consistent with a dysregulated immune response, which so far, have been reported in autistic children, include abnormal or skewed T helper cell type 1 (T(H)1)/T(H)2 cytokine profiles, decreased lymphocyte numbers, decreased T cell mitogen response, and the imbalance of serum immunoglobulin levels. In addition, autism has been linked with autoimmunity and an association with immune-based genes including human leukocyte antigen (HLA)-DRB1 and complement C4 alleles described. There is potential that such aberrant immune activity during vulnerable and critical periods of neurodevelopment could participate in the generation of neurological dysfunction characteristic of ASD. This review will examine the status of the research linking the immune response with ASD.","author":[{"dropping-particle":"","family":"Ashwood","given":"P.","non-dropping-particle":"","parse-names":false,"suffix":""},{"dropping-particle":"","family":"Wills","given":"S.","non-dropping-particle":"","parse-names":false,"suffix":""},{"dropping-particle":"","family":"Water","given":"J.","non-dropping-particle":"Van de","parse-names":false,"suffix":""}],"container-title":"Journal of Leukocyte Biology","id":"ITEM-1","issue":"1","issued":{"date-parts":[["2006"]]},"page":"1-15","title":"The immune response in autism: a new frontier for autism research","type":"article-journal","volume":"80"},"uris":["http://www.mendeley.com/documents/?uuid=4d9268d9-243a-48eb-9550-49d275e2ab65"]},{"id":"ITEM-2","itemData":{"DOI":"10.1007/s12035-011-8192-2","ISSN":"15591182","abstract":"Autism spectrum disorder (ASD) is a severe, complex neurodevelopmental disorder characterized by impairments in reciprocal social interaction and communication, and restricted and stereotyped patterns of interests and behaviors. Recent evidence has unveiled an important role for calcium (Ca 2+) signaling in the pathogenesis of ASD. Post-mortem studies of autistic brains have pointed toward abnormalities in mitochondrial function as possible downstream consequences of altered Ca2+ signaling, abnormal synapse formation, and dysreactive immunity. SLC25A12, an ASD susceptibility gene, encodes the Ca2+-regulated mitochondrial aspartate-glutamate carrier, isoform 1 (AGC1). AGC1 is an important component of the malate/aspartate shuttle, a crucial system supporting oxidative phosphorylation and adenosine triphosphate (ATP) production. Here, we review the physiological roles of AGC1, its links to calcium homeostasis, and its involvement in autism pathogenesis. © 2011 Springer Science+Business Media, LLC.","author":[{"dropping-particle":"","family":"Napolioni","given":"Valerio","non-dropping-particle":"","parse-names":false,"suffix":""},{"dropping-particle":"","family":"Persico","given":"Antonio M.","non-dropping-particle":"","parse-names":false,"suffix":""},{"dropping-particle":"","family":"Porcelli","given":"Vito","non-dropping-particle":"","parse-names":false,"suffix":""},{"dropping-particle":"","family":"Palmieri","given":"Luigi","non-dropping-particle":"","parse-names":false,"suffix":""}],"container-title":"Molecular Neurobiology","id":"ITEM-2","issue":"1","issued":{"date-parts":[["2011"]]},"page":"83-92","publisher":"Humana Press Inc.","title":"The mitochondrial aspartate/glutamate carrier AGC1 and calcium homeostasis: Physiological links and abnormalities in autism","type":"article-journal","volume":"44"},"uris":["http://www.mendeley.com/documents/?uuid=0629241b-7da9-373f-95da-b99231a9bb20"]}],"mendeley":{"formattedCitation":"[10, 11]","plainTextFormattedCitation":"[10, 11]","previouslyFormattedCitation":"[10, 11]"},"properties":{"noteIndex":0},"schema":"https://github.com/citation-style-language/schema/raw/master/csl-citation.json"}</w:instrText>
      </w:r>
      <w:r w:rsidR="00962B27" w:rsidRPr="0024604A">
        <w:rPr>
          <w:rFonts w:ascii="Calibri" w:hAnsi="Calibri"/>
        </w:rPr>
        <w:fldChar w:fldCharType="separate"/>
      </w:r>
      <w:r w:rsidR="0089225B" w:rsidRPr="0024604A">
        <w:rPr>
          <w:rFonts w:ascii="Calibri" w:hAnsi="Calibri"/>
          <w:noProof/>
        </w:rPr>
        <w:t>[10, 11]</w:t>
      </w:r>
      <w:r w:rsidR="00962B27" w:rsidRPr="0024604A">
        <w:rPr>
          <w:rFonts w:ascii="Calibri" w:hAnsi="Calibri"/>
        </w:rPr>
        <w:fldChar w:fldCharType="end"/>
      </w:r>
      <w:r w:rsidR="00E07DB9" w:rsidRPr="0024604A">
        <w:rPr>
          <w:rFonts w:ascii="Calibri" w:hAnsi="Calibri"/>
        </w:rPr>
        <w:t xml:space="preserve">, which in turn impact brain circuit development and function </w:t>
      </w:r>
      <w:r w:rsidR="00016CA9" w:rsidRPr="0024604A">
        <w:rPr>
          <w:rFonts w:ascii="Calibri" w:hAnsi="Calibri"/>
        </w:rPr>
        <w:fldChar w:fldCharType="begin" w:fldLock="1"/>
      </w:r>
      <w:r w:rsidR="00DF72B3" w:rsidRPr="0024604A">
        <w:rPr>
          <w:rFonts w:ascii="Calibri" w:hAnsi="Calibri"/>
        </w:rPr>
        <w:instrText>ADDIN CSL_CITATION {"citationItems":[{"id":"ITEM-1","itemData":{"DOI":"10.1126/science.aab3897","ISSN":"10959203","abstract":"Research in the genetics of neurodevelopmental disorders such as autism suggests that several hundred genes are likely risk factors for these disorders. This heterogeneity presents a challenge and an opportunity at the same time. Although the exact identity of many of the genes remains to be discovered, genes identified to date encode proteins that play roles in certain conserved pathways: protein synthesis, transcriptional and epigenetic regulation, and synaptic signaling. The next generation of research in neurodevelopmental disorders must address the neural circuitry underlying the behavioral symptoms and comorbidities, the cell types playing critical roles in these circuits, and common intercellular signaling pathways that link diverse genes. Results from clinical trials have been mixed so far. Only when we can leverage the heterogeneity of neurodevelopmental disorders into precision medicine will the mechanism-based therapeutics for these disorders start to unlock success.","author":[{"dropping-particle":"","family":"Sahin","given":"Mustafa","non-dropping-particle":"","parse-names":false,"suffix":""},{"dropping-particle":"","family":"Sur","given":"Mriganka","non-dropping-particle":"","parse-names":false,"suffix":""}],"container-title":"Science (New York, N.Y.)","id":"ITEM-1","issue":"6263","issued":{"date-parts":[["2015","11","20"]]},"page":"aab3897-aab3905","publisher":"American Association for the Advancement of Science","title":"Genes, circuits, and precision therapies for autism and related neurodevelopmental disorders","type":"article-journal","volume":"350"},"uris":["http://www.mendeley.com/documents/?uuid=45214e42-26c1-3aee-9585-5cb253978e01"]}],"mendeley":{"formattedCitation":"[12]","plainTextFormattedCitation":"[12]","previouslyFormattedCitation":"[12]"},"properties":{"noteIndex":0},"schema":"https://github.com/citation-style-language/schema/raw/master/csl-citation.json"}</w:instrText>
      </w:r>
      <w:r w:rsidR="00016CA9" w:rsidRPr="0024604A">
        <w:rPr>
          <w:rFonts w:ascii="Calibri" w:hAnsi="Calibri"/>
        </w:rPr>
        <w:fldChar w:fldCharType="separate"/>
      </w:r>
      <w:r w:rsidR="0089225B" w:rsidRPr="0024604A">
        <w:rPr>
          <w:rFonts w:ascii="Calibri" w:hAnsi="Calibri"/>
          <w:noProof/>
        </w:rPr>
        <w:t>[12]</w:t>
      </w:r>
      <w:r w:rsidR="00016CA9" w:rsidRPr="0024604A">
        <w:rPr>
          <w:rFonts w:ascii="Calibri" w:hAnsi="Calibri"/>
        </w:rPr>
        <w:fldChar w:fldCharType="end"/>
      </w:r>
      <w:r w:rsidR="00016CA9" w:rsidRPr="0024604A">
        <w:rPr>
          <w:rFonts w:ascii="Calibri" w:hAnsi="Calibri"/>
        </w:rPr>
        <w:t>.</w:t>
      </w:r>
    </w:p>
    <w:p w14:paraId="2129B7F1" w14:textId="65F3A185" w:rsidR="00CD73E3" w:rsidRPr="0024604A" w:rsidRDefault="00CD73E3" w:rsidP="00CD73E3">
      <w:pPr>
        <w:pStyle w:val="Corpotesto"/>
        <w:spacing w:line="480" w:lineRule="auto"/>
        <w:ind w:firstLine="708"/>
        <w:jc w:val="both"/>
        <w:rPr>
          <w:rFonts w:ascii="Calibri" w:hAnsi="Calibri"/>
          <w:lang w:val="en-GB"/>
        </w:rPr>
      </w:pPr>
      <w:r w:rsidRPr="0024604A">
        <w:rPr>
          <w:rFonts w:ascii="Calibri" w:hAnsi="Calibri"/>
        </w:rPr>
        <w:t xml:space="preserve">Growing attention is being paid to immune dysregulation that may lead to impairments in neurodevelopment as numerous findings of altered immune system function in ASD children have been described </w:t>
      </w:r>
      <w:r w:rsidRPr="0024604A">
        <w:rPr>
          <w:rFonts w:ascii="Calibri" w:hAnsi="Calibri"/>
        </w:rPr>
        <w:fldChar w:fldCharType="begin" w:fldLock="1"/>
      </w:r>
      <w:r w:rsidR="006126E3" w:rsidRPr="0024604A">
        <w:rPr>
          <w:rFonts w:ascii="Calibri" w:hAnsi="Calibri"/>
        </w:rPr>
        <w:instrText>ADDIN CSL_CITATION {"citationItems":[{"id":"ITEM-1","itemData":{"DOI":"10.1007/s12035-017-0822-x","ISSN":"15591182","abstract":"Autism spectrum disorders (ASD) are characterized by impairments in language and communication development, social behavior, and the occurrence of stereotypic patterns of behavior and interests. Despite substantial speculation about causes of ASD, its exact etiology remains unknown. Recent studies highlight a link between immune dysfunction and behavioral traits. Various immune anomalies, including humoral and cellular immunity along with abnormalities at the molecular level, have been reported. There is evidence of altered immune function both in cerebrospinal fluid and peripheral blood. Several studies hypothesize a role for neuroinflammation in ASD and are supported by brain tissue and cerebrospinal fluid analysis, as well as evidence of microglial activation. It has been shown that immune abnormalities occur in a substantial number of individuals with ASD. Identifying subgroups with immune system dysregulation and linking specific cellular immunophenotypes to different symptoms would be key to defining a group of patients with immune abnormalities as a major etiology underlying behavioral symptoms. These determinations would provide the opportunity to investigate causative treatments for a defined patient group that may specifically benefit from such an approach. This review summarizes recent insights into immune system dysfunction in individuals with ASD and discusses the potential implications for future therapies.","author":[{"dropping-particle":"","family":"Gładysz","given":"Dominika","non-dropping-particle":"","parse-names":false,"suffix":""},{"dropping-particle":"","family":"Krzywdzińska","given":"Amanda","non-dropping-particle":"","parse-names":false,"suffix":""},{"dropping-particle":"","family":"Hozyasz","given":"Kamil K","non-dropping-particle":"","parse-names":false,"suffix":""}],"container-title":"Molecular Neurobiology","id":"ITEM-1","issue":"8","issued":{"date-parts":[["2018"]]},"page":"6387-6435","title":"Immune Abnormalities in Autism Spectrum Disorder—Could They Hold Promise for Causative Treatment?","type":"article","volume":"55"},"uris":["http://www.mendeley.com/documents/?uuid=f3b9287c-8e18-452e-9d7e-a6e28e2cb49b"]}],"mendeley":{"formattedCitation":"[13]","plainTextFormattedCitation":"[13]","previouslyFormattedCitation":"[13]"},"properties":{"noteIndex":0},"schema":"https://github.com/citation-style-language/schema/raw/master/csl-citation.json"}</w:instrText>
      </w:r>
      <w:r w:rsidRPr="0024604A">
        <w:rPr>
          <w:rFonts w:ascii="Calibri" w:hAnsi="Calibri"/>
        </w:rPr>
        <w:fldChar w:fldCharType="separate"/>
      </w:r>
      <w:r w:rsidR="0089225B" w:rsidRPr="0024604A">
        <w:rPr>
          <w:rFonts w:ascii="Calibri" w:hAnsi="Calibri"/>
          <w:noProof/>
        </w:rPr>
        <w:t>[13]</w:t>
      </w:r>
      <w:r w:rsidRPr="0024604A">
        <w:rPr>
          <w:rFonts w:ascii="Calibri" w:hAnsi="Calibri"/>
        </w:rPr>
        <w:fldChar w:fldCharType="end"/>
      </w:r>
      <w:r w:rsidRPr="0024604A">
        <w:rPr>
          <w:rFonts w:ascii="Calibri" w:hAnsi="Calibri"/>
        </w:rPr>
        <w:t xml:space="preserve">. </w:t>
      </w:r>
      <w:r w:rsidRPr="0024604A">
        <w:rPr>
          <w:rFonts w:ascii="Calibri" w:hAnsi="Calibri"/>
          <w:szCs w:val="24"/>
          <w:lang w:val="en-GB"/>
        </w:rPr>
        <w:t xml:space="preserve">An extensive search has shown that a subgroup of individuals with ASD show immune dysregulation that may represent a comorbidity of </w:t>
      </w:r>
      <w:r w:rsidR="005045B6" w:rsidRPr="0024604A">
        <w:rPr>
          <w:rFonts w:ascii="Calibri" w:hAnsi="Calibri"/>
          <w:szCs w:val="24"/>
          <w:lang w:val="en-GB"/>
        </w:rPr>
        <w:t xml:space="preserve">autism </w:t>
      </w:r>
      <w:r w:rsidRPr="0024604A">
        <w:rPr>
          <w:rFonts w:ascii="Calibri" w:hAnsi="Calibri"/>
          <w:szCs w:val="24"/>
          <w:lang w:val="en-GB"/>
        </w:rPr>
        <w:t>or it may play a straight role in the development of ASD via impairment of neurodevelopmental processes</w:t>
      </w:r>
      <w:r w:rsidRPr="0024604A">
        <w:rPr>
          <w:rFonts w:ascii="Calibri" w:hAnsi="Calibri" w:cs="Calibri"/>
          <w:szCs w:val="24"/>
          <w:lang w:val="en-GB"/>
        </w:rPr>
        <w:t xml:space="preserve">. </w:t>
      </w:r>
      <w:r w:rsidRPr="0024604A">
        <w:rPr>
          <w:rFonts w:ascii="Calibri" w:hAnsi="Calibri"/>
          <w:szCs w:val="24"/>
          <w:lang w:val="en-GB"/>
        </w:rPr>
        <w:t>Nonetheless</w:t>
      </w:r>
      <w:r w:rsidR="003B4655" w:rsidRPr="0024604A">
        <w:rPr>
          <w:rFonts w:ascii="Calibri" w:hAnsi="Calibri"/>
          <w:szCs w:val="24"/>
          <w:lang w:val="en-GB"/>
        </w:rPr>
        <w:t>,</w:t>
      </w:r>
      <w:r w:rsidRPr="0024604A">
        <w:rPr>
          <w:rFonts w:ascii="Calibri" w:hAnsi="Calibri"/>
          <w:szCs w:val="24"/>
          <w:lang w:val="en-GB"/>
        </w:rPr>
        <w:t xml:space="preserve"> results of these studies appear confusing due to design issues or small sample sizes </w:t>
      </w:r>
      <w:r w:rsidRPr="0024604A">
        <w:rPr>
          <w:rFonts w:ascii="Calibri" w:hAnsi="Calibri"/>
          <w:szCs w:val="24"/>
          <w:lang w:val="en-GB"/>
        </w:rPr>
        <w:fldChar w:fldCharType="begin" w:fldLock="1"/>
      </w:r>
      <w:r w:rsidR="006126E3" w:rsidRPr="0024604A">
        <w:rPr>
          <w:rFonts w:ascii="Calibri" w:hAnsi="Calibri"/>
          <w:szCs w:val="24"/>
          <w:lang w:val="en-GB"/>
        </w:rPr>
        <w:instrText>ADDIN CSL_CITATION {"citationItems":[{"id":"ITEM-1","itemData":{"DOI":"10.1016/j.imlet.2014.11.006","ISBN":"0165-2478","ISSN":"18790542","PMID":"25448709","abstract":"Autism spectrum disorders (ASD) are neurodevelopmental disorders characterized by deficits in social interactions, communication, and increased stereotypical repetitive behaviors. The immune system plays an important role in neurodevelopment, regulating neuronal proliferation, synapse formation and plasticity, as well as removing apoptotic neurons. Immune dysfunction in ASD has been repeatedly described by many research groups across the globe. Symptoms of immune dysfunction in ASD include neuroinflammation, presence of autoantibodies, increased T cell responses, and enhanced innate NK cell and monocyte immune responses. Moreover these responses are frequently associated with more impairment in core ASD features including impaired social interactions, repetitive behaviors and communication. In mouse models replacing immune components in animals that exhibit autistic relevant features leads to improvement in behavior in these animals. Taken together this research suggests that the immune dysfunction often seen in ASD directly affects aspects of neurodevelopment and neurological processes leading to changes in behavior. Discussion of immune abnormalities in ASD will be the focus of this review.","author":[{"dropping-particle":"","family":"Mead","given":"Jennifer","non-dropping-particle":"","parse-names":false,"suffix":""},{"dropping-particle":"","family":"Ashwood","given":"Paul","non-dropping-particle":"","parse-names":false,"suffix":""}],"container-title":"Immunology Letters","id":"ITEM-1","issue":"1","issued":{"date-parts":[["2015"]]},"page":"49-55","publisher":"Elsevier B.V.","title":"Evidence supporting an altered immune response in ASD","type":"article-journal","volume":"163"},"uris":["http://www.mendeley.com/documents/?uuid=5b39f1b0-fbbf-44a8-b3d0-4d93ba3bded3"]}],"mendeley":{"formattedCitation":"[14]","plainTextFormattedCitation":"[14]","previouslyFormattedCitation":"[14]"},"properties":{"noteIndex":0},"schema":"https://github.com/citation-style-language/schema/raw/master/csl-citation.json"}</w:instrText>
      </w:r>
      <w:r w:rsidRPr="0024604A">
        <w:rPr>
          <w:rFonts w:ascii="Calibri" w:hAnsi="Calibri"/>
          <w:szCs w:val="24"/>
          <w:lang w:val="en-GB"/>
        </w:rPr>
        <w:fldChar w:fldCharType="separate"/>
      </w:r>
      <w:r w:rsidR="0089225B" w:rsidRPr="0024604A">
        <w:rPr>
          <w:rFonts w:ascii="Calibri" w:hAnsi="Calibri"/>
          <w:noProof/>
          <w:szCs w:val="24"/>
          <w:lang w:val="en-GB"/>
        </w:rPr>
        <w:t>[14]</w:t>
      </w:r>
      <w:r w:rsidRPr="0024604A">
        <w:rPr>
          <w:rFonts w:ascii="Calibri" w:hAnsi="Calibri"/>
          <w:szCs w:val="24"/>
          <w:lang w:val="en-GB"/>
        </w:rPr>
        <w:fldChar w:fldCharType="end"/>
      </w:r>
      <w:r w:rsidRPr="0024604A">
        <w:rPr>
          <w:rFonts w:ascii="Calibri" w:hAnsi="Calibri"/>
          <w:szCs w:val="24"/>
          <w:lang w:val="en-GB"/>
        </w:rPr>
        <w:t>.</w:t>
      </w:r>
      <w:r w:rsidR="00FA2C42" w:rsidRPr="0024604A">
        <w:rPr>
          <w:rFonts w:ascii="Calibri" w:hAnsi="Calibri"/>
          <w:szCs w:val="24"/>
          <w:lang w:val="en-GB"/>
        </w:rPr>
        <w:t xml:space="preserve"> </w:t>
      </w:r>
      <w:r w:rsidRPr="0024604A">
        <w:rPr>
          <w:rFonts w:ascii="Calibri" w:hAnsi="Calibri"/>
          <w:szCs w:val="24"/>
          <w:lang w:val="en-GB"/>
        </w:rPr>
        <w:t>Starting in 1986</w:t>
      </w:r>
      <w:r w:rsidR="003B4655" w:rsidRPr="0024604A">
        <w:rPr>
          <w:rFonts w:ascii="Calibri" w:hAnsi="Calibri"/>
          <w:szCs w:val="24"/>
          <w:lang w:val="en-GB"/>
        </w:rPr>
        <w:t>,</w:t>
      </w:r>
      <w:r w:rsidRPr="0024604A">
        <w:rPr>
          <w:rFonts w:ascii="Calibri" w:hAnsi="Calibri"/>
          <w:szCs w:val="24"/>
          <w:lang w:val="en-GB"/>
        </w:rPr>
        <w:t xml:space="preserve"> numerous investigations on immune cells from peripheral blood of ASD children have been carried out </w:t>
      </w:r>
      <w:r w:rsidRPr="0024604A">
        <w:rPr>
          <w:rFonts w:ascii="Calibri" w:hAnsi="Calibri"/>
          <w:szCs w:val="24"/>
          <w:lang w:val="en-GB"/>
        </w:rPr>
        <w:fldChar w:fldCharType="begin" w:fldLock="1"/>
      </w:r>
      <w:r w:rsidR="006126E3" w:rsidRPr="0024604A">
        <w:rPr>
          <w:rFonts w:ascii="Calibri" w:hAnsi="Calibri"/>
          <w:szCs w:val="24"/>
          <w:lang w:val="en-GB"/>
        </w:rPr>
        <w:instrText>ADDIN CSL_CITATION {"citationItems":[{"id":"ITEM-1","itemData":{"DOI":"10.1007/BF01531729","ISSN":"0162-3257","author":[{"dropping-particle":"","family":"Warren","given":"Reed P.","non-dropping-particle":"","parse-names":false,"suffix":""},{"dropping-particle":"","family":"Margaretten","given":"Nadine C.","non-dropping-particle":"","parse-names":false,"suffix":""},{"dropping-particle":"","family":"Pace","given":"Nancy C.","non-dropping-particle":"","parse-names":false,"suffix":""},{"dropping-particle":"","family":"Foster","given":"Ann","non-dropping-particle":"","parse-names":false,"suffix":""}],"container-title":"Journal of Autism and Developmental Disorders","id":"ITEM-1","issue":"2","issued":{"date-parts":[["1986","6"]]},"page":"189-197","title":"Immune abnormalities in patients with autism","type":"article-journal","volume":"16"},"uris":["http://www.mendeley.com/documents/?uuid=f72f78a1-04db-4710-b98c-c3d18b140273"]}],"mendeley":{"formattedCitation":"[15]","plainTextFormattedCitation":"[15]","previouslyFormattedCitation":"[15]"},"properties":{"noteIndex":0},"schema":"https://github.com/citation-style-language/schema/raw/master/csl-citation.json"}</w:instrText>
      </w:r>
      <w:r w:rsidRPr="0024604A">
        <w:rPr>
          <w:rFonts w:ascii="Calibri" w:hAnsi="Calibri"/>
          <w:szCs w:val="24"/>
          <w:lang w:val="en-GB"/>
        </w:rPr>
        <w:fldChar w:fldCharType="separate"/>
      </w:r>
      <w:r w:rsidR="0089225B" w:rsidRPr="0024604A">
        <w:rPr>
          <w:rFonts w:ascii="Calibri" w:hAnsi="Calibri"/>
          <w:noProof/>
          <w:szCs w:val="24"/>
          <w:lang w:val="en-GB"/>
        </w:rPr>
        <w:t>[15]</w:t>
      </w:r>
      <w:r w:rsidRPr="0024604A">
        <w:rPr>
          <w:rFonts w:ascii="Calibri" w:hAnsi="Calibri"/>
          <w:szCs w:val="24"/>
          <w:lang w:val="en-GB"/>
        </w:rPr>
        <w:fldChar w:fldCharType="end"/>
      </w:r>
      <w:r w:rsidRPr="0024604A">
        <w:rPr>
          <w:rFonts w:ascii="Calibri" w:hAnsi="Calibri"/>
          <w:szCs w:val="24"/>
          <w:lang w:val="en-GB"/>
        </w:rPr>
        <w:t xml:space="preserve"> and recently reviewed </w:t>
      </w:r>
      <w:r w:rsidRPr="0024604A">
        <w:rPr>
          <w:rFonts w:ascii="Calibri" w:hAnsi="Calibri"/>
          <w:szCs w:val="24"/>
          <w:lang w:val="en-GB"/>
        </w:rPr>
        <w:fldChar w:fldCharType="begin" w:fldLock="1"/>
      </w:r>
      <w:r w:rsidR="006126E3" w:rsidRPr="0024604A">
        <w:rPr>
          <w:rFonts w:ascii="Calibri" w:hAnsi="Calibri"/>
          <w:szCs w:val="24"/>
          <w:lang w:val="en-GB"/>
        </w:rPr>
        <w:instrText>ADDIN CSL_CITATION {"citationItems":[{"id":"ITEM-1","itemData":{"DOI":"10.1007/s12035-017-0822-x","ISSN":"15591182","abstract":"Autism spectrum disorders (ASD) are characterized by impairments in language and communication development, social behavior, and the occurrence of stereotypic patterns of behavior and interests. Despite substantial speculation about causes of ASD, its exact etiology remains unknown. Recent studies highlight a link between immune dysfunction and behavioral traits. Various immune anomalies, including humoral and cellular immunity along with abnormalities at the molecular level, have been reported. There is evidence of altered immune function both in cerebrospinal fluid and peripheral blood. Several studies hypothesize a role for neuroinflammation in ASD and are supported by brain tissue and cerebrospinal fluid analysis, as well as evidence of microglial activation. It has been shown that immune abnormalities occur in a substantial number of individuals with ASD. Identifying subgroups with immune system dysregulation and linking specific cellular immunophenotypes to different symptoms would be key to defining a group of patients with immune abnormalities as a major etiology underlying behavioral symptoms. These determinations would provide the opportunity to investigate causative treatments for a defined patient group that may specifically benefit from such an approach. This review summarizes recent insights into immune system dysfunction in individuals with ASD and discusses the potential implications for future therapies.","author":[{"dropping-particle":"","family":"Gładysz","given":"Dominika","non-dropping-particle":"","parse-names":false,"suffix":""},{"dropping-particle":"","family":"Krzywdzińska","given":"Amanda","non-dropping-particle":"","parse-names":false,"suffix":""},{"dropping-particle":"","family":"Hozyasz","given":"Kamil K","non-dropping-particle":"","parse-names":false,"suffix":""}],"container-title":"Molecular Neurobiology","id":"ITEM-1","issue":"8","issued":{"date-parts":[["2018"]]},"page":"6387-6435","title":"Immune Abnormalities in Autism Spectrum Disorder—Could They Hold Promise for Causative Treatment?","type":"article","volume":"55"},"uris":["http://www.mendeley.com/documents/?uuid=f3b9287c-8e18-452e-9d7e-a6e28e2cb49b"]}],"mendeley":{"formattedCitation":"[13]","plainTextFormattedCitation":"[13]","previouslyFormattedCitation":"[13]"},"properties":{"noteIndex":0},"schema":"https://github.com/citation-style-language/schema/raw/master/csl-citation.json"}</w:instrText>
      </w:r>
      <w:r w:rsidRPr="0024604A">
        <w:rPr>
          <w:rFonts w:ascii="Calibri" w:hAnsi="Calibri"/>
          <w:szCs w:val="24"/>
          <w:lang w:val="en-GB"/>
        </w:rPr>
        <w:fldChar w:fldCharType="separate"/>
      </w:r>
      <w:r w:rsidR="0089225B" w:rsidRPr="0024604A">
        <w:rPr>
          <w:rFonts w:ascii="Calibri" w:hAnsi="Calibri"/>
          <w:noProof/>
          <w:szCs w:val="24"/>
          <w:lang w:val="en-GB"/>
        </w:rPr>
        <w:t>[13]</w:t>
      </w:r>
      <w:r w:rsidRPr="0024604A">
        <w:rPr>
          <w:rFonts w:ascii="Calibri" w:hAnsi="Calibri"/>
          <w:szCs w:val="24"/>
          <w:lang w:val="en-GB"/>
        </w:rPr>
        <w:fldChar w:fldCharType="end"/>
      </w:r>
      <w:r w:rsidRPr="0024604A">
        <w:rPr>
          <w:rFonts w:ascii="Calibri" w:hAnsi="Calibri"/>
          <w:szCs w:val="24"/>
          <w:lang w:val="en-GB"/>
        </w:rPr>
        <w:t xml:space="preserve">, demonstrating imbalanced ratios of helper/suppressor cell and abnormalities in the number of total lymphocytes. Human peripheral blood mononuclear cells (PBMC), consisting primarily of lymphocytes (T cells, B cells and NK cells) and monocytes, are extensively used for research of immune cell functions, identification of biomarkers and development of diagnostics and therapeutics for human diseases. </w:t>
      </w:r>
      <w:r w:rsidRPr="0024604A">
        <w:rPr>
          <w:rFonts w:ascii="Calibri" w:hAnsi="Calibri"/>
        </w:rPr>
        <w:t xml:space="preserve">Alterations of mRNA expressions in PBMC obtained from ASD subjects </w:t>
      </w:r>
      <w:r w:rsidR="00CC101B" w:rsidRPr="0024604A">
        <w:rPr>
          <w:rFonts w:ascii="Calibri" w:hAnsi="Calibri"/>
        </w:rPr>
        <w:t xml:space="preserve">have </w:t>
      </w:r>
      <w:r w:rsidRPr="0024604A">
        <w:rPr>
          <w:rFonts w:ascii="Calibri" w:hAnsi="Calibri"/>
        </w:rPr>
        <w:t xml:space="preserve">been shown </w:t>
      </w:r>
      <w:r w:rsidR="000F76C0" w:rsidRPr="0024604A">
        <w:rPr>
          <w:rFonts w:ascii="Calibri" w:hAnsi="Calibri"/>
        </w:rPr>
        <w:fldChar w:fldCharType="begin" w:fldLock="1"/>
      </w:r>
      <w:r w:rsidR="006126E3" w:rsidRPr="0024604A">
        <w:rPr>
          <w:rFonts w:ascii="Calibri" w:hAnsi="Calibri"/>
        </w:rPr>
        <w:instrText>ADDIN CSL_CITATION {"citationItems":[{"id":"ITEM-1","itemData":{"DOI":"10.1016/j.jaac.2012.07.007","ISSN":"15275418","abstract":"Autism spectrum disorders (ASDs) are highly heritable neurodevelopmental disorders that onset clinically during the first years of life. ASD risk biomarkers expressed early in life could significantly impact diagnosis and treatment, but no transcriptome-wide biomarker classifiers derived from fresh blood samples from children with autism have yet emerged. Using a community-based, prospective, longitudinal method, we identified 60 infants and toddlers at risk for ASDs (autistic disorder and pervasive developmental disorder), 34 at-risk for language delay, 17 at-risk for global developmental delay, and 68 typically developing comparison children. Diagnoses were confirmed via longitudinal follow-up. Each child's mRNA expression profile in peripheral blood mononuclear cells was determined by microarray. Potential ASD biomarkers were discovered in one-half of the sample and used to build a classifier, with high diagnostic accuracy in the remaining half of the sample. The mRNA expression abnormalities reliably observed in peripheral blood mononuclear cells, which are safely and easily assayed in infants, offer the first potential peripheral bloodbased, early biomarker panel of risk for autism in infants and toddlers. Future work should verify these biomarkers and evaluate whether they may also serve as indirect indices of deviant molecular neural mechanisms in autism. © 2012 American Academy of Child and Adolescent Psychiatry.","author":[{"dropping-particle":"","family":"Glatt","given":"Stephen J.","non-dropping-particle":"","parse-names":false,"suffix":""},{"dropping-particle":"","family":"Tsuang","given":"Ming T.","non-dropping-particle":"","parse-names":false,"suffix":""},{"dropping-particle":"","family":"Winn","given":"Mary","non-dropping-particle":"","parse-names":false,"suffix":""},{"dropping-particle":"","family":"Chandler","given":"Sharon D.","non-dropping-particle":"","parse-names":false,"suffix":""},{"dropping-particle":"","family":"Collins","given":"Melanie","non-dropping-particle":"","parse-names":false,"suffix":""},{"dropping-particle":"","family":"Lopez","given":"Linda","non-dropping-particle":"","parse-names":false,"suffix":""},{"dropping-particle":"","family":"Weinfeld","given":"Melanie","non-dropping-particle":"","parse-names":false,"suffix":""},{"dropping-particle":"","family":"Carter","given":"Cindy","non-dropping-particle":"","parse-names":false,"suffix":""},{"dropping-particle":"","family":"Schork","given":"Nicholas","non-dropping-particle":"","parse-names":false,"suffix":""},{"dropping-particle":"","family":"Pierce","given":"Karen","non-dropping-particle":"","parse-names":false,"suffix":""},{"dropping-particle":"","family":"Courchesne","given":"Eric","non-dropping-particle":"","parse-names":false,"suffix":""}],"container-title":"Journal of the American Academy of Child and Adolescent Psychiatry","id":"ITEM-1","issue":"9","issued":{"date-parts":[["2012"]]},"page":"934","publisher":"Elsevier Inc.","title":"Blood-based gene expression signatures of infants and toddlers with autism","type":"article-journal","volume":"51"},"uris":["http://www.mendeley.com/documents/?uuid=85511b26-2b90-3261-bf0b-d505daebe4a8","http://www.mendeley.com/documents/?uuid=4b2baa66-ef1c-4f4c-9b4c-4e840f540e2b"]}],"mendeley":{"formattedCitation":"[16]","plainTextFormattedCitation":"[16]","previouslyFormattedCitation":"[16]"},"properties":{"noteIndex":0},"schema":"https://github.com/citation-style-language/schema/raw/master/csl-citation.json"}</w:instrText>
      </w:r>
      <w:r w:rsidR="000F76C0" w:rsidRPr="0024604A">
        <w:rPr>
          <w:rFonts w:ascii="Calibri" w:hAnsi="Calibri"/>
        </w:rPr>
        <w:fldChar w:fldCharType="separate"/>
      </w:r>
      <w:r w:rsidR="0089225B" w:rsidRPr="0024604A">
        <w:rPr>
          <w:rFonts w:ascii="Calibri" w:hAnsi="Calibri"/>
          <w:noProof/>
        </w:rPr>
        <w:t>[16]</w:t>
      </w:r>
      <w:r w:rsidR="000F76C0" w:rsidRPr="0024604A">
        <w:rPr>
          <w:rFonts w:ascii="Calibri" w:hAnsi="Calibri"/>
        </w:rPr>
        <w:fldChar w:fldCharType="end"/>
      </w:r>
      <w:r w:rsidR="000F76C0" w:rsidRPr="0024604A">
        <w:rPr>
          <w:rFonts w:ascii="Calibri" w:hAnsi="Calibri"/>
        </w:rPr>
        <w:t xml:space="preserve">. </w:t>
      </w:r>
      <w:r w:rsidRPr="0024604A">
        <w:rPr>
          <w:rFonts w:ascii="Calibri" w:hAnsi="Calibri"/>
        </w:rPr>
        <w:t xml:space="preserve">Furthermore, </w:t>
      </w:r>
      <w:r w:rsidR="000F76C0" w:rsidRPr="0024604A">
        <w:rPr>
          <w:rFonts w:ascii="Calibri" w:hAnsi="Calibri"/>
        </w:rPr>
        <w:t>in</w:t>
      </w:r>
      <w:r w:rsidRPr="0024604A">
        <w:rPr>
          <w:rFonts w:ascii="Calibri" w:hAnsi="Calibri"/>
          <w:szCs w:val="24"/>
          <w:lang w:val="en-GB"/>
        </w:rPr>
        <w:t xml:space="preserve"> a preliminary case-control study, proteomics has recently led to the identification of 41 differentially expressed proteins in ASD children as potential biomarkers for early diagnosis </w:t>
      </w:r>
      <w:r w:rsidRPr="0024604A">
        <w:rPr>
          <w:rFonts w:ascii="Calibri" w:hAnsi="Calibri"/>
          <w:szCs w:val="24"/>
          <w:lang w:val="en-GB"/>
        </w:rPr>
        <w:fldChar w:fldCharType="begin" w:fldLock="1"/>
      </w:r>
      <w:r w:rsidR="006126E3" w:rsidRPr="0024604A">
        <w:rPr>
          <w:rFonts w:ascii="Calibri" w:hAnsi="Calibri"/>
          <w:szCs w:val="24"/>
          <w:lang w:val="en-GB"/>
        </w:rPr>
        <w:instrText>ADDIN CSL_CITATION {"citationItems":[{"id":"ITEM-1","itemData":{"DOI":"10.3389/fncel.2019.00105","ISSN":"16625102","abstract":"Autism is one of the most common neurological developmental disorder associated with social isolation and restricted interests in children. The etiology of this disorder is still unknown. There is neither any confirmed laboratory test nor any effective therapeutic strategy to diagnose or cure it. To search for biomarkers for early detection and exploration of the disease mechanisms, here, we investigated the protein expression signatures of peripheral blood mononuclear cells (PBMCs) in autistic children compared with healthy controls by using isobaric tags for relative and absolute quantitation (iTRAQ) proteomics approach. The results showed a total of 41 proteins as differentially expressed in autistic group as compared to control. These proteins are found associated with metabolic pathways, endoplasmic reticulum (ER) stress and protein folding, endocytosis, immune and inflammatory response, plasma lipoprotein particle organization, and cell adhesion. Among these, 17 proteins (13 up-regulated and four down-regulated) are found to be linked with mitochondria. Eight proteins including three already reported proteins in our previous studies were selected to be verified. Five already reported autism associated pro-inflammatory cytokines [interferon-γ (IFN-γ), interleukin-1β (IL-1β), IL-6, IL-12, and tumor necrosis factor-α (TNF-α)] were detected in plasma by enzyme-linked immunosorbent assay (ELISA) analysis. The results were consistent with proteomic results and reports from previous literature. These results proposed that PBMCs from autistic children might be activated, and ER stress, unfolded protein response (UPR), acute-phase response (APR), inflammatory response, and endocytosis may be involved in autism occurrence. These reported proteins may serve as potential biomarkers for early diagnosis of autism. More specifically, simultaneous detection of three proteins [complement C3 (C3), calreticulin (CALR), and SERPINA1] in the plasma and PBMCs could increase the authenticity of detection.","author":[{"dropping-particle":"","family":"Shen","given":"Liming","non-dropping-particle":"","parse-names":false,"suffix":""},{"dropping-particle":"","family":"Feng","given":"Chengyun","non-dropping-particle":"","parse-names":false,"suffix":""},{"dropping-particle":"","family":"Zhang","given":"Kaoyuan","non-dropping-particle":"","parse-names":false,"suffix":""},{"dropping-particle":"","family":"Chen","given":"Youjiao","non-dropping-particle":"","parse-names":false,"suffix":""},{"dropping-particle":"","family":"Gao","given":"Yan","non-dropping-particle":"","parse-names":false,"suffix":""},{"dropping-particle":"","family":"Ke","given":"Junyan","non-dropping-particle":"","parse-names":false,"suffix":""},{"dropping-particle":"","family":"Chen","given":"Xinqian","non-dropping-particle":"","parse-names":false,"suffix":""},{"dropping-particle":"","family":"Lin","given":"Jing","non-dropping-particle":"","parse-names":false,"suffix":""},{"dropping-particle":"","family":"Li","given":"Cuihua","non-dropping-particle":"","parse-names":false,"suffix":""},{"dropping-particle":"","family":"Iqbal","given":"Javed","non-dropping-particle":"","parse-names":false,"suffix":""},{"dropping-particle":"","family":"Zhao","given":"Yuxi","non-dropping-particle":"","parse-names":false,"suffix":""},{"dropping-particle":"","family":"Wang","given":"Weibin","non-dropping-particle":"","parse-names":false,"suffix":""}],"container-title":"Frontiers in Cellular Neuroscience","id":"ITEM-1","issued":{"date-parts":[["2019","3","19"]]},"page":"105","publisher":"Frontiers Media S.A.","title":"Proteomics study of peripheral blood mononuclear cells (PBMCs) in autistic children","type":"article-journal","volume":"13"},"uris":["http://www.mendeley.com/documents/?uuid=8d6d71bf-62f1-3414-afcd-377877c0b276"]}],"mendeley":{"formattedCitation":"[17]","plainTextFormattedCitation":"[17]","previouslyFormattedCitation":"[17]"},"properties":{"noteIndex":0},"schema":"https://github.com/citation-style-language/schema/raw/master/csl-citation.json"}</w:instrText>
      </w:r>
      <w:r w:rsidRPr="0024604A">
        <w:rPr>
          <w:rFonts w:ascii="Calibri" w:hAnsi="Calibri"/>
          <w:szCs w:val="24"/>
          <w:lang w:val="en-GB"/>
        </w:rPr>
        <w:fldChar w:fldCharType="separate"/>
      </w:r>
      <w:r w:rsidR="0089225B" w:rsidRPr="0024604A">
        <w:rPr>
          <w:rFonts w:ascii="Calibri" w:hAnsi="Calibri"/>
          <w:noProof/>
          <w:szCs w:val="24"/>
          <w:lang w:val="en-GB"/>
        </w:rPr>
        <w:t>[17]</w:t>
      </w:r>
      <w:r w:rsidRPr="0024604A">
        <w:rPr>
          <w:rFonts w:ascii="Calibri" w:hAnsi="Calibri"/>
          <w:szCs w:val="24"/>
          <w:lang w:val="en-GB"/>
        </w:rPr>
        <w:fldChar w:fldCharType="end"/>
      </w:r>
      <w:r w:rsidRPr="0024604A">
        <w:rPr>
          <w:rFonts w:ascii="Calibri" w:hAnsi="Calibri"/>
          <w:szCs w:val="24"/>
          <w:lang w:val="en-GB"/>
        </w:rPr>
        <w:t>.</w:t>
      </w:r>
    </w:p>
    <w:p w14:paraId="551B5912" w14:textId="7804C4C6" w:rsidR="004F1EB2" w:rsidRPr="0024604A" w:rsidRDefault="009024E8" w:rsidP="005C0F4C">
      <w:pPr>
        <w:pStyle w:val="Corpotesto"/>
        <w:spacing w:line="480" w:lineRule="auto"/>
        <w:ind w:firstLine="708"/>
        <w:jc w:val="both"/>
        <w:rPr>
          <w:rFonts w:ascii="Calibri" w:hAnsi="Calibri"/>
          <w:szCs w:val="24"/>
          <w:lang w:val="en-GB"/>
        </w:rPr>
      </w:pPr>
      <w:r w:rsidRPr="0024604A">
        <w:rPr>
          <w:rFonts w:ascii="Calibri" w:hAnsi="Calibri"/>
          <w:szCs w:val="24"/>
          <w:lang w:val="en-GB"/>
        </w:rPr>
        <w:t xml:space="preserve">In the present work, the contents of phospholipids extracted from PBMC of ASD </w:t>
      </w:r>
      <w:r w:rsidR="008E394B" w:rsidRPr="0024604A">
        <w:rPr>
          <w:rFonts w:ascii="Calibri" w:hAnsi="Calibri"/>
          <w:szCs w:val="24"/>
          <w:lang w:val="en-GB"/>
        </w:rPr>
        <w:t>children</w:t>
      </w:r>
      <w:r w:rsidR="002C7851" w:rsidRPr="0024604A">
        <w:rPr>
          <w:rFonts w:ascii="Calibri" w:hAnsi="Calibri"/>
          <w:szCs w:val="24"/>
          <w:lang w:val="en-GB"/>
        </w:rPr>
        <w:t xml:space="preserve"> </w:t>
      </w:r>
      <w:r w:rsidR="008E394B" w:rsidRPr="0024604A">
        <w:rPr>
          <w:rFonts w:ascii="Calibri" w:hAnsi="Calibri"/>
          <w:szCs w:val="24"/>
          <w:lang w:val="en-GB"/>
        </w:rPr>
        <w:t>and their healthy siblings</w:t>
      </w:r>
      <w:r w:rsidR="002C7851" w:rsidRPr="0024604A">
        <w:rPr>
          <w:rFonts w:ascii="Calibri" w:hAnsi="Calibri"/>
          <w:szCs w:val="24"/>
          <w:lang w:val="en-GB"/>
        </w:rPr>
        <w:t xml:space="preserve"> </w:t>
      </w:r>
      <w:r w:rsidR="00D5201F" w:rsidRPr="0024604A">
        <w:rPr>
          <w:rFonts w:ascii="Calibri" w:hAnsi="Calibri"/>
          <w:szCs w:val="24"/>
          <w:lang w:val="en-GB"/>
        </w:rPr>
        <w:t>wer</w:t>
      </w:r>
      <w:r w:rsidR="002C7851" w:rsidRPr="0024604A">
        <w:rPr>
          <w:rFonts w:ascii="Calibri" w:hAnsi="Calibri"/>
          <w:szCs w:val="24"/>
          <w:lang w:val="en-GB"/>
        </w:rPr>
        <w:t>e evaluated</w:t>
      </w:r>
      <w:r w:rsidR="008E394B" w:rsidRPr="0024604A">
        <w:rPr>
          <w:rFonts w:ascii="Calibri" w:hAnsi="Calibri"/>
          <w:szCs w:val="24"/>
          <w:lang w:val="en-GB"/>
        </w:rPr>
        <w:t xml:space="preserve"> to identi</w:t>
      </w:r>
      <w:r w:rsidR="007759EF" w:rsidRPr="0024604A">
        <w:rPr>
          <w:rFonts w:ascii="Calibri" w:hAnsi="Calibri"/>
          <w:szCs w:val="24"/>
          <w:lang w:val="en-GB"/>
        </w:rPr>
        <w:t>fy putative biomarkers</w:t>
      </w:r>
      <w:r w:rsidR="00EE36C4" w:rsidRPr="0024604A">
        <w:rPr>
          <w:rFonts w:ascii="Calibri" w:hAnsi="Calibri"/>
          <w:szCs w:val="24"/>
          <w:lang w:val="en-GB"/>
        </w:rPr>
        <w:t xml:space="preserve"> </w:t>
      </w:r>
      <w:r w:rsidR="00497411" w:rsidRPr="0024604A">
        <w:rPr>
          <w:rFonts w:ascii="Calibri" w:hAnsi="Calibri"/>
          <w:szCs w:val="24"/>
          <w:lang w:val="en-GB"/>
        </w:rPr>
        <w:t xml:space="preserve">through </w:t>
      </w:r>
      <w:r w:rsidR="007759EF" w:rsidRPr="0024604A">
        <w:rPr>
          <w:rFonts w:ascii="Calibri" w:hAnsi="Calibri"/>
          <w:szCs w:val="24"/>
          <w:lang w:val="en-GB"/>
        </w:rPr>
        <w:t xml:space="preserve">a </w:t>
      </w:r>
      <w:r w:rsidR="005C0F4C" w:rsidRPr="0024604A">
        <w:rPr>
          <w:rFonts w:ascii="Calibri" w:hAnsi="Calibri"/>
          <w:szCs w:val="24"/>
          <w:lang w:val="en-GB"/>
        </w:rPr>
        <w:t xml:space="preserve">lipidomic </w:t>
      </w:r>
      <w:r w:rsidR="007759EF" w:rsidRPr="0024604A">
        <w:rPr>
          <w:rFonts w:ascii="Calibri" w:hAnsi="Calibri"/>
          <w:szCs w:val="24"/>
          <w:lang w:val="en-GB"/>
        </w:rPr>
        <w:t xml:space="preserve">approach </w:t>
      </w:r>
      <w:r w:rsidR="005E6BB3" w:rsidRPr="0024604A">
        <w:rPr>
          <w:rFonts w:ascii="Calibri" w:hAnsi="Calibri"/>
          <w:szCs w:val="24"/>
          <w:lang w:val="en-GB"/>
        </w:rPr>
        <w:t>based on</w:t>
      </w:r>
      <w:r w:rsidR="003313C9" w:rsidRPr="0024604A">
        <w:rPr>
          <w:rFonts w:ascii="Calibri" w:hAnsi="Calibri"/>
          <w:szCs w:val="24"/>
          <w:lang w:val="en-GB"/>
        </w:rPr>
        <w:t xml:space="preserve"> liquid chromatography with electrospray ionization coupled </w:t>
      </w:r>
      <w:r w:rsidR="0014616A" w:rsidRPr="0024604A">
        <w:rPr>
          <w:rFonts w:ascii="Calibri" w:hAnsi="Calibri"/>
          <w:szCs w:val="24"/>
          <w:lang w:val="en-GB"/>
        </w:rPr>
        <w:t>with</w:t>
      </w:r>
      <w:r w:rsidR="00497411" w:rsidRPr="0024604A">
        <w:rPr>
          <w:rFonts w:ascii="Calibri" w:hAnsi="Calibri"/>
          <w:szCs w:val="24"/>
          <w:lang w:val="en-GB"/>
        </w:rPr>
        <w:t xml:space="preserve"> </w:t>
      </w:r>
      <w:r w:rsidR="003313C9" w:rsidRPr="0024604A">
        <w:rPr>
          <w:rFonts w:ascii="Calibri" w:hAnsi="Calibri"/>
          <w:szCs w:val="24"/>
          <w:lang w:val="en-GB"/>
        </w:rPr>
        <w:lastRenderedPageBreak/>
        <w:t>Fourier-transform mass spectrometry (</w:t>
      </w:r>
      <w:r w:rsidR="007759EF" w:rsidRPr="0024604A">
        <w:rPr>
          <w:rFonts w:ascii="Calibri" w:hAnsi="Calibri"/>
          <w:szCs w:val="24"/>
          <w:lang w:val="en-GB"/>
        </w:rPr>
        <w:t>LC-</w:t>
      </w:r>
      <w:r w:rsidR="003313C9" w:rsidRPr="0024604A">
        <w:rPr>
          <w:rFonts w:ascii="Calibri" w:hAnsi="Calibri"/>
          <w:szCs w:val="24"/>
          <w:lang w:val="en-GB"/>
        </w:rPr>
        <w:t>ESI-</w:t>
      </w:r>
      <w:r w:rsidR="007759EF" w:rsidRPr="0024604A">
        <w:rPr>
          <w:rFonts w:ascii="Calibri" w:hAnsi="Calibri"/>
          <w:szCs w:val="24"/>
          <w:lang w:val="en-GB"/>
        </w:rPr>
        <w:t>FTMS</w:t>
      </w:r>
      <w:r w:rsidR="003313C9" w:rsidRPr="0024604A">
        <w:rPr>
          <w:rFonts w:ascii="Calibri" w:hAnsi="Calibri"/>
          <w:szCs w:val="24"/>
          <w:lang w:val="en-GB"/>
        </w:rPr>
        <w:t>).</w:t>
      </w:r>
      <w:r w:rsidR="004F1EB2" w:rsidRPr="0024604A">
        <w:rPr>
          <w:rFonts w:ascii="Calibri" w:hAnsi="Calibri"/>
          <w:szCs w:val="24"/>
          <w:lang w:val="en-GB"/>
        </w:rPr>
        <w:t xml:space="preserve"> </w:t>
      </w:r>
      <w:r w:rsidR="001639DF" w:rsidRPr="0024604A">
        <w:rPr>
          <w:rFonts w:ascii="Calibri" w:hAnsi="Calibri"/>
          <w:szCs w:val="24"/>
          <w:lang w:val="en-GB"/>
        </w:rPr>
        <w:t>H</w:t>
      </w:r>
      <w:r w:rsidR="00ED5B25" w:rsidRPr="0024604A">
        <w:rPr>
          <w:rFonts w:ascii="Calibri" w:hAnsi="Calibri"/>
          <w:szCs w:val="24"/>
          <w:lang w:val="en-GB"/>
        </w:rPr>
        <w:t xml:space="preserve">ydrophilic interaction liquid chromatography (HILIC) </w:t>
      </w:r>
      <w:r w:rsidR="0077195A" w:rsidRPr="0024604A">
        <w:rPr>
          <w:rFonts w:ascii="Calibri" w:hAnsi="Calibri"/>
          <w:szCs w:val="24"/>
          <w:lang w:val="en-GB"/>
        </w:rPr>
        <w:t>was employed due to its g</w:t>
      </w:r>
      <w:r w:rsidR="00991FBF" w:rsidRPr="0024604A">
        <w:rPr>
          <w:rFonts w:ascii="Calibri" w:hAnsi="Calibri"/>
          <w:szCs w:val="24"/>
          <w:lang w:val="en-GB"/>
        </w:rPr>
        <w:t xml:space="preserve">ood ability to </w:t>
      </w:r>
      <w:r w:rsidR="0077195A" w:rsidRPr="0024604A">
        <w:rPr>
          <w:rFonts w:ascii="Calibri" w:hAnsi="Calibri"/>
          <w:szCs w:val="24"/>
          <w:lang w:val="en-GB"/>
        </w:rPr>
        <w:t>separat</w:t>
      </w:r>
      <w:r w:rsidR="00991FBF" w:rsidRPr="0024604A">
        <w:rPr>
          <w:rFonts w:ascii="Calibri" w:hAnsi="Calibri"/>
          <w:szCs w:val="24"/>
          <w:lang w:val="en-GB"/>
        </w:rPr>
        <w:t xml:space="preserve">e complex </w:t>
      </w:r>
      <w:r w:rsidR="0077195A" w:rsidRPr="0024604A">
        <w:rPr>
          <w:rFonts w:ascii="Calibri" w:hAnsi="Calibri"/>
          <w:szCs w:val="24"/>
          <w:lang w:val="en-GB"/>
        </w:rPr>
        <w:t>phospholipid</w:t>
      </w:r>
      <w:r w:rsidR="00991FBF" w:rsidRPr="0024604A">
        <w:rPr>
          <w:rFonts w:ascii="Calibri" w:hAnsi="Calibri"/>
          <w:szCs w:val="24"/>
          <w:lang w:val="en-GB"/>
        </w:rPr>
        <w:t xml:space="preserve"> mixture</w:t>
      </w:r>
      <w:r w:rsidR="0077195A" w:rsidRPr="0024604A">
        <w:rPr>
          <w:rFonts w:ascii="Calibri" w:hAnsi="Calibri"/>
          <w:szCs w:val="24"/>
          <w:lang w:val="en-GB"/>
        </w:rPr>
        <w:t xml:space="preserve">s </w:t>
      </w:r>
      <w:r w:rsidR="00991FBF" w:rsidRPr="0024604A">
        <w:rPr>
          <w:rFonts w:ascii="Calibri" w:hAnsi="Calibri"/>
          <w:szCs w:val="24"/>
          <w:lang w:val="en-GB"/>
        </w:rPr>
        <w:t xml:space="preserve">on the basis of their polar head </w:t>
      </w:r>
      <w:r w:rsidR="00CD386C" w:rsidRPr="0024604A">
        <w:rPr>
          <w:rFonts w:ascii="Calibri" w:hAnsi="Calibri"/>
          <w:szCs w:val="24"/>
          <w:lang w:val="en-GB"/>
        </w:rPr>
        <w:fldChar w:fldCharType="begin" w:fldLock="1"/>
      </w:r>
      <w:r w:rsidR="006126E3" w:rsidRPr="0024604A">
        <w:rPr>
          <w:rFonts w:ascii="Calibri" w:hAnsi="Calibri"/>
          <w:szCs w:val="24"/>
          <w:lang w:val="en-GB"/>
        </w:rPr>
        <w:instrText>ADDIN CSL_CITATION {"citationItems":[{"id":"ITEM-1","itemData":{"DOI":"10.1021/ac400829r","ISBN":"1520-6882 (Electronic)\\r0003-2700 (Linking)","ISSN":"00032700","PMID":"23786572","abstract":"The phospholipidome of blood microparticles (MPs) obtained from platelet-rich plasma of healthy individuals was characterized by hydrophilic interaction liquid chromatography (HILIC) coupled to electrospray ionization tandem mass spectrometry (ESI-MS/MS). The HILIC separation, performed on a silica stationary phase using an acetonitrile/methanol gradient, enabled the separation of several phospholipids (PL) classes, viz., phosphatidyl-cholines (PCs), -ethanolamines (PEs), -serines (PSs), -inositoles (PIs), sphyngomielins (SMs), and lyso forms of PCs and PEs. Structural characterization of species belonging to each class was performed by MS/MS measurements, in either positive or negative ion mode. The set of 131 phospholipids (including regioisomers) here identified represents the most comprehensive phospholipidomic characterization reported for human MPs. Although the phospholipidome composition of MPs and platelets, collected from the same donors, was found to be qualitatively the same, quantitative differences were evidenced for lyso-PCs, which appear to be significantly more abundant in MPs.","author":[{"dropping-particle":"","family":"Losito","given":"Ilario","non-dropping-particle":"","parse-names":false,"suffix":""},{"dropping-particle":"","family":"Patruno","given":"Raffaele","non-dropping-particle":"","parse-names":false,"suffix":""},{"dropping-particle":"","family":"Conte","given":"Elena","non-dropping-particle":"","parse-names":false,"suffix":""},{"dropping-particle":"","family":"Cataldi","given":"Tommaso R.I.","non-dropping-particle":"","parse-names":false,"suffix":""},{"dropping-particle":"","family":"Megli","given":"Francesco M.","non-dropping-particle":"","parse-names":false,"suffix":""},{"dropping-particle":"","family":"Palmisano","given":"Francesco","non-dropping-particle":"","parse-names":false,"suffix":""}],"container-title":"Analytical Chemistry","id":"ITEM-1","issue":"13","issued":{"date-parts":[["2013","7","2"]]},"page":"6405-6413","publisher":"American Chemical Society","title":"Phospholipidomics of human blood microparticles","type":"article-journal","volume":"85"},"uris":["http://www.mendeley.com/documents/?uuid=99fda3c7-35a5-4301-a6e5-69c0efa1bc38"]},{"id":"ITEM-2","itemData":{"DOI":"10.1007/s11745-013-3820-4","ISSN":"00244201","PMID":"23912323","abstract":"Lipids form a significant part of animal organs and they are responsible for important biological functions, such as semi-permeability and fluidity of membranes, signaling activity, anti-inflammatory processes, etc. We have performed a comprehensive nontargeted lipidomic characterization of porcine brain, heart, kidney, liver, lung, spinal cord, spleen, and stomach using hydrophilic interaction liquid chromatography (HILIC) coupled to electrospray ionization mass spectrometry (ESI/MS) to describe the representation of individual lipid classes in these organs. Detailed information on identified lipid species inside classes are obtained based on relative abundances of deprotonated molecules [M-H](-) in the negative-ion ESI mass spectra, which provides important knowledge on phosphatidylethanolamines and their different forms of fatty acyl linkage (ethers and plasmalogens), phosphatidylinositols, and hexosylceramides containing nonhydroxy- and hydroxy-fatty acyls. The detailed analysis of identified lipid classes using reversed-phase liquid chromatography in the second dimension was performed for porcine brain to determine more than 160 individual lipid species containing attached fatty acyls of different acyl chain length, double-bond number, and positions on the glycerol skeleton. The fatty acid composition of porcine organs is determined by gas chromatography with flame ionization detection after the transesterification with sodium methoxide.","author":[{"dropping-particle":"","family":"Cífková","given":"Eva","non-dropping-particle":"","parse-names":false,"suffix":""},{"dropping-particle":"","family":"Holčapek","given":"Michal","non-dropping-particle":"","parse-names":false,"suffix":""},{"dropping-particle":"","family":"Lísa","given":"Miroslav","non-dropping-particle":"","parse-names":false,"suffix":""}],"container-title":"Lipids","id":"ITEM-2","issue":"9","issued":{"date-parts":[["2013"]]},"page":"915-928","title":"Nontargeted lipidomic characterization of porcine organs using hydrophilic interaction liquid chromatography and off-line two-dimensional liquid chromatography-electrospray ionization mass spectrometry","type":"article-journal","volume":"48"},"uris":["http://www.mendeley.com/documents/?uuid=db76fa33-8573-40ec-9e64-5173a49c4127"]}],"mendeley":{"formattedCitation":"[18, 19]","plainTextFormattedCitation":"[18, 19]","previouslyFormattedCitation":"[18, 19]"},"properties":{"noteIndex":0},"schema":"https://github.com/citation-style-language/schema/raw/master/csl-citation.json"}</w:instrText>
      </w:r>
      <w:r w:rsidR="00CD386C" w:rsidRPr="0024604A">
        <w:rPr>
          <w:rFonts w:ascii="Calibri" w:hAnsi="Calibri"/>
          <w:szCs w:val="24"/>
          <w:lang w:val="en-GB"/>
        </w:rPr>
        <w:fldChar w:fldCharType="separate"/>
      </w:r>
      <w:r w:rsidR="0089225B" w:rsidRPr="0024604A">
        <w:rPr>
          <w:rFonts w:ascii="Calibri" w:hAnsi="Calibri"/>
          <w:noProof/>
          <w:szCs w:val="24"/>
          <w:lang w:val="en-GB"/>
        </w:rPr>
        <w:t>[18, 19]</w:t>
      </w:r>
      <w:r w:rsidR="00CD386C" w:rsidRPr="0024604A">
        <w:rPr>
          <w:rFonts w:ascii="Calibri" w:hAnsi="Calibri"/>
          <w:szCs w:val="24"/>
          <w:lang w:val="en-GB"/>
        </w:rPr>
        <w:fldChar w:fldCharType="end"/>
      </w:r>
      <w:r w:rsidR="005D7D8A" w:rsidRPr="0024604A">
        <w:rPr>
          <w:rFonts w:ascii="Calibri" w:hAnsi="Calibri"/>
          <w:szCs w:val="24"/>
          <w:lang w:val="en-GB"/>
        </w:rPr>
        <w:t xml:space="preserve">; </w:t>
      </w:r>
      <w:r w:rsidR="0077195A" w:rsidRPr="0024604A">
        <w:rPr>
          <w:rFonts w:ascii="Calibri" w:hAnsi="Calibri"/>
          <w:szCs w:val="24"/>
          <w:lang w:val="en-GB"/>
        </w:rPr>
        <w:t>by this approach</w:t>
      </w:r>
      <w:r w:rsidR="005D7D8A" w:rsidRPr="0024604A">
        <w:rPr>
          <w:rFonts w:ascii="Calibri" w:hAnsi="Calibri"/>
          <w:szCs w:val="24"/>
          <w:lang w:val="en-GB"/>
        </w:rPr>
        <w:t xml:space="preserve"> lipid species from different classes </w:t>
      </w:r>
      <w:r w:rsidR="0077195A" w:rsidRPr="0024604A">
        <w:rPr>
          <w:rFonts w:ascii="Calibri" w:hAnsi="Calibri"/>
          <w:szCs w:val="24"/>
          <w:lang w:val="en-GB"/>
        </w:rPr>
        <w:t xml:space="preserve">with </w:t>
      </w:r>
      <w:r w:rsidR="005D7D8A" w:rsidRPr="0024604A">
        <w:rPr>
          <w:rFonts w:ascii="Calibri" w:hAnsi="Calibri"/>
          <w:szCs w:val="24"/>
          <w:lang w:val="en-GB"/>
        </w:rPr>
        <w:t>the same nominal mass</w:t>
      </w:r>
      <w:r w:rsidR="00CB2F67" w:rsidRPr="0024604A">
        <w:rPr>
          <w:rFonts w:ascii="Calibri" w:hAnsi="Calibri"/>
          <w:szCs w:val="24"/>
          <w:lang w:val="en-GB"/>
        </w:rPr>
        <w:t xml:space="preserve"> that</w:t>
      </w:r>
      <w:r w:rsidR="00EE36C4" w:rsidRPr="0024604A">
        <w:rPr>
          <w:rFonts w:ascii="Calibri" w:hAnsi="Calibri"/>
          <w:szCs w:val="24"/>
          <w:lang w:val="en-GB"/>
        </w:rPr>
        <w:t xml:space="preserve"> almost</w:t>
      </w:r>
      <w:r w:rsidR="005D7D8A" w:rsidRPr="0024604A">
        <w:rPr>
          <w:rFonts w:ascii="Calibri" w:hAnsi="Calibri"/>
          <w:szCs w:val="24"/>
          <w:lang w:val="en-GB"/>
        </w:rPr>
        <w:t xml:space="preserve"> co-elu</w:t>
      </w:r>
      <w:r w:rsidR="00B44B72" w:rsidRPr="0024604A">
        <w:rPr>
          <w:rFonts w:ascii="Calibri" w:hAnsi="Calibri"/>
          <w:szCs w:val="24"/>
          <w:lang w:val="en-GB"/>
        </w:rPr>
        <w:t>te</w:t>
      </w:r>
      <w:r w:rsidR="005D7D8A" w:rsidRPr="0024604A">
        <w:rPr>
          <w:rFonts w:ascii="Calibri" w:hAnsi="Calibri"/>
          <w:szCs w:val="24"/>
          <w:lang w:val="en-GB"/>
        </w:rPr>
        <w:t xml:space="preserve"> </w:t>
      </w:r>
      <w:r w:rsidR="0077195A" w:rsidRPr="0024604A">
        <w:rPr>
          <w:rFonts w:ascii="Calibri" w:hAnsi="Calibri"/>
          <w:szCs w:val="24"/>
          <w:lang w:val="en-GB"/>
        </w:rPr>
        <w:t xml:space="preserve">in reverse phase chromatography (RPC) </w:t>
      </w:r>
      <w:r w:rsidR="005D7D8A" w:rsidRPr="0024604A">
        <w:rPr>
          <w:rFonts w:ascii="Calibri" w:hAnsi="Calibri"/>
          <w:szCs w:val="24"/>
          <w:lang w:val="en-GB"/>
        </w:rPr>
        <w:t>due to their side chains structural similarity</w:t>
      </w:r>
      <w:r w:rsidR="0077195A" w:rsidRPr="0024604A">
        <w:rPr>
          <w:rFonts w:ascii="Calibri" w:hAnsi="Calibri"/>
          <w:szCs w:val="24"/>
          <w:lang w:val="en-GB"/>
        </w:rPr>
        <w:t>,</w:t>
      </w:r>
      <w:r w:rsidR="005D7D8A" w:rsidRPr="0024604A">
        <w:rPr>
          <w:rFonts w:ascii="Calibri" w:hAnsi="Calibri"/>
          <w:szCs w:val="24"/>
          <w:lang w:val="en-GB"/>
        </w:rPr>
        <w:t xml:space="preserve"> </w:t>
      </w:r>
      <w:r w:rsidR="00991FBF" w:rsidRPr="0024604A">
        <w:rPr>
          <w:rFonts w:ascii="Calibri" w:hAnsi="Calibri"/>
          <w:szCs w:val="24"/>
          <w:lang w:val="en-GB"/>
        </w:rPr>
        <w:t xml:space="preserve">can be </w:t>
      </w:r>
      <w:r w:rsidR="005D7D8A" w:rsidRPr="0024604A">
        <w:rPr>
          <w:rFonts w:ascii="Calibri" w:hAnsi="Calibri"/>
          <w:szCs w:val="24"/>
          <w:lang w:val="en-GB"/>
        </w:rPr>
        <w:t xml:space="preserve">separated and </w:t>
      </w:r>
      <w:r w:rsidR="004D2FAC" w:rsidRPr="0024604A">
        <w:rPr>
          <w:rFonts w:ascii="Calibri" w:hAnsi="Calibri"/>
          <w:szCs w:val="24"/>
          <w:lang w:val="en-GB"/>
        </w:rPr>
        <w:t xml:space="preserve">without ambiguity </w:t>
      </w:r>
      <w:r w:rsidR="005D7D8A" w:rsidRPr="0024604A">
        <w:rPr>
          <w:rFonts w:ascii="Calibri" w:hAnsi="Calibri"/>
          <w:szCs w:val="24"/>
          <w:lang w:val="en-GB"/>
        </w:rPr>
        <w:t>identifi</w:t>
      </w:r>
      <w:r w:rsidR="004D2FAC" w:rsidRPr="0024604A">
        <w:rPr>
          <w:rFonts w:ascii="Calibri" w:hAnsi="Calibri"/>
          <w:szCs w:val="24"/>
          <w:lang w:val="en-GB"/>
        </w:rPr>
        <w:t xml:space="preserve">ed </w:t>
      </w:r>
      <w:r w:rsidR="005D7D8A" w:rsidRPr="0024604A">
        <w:rPr>
          <w:rFonts w:ascii="Calibri" w:hAnsi="Calibri"/>
          <w:szCs w:val="24"/>
          <w:lang w:val="en-GB"/>
        </w:rPr>
        <w:t xml:space="preserve">by </w:t>
      </w:r>
      <w:r w:rsidR="0077195A" w:rsidRPr="0024604A">
        <w:rPr>
          <w:rFonts w:ascii="Calibri" w:hAnsi="Calibri"/>
          <w:szCs w:val="24"/>
          <w:lang w:val="en-GB"/>
        </w:rPr>
        <w:t>MS</w:t>
      </w:r>
      <w:r w:rsidR="00ED5B25" w:rsidRPr="0024604A">
        <w:rPr>
          <w:rFonts w:ascii="Calibri" w:hAnsi="Calibri"/>
          <w:szCs w:val="24"/>
          <w:lang w:val="en-GB"/>
        </w:rPr>
        <w:t>.</w:t>
      </w:r>
      <w:r w:rsidR="004F1EB2" w:rsidRPr="0024604A">
        <w:rPr>
          <w:rFonts w:ascii="Calibri" w:hAnsi="Calibri"/>
          <w:szCs w:val="24"/>
          <w:lang w:val="en-GB"/>
        </w:rPr>
        <w:t xml:space="preserve"> </w:t>
      </w:r>
      <w:bookmarkStart w:id="4" w:name="_Hlk42147757"/>
      <w:r w:rsidR="00E96A18" w:rsidRPr="0024604A">
        <w:rPr>
          <w:rFonts w:ascii="Calibri" w:hAnsi="Calibri"/>
          <w:szCs w:val="24"/>
          <w:lang w:val="en-GB"/>
        </w:rPr>
        <w:t xml:space="preserve">Moreover, as very recently reported </w:t>
      </w:r>
      <w:r w:rsidR="00E96A18" w:rsidRPr="0024604A">
        <w:rPr>
          <w:rFonts w:ascii="Calibri" w:hAnsi="Calibri"/>
          <w:szCs w:val="24"/>
          <w:lang w:val="en-GB"/>
        </w:rPr>
        <w:fldChar w:fldCharType="begin" w:fldLock="1"/>
      </w:r>
      <w:r w:rsidR="006126E3" w:rsidRPr="0024604A">
        <w:rPr>
          <w:rFonts w:ascii="Calibri" w:hAnsi="Calibri"/>
          <w:szCs w:val="24"/>
          <w:lang w:val="en-GB"/>
        </w:rPr>
        <w:instrText>ADDIN CSL_CITATION {"citationItems":[{"id":"ITEM-1","itemData":{"DOI":"10.3390/molecules25102310","ISSN":"1420-3049","abstract":"Lipidomics suffers from the lack of fast and reproducible tools to obtain both structural information on intact phospholipids (PL) and fatty acyl chain composition. Hydrophilic interaction liquid chromatography with electrospray ionization coupled to an orbital-trap Fourier-transform analyzer operating using all ion fragmentation mode (HILIC-ESI-FTMS-AIF MS) is seemingly a valuable resource in this respect. Here, accurate m/z values, HILIC retention times and AIF MS scan data were combined for PL assignment in standard mixtures or real lipid extracts. AIF scans in both positive and negative ESI mode, achieved using collisional induced dissociation for fragmentation, were applied to identify both the head-group of each PL class and the fatty acyl chains, respectively. An advantage of the AIF approach was the concurrent collection of tandem MS-like data, enabling the identification of linked fatty acyl chains of precursor phospholipids through the corresponding carboxylate anions. To illustrate the ability of AIF in the field of lipidomics, two different types of real samples, i.e., the lipid extracts obtained from human plasma and dermal fibroblasts, were examined. Using AIF scans, a total of 253 intact lipid species and 18 fatty acids across 4 lipid classes were recognized in plasma samples, while FA C20:3 was confirmed as the fatty acyl chain belonging to phosphatidylinositol, PI 38:3, which was found to be down-regulated in fibroblast samples of Parkinson’s disease patients.","author":[{"dropping-particle":"","family":"Ventura","given":"Giovanni","non-dropping-particle":"","parse-names":false,"suffix":""},{"dropping-particle":"","family":"Bianco","given":"Mariachiara","non-dropping-particle":"","parse-names":false,"suffix":""},{"dropping-particle":"","family":"Calvano","given":"Cosima Damiana","non-dropping-particle":"","parse-names":false,"suffix":""},{"dropping-particle":"","family":"Losito","given":"Ilario","non-dropping-particle":"","parse-names":false,"suffix":""},{"dropping-particle":"","family":"Cataldi","given":"Tommaso R.I.","non-dropping-particle":"","parse-names":false,"suffix":""}],"container-title":"Molecules","id":"ITEM-1","issue":"10","issued":{"date-parts":[["2020","5"]]},"page":"2310","title":"HILIC-ESI-FTMS with All Ion Fragmentation (AIF) Scans as a Tool for Fast Lipidome Investigations","type":"article-journal","volume":"25"},"uris":["http://www.mendeley.com/documents/?uuid=bc7ed5c8-a106-490f-8d53-a6000fd3d150","http://www.mendeley.com/documents/?uuid=b908c2cc-e94b-4387-8bd7-51329331eaca"]}],"mendeley":{"formattedCitation":"[20]","plainTextFormattedCitation":"[20]","previouslyFormattedCitation":"[20]"},"properties":{"noteIndex":0},"schema":"https://github.com/citation-style-language/schema/raw/master/csl-citation.json"}</w:instrText>
      </w:r>
      <w:r w:rsidR="00E96A18" w:rsidRPr="0024604A">
        <w:rPr>
          <w:rFonts w:ascii="Calibri" w:hAnsi="Calibri"/>
          <w:szCs w:val="24"/>
          <w:lang w:val="en-GB"/>
        </w:rPr>
        <w:fldChar w:fldCharType="separate"/>
      </w:r>
      <w:r w:rsidR="0089225B" w:rsidRPr="0024604A">
        <w:rPr>
          <w:rFonts w:ascii="Calibri" w:hAnsi="Calibri"/>
          <w:noProof/>
          <w:szCs w:val="24"/>
          <w:lang w:val="en-GB"/>
        </w:rPr>
        <w:t>[20]</w:t>
      </w:r>
      <w:r w:rsidR="00E96A18" w:rsidRPr="0024604A">
        <w:rPr>
          <w:rFonts w:ascii="Calibri" w:hAnsi="Calibri"/>
          <w:szCs w:val="24"/>
          <w:lang w:val="en-GB"/>
        </w:rPr>
        <w:fldChar w:fldCharType="end"/>
      </w:r>
      <w:r w:rsidR="0085797F" w:rsidRPr="0024604A">
        <w:rPr>
          <w:rFonts w:ascii="Calibri" w:hAnsi="Calibri"/>
          <w:szCs w:val="24"/>
          <w:lang w:val="en-GB"/>
        </w:rPr>
        <w:t>,</w:t>
      </w:r>
      <w:r w:rsidR="00E96A18" w:rsidRPr="0024604A">
        <w:rPr>
          <w:lang w:val="en-GB"/>
        </w:rPr>
        <w:t xml:space="preserve"> </w:t>
      </w:r>
      <w:r w:rsidR="00E96A18" w:rsidRPr="0024604A">
        <w:rPr>
          <w:rFonts w:ascii="Calibri" w:hAnsi="Calibri"/>
          <w:szCs w:val="24"/>
          <w:lang w:val="en-GB"/>
        </w:rPr>
        <w:t>the combination of HILIC separation and all ion fragmentation (AIF) scan enables a straightforward snapshot of fatty acyl groups of certain glycerophospholipid classes; an advantage of the fast switching between full MS and AIF MS is the collection of full and tandem MS‐like data, enabling biomarker discovery process both on intact lipid species and on linked fatty acyl chains of precursor phospholipids through the corresponding carboxylate anions.</w:t>
      </w:r>
      <w:r w:rsidR="0085797F" w:rsidRPr="0024604A">
        <w:rPr>
          <w:rFonts w:ascii="Calibri" w:hAnsi="Calibri"/>
          <w:szCs w:val="24"/>
          <w:lang w:val="en-GB"/>
        </w:rPr>
        <w:t xml:space="preserve"> </w:t>
      </w:r>
      <w:bookmarkEnd w:id="4"/>
      <w:r w:rsidR="00E362E1" w:rsidRPr="0024604A">
        <w:rPr>
          <w:rFonts w:ascii="Calibri" w:hAnsi="Calibri"/>
          <w:szCs w:val="24"/>
          <w:lang w:val="en-GB"/>
        </w:rPr>
        <w:t xml:space="preserve">Untargeted </w:t>
      </w:r>
      <w:r w:rsidR="00EE5339" w:rsidRPr="0024604A">
        <w:rPr>
          <w:rFonts w:ascii="Calibri" w:hAnsi="Calibri"/>
          <w:szCs w:val="24"/>
          <w:lang w:val="en-GB"/>
        </w:rPr>
        <w:t>LC-</w:t>
      </w:r>
      <w:r w:rsidR="00E1492F" w:rsidRPr="0024604A">
        <w:rPr>
          <w:rFonts w:ascii="Calibri" w:hAnsi="Calibri"/>
          <w:szCs w:val="24"/>
          <w:lang w:val="en-GB"/>
        </w:rPr>
        <w:t>ESI-</w:t>
      </w:r>
      <w:r w:rsidR="00EE5339" w:rsidRPr="0024604A">
        <w:rPr>
          <w:rFonts w:ascii="Calibri" w:hAnsi="Calibri"/>
          <w:szCs w:val="24"/>
          <w:lang w:val="en-GB"/>
        </w:rPr>
        <w:t xml:space="preserve">FTMS-based metabolomics </w:t>
      </w:r>
      <w:r w:rsidR="00E362E1" w:rsidRPr="0024604A">
        <w:rPr>
          <w:rFonts w:ascii="Calibri" w:hAnsi="Calibri"/>
          <w:szCs w:val="24"/>
          <w:lang w:val="en-GB"/>
        </w:rPr>
        <w:t>generate</w:t>
      </w:r>
      <w:r w:rsidR="00EE5339" w:rsidRPr="0024604A">
        <w:rPr>
          <w:rFonts w:ascii="Calibri" w:hAnsi="Calibri"/>
          <w:szCs w:val="24"/>
          <w:lang w:val="en-GB"/>
        </w:rPr>
        <w:t xml:space="preserve">s </w:t>
      </w:r>
      <w:r w:rsidR="00E362E1" w:rsidRPr="0024604A">
        <w:rPr>
          <w:rFonts w:ascii="Calibri" w:hAnsi="Calibri"/>
          <w:szCs w:val="24"/>
          <w:lang w:val="en-GB"/>
        </w:rPr>
        <w:t>huge amount</w:t>
      </w:r>
      <w:r w:rsidR="00955796" w:rsidRPr="0024604A">
        <w:rPr>
          <w:rFonts w:ascii="Calibri" w:hAnsi="Calibri"/>
          <w:szCs w:val="24"/>
          <w:lang w:val="en-GB"/>
        </w:rPr>
        <w:t>s</w:t>
      </w:r>
      <w:r w:rsidR="00E362E1" w:rsidRPr="0024604A">
        <w:rPr>
          <w:rFonts w:ascii="Calibri" w:hAnsi="Calibri"/>
          <w:szCs w:val="24"/>
          <w:lang w:val="en-GB"/>
        </w:rPr>
        <w:t xml:space="preserve"> of data</w:t>
      </w:r>
      <w:r w:rsidR="00EE5339" w:rsidRPr="0024604A">
        <w:rPr>
          <w:rFonts w:ascii="Calibri" w:hAnsi="Calibri"/>
          <w:szCs w:val="24"/>
          <w:lang w:val="en-GB"/>
        </w:rPr>
        <w:t xml:space="preserve"> </w:t>
      </w:r>
      <w:r w:rsidR="00CD209F" w:rsidRPr="0024604A">
        <w:rPr>
          <w:rFonts w:ascii="Calibri" w:hAnsi="Calibri"/>
          <w:szCs w:val="24"/>
          <w:lang w:val="en-GB"/>
        </w:rPr>
        <w:t xml:space="preserve">and </w:t>
      </w:r>
      <w:r w:rsidR="00E362E1" w:rsidRPr="0024604A">
        <w:rPr>
          <w:rFonts w:ascii="Calibri" w:hAnsi="Calibri"/>
          <w:szCs w:val="24"/>
          <w:lang w:val="en-GB"/>
        </w:rPr>
        <w:t xml:space="preserve">their </w:t>
      </w:r>
      <w:r w:rsidR="00CD209F" w:rsidRPr="0024604A">
        <w:rPr>
          <w:rFonts w:ascii="Calibri" w:hAnsi="Calibri"/>
          <w:szCs w:val="24"/>
          <w:lang w:val="en-GB"/>
        </w:rPr>
        <w:t xml:space="preserve">processing </w:t>
      </w:r>
      <w:r w:rsidR="00E362E1" w:rsidRPr="0024604A">
        <w:rPr>
          <w:rFonts w:ascii="Calibri" w:hAnsi="Calibri"/>
          <w:szCs w:val="24"/>
          <w:lang w:val="en-GB"/>
        </w:rPr>
        <w:t>is</w:t>
      </w:r>
      <w:r w:rsidR="00EE5339" w:rsidRPr="0024604A">
        <w:rPr>
          <w:rFonts w:ascii="Calibri" w:hAnsi="Calibri"/>
          <w:szCs w:val="24"/>
          <w:lang w:val="en-GB"/>
        </w:rPr>
        <w:t xml:space="preserve"> challeng</w:t>
      </w:r>
      <w:r w:rsidR="00E362E1" w:rsidRPr="0024604A">
        <w:rPr>
          <w:rFonts w:ascii="Calibri" w:hAnsi="Calibri"/>
          <w:szCs w:val="24"/>
          <w:lang w:val="en-GB"/>
        </w:rPr>
        <w:t>ing</w:t>
      </w:r>
      <w:r w:rsidR="00CB41A4" w:rsidRPr="0024604A">
        <w:rPr>
          <w:rFonts w:ascii="Calibri" w:hAnsi="Calibri"/>
          <w:szCs w:val="24"/>
          <w:lang w:val="en-GB"/>
        </w:rPr>
        <w:t xml:space="preserve"> </w:t>
      </w:r>
      <w:r w:rsidR="00CB41A4" w:rsidRPr="0024604A">
        <w:rPr>
          <w:rFonts w:ascii="Calibri" w:hAnsi="Calibri"/>
          <w:szCs w:val="24"/>
          <w:lang w:val="en-GB"/>
        </w:rPr>
        <w:fldChar w:fldCharType="begin" w:fldLock="1"/>
      </w:r>
      <w:r w:rsidR="006126E3" w:rsidRPr="0024604A">
        <w:rPr>
          <w:rFonts w:ascii="Calibri" w:hAnsi="Calibri"/>
          <w:szCs w:val="24"/>
          <w:lang w:val="en-GB"/>
        </w:rPr>
        <w:instrText>ADDIN CSL_CITATION {"citationItems":[{"id":"ITEM-1","itemData":{"DOI":"10.1016/j.bbalip.2017.05.006","ISSN":"18792618","author":[{"dropping-particle":"","family":"Tsugawa","given":"Hiroshi","non-dropping-particle":"","parse-names":false,"suffix":""},{"dropping-particle":"","family":"Ikeda","given":"Kazutaka","non-dropping-particle":"","parse-names":false,"suffix":""},{"dropping-particle":"","family":"Arita","given":"Makoto","non-dropping-particle":"","parse-names":false,"suffix":""}],"container-title":"Biochimica et Biophysica Acta - Molecular and Cell Biology of Lipids","id":"ITEM-1","issue":"8","issued":{"date-parts":[["2017"]]},"page":"762-765","publisher":"Elsevier","title":"The importance of bioinformatics for connecting data-driven lipidomics and biological insights","type":"article-journal","volume":"1862"},"uris":["http://www.mendeley.com/documents/?uuid=5c8fa80c-1036-494c-81b4-613b168a21d4"]}],"mendeley":{"formattedCitation":"[21]","plainTextFormattedCitation":"[21]","previouslyFormattedCitation":"[21]"},"properties":{"noteIndex":0},"schema":"https://github.com/citation-style-language/schema/raw/master/csl-citation.json"}</w:instrText>
      </w:r>
      <w:r w:rsidR="00CB41A4" w:rsidRPr="0024604A">
        <w:rPr>
          <w:rFonts w:ascii="Calibri" w:hAnsi="Calibri"/>
          <w:szCs w:val="24"/>
          <w:lang w:val="en-GB"/>
        </w:rPr>
        <w:fldChar w:fldCharType="separate"/>
      </w:r>
      <w:r w:rsidR="0089225B" w:rsidRPr="0024604A">
        <w:rPr>
          <w:rFonts w:ascii="Calibri" w:hAnsi="Calibri"/>
          <w:noProof/>
          <w:szCs w:val="24"/>
          <w:lang w:val="en-GB"/>
        </w:rPr>
        <w:t>[21]</w:t>
      </w:r>
      <w:r w:rsidR="00CB41A4" w:rsidRPr="0024604A">
        <w:rPr>
          <w:rFonts w:ascii="Calibri" w:hAnsi="Calibri"/>
          <w:szCs w:val="24"/>
          <w:lang w:val="en-GB"/>
        </w:rPr>
        <w:fldChar w:fldCharType="end"/>
      </w:r>
      <w:r w:rsidR="00E362E1" w:rsidRPr="0024604A">
        <w:rPr>
          <w:rFonts w:ascii="Calibri" w:hAnsi="Calibri"/>
          <w:szCs w:val="24"/>
          <w:lang w:val="en-GB"/>
        </w:rPr>
        <w:t>. Here</w:t>
      </w:r>
      <w:r w:rsidR="00F26038" w:rsidRPr="0024604A">
        <w:rPr>
          <w:rFonts w:ascii="Calibri" w:hAnsi="Calibri"/>
          <w:szCs w:val="24"/>
          <w:lang w:val="en-GB"/>
        </w:rPr>
        <w:t>,</w:t>
      </w:r>
      <w:r w:rsidR="00EE5339" w:rsidRPr="0024604A">
        <w:rPr>
          <w:rFonts w:ascii="Calibri" w:hAnsi="Calibri"/>
          <w:szCs w:val="24"/>
          <w:lang w:val="en-GB"/>
        </w:rPr>
        <w:t xml:space="preserve"> </w:t>
      </w:r>
      <w:r w:rsidR="00F26038" w:rsidRPr="0024604A">
        <w:rPr>
          <w:rFonts w:ascii="Calibri" w:hAnsi="Calibri"/>
          <w:szCs w:val="24"/>
          <w:lang w:val="en-GB"/>
        </w:rPr>
        <w:t>t</w:t>
      </w:r>
      <w:r w:rsidR="004F1EB2" w:rsidRPr="0024604A">
        <w:rPr>
          <w:rFonts w:ascii="Calibri" w:hAnsi="Calibri"/>
          <w:szCs w:val="24"/>
          <w:lang w:val="en-GB"/>
        </w:rPr>
        <w:t xml:space="preserve">wo </w:t>
      </w:r>
      <w:r w:rsidR="00F26038" w:rsidRPr="0024604A">
        <w:rPr>
          <w:rFonts w:ascii="Calibri" w:hAnsi="Calibri"/>
          <w:szCs w:val="24"/>
          <w:lang w:val="en-GB"/>
        </w:rPr>
        <w:t>well</w:t>
      </w:r>
      <w:r w:rsidR="00E1492F" w:rsidRPr="0024604A">
        <w:rPr>
          <w:rFonts w:ascii="Calibri" w:hAnsi="Calibri"/>
          <w:szCs w:val="24"/>
          <w:lang w:val="en-GB"/>
        </w:rPr>
        <w:t>-</w:t>
      </w:r>
      <w:r w:rsidR="00F26038" w:rsidRPr="0024604A">
        <w:rPr>
          <w:rFonts w:ascii="Calibri" w:hAnsi="Calibri"/>
          <w:szCs w:val="24"/>
          <w:lang w:val="en-GB"/>
        </w:rPr>
        <w:t xml:space="preserve">known </w:t>
      </w:r>
      <w:r w:rsidR="001639DF" w:rsidRPr="0024604A">
        <w:rPr>
          <w:rFonts w:ascii="Calibri" w:hAnsi="Calibri"/>
          <w:szCs w:val="24"/>
          <w:lang w:val="en-GB"/>
        </w:rPr>
        <w:t xml:space="preserve">freely available </w:t>
      </w:r>
      <w:r w:rsidR="00761E96" w:rsidRPr="0024604A">
        <w:rPr>
          <w:rFonts w:ascii="Calibri" w:hAnsi="Calibri"/>
          <w:szCs w:val="24"/>
          <w:lang w:val="en-GB"/>
        </w:rPr>
        <w:t>software</w:t>
      </w:r>
      <w:r w:rsidR="00F26038" w:rsidRPr="0024604A">
        <w:rPr>
          <w:rFonts w:ascii="Calibri" w:hAnsi="Calibri"/>
          <w:szCs w:val="24"/>
          <w:lang w:val="en-GB"/>
        </w:rPr>
        <w:t xml:space="preserve"> </w:t>
      </w:r>
      <w:r w:rsidR="001639DF" w:rsidRPr="0024604A">
        <w:rPr>
          <w:rFonts w:ascii="Calibri" w:hAnsi="Calibri"/>
          <w:szCs w:val="24"/>
          <w:lang w:val="en-GB"/>
        </w:rPr>
        <w:t xml:space="preserve">packages </w:t>
      </w:r>
      <w:r w:rsidR="00F26038" w:rsidRPr="0024604A">
        <w:rPr>
          <w:rFonts w:ascii="Calibri" w:hAnsi="Calibri"/>
          <w:szCs w:val="24"/>
          <w:lang w:val="en-GB"/>
        </w:rPr>
        <w:t xml:space="preserve">often used for untargeted </w:t>
      </w:r>
      <w:r w:rsidR="00662B27" w:rsidRPr="0024604A">
        <w:rPr>
          <w:rFonts w:ascii="Calibri" w:hAnsi="Calibri"/>
          <w:szCs w:val="24"/>
          <w:lang w:val="en-GB"/>
        </w:rPr>
        <w:t xml:space="preserve">and </w:t>
      </w:r>
      <w:r w:rsidR="00662B27" w:rsidRPr="0024604A">
        <w:rPr>
          <w:rFonts w:ascii="Calibri" w:hAnsi="Calibri"/>
          <w:lang w:val="en-GB"/>
        </w:rPr>
        <w:t>semi-untargeted</w:t>
      </w:r>
      <w:r w:rsidR="00662B27" w:rsidRPr="0024604A">
        <w:rPr>
          <w:rFonts w:ascii="Calibri" w:hAnsi="Calibri"/>
          <w:szCs w:val="24"/>
          <w:lang w:val="en-GB"/>
        </w:rPr>
        <w:t xml:space="preserve"> analysis,</w:t>
      </w:r>
      <w:r w:rsidR="004F1EB2" w:rsidRPr="0024604A">
        <w:rPr>
          <w:rFonts w:ascii="Calibri" w:hAnsi="Calibri"/>
          <w:szCs w:val="24"/>
          <w:lang w:val="en-GB"/>
        </w:rPr>
        <w:t xml:space="preserve"> XCMS </w:t>
      </w:r>
      <w:r w:rsidR="004F1EB2" w:rsidRPr="0024604A">
        <w:rPr>
          <w:rFonts w:ascii="Calibri" w:hAnsi="Calibri"/>
          <w:szCs w:val="24"/>
          <w:lang w:val="en-GB"/>
        </w:rPr>
        <w:fldChar w:fldCharType="begin" w:fldLock="1"/>
      </w:r>
      <w:r w:rsidR="006126E3" w:rsidRPr="0024604A">
        <w:rPr>
          <w:rFonts w:ascii="Calibri" w:hAnsi="Calibri"/>
          <w:szCs w:val="24"/>
          <w:lang w:val="en-GB"/>
        </w:rPr>
        <w:instrText>ADDIN CSL_CITATION {"citationItems":[{"id":"ITEM-1","itemData":{"DOI":"10.1038/nprot.2017.151","ISSN":"17502799","abstract":"Systems biology is the study of complex living organisms, and as such, analysis on a systems-wide scale involves the collection of information-dense data sets that are representative of an entire phenotype. To uncover dynamic biological mechanisms, bioinformatics tools have become essential to facilitating data interpretation in large-scale analyses. Global metabolomics is one such method for performing systems biology, as metabolites represent the downstream functional products of ongoing biological processes. We have developed XCMS Online, a platform that enables online metabolomics data processing and interpretation. A systems biology workflow recently implemented within XCMS Online enables rapid metabolic pathway mapping using raw metabolomics data for investigating dysregulated metabolic processes. In addition, this platform supports integration of multi-omic (such as genomic and proteomic) data to garner further systems-wide mechanistic insight. Here, we provide an in-depth procedure showing how to effectively navigate and use the systems biology workflow within XCMS Online without a priori knowledge of the platform, including uploading liquid chromatography (LC)-mass spectrometry (MS) data from metabolite-extracted biological samples, defining the job parameters to identify features, correcting for retention time deviations, conducting statistical analysis of features between sample classes and performing predictive metabolic pathway analysis. Additional multi-omics data can be uploaded and overlaid with previously identified pathways to enhance systems-wide analysis of the observed dysregulations. We also describe unique visualization tools to assist in elucidation of statistically significant dysregulated metabolic pathways. Parameter input takes 5-10 min, depending on user experience; data processing typically takes 1-3 h, and data analysis takes '1/430 min.","author":[{"dropping-particle":"","family":"Forsberg","given":"Erica M.","non-dropping-particle":"","parse-names":false,"suffix":""},{"dropping-particle":"","family":"Huan","given":"Tao","non-dropping-particle":"","parse-names":false,"suffix":""},{"dropping-particle":"","family":"Rinehart","given":"Duane","non-dropping-particle":"","parse-names":false,"suffix":""},{"dropping-particle":"","family":"Benton","given":"H. Paul","non-dropping-particle":"","parse-names":false,"suffix":""},{"dropping-particle":"","family":"Warth","given":"Benedikt","non-dropping-particle":"","parse-names":false,"suffix":""},{"dropping-particle":"","family":"Hilmers","given":"Brian","non-dropping-particle":"","parse-names":false,"suffix":""},{"dropping-particle":"","family":"Siuzdak","given":"Gary","non-dropping-particle":"","parse-names":false,"suffix":""}],"container-title":"Nature Protocols","id":"ITEM-1","issue":"4","issued":{"date-parts":[["2018","4","1"]]},"page":"633-651","publisher":"Nature Publishing Group","title":"Data processing, multi-omic pathway mapping, and metabolite activity analysis using XCMS Online","type":"article-journal","volume":"13"},"uris":["http://www.mendeley.com/documents/?uuid=2cbd24b8-6fb0-3087-84fb-b6c0a360b6cf"]}],"mendeley":{"formattedCitation":"[22]","plainTextFormattedCitation":"[22]","previouslyFormattedCitation":"[22]"},"properties":{"noteIndex":0},"schema":"https://github.com/citation-style-language/schema/raw/master/csl-citation.json"}</w:instrText>
      </w:r>
      <w:r w:rsidR="004F1EB2" w:rsidRPr="0024604A">
        <w:rPr>
          <w:rFonts w:ascii="Calibri" w:hAnsi="Calibri"/>
          <w:szCs w:val="24"/>
          <w:lang w:val="en-GB"/>
        </w:rPr>
        <w:fldChar w:fldCharType="separate"/>
      </w:r>
      <w:r w:rsidR="0089225B" w:rsidRPr="0024604A">
        <w:rPr>
          <w:rFonts w:ascii="Calibri" w:hAnsi="Calibri"/>
          <w:noProof/>
          <w:szCs w:val="24"/>
          <w:lang w:val="en-GB"/>
        </w:rPr>
        <w:t>[22]</w:t>
      </w:r>
      <w:r w:rsidR="004F1EB2" w:rsidRPr="0024604A">
        <w:rPr>
          <w:rFonts w:ascii="Calibri" w:hAnsi="Calibri"/>
          <w:szCs w:val="24"/>
          <w:lang w:val="en-GB"/>
        </w:rPr>
        <w:fldChar w:fldCharType="end"/>
      </w:r>
      <w:r w:rsidR="004F1EB2" w:rsidRPr="0024604A">
        <w:rPr>
          <w:rFonts w:ascii="Calibri" w:hAnsi="Calibri"/>
          <w:szCs w:val="24"/>
          <w:lang w:val="en-GB"/>
        </w:rPr>
        <w:t xml:space="preserve"> and </w:t>
      </w:r>
      <w:r w:rsidR="00782782" w:rsidRPr="0024604A">
        <w:rPr>
          <w:rFonts w:ascii="Calibri" w:hAnsi="Calibri"/>
          <w:szCs w:val="24"/>
          <w:lang w:val="en-GB"/>
        </w:rPr>
        <w:t>Alex</w:t>
      </w:r>
      <w:r w:rsidR="00782782" w:rsidRPr="0024604A">
        <w:rPr>
          <w:rFonts w:ascii="Calibri" w:hAnsi="Calibri"/>
          <w:szCs w:val="24"/>
          <w:vertAlign w:val="superscript"/>
          <w:lang w:val="en-GB"/>
        </w:rPr>
        <w:t>123</w:t>
      </w:r>
      <w:r w:rsidR="00782782" w:rsidRPr="0024604A">
        <w:rPr>
          <w:rFonts w:ascii="Calibri" w:hAnsi="Calibri"/>
          <w:szCs w:val="24"/>
          <w:lang w:val="en-GB"/>
        </w:rPr>
        <w:t xml:space="preserve"> </w:t>
      </w:r>
      <w:r w:rsidR="00A140DB" w:rsidRPr="0024604A">
        <w:rPr>
          <w:rFonts w:ascii="Calibri" w:hAnsi="Calibri"/>
          <w:vertAlign w:val="superscript"/>
          <w:lang w:val="en-GB"/>
        </w:rPr>
        <w:fldChar w:fldCharType="begin" w:fldLock="1"/>
      </w:r>
      <w:r w:rsidR="006126E3" w:rsidRPr="0024604A">
        <w:rPr>
          <w:rFonts w:ascii="Calibri" w:hAnsi="Calibri"/>
          <w:vertAlign w:val="superscript"/>
          <w:lang w:val="en-GB"/>
        </w:rPr>
        <w:instrText>ADDIN CSL_CITATION {"citationItems":[{"id":"ITEM-1","itemData":{"DOI":"10.1371/journal.pone.0079736","ISSN":"19326203","abstract":"Global lipidomics analysis across large sample sizes produces high-content datasets that require dedicated software tools supporting lipid identification and quantification, efficient data management and lipidome visualization. Here we present a novel software-based platform for streamlined data processing, management and visualization of shotgun lipidomics data acquired using high-resolution Orbitrap mass spectrometry. The platform features the ALEX framework designed for automated identification and export of lipid species intensity directly from proprietary mass spectral data files, and an auxiliary workflow using database exploration tools for integration of sample information, computation of lipid abundance and lipidome visualization. A key feature of the platform is the organization of lipidomics data in \"database table format\" which provides the user with an unsurpassed flexibility for rapid lipidome navigation using selected features within the dataset. To demonstrate the efficacy of the platform, we present a comparative neurolipidomics study of cerebellum, hippocampus and somatosensory barrel cortex (S1BF) from wild-type and knockout mice devoid of the putative lipid phosphate phosphatase PRG-1 (plasticity related gene-1). The presented framework is generic, extendable to processing and integration of other lipidomic data structures, can be interfaced with post-processing protocols supporting statistical testing and multivariate analysis, and can serve as an avenue for disseminating lipidomics data within the scientific community. The ALEX software is available at www.msLipidomics. info. © 2013 Husen et al.","author":[{"dropping-particle":"","family":"Husen","given":"Peter","non-dropping-particle":"","parse-names":false,"suffix":""},{"dropping-particle":"","family":"Tarasov","given":"Kirill","non-dropping-particle":"","parse-names":false,"suffix":""},{"dropping-particle":"","family":"Katafiasz","given":"Maciej","non-dropping-particle":"","parse-names":false,"suffix":""},{"dropping-particle":"","family":"Sokol","given":"Elena","non-dropping-particle":"","parse-names":false,"suffix":""},{"dropping-particle":"","family":"Vogt","given":"Johannes","non-dropping-particle":"","parse-names":false,"suffix":""},{"dropping-particle":"","family":"Baumgart","given":"Jan","non-dropping-particle":"","parse-names":false,"suffix":""},{"dropping-particle":"","family":"Nitsch","given":"Robert","non-dropping-particle":"","parse-names":false,"suffix":""},{"dropping-particle":"","family":"Ekroos","given":"Kim","non-dropping-particle":"","parse-names":false,"suffix":""},{"dropping-particle":"","family":"Ejsing","given":"Christer S.","non-dropping-particle":"","parse-names":false,"suffix":""}],"container-title":"PLoS ONE","id":"ITEM-1","issue":"11","issued":{"date-parts":[["2013"]]},"page":"e79736","publisher":"Public Library of Science","title":"Analysis of lipid experiments (ALEX): A software framework for analysis of high-resolution shotgun lipidomics data","type":"article-journal","volume":"8"},"uris":["http://www.mendeley.com/documents/?uuid=fb6116b3-97d0-4e61-9c90-e6b188667372"]},{"id":"ITEM-2","itemData":{"DOI":"10.1038/s41592-018-0010-6","ISSN":"15487105","abstract":"We report a method that enables automated data-dependent acquisition of lipid tandem mass spectrometry data in parallel with a high-resolution mass spectrometry imaging experiment. The method does not increase the total image acquisition time and is combined with automatic structural assignments. This lipidome-per-pixel approach automatically identified and validated 104 unique molecular lipids and their spatial locations from rat cerebellar tissue.","author":[{"dropping-particle":"","family":"Ellis","given":"Shane R.","non-dropping-particle":"","parse-names":false,"suffix":""},{"dropping-particle":"","family":"Paine","given":"Martin R.L.","non-dropping-particle":"","parse-names":false,"suffix":""},{"dropping-particle":"","family":"Eijkel","given":"Gert B.","non-dropping-particle":"","parse-names":false,"suffix":""},{"dropping-particle":"","family":"Pauling","given":"Josch K.","non-dropping-particle":"","parse-names":false,"suffix":""},{"dropping-particle":"","family":"Husen","given":"Peter","non-dropping-particle":"","parse-names":false,"suffix":""},{"dropping-particle":"","family":"Jervelund","given":"Mark W.","non-dropping-particle":"","parse-names":false,"suffix":""},{"dropping-particle":"","family":"Hermansson","given":"Martin","non-dropping-particle":"","parse-names":false,"suffix":""},{"dropping-particle":"","family":"Ejsing","given":"Christer S.","non-dropping-particle":"","parse-names":false,"suffix":""},{"dropping-particle":"","family":"Heeren","given":"Ron M.A.","non-dropping-particle":"","parse-names":false,"suffix":""}],"container-title":"Nature Methods","id":"ITEM-2","issue":"7","issued":{"date-parts":[["2018","7"]]},"page":"515-518","publisher":"Nature Publishing Group","title":"Automated, parallel mass spectrometry imaging and structural identification of lipids","type":"article-journal","volume":"15"},"uris":["http://www.mendeley.com/documents/?uuid=a9cd6758-9b03-4ad6-aa9a-d1b5da1bdcbf"]}],"mendeley":{"formattedCitation":"[23, 24]","plainTextFormattedCitation":"[23, 24]","previouslyFormattedCitation":"[23, 24]"},"properties":{"noteIndex":0},"schema":"https://github.com/citation-style-language/schema/raw/master/csl-citation.json"}</w:instrText>
      </w:r>
      <w:r w:rsidR="00A140DB" w:rsidRPr="0024604A">
        <w:rPr>
          <w:rFonts w:ascii="Calibri" w:hAnsi="Calibri"/>
          <w:vertAlign w:val="superscript"/>
          <w:lang w:val="en-GB"/>
        </w:rPr>
        <w:fldChar w:fldCharType="separate"/>
      </w:r>
      <w:r w:rsidR="0089225B" w:rsidRPr="0024604A">
        <w:rPr>
          <w:rFonts w:ascii="Calibri" w:hAnsi="Calibri"/>
          <w:noProof/>
          <w:lang w:val="en-GB"/>
        </w:rPr>
        <w:t>[23, 24]</w:t>
      </w:r>
      <w:r w:rsidR="00A140DB" w:rsidRPr="0024604A">
        <w:rPr>
          <w:rFonts w:ascii="Calibri" w:hAnsi="Calibri"/>
          <w:vertAlign w:val="superscript"/>
          <w:lang w:val="en-GB"/>
        </w:rPr>
        <w:fldChar w:fldCharType="end"/>
      </w:r>
      <w:r w:rsidR="005476C9" w:rsidRPr="0024604A">
        <w:rPr>
          <w:rFonts w:ascii="Calibri" w:hAnsi="Calibri"/>
          <w:lang w:val="en-GB"/>
        </w:rPr>
        <w:t>,</w:t>
      </w:r>
      <w:r w:rsidR="005A00D8" w:rsidRPr="0024604A">
        <w:rPr>
          <w:rFonts w:ascii="Calibri" w:hAnsi="Calibri"/>
          <w:szCs w:val="24"/>
          <w:lang w:val="en-GB"/>
        </w:rPr>
        <w:t xml:space="preserve"> respectively</w:t>
      </w:r>
      <w:r w:rsidR="00A140DB" w:rsidRPr="0024604A">
        <w:rPr>
          <w:rFonts w:ascii="Calibri" w:hAnsi="Calibri"/>
          <w:szCs w:val="24"/>
          <w:lang w:val="en-GB"/>
        </w:rPr>
        <w:t>,</w:t>
      </w:r>
      <w:r w:rsidR="004F1EB2" w:rsidRPr="0024604A">
        <w:rPr>
          <w:rFonts w:ascii="Calibri" w:hAnsi="Calibri"/>
          <w:szCs w:val="24"/>
          <w:lang w:val="en-GB"/>
        </w:rPr>
        <w:t xml:space="preserve"> were evaluated and used to obtain data matrix</w:t>
      </w:r>
      <w:r w:rsidR="00E1492F" w:rsidRPr="0024604A">
        <w:rPr>
          <w:rFonts w:ascii="Calibri" w:hAnsi="Calibri"/>
          <w:szCs w:val="24"/>
          <w:lang w:val="en-GB"/>
        </w:rPr>
        <w:t xml:space="preserve">. </w:t>
      </w:r>
      <w:r w:rsidR="00955796" w:rsidRPr="0024604A">
        <w:rPr>
          <w:rFonts w:ascii="Calibri" w:hAnsi="Calibri"/>
          <w:szCs w:val="24"/>
          <w:lang w:val="en-GB"/>
        </w:rPr>
        <w:t>To ensure reliable results</w:t>
      </w:r>
      <w:r w:rsidR="001A407A" w:rsidRPr="0024604A">
        <w:rPr>
          <w:rFonts w:ascii="Calibri" w:hAnsi="Calibri"/>
          <w:szCs w:val="24"/>
          <w:lang w:val="en-GB"/>
        </w:rPr>
        <w:t xml:space="preserve">, </w:t>
      </w:r>
      <w:r w:rsidR="00E1492F" w:rsidRPr="0024604A">
        <w:rPr>
          <w:rFonts w:ascii="Calibri" w:hAnsi="Calibri"/>
          <w:szCs w:val="24"/>
          <w:lang w:val="en-GB"/>
        </w:rPr>
        <w:t xml:space="preserve">quality control </w:t>
      </w:r>
      <w:r w:rsidR="004F1EB2" w:rsidRPr="0024604A">
        <w:rPr>
          <w:rFonts w:ascii="Calibri" w:hAnsi="Calibri"/>
          <w:szCs w:val="24"/>
          <w:lang w:val="en-GB"/>
        </w:rPr>
        <w:t xml:space="preserve">(QC) samples </w:t>
      </w:r>
      <w:r w:rsidR="001A407A" w:rsidRPr="0024604A">
        <w:rPr>
          <w:rFonts w:ascii="Calibri" w:hAnsi="Calibri"/>
          <w:szCs w:val="24"/>
          <w:lang w:val="en-GB"/>
        </w:rPr>
        <w:t xml:space="preserve">along with </w:t>
      </w:r>
      <w:r w:rsidR="004F1EB2" w:rsidRPr="0024604A">
        <w:rPr>
          <w:rFonts w:ascii="Calibri" w:hAnsi="Calibri"/>
          <w:szCs w:val="24"/>
          <w:lang w:val="en-GB"/>
        </w:rPr>
        <w:t xml:space="preserve">randomization </w:t>
      </w:r>
      <w:r w:rsidR="001A407A" w:rsidRPr="0024604A">
        <w:rPr>
          <w:rFonts w:ascii="Calibri" w:hAnsi="Calibri"/>
          <w:szCs w:val="24"/>
          <w:lang w:val="en-GB"/>
        </w:rPr>
        <w:t xml:space="preserve">of data </w:t>
      </w:r>
      <w:r w:rsidR="004F1EB2" w:rsidRPr="0024604A">
        <w:rPr>
          <w:rFonts w:ascii="Calibri" w:hAnsi="Calibri"/>
          <w:szCs w:val="24"/>
          <w:lang w:val="en-GB"/>
        </w:rPr>
        <w:t>extraction and analysis</w:t>
      </w:r>
      <w:r w:rsidR="001A407A" w:rsidRPr="0024604A">
        <w:rPr>
          <w:rFonts w:ascii="Calibri" w:hAnsi="Calibri"/>
          <w:szCs w:val="24"/>
          <w:lang w:val="en-GB"/>
        </w:rPr>
        <w:t xml:space="preserve"> was applied</w:t>
      </w:r>
      <w:r w:rsidR="004F1EB2" w:rsidRPr="0024604A">
        <w:rPr>
          <w:rFonts w:ascii="Calibri" w:hAnsi="Calibri"/>
          <w:szCs w:val="24"/>
          <w:lang w:val="en-GB"/>
        </w:rPr>
        <w:t xml:space="preserve">. </w:t>
      </w:r>
      <w:r w:rsidR="001639DF" w:rsidRPr="0024604A">
        <w:rPr>
          <w:rFonts w:ascii="Calibri" w:hAnsi="Calibri"/>
          <w:szCs w:val="24"/>
          <w:lang w:val="en-GB"/>
        </w:rPr>
        <w:t xml:space="preserve">These lipidomics </w:t>
      </w:r>
      <w:r w:rsidR="00F26038" w:rsidRPr="0024604A">
        <w:rPr>
          <w:rFonts w:ascii="Calibri" w:hAnsi="Calibri"/>
          <w:szCs w:val="24"/>
          <w:lang w:val="en-GB"/>
        </w:rPr>
        <w:t xml:space="preserve">data </w:t>
      </w:r>
      <w:r w:rsidR="00E1492F" w:rsidRPr="0024604A">
        <w:rPr>
          <w:rFonts w:ascii="Calibri" w:hAnsi="Calibri"/>
          <w:szCs w:val="24"/>
          <w:lang w:val="en-GB"/>
        </w:rPr>
        <w:t>were</w:t>
      </w:r>
      <w:r w:rsidR="00F26038" w:rsidRPr="0024604A">
        <w:rPr>
          <w:rFonts w:ascii="Calibri" w:hAnsi="Calibri"/>
          <w:szCs w:val="24"/>
          <w:lang w:val="en-GB"/>
        </w:rPr>
        <w:t xml:space="preserve"> </w:t>
      </w:r>
      <w:r w:rsidR="00955796" w:rsidRPr="0024604A">
        <w:rPr>
          <w:rFonts w:ascii="Calibri" w:hAnsi="Calibri"/>
          <w:szCs w:val="24"/>
          <w:lang w:val="en-GB"/>
        </w:rPr>
        <w:t xml:space="preserve">examined </w:t>
      </w:r>
      <w:r w:rsidR="00F26038" w:rsidRPr="0024604A">
        <w:rPr>
          <w:rFonts w:ascii="Calibri" w:hAnsi="Calibri"/>
          <w:szCs w:val="24"/>
          <w:lang w:val="en-GB"/>
        </w:rPr>
        <w:t>by principal component analysis (PCA) and</w:t>
      </w:r>
      <w:r w:rsidR="00E1492F" w:rsidRPr="0024604A">
        <w:rPr>
          <w:rFonts w:ascii="Calibri" w:hAnsi="Calibri"/>
          <w:szCs w:val="24"/>
          <w:lang w:val="en-GB"/>
        </w:rPr>
        <w:t xml:space="preserve"> </w:t>
      </w:r>
      <w:r w:rsidR="00F26038" w:rsidRPr="0024604A">
        <w:rPr>
          <w:rFonts w:ascii="Calibri" w:hAnsi="Calibri"/>
          <w:szCs w:val="24"/>
          <w:lang w:val="en-GB"/>
        </w:rPr>
        <w:t>partial least</w:t>
      </w:r>
      <w:r w:rsidR="00E1492F" w:rsidRPr="0024604A">
        <w:rPr>
          <w:rFonts w:ascii="Calibri" w:hAnsi="Calibri"/>
          <w:szCs w:val="24"/>
          <w:lang w:val="en-GB"/>
        </w:rPr>
        <w:t>-</w:t>
      </w:r>
      <w:r w:rsidR="00F26038" w:rsidRPr="0024604A">
        <w:rPr>
          <w:rFonts w:ascii="Calibri" w:hAnsi="Calibri"/>
          <w:szCs w:val="24"/>
          <w:lang w:val="en-GB"/>
        </w:rPr>
        <w:t>squares discriminant analysis (PLS-DA)</w:t>
      </w:r>
      <w:r w:rsidR="00955796" w:rsidRPr="0024604A">
        <w:rPr>
          <w:rFonts w:ascii="Calibri" w:hAnsi="Calibri"/>
          <w:szCs w:val="24"/>
          <w:lang w:val="en-GB"/>
        </w:rPr>
        <w:t>.</w:t>
      </w:r>
    </w:p>
    <w:p w14:paraId="1534F2FD" w14:textId="77777777" w:rsidR="00095541" w:rsidRPr="0024604A" w:rsidRDefault="00095541" w:rsidP="003420C5">
      <w:pPr>
        <w:pStyle w:val="Corpotesto"/>
        <w:spacing w:line="480" w:lineRule="auto"/>
        <w:jc w:val="both"/>
        <w:rPr>
          <w:rFonts w:ascii="Calibri" w:hAnsi="Calibri"/>
          <w:b/>
          <w:szCs w:val="24"/>
          <w:lang w:val="en-GB"/>
        </w:rPr>
      </w:pPr>
    </w:p>
    <w:p w14:paraId="2B5A9985" w14:textId="77777777" w:rsidR="009B50EB" w:rsidRPr="0024604A" w:rsidRDefault="00A127C5" w:rsidP="003420C5">
      <w:pPr>
        <w:pStyle w:val="Corpotesto"/>
        <w:spacing w:line="480" w:lineRule="auto"/>
        <w:jc w:val="both"/>
        <w:rPr>
          <w:rFonts w:ascii="Calibri" w:hAnsi="Calibri"/>
          <w:b/>
          <w:szCs w:val="24"/>
          <w:lang w:val="en-GB"/>
        </w:rPr>
      </w:pPr>
      <w:r w:rsidRPr="0024604A">
        <w:rPr>
          <w:rFonts w:ascii="Calibri" w:hAnsi="Calibri"/>
          <w:b/>
          <w:szCs w:val="24"/>
          <w:lang w:val="en-GB"/>
        </w:rPr>
        <w:t>2.</w:t>
      </w:r>
      <w:r w:rsidRPr="0024604A">
        <w:rPr>
          <w:rFonts w:ascii="Calibri" w:hAnsi="Calibri"/>
          <w:b/>
          <w:szCs w:val="24"/>
          <w:lang w:val="en-GB"/>
        </w:rPr>
        <w:tab/>
        <w:t>MATERIALS AND METHODS</w:t>
      </w:r>
    </w:p>
    <w:p w14:paraId="4DC05357" w14:textId="16D55FF3" w:rsidR="000F2C65" w:rsidRPr="0024604A" w:rsidRDefault="00A127C5" w:rsidP="00DE56B3">
      <w:pPr>
        <w:widowControl w:val="0"/>
        <w:tabs>
          <w:tab w:val="left" w:pos="-2127"/>
        </w:tabs>
        <w:spacing w:line="480" w:lineRule="auto"/>
        <w:jc w:val="both"/>
        <w:rPr>
          <w:rFonts w:ascii="Calibri" w:hAnsi="Calibri"/>
          <w:lang w:val="en-GB"/>
        </w:rPr>
      </w:pPr>
      <w:r w:rsidRPr="0024604A">
        <w:rPr>
          <w:rFonts w:ascii="Calibri" w:hAnsi="Calibri"/>
          <w:b/>
          <w:lang w:val="en-GB"/>
        </w:rPr>
        <w:t>2.1</w:t>
      </w:r>
      <w:r w:rsidRPr="0024604A">
        <w:rPr>
          <w:rFonts w:ascii="Calibri" w:hAnsi="Calibri"/>
          <w:b/>
          <w:lang w:val="en-GB"/>
        </w:rPr>
        <w:tab/>
        <w:t>Chemicals</w:t>
      </w:r>
      <w:r w:rsidR="00E33D2E" w:rsidRPr="0024604A">
        <w:rPr>
          <w:rFonts w:ascii="Calibri" w:hAnsi="Calibri"/>
          <w:b/>
          <w:lang w:val="en-GB"/>
        </w:rPr>
        <w:t xml:space="preserve">. </w:t>
      </w:r>
      <w:r w:rsidR="00DE56B3" w:rsidRPr="0024604A">
        <w:rPr>
          <w:rFonts w:ascii="Calibri" w:hAnsi="Calibri"/>
          <w:lang w:val="en-GB"/>
        </w:rPr>
        <w:t xml:space="preserve">LC–MS grade water, </w:t>
      </w:r>
      <w:r w:rsidR="00CD209F" w:rsidRPr="0024604A">
        <w:rPr>
          <w:rFonts w:ascii="Calibri" w:hAnsi="Calibri"/>
          <w:lang w:val="en-GB"/>
        </w:rPr>
        <w:t>acetonitrile (ACN)</w:t>
      </w:r>
      <w:r w:rsidR="00DE56B3" w:rsidRPr="0024604A">
        <w:rPr>
          <w:rFonts w:ascii="Calibri" w:hAnsi="Calibri"/>
          <w:lang w:val="en-GB"/>
        </w:rPr>
        <w:t>, methanol (MeOH) and HPLC grade chloroform, formic acid, and ammonium acetate were obtained from Sigma-Aldrich (Milan, Italy). Standard solutions for negative calibrations were purchased from Thermo Scientific (Waltham,</w:t>
      </w:r>
      <w:r w:rsidR="001639DF" w:rsidRPr="0024604A">
        <w:rPr>
          <w:rFonts w:ascii="Calibri" w:hAnsi="Calibri"/>
          <w:lang w:val="en-GB"/>
        </w:rPr>
        <w:t xml:space="preserve"> </w:t>
      </w:r>
      <w:r w:rsidR="00DE56B3" w:rsidRPr="0024604A">
        <w:rPr>
          <w:rFonts w:ascii="Calibri" w:hAnsi="Calibri"/>
          <w:lang w:val="en-GB"/>
        </w:rPr>
        <w:t>MA, USA).</w:t>
      </w:r>
    </w:p>
    <w:p w14:paraId="664A0A25" w14:textId="77777777" w:rsidR="00DE56B3" w:rsidRPr="0024604A" w:rsidRDefault="00DE56B3" w:rsidP="00DE56B3">
      <w:pPr>
        <w:widowControl w:val="0"/>
        <w:tabs>
          <w:tab w:val="left" w:pos="-2127"/>
        </w:tabs>
        <w:spacing w:line="480" w:lineRule="auto"/>
        <w:jc w:val="both"/>
        <w:rPr>
          <w:rFonts w:ascii="Calibri" w:hAnsi="Calibri"/>
          <w:lang w:val="en-GB"/>
        </w:rPr>
      </w:pPr>
    </w:p>
    <w:p w14:paraId="4174099A" w14:textId="08BBD953" w:rsidR="00DE56B3" w:rsidRPr="0024604A" w:rsidRDefault="00DE56B3" w:rsidP="009B50EB">
      <w:pPr>
        <w:widowControl w:val="0"/>
        <w:tabs>
          <w:tab w:val="left" w:pos="-2127"/>
        </w:tabs>
        <w:spacing w:line="480" w:lineRule="auto"/>
        <w:jc w:val="both"/>
        <w:rPr>
          <w:rFonts w:ascii="Calibri" w:hAnsi="Calibri"/>
          <w:lang w:val="en-GB"/>
        </w:rPr>
      </w:pPr>
      <w:r w:rsidRPr="0024604A">
        <w:rPr>
          <w:rFonts w:ascii="Calibri" w:hAnsi="Calibri"/>
          <w:b/>
          <w:lang w:val="en-GB"/>
        </w:rPr>
        <w:t>2.2</w:t>
      </w:r>
      <w:r w:rsidRPr="0024604A">
        <w:rPr>
          <w:rFonts w:ascii="Calibri" w:hAnsi="Calibri"/>
          <w:b/>
          <w:lang w:val="en-GB"/>
        </w:rPr>
        <w:tab/>
        <w:t xml:space="preserve">Lipid nomenclature. </w:t>
      </w:r>
      <w:r w:rsidRPr="0024604A">
        <w:rPr>
          <w:rFonts w:ascii="Calibri" w:hAnsi="Calibri"/>
          <w:lang w:val="en-GB"/>
        </w:rPr>
        <w:t xml:space="preserve">Lipids were named according to the </w:t>
      </w:r>
      <w:r w:rsidR="00A02067" w:rsidRPr="0024604A">
        <w:rPr>
          <w:rFonts w:ascii="Calibri" w:hAnsi="Calibri"/>
          <w:lang w:val="en-GB"/>
        </w:rPr>
        <w:t>comprehensive classification system for lipi</w:t>
      </w:r>
      <w:r w:rsidRPr="0024604A">
        <w:rPr>
          <w:rFonts w:ascii="Calibri" w:hAnsi="Calibri"/>
          <w:lang w:val="en-GB"/>
        </w:rPr>
        <w:t>ds</w:t>
      </w:r>
      <w:r w:rsidR="006F6E9F" w:rsidRPr="0024604A">
        <w:rPr>
          <w:rFonts w:ascii="Calibri" w:hAnsi="Calibri"/>
          <w:lang w:val="en-GB"/>
        </w:rPr>
        <w:t xml:space="preserve"> </w:t>
      </w:r>
      <w:r w:rsidR="00967721" w:rsidRPr="0024604A">
        <w:rPr>
          <w:rFonts w:ascii="Calibri" w:hAnsi="Calibri"/>
          <w:lang w:val="en-GB"/>
        </w:rPr>
        <w:fldChar w:fldCharType="begin" w:fldLock="1"/>
      </w:r>
      <w:r w:rsidR="006126E3" w:rsidRPr="0024604A">
        <w:rPr>
          <w:rFonts w:ascii="Calibri" w:hAnsi="Calibri"/>
          <w:lang w:val="en-GB"/>
        </w:rPr>
        <w:instrText>ADDIN CSL_CITATION {"citationItems":[{"id":"ITEM-1","itemData":{"DOI":"10.1194/jlr.M033506","ISBN":"0022-2275 (Print)\\r0022-2275 (Linking)","ISSN":"0022-2275","PMID":"23549332","abstract":"There is a need for a standardized, practical annotation for structures of lipid species derived from mass spectrometric approaches; i.e., for high-throughput data obtained from instruments operating in either high- or low-resolution modes. This proposal is based on common, officially accepted terms and builds upon the LIPID MAPS terminology. It aims to add defined levels of information below the LIPID MAPS nomenclature, as detailed chemical structures, including stereochemistry, are usually not automatically provided by mass spectrometric analysis. To this end, rules for lipid species annotation were developed that reflect the structural information derived from the analysis. For example, commonly used head group-specific analysis of glycerophospholipids (GP) by low-resolution instruments is neither capable of differentiating the fatty acids linked to the glycerol backbone nor able to define their bond type (ester, alkyl-, or alk-1-enyl-ether). This and other missing structural information is covered by the proposed shorthand notation presented here. Beyond GPs, we provide shorthand notation for fatty acids/acyls (FA), glycerolipids (GL), sphingolipids (SP), and sterols (ST). In summary, this defined shorthand nomenclature provides a standard methodology for reporting lipid species from mass spectrometric analysis and for constructing databases.","author":[{"dropping-particle":"","family":"Liebisch","given":"Gerhard","non-dropping-particle":"","parse-names":false,"suffix":""},{"dropping-particle":"","family":"Vizcaíno","given":"Juan Antonio","non-dropping-particle":"","parse-names":false,"suffix":""},{"dropping-particle":"","family":"Köfeler","given":"Harald","non-dropping-particle":"","parse-names":false,"suffix":""},{"dropping-particle":"","family":"Trötzmüller","given":"Martin","non-dropping-particle":"","parse-names":false,"suffix":""},{"dropping-particle":"","family":"Griffiths","given":"William J.","non-dropping-particle":"","parse-names":false,"suffix":""},{"dropping-particle":"","family":"Schmitz","given":"Gerd","non-dropping-particle":"","parse-names":false,"suffix":""},{"dropping-particle":"","family":"Spener","given":"Friedrich","non-dropping-particle":"","parse-names":false,"suffix":""},{"dropping-particle":"","family":"Wakelam","given":"Michael J. O.","non-dropping-particle":"","parse-names":false,"suffix":""},{"dropping-particle":"","family":"Vizcaino","given":"J. A.","non-dropping-particle":"","parse-names":false,"suffix":""},{"dropping-particle":"","family":"Kofeler","given":"H.","non-dropping-particle":"","parse-names":false,"suffix":""},{"dropping-particle":"","family":"Trotzmuller","given":"M.","non-dropping-particle":"","parse-names":false,"suffix":""},{"dropping-particle":"","family":"Griffiths","given":"William J.","non-dropping-particle":"","parse-names":false,"suffix":""},{"dropping-particle":"","family":"Schmitz","given":"Gerd","non-dropping-particle":"","parse-names":false,"suffix":""},{"dropping-particle":"","family":"Spener","given":"Friedrich","non-dropping-particle":"","parse-names":false,"suffix":""},{"dropping-particle":"","family":"Wakelam","given":"Michael J. O.","non-dropping-particle":"","parse-names":false,"suffix":""}],"container-title":"The Journal of Lipid Research","id":"ITEM-1","issue":"6","issued":{"date-parts":[["2013","6","1"]]},"page":"1523-1530","title":"Shorthand notation for lipid structures derived from mass spectrometry","type":"article-journal","volume":"54"},"uris":["http://www.mendeley.com/documents/?uuid=ebc861c7-8d1e-4f10-a559-5424802fa73a"]},{"id":"ITEM-2","itemData":{"DOI":"10.1016/j.bbalip.2017.02.013","ISSN":"18792618","abstract":"This article highlights, to our opinion, some of the most pertinent issues related to producing high quality lipidomics data. These issues include pitfalls related to sample collection and storage, lipid extraction, the use of shotgun and LC-MS-based lipidomics approaches, and the identification, annotation and quantification of lipid species. We hope that highlighting these issues will help stimulate efforts to implement reporting standards for dissemination of lipidomics data. This article is part of a Special Issue entitled: BBALIP_Lipidomics Opinion Articles edited by Sepp Kohlwein.","author":[{"dropping-particle":"","family":"Liebisch","given":"Gerhard","non-dropping-particle":"","parse-names":false,"suffix":""},{"dropping-particle":"","family":"Ekroos","given":"Kim","non-dropping-particle":"","parse-names":false,"suffix":""},{"dropping-particle":"","family":"Hermansson","given":"Martin","non-dropping-particle":"","parse-names":false,"suffix":""},{"dropping-particle":"","family":"Ejsing","given":"Christer S.","non-dropping-particle":"","parse-names":false,"suffix":""}],"container-title":"Biochimica et Biophysica Acta - Molecular and Cell Biology of Lipids","id":"ITEM-2","issue":"8","issued":{"date-parts":[["2017"]]},"page":"747-751","title":"Reporting of lipidomics data should be standardized","type":"article-journal","volume":"1862"},"uris":["http://www.mendeley.com/documents/?uuid=54010a0f-babf-3089-bdea-60501b1f6604"]}],"mendeley":{"formattedCitation":"[25, 26]","plainTextFormattedCitation":"[25, 26]","previouslyFormattedCitation":"[25, 26]"},"properties":{"noteIndex":0},"schema":"https://github.com/citation-style-language/schema/raw/master/csl-citation.json"}</w:instrText>
      </w:r>
      <w:r w:rsidR="00967721" w:rsidRPr="0024604A">
        <w:rPr>
          <w:rFonts w:ascii="Calibri" w:hAnsi="Calibri"/>
          <w:lang w:val="en-GB"/>
        </w:rPr>
        <w:fldChar w:fldCharType="separate"/>
      </w:r>
      <w:r w:rsidR="0089225B" w:rsidRPr="0024604A">
        <w:rPr>
          <w:rFonts w:ascii="Calibri" w:hAnsi="Calibri"/>
          <w:noProof/>
          <w:lang w:val="en-GB"/>
        </w:rPr>
        <w:t>[25, 26]</w:t>
      </w:r>
      <w:r w:rsidR="00967721" w:rsidRPr="0024604A">
        <w:rPr>
          <w:rFonts w:ascii="Calibri" w:hAnsi="Calibri"/>
          <w:lang w:val="en-GB"/>
        </w:rPr>
        <w:fldChar w:fldCharType="end"/>
      </w:r>
      <w:r w:rsidRPr="0024604A">
        <w:rPr>
          <w:rFonts w:ascii="Calibri" w:hAnsi="Calibri"/>
          <w:lang w:val="en-GB"/>
        </w:rPr>
        <w:t>, e.g. 1-tetradecanoyl-2-hexadecanoyl-</w:t>
      </w:r>
      <w:r w:rsidRPr="0024604A">
        <w:rPr>
          <w:rFonts w:ascii="Calibri" w:hAnsi="Calibri"/>
          <w:i/>
          <w:iCs/>
          <w:lang w:val="en-GB"/>
        </w:rPr>
        <w:t>sn</w:t>
      </w:r>
      <w:r w:rsidRPr="0024604A">
        <w:rPr>
          <w:rFonts w:ascii="Calibri" w:hAnsi="Calibri"/>
          <w:lang w:val="en-GB"/>
        </w:rPr>
        <w:t>-glycerophosphocholine is designated PC (14:0/16:0). When fatty acid chain composition could not be determined, the total number of carbons and double bonds of all fatty acyl chains are given, e.g. PC (</w:t>
      </w:r>
      <w:r w:rsidR="00CD209F" w:rsidRPr="0024604A">
        <w:rPr>
          <w:rFonts w:ascii="Calibri" w:hAnsi="Calibri"/>
          <w:lang w:val="en-GB"/>
        </w:rPr>
        <w:t>30</w:t>
      </w:r>
      <w:r w:rsidRPr="0024604A">
        <w:rPr>
          <w:rFonts w:ascii="Calibri" w:hAnsi="Calibri"/>
          <w:lang w:val="en-GB"/>
        </w:rPr>
        <w:t>:</w:t>
      </w:r>
      <w:r w:rsidR="00CD209F" w:rsidRPr="0024604A">
        <w:rPr>
          <w:rFonts w:ascii="Calibri" w:hAnsi="Calibri"/>
          <w:lang w:val="en-GB"/>
        </w:rPr>
        <w:t>0</w:t>
      </w:r>
      <w:r w:rsidRPr="0024604A">
        <w:rPr>
          <w:rFonts w:ascii="Calibri" w:hAnsi="Calibri"/>
          <w:lang w:val="en-GB"/>
        </w:rPr>
        <w:t>).</w:t>
      </w:r>
    </w:p>
    <w:p w14:paraId="1BA142D2" w14:textId="77777777" w:rsidR="00DE56B3" w:rsidRPr="0024604A" w:rsidRDefault="00DE56B3" w:rsidP="009B50EB">
      <w:pPr>
        <w:widowControl w:val="0"/>
        <w:tabs>
          <w:tab w:val="left" w:pos="-2127"/>
        </w:tabs>
        <w:spacing w:line="480" w:lineRule="auto"/>
        <w:jc w:val="both"/>
        <w:rPr>
          <w:rFonts w:ascii="Calibri" w:hAnsi="Calibri"/>
          <w:lang w:val="en-GB"/>
        </w:rPr>
      </w:pPr>
    </w:p>
    <w:p w14:paraId="2F9C9F6D" w14:textId="6E6AF4CA" w:rsidR="009024E8" w:rsidRPr="0024604A" w:rsidRDefault="009024E8" w:rsidP="009024E8">
      <w:pPr>
        <w:widowControl w:val="0"/>
        <w:tabs>
          <w:tab w:val="left" w:pos="-2127"/>
        </w:tabs>
        <w:spacing w:line="480" w:lineRule="auto"/>
        <w:jc w:val="both"/>
        <w:rPr>
          <w:rFonts w:ascii="Calibri" w:hAnsi="Calibri"/>
          <w:b/>
          <w:lang w:val="en-GB"/>
        </w:rPr>
      </w:pPr>
      <w:r w:rsidRPr="0024604A">
        <w:rPr>
          <w:rFonts w:ascii="Calibri" w:hAnsi="Calibri"/>
          <w:b/>
          <w:lang w:val="en-GB"/>
        </w:rPr>
        <w:t>2.3</w:t>
      </w:r>
      <w:r w:rsidRPr="0024604A">
        <w:rPr>
          <w:rFonts w:ascii="Calibri" w:hAnsi="Calibri"/>
          <w:b/>
          <w:lang w:val="en-GB"/>
        </w:rPr>
        <w:tab/>
        <w:t xml:space="preserve">PBMC Samples. </w:t>
      </w:r>
      <w:bookmarkStart w:id="5" w:name="_Hlk42161591"/>
      <w:r w:rsidRPr="0024604A">
        <w:rPr>
          <w:rFonts w:ascii="Calibri" w:hAnsi="Calibri"/>
          <w:lang w:val="en-GB"/>
        </w:rPr>
        <w:t>Lipidomic analyses have been performed on PBMC samples obtained from 38 patients affected by ASD with a disease severity degree from 1 to 3 according to DSM-5 and from their unaffected brothers or sisters</w:t>
      </w:r>
      <w:bookmarkStart w:id="6" w:name="_Hlk42161579"/>
      <w:r w:rsidRPr="0024604A">
        <w:rPr>
          <w:rFonts w:ascii="Calibri" w:hAnsi="Calibri"/>
          <w:lang w:val="en-GB"/>
        </w:rPr>
        <w:t xml:space="preserve">; </w:t>
      </w:r>
      <w:bookmarkStart w:id="7" w:name="_Hlk42147818"/>
      <w:bookmarkStart w:id="8" w:name="_Hlk42072826"/>
      <w:bookmarkEnd w:id="5"/>
      <w:r w:rsidRPr="0024604A">
        <w:rPr>
          <w:rFonts w:ascii="Calibri" w:hAnsi="Calibri"/>
          <w:lang w:val="en-GB"/>
        </w:rPr>
        <w:t xml:space="preserve">autistic children did not carry out any pharmacological </w:t>
      </w:r>
      <w:bookmarkStart w:id="9" w:name="_Hlk42072783"/>
      <w:r w:rsidRPr="0024604A">
        <w:rPr>
          <w:rFonts w:ascii="Calibri" w:hAnsi="Calibri"/>
          <w:lang w:val="en-GB"/>
        </w:rPr>
        <w:t>treatment</w:t>
      </w:r>
      <w:r w:rsidR="000744FF" w:rsidRPr="0024604A">
        <w:rPr>
          <w:rFonts w:ascii="Calibri" w:hAnsi="Calibri"/>
          <w:lang w:val="en-GB"/>
        </w:rPr>
        <w:t xml:space="preserve"> </w:t>
      </w:r>
      <w:r w:rsidR="00F6249D" w:rsidRPr="0024604A">
        <w:rPr>
          <w:rFonts w:ascii="Calibri" w:hAnsi="Calibri"/>
          <w:lang w:val="en-GB"/>
        </w:rPr>
        <w:t>for at</w:t>
      </w:r>
      <w:r w:rsidR="000744FF" w:rsidRPr="0024604A">
        <w:rPr>
          <w:rFonts w:ascii="Calibri" w:hAnsi="Calibri"/>
          <w:lang w:val="en-GB"/>
        </w:rPr>
        <w:t xml:space="preserve"> last two months </w:t>
      </w:r>
      <w:r w:rsidR="00F6249D" w:rsidRPr="0024604A">
        <w:rPr>
          <w:rFonts w:ascii="Calibri" w:hAnsi="Calibri"/>
          <w:lang w:val="en-GB"/>
        </w:rPr>
        <w:t>prior to</w:t>
      </w:r>
      <w:r w:rsidR="000744FF" w:rsidRPr="0024604A">
        <w:rPr>
          <w:rFonts w:ascii="Calibri" w:hAnsi="Calibri"/>
          <w:lang w:val="en-GB"/>
        </w:rPr>
        <w:t xml:space="preserve"> blood collection day.</w:t>
      </w:r>
      <w:r w:rsidRPr="0024604A">
        <w:rPr>
          <w:rFonts w:ascii="Calibri" w:hAnsi="Calibri"/>
          <w:lang w:val="en-GB"/>
        </w:rPr>
        <w:t xml:space="preserve"> </w:t>
      </w:r>
      <w:r w:rsidR="000744FF" w:rsidRPr="0024604A">
        <w:rPr>
          <w:rFonts w:ascii="Calibri" w:hAnsi="Calibri"/>
          <w:lang w:val="en-GB"/>
        </w:rPr>
        <w:t>Patients and relative controls ranged in age from 3 to 17 years with a mean age of 7 (± 3.6) and 8 (± 3.8) years</w:t>
      </w:r>
      <w:r w:rsidR="000602CD" w:rsidRPr="0024604A">
        <w:rPr>
          <w:rFonts w:ascii="Calibri" w:hAnsi="Calibri"/>
          <w:lang w:val="en-GB"/>
        </w:rPr>
        <w:t>,</w:t>
      </w:r>
      <w:r w:rsidR="000744FF" w:rsidRPr="0024604A">
        <w:rPr>
          <w:rFonts w:ascii="Calibri" w:hAnsi="Calibri"/>
          <w:lang w:val="en-GB"/>
        </w:rPr>
        <w:t xml:space="preserve"> respectively (</w:t>
      </w:r>
      <w:r w:rsidR="001520AE" w:rsidRPr="0024604A">
        <w:rPr>
          <w:rFonts w:ascii="Calibri" w:hAnsi="Calibri"/>
          <w:i/>
          <w:iCs/>
          <w:lang w:val="en-GB"/>
        </w:rPr>
        <w:t>P</w:t>
      </w:r>
      <w:r w:rsidR="000744FF" w:rsidRPr="0024604A">
        <w:rPr>
          <w:rFonts w:ascii="Calibri" w:hAnsi="Calibri"/>
          <w:lang w:val="en-GB"/>
        </w:rPr>
        <w:t>= 0.132).</w:t>
      </w:r>
      <w:bookmarkEnd w:id="6"/>
      <w:bookmarkEnd w:id="7"/>
      <w:r w:rsidR="000744FF" w:rsidRPr="0024604A">
        <w:rPr>
          <w:rFonts w:ascii="Calibri" w:hAnsi="Calibri"/>
          <w:lang w:val="en-GB"/>
        </w:rPr>
        <w:t xml:space="preserve"> </w:t>
      </w:r>
      <w:bookmarkEnd w:id="9"/>
      <w:r w:rsidRPr="0024604A">
        <w:rPr>
          <w:rFonts w:ascii="Calibri" w:hAnsi="Calibri"/>
          <w:lang w:val="en-GB"/>
        </w:rPr>
        <w:t xml:space="preserve">The use of PBMC </w:t>
      </w:r>
      <w:bookmarkEnd w:id="8"/>
      <w:r w:rsidRPr="0024604A">
        <w:rPr>
          <w:rFonts w:ascii="Calibri" w:hAnsi="Calibri"/>
          <w:lang w:val="en-GB"/>
        </w:rPr>
        <w:t xml:space="preserve">isolated from fresh whole blood in this study was approved by the Local Committee at the </w:t>
      </w:r>
      <w:proofErr w:type="spellStart"/>
      <w:r w:rsidRPr="0024604A">
        <w:rPr>
          <w:rFonts w:ascii="Calibri" w:hAnsi="Calibri"/>
          <w:lang w:val="en-GB"/>
        </w:rPr>
        <w:t>Azienda</w:t>
      </w:r>
      <w:proofErr w:type="spellEnd"/>
      <w:r w:rsidRPr="0024604A">
        <w:rPr>
          <w:rFonts w:ascii="Calibri" w:hAnsi="Calibri"/>
          <w:lang w:val="en-GB"/>
        </w:rPr>
        <w:t xml:space="preserve"> </w:t>
      </w:r>
      <w:proofErr w:type="spellStart"/>
      <w:r w:rsidRPr="0024604A">
        <w:rPr>
          <w:rFonts w:ascii="Calibri" w:hAnsi="Calibri"/>
          <w:lang w:val="en-GB"/>
        </w:rPr>
        <w:t>Ospedaliera</w:t>
      </w:r>
      <w:proofErr w:type="spellEnd"/>
      <w:r w:rsidRPr="0024604A">
        <w:rPr>
          <w:rFonts w:ascii="Calibri" w:hAnsi="Calibri"/>
          <w:lang w:val="en-GB"/>
        </w:rPr>
        <w:t xml:space="preserve"> </w:t>
      </w:r>
      <w:proofErr w:type="spellStart"/>
      <w:r w:rsidRPr="0024604A">
        <w:rPr>
          <w:rFonts w:ascii="Calibri" w:hAnsi="Calibri"/>
          <w:lang w:val="en-GB"/>
        </w:rPr>
        <w:t>Universitaria</w:t>
      </w:r>
      <w:proofErr w:type="spellEnd"/>
      <w:r w:rsidRPr="0024604A">
        <w:rPr>
          <w:rFonts w:ascii="Calibri" w:hAnsi="Calibri"/>
          <w:lang w:val="en-GB"/>
        </w:rPr>
        <w:t xml:space="preserve"> (Bari, IT) (n.164, November 11, 2016). Parents and participants provided written informed consent and all experiments were performed in agreement with guidelines and regulations. </w:t>
      </w:r>
      <w:bookmarkStart w:id="10" w:name="_Hlk42072942"/>
      <w:r w:rsidR="000744FF" w:rsidRPr="0024604A">
        <w:rPr>
          <w:rFonts w:ascii="Calibri" w:hAnsi="Calibri"/>
          <w:lang w:val="en-GB"/>
        </w:rPr>
        <w:t xml:space="preserve">The blood sample was collected in the morning, in fasting individuals and no diet was recommended before taking the blood sample. </w:t>
      </w:r>
      <w:bookmarkEnd w:id="10"/>
      <w:r w:rsidRPr="0024604A">
        <w:rPr>
          <w:rFonts w:ascii="Calibri" w:hAnsi="Calibri"/>
          <w:lang w:val="en-GB"/>
        </w:rPr>
        <w:t xml:space="preserve">About 10 mL of blood have been treated on a </w:t>
      </w:r>
      <w:proofErr w:type="spellStart"/>
      <w:r w:rsidRPr="0024604A">
        <w:rPr>
          <w:rFonts w:ascii="Calibri" w:hAnsi="Calibri"/>
          <w:lang w:val="en-GB"/>
        </w:rPr>
        <w:t>Ficol</w:t>
      </w:r>
      <w:proofErr w:type="spellEnd"/>
      <w:r w:rsidRPr="0024604A">
        <w:rPr>
          <w:rFonts w:ascii="Calibri" w:hAnsi="Calibri"/>
          <w:lang w:val="en-GB"/>
        </w:rPr>
        <w:t xml:space="preserve"> gradient to separate blood mononucleates (lymphocytes and monocytes predominantly) from plasma; obtained samples were stored at −80 °C until sample preparation for </w:t>
      </w:r>
      <w:r w:rsidR="00EC5EC8" w:rsidRPr="0024604A">
        <w:rPr>
          <w:rFonts w:ascii="Calibri" w:hAnsi="Calibri"/>
          <w:lang w:val="en-GB"/>
        </w:rPr>
        <w:t xml:space="preserve">lipidomics </w:t>
      </w:r>
      <w:r w:rsidRPr="0024604A">
        <w:rPr>
          <w:rFonts w:ascii="Calibri" w:hAnsi="Calibri"/>
          <w:lang w:val="en-GB"/>
        </w:rPr>
        <w:t xml:space="preserve">analysis. Data concerning all donors under investigation are summarized in </w:t>
      </w:r>
      <w:r w:rsidRPr="0024604A">
        <w:rPr>
          <w:rFonts w:ascii="Calibri" w:hAnsi="Calibri"/>
          <w:b/>
          <w:lang w:val="en-GB"/>
        </w:rPr>
        <w:t>Table 1.</w:t>
      </w:r>
    </w:p>
    <w:p w14:paraId="09B7564C" w14:textId="77777777" w:rsidR="00732029" w:rsidRPr="0024604A" w:rsidRDefault="00732029" w:rsidP="00DE56B3">
      <w:pPr>
        <w:widowControl w:val="0"/>
        <w:tabs>
          <w:tab w:val="left" w:pos="-2127"/>
        </w:tabs>
        <w:spacing w:line="480" w:lineRule="auto"/>
        <w:jc w:val="both"/>
        <w:rPr>
          <w:rFonts w:ascii="Calibri" w:hAnsi="Calibri"/>
          <w:lang w:val="en-GB"/>
        </w:rPr>
      </w:pPr>
    </w:p>
    <w:p w14:paraId="59764CEB" w14:textId="5695CFD5" w:rsidR="00D9000A" w:rsidRPr="0024604A" w:rsidRDefault="006B31FD" w:rsidP="00656814">
      <w:pPr>
        <w:spacing w:line="480" w:lineRule="auto"/>
        <w:jc w:val="both"/>
        <w:rPr>
          <w:rFonts w:ascii="Calibri" w:hAnsi="Calibri"/>
          <w:lang w:val="en-GB"/>
        </w:rPr>
      </w:pPr>
      <w:r w:rsidRPr="0024604A">
        <w:rPr>
          <w:rFonts w:ascii="Calibri" w:hAnsi="Calibri"/>
          <w:b/>
          <w:lang w:val="en-GB"/>
        </w:rPr>
        <w:t>2.</w:t>
      </w:r>
      <w:r w:rsidR="009024E8" w:rsidRPr="0024604A">
        <w:rPr>
          <w:rFonts w:ascii="Calibri" w:hAnsi="Calibri"/>
          <w:b/>
          <w:lang w:val="en-GB"/>
        </w:rPr>
        <w:t>4</w:t>
      </w:r>
      <w:r w:rsidR="00FD1EBA" w:rsidRPr="0024604A">
        <w:rPr>
          <w:rFonts w:ascii="Calibri" w:hAnsi="Calibri"/>
          <w:b/>
          <w:lang w:val="en-GB"/>
        </w:rPr>
        <w:tab/>
      </w:r>
      <w:r w:rsidR="00A127C5" w:rsidRPr="0024604A">
        <w:rPr>
          <w:rFonts w:ascii="Calibri" w:hAnsi="Calibri"/>
          <w:b/>
          <w:lang w:val="en-GB"/>
        </w:rPr>
        <w:t>Sample Preparation</w:t>
      </w:r>
      <w:r w:rsidR="00E33D2E" w:rsidRPr="0024604A">
        <w:rPr>
          <w:rFonts w:ascii="Calibri" w:hAnsi="Calibri"/>
          <w:b/>
          <w:lang w:val="en-GB"/>
        </w:rPr>
        <w:t>.</w:t>
      </w:r>
      <w:r w:rsidR="00E33D2E" w:rsidRPr="0024604A">
        <w:rPr>
          <w:rFonts w:ascii="Calibri" w:hAnsi="Calibri"/>
          <w:lang w:val="en-GB"/>
        </w:rPr>
        <w:t xml:space="preserve"> </w:t>
      </w:r>
      <w:r w:rsidR="009024E8" w:rsidRPr="0024604A">
        <w:rPr>
          <w:rFonts w:ascii="Calibri" w:hAnsi="Calibri"/>
          <w:lang w:val="en-GB"/>
        </w:rPr>
        <w:t xml:space="preserve">Lipids were extracted from PBMC </w:t>
      </w:r>
      <w:r w:rsidR="00DE56B3" w:rsidRPr="0024604A">
        <w:rPr>
          <w:rFonts w:ascii="Calibri" w:hAnsi="Calibri"/>
          <w:lang w:val="en-GB"/>
        </w:rPr>
        <w:t>following the Bligh</w:t>
      </w:r>
      <w:r w:rsidR="001639DF" w:rsidRPr="0024604A">
        <w:rPr>
          <w:rFonts w:ascii="Calibri" w:hAnsi="Calibri"/>
          <w:lang w:val="en-GB"/>
        </w:rPr>
        <w:t xml:space="preserve"> </w:t>
      </w:r>
      <w:r w:rsidR="00DE56B3" w:rsidRPr="0024604A">
        <w:rPr>
          <w:rFonts w:ascii="Calibri" w:hAnsi="Calibri"/>
          <w:lang w:val="en-GB"/>
        </w:rPr>
        <w:t xml:space="preserve">&amp; Dyer protocol </w:t>
      </w:r>
      <w:r w:rsidR="006F6E9F" w:rsidRPr="0024604A">
        <w:rPr>
          <w:rFonts w:ascii="Calibri" w:hAnsi="Calibri"/>
          <w:lang w:val="en-GB"/>
        </w:rPr>
        <w:fldChar w:fldCharType="begin" w:fldLock="1"/>
      </w:r>
      <w:r w:rsidR="006126E3" w:rsidRPr="0024604A">
        <w:rPr>
          <w:rFonts w:ascii="Calibri" w:hAnsi="Calibri"/>
          <w:lang w:val="en-GB"/>
        </w:rPr>
        <w:instrText>ADDIN CSL_CITATION {"citationItems":[{"id":"ITEM-1","itemData":{"DOI":"10.1139/o59-099","ISBN":"0576-5544","ISSN":"0576-5544","PMID":"13671378","author":[{"dropping-particle":"","family":"Bligh","given":"E. G.","non-dropping-particle":"","parse-names":false,"suffix":""},{"dropping-particle":"","family":"Dyer","given":"W J","non-dropping-particle":"","parse-names":false,"suffix":""}],"container-title":"Canadian Journal of Biochemistry and Physiology","genre":"JOUR","id":"ITEM-1","issue":"8","issued":{"date-parts":[["1959","8"]]},"page":"911-917","publisher":"NRC Research Press","title":"A rapid method of total lipid extraction and purification","type":"article-journal","volume":"37"},"uris":["http://www.mendeley.com/documents/?uuid=53b18262-b40d-4e67-b9c4-baa2f23c4021"]}],"mendeley":{"formattedCitation":"[27]","plainTextFormattedCitation":"[27]","previouslyFormattedCitation":"[27]"},"properties":{"noteIndex":0},"schema":"https://github.com/citation-style-language/schema/raw/master/csl-citation.json"}</w:instrText>
      </w:r>
      <w:r w:rsidR="006F6E9F" w:rsidRPr="0024604A">
        <w:rPr>
          <w:rFonts w:ascii="Calibri" w:hAnsi="Calibri"/>
          <w:lang w:val="en-GB"/>
        </w:rPr>
        <w:fldChar w:fldCharType="separate"/>
      </w:r>
      <w:r w:rsidR="0089225B" w:rsidRPr="0024604A">
        <w:rPr>
          <w:rFonts w:ascii="Calibri" w:hAnsi="Calibri"/>
          <w:noProof/>
          <w:lang w:val="en-GB"/>
        </w:rPr>
        <w:t>[27]</w:t>
      </w:r>
      <w:r w:rsidR="006F6E9F" w:rsidRPr="0024604A">
        <w:rPr>
          <w:rFonts w:ascii="Calibri" w:hAnsi="Calibri"/>
          <w:lang w:val="en-GB"/>
        </w:rPr>
        <w:fldChar w:fldCharType="end"/>
      </w:r>
      <w:r w:rsidR="00DE56B3" w:rsidRPr="0024604A">
        <w:rPr>
          <w:rFonts w:ascii="Calibri" w:hAnsi="Calibri"/>
          <w:lang w:val="en-GB"/>
        </w:rPr>
        <w:t xml:space="preserve">. Briefly, </w:t>
      </w:r>
      <w:r w:rsidR="001639DF" w:rsidRPr="0024604A">
        <w:rPr>
          <w:rFonts w:ascii="Calibri" w:hAnsi="Calibri"/>
          <w:lang w:val="en-GB"/>
        </w:rPr>
        <w:t>approximately 2</w:t>
      </w:r>
      <w:r w:rsidR="006F7788" w:rsidRPr="0024604A">
        <w:rPr>
          <w:rFonts w:ascii="Calibri" w:hAnsi="Calibri"/>
          <w:lang w:val="en-GB"/>
        </w:rPr>
        <w:t xml:space="preserve"> × </w:t>
      </w:r>
      <w:r w:rsidR="001639DF" w:rsidRPr="0024604A">
        <w:rPr>
          <w:rFonts w:ascii="Calibri" w:hAnsi="Calibri"/>
          <w:lang w:val="en-GB"/>
        </w:rPr>
        <w:t>10</w:t>
      </w:r>
      <w:r w:rsidR="001639DF" w:rsidRPr="0024604A">
        <w:rPr>
          <w:rFonts w:ascii="Calibri" w:hAnsi="Calibri"/>
          <w:vertAlign w:val="superscript"/>
          <w:lang w:val="en-GB"/>
        </w:rPr>
        <w:t>6</w:t>
      </w:r>
      <w:r w:rsidR="00DE56B3" w:rsidRPr="0024604A">
        <w:rPr>
          <w:rFonts w:ascii="Calibri" w:hAnsi="Calibri"/>
          <w:lang w:val="en-GB"/>
        </w:rPr>
        <w:t xml:space="preserve"> lymphocyte cells were dissolved in 400 </w:t>
      </w:r>
      <w:r w:rsidR="00A02067" w:rsidRPr="0024604A">
        <w:rPr>
          <w:rFonts w:ascii="Calibri" w:hAnsi="Calibri" w:cs="Calibri"/>
          <w:lang w:val="en-GB"/>
        </w:rPr>
        <w:t>µ</w:t>
      </w:r>
      <w:r w:rsidR="00DE56B3" w:rsidRPr="0024604A">
        <w:rPr>
          <w:rFonts w:ascii="Calibri" w:hAnsi="Calibri"/>
          <w:lang w:val="en-GB"/>
        </w:rPr>
        <w:t xml:space="preserve">L of LC-MS grade water and 1.5 mL of methanol/chloroform (2:1, v/v) added to the solution and left </w:t>
      </w:r>
      <w:r w:rsidR="00DE56B3" w:rsidRPr="0024604A">
        <w:rPr>
          <w:rFonts w:ascii="Calibri" w:hAnsi="Calibri"/>
          <w:lang w:val="en-GB"/>
        </w:rPr>
        <w:lastRenderedPageBreak/>
        <w:t xml:space="preserve">for </w:t>
      </w:r>
      <w:r w:rsidR="001639DF" w:rsidRPr="0024604A">
        <w:rPr>
          <w:rFonts w:ascii="Calibri" w:hAnsi="Calibri"/>
          <w:lang w:val="en-GB"/>
        </w:rPr>
        <w:t xml:space="preserve">1 h </w:t>
      </w:r>
      <w:r w:rsidR="00DE56B3" w:rsidRPr="0024604A">
        <w:rPr>
          <w:rFonts w:ascii="Calibri" w:hAnsi="Calibri"/>
          <w:lang w:val="en-GB"/>
        </w:rPr>
        <w:t xml:space="preserve">at room temperature. Then, 0.5 mL of chloroform was added, and the mixture was vortexed for 30 s. Finally, 0.5 mL of water was added, and the solution was shaken before being centrifuged for 10 min at </w:t>
      </w:r>
      <w:r w:rsidR="00CD209F" w:rsidRPr="0024604A">
        <w:rPr>
          <w:rFonts w:ascii="Calibri" w:hAnsi="Calibri"/>
          <w:lang w:val="en-GB"/>
        </w:rPr>
        <w:t xml:space="preserve">3000 </w:t>
      </w:r>
      <w:proofErr w:type="spellStart"/>
      <w:r w:rsidR="001639DF" w:rsidRPr="0024604A">
        <w:rPr>
          <w:rFonts w:ascii="Calibri" w:hAnsi="Calibri"/>
          <w:lang w:val="en-GB"/>
        </w:rPr>
        <w:t>x</w:t>
      </w:r>
      <w:r w:rsidR="00CD209F" w:rsidRPr="0024604A">
        <w:rPr>
          <w:rFonts w:ascii="Calibri" w:hAnsi="Calibri"/>
          <w:i/>
          <w:iCs/>
          <w:lang w:val="en-GB"/>
        </w:rPr>
        <w:t>g</w:t>
      </w:r>
      <w:proofErr w:type="spellEnd"/>
      <w:r w:rsidR="00DE56B3" w:rsidRPr="0024604A">
        <w:rPr>
          <w:rFonts w:ascii="Calibri" w:hAnsi="Calibri"/>
          <w:lang w:val="en-GB"/>
        </w:rPr>
        <w:t xml:space="preserve">. The lower phase containing lipids was dried under nitrogen; the residue was dissolved in 100 </w:t>
      </w:r>
      <w:r w:rsidR="00AE090E" w:rsidRPr="0024604A">
        <w:rPr>
          <w:rFonts w:ascii="Symbol" w:hAnsi="Symbol"/>
          <w:lang w:val="en-GB"/>
        </w:rPr>
        <w:t></w:t>
      </w:r>
      <w:r w:rsidR="00DE56B3" w:rsidRPr="0024604A">
        <w:rPr>
          <w:rFonts w:ascii="Calibri" w:hAnsi="Calibri"/>
          <w:lang w:val="en-GB"/>
        </w:rPr>
        <w:t xml:space="preserve">L of methanol and then </w:t>
      </w:r>
      <w:r w:rsidR="00535101" w:rsidRPr="0024604A">
        <w:rPr>
          <w:rFonts w:ascii="Calibri" w:hAnsi="Calibri"/>
          <w:lang w:val="en-GB"/>
        </w:rPr>
        <w:t>analysed</w:t>
      </w:r>
      <w:r w:rsidR="00DE56B3" w:rsidRPr="0024604A">
        <w:rPr>
          <w:rFonts w:ascii="Calibri" w:hAnsi="Calibri"/>
          <w:lang w:val="en-GB"/>
        </w:rPr>
        <w:t xml:space="preserve"> by LC–MS in two different analytical batches.</w:t>
      </w:r>
    </w:p>
    <w:p w14:paraId="2A71ACC3" w14:textId="77777777" w:rsidR="006A40EB" w:rsidRPr="0024604A" w:rsidRDefault="006A40EB" w:rsidP="00656814">
      <w:pPr>
        <w:spacing w:line="480" w:lineRule="auto"/>
        <w:jc w:val="both"/>
        <w:rPr>
          <w:rFonts w:ascii="Calibri" w:hAnsi="Calibri"/>
          <w:lang w:val="en-GB"/>
        </w:rPr>
      </w:pPr>
    </w:p>
    <w:p w14:paraId="65FD8310" w14:textId="4811D8A1" w:rsidR="00DE56B3" w:rsidRPr="0024604A" w:rsidRDefault="00A478AE" w:rsidP="00DE56B3">
      <w:pPr>
        <w:autoSpaceDE w:val="0"/>
        <w:autoSpaceDN w:val="0"/>
        <w:adjustRightInd w:val="0"/>
        <w:spacing w:line="480" w:lineRule="auto"/>
        <w:jc w:val="both"/>
        <w:rPr>
          <w:rFonts w:ascii="Calibri" w:hAnsi="Calibri"/>
          <w:lang w:val="en-GB"/>
        </w:rPr>
      </w:pPr>
      <w:r w:rsidRPr="0024604A">
        <w:rPr>
          <w:rFonts w:ascii="Calibri" w:hAnsi="Calibri"/>
          <w:b/>
          <w:lang w:val="en-GB"/>
        </w:rPr>
        <w:t>2.</w:t>
      </w:r>
      <w:r w:rsidR="009024E8" w:rsidRPr="0024604A">
        <w:rPr>
          <w:rFonts w:ascii="Calibri" w:hAnsi="Calibri"/>
          <w:b/>
          <w:lang w:val="en-GB"/>
        </w:rPr>
        <w:t>5</w:t>
      </w:r>
      <w:r w:rsidRPr="0024604A">
        <w:rPr>
          <w:rFonts w:ascii="Calibri" w:hAnsi="Calibri"/>
          <w:b/>
          <w:lang w:val="en-GB"/>
        </w:rPr>
        <w:tab/>
      </w:r>
      <w:r w:rsidR="00732029" w:rsidRPr="0024604A">
        <w:rPr>
          <w:rFonts w:ascii="Calibri" w:hAnsi="Calibri"/>
          <w:b/>
          <w:lang w:val="en-GB"/>
        </w:rPr>
        <w:t>I</w:t>
      </w:r>
      <w:r w:rsidR="00DE56B3" w:rsidRPr="0024604A">
        <w:rPr>
          <w:rFonts w:ascii="Calibri" w:hAnsi="Calibri"/>
          <w:b/>
          <w:lang w:val="en-GB"/>
        </w:rPr>
        <w:t>nstrumentation and operating conditions</w:t>
      </w:r>
      <w:r w:rsidR="006A40EB" w:rsidRPr="0024604A">
        <w:rPr>
          <w:rFonts w:ascii="Calibri" w:hAnsi="Calibri"/>
          <w:b/>
          <w:lang w:val="en-GB"/>
        </w:rPr>
        <w:t xml:space="preserve">. </w:t>
      </w:r>
      <w:r w:rsidR="00DE56B3" w:rsidRPr="0024604A">
        <w:rPr>
          <w:rFonts w:ascii="Calibri" w:hAnsi="Calibri"/>
          <w:lang w:val="en-GB"/>
        </w:rPr>
        <w:t xml:space="preserve">Quality control (QC) samples were prepared for each batch </w:t>
      </w:r>
      <w:r w:rsidR="001639DF" w:rsidRPr="0024604A">
        <w:rPr>
          <w:rFonts w:ascii="Calibri" w:hAnsi="Calibri"/>
          <w:lang w:val="en-GB"/>
        </w:rPr>
        <w:t xml:space="preserve">following protocols in </w:t>
      </w:r>
      <w:r w:rsidR="00E97118" w:rsidRPr="0024604A">
        <w:rPr>
          <w:rFonts w:ascii="Calibri" w:hAnsi="Calibri"/>
          <w:lang w:val="en-GB"/>
        </w:rPr>
        <w:fldChar w:fldCharType="begin" w:fldLock="1"/>
      </w:r>
      <w:r w:rsidR="006126E3" w:rsidRPr="0024604A">
        <w:rPr>
          <w:rFonts w:ascii="Calibri" w:hAnsi="Calibri"/>
          <w:lang w:val="en-GB"/>
        </w:rPr>
        <w:instrText>ADDIN CSL_CITATION {"citationItems":[{"id":"ITEM-1","itemData":{"DOI":"10.1038/nprot.2011.335","ISBN":"1750-2799 (Electronic)\\n1750-2799 (Linking)","ISSN":"17542189","PMID":"21720319","abstract":"Metabolism has an essential role in biological systems. Identification and quantitation of the compounds in the metabolome is defined as metabolic profiling, and it is applied to define metabolic changes related to genetic differences, environmental influences and disease or drug perturbations. Chromatography-mass spectrometry (MS) platforms are frequently used to provide the sensitive and reproducible detection of hundreds to thousands of metabolites in a single biofluid or tissue sample. Here we describe the experimental workflow for long-term and large-scale metabolomic studies involving thousands of human samples with data acquired for multiple analytical batches over many months and years. Protocols for serum- and plasma-based metabolic profiling applying gas chromatography-MS (GC-MS) and ultraperformance liquid chromatography-MS (UPLC-MS) are described. These include biofluid collection, sample preparation, data acquisition, data pre-processing and quality assurance. Methods for quality control-based robust LOESS signal correction to provide signal correction and integration of data from multiple analytical batches are also described.","author":[{"dropping-particle":"","family":"Dunn","given":"Warwick B.","non-dropping-particle":"","parse-names":false,"suffix":""},{"dropping-particle":"","family":"Broadhurst","given":"David","non-dropping-particle":"","parse-names":false,"suffix":""},{"dropping-particle":"","family":"Begley","given":"Paul","non-dropping-particle":"","parse-names":false,"suffix":""},{"dropping-particle":"","family":"Zelena","given":"Eva","non-dropping-particle":"","parse-names":false,"suffix":""},{"dropping-particle":"","family":"Francis-Mcintyre","given":"Sue","non-dropping-particle":"","parse-names":false,"suffix":""},{"dropping-particle":"","family":"Anderson","given":"Nadine","non-dropping-particle":"","parse-names":false,"suffix":""},{"dropping-particle":"","family":"Brown","given":"Marie","non-dropping-particle":"","parse-names":false,"suffix":""},{"dropping-particle":"","family":"Knowles","given":"Joshau D.","non-dropping-particle":"","parse-names":false,"suffix":""},{"dropping-particle":"","family":"Halsall","given":"Antony","non-dropping-particle":"","parse-names":false,"suffix":""},{"dropping-particle":"","family":"Haselden","given":"John N.","non-dropping-particle":"","parse-names":false,"suffix":""},{"dropping-particle":"","family":"Nicholls","given":"Andrew W.","non-dropping-particle":"","parse-names":false,"suffix":""},{"dropping-particle":"","family":"Wilson","given":"Ian D.","non-dropping-particle":"","parse-names":false,"suffix":""},{"dropping-particle":"","family":"Kell","given":"Douglas B.","non-dropping-particle":"","parse-names":false,"suffix":""},{"dropping-particle":"","family":"Goodacre","given":"Royston","non-dropping-particle":"","parse-names":false,"suffix":""}],"container-title":"Nature Protocols","id":"ITEM-1","issue":"7","issued":{"date-parts":[["2011","6"]]},"page":"1060-1083","title":"Procedures for large-scale metabolic profiling of serum and plasma using gas chromatography and liquid chromatography coupled to mass spectrometry","type":"article-journal","volume":"6"},"uris":["http://www.mendeley.com/documents/?uuid=3ed9feb0-8d30-4dff-953c-efb9748aeccc"]}],"mendeley":{"formattedCitation":"[28]","plainTextFormattedCitation":"[28]","previouslyFormattedCitation":"[28]"},"properties":{"noteIndex":0},"schema":"https://github.com/citation-style-language/schema/raw/master/csl-citation.json"}</w:instrText>
      </w:r>
      <w:r w:rsidR="00E97118" w:rsidRPr="0024604A">
        <w:rPr>
          <w:rFonts w:ascii="Calibri" w:hAnsi="Calibri"/>
          <w:lang w:val="en-GB"/>
        </w:rPr>
        <w:fldChar w:fldCharType="separate"/>
      </w:r>
      <w:r w:rsidR="0089225B" w:rsidRPr="0024604A">
        <w:rPr>
          <w:rFonts w:ascii="Calibri" w:hAnsi="Calibri"/>
          <w:noProof/>
          <w:lang w:val="en-GB"/>
        </w:rPr>
        <w:t>[28]</w:t>
      </w:r>
      <w:r w:rsidR="00E97118" w:rsidRPr="0024604A">
        <w:rPr>
          <w:rFonts w:ascii="Calibri" w:hAnsi="Calibri"/>
          <w:lang w:val="en-GB"/>
        </w:rPr>
        <w:fldChar w:fldCharType="end"/>
      </w:r>
      <w:r w:rsidR="001639DF" w:rsidRPr="0024604A">
        <w:rPr>
          <w:rFonts w:ascii="Calibri" w:hAnsi="Calibri"/>
          <w:lang w:val="en-GB"/>
        </w:rPr>
        <w:t xml:space="preserve"> </w:t>
      </w:r>
      <w:r w:rsidR="00DE56B3" w:rsidRPr="0024604A">
        <w:rPr>
          <w:rFonts w:ascii="Calibri" w:hAnsi="Calibri"/>
          <w:lang w:val="en-GB"/>
        </w:rPr>
        <w:t xml:space="preserve">by pooling equal volumes of reconstituted samples and divided </w:t>
      </w:r>
      <w:r w:rsidR="00334940" w:rsidRPr="0024604A">
        <w:rPr>
          <w:rFonts w:ascii="Calibri" w:hAnsi="Calibri"/>
          <w:lang w:val="en-GB"/>
        </w:rPr>
        <w:t xml:space="preserve">them </w:t>
      </w:r>
      <w:r w:rsidR="00DE56B3" w:rsidRPr="0024604A">
        <w:rPr>
          <w:rFonts w:ascii="Calibri" w:hAnsi="Calibri"/>
          <w:lang w:val="en-GB"/>
        </w:rPr>
        <w:t xml:space="preserve">in three aliquots. Samples were transferred into 2 mL glass vials containing 100 </w:t>
      </w:r>
      <w:proofErr w:type="spellStart"/>
      <w:r w:rsidR="00DE56B3" w:rsidRPr="0024604A">
        <w:rPr>
          <w:rFonts w:ascii="Calibri" w:hAnsi="Calibri"/>
          <w:lang w:val="en-GB"/>
        </w:rPr>
        <w:t>μL</w:t>
      </w:r>
      <w:proofErr w:type="spellEnd"/>
      <w:r w:rsidR="00DE56B3" w:rsidRPr="0024604A">
        <w:rPr>
          <w:rFonts w:ascii="Calibri" w:hAnsi="Calibri"/>
          <w:lang w:val="en-GB"/>
        </w:rPr>
        <w:t xml:space="preserve"> glass inserts with polymer </w:t>
      </w:r>
      <w:r w:rsidR="00334940" w:rsidRPr="0024604A">
        <w:rPr>
          <w:rFonts w:ascii="Calibri" w:hAnsi="Calibri"/>
          <w:lang w:val="en-GB"/>
        </w:rPr>
        <w:t>feet</w:t>
      </w:r>
      <w:r w:rsidR="00DE56B3" w:rsidRPr="0024604A">
        <w:rPr>
          <w:rFonts w:ascii="Calibri" w:hAnsi="Calibri"/>
          <w:lang w:val="en-GB"/>
        </w:rPr>
        <w:t xml:space="preserve"> (</w:t>
      </w:r>
      <w:proofErr w:type="spellStart"/>
      <w:r w:rsidR="00DE56B3" w:rsidRPr="0024604A">
        <w:rPr>
          <w:rFonts w:ascii="Calibri" w:hAnsi="Calibri"/>
          <w:lang w:val="en-GB"/>
        </w:rPr>
        <w:t>Supelco</w:t>
      </w:r>
      <w:proofErr w:type="spellEnd"/>
      <w:r w:rsidR="00DE56B3" w:rsidRPr="0024604A">
        <w:rPr>
          <w:rFonts w:ascii="Calibri" w:hAnsi="Calibri"/>
          <w:lang w:val="en-GB"/>
        </w:rPr>
        <w:t xml:space="preserve">). Vials were covered with </w:t>
      </w:r>
      <w:proofErr w:type="spellStart"/>
      <w:r w:rsidR="00DE56B3" w:rsidRPr="0024604A">
        <w:rPr>
          <w:rFonts w:ascii="Calibri" w:hAnsi="Calibri"/>
          <w:lang w:val="en-GB"/>
        </w:rPr>
        <w:t>preslit</w:t>
      </w:r>
      <w:proofErr w:type="spellEnd"/>
      <w:r w:rsidR="00DE56B3" w:rsidRPr="0024604A">
        <w:rPr>
          <w:rFonts w:ascii="Calibri" w:hAnsi="Calibri"/>
          <w:lang w:val="en-GB"/>
        </w:rPr>
        <w:t xml:space="preserve"> polytetrafluoroethylene (PTFE)/silicone screw caps. </w:t>
      </w:r>
    </w:p>
    <w:p w14:paraId="4999EEEE" w14:textId="5E3D3BE2" w:rsidR="00DE56B3" w:rsidRPr="0024604A" w:rsidRDefault="00DE56B3" w:rsidP="004F3DE8">
      <w:pPr>
        <w:autoSpaceDE w:val="0"/>
        <w:autoSpaceDN w:val="0"/>
        <w:adjustRightInd w:val="0"/>
        <w:spacing w:line="480" w:lineRule="auto"/>
        <w:ind w:firstLine="708"/>
        <w:jc w:val="both"/>
        <w:rPr>
          <w:rFonts w:ascii="Calibri" w:hAnsi="Calibri"/>
          <w:lang w:val="en-GB"/>
        </w:rPr>
      </w:pPr>
      <w:r w:rsidRPr="0024604A">
        <w:rPr>
          <w:rFonts w:ascii="Calibri" w:hAnsi="Calibri"/>
          <w:lang w:val="en-GB"/>
        </w:rPr>
        <w:t xml:space="preserve">Samples were </w:t>
      </w:r>
      <w:r w:rsidR="00A02067" w:rsidRPr="0024604A">
        <w:rPr>
          <w:rFonts w:ascii="Calibri" w:hAnsi="Calibri"/>
          <w:lang w:val="en-GB"/>
        </w:rPr>
        <w:t>analysed</w:t>
      </w:r>
      <w:r w:rsidRPr="0024604A">
        <w:rPr>
          <w:rFonts w:ascii="Calibri" w:hAnsi="Calibri"/>
          <w:lang w:val="en-GB"/>
        </w:rPr>
        <w:t xml:space="preserve"> in a randomized fashion by using an Ultimate 3000 UHPLC system (Thermo Scientific, Waltham, MA, USA) coupled to a Q-</w:t>
      </w:r>
      <w:proofErr w:type="spellStart"/>
      <w:r w:rsidRPr="0024604A">
        <w:rPr>
          <w:rFonts w:ascii="Calibri" w:hAnsi="Calibri"/>
          <w:lang w:val="en-GB"/>
        </w:rPr>
        <w:t>Exactive</w:t>
      </w:r>
      <w:proofErr w:type="spellEnd"/>
      <w:r w:rsidRPr="0024604A">
        <w:rPr>
          <w:rFonts w:ascii="Calibri" w:hAnsi="Calibri"/>
          <w:lang w:val="en-GB"/>
        </w:rPr>
        <w:t xml:space="preserve"> mass spectrometer (Thermo Scientific, Waltham, MA, USA), including a quadrupole connected to an Orbitrap analy</w:t>
      </w:r>
      <w:r w:rsidR="00A02067" w:rsidRPr="0024604A">
        <w:rPr>
          <w:rFonts w:ascii="Calibri" w:hAnsi="Calibri"/>
          <w:lang w:val="en-GB"/>
        </w:rPr>
        <w:t>s</w:t>
      </w:r>
      <w:r w:rsidRPr="0024604A">
        <w:rPr>
          <w:rFonts w:ascii="Calibri" w:hAnsi="Calibri"/>
          <w:lang w:val="en-GB"/>
        </w:rPr>
        <w:t>er. The column effluent was transferred into the Q-</w:t>
      </w:r>
      <w:proofErr w:type="spellStart"/>
      <w:r w:rsidRPr="0024604A">
        <w:rPr>
          <w:rFonts w:ascii="Calibri" w:hAnsi="Calibri"/>
          <w:lang w:val="en-GB"/>
        </w:rPr>
        <w:t>Exactive</w:t>
      </w:r>
      <w:proofErr w:type="spellEnd"/>
      <w:r w:rsidRPr="0024604A">
        <w:rPr>
          <w:rFonts w:ascii="Calibri" w:hAnsi="Calibri"/>
          <w:lang w:val="en-GB"/>
        </w:rPr>
        <w:t xml:space="preserve"> spectrometer through a heated electrospray ionization (HESI) interface. The main electrospray and ion optics parameters were the following: sheath gas flow rate, 35 arbitrary units (</w:t>
      </w:r>
      <w:proofErr w:type="spellStart"/>
      <w:r w:rsidRPr="0024604A">
        <w:rPr>
          <w:rFonts w:ascii="Calibri" w:hAnsi="Calibri"/>
          <w:lang w:val="en-GB"/>
        </w:rPr>
        <w:t>a.u</w:t>
      </w:r>
      <w:proofErr w:type="spellEnd"/>
      <w:r w:rsidRPr="0024604A">
        <w:rPr>
          <w:rFonts w:ascii="Calibri" w:hAnsi="Calibri"/>
          <w:lang w:val="en-GB"/>
        </w:rPr>
        <w:t xml:space="preserve">.); auxiliary gas flow rate, 15 </w:t>
      </w:r>
      <w:proofErr w:type="spellStart"/>
      <w:r w:rsidRPr="0024604A">
        <w:rPr>
          <w:rFonts w:ascii="Calibri" w:hAnsi="Calibri"/>
          <w:lang w:val="en-GB"/>
        </w:rPr>
        <w:t>a.u</w:t>
      </w:r>
      <w:proofErr w:type="spellEnd"/>
      <w:r w:rsidRPr="0024604A">
        <w:rPr>
          <w:rFonts w:ascii="Calibri" w:hAnsi="Calibri"/>
          <w:lang w:val="en-GB"/>
        </w:rPr>
        <w:t xml:space="preserve">.; spray voltage, ±3.5 kV (positive/negative polarity); capillary temperature, 320◦C; S-Lens RF Level, </w:t>
      </w:r>
      <w:r w:rsidR="00334940" w:rsidRPr="0024604A">
        <w:rPr>
          <w:rFonts w:ascii="Calibri" w:hAnsi="Calibri"/>
          <w:lang w:val="en-GB"/>
        </w:rPr>
        <w:t xml:space="preserve">100 </w:t>
      </w:r>
      <w:proofErr w:type="spellStart"/>
      <w:r w:rsidRPr="0024604A">
        <w:rPr>
          <w:rFonts w:ascii="Calibri" w:hAnsi="Calibri"/>
          <w:lang w:val="en-GB"/>
        </w:rPr>
        <w:t>a.u</w:t>
      </w:r>
      <w:proofErr w:type="spellEnd"/>
      <w:r w:rsidRPr="0024604A">
        <w:rPr>
          <w:rFonts w:ascii="Calibri" w:hAnsi="Calibri"/>
          <w:lang w:val="en-GB"/>
        </w:rPr>
        <w:t xml:space="preserve">. MS spectra were acquired in the </w:t>
      </w:r>
      <w:r w:rsidRPr="0024604A">
        <w:rPr>
          <w:rFonts w:ascii="Calibri" w:hAnsi="Calibri"/>
          <w:i/>
          <w:iCs/>
          <w:lang w:val="en-GB"/>
        </w:rPr>
        <w:t>m</w:t>
      </w:r>
      <w:r w:rsidRPr="0024604A">
        <w:rPr>
          <w:rFonts w:ascii="Calibri" w:hAnsi="Calibri"/>
          <w:lang w:val="en-GB"/>
        </w:rPr>
        <w:t>/</w:t>
      </w:r>
      <w:r w:rsidRPr="0024604A">
        <w:rPr>
          <w:rFonts w:ascii="Calibri" w:hAnsi="Calibri"/>
          <w:i/>
          <w:iCs/>
          <w:lang w:val="en-GB"/>
        </w:rPr>
        <w:t>z</w:t>
      </w:r>
      <w:r w:rsidRPr="0024604A">
        <w:rPr>
          <w:rFonts w:ascii="Calibri" w:hAnsi="Calibri"/>
          <w:lang w:val="en-GB"/>
        </w:rPr>
        <w:t xml:space="preserve"> range 200–2000, at a mass resolving power of 140000 (measured at </w:t>
      </w:r>
      <w:r w:rsidRPr="0024604A">
        <w:rPr>
          <w:rFonts w:ascii="Calibri" w:hAnsi="Calibri"/>
          <w:i/>
          <w:lang w:val="en-GB"/>
        </w:rPr>
        <w:t>m/z</w:t>
      </w:r>
      <w:r w:rsidRPr="0024604A">
        <w:rPr>
          <w:rFonts w:ascii="Calibri" w:hAnsi="Calibri"/>
          <w:lang w:val="en-GB"/>
        </w:rPr>
        <w:t xml:space="preserve"> 200). The Orbitrap fill-time was set to 200 </w:t>
      </w:r>
      <w:proofErr w:type="spellStart"/>
      <w:r w:rsidRPr="0024604A">
        <w:rPr>
          <w:rFonts w:ascii="Calibri" w:hAnsi="Calibri"/>
          <w:lang w:val="en-GB"/>
        </w:rPr>
        <w:t>ms</w:t>
      </w:r>
      <w:proofErr w:type="spellEnd"/>
      <w:r w:rsidRPr="0024604A">
        <w:rPr>
          <w:rFonts w:ascii="Calibri" w:hAnsi="Calibri"/>
          <w:lang w:val="en-GB"/>
        </w:rPr>
        <w:t xml:space="preserve"> and the automatic gain control (AGC) level was set to 2.5 × 10</w:t>
      </w:r>
      <w:r w:rsidRPr="0024604A">
        <w:rPr>
          <w:rFonts w:ascii="Calibri" w:hAnsi="Calibri"/>
          <w:vertAlign w:val="superscript"/>
          <w:lang w:val="en-GB"/>
        </w:rPr>
        <w:t>6</w:t>
      </w:r>
      <w:r w:rsidRPr="0024604A">
        <w:rPr>
          <w:rFonts w:ascii="Calibri" w:hAnsi="Calibri"/>
          <w:lang w:val="en-GB"/>
        </w:rPr>
        <w:t xml:space="preserve">. </w:t>
      </w:r>
    </w:p>
    <w:p w14:paraId="316FEC70" w14:textId="5622816B" w:rsidR="00DE56B3" w:rsidRPr="0024604A" w:rsidRDefault="004F3DE8" w:rsidP="00055DE2">
      <w:pPr>
        <w:autoSpaceDE w:val="0"/>
        <w:autoSpaceDN w:val="0"/>
        <w:adjustRightInd w:val="0"/>
        <w:spacing w:line="480" w:lineRule="auto"/>
        <w:ind w:firstLine="708"/>
        <w:jc w:val="both"/>
        <w:rPr>
          <w:rFonts w:ascii="Calibri" w:hAnsi="Calibri"/>
          <w:lang w:val="en-GB"/>
        </w:rPr>
      </w:pPr>
      <w:r w:rsidRPr="0024604A">
        <w:rPr>
          <w:rFonts w:ascii="Calibri" w:hAnsi="Calibri"/>
          <w:lang w:val="en-GB"/>
        </w:rPr>
        <w:t>T</w:t>
      </w:r>
      <w:r w:rsidR="00DE56B3" w:rsidRPr="0024604A">
        <w:rPr>
          <w:rFonts w:ascii="Calibri" w:hAnsi="Calibri"/>
          <w:lang w:val="en-GB"/>
        </w:rPr>
        <w:t xml:space="preserve">o retrieve information on the separated </w:t>
      </w:r>
      <w:r w:rsidR="00334940" w:rsidRPr="0024604A">
        <w:rPr>
          <w:rFonts w:ascii="Calibri" w:hAnsi="Calibri"/>
          <w:lang w:val="en-GB"/>
        </w:rPr>
        <w:t>phospholipids (</w:t>
      </w:r>
      <w:r w:rsidR="00DE56B3" w:rsidRPr="0024604A">
        <w:rPr>
          <w:rFonts w:ascii="Calibri" w:hAnsi="Calibri"/>
          <w:lang w:val="en-GB"/>
        </w:rPr>
        <w:t>PL</w:t>
      </w:r>
      <w:r w:rsidR="00334940" w:rsidRPr="0024604A">
        <w:rPr>
          <w:rFonts w:ascii="Calibri" w:hAnsi="Calibri"/>
          <w:lang w:val="en-GB"/>
        </w:rPr>
        <w:t>)</w:t>
      </w:r>
      <w:r w:rsidR="00DE56B3" w:rsidRPr="0024604A">
        <w:rPr>
          <w:rFonts w:ascii="Calibri" w:hAnsi="Calibri"/>
          <w:lang w:val="en-GB"/>
        </w:rPr>
        <w:t xml:space="preserve">, additional </w:t>
      </w:r>
      <w:r w:rsidR="00694711" w:rsidRPr="0024604A">
        <w:rPr>
          <w:rFonts w:ascii="Calibri" w:hAnsi="Calibri"/>
          <w:lang w:val="en-GB"/>
        </w:rPr>
        <w:t>AIF</w:t>
      </w:r>
      <w:r w:rsidR="00DE56B3" w:rsidRPr="0024604A">
        <w:rPr>
          <w:rFonts w:ascii="Calibri" w:hAnsi="Calibri"/>
          <w:lang w:val="en-GB"/>
        </w:rPr>
        <w:t xml:space="preserve">-MS acquisitions were performed during each chromatographic run using a resolving power of 70,000 (at </w:t>
      </w:r>
      <w:r w:rsidR="00DE56B3" w:rsidRPr="0024604A">
        <w:rPr>
          <w:rFonts w:ascii="Calibri" w:hAnsi="Calibri"/>
          <w:i/>
          <w:lang w:val="en-GB"/>
        </w:rPr>
        <w:t>m/z</w:t>
      </w:r>
      <w:r w:rsidR="00DE56B3" w:rsidRPr="0024604A">
        <w:rPr>
          <w:rFonts w:ascii="Calibri" w:hAnsi="Calibri"/>
          <w:lang w:val="en-GB"/>
        </w:rPr>
        <w:t xml:space="preserve"> 200), an Orbitrap fill-time of 100 </w:t>
      </w:r>
      <w:proofErr w:type="spellStart"/>
      <w:r w:rsidR="00DE56B3" w:rsidRPr="0024604A">
        <w:rPr>
          <w:rFonts w:ascii="Calibri" w:hAnsi="Calibri"/>
          <w:lang w:val="en-GB"/>
        </w:rPr>
        <w:t>ms</w:t>
      </w:r>
      <w:proofErr w:type="spellEnd"/>
      <w:r w:rsidR="00DE56B3" w:rsidRPr="0024604A">
        <w:rPr>
          <w:rFonts w:ascii="Calibri" w:hAnsi="Calibri"/>
          <w:lang w:val="en-GB"/>
        </w:rPr>
        <w:t xml:space="preserve"> and an AGC value of 5 × 10</w:t>
      </w:r>
      <w:r w:rsidR="00DE56B3" w:rsidRPr="0024604A">
        <w:rPr>
          <w:rFonts w:ascii="Calibri" w:hAnsi="Calibri"/>
          <w:vertAlign w:val="superscript"/>
          <w:lang w:val="en-GB"/>
        </w:rPr>
        <w:t>5</w:t>
      </w:r>
      <w:r w:rsidR="00DE56B3" w:rsidRPr="0024604A">
        <w:rPr>
          <w:rFonts w:ascii="Calibri" w:hAnsi="Calibri"/>
          <w:lang w:val="en-GB"/>
        </w:rPr>
        <w:t xml:space="preserve">. All ions </w:t>
      </w:r>
      <w:r w:rsidR="00DE56B3" w:rsidRPr="0024604A">
        <w:rPr>
          <w:rFonts w:ascii="Calibri" w:hAnsi="Calibri"/>
          <w:lang w:val="en-GB"/>
        </w:rPr>
        <w:lastRenderedPageBreak/>
        <w:t>fragmentation (AIF) with multiple dissociation techniques, i.e. in source collision induced dissociation (</w:t>
      </w:r>
      <w:proofErr w:type="spellStart"/>
      <w:r w:rsidR="00DE56B3" w:rsidRPr="0024604A">
        <w:rPr>
          <w:rFonts w:ascii="Calibri" w:hAnsi="Calibri"/>
          <w:lang w:val="en-GB"/>
        </w:rPr>
        <w:t>sid</w:t>
      </w:r>
      <w:proofErr w:type="spellEnd"/>
      <w:r w:rsidR="00DE56B3" w:rsidRPr="0024604A">
        <w:rPr>
          <w:rFonts w:ascii="Calibri" w:hAnsi="Calibri"/>
          <w:lang w:val="en-GB"/>
        </w:rPr>
        <w:t xml:space="preserve">) and HCD, providing MS and MS/MS data </w:t>
      </w:r>
      <w:r w:rsidR="001639DF" w:rsidRPr="0024604A">
        <w:rPr>
          <w:rFonts w:ascii="Calibri" w:hAnsi="Calibri"/>
          <w:lang w:val="en-GB"/>
        </w:rPr>
        <w:t xml:space="preserve">were </w:t>
      </w:r>
      <w:r w:rsidR="00DE56B3" w:rsidRPr="0024604A">
        <w:rPr>
          <w:rFonts w:ascii="Calibri" w:hAnsi="Calibri"/>
          <w:lang w:val="en-GB"/>
        </w:rPr>
        <w:t xml:space="preserve">also employed to increase the amount of retrievable information. AIF spectra were acquired using an NCE value of </w:t>
      </w:r>
      <w:r w:rsidR="00D75A5B" w:rsidRPr="0024604A">
        <w:rPr>
          <w:rFonts w:ascii="Calibri" w:hAnsi="Calibri"/>
          <w:lang w:val="en-GB"/>
        </w:rPr>
        <w:t>20</w:t>
      </w:r>
      <w:r w:rsidR="00DE56B3" w:rsidRPr="0024604A">
        <w:rPr>
          <w:rFonts w:ascii="Calibri" w:hAnsi="Calibri"/>
          <w:lang w:val="en-GB"/>
        </w:rPr>
        <w:t xml:space="preserve">% and the same resolving power, trap-fill time and AGC value adopted for MS acquisitions. The mass accuracy, after calibration using a solution containing caffeine, the MRFA peptide and </w:t>
      </w:r>
      <w:proofErr w:type="spellStart"/>
      <w:r w:rsidR="00DE56B3" w:rsidRPr="0024604A">
        <w:rPr>
          <w:rFonts w:ascii="Calibri" w:hAnsi="Calibri"/>
          <w:lang w:val="en-GB"/>
        </w:rPr>
        <w:t>Ultramark</w:t>
      </w:r>
      <w:proofErr w:type="spellEnd"/>
      <w:r w:rsidR="00DE56B3" w:rsidRPr="0024604A">
        <w:rPr>
          <w:rFonts w:ascii="Calibri" w:hAnsi="Calibri"/>
          <w:lang w:val="en-GB"/>
        </w:rPr>
        <w:t>, provided by Thermo Scientific, ranged between 0.43 and 0.49 ppm in negative polarity.</w:t>
      </w:r>
    </w:p>
    <w:p w14:paraId="2DCE6592" w14:textId="603D9442" w:rsidR="00DE56B3" w:rsidRPr="0024604A" w:rsidRDefault="00DE56B3" w:rsidP="004F3DE8">
      <w:pPr>
        <w:autoSpaceDE w:val="0"/>
        <w:autoSpaceDN w:val="0"/>
        <w:adjustRightInd w:val="0"/>
        <w:spacing w:line="480" w:lineRule="auto"/>
        <w:ind w:firstLine="708"/>
        <w:jc w:val="both"/>
        <w:rPr>
          <w:rFonts w:ascii="Calibri" w:hAnsi="Calibri"/>
          <w:lang w:val="en-GB"/>
        </w:rPr>
      </w:pPr>
      <w:r w:rsidRPr="0024604A">
        <w:rPr>
          <w:rFonts w:ascii="Calibri" w:hAnsi="Calibri"/>
          <w:lang w:val="en-GB"/>
        </w:rPr>
        <w:t xml:space="preserve">Silica phase </w:t>
      </w:r>
      <w:proofErr w:type="spellStart"/>
      <w:r w:rsidRPr="0024604A">
        <w:rPr>
          <w:rFonts w:ascii="Calibri" w:hAnsi="Calibri"/>
          <w:lang w:val="en-GB"/>
        </w:rPr>
        <w:t>Ascentis</w:t>
      </w:r>
      <w:proofErr w:type="spellEnd"/>
      <w:r w:rsidRPr="0024604A">
        <w:rPr>
          <w:rFonts w:ascii="Calibri" w:hAnsi="Calibri"/>
          <w:lang w:val="en-GB"/>
        </w:rPr>
        <w:t xml:space="preserve"> Express HILIC column (150 × 2.1</w:t>
      </w:r>
      <w:r w:rsidR="005A00D8" w:rsidRPr="0024604A">
        <w:rPr>
          <w:rFonts w:ascii="Calibri" w:hAnsi="Calibri"/>
          <w:lang w:val="en-GB"/>
        </w:rPr>
        <w:t xml:space="preserve"> </w:t>
      </w:r>
      <w:r w:rsidRPr="0024604A">
        <w:rPr>
          <w:rFonts w:ascii="Calibri" w:hAnsi="Calibri"/>
          <w:lang w:val="en-GB"/>
        </w:rPr>
        <w:t xml:space="preserve">mm id, 2.7 </w:t>
      </w:r>
      <w:r w:rsidR="00334940" w:rsidRPr="0024604A">
        <w:rPr>
          <w:rFonts w:ascii="Calibri" w:hAnsi="Calibri" w:cs="Calibri"/>
          <w:lang w:val="en-GB"/>
        </w:rPr>
        <w:t>µ</w:t>
      </w:r>
      <w:r w:rsidRPr="0024604A">
        <w:rPr>
          <w:rFonts w:ascii="Calibri" w:hAnsi="Calibri"/>
          <w:lang w:val="en-GB"/>
        </w:rPr>
        <w:t xml:space="preserve">m particle size) equipped with an </w:t>
      </w:r>
      <w:proofErr w:type="spellStart"/>
      <w:r w:rsidRPr="0024604A">
        <w:rPr>
          <w:rFonts w:ascii="Calibri" w:hAnsi="Calibri"/>
          <w:lang w:val="en-GB"/>
        </w:rPr>
        <w:t>Ascentis</w:t>
      </w:r>
      <w:proofErr w:type="spellEnd"/>
      <w:r w:rsidRPr="0024604A">
        <w:rPr>
          <w:rFonts w:ascii="Calibri" w:hAnsi="Calibri"/>
          <w:lang w:val="en-GB"/>
        </w:rPr>
        <w:t xml:space="preserve"> Express HILIC (</w:t>
      </w:r>
      <w:r w:rsidR="00CC101B" w:rsidRPr="0024604A">
        <w:rPr>
          <w:rFonts w:ascii="Calibri" w:hAnsi="Calibri"/>
          <w:lang w:val="en-GB"/>
        </w:rPr>
        <w:t xml:space="preserve">5 </w:t>
      </w:r>
      <w:r w:rsidRPr="0024604A">
        <w:rPr>
          <w:rFonts w:ascii="Calibri" w:hAnsi="Calibri"/>
          <w:lang w:val="en-GB"/>
        </w:rPr>
        <w:t>× 2.1 mm id) security guard cartridge (</w:t>
      </w:r>
      <w:proofErr w:type="spellStart"/>
      <w:r w:rsidRPr="0024604A">
        <w:rPr>
          <w:rFonts w:ascii="Calibri" w:hAnsi="Calibri"/>
          <w:lang w:val="en-GB"/>
        </w:rPr>
        <w:t>Supelco</w:t>
      </w:r>
      <w:proofErr w:type="spellEnd"/>
      <w:r w:rsidRPr="0024604A">
        <w:rPr>
          <w:rFonts w:ascii="Calibri" w:hAnsi="Calibri"/>
          <w:lang w:val="en-GB"/>
        </w:rPr>
        <w:t xml:space="preserve">, Bellefonte, PA, USA) operating at a flow rate of 0.3 mL/min was used to perform chromatographic separations; sample injection (5 </w:t>
      </w:r>
      <w:r w:rsidR="00334940" w:rsidRPr="0024604A">
        <w:rPr>
          <w:rFonts w:ascii="Calibri" w:hAnsi="Calibri" w:cs="Calibri"/>
          <w:lang w:val="en-GB"/>
        </w:rPr>
        <w:t>µ</w:t>
      </w:r>
      <w:r w:rsidRPr="0024604A">
        <w:rPr>
          <w:rFonts w:ascii="Calibri" w:hAnsi="Calibri"/>
          <w:lang w:val="en-GB"/>
        </w:rPr>
        <w:t>L) was performed by a RS Autosampler (Thermo Scientific, Waltham, MA, USA). The following binary elution program, based on water and 2.5 mmol/L ammonium</w:t>
      </w:r>
      <w:r w:rsidR="00A02067" w:rsidRPr="0024604A">
        <w:rPr>
          <w:rFonts w:ascii="Calibri" w:hAnsi="Calibri"/>
          <w:lang w:val="en-GB"/>
        </w:rPr>
        <w:t xml:space="preserve"> </w:t>
      </w:r>
      <w:r w:rsidRPr="0024604A">
        <w:rPr>
          <w:rFonts w:ascii="Calibri" w:hAnsi="Calibri"/>
          <w:lang w:val="en-GB"/>
        </w:rPr>
        <w:t>acetate (solvent</w:t>
      </w:r>
      <w:r w:rsidR="00761E96" w:rsidRPr="0024604A">
        <w:rPr>
          <w:rFonts w:ascii="Calibri" w:hAnsi="Calibri"/>
          <w:lang w:val="en-GB"/>
        </w:rPr>
        <w:t xml:space="preserve"> </w:t>
      </w:r>
      <w:r w:rsidRPr="0024604A">
        <w:rPr>
          <w:rFonts w:ascii="Calibri" w:hAnsi="Calibri"/>
          <w:lang w:val="en-GB"/>
        </w:rPr>
        <w:t>A) and</w:t>
      </w:r>
      <w:r w:rsidR="00761E96" w:rsidRPr="0024604A">
        <w:rPr>
          <w:rFonts w:ascii="Calibri" w:hAnsi="Calibri"/>
          <w:lang w:val="en-GB"/>
        </w:rPr>
        <w:t xml:space="preserve"> </w:t>
      </w:r>
      <w:r w:rsidR="00694711" w:rsidRPr="0024604A">
        <w:rPr>
          <w:rFonts w:ascii="Calibri" w:hAnsi="Calibri"/>
          <w:lang w:val="en-GB"/>
        </w:rPr>
        <w:t>ACN</w:t>
      </w:r>
      <w:r w:rsidR="00761E96" w:rsidRPr="0024604A">
        <w:rPr>
          <w:rFonts w:ascii="Calibri" w:hAnsi="Calibri"/>
          <w:lang w:val="en-GB"/>
        </w:rPr>
        <w:t xml:space="preserve"> </w:t>
      </w:r>
      <w:r w:rsidRPr="0024604A">
        <w:rPr>
          <w:rFonts w:ascii="Calibri" w:hAnsi="Calibri"/>
          <w:lang w:val="en-GB"/>
        </w:rPr>
        <w:t>(solvent B), both containing 0.1% (v/v) of formic acid, was adopted: 0–5 min, linear gradient from 97 to 88% solvent B; 5–10 min, isocratic at 88% solvent</w:t>
      </w:r>
      <w:r w:rsidR="00761E96" w:rsidRPr="0024604A">
        <w:rPr>
          <w:rFonts w:ascii="Calibri" w:hAnsi="Calibri"/>
          <w:lang w:val="en-GB"/>
        </w:rPr>
        <w:t xml:space="preserve"> </w:t>
      </w:r>
      <w:r w:rsidRPr="0024604A">
        <w:rPr>
          <w:rFonts w:ascii="Calibri" w:hAnsi="Calibri"/>
          <w:lang w:val="en-GB"/>
        </w:rPr>
        <w:t xml:space="preserve">B; 10–11 min, linear gradient from 88 to 81% solvent B; 11–20 min, linear gradient from 81 to 70% solvent B; 20–22 min, linear gradient from 70 to 50% solvent B; 22–28 isocratic at 50% solvent B; 28–30 min, return to the initial composition, followed by a 5 min equilibration time. </w:t>
      </w:r>
    </w:p>
    <w:p w14:paraId="621B668E" w14:textId="1CDB2A35" w:rsidR="00DE56B3" w:rsidRPr="0024604A" w:rsidRDefault="00DE56B3" w:rsidP="004F3DE8">
      <w:pPr>
        <w:autoSpaceDE w:val="0"/>
        <w:autoSpaceDN w:val="0"/>
        <w:adjustRightInd w:val="0"/>
        <w:spacing w:line="480" w:lineRule="auto"/>
        <w:ind w:firstLine="708"/>
        <w:jc w:val="both"/>
        <w:rPr>
          <w:rFonts w:ascii="Calibri" w:hAnsi="Calibri"/>
          <w:lang w:val="en-GB"/>
        </w:rPr>
      </w:pPr>
      <w:r w:rsidRPr="0024604A">
        <w:rPr>
          <w:rFonts w:ascii="Calibri" w:hAnsi="Calibri"/>
          <w:lang w:val="en-GB"/>
        </w:rPr>
        <w:t xml:space="preserve">Following 3 blank injections (solvent blanks), </w:t>
      </w:r>
      <w:r w:rsidR="00340B65" w:rsidRPr="0024604A">
        <w:rPr>
          <w:rFonts w:ascii="Calibri" w:hAnsi="Calibri"/>
          <w:lang w:val="en-GB"/>
        </w:rPr>
        <w:t>5</w:t>
      </w:r>
      <w:r w:rsidRPr="0024604A">
        <w:rPr>
          <w:rFonts w:ascii="Calibri" w:hAnsi="Calibri"/>
          <w:lang w:val="en-GB"/>
        </w:rPr>
        <w:t xml:space="preserve"> QC sample injections were carried out at the beginning of each batch for column conditioning and every five sample</w:t>
      </w:r>
      <w:r w:rsidR="00334940" w:rsidRPr="0024604A">
        <w:rPr>
          <w:rFonts w:ascii="Calibri" w:hAnsi="Calibri"/>
          <w:lang w:val="en-GB"/>
        </w:rPr>
        <w:t>s</w:t>
      </w:r>
      <w:r w:rsidRPr="0024604A">
        <w:rPr>
          <w:rFonts w:ascii="Calibri" w:hAnsi="Calibri"/>
          <w:lang w:val="en-GB"/>
        </w:rPr>
        <w:t xml:space="preserve"> throughout the analytical run to assess analytical reproducibility; two</w:t>
      </w:r>
      <w:r w:rsidR="00A35838" w:rsidRPr="0024604A">
        <w:rPr>
          <w:rFonts w:ascii="Calibri" w:hAnsi="Calibri"/>
          <w:lang w:val="en-GB"/>
        </w:rPr>
        <w:t xml:space="preserve"> </w:t>
      </w:r>
      <w:r w:rsidRPr="0024604A">
        <w:rPr>
          <w:rFonts w:ascii="Calibri" w:hAnsi="Calibri"/>
          <w:lang w:val="en-GB"/>
        </w:rPr>
        <w:t xml:space="preserve">QC injections </w:t>
      </w:r>
      <w:r w:rsidR="00E136D4" w:rsidRPr="0024604A">
        <w:rPr>
          <w:rFonts w:ascii="Calibri" w:hAnsi="Calibri"/>
          <w:lang w:val="en-GB"/>
        </w:rPr>
        <w:t xml:space="preserve">were </w:t>
      </w:r>
      <w:r w:rsidRPr="0024604A">
        <w:rPr>
          <w:rFonts w:ascii="Calibri" w:hAnsi="Calibri"/>
          <w:lang w:val="en-GB"/>
        </w:rPr>
        <w:t>performed at the end of the experiment to eliminate the impact on signal correction if one sample-injection or instrument failure</w:t>
      </w:r>
      <w:r w:rsidR="00334940" w:rsidRPr="0024604A">
        <w:rPr>
          <w:rFonts w:ascii="Calibri" w:hAnsi="Calibri"/>
          <w:lang w:val="en-GB"/>
        </w:rPr>
        <w:t xml:space="preserve"> accidently occurs</w:t>
      </w:r>
      <w:r w:rsidRPr="0024604A">
        <w:rPr>
          <w:rFonts w:ascii="Calibri" w:hAnsi="Calibri"/>
          <w:lang w:val="en-GB"/>
        </w:rPr>
        <w:t xml:space="preserve">; the absence of a QC sample at the end of the experiment significantly impacts on the QC-RLSC algorithm applied </w:t>
      </w:r>
      <w:r w:rsidR="006F6E9F" w:rsidRPr="0024604A">
        <w:rPr>
          <w:rFonts w:ascii="Calibri" w:hAnsi="Calibri"/>
          <w:lang w:val="en-GB"/>
        </w:rPr>
        <w:fldChar w:fldCharType="begin" w:fldLock="1"/>
      </w:r>
      <w:r w:rsidR="006126E3" w:rsidRPr="0024604A">
        <w:rPr>
          <w:rFonts w:ascii="Calibri" w:hAnsi="Calibri"/>
          <w:lang w:val="en-GB"/>
        </w:rPr>
        <w:instrText>ADDIN CSL_CITATION {"citationItems":[{"id":"ITEM-1","itemData":{"DOI":"10.1021/ac202733q","ISBN":"0003-2700","ISSN":"00032700","PMID":"22264131","abstract":"The evident importance of metabolic profiling for biomarker discovery and hypothesis generation has led to interest in incorporating this technique into large-scale studies, e.g., clinical and molecular phenotyping studies. Nevertheless, these lengthy studies mandate the use of analytical methods with proven reproducibility. An integrated experimental plan for LC-MS profiling of urine, involving sample sequence design and postacquisition correction routines, has been developed. This plan is based on the optimization of the frequency of analyzing identical quality control (QC) specimen injections and using the QC intensities of each metabolite feature to construct a correction trace for all the samples. The QC-based methods were tested against other current correction practices, such as total intensity normalization. The evaluation was based on the reproducibility obtained from technical replicates of 46 samples and showed the feature-based signal correction (FBSC) methods to be superior to other methods, resulting in ~1000 and 600 metabolite features with coefficient of variation (CV) &lt; 15% within and between two blocks, respectively. Additionally, the required frequency of QC sample injection was investigated and the best signal correction results were achieved with at least one QC injection every 2 h of urine sample injections (n = 10). Higher rates of QC injections (1 QC/h) resulted in slightly better correction but at the expense of longer total analysis time.","author":[{"dropping-particle":"","family":"Kamleh","given":"Muhammad Anas","non-dropping-particle":"","parse-names":false,"suffix":""},{"dropping-particle":"","family":"Ebbels","given":"Timothy M.D.","non-dropping-particle":"","parse-names":false,"suffix":""},{"dropping-particle":"","family":"Spagou","given":"Konstantina","non-dropping-particle":"","parse-names":false,"suffix":""},{"dropping-particle":"","family":"Masson","given":"Perrine","non-dropping-particle":"","parse-names":false,"suffix":""},{"dropping-particle":"","family":"Want","given":"Elizabeth J.","non-dropping-particle":"","parse-names":false,"suffix":""}],"container-title":"Analytical Chemistry","id":"ITEM-1","issue":"6","issued":{"date-parts":[["2012","3"]]},"page":"2670-2677","publisher":"American Chemical Society","title":"Optimizing the use of quality control samples for signal drift correction in large-scale urine metabolic profiling studies","type":"article-journal","volume":"84"},"uris":["http://www.mendeley.com/documents/?uuid=10cc347d-8153-41f9-869a-317ef9321392"]},{"id":"ITEM-2","itemData":{"DOI":"10.1038/nprot.2011.335","ISBN":"1750-2799 (Electronic)\\n1750-2799 (Linking)","ISSN":"17542189","PMID":"21720319","abstract":"Metabolism has an essential role in biological systems. Identification and quantitation of the compounds in the metabolome is defined as metabolic profiling, and it is applied to define metabolic changes related to genetic differences, environmental influences and disease or drug perturbations. Chromatography-mass spectrometry (MS) platforms are frequently used to provide the sensitive and reproducible detection of hundreds to thousands of metabolites in a single biofluid or tissue sample. Here we describe the experimental workflow for long-term and large-scale metabolomic studies involving thousands of human samples with data acquired for multiple analytical batches over many months and years. Protocols for serum- and plasma-based metabolic profiling applying gas chromatography-MS (GC-MS) and ultraperformance liquid chromatography-MS (UPLC-MS) are described. These include biofluid collection, sample preparation, data acquisition, data pre-processing and quality assurance. Methods for quality control-based robust LOESS signal correction to provide signal correction and integration of data from multiple analytical batches are also described.","author":[{"dropping-particle":"","family":"Dunn","given":"Warwick B.","non-dropping-particle":"","parse-names":false,"suffix":""},{"dropping-particle":"","family":"Broadhurst","given":"David","non-dropping-particle":"","parse-names":false,"suffix":""},{"dropping-particle":"","family":"Begley","given":"Paul","non-dropping-particle":"","parse-names":false,"suffix":""},{"dropping-particle":"","family":"Zelena","given":"Eva","non-dropping-particle":"","parse-names":false,"suffix":""},{"dropping-particle":"","family":"Francis-Mcintyre","given":"Sue","non-dropping-particle":"","parse-names":false,"suffix":""},{"dropping-particle":"","family":"Anderson","given":"Nadine","non-dropping-particle":"","parse-names":false,"suffix":""},{"dropping-particle":"","family":"Brown","given":"Marie","non-dropping-particle":"","parse-names":false,"suffix":""},{"dropping-particle":"","family":"Knowles","given":"Joshau D.","non-dropping-particle":"","parse-names":false,"suffix":""},{"dropping-particle":"","family":"Halsall","given":"Antony","non-dropping-particle":"","parse-names":false,"suffix":""},{"dropping-particle":"","family":"Haselden","given":"John N.","non-dropping-particle":"","parse-names":false,"suffix":""},{"dropping-particle":"","family":"Nicholls","given":"Andrew W.","non-dropping-particle":"","parse-names":false,"suffix":""},{"dropping-particle":"","family":"Wilson","given":"Ian D.","non-dropping-particle":"","parse-names":false,"suffix":""},{"dropping-particle":"","family":"Kell","given":"Douglas B.","non-dropping-particle":"","parse-names":false,"suffix":""},{"dropping-particle":"","family":"Goodacre","given":"Royston","non-dropping-particle":"","parse-names":false,"suffix":""}],"container-title":"Nature Protocols","id":"ITEM-2","issue":"7","issued":{"date-parts":[["2011","6"]]},"page":"1060-1083","title":"Procedures for large-scale metabolic profiling of serum and plasma using gas chromatography and liquid chromatography coupled to mass spectrometry","type":"article-journal","volume":"6"},"uris":["http://www.mendeley.com/documents/?uuid=3ed9feb0-8d30-4dff-953c-efb9748aeccc"]}],"mendeley":{"formattedCitation":"[28, 29]","plainTextFormattedCitation":"[28, 29]","previouslyFormattedCitation":"[28, 29]"},"properties":{"noteIndex":0},"schema":"https://github.com/citation-style-language/schema/raw/master/csl-citation.json"}</w:instrText>
      </w:r>
      <w:r w:rsidR="006F6E9F" w:rsidRPr="0024604A">
        <w:rPr>
          <w:rFonts w:ascii="Calibri" w:hAnsi="Calibri"/>
          <w:lang w:val="en-GB"/>
        </w:rPr>
        <w:fldChar w:fldCharType="separate"/>
      </w:r>
      <w:r w:rsidR="0089225B" w:rsidRPr="0024604A">
        <w:rPr>
          <w:rFonts w:ascii="Calibri" w:hAnsi="Calibri"/>
          <w:noProof/>
          <w:lang w:val="en-GB"/>
        </w:rPr>
        <w:t>[28, 29]</w:t>
      </w:r>
      <w:r w:rsidR="006F6E9F" w:rsidRPr="0024604A">
        <w:rPr>
          <w:rFonts w:ascii="Calibri" w:hAnsi="Calibri"/>
          <w:lang w:val="en-GB"/>
        </w:rPr>
        <w:fldChar w:fldCharType="end"/>
      </w:r>
      <w:r w:rsidRPr="0024604A">
        <w:rPr>
          <w:rFonts w:ascii="Calibri" w:hAnsi="Calibri"/>
          <w:lang w:val="en-GB"/>
        </w:rPr>
        <w:t>. The analysis order</w:t>
      </w:r>
      <w:r w:rsidR="00334940" w:rsidRPr="0024604A">
        <w:rPr>
          <w:rFonts w:ascii="Calibri" w:hAnsi="Calibri"/>
          <w:lang w:val="en-GB"/>
        </w:rPr>
        <w:t xml:space="preserve"> is</w:t>
      </w:r>
      <w:r w:rsidRPr="0024604A">
        <w:rPr>
          <w:rFonts w:ascii="Calibri" w:hAnsi="Calibri"/>
          <w:lang w:val="en-GB"/>
        </w:rPr>
        <w:t xml:space="preserve"> described </w:t>
      </w:r>
      <w:r w:rsidRPr="0024604A">
        <w:rPr>
          <w:rFonts w:ascii="Calibri" w:hAnsi="Calibri"/>
          <w:lang w:val="en-GB"/>
        </w:rPr>
        <w:lastRenderedPageBreak/>
        <w:t xml:space="preserve">in </w:t>
      </w:r>
      <w:r w:rsidRPr="0024604A">
        <w:rPr>
          <w:rFonts w:ascii="Calibri" w:hAnsi="Calibri"/>
          <w:b/>
          <w:lang w:val="en-GB"/>
        </w:rPr>
        <w:t>Table S1</w:t>
      </w:r>
      <w:r w:rsidRPr="0024604A">
        <w:rPr>
          <w:rFonts w:ascii="Calibri" w:hAnsi="Calibri"/>
          <w:lang w:val="en-GB"/>
        </w:rPr>
        <w:t>.</w:t>
      </w:r>
      <w:r w:rsidR="004F3DE8" w:rsidRPr="0024604A">
        <w:rPr>
          <w:rFonts w:ascii="Calibri" w:hAnsi="Calibri"/>
          <w:lang w:val="en-GB"/>
        </w:rPr>
        <w:t xml:space="preserve"> </w:t>
      </w:r>
      <w:r w:rsidRPr="0024604A">
        <w:rPr>
          <w:rFonts w:ascii="Calibri" w:hAnsi="Calibri"/>
          <w:lang w:val="en-GB"/>
        </w:rPr>
        <w:t xml:space="preserve">LC–MS instrumentation control and first processing of data were performed by the </w:t>
      </w:r>
      <w:proofErr w:type="spellStart"/>
      <w:r w:rsidRPr="0024604A">
        <w:rPr>
          <w:rFonts w:ascii="Calibri" w:hAnsi="Calibri"/>
          <w:lang w:val="en-GB"/>
        </w:rPr>
        <w:t>Xcalibur</w:t>
      </w:r>
      <w:proofErr w:type="spellEnd"/>
      <w:r w:rsidRPr="0024604A">
        <w:rPr>
          <w:rFonts w:ascii="Calibri" w:hAnsi="Calibri"/>
          <w:lang w:val="en-GB"/>
        </w:rPr>
        <w:t xml:space="preserve"> software 2.2 SP1.48 (Thermo Scientific).</w:t>
      </w:r>
    </w:p>
    <w:p w14:paraId="3C5545BF" w14:textId="77777777" w:rsidR="00EA64D1" w:rsidRPr="0024604A" w:rsidRDefault="00EA64D1" w:rsidP="00EA64D1">
      <w:pPr>
        <w:autoSpaceDE w:val="0"/>
        <w:autoSpaceDN w:val="0"/>
        <w:adjustRightInd w:val="0"/>
        <w:spacing w:line="480" w:lineRule="auto"/>
        <w:jc w:val="both"/>
        <w:rPr>
          <w:rFonts w:ascii="Calibri" w:hAnsi="Calibri"/>
          <w:lang w:val="en-GB"/>
        </w:rPr>
      </w:pPr>
    </w:p>
    <w:p w14:paraId="7DEFDFAF" w14:textId="240673DF" w:rsidR="006646F4" w:rsidRPr="0024604A" w:rsidRDefault="00E678D4" w:rsidP="00EA64D1">
      <w:pPr>
        <w:autoSpaceDE w:val="0"/>
        <w:autoSpaceDN w:val="0"/>
        <w:adjustRightInd w:val="0"/>
        <w:spacing w:line="480" w:lineRule="auto"/>
        <w:jc w:val="both"/>
        <w:rPr>
          <w:rFonts w:ascii="Calibri" w:hAnsi="Calibri"/>
          <w:lang w:val="en-GB"/>
        </w:rPr>
      </w:pPr>
      <w:r w:rsidRPr="0024604A">
        <w:rPr>
          <w:rFonts w:ascii="Calibri" w:hAnsi="Calibri"/>
          <w:b/>
          <w:lang w:val="en-GB"/>
        </w:rPr>
        <w:t>2.</w:t>
      </w:r>
      <w:r w:rsidR="009024E8" w:rsidRPr="0024604A">
        <w:rPr>
          <w:rFonts w:ascii="Calibri" w:hAnsi="Calibri"/>
          <w:b/>
          <w:lang w:val="en-GB"/>
        </w:rPr>
        <w:t>6</w:t>
      </w:r>
      <w:r w:rsidRPr="0024604A">
        <w:rPr>
          <w:rFonts w:ascii="Calibri" w:hAnsi="Calibri"/>
          <w:b/>
          <w:lang w:val="en-GB"/>
        </w:rPr>
        <w:tab/>
      </w:r>
      <w:r w:rsidR="005348A6" w:rsidRPr="0024604A">
        <w:rPr>
          <w:rFonts w:ascii="Calibri" w:hAnsi="Calibri"/>
          <w:b/>
          <w:lang w:val="en-GB"/>
        </w:rPr>
        <w:t>Data processing</w:t>
      </w:r>
      <w:r w:rsidR="00A02067" w:rsidRPr="0024604A">
        <w:rPr>
          <w:rFonts w:ascii="Calibri" w:hAnsi="Calibri"/>
          <w:b/>
          <w:lang w:val="en-GB"/>
        </w:rPr>
        <w:t xml:space="preserve">. </w:t>
      </w:r>
      <w:r w:rsidR="005348A6" w:rsidRPr="0024604A">
        <w:rPr>
          <w:rFonts w:ascii="Calibri" w:hAnsi="Calibri"/>
          <w:lang w:val="en-GB"/>
        </w:rPr>
        <w:t xml:space="preserve">Raw files were converted to </w:t>
      </w:r>
      <w:proofErr w:type="spellStart"/>
      <w:r w:rsidR="005348A6" w:rsidRPr="0024604A">
        <w:rPr>
          <w:rFonts w:ascii="Calibri" w:hAnsi="Calibri"/>
          <w:lang w:val="en-GB"/>
        </w:rPr>
        <w:t>mzXML</w:t>
      </w:r>
      <w:proofErr w:type="spellEnd"/>
      <w:r w:rsidR="005348A6" w:rsidRPr="0024604A">
        <w:rPr>
          <w:rFonts w:ascii="Calibri" w:hAnsi="Calibri"/>
          <w:lang w:val="en-GB"/>
        </w:rPr>
        <w:t xml:space="preserve"> format with </w:t>
      </w:r>
      <w:proofErr w:type="spellStart"/>
      <w:r w:rsidR="005348A6" w:rsidRPr="0024604A">
        <w:rPr>
          <w:rFonts w:ascii="Calibri" w:hAnsi="Calibri"/>
          <w:lang w:val="en-GB"/>
        </w:rPr>
        <w:t>MSconvert</w:t>
      </w:r>
      <w:proofErr w:type="spellEnd"/>
      <w:r w:rsidR="005348A6" w:rsidRPr="0024604A">
        <w:rPr>
          <w:rFonts w:ascii="Calibri" w:hAnsi="Calibri"/>
          <w:lang w:val="en-GB"/>
        </w:rPr>
        <w:t xml:space="preserve"> </w:t>
      </w:r>
      <w:r w:rsidR="005204CC" w:rsidRPr="0024604A">
        <w:rPr>
          <w:rFonts w:ascii="Calibri" w:hAnsi="Calibri"/>
          <w:lang w:val="en-GB"/>
        </w:rPr>
        <w:t xml:space="preserve">(a tool provided by </w:t>
      </w:r>
      <w:proofErr w:type="spellStart"/>
      <w:r w:rsidR="005204CC" w:rsidRPr="0024604A">
        <w:rPr>
          <w:rFonts w:ascii="Calibri" w:hAnsi="Calibri"/>
          <w:lang w:val="en-GB"/>
        </w:rPr>
        <w:t>ProteoWizard</w:t>
      </w:r>
      <w:proofErr w:type="spellEnd"/>
      <w:r w:rsidR="00DA575C" w:rsidRPr="0024604A">
        <w:rPr>
          <w:rFonts w:ascii="Calibri" w:hAnsi="Calibri"/>
          <w:lang w:val="en-GB"/>
        </w:rPr>
        <w:t>:</w:t>
      </w:r>
      <w:r w:rsidR="005204CC" w:rsidRPr="0024604A">
        <w:rPr>
          <w:rFonts w:ascii="Calibri" w:hAnsi="Calibri"/>
          <w:lang w:val="en-GB"/>
        </w:rPr>
        <w:t xml:space="preserve"> http://proteowizard.sourceforge.net/tools.shtml)</w:t>
      </w:r>
      <w:r w:rsidR="005348A6" w:rsidRPr="0024604A">
        <w:rPr>
          <w:rFonts w:ascii="Calibri" w:hAnsi="Calibri"/>
          <w:lang w:val="en-GB"/>
        </w:rPr>
        <w:t>. Two software</w:t>
      </w:r>
      <w:r w:rsidR="00DA575C" w:rsidRPr="0024604A">
        <w:rPr>
          <w:rFonts w:ascii="Calibri" w:hAnsi="Calibri"/>
          <w:lang w:val="en-GB"/>
        </w:rPr>
        <w:t xml:space="preserve"> packages</w:t>
      </w:r>
      <w:r w:rsidR="005348A6" w:rsidRPr="0024604A">
        <w:rPr>
          <w:rFonts w:ascii="Calibri" w:hAnsi="Calibri"/>
          <w:lang w:val="en-GB"/>
        </w:rPr>
        <w:t xml:space="preserve">, XCMS and </w:t>
      </w:r>
      <w:r w:rsidR="002F613D" w:rsidRPr="0024604A">
        <w:rPr>
          <w:rFonts w:ascii="Calibri" w:hAnsi="Calibri"/>
          <w:lang w:val="en-GB"/>
        </w:rPr>
        <w:t>Alex</w:t>
      </w:r>
      <w:r w:rsidR="002F613D" w:rsidRPr="0024604A">
        <w:rPr>
          <w:rFonts w:ascii="Calibri" w:hAnsi="Calibri"/>
          <w:vertAlign w:val="superscript"/>
          <w:lang w:val="en-GB"/>
        </w:rPr>
        <w:t>123</w:t>
      </w:r>
      <w:r w:rsidR="00DA575C" w:rsidRPr="0024604A">
        <w:rPr>
          <w:rFonts w:ascii="Calibri" w:hAnsi="Calibri"/>
          <w:lang w:val="en-GB"/>
        </w:rPr>
        <w:t>,</w:t>
      </w:r>
      <w:r w:rsidR="005348A6" w:rsidRPr="0024604A">
        <w:rPr>
          <w:rFonts w:ascii="Calibri" w:hAnsi="Calibri"/>
          <w:lang w:val="en-GB"/>
        </w:rPr>
        <w:t xml:space="preserve"> were used to obtain the data matrix containing the list of all detected features, including information such as accurate measured masses and areas of chromatographic peaks. The list of the parameters used for </w:t>
      </w:r>
      <w:r w:rsidR="004C4546" w:rsidRPr="0024604A">
        <w:rPr>
          <w:rFonts w:ascii="Calibri" w:hAnsi="Calibri"/>
          <w:lang w:val="en-GB"/>
        </w:rPr>
        <w:t xml:space="preserve">XCMS </w:t>
      </w:r>
      <w:r w:rsidR="005348A6" w:rsidRPr="0024604A">
        <w:rPr>
          <w:rFonts w:ascii="Calibri" w:hAnsi="Calibri"/>
          <w:lang w:val="en-GB"/>
        </w:rPr>
        <w:t xml:space="preserve">software is available as </w:t>
      </w:r>
      <w:r w:rsidR="005A00D8" w:rsidRPr="0024604A">
        <w:rPr>
          <w:rFonts w:ascii="Calibri" w:hAnsi="Calibri"/>
          <w:lang w:val="en-GB"/>
        </w:rPr>
        <w:t xml:space="preserve">Supplementary Material </w:t>
      </w:r>
      <w:r w:rsidR="005348A6" w:rsidRPr="0024604A">
        <w:rPr>
          <w:rFonts w:ascii="Calibri" w:hAnsi="Calibri"/>
          <w:lang w:val="en-GB"/>
        </w:rPr>
        <w:t>(see Table S2</w:t>
      </w:r>
      <w:r w:rsidR="00651E13" w:rsidRPr="0024604A">
        <w:rPr>
          <w:rFonts w:ascii="Calibri" w:hAnsi="Calibri"/>
          <w:lang w:val="en-GB"/>
        </w:rPr>
        <w:t>).</w:t>
      </w:r>
      <w:r w:rsidR="006A3D96" w:rsidRPr="0024604A">
        <w:rPr>
          <w:lang w:val="en-US"/>
        </w:rPr>
        <w:t xml:space="preserve"> </w:t>
      </w:r>
      <w:bookmarkStart w:id="11" w:name="_Hlk42147932"/>
      <w:r w:rsidR="00E96A18" w:rsidRPr="0024604A">
        <w:rPr>
          <w:rFonts w:ascii="Calibri" w:hAnsi="Calibri"/>
          <w:lang w:val="en-GB"/>
        </w:rPr>
        <w:t>Full-MS spectra over each HILIC chromatographic band were manually averaged and resulting txt files were used as input for Alex</w:t>
      </w:r>
      <w:r w:rsidR="00E96A18" w:rsidRPr="0024604A">
        <w:rPr>
          <w:rFonts w:ascii="Calibri" w:hAnsi="Calibri"/>
          <w:vertAlign w:val="superscript"/>
          <w:lang w:val="en-GB"/>
        </w:rPr>
        <w:t>123</w:t>
      </w:r>
      <w:r w:rsidR="00E96A18" w:rsidRPr="0024604A">
        <w:rPr>
          <w:rFonts w:ascii="Calibri" w:hAnsi="Calibri"/>
          <w:lang w:val="en-GB"/>
        </w:rPr>
        <w:t>, thus searching for demethylated adducts [M-CH</w:t>
      </w:r>
      <w:r w:rsidR="00E96A18" w:rsidRPr="0024604A">
        <w:rPr>
          <w:rFonts w:ascii="Calibri" w:hAnsi="Calibri"/>
          <w:vertAlign w:val="subscript"/>
          <w:lang w:val="en-GB"/>
        </w:rPr>
        <w:t>3</w:t>
      </w:r>
      <w:r w:rsidR="00E96A18" w:rsidRPr="0024604A">
        <w:rPr>
          <w:rFonts w:ascii="Calibri" w:hAnsi="Calibri"/>
          <w:lang w:val="en-GB"/>
        </w:rPr>
        <w:t>]</w:t>
      </w:r>
      <w:r w:rsidR="00E96A18" w:rsidRPr="0024604A">
        <w:rPr>
          <w:rFonts w:ascii="Calibri" w:hAnsi="Calibri"/>
          <w:vertAlign w:val="superscript"/>
          <w:lang w:val="en-GB"/>
        </w:rPr>
        <w:t>-</w:t>
      </w:r>
      <w:r w:rsidR="00E96A18" w:rsidRPr="0024604A">
        <w:rPr>
          <w:rFonts w:ascii="Calibri" w:hAnsi="Calibri"/>
          <w:lang w:val="en-GB"/>
        </w:rPr>
        <w:t xml:space="preserve"> of phosphatidylcholine (PC), </w:t>
      </w:r>
      <w:proofErr w:type="spellStart"/>
      <w:r w:rsidR="00E96A18" w:rsidRPr="0024604A">
        <w:rPr>
          <w:rFonts w:ascii="Calibri" w:hAnsi="Calibri"/>
          <w:lang w:val="en-GB"/>
        </w:rPr>
        <w:t>lyso</w:t>
      </w:r>
      <w:proofErr w:type="spellEnd"/>
      <w:r w:rsidR="00E96A18" w:rsidRPr="0024604A">
        <w:rPr>
          <w:rFonts w:ascii="Calibri" w:hAnsi="Calibri"/>
          <w:lang w:val="en-GB"/>
        </w:rPr>
        <w:t xml:space="preserve">-PC (LPC), their </w:t>
      </w:r>
      <w:proofErr w:type="spellStart"/>
      <w:r w:rsidR="00E96A18" w:rsidRPr="0024604A">
        <w:rPr>
          <w:rFonts w:ascii="Calibri" w:hAnsi="Calibri"/>
          <w:lang w:val="en-GB"/>
        </w:rPr>
        <w:t>plasmanyl</w:t>
      </w:r>
      <w:proofErr w:type="spellEnd"/>
      <w:r w:rsidR="00E96A18" w:rsidRPr="0024604A">
        <w:rPr>
          <w:rFonts w:ascii="Calibri" w:hAnsi="Calibri"/>
          <w:lang w:val="en-GB"/>
        </w:rPr>
        <w:t xml:space="preserve">- and </w:t>
      </w:r>
      <w:proofErr w:type="spellStart"/>
      <w:r w:rsidR="00E96A18" w:rsidRPr="0024604A">
        <w:rPr>
          <w:rFonts w:ascii="Calibri" w:hAnsi="Calibri"/>
          <w:lang w:val="en-GB"/>
        </w:rPr>
        <w:t>plasmenyl</w:t>
      </w:r>
      <w:proofErr w:type="spellEnd"/>
      <w:r w:rsidR="00E96A18" w:rsidRPr="0024604A">
        <w:rPr>
          <w:rFonts w:ascii="Calibri" w:hAnsi="Calibri"/>
          <w:lang w:val="en-GB"/>
        </w:rPr>
        <w:t>-forms (PC-O and LPC-O) and sphingomyelin (SM), chlorinated adducts [</w:t>
      </w:r>
      <w:proofErr w:type="spellStart"/>
      <w:r w:rsidR="00E96A18" w:rsidRPr="0024604A">
        <w:rPr>
          <w:rFonts w:ascii="Calibri" w:hAnsi="Calibri"/>
          <w:lang w:val="en-GB"/>
        </w:rPr>
        <w:t>M+Cl</w:t>
      </w:r>
      <w:proofErr w:type="spellEnd"/>
      <w:r w:rsidR="00E96A18" w:rsidRPr="0024604A">
        <w:rPr>
          <w:rFonts w:ascii="Calibri" w:hAnsi="Calibri"/>
          <w:lang w:val="en-GB"/>
        </w:rPr>
        <w:t>]</w:t>
      </w:r>
      <w:r w:rsidR="00E96A18" w:rsidRPr="0024604A">
        <w:rPr>
          <w:rFonts w:ascii="Calibri" w:hAnsi="Calibri"/>
          <w:vertAlign w:val="superscript"/>
          <w:lang w:val="en-GB"/>
        </w:rPr>
        <w:t>-</w:t>
      </w:r>
      <w:r w:rsidR="00E96A18" w:rsidRPr="0024604A">
        <w:rPr>
          <w:rFonts w:ascii="Calibri" w:hAnsi="Calibri"/>
          <w:lang w:val="en-GB"/>
        </w:rPr>
        <w:t xml:space="preserve"> of di-hexose ceramide (Hex</w:t>
      </w:r>
      <w:r w:rsidR="00E96A18" w:rsidRPr="0024604A">
        <w:rPr>
          <w:rFonts w:ascii="Calibri" w:hAnsi="Calibri"/>
          <w:vertAlign w:val="subscript"/>
          <w:lang w:val="en-GB"/>
        </w:rPr>
        <w:t>2</w:t>
      </w:r>
      <w:r w:rsidR="00E96A18" w:rsidRPr="0024604A">
        <w:rPr>
          <w:rFonts w:ascii="Calibri" w:hAnsi="Calibri"/>
          <w:lang w:val="en-GB"/>
        </w:rPr>
        <w:t>Cer), and deprotonated molecules [M-H]</w:t>
      </w:r>
      <w:r w:rsidR="00E96A18" w:rsidRPr="0024604A">
        <w:rPr>
          <w:rFonts w:ascii="Calibri" w:hAnsi="Calibri"/>
          <w:vertAlign w:val="superscript"/>
          <w:lang w:val="en-GB"/>
        </w:rPr>
        <w:t>-</w:t>
      </w:r>
      <w:r w:rsidR="00E96A18" w:rsidRPr="0024604A">
        <w:rPr>
          <w:rFonts w:ascii="Calibri" w:hAnsi="Calibri"/>
          <w:lang w:val="en-GB"/>
        </w:rPr>
        <w:t xml:space="preserve"> of phosphatidylethanolamine (PE), </w:t>
      </w:r>
      <w:proofErr w:type="spellStart"/>
      <w:r w:rsidR="00E96A18" w:rsidRPr="0024604A">
        <w:rPr>
          <w:rFonts w:ascii="Calibri" w:hAnsi="Calibri"/>
          <w:lang w:val="en-GB"/>
        </w:rPr>
        <w:t>lyso</w:t>
      </w:r>
      <w:proofErr w:type="spellEnd"/>
      <w:r w:rsidR="00E96A18" w:rsidRPr="0024604A">
        <w:rPr>
          <w:rFonts w:ascii="Calibri" w:hAnsi="Calibri"/>
          <w:lang w:val="en-GB"/>
        </w:rPr>
        <w:t xml:space="preserve">-PE (LPE) </w:t>
      </w:r>
      <w:proofErr w:type="spellStart"/>
      <w:r w:rsidR="00E96A18" w:rsidRPr="0024604A">
        <w:rPr>
          <w:rFonts w:ascii="Calibri" w:hAnsi="Calibri"/>
          <w:lang w:val="en-GB"/>
        </w:rPr>
        <w:t>plasmanyl</w:t>
      </w:r>
      <w:proofErr w:type="spellEnd"/>
      <w:r w:rsidR="00E96A18" w:rsidRPr="0024604A">
        <w:rPr>
          <w:rFonts w:ascii="Calibri" w:hAnsi="Calibri"/>
          <w:lang w:val="en-GB"/>
        </w:rPr>
        <w:t xml:space="preserve">- and </w:t>
      </w:r>
      <w:proofErr w:type="spellStart"/>
      <w:r w:rsidR="00E96A18" w:rsidRPr="0024604A">
        <w:rPr>
          <w:rFonts w:ascii="Calibri" w:hAnsi="Calibri"/>
          <w:lang w:val="en-GB"/>
        </w:rPr>
        <w:t>plasmenyl</w:t>
      </w:r>
      <w:proofErr w:type="spellEnd"/>
      <w:r w:rsidR="00E96A18" w:rsidRPr="0024604A">
        <w:rPr>
          <w:rFonts w:ascii="Calibri" w:hAnsi="Calibri"/>
          <w:lang w:val="en-GB"/>
        </w:rPr>
        <w:t>-forms (PE-O and LPE-O), phosphatidylglycerol (PG), phosphatidylserine (PS) and phosphatidylinositol (PI). AIF MS spectra were also averaged over each chromatographic band with the aim of searching for deprotonated non-hydroxylated fatty acids [FA-H]</w:t>
      </w:r>
      <w:r w:rsidR="00E96A18" w:rsidRPr="0024604A">
        <w:rPr>
          <w:rFonts w:ascii="Calibri" w:hAnsi="Calibri"/>
          <w:vertAlign w:val="superscript"/>
          <w:lang w:val="en-GB"/>
        </w:rPr>
        <w:t>-</w:t>
      </w:r>
      <w:r w:rsidR="00E96A18" w:rsidRPr="0024604A">
        <w:rPr>
          <w:rFonts w:ascii="Calibri" w:hAnsi="Calibri"/>
          <w:lang w:val="en-GB"/>
        </w:rPr>
        <w:t>; peak signal accuracy lower than 5 ppm and intensities higher than 5000 counts were further processed.</w:t>
      </w:r>
      <w:bookmarkStart w:id="12" w:name="_Hlk42161471"/>
      <w:r w:rsidR="00EA64D1" w:rsidRPr="0024604A">
        <w:rPr>
          <w:rFonts w:ascii="Calibri" w:hAnsi="Calibri"/>
          <w:lang w:val="en-GB"/>
        </w:rPr>
        <w:t xml:space="preserve"> </w:t>
      </w:r>
      <w:r w:rsidR="002E7DA0" w:rsidRPr="0024604A">
        <w:rPr>
          <w:rFonts w:ascii="Calibri" w:hAnsi="Calibri"/>
          <w:lang w:val="en-GB"/>
        </w:rPr>
        <w:t xml:space="preserve">As described by Dunn et al </w:t>
      </w:r>
      <w:r w:rsidR="002E7DA0" w:rsidRPr="0024604A">
        <w:rPr>
          <w:rFonts w:ascii="Calibri" w:hAnsi="Calibri"/>
          <w:lang w:val="en-GB"/>
        </w:rPr>
        <w:fldChar w:fldCharType="begin" w:fldLock="1"/>
      </w:r>
      <w:r w:rsidR="006126E3" w:rsidRPr="0024604A">
        <w:rPr>
          <w:rFonts w:ascii="Calibri" w:hAnsi="Calibri"/>
          <w:lang w:val="en-GB"/>
        </w:rPr>
        <w:instrText>ADDIN CSL_CITATION {"citationItems":[{"id":"ITEM-1","itemData":{"DOI":"10.1038/nprot.2011.335","ISBN":"1750-2799 (Electronic)\\n1750-2799 (Linking)","ISSN":"17542189","PMID":"21720319","abstract":"Metabolism has an essential role in biological systems. Identification and quantitation of the compounds in the metabolome is defined as metabolic profiling, and it is applied to define metabolic changes related to genetic differences, environmental influences and disease or drug perturbations. Chromatography-mass spectrometry (MS) platforms are frequently used to provide the sensitive and reproducible detection of hundreds to thousands of metabolites in a single biofluid or tissue sample. Here we describe the experimental workflow for long-term and large-scale metabolomic studies involving thousands of human samples with data acquired for multiple analytical batches over many months and years. Protocols for serum- and plasma-based metabolic profiling applying gas chromatography-MS (GC-MS) and ultraperformance liquid chromatography-MS (UPLC-MS) are described. These include biofluid collection, sample preparation, data acquisition, data pre-processing and quality assurance. Methods for quality control-based robust LOESS signal correction to provide signal correction and integration of data from multiple analytical batches are also described.","author":[{"dropping-particle":"","family":"Dunn","given":"Warwick B.","non-dropping-particle":"","parse-names":false,"suffix":""},{"dropping-particle":"","family":"Broadhurst","given":"David","non-dropping-particle":"","parse-names":false,"suffix":""},{"dropping-particle":"","family":"Begley","given":"Paul","non-dropping-particle":"","parse-names":false,"suffix":""},{"dropping-particle":"","family":"Zelena","given":"Eva","non-dropping-particle":"","parse-names":false,"suffix":""},{"dropping-particle":"","family":"Francis-Mcintyre","given":"Sue","non-dropping-particle":"","parse-names":false,"suffix":""},{"dropping-particle":"","family":"Anderson","given":"Nadine","non-dropping-particle":"","parse-names":false,"suffix":""},{"dropping-particle":"","family":"Brown","given":"Marie","non-dropping-particle":"","parse-names":false,"suffix":""},{"dropping-particle":"","family":"Knowles","given":"Joshau D.","non-dropping-particle":"","parse-names":false,"suffix":""},{"dropping-particle":"","family":"Halsall","given":"Antony","non-dropping-particle":"","parse-names":false,"suffix":""},{"dropping-particle":"","family":"Haselden","given":"John N.","non-dropping-particle":"","parse-names":false,"suffix":""},{"dropping-particle":"","family":"Nicholls","given":"Andrew W.","non-dropping-particle":"","parse-names":false,"suffix":""},{"dropping-particle":"","family":"Wilson","given":"Ian D.","non-dropping-particle":"","parse-names":false,"suffix":""},{"dropping-particle":"","family":"Kell","given":"Douglas B.","non-dropping-particle":"","parse-names":false,"suffix":""},{"dropping-particle":"","family":"Goodacre","given":"Royston","non-dropping-particle":"","parse-names":false,"suffix":""}],"container-title":"Nature Protocols","id":"ITEM-1","issue":"7","issued":{"date-parts":[["2011","6"]]},"page":"1060-1083","title":"Procedures for large-scale metabolic profiling of serum and plasma using gas chromatography and liquid chromatography coupled to mass spectrometry","type":"article-journal","volume":"6"},"uris":["http://www.mendeley.com/documents/?uuid=3ed9feb0-8d30-4dff-953c-efb9748aeccc"]}],"mendeley":{"formattedCitation":"[28]","plainTextFormattedCitation":"[28]","previouslyFormattedCitation":"[28]"},"properties":{"noteIndex":0},"schema":"https://github.com/citation-style-language/schema/raw/master/csl-citation.json"}</w:instrText>
      </w:r>
      <w:r w:rsidR="002E7DA0" w:rsidRPr="0024604A">
        <w:rPr>
          <w:rFonts w:ascii="Calibri" w:hAnsi="Calibri"/>
          <w:lang w:val="en-GB"/>
        </w:rPr>
        <w:fldChar w:fldCharType="separate"/>
      </w:r>
      <w:r w:rsidR="002E7DA0" w:rsidRPr="0024604A">
        <w:rPr>
          <w:rFonts w:ascii="Calibri" w:hAnsi="Calibri"/>
          <w:noProof/>
          <w:lang w:val="en-GB"/>
        </w:rPr>
        <w:t>[28]</w:t>
      </w:r>
      <w:r w:rsidR="002E7DA0" w:rsidRPr="0024604A">
        <w:rPr>
          <w:rFonts w:ascii="Calibri" w:hAnsi="Calibri"/>
          <w:lang w:val="en-GB"/>
        </w:rPr>
        <w:fldChar w:fldCharType="end"/>
      </w:r>
      <w:r w:rsidR="002E7DA0" w:rsidRPr="0024604A">
        <w:rPr>
          <w:rFonts w:ascii="Calibri" w:hAnsi="Calibri"/>
          <w:lang w:val="en-GB"/>
        </w:rPr>
        <w:t xml:space="preserve">, </w:t>
      </w:r>
      <w:r w:rsidR="006646F4" w:rsidRPr="0024604A">
        <w:rPr>
          <w:rFonts w:ascii="Calibri" w:hAnsi="Calibri"/>
          <w:lang w:val="en-GB"/>
        </w:rPr>
        <w:t>MATLAB 2019a (MathWorks, Natick, MA, USA) was used to correct peak areas by QC</w:t>
      </w:r>
      <w:r w:rsidR="002E7DA0" w:rsidRPr="0024604A">
        <w:rPr>
          <w:rFonts w:ascii="Calibri" w:hAnsi="Calibri"/>
          <w:lang w:val="en-GB"/>
        </w:rPr>
        <w:t xml:space="preserve"> data which</w:t>
      </w:r>
      <w:r w:rsidR="006646F4" w:rsidRPr="0024604A">
        <w:rPr>
          <w:rFonts w:ascii="Calibri" w:hAnsi="Calibri"/>
          <w:lang w:val="en-GB"/>
        </w:rPr>
        <w:t xml:space="preserve"> were </w:t>
      </w:r>
      <w:bookmarkStart w:id="13" w:name="_Hlk42160810"/>
      <w:r w:rsidR="006646F4" w:rsidRPr="0024604A">
        <w:rPr>
          <w:rFonts w:ascii="Calibri" w:hAnsi="Calibri"/>
          <w:lang w:val="en-GB"/>
        </w:rPr>
        <w:t xml:space="preserve">then </w:t>
      </w:r>
      <w:bookmarkEnd w:id="13"/>
      <w:r w:rsidR="006646F4" w:rsidRPr="0024604A">
        <w:rPr>
          <w:rFonts w:ascii="Calibri" w:hAnsi="Calibri"/>
          <w:lang w:val="en-GB"/>
        </w:rPr>
        <w:t>log</w:t>
      </w:r>
      <w:r w:rsidR="006646F4" w:rsidRPr="0024604A">
        <w:rPr>
          <w:rFonts w:ascii="Calibri" w:hAnsi="Calibri"/>
          <w:vertAlign w:val="subscript"/>
          <w:lang w:val="en-GB"/>
        </w:rPr>
        <w:t>10</w:t>
      </w:r>
      <w:r w:rsidR="009723A3" w:rsidRPr="0024604A">
        <w:rPr>
          <w:rFonts w:ascii="Calibri" w:hAnsi="Calibri"/>
          <w:lang w:val="en-GB"/>
        </w:rPr>
        <w:t>-</w:t>
      </w:r>
      <w:r w:rsidR="006646F4" w:rsidRPr="0024604A">
        <w:rPr>
          <w:rFonts w:ascii="Calibri" w:hAnsi="Calibri"/>
          <w:lang w:val="en-GB"/>
        </w:rPr>
        <w:t xml:space="preserve">transformed, level scaled or auto-scaled so that every variable has a mean of 0 and standard deviation of 1.  Univariate tests, </w:t>
      </w:r>
      <w:r w:rsidR="006646F4" w:rsidRPr="0024604A">
        <w:rPr>
          <w:rFonts w:ascii="Calibri" w:hAnsi="Calibri"/>
          <w:i/>
          <w:iCs/>
          <w:lang w:val="en-GB"/>
        </w:rPr>
        <w:t>i.e.</w:t>
      </w:r>
      <w:r w:rsidR="006646F4" w:rsidRPr="0024604A">
        <w:rPr>
          <w:rFonts w:ascii="Calibri" w:hAnsi="Calibri"/>
          <w:lang w:val="en-GB"/>
        </w:rPr>
        <w:t xml:space="preserve"> paired t-test and Wilcoxon signed rank test were applied to each variable and the p-value</w:t>
      </w:r>
      <w:r w:rsidR="000602CD" w:rsidRPr="0024604A">
        <w:rPr>
          <w:rFonts w:ascii="Calibri" w:hAnsi="Calibri"/>
          <w:lang w:val="en-GB"/>
        </w:rPr>
        <w:t>s</w:t>
      </w:r>
      <w:r w:rsidR="006646F4" w:rsidRPr="0024604A">
        <w:rPr>
          <w:rFonts w:ascii="Calibri" w:hAnsi="Calibri"/>
          <w:lang w:val="en-GB"/>
        </w:rPr>
        <w:t xml:space="preserve"> were further adjusted by using false discovery rate control </w:t>
      </w:r>
      <w:r w:rsidR="00DB66D2" w:rsidRPr="0024604A">
        <w:rPr>
          <w:rFonts w:ascii="Calibri" w:hAnsi="Calibri"/>
          <w:lang w:val="en-GB"/>
        </w:rPr>
        <w:fldChar w:fldCharType="begin" w:fldLock="1"/>
      </w:r>
      <w:r w:rsidR="00280CED" w:rsidRPr="0024604A">
        <w:rPr>
          <w:rFonts w:ascii="Calibri" w:hAnsi="Calibri"/>
          <w:lang w:val="en-GB"/>
        </w:rPr>
        <w:instrText>ADDIN CSL_CITATION {"citationItems":[{"id":"ITEM-1","itemData":{"DOI":"10.1111/j.2517-6161.1995.tb02031.x","ISSN":"0035-9246","abstract":"The common approach to the multiplicity problem calls for controlling the familywise error rate (FWER). This approach, though, has faults, and we point out a few. A different approach to problems of multiple significance testing is presented. It calls for controlling the expected proportion of falsely rejected hypotheses- the false discovery rate. This error rate is equivalent to the FWER when all hypotheses are true but is smaller otherwise. Therefore, in problems where the control of the false discovery rate rather than that of the FWER is desired, there is potential for a gain in power. A simple sequential Bonferronitype procedure is proved to control the false discovery rate for independent test statistics, and a simulation study shows that the gain in power is substantial. The use of the new procedure and the appropriateness of the criterion are illustrated with examples.","author":[{"dropping-particle":"","family":"Benjamini","given":"Yoav","non-dropping-particle":"","parse-names":false,"suffix":""},{"dropping-particle":"","family":"Hochberg","given":"Yosef","non-dropping-particle":"","parse-names":false,"suffix":""}],"container-title":"Journal of the Royal Statistical Society: Series B (Methodological)","id":"ITEM-1","issue":"1","issued":{"date-parts":[["1995","6"]]},"page":"289-300","publisher":"[Royal Statistical Society, Wiley]","title":"Controlling the False Discovery Rate: A Practical and Powerful Approach to Multiple Testing","type":"article-journal","volume":"57"},"uris":["http://www.mendeley.com/documents/?uuid=fb1d74a8-bc85-4376-9b4b-fcfc07e29301","http://www.mendeley.com/documents/?uuid=4ae5ab6e-4188-402c-9e4c-ec5d8c75f8ba"]}],"mendeley":{"formattedCitation":"[30]","plainTextFormattedCitation":"[30]","previouslyFormattedCitation":"[30]"},"properties":{"noteIndex":0},"schema":"https://github.com/citation-style-language/schema/raw/master/csl-citation.json"}</w:instrText>
      </w:r>
      <w:r w:rsidR="00DB66D2" w:rsidRPr="0024604A">
        <w:rPr>
          <w:rFonts w:ascii="Calibri" w:hAnsi="Calibri"/>
          <w:lang w:val="en-GB"/>
        </w:rPr>
        <w:fldChar w:fldCharType="separate"/>
      </w:r>
      <w:r w:rsidR="0089225B" w:rsidRPr="0024604A">
        <w:rPr>
          <w:rFonts w:ascii="Calibri" w:hAnsi="Calibri"/>
          <w:noProof/>
          <w:lang w:val="en-GB"/>
        </w:rPr>
        <w:t>[30]</w:t>
      </w:r>
      <w:r w:rsidR="00DB66D2" w:rsidRPr="0024604A">
        <w:rPr>
          <w:rFonts w:ascii="Calibri" w:hAnsi="Calibri"/>
          <w:lang w:val="en-GB"/>
        </w:rPr>
        <w:fldChar w:fldCharType="end"/>
      </w:r>
      <w:r w:rsidR="006646F4" w:rsidRPr="0024604A">
        <w:rPr>
          <w:rFonts w:ascii="Calibri" w:hAnsi="Calibri"/>
          <w:lang w:val="en-GB"/>
        </w:rPr>
        <w:t xml:space="preserve">. </w:t>
      </w:r>
    </w:p>
    <w:bookmarkEnd w:id="11"/>
    <w:bookmarkEnd w:id="12"/>
    <w:p w14:paraId="6F232D30" w14:textId="77777777" w:rsidR="00A127C5" w:rsidRPr="0024604A" w:rsidRDefault="00A127C5" w:rsidP="00153A2D">
      <w:pPr>
        <w:pStyle w:val="Corpotesto"/>
        <w:keepNext/>
        <w:widowControl w:val="0"/>
        <w:spacing w:line="480" w:lineRule="auto"/>
        <w:jc w:val="both"/>
        <w:rPr>
          <w:rFonts w:ascii="Calibri" w:hAnsi="Calibri"/>
          <w:b/>
          <w:szCs w:val="24"/>
          <w:lang w:val="en-GB"/>
        </w:rPr>
      </w:pPr>
      <w:r w:rsidRPr="0024604A">
        <w:rPr>
          <w:rFonts w:ascii="Calibri" w:hAnsi="Calibri"/>
          <w:b/>
          <w:szCs w:val="24"/>
          <w:lang w:val="en-GB"/>
        </w:rPr>
        <w:lastRenderedPageBreak/>
        <w:t>3.</w:t>
      </w:r>
      <w:r w:rsidRPr="0024604A">
        <w:rPr>
          <w:rFonts w:ascii="Calibri" w:hAnsi="Calibri"/>
          <w:b/>
          <w:szCs w:val="24"/>
          <w:lang w:val="en-GB"/>
        </w:rPr>
        <w:tab/>
        <w:t>RESULTS AND DISCUSSION</w:t>
      </w:r>
    </w:p>
    <w:p w14:paraId="338981F3" w14:textId="24657CE1" w:rsidR="00CA098A" w:rsidRPr="0024604A" w:rsidRDefault="00A127C5" w:rsidP="00153A2D">
      <w:pPr>
        <w:keepNext/>
        <w:widowControl w:val="0"/>
        <w:autoSpaceDE w:val="0"/>
        <w:autoSpaceDN w:val="0"/>
        <w:adjustRightInd w:val="0"/>
        <w:spacing w:line="480" w:lineRule="auto"/>
        <w:jc w:val="both"/>
        <w:rPr>
          <w:rFonts w:ascii="Calibri" w:hAnsi="Calibri"/>
          <w:b/>
          <w:lang w:val="en-GB"/>
        </w:rPr>
      </w:pPr>
      <w:r w:rsidRPr="0024604A">
        <w:rPr>
          <w:rFonts w:ascii="Calibri" w:hAnsi="Calibri"/>
          <w:b/>
          <w:lang w:val="en-GB"/>
        </w:rPr>
        <w:t>3.1</w:t>
      </w:r>
      <w:r w:rsidRPr="0024604A">
        <w:rPr>
          <w:rFonts w:ascii="Calibri" w:hAnsi="Calibri"/>
          <w:lang w:val="en-GB"/>
        </w:rPr>
        <w:t>.</w:t>
      </w:r>
      <w:r w:rsidRPr="0024604A">
        <w:rPr>
          <w:rFonts w:ascii="Calibri" w:hAnsi="Calibri"/>
          <w:lang w:val="en-GB"/>
        </w:rPr>
        <w:tab/>
      </w:r>
      <w:r w:rsidR="00DE56B3" w:rsidRPr="0024604A">
        <w:rPr>
          <w:rFonts w:ascii="Calibri" w:hAnsi="Calibri"/>
          <w:b/>
          <w:lang w:val="en-GB"/>
        </w:rPr>
        <w:t>Data processing</w:t>
      </w:r>
      <w:r w:rsidR="00790C94" w:rsidRPr="0024604A">
        <w:rPr>
          <w:rFonts w:ascii="Calibri" w:hAnsi="Calibri"/>
          <w:b/>
          <w:lang w:val="en-GB"/>
        </w:rPr>
        <w:t xml:space="preserve"> of</w:t>
      </w:r>
      <w:r w:rsidR="00DE56B3" w:rsidRPr="0024604A">
        <w:rPr>
          <w:rFonts w:ascii="Calibri" w:hAnsi="Calibri"/>
          <w:b/>
          <w:lang w:val="en-GB"/>
        </w:rPr>
        <w:t xml:space="preserve"> XCMS </w:t>
      </w:r>
      <w:r w:rsidR="000664D2" w:rsidRPr="0024604A">
        <w:rPr>
          <w:rFonts w:ascii="Calibri" w:hAnsi="Calibri"/>
          <w:b/>
          <w:lang w:val="en-GB"/>
        </w:rPr>
        <w:t>results</w:t>
      </w:r>
      <w:r w:rsidR="00D163F6" w:rsidRPr="0024604A">
        <w:rPr>
          <w:rFonts w:ascii="Calibri" w:hAnsi="Calibri"/>
          <w:b/>
          <w:lang w:val="en-GB"/>
        </w:rPr>
        <w:t xml:space="preserve">. </w:t>
      </w:r>
    </w:p>
    <w:p w14:paraId="04A46032" w14:textId="103AD97B" w:rsidR="000A1D5C" w:rsidRPr="0024604A" w:rsidRDefault="00B70566" w:rsidP="00153A2D">
      <w:pPr>
        <w:keepNext/>
        <w:widowControl w:val="0"/>
        <w:autoSpaceDE w:val="0"/>
        <w:autoSpaceDN w:val="0"/>
        <w:adjustRightInd w:val="0"/>
        <w:spacing w:line="480" w:lineRule="auto"/>
        <w:jc w:val="both"/>
        <w:rPr>
          <w:rFonts w:ascii="Calibri" w:hAnsi="Calibri"/>
          <w:lang w:val="en-GB"/>
        </w:rPr>
      </w:pPr>
      <w:r w:rsidRPr="0024604A">
        <w:rPr>
          <w:rFonts w:ascii="Calibri" w:hAnsi="Calibri"/>
          <w:lang w:val="en-GB"/>
        </w:rPr>
        <w:t>Hydrophilic interaction liquid chromatography (HILIC) coupled to high-resolution Fourier-transform mass spectrometry (</w:t>
      </w:r>
      <w:r w:rsidR="000A70D4" w:rsidRPr="0024604A">
        <w:rPr>
          <w:rFonts w:ascii="Calibri" w:hAnsi="Calibri"/>
          <w:lang w:val="en-GB"/>
        </w:rPr>
        <w:t>FT</w:t>
      </w:r>
      <w:r w:rsidRPr="0024604A">
        <w:rPr>
          <w:rFonts w:ascii="Calibri" w:hAnsi="Calibri"/>
          <w:lang w:val="en-GB"/>
        </w:rPr>
        <w:t xml:space="preserve">MS) is recognized as a powerful platform for lipid identification </w:t>
      </w:r>
      <w:r w:rsidRPr="0024604A">
        <w:rPr>
          <w:rFonts w:ascii="Calibri" w:hAnsi="Calibri"/>
          <w:lang w:val="en-GB"/>
        </w:rPr>
        <w:fldChar w:fldCharType="begin" w:fldLock="1"/>
      </w:r>
      <w:r w:rsidR="006126E3" w:rsidRPr="0024604A">
        <w:rPr>
          <w:rFonts w:ascii="Calibri" w:hAnsi="Calibri"/>
          <w:lang w:val="en-GB"/>
        </w:rPr>
        <w:instrText>ADDIN CSL_CITATION {"citationItems":[{"id":"ITEM-1","itemData":{"DOI":"10.1016/j.chroma.2016.11.048","ISBN":"0021-9673","ISSN":"18733778","abstract":"A hydrophilic interaction liquid chromatography (HILIC) fused-core column (150 × 2.1 mm ID, 2.7 μm particle size) and a short reversed-phase liquid chromatography (RPLC) column (20 mm × 2.1 mm ID, 1.9 μm) were serially coupled to perform mixed-mode chromatography (MMC) on complex mixtures of phospholipids (PL). Mobile phase composition and gradient elution program were, preliminarily, optimized using a mixture of phosphatidylcholines (PC), phosphatidylethanolamines (PE), their corresponding lyso-forms (LPC and LPE), and sphingomyelins (SM). Thus a mixture of PC extracted from soybean was characterized by MMC coupled to electrospray ionization (ESI) high-resolution Fourier-transform mass spectrometry (FTMS) using an orbital trap analyzer. Several previously undiscovered PC, including positional isomers (i.e. 16:0/19:1 and 19:1/16:0) of PC 35:1 and skeletal isomers (i.e. 18:1/18:2 and 18:0/18:3) of PC 36:3 were identified. Therefore, high-resolution MS/MS spectra unveiled the occurrence of isomers for several overall side chain compositions. The proposed MMC-ESI-FTMS/MS approach revealed an unprecedented capability in disclosing complexity of an actual lipid extract, thus representing a very promising approach to lipidomics.","author":[{"dropping-particle":"","family":"Granafei","given":"Sara","non-dropping-particle":"","parse-names":false,"suffix":""},{"dropping-particle":"","family":"Azzone","given":"Pietro","non-dropping-particle":"","parse-names":false,"suffix":""},{"dropping-particle":"","family":"Spinelli","given":"V.A. Vito Alessandro","non-dropping-particle":"","parse-names":false,"suffix":""},{"dropping-particle":"","family":"Losito","given":"Ilario","non-dropping-particle":"","parse-names":false,"suffix":""},{"dropping-particle":"","family":"Palmisano","given":"Francesco","non-dropping-particle":"","parse-names":false,"suffix":""},{"dropping-particle":"","family":"Cataldi","given":"Tommaso R.I. T.R.I.","non-dropping-particle":"","parse-names":false,"suffix":""}],"container-title":"Journal of Chromatography A","id":"ITEM-1","issued":{"date-parts":[["2016"]]},"page":"47-55","publisher":"Elsevier B.V.","title":"Hydrophilic interaction and reversed phase mixed-mode liquid chromatography coupled to high resolution tandem mass spectrometry for polar lipids analysis","type":"article-journal","volume":"1477"},"uris":["http://www.mendeley.com/documents/?uuid=91aebbf2-28c1-45d6-8275-4048b2ad6ae9"]},{"id":"ITEM-2","itemData":{"DOI":"10.1007/s00216-015-8671-9","ISSN":"1618-2642","abstract":"© Springer-Verlag Berlin Heidelberg 2015. The numerous and varied biological roles of phosphatidylcholines (PC) and lysophosphatidylcholines (LPC) have fueled a great demand for technologies that enable rapid, in-depth structural examination of these lipids in foodstuffs. Here, we describe the capabilities of a newly configured combination of high-efficiency liquid chromatography and highresolution/accuracy Fourier-transform mass spectrometry with electrospray ionization (LC-ESI-FTMS), designed for lipidomics applications that require the identification of PC in their lyso forms. The devised strategy, involving a separation by hydrophilic interaction liquid chromatography (HILIC) on spherical, fused-core ultrapure silica particles (2.7 μm) of a narrow-bore column (2.1 mm i.d.), enabled the identification of as many as 71 LPC species in the lipid extracts of gilthead sea bream (Sparus aurata) fillets. In this way, LPC as proton (43) and sodium (28) adducts, i.e., [M+ H] + and [M+Na] + ions (with M representing the zwitterionic form), were identified. In several cases, the extremely high (sub-ppm) mass accuracy and the high chromatographic efficiency available with the adopted instrumentation enabled the distinction of isobaric and closely eluting LPC species. Informative tandem mass spectra, based on high-energy collision induced dissociation (HCD), were also obtained, thus distinguishing regioisomeric LPC species (i.e., LPC differing only for the location of the residual side chain on the glycerol backbone) and between proton and sodium adducts.","author":[{"dropping-particle":"","family":"Granafei","given":"Sara","non-dropping-particle":"","parse-names":false,"suffix":""},{"dropping-particle":"","family":"Losito","given":"Ilario","non-dropping-particle":"","parse-names":false,"suffix":""},{"dropping-particle":"","family":"Palmisano","given":"Francesco","non-dropping-particle":"","parse-names":false,"suffix":""},{"dropping-particle":"","family":"Cataldi","given":"Tommaso R.I.","non-dropping-particle":"","parse-names":false,"suffix":""}],"container-title":"Analytical and Bioanalytical Chemistry","id":"ITEM-2","issue":"21","issued":{"date-parts":[["2015","8"]]},"page":"6391-6404","title":"Identification of isobaric lyso-phosphatidylcholines in lipid extracts of gilthead sea bream (Sparus aurata) fillets by hydrophilic interaction liquid chromatography coupled to high-resolution Fourier-transform mass spectrometry","type":"article-journal","volume":"407"},"uris":["http://www.mendeley.com/documents/?uuid=5d5157c2-4d6c-4f95-bfc5-c4767f2cd5dc"]}],"mendeley":{"formattedCitation":"[31, 32]","plainTextFormattedCitation":"[31, 32]","previouslyFormattedCitation":"[31, 32]"},"properties":{"noteIndex":0},"schema":"https://github.com/citation-style-language/schema/raw/master/csl-citation.json"}</w:instrText>
      </w:r>
      <w:r w:rsidRPr="0024604A">
        <w:rPr>
          <w:rFonts w:ascii="Calibri" w:hAnsi="Calibri"/>
          <w:lang w:val="en-GB"/>
        </w:rPr>
        <w:fldChar w:fldCharType="separate"/>
      </w:r>
      <w:r w:rsidR="0089225B" w:rsidRPr="0024604A">
        <w:rPr>
          <w:rFonts w:ascii="Calibri" w:hAnsi="Calibri"/>
          <w:noProof/>
          <w:lang w:val="en-GB"/>
        </w:rPr>
        <w:t>[31, 32]</w:t>
      </w:r>
      <w:r w:rsidRPr="0024604A">
        <w:rPr>
          <w:rFonts w:ascii="Calibri" w:hAnsi="Calibri"/>
          <w:lang w:val="en-GB"/>
        </w:rPr>
        <w:fldChar w:fldCharType="end"/>
      </w:r>
      <w:r w:rsidRPr="0024604A">
        <w:rPr>
          <w:rFonts w:ascii="Calibri" w:hAnsi="Calibri"/>
          <w:lang w:val="en-GB"/>
        </w:rPr>
        <w:t xml:space="preserve">. HILIC separations, wherein lipid elution order is decreed by the nature of the polar head, coupled with fast and sensitive MS detection </w:t>
      </w:r>
      <w:r w:rsidR="00334940" w:rsidRPr="0024604A">
        <w:rPr>
          <w:rFonts w:ascii="Calibri" w:hAnsi="Calibri"/>
          <w:lang w:val="en-GB"/>
        </w:rPr>
        <w:t>systems</w:t>
      </w:r>
      <w:r w:rsidRPr="0024604A">
        <w:rPr>
          <w:rFonts w:ascii="Calibri" w:hAnsi="Calibri"/>
          <w:lang w:val="en-GB"/>
        </w:rPr>
        <w:t xml:space="preserve"> enable quantitative measurements of hundreds of lipid species even </w:t>
      </w:r>
      <w:r w:rsidR="005E1178" w:rsidRPr="0024604A">
        <w:rPr>
          <w:rFonts w:ascii="Calibri" w:hAnsi="Calibri"/>
          <w:lang w:val="en-GB"/>
        </w:rPr>
        <w:t>with</w:t>
      </w:r>
      <w:r w:rsidRPr="0024604A">
        <w:rPr>
          <w:rFonts w:ascii="Calibri" w:hAnsi="Calibri"/>
          <w:lang w:val="en-GB"/>
        </w:rPr>
        <w:t>in complex clinical specimens, such as human blood plasma</w:t>
      </w:r>
      <w:r w:rsidR="00C90E2F" w:rsidRPr="0024604A">
        <w:rPr>
          <w:rFonts w:ascii="Calibri" w:hAnsi="Calibri"/>
          <w:lang w:val="en-GB"/>
        </w:rPr>
        <w:t xml:space="preserve"> </w:t>
      </w:r>
      <w:r w:rsidR="00C90E2F" w:rsidRPr="0024604A">
        <w:rPr>
          <w:rFonts w:ascii="Calibri" w:hAnsi="Calibri"/>
          <w:lang w:val="en-GB"/>
        </w:rPr>
        <w:fldChar w:fldCharType="begin" w:fldLock="1"/>
      </w:r>
      <w:r w:rsidR="006126E3" w:rsidRPr="0024604A">
        <w:rPr>
          <w:rFonts w:ascii="Calibri" w:hAnsi="Calibri"/>
          <w:lang w:val="en-GB"/>
        </w:rPr>
        <w:instrText>ADDIN CSL_CITATION {"citationItems":[{"id":"ITEM-1","itemData":{"DOI":"10.3390/molecules25102310","ISSN":"1420-3049","abstract":"Lipidomics suffers from the lack of fast and reproducible tools to obtain both structural information on intact phospholipids (PL) and fatty acyl chain composition. Hydrophilic interaction liquid chromatography with electrospray ionization coupled to an orbital-trap Fourier-transform analyzer operating using all ion fragmentation mode (HILIC-ESI-FTMS-AIF MS) is seemingly a valuable resource in this respect. Here, accurate m/z values, HILIC retention times and AIF MS scan data were combined for PL assignment in standard mixtures or real lipid extracts. AIF scans in both positive and negative ESI mode, achieved using collisional induced dissociation for fragmentation, were applied to identify both the head-group of each PL class and the fatty acyl chains, respectively. An advantage of the AIF approach was the concurrent collection of tandem MS-like data, enabling the identification of linked fatty acyl chains of precursor phospholipids through the corresponding carboxylate anions. To illustrate the ability of AIF in the field of lipidomics, two different types of real samples, i.e., the lipid extracts obtained from human plasma and dermal fibroblasts, were examined. Using AIF scans, a total of 253 intact lipid species and 18 fatty acids across 4 lipid classes were recognized in plasma samples, while FA C20:3 was confirmed as the fatty acyl chain belonging to phosphatidylinositol, PI 38:3, which was found to be down-regulated in fibroblast samples of Parkinson’s disease patients.","author":[{"dropping-particle":"","family":"Ventura","given":"Giovanni","non-dropping-particle":"","parse-names":false,"suffix":""},{"dropping-particle":"","family":"Bianco","given":"Mariachiara","non-dropping-particle":"","parse-names":false,"suffix":""},{"dropping-particle":"","family":"Calvano","given":"Cosima Damiana","non-dropping-particle":"","parse-names":false,"suffix":""},{"dropping-particle":"","family":"Losito","given":"Ilario","non-dropping-particle":"","parse-names":false,"suffix":""},{"dropping-particle":"","family":"Cataldi","given":"Tommaso R.I.","non-dropping-particle":"","parse-names":false,"suffix":""}],"container-title":"Molecules","id":"ITEM-1","issue":"10","issued":{"date-parts":[["2020","5"]]},"page":"2310","title":"HILIC-ESI-FTMS with All Ion Fragmentation (AIF) Scans as a Tool for Fast Lipidome Investigations","type":"article-journal","volume":"25"},"uris":["http://www.mendeley.com/documents/?uuid=b908c2cc-e94b-4387-8bd7-51329331eaca","http://www.mendeley.com/documents/?uuid=bc7ed5c8-a106-490f-8d53-a6000fd3d150"]}],"mendeley":{"formattedCitation":"[20]","plainTextFormattedCitation":"[20]","previouslyFormattedCitation":"[20]"},"properties":{"noteIndex":0},"schema":"https://github.com/citation-style-language/schema/raw/master/csl-citation.json"}</w:instrText>
      </w:r>
      <w:r w:rsidR="00C90E2F" w:rsidRPr="0024604A">
        <w:rPr>
          <w:rFonts w:ascii="Calibri" w:hAnsi="Calibri"/>
          <w:lang w:val="en-GB"/>
        </w:rPr>
        <w:fldChar w:fldCharType="separate"/>
      </w:r>
      <w:r w:rsidR="0089225B" w:rsidRPr="0024604A">
        <w:rPr>
          <w:rFonts w:ascii="Calibri" w:hAnsi="Calibri"/>
          <w:noProof/>
          <w:lang w:val="en-GB"/>
        </w:rPr>
        <w:t>[20]</w:t>
      </w:r>
      <w:r w:rsidR="00C90E2F" w:rsidRPr="0024604A">
        <w:rPr>
          <w:rFonts w:ascii="Calibri" w:hAnsi="Calibri"/>
          <w:lang w:val="en-GB"/>
        </w:rPr>
        <w:fldChar w:fldCharType="end"/>
      </w:r>
      <w:r w:rsidRPr="0024604A">
        <w:rPr>
          <w:rFonts w:ascii="Calibri" w:hAnsi="Calibri"/>
          <w:lang w:val="en-GB"/>
        </w:rPr>
        <w:t xml:space="preserve"> or cells</w:t>
      </w:r>
      <w:r w:rsidR="00334940" w:rsidRPr="0024604A">
        <w:rPr>
          <w:rFonts w:ascii="Calibri" w:hAnsi="Calibri"/>
          <w:lang w:val="en-GB"/>
        </w:rPr>
        <w:t xml:space="preserve"> </w:t>
      </w:r>
      <w:r w:rsidR="00C90E2F" w:rsidRPr="0024604A">
        <w:rPr>
          <w:rFonts w:ascii="Calibri" w:hAnsi="Calibri"/>
          <w:lang w:val="en-GB"/>
        </w:rPr>
        <w:fldChar w:fldCharType="begin" w:fldLock="1"/>
      </w:r>
      <w:r w:rsidR="00D96E78" w:rsidRPr="0024604A">
        <w:rPr>
          <w:rFonts w:ascii="Calibri" w:hAnsi="Calibri"/>
          <w:lang w:val="en-GB"/>
        </w:rPr>
        <w:instrText>ADDIN CSL_CITATION {"citationItems":[{"id":"ITEM-1","itemData":{"DOI":"10.15761/TPBA.1000102","author":[{"dropping-particle":"","family":"Calvano","given":"C D","non-dropping-particle":"","parse-names":false,"suffix":""},{"dropping-particle":"","family":"Sardanelli","given":"A M","non-dropping-particle":"","parse-names":false,"suffix":""},{"dropping-particle":"","family":"Ventura","given":"G","non-dropping-particle":"","parse-names":false,"suffix":""},{"dropping-particle":"","family":"Glaciale","given":"M","non-dropping-particle":"","parse-names":false,"suffix":""},{"dropping-particle":"","family":"Savino","given":"L","non-dropping-particle":"","parse-names":false,"suffix":""},{"dropping-particle":"","family":"Losito","given":"I","non-dropping-particle":"","parse-names":false,"suffix":""},{"dropping-particle":"","family":"Palmisano","given":"F","non-dropping-particle":"","parse-names":false,"suffix":""},{"dropping-particle":"","family":"Cataldi","given":"T R I","non-dropping-particle":"","parse-names":false,"suffix":""}],"container-title":"Trends in Pharmaceutical and Biomedical Analysis","id":"ITEM-1","issue":"1","issued":{"date-parts":[["2018"]]},"page":"1-10","title":"Development and use of advanced mass spectrometry techniques for the characterization of cellular and mitochondrial lipidomic profiling in control fibroblasts and Parkinson ’ s disease patients","type":"article-journal","volume":"1"},"uris":["http://www.mendeley.com/documents/?uuid=e54a42cb-3403-4c26-8683-ef7835b4e532"]},{"id":"ITEM-2","itemData":{"DOI":"10.3390/ijms20133341","ISSN":"14220067","PMID":"31284683","abstract":"Early diagnosis of neural changes causing cerebral impairment is critical for proposing preventive therapies for Parkinson’s disease (PD). Biomarkers currently available cannot be informative of PD onset since they are characterized by analysing post-mortem tissues from patients with severe degeneration of the substantia nigra. Skin fibroblasts (SF) are now recognized as a useful model of primary human cells, capable of reflecting the chronological and biological aging of the subjects. Here a lipidomic study of easily accessible primary SF is presented, based on hydrophilic interaction liquid chromatography coupled to electrospray ionization and mass spectrometry (HILIC/ESI-MS). Phospholipids (PL) from dermal fibroblasts of five PD patients with different parkin mutations and healthy control SF were characterized by single and tandem MS measurements using a hybrid quadrupole-Orbitrap and a linear ion trap mass analysers. The proposed approach enabled the identification of more than 360 PL. Univariate statistical analyses highlight abnormality of PL metabolism in the PD group, suggesting down-or up-regulation of certain species according to the extent of disease progression. These findings, although preliminary, suggest that the phospholipidome of human SF represents a source of potential biomarkers for the early diagnosis of PD. The dysregulation of ethanolamine plasmalogens in the circulatory system, especially those containing polyunsaturated fatty acids (PUFA), might be likely associated with neurodegeneration.","author":[{"dropping-particle":"","family":"Calvano","given":"Cosima D.","non-dropping-particle":"","parse-names":false,"suffix":""},{"dropping-particle":"","family":"Ventura","given":"Giovanni","non-dropping-particle":"","parse-names":false,"suffix":""},{"dropping-particle":"","family":"Sardanelli","given":"Anna M.","non-dropping-particle":"","parse-names":false,"suffix":""},{"dropping-particle":"","family":"Savino","given":"Laura","non-dropping-particle":"","parse-names":false,"suffix":""},{"dropping-particle":"","family":"Losito","given":"Ilario","non-dropping-particle":"","parse-names":false,"suffix":""},{"dropping-particle":"","family":"Michele","given":"Giuseppe","non-dropping-particle":"De","parse-names":false,"suffix":""},{"dropping-particle":"","family":"Palmisano","given":"Francesco","non-dropping-particle":"","parse-names":false,"suffix":""},{"dropping-particle":"","family":"Cataldi","given":"Tommaso R.I.","non-dropping-particle":"","parse-names":false,"suffix":""},{"dropping-particle":"","family":"Michele","given":"Giuseppe","non-dropping-particle":"De","parse-names":false,"suffix":""},{"dropping-particle":"","family":"Palmisano","given":"Francesco","non-dropping-particle":"","parse-names":false,"suffix":""}],"container-title":"International Journal of Molecular Sciences","id":"ITEM-2","issue":"13","issued":{"date-parts":[["2019","7"]]},"page":"3341","title":"Searching for potential lipid biomarkers of parkinson's disease in parkin-mutant human skin fibroblasts by HILIC-ESI-MS/MS: Preliminary findings","type":"article-journal","volume":"20"},"uris":["http://www.mendeley.com/documents/?uuid=5de06313-3e8d-4506-9bec-e57cff8bf0ba"]}],"mendeley":{"formattedCitation":"[33, 34]","plainTextFormattedCitation":"[33, 34]","previouslyFormattedCitation":"[33, 34]"},"properties":{"noteIndex":0},"schema":"https://github.com/citation-style-language/schema/raw/master/csl-citation.json"}</w:instrText>
      </w:r>
      <w:r w:rsidR="00C90E2F" w:rsidRPr="0024604A">
        <w:rPr>
          <w:rFonts w:ascii="Calibri" w:hAnsi="Calibri"/>
          <w:lang w:val="en-GB"/>
        </w:rPr>
        <w:fldChar w:fldCharType="separate"/>
      </w:r>
      <w:r w:rsidR="00D96E78" w:rsidRPr="0024604A">
        <w:rPr>
          <w:rFonts w:ascii="Calibri" w:hAnsi="Calibri"/>
          <w:noProof/>
          <w:lang w:val="en-GB"/>
        </w:rPr>
        <w:t>[33, 34]</w:t>
      </w:r>
      <w:r w:rsidR="00C90E2F" w:rsidRPr="0024604A">
        <w:rPr>
          <w:rFonts w:ascii="Calibri" w:hAnsi="Calibri"/>
          <w:lang w:val="en-GB"/>
        </w:rPr>
        <w:fldChar w:fldCharType="end"/>
      </w:r>
      <w:r w:rsidRPr="0024604A">
        <w:rPr>
          <w:rFonts w:ascii="Calibri" w:hAnsi="Calibri"/>
          <w:lang w:val="en-GB"/>
        </w:rPr>
        <w:t xml:space="preserve">. </w:t>
      </w:r>
      <w:r w:rsidR="005E1178" w:rsidRPr="0024604A">
        <w:rPr>
          <w:rFonts w:ascii="Calibri" w:hAnsi="Calibri"/>
          <w:lang w:val="en-GB"/>
        </w:rPr>
        <w:t>In this study h</w:t>
      </w:r>
      <w:r w:rsidR="00A73C0C" w:rsidRPr="0024604A">
        <w:rPr>
          <w:rFonts w:ascii="Calibri" w:hAnsi="Calibri"/>
          <w:lang w:val="en-GB"/>
        </w:rPr>
        <w:t xml:space="preserve">igh-resolution, accurate-mass (HR/AM) ESI-Orbitrap MS analysis </w:t>
      </w:r>
      <w:r w:rsidRPr="0024604A">
        <w:rPr>
          <w:rFonts w:ascii="Calibri" w:hAnsi="Calibri"/>
          <w:lang w:val="en-GB"/>
        </w:rPr>
        <w:t xml:space="preserve">performed </w:t>
      </w:r>
      <w:r w:rsidR="00A73C0C" w:rsidRPr="0024604A">
        <w:rPr>
          <w:rFonts w:ascii="Calibri" w:hAnsi="Calibri"/>
          <w:lang w:val="en-GB"/>
        </w:rPr>
        <w:t xml:space="preserve">in negative-ion mode </w:t>
      </w:r>
      <w:r w:rsidR="005A00D8" w:rsidRPr="0024604A">
        <w:rPr>
          <w:rFonts w:ascii="Calibri" w:hAnsi="Calibri"/>
          <w:lang w:val="en-GB"/>
        </w:rPr>
        <w:t>by</w:t>
      </w:r>
      <w:r w:rsidR="00334940" w:rsidRPr="0024604A">
        <w:rPr>
          <w:rFonts w:ascii="Calibri" w:hAnsi="Calibri"/>
          <w:lang w:val="en-GB"/>
        </w:rPr>
        <w:t xml:space="preserve"> </w:t>
      </w:r>
      <w:r w:rsidR="00A73C0C" w:rsidRPr="0024604A">
        <w:rPr>
          <w:rFonts w:ascii="Calibri" w:hAnsi="Calibri"/>
          <w:lang w:val="en-GB"/>
        </w:rPr>
        <w:t xml:space="preserve">source-induced </w:t>
      </w:r>
      <w:r w:rsidR="00A7063E" w:rsidRPr="0024604A">
        <w:rPr>
          <w:rFonts w:ascii="Calibri" w:hAnsi="Calibri"/>
          <w:lang w:val="en-GB"/>
        </w:rPr>
        <w:t xml:space="preserve">dissociation </w:t>
      </w:r>
      <w:r w:rsidR="00A73C0C" w:rsidRPr="0024604A">
        <w:rPr>
          <w:rFonts w:ascii="Calibri" w:hAnsi="Calibri"/>
          <w:lang w:val="en-GB"/>
        </w:rPr>
        <w:t>(</w:t>
      </w:r>
      <w:proofErr w:type="spellStart"/>
      <w:r w:rsidR="00A73C0C" w:rsidRPr="0024604A">
        <w:rPr>
          <w:rFonts w:ascii="Calibri" w:hAnsi="Calibri"/>
          <w:lang w:val="en-GB"/>
        </w:rPr>
        <w:t>sid</w:t>
      </w:r>
      <w:proofErr w:type="spellEnd"/>
      <w:r w:rsidR="00A73C0C" w:rsidRPr="0024604A">
        <w:rPr>
          <w:rFonts w:ascii="Calibri" w:hAnsi="Calibri"/>
          <w:lang w:val="en-GB"/>
        </w:rPr>
        <w:t xml:space="preserve">) </w:t>
      </w:r>
      <w:r w:rsidR="005E1178" w:rsidRPr="0024604A">
        <w:rPr>
          <w:rFonts w:ascii="Calibri" w:hAnsi="Calibri"/>
          <w:lang w:val="en-GB"/>
        </w:rPr>
        <w:t xml:space="preserve">was </w:t>
      </w:r>
      <w:r w:rsidR="00A73C0C" w:rsidRPr="0024604A">
        <w:rPr>
          <w:rFonts w:ascii="Calibri" w:hAnsi="Calibri"/>
          <w:lang w:val="en-GB"/>
        </w:rPr>
        <w:t xml:space="preserve">employed to investigate </w:t>
      </w:r>
      <w:r w:rsidR="005E1178" w:rsidRPr="0024604A">
        <w:rPr>
          <w:rFonts w:ascii="Calibri" w:hAnsi="Calibri"/>
          <w:lang w:val="en-GB"/>
        </w:rPr>
        <w:t xml:space="preserve">lipid extracts from </w:t>
      </w:r>
      <w:r w:rsidR="00A73C0C" w:rsidRPr="0024604A">
        <w:rPr>
          <w:rFonts w:ascii="Calibri" w:hAnsi="Calibri"/>
          <w:lang w:val="en-GB"/>
        </w:rPr>
        <w:t>lymphocytes samples</w:t>
      </w:r>
      <w:r w:rsidR="005E1178" w:rsidRPr="0024604A">
        <w:rPr>
          <w:rFonts w:ascii="Calibri" w:hAnsi="Calibri"/>
          <w:lang w:val="en-GB"/>
        </w:rPr>
        <w:t>. The resulting data</w:t>
      </w:r>
      <w:r w:rsidR="005E1178" w:rsidRPr="0024604A">
        <w:rPr>
          <w:rFonts w:ascii="Calibri" w:hAnsi="Calibri" w:cs="Calibri"/>
          <w:lang w:val="en-GB"/>
        </w:rPr>
        <w:t xml:space="preserve"> </w:t>
      </w:r>
      <w:r w:rsidR="00A73C0C" w:rsidRPr="0024604A">
        <w:rPr>
          <w:rFonts w:ascii="Calibri" w:hAnsi="Calibri"/>
          <w:lang w:val="en-GB"/>
        </w:rPr>
        <w:t xml:space="preserve">were subsequently </w:t>
      </w:r>
      <w:r w:rsidR="00334940" w:rsidRPr="0024604A">
        <w:rPr>
          <w:rFonts w:ascii="Calibri" w:hAnsi="Calibri"/>
          <w:lang w:val="en-GB"/>
        </w:rPr>
        <w:t>processed by two freely available software tools, XCMS and Alex</w:t>
      </w:r>
      <w:r w:rsidR="00334940" w:rsidRPr="0024604A">
        <w:rPr>
          <w:rFonts w:ascii="Calibri" w:hAnsi="Calibri"/>
          <w:vertAlign w:val="superscript"/>
          <w:lang w:val="en-GB"/>
        </w:rPr>
        <w:t>123</w:t>
      </w:r>
      <w:r w:rsidR="00334940" w:rsidRPr="0024604A">
        <w:rPr>
          <w:rFonts w:ascii="Calibri" w:hAnsi="Calibri"/>
          <w:lang w:val="en-GB"/>
        </w:rPr>
        <w:t xml:space="preserve"> for</w:t>
      </w:r>
      <w:r w:rsidR="00A73C0C" w:rsidRPr="0024604A">
        <w:rPr>
          <w:rFonts w:ascii="Calibri" w:hAnsi="Calibri"/>
          <w:lang w:val="en-GB"/>
        </w:rPr>
        <w:t xml:space="preserve"> peak detection and integration</w:t>
      </w:r>
      <w:r w:rsidR="00B11726" w:rsidRPr="0024604A">
        <w:rPr>
          <w:rFonts w:ascii="Calibri" w:hAnsi="Calibri"/>
          <w:lang w:val="en-GB"/>
        </w:rPr>
        <w:t>. Both these software</w:t>
      </w:r>
      <w:r w:rsidR="005E1178" w:rsidRPr="0024604A">
        <w:rPr>
          <w:rFonts w:ascii="Calibri" w:hAnsi="Calibri"/>
          <w:lang w:val="en-GB"/>
        </w:rPr>
        <w:t xml:space="preserve"> package</w:t>
      </w:r>
      <w:r w:rsidR="00B11726" w:rsidRPr="0024604A">
        <w:rPr>
          <w:rFonts w:ascii="Calibri" w:hAnsi="Calibri"/>
          <w:lang w:val="en-GB"/>
        </w:rPr>
        <w:t xml:space="preserve">s </w:t>
      </w:r>
      <w:r w:rsidR="00A73C0C" w:rsidRPr="0024604A">
        <w:rPr>
          <w:rFonts w:ascii="Calibri" w:hAnsi="Calibri"/>
          <w:lang w:val="en-GB"/>
        </w:rPr>
        <w:t>generate</w:t>
      </w:r>
      <w:r w:rsidR="005E1178" w:rsidRPr="0024604A">
        <w:rPr>
          <w:rFonts w:ascii="Calibri" w:hAnsi="Calibri"/>
          <w:lang w:val="en-GB"/>
        </w:rPr>
        <w:t>d</w:t>
      </w:r>
      <w:r w:rsidR="00A73C0C" w:rsidRPr="0024604A">
        <w:rPr>
          <w:rFonts w:ascii="Calibri" w:hAnsi="Calibri"/>
          <w:lang w:val="en-GB"/>
        </w:rPr>
        <w:t xml:space="preserve"> 2D </w:t>
      </w:r>
      <w:r w:rsidR="00B11726" w:rsidRPr="0024604A">
        <w:rPr>
          <w:rFonts w:ascii="Calibri" w:hAnsi="Calibri"/>
          <w:lang w:val="en-GB"/>
        </w:rPr>
        <w:t xml:space="preserve">data </w:t>
      </w:r>
      <w:r w:rsidR="00A73C0C" w:rsidRPr="0024604A">
        <w:rPr>
          <w:rFonts w:ascii="Calibri" w:hAnsi="Calibri"/>
          <w:lang w:val="en-GB"/>
        </w:rPr>
        <w:t>matrices, including variable indices, sample names and peak areas</w:t>
      </w:r>
      <w:r w:rsidRPr="0024604A">
        <w:rPr>
          <w:rFonts w:ascii="Calibri" w:hAnsi="Calibri"/>
          <w:lang w:val="en-GB"/>
        </w:rPr>
        <w:t>.</w:t>
      </w:r>
      <w:r w:rsidR="00DA44C1" w:rsidRPr="0024604A">
        <w:rPr>
          <w:rFonts w:ascii="Calibri" w:hAnsi="Calibri"/>
          <w:lang w:val="en-GB"/>
        </w:rPr>
        <w:t xml:space="preserve"> </w:t>
      </w:r>
      <w:r w:rsidR="00DA44C1" w:rsidRPr="0024604A">
        <w:rPr>
          <w:rFonts w:ascii="Calibri" w:hAnsi="Calibri"/>
          <w:b/>
          <w:lang w:val="en-GB"/>
        </w:rPr>
        <w:t>Figure 1</w:t>
      </w:r>
      <w:r w:rsidR="00DA44C1" w:rsidRPr="0024604A">
        <w:rPr>
          <w:rFonts w:ascii="Calibri" w:hAnsi="Calibri"/>
          <w:lang w:val="en-GB"/>
        </w:rPr>
        <w:t xml:space="preserve"> shows the adopted </w:t>
      </w:r>
      <w:r w:rsidR="00773213" w:rsidRPr="0024604A">
        <w:rPr>
          <w:rFonts w:ascii="Calibri" w:hAnsi="Calibri"/>
          <w:lang w:val="en-GB"/>
        </w:rPr>
        <w:t xml:space="preserve">strategy </w:t>
      </w:r>
      <w:r w:rsidR="00B11726" w:rsidRPr="0024604A">
        <w:rPr>
          <w:rFonts w:ascii="Calibri" w:hAnsi="Calibri"/>
          <w:lang w:val="en-GB"/>
        </w:rPr>
        <w:t xml:space="preserve">of </w:t>
      </w:r>
      <w:r w:rsidR="00A7063E" w:rsidRPr="0024604A">
        <w:rPr>
          <w:rFonts w:ascii="Calibri" w:hAnsi="Calibri"/>
          <w:lang w:val="en-GB"/>
        </w:rPr>
        <w:t>lipid</w:t>
      </w:r>
      <w:r w:rsidR="00771A34" w:rsidRPr="0024604A">
        <w:rPr>
          <w:rFonts w:ascii="Calibri" w:hAnsi="Calibri"/>
          <w:lang w:val="en-GB"/>
        </w:rPr>
        <w:t xml:space="preserve"> </w:t>
      </w:r>
      <w:r w:rsidR="00B11726" w:rsidRPr="0024604A">
        <w:rPr>
          <w:rFonts w:ascii="Calibri" w:hAnsi="Calibri"/>
          <w:lang w:val="en-GB"/>
        </w:rPr>
        <w:t>extraction</w:t>
      </w:r>
      <w:r w:rsidR="00DA44C1" w:rsidRPr="0024604A">
        <w:rPr>
          <w:rFonts w:ascii="Calibri" w:hAnsi="Calibri"/>
          <w:lang w:val="en-GB"/>
        </w:rPr>
        <w:t xml:space="preserve">, acquisition, </w:t>
      </w:r>
      <w:r w:rsidR="00A7063E" w:rsidRPr="0024604A">
        <w:rPr>
          <w:rFonts w:ascii="Calibri" w:hAnsi="Calibri"/>
          <w:lang w:val="en-GB"/>
        </w:rPr>
        <w:t xml:space="preserve">data </w:t>
      </w:r>
      <w:r w:rsidR="00DA44C1" w:rsidRPr="0024604A">
        <w:rPr>
          <w:rFonts w:ascii="Calibri" w:hAnsi="Calibri"/>
          <w:lang w:val="en-GB"/>
        </w:rPr>
        <w:t>extraction, pre-processing and chemometric</w:t>
      </w:r>
      <w:r w:rsidR="0001568E" w:rsidRPr="0024604A">
        <w:rPr>
          <w:rFonts w:ascii="Calibri" w:hAnsi="Calibri"/>
          <w:lang w:val="en-GB"/>
        </w:rPr>
        <w:t>s analysis</w:t>
      </w:r>
      <w:r w:rsidR="00DA44C1" w:rsidRPr="0024604A">
        <w:rPr>
          <w:rFonts w:ascii="Calibri" w:hAnsi="Calibri"/>
          <w:lang w:val="en-GB"/>
        </w:rPr>
        <w:t xml:space="preserve"> combined into a single </w:t>
      </w:r>
      <w:r w:rsidR="005E1178" w:rsidRPr="0024604A">
        <w:rPr>
          <w:rFonts w:ascii="Calibri" w:hAnsi="Calibri"/>
          <w:lang w:val="en-GB"/>
        </w:rPr>
        <w:t xml:space="preserve">data analysis </w:t>
      </w:r>
      <w:r w:rsidR="00DA44C1" w:rsidRPr="0024604A">
        <w:rPr>
          <w:rFonts w:ascii="Calibri" w:hAnsi="Calibri"/>
          <w:lang w:val="en-GB"/>
        </w:rPr>
        <w:t>workflow.</w:t>
      </w:r>
      <w:r w:rsidR="003A063C" w:rsidRPr="0024604A">
        <w:rPr>
          <w:rFonts w:ascii="Calibri" w:hAnsi="Calibri"/>
          <w:lang w:val="en-GB"/>
        </w:rPr>
        <w:t xml:space="preserve"> </w:t>
      </w:r>
      <w:r w:rsidR="000A1D5C" w:rsidRPr="0024604A">
        <w:rPr>
          <w:rFonts w:ascii="Calibri" w:hAnsi="Calibri"/>
          <w:lang w:val="en-GB"/>
        </w:rPr>
        <w:t xml:space="preserve">XCMS Online </w:t>
      </w:r>
      <w:r w:rsidR="000A1D5C" w:rsidRPr="0024604A">
        <w:rPr>
          <w:rFonts w:ascii="Calibri" w:hAnsi="Calibri"/>
          <w:lang w:val="en-GB"/>
        </w:rPr>
        <w:fldChar w:fldCharType="begin" w:fldLock="1"/>
      </w:r>
      <w:r w:rsidR="006126E3" w:rsidRPr="0024604A">
        <w:rPr>
          <w:rFonts w:ascii="Calibri" w:hAnsi="Calibri"/>
          <w:lang w:val="en-GB"/>
        </w:rPr>
        <w:instrText>ADDIN CSL_CITATION {"citationItems":[{"id":"ITEM-1","itemData":{"DOI":"10.1038/nprot.2011.454","ISBN":"1750-2799 (Electronic)\\n1750-2799 (Linking)","ISSN":"17542189","PMID":"22343432","abstract":"metaXCMS is a software program for the analysis of liquid chromatography/mass spectrometry-based untargeted metabolomic data. It is designed to identify the differences between metabolic profiles across multiple sample groups (e.g., 'healthy' versus 'active disease' versus 'inactive disease'). Although performing pairwise comparisons alone can provide physiologically relevant data, these experiments often result in hundreds of differences, and comparison with additional biologically meaningful sample groups can allow for substantial data reduction. By performing second-order (meta-) analysis, metaXCMS facilitates the prioritization of interesting metabolite features from large untargeted metabolomic data sets before the rate-limiting step of structural identification. Here we provide a detailed step-by-step protocol for going from raw mass spectrometry data to metaXCMS results, visualized as Venn diagrams and exported Microsoft Excel spreadsheets. There is no upper limit to the number of sample groups or individual samples that can be compared with the software, and data from most commercial mass spectrometers are supported. The speed of the analysis depends on computational resources and data volume, but will generally be less than 1 d for most users. metaXCMS is freely available at http://metlin.scripps.edu/metaxcms/.","author":[{"dropping-particle":"","family":"Patti","given":"Gary J.","non-dropping-particle":"","parse-names":false,"suffix":""},{"dropping-particle":"","family":"Tautenhahn","given":"Ralf","non-dropping-particle":"","parse-names":false,"suffix":""},{"dropping-particle":"","family":"Siuzdak","given":"Gary","non-dropping-particle":"","parse-names":false,"suffix":""}],"container-title":"Nature Protocols","id":"ITEM-1","issue":"3","issued":{"date-parts":[["2012"]]},"page":"508-516","publisher":"Nature Publishing Group","title":"Meta-analysis of untargeted metabolomic data from multiple profiling experiments","type":"article-journal","volume":"7"},"uris":["http://www.mendeley.com/documents/?uuid=e45b778f-1578-476d-a0cb-c49afc9d00a6"]},{"id":"ITEM-2","itemData":{"DOI":"10.1038/nprot.2017.151","ISSN":"17502799","abstract":"Systems biology is the study of complex living organisms, and as such, analysis on a systems-wide scale involves the collection of information-dense data sets that are representative of an entire phenotype. To uncover dynamic biological mechanisms, bioinformatics tools have become essential to facilitating data interpretation in large-scale analyses. Global metabolomics is one such method for performing systems biology, as metabolites represent the downstream functional products of ongoing biological processes. We have developed XCMS Online, a platform that enables online metabolomics data processing and interpretation. A systems biology workflow recently implemented within XCMS Online enables rapid metabolic pathway mapping using raw metabolomics data for investigating dysregulated metabolic processes. In addition, this platform supports integration of multi-omic (such as genomic and proteomic) data to garner further systems-wide mechanistic insight. Here, we provide an in-depth procedure showing how to effectively navigate and use the systems biology workflow within XCMS Online without a priori knowledge of the platform, including uploading liquid chromatography (LC)-mass spectrometry (MS) data from metabolite-extracted biological samples, defining the job parameters to identify features, correcting for retention time deviations, conducting statistical analysis of features between sample classes and performing predictive metabolic pathway analysis. Additional multi-omics data can be uploaded and overlaid with previously identified pathways to enhance systems-wide analysis of the observed dysregulations. We also describe unique visualization tools to assist in elucidation of statistically significant dysregulated metabolic pathways. Parameter input takes 5-10 min, depending on user experience; data processing typically takes 1-3 h, and data analysis takes '1/430 min.","author":[{"dropping-particle":"","family":"Forsberg","given":"Erica M.","non-dropping-particle":"","parse-names":false,"suffix":""},{"dropping-particle":"","family":"Huan","given":"Tao","non-dropping-particle":"","parse-names":false,"suffix":""},{"dropping-particle":"","family":"Rinehart","given":"Duane","non-dropping-particle":"","parse-names":false,"suffix":""},{"dropping-particle":"","family":"Benton","given":"H. Paul","non-dropping-particle":"","parse-names":false,"suffix":""},{"dropping-particle":"","family":"Warth","given":"Benedikt","non-dropping-particle":"","parse-names":false,"suffix":""},{"dropping-particle":"","family":"Hilmers","given":"Brian","non-dropping-particle":"","parse-names":false,"suffix":""},{"dropping-particle":"","family":"Siuzdak","given":"Gary","non-dropping-particle":"","parse-names":false,"suffix":""}],"container-title":"Nature Protocols","id":"ITEM-2","issue":"4","issued":{"date-parts":[["2018","4","1"]]},"page":"633-651","publisher":"Nature Publishing Group","title":"Data processing, multi-omic pathway mapping, and metabolite activity analysis using XCMS Online","type":"article-journal","volume":"13"},"uris":["http://www.mendeley.com/documents/?uuid=2cbd24b8-6fb0-3087-84fb-b6c0a360b6cf"]}],"mendeley":{"formattedCitation":"[22, 35]","plainTextFormattedCitation":"[22, 35]","previouslyFormattedCitation":"[22, 35]"},"properties":{"noteIndex":0},"schema":"https://github.com/citation-style-language/schema/raw/master/csl-citation.json"}</w:instrText>
      </w:r>
      <w:r w:rsidR="000A1D5C" w:rsidRPr="0024604A">
        <w:rPr>
          <w:rFonts w:ascii="Calibri" w:hAnsi="Calibri"/>
          <w:lang w:val="en-GB"/>
        </w:rPr>
        <w:fldChar w:fldCharType="separate"/>
      </w:r>
      <w:r w:rsidR="0089225B" w:rsidRPr="0024604A">
        <w:rPr>
          <w:rFonts w:ascii="Calibri" w:hAnsi="Calibri"/>
          <w:noProof/>
          <w:lang w:val="en-GB"/>
        </w:rPr>
        <w:t>[22, 35]</w:t>
      </w:r>
      <w:r w:rsidR="000A1D5C" w:rsidRPr="0024604A">
        <w:rPr>
          <w:rFonts w:ascii="Calibri" w:hAnsi="Calibri"/>
          <w:lang w:val="en-GB"/>
        </w:rPr>
        <w:fldChar w:fldCharType="end"/>
      </w:r>
      <w:r w:rsidR="000A1D5C" w:rsidRPr="0024604A">
        <w:rPr>
          <w:rFonts w:ascii="Calibri" w:hAnsi="Calibri"/>
          <w:lang w:val="en-GB"/>
        </w:rPr>
        <w:t xml:space="preserve"> is a well-known LC-MS data analysis freely available platform, developed by the Scripps </w:t>
      </w:r>
      <w:proofErr w:type="spellStart"/>
      <w:r w:rsidR="000A1D5C" w:rsidRPr="0024604A">
        <w:rPr>
          <w:rFonts w:ascii="Calibri" w:hAnsi="Calibri"/>
          <w:lang w:val="en-GB"/>
        </w:rPr>
        <w:t>Center</w:t>
      </w:r>
      <w:proofErr w:type="spellEnd"/>
      <w:r w:rsidR="000A1D5C" w:rsidRPr="0024604A">
        <w:rPr>
          <w:rFonts w:ascii="Calibri" w:hAnsi="Calibri"/>
          <w:lang w:val="en-GB"/>
        </w:rPr>
        <w:t xml:space="preserve"> for untargeted metabolomics data </w:t>
      </w:r>
      <w:r w:rsidR="008B5D46" w:rsidRPr="0024604A">
        <w:rPr>
          <w:rFonts w:ascii="Calibri" w:hAnsi="Calibri"/>
          <w:lang w:val="en-GB"/>
        </w:rPr>
        <w:t>(</w:t>
      </w:r>
      <w:r w:rsidR="00C47A6B" w:rsidRPr="0024604A">
        <w:fldChar w:fldCharType="begin"/>
      </w:r>
      <w:r w:rsidR="00C47A6B" w:rsidRPr="0024604A">
        <w:rPr>
          <w:lang w:val="en-GB"/>
        </w:rPr>
        <w:instrText xml:space="preserve"> HYPERLINK "http://www.xcmsonline.xcripps.edu" </w:instrText>
      </w:r>
      <w:r w:rsidR="00C47A6B" w:rsidRPr="0024604A">
        <w:fldChar w:fldCharType="separate"/>
      </w:r>
      <w:r w:rsidR="008B5D46" w:rsidRPr="0024604A">
        <w:rPr>
          <w:rStyle w:val="Collegamentoipertestuale"/>
          <w:rFonts w:ascii="Calibri" w:hAnsi="Calibri"/>
          <w:color w:val="auto"/>
          <w:lang w:val="en-GB"/>
        </w:rPr>
        <w:t>www.xcmsonline.xcripps.edu</w:t>
      </w:r>
      <w:r w:rsidR="00C47A6B" w:rsidRPr="0024604A">
        <w:rPr>
          <w:rStyle w:val="Collegamentoipertestuale"/>
          <w:rFonts w:ascii="Calibri" w:hAnsi="Calibri"/>
          <w:color w:val="auto"/>
          <w:lang w:val="en-GB"/>
        </w:rPr>
        <w:fldChar w:fldCharType="end"/>
      </w:r>
      <w:r w:rsidR="008B5D46" w:rsidRPr="0024604A">
        <w:rPr>
          <w:rFonts w:ascii="Calibri" w:hAnsi="Calibri"/>
          <w:lang w:val="en-GB"/>
        </w:rPr>
        <w:t xml:space="preserve">). </w:t>
      </w:r>
      <w:r w:rsidR="00784B48" w:rsidRPr="0024604A">
        <w:rPr>
          <w:rFonts w:ascii="Calibri" w:hAnsi="Calibri"/>
          <w:lang w:val="en-GB"/>
        </w:rPr>
        <w:t>This software</w:t>
      </w:r>
      <w:r w:rsidR="000A1D5C" w:rsidRPr="0024604A">
        <w:rPr>
          <w:rFonts w:ascii="Calibri" w:hAnsi="Calibri"/>
          <w:lang w:val="en-GB"/>
        </w:rPr>
        <w:t xml:space="preserve"> incorporates nonlinear retention time alignment, matched filtration, peak detection and peak matching; no preliminary information on the investigated analytes are required and, since a completely untargeted approach is used</w:t>
      </w:r>
      <w:r w:rsidR="00784B48" w:rsidRPr="0024604A">
        <w:rPr>
          <w:rFonts w:ascii="Calibri" w:hAnsi="Calibri"/>
          <w:lang w:val="en-GB"/>
        </w:rPr>
        <w:t>,</w:t>
      </w:r>
      <w:r w:rsidR="000A1D5C" w:rsidRPr="0024604A">
        <w:rPr>
          <w:rFonts w:ascii="Calibri" w:hAnsi="Calibri"/>
          <w:lang w:val="en-GB"/>
        </w:rPr>
        <w:t xml:space="preserve"> the risk of </w:t>
      </w:r>
      <w:r w:rsidR="005E1178" w:rsidRPr="0024604A">
        <w:rPr>
          <w:rFonts w:ascii="Calibri" w:hAnsi="Calibri"/>
          <w:lang w:val="en-GB"/>
        </w:rPr>
        <w:t xml:space="preserve">introduction of </w:t>
      </w:r>
      <w:r w:rsidR="000A1D5C" w:rsidRPr="0024604A">
        <w:rPr>
          <w:rFonts w:ascii="Calibri" w:hAnsi="Calibri"/>
          <w:lang w:val="en-GB"/>
        </w:rPr>
        <w:t xml:space="preserve">artefacts </w:t>
      </w:r>
      <w:r w:rsidR="00784B48" w:rsidRPr="0024604A">
        <w:rPr>
          <w:rFonts w:ascii="Calibri" w:hAnsi="Calibri"/>
          <w:lang w:val="en-GB"/>
        </w:rPr>
        <w:t>is very</w:t>
      </w:r>
      <w:r w:rsidR="000A1D5C" w:rsidRPr="0024604A">
        <w:rPr>
          <w:rFonts w:ascii="Calibri" w:hAnsi="Calibri"/>
          <w:lang w:val="en-GB"/>
        </w:rPr>
        <w:t xml:space="preserve"> low</w:t>
      </w:r>
      <w:r w:rsidR="00773213" w:rsidRPr="0024604A">
        <w:rPr>
          <w:rFonts w:ascii="Calibri" w:hAnsi="Calibri"/>
          <w:lang w:val="en-GB"/>
        </w:rPr>
        <w:t xml:space="preserve">. </w:t>
      </w:r>
      <w:r w:rsidR="0001568E" w:rsidRPr="0024604A">
        <w:rPr>
          <w:rFonts w:ascii="Calibri" w:hAnsi="Calibri"/>
          <w:lang w:val="en-GB"/>
        </w:rPr>
        <w:t>However</w:t>
      </w:r>
      <w:r w:rsidR="000A1D5C" w:rsidRPr="0024604A">
        <w:rPr>
          <w:rFonts w:ascii="Calibri" w:hAnsi="Calibri"/>
          <w:lang w:val="en-GB"/>
        </w:rPr>
        <w:t>, the outcome of data processing strongly depends on setting parameters</w:t>
      </w:r>
      <w:r w:rsidR="00784B48" w:rsidRPr="0024604A">
        <w:rPr>
          <w:rFonts w:ascii="Calibri" w:hAnsi="Calibri"/>
          <w:lang w:val="en-GB"/>
        </w:rPr>
        <w:t xml:space="preserve">, such as </w:t>
      </w:r>
      <w:r w:rsidR="0001568E" w:rsidRPr="0024604A">
        <w:rPr>
          <w:rFonts w:ascii="Calibri" w:hAnsi="Calibri"/>
          <w:lang w:val="en-GB"/>
        </w:rPr>
        <w:t>tolerated</w:t>
      </w:r>
      <w:r w:rsidR="00773213" w:rsidRPr="0024604A">
        <w:rPr>
          <w:rFonts w:ascii="Calibri" w:hAnsi="Calibri"/>
          <w:lang w:val="en-GB"/>
        </w:rPr>
        <w:t xml:space="preserve"> </w:t>
      </w:r>
      <w:r w:rsidR="00784B48" w:rsidRPr="0024604A">
        <w:rPr>
          <w:rFonts w:ascii="Calibri" w:hAnsi="Calibri"/>
          <w:i/>
          <w:iCs/>
          <w:lang w:val="en-GB"/>
        </w:rPr>
        <w:t>m/z</w:t>
      </w:r>
      <w:r w:rsidR="00784B48" w:rsidRPr="0024604A">
        <w:rPr>
          <w:rFonts w:ascii="Calibri" w:hAnsi="Calibri"/>
          <w:lang w:val="en-GB"/>
        </w:rPr>
        <w:t xml:space="preserve"> deviation in consecutive scans</w:t>
      </w:r>
      <w:r w:rsidR="0001568E" w:rsidRPr="0024604A">
        <w:rPr>
          <w:rFonts w:ascii="Calibri" w:hAnsi="Calibri"/>
          <w:lang w:val="en-GB"/>
        </w:rPr>
        <w:t xml:space="preserve"> and</w:t>
      </w:r>
      <w:r w:rsidR="00784B48" w:rsidRPr="0024604A">
        <w:rPr>
          <w:rFonts w:ascii="Calibri" w:hAnsi="Calibri"/>
          <w:lang w:val="en-GB"/>
        </w:rPr>
        <w:t xml:space="preserve"> maximum or minimum chromatographic peak</w:t>
      </w:r>
      <w:r w:rsidR="00E775AD" w:rsidRPr="0024604A">
        <w:rPr>
          <w:rFonts w:ascii="Calibri" w:hAnsi="Calibri"/>
          <w:lang w:val="en-GB"/>
        </w:rPr>
        <w:t xml:space="preserve"> width</w:t>
      </w:r>
      <w:r w:rsidR="00784B48" w:rsidRPr="0024604A">
        <w:rPr>
          <w:rFonts w:ascii="Calibri" w:hAnsi="Calibri"/>
          <w:lang w:val="en-GB"/>
        </w:rPr>
        <w:t>;</w:t>
      </w:r>
      <w:r w:rsidR="000A1D5C" w:rsidRPr="0024604A">
        <w:rPr>
          <w:rFonts w:ascii="Calibri" w:hAnsi="Calibri"/>
          <w:lang w:val="en-GB"/>
        </w:rPr>
        <w:t xml:space="preserve"> if </w:t>
      </w:r>
      <w:r w:rsidR="00E775AD" w:rsidRPr="0024604A">
        <w:rPr>
          <w:rFonts w:ascii="Calibri" w:hAnsi="Calibri"/>
          <w:lang w:val="en-GB"/>
        </w:rPr>
        <w:t>those factors</w:t>
      </w:r>
      <w:r w:rsidR="000A1D5C" w:rsidRPr="0024604A">
        <w:rPr>
          <w:rFonts w:ascii="Calibri" w:hAnsi="Calibri"/>
          <w:lang w:val="en-GB"/>
        </w:rPr>
        <w:t xml:space="preserve"> are not carefully chosen, biased results </w:t>
      </w:r>
      <w:r w:rsidR="005A00D8" w:rsidRPr="0024604A">
        <w:rPr>
          <w:rFonts w:ascii="Calibri" w:hAnsi="Calibri"/>
          <w:lang w:val="en-GB"/>
        </w:rPr>
        <w:t xml:space="preserve">may </w:t>
      </w:r>
      <w:r w:rsidR="000A1D5C" w:rsidRPr="0024604A">
        <w:rPr>
          <w:rFonts w:ascii="Calibri" w:hAnsi="Calibri"/>
          <w:lang w:val="en-GB"/>
        </w:rPr>
        <w:t xml:space="preserve">be </w:t>
      </w:r>
      <w:r w:rsidR="0001568E" w:rsidRPr="0024604A">
        <w:rPr>
          <w:rFonts w:ascii="Calibri" w:hAnsi="Calibri"/>
          <w:lang w:val="en-GB"/>
        </w:rPr>
        <w:t>expected</w:t>
      </w:r>
      <w:r w:rsidR="000A1D5C" w:rsidRPr="0024604A">
        <w:rPr>
          <w:rFonts w:ascii="Calibri" w:hAnsi="Calibri"/>
          <w:lang w:val="en-GB"/>
        </w:rPr>
        <w:t xml:space="preserve">. The software package called </w:t>
      </w:r>
      <w:r w:rsidR="00C90E2F" w:rsidRPr="0024604A">
        <w:rPr>
          <w:rFonts w:ascii="Calibri" w:hAnsi="Calibri"/>
          <w:i/>
          <w:lang w:val="en-GB"/>
        </w:rPr>
        <w:t>I</w:t>
      </w:r>
      <w:r w:rsidR="000A1D5C" w:rsidRPr="0024604A">
        <w:rPr>
          <w:rFonts w:ascii="Calibri" w:hAnsi="Calibri"/>
          <w:i/>
          <w:lang w:val="en-GB"/>
        </w:rPr>
        <w:t xml:space="preserve">sotopologue </w:t>
      </w:r>
      <w:r w:rsidR="00C90E2F" w:rsidRPr="0024604A">
        <w:rPr>
          <w:rFonts w:ascii="Calibri" w:hAnsi="Calibri"/>
          <w:i/>
          <w:lang w:val="en-GB"/>
        </w:rPr>
        <w:t>P</w:t>
      </w:r>
      <w:r w:rsidR="000A1D5C" w:rsidRPr="0024604A">
        <w:rPr>
          <w:rFonts w:ascii="Calibri" w:hAnsi="Calibri"/>
          <w:i/>
          <w:lang w:val="en-GB"/>
        </w:rPr>
        <w:t xml:space="preserve">arameter </w:t>
      </w:r>
      <w:r w:rsidR="00C90E2F" w:rsidRPr="0024604A">
        <w:rPr>
          <w:rFonts w:ascii="Calibri" w:hAnsi="Calibri"/>
          <w:i/>
          <w:lang w:val="en-GB"/>
        </w:rPr>
        <w:t>O</w:t>
      </w:r>
      <w:r w:rsidR="000A1D5C" w:rsidRPr="0024604A">
        <w:rPr>
          <w:rFonts w:ascii="Calibri" w:hAnsi="Calibri"/>
          <w:i/>
          <w:lang w:val="en-GB"/>
        </w:rPr>
        <w:t>ptimization</w:t>
      </w:r>
      <w:r w:rsidR="000A1D5C" w:rsidRPr="0024604A">
        <w:rPr>
          <w:rFonts w:ascii="Calibri" w:hAnsi="Calibri"/>
          <w:lang w:val="en-GB"/>
        </w:rPr>
        <w:t xml:space="preserve"> (IPO) </w:t>
      </w:r>
      <w:r w:rsidR="000A1D5C" w:rsidRPr="0024604A">
        <w:rPr>
          <w:rFonts w:ascii="Calibri" w:hAnsi="Calibri"/>
          <w:lang w:val="en-GB"/>
        </w:rPr>
        <w:fldChar w:fldCharType="begin" w:fldLock="1"/>
      </w:r>
      <w:r w:rsidR="006126E3" w:rsidRPr="0024604A">
        <w:rPr>
          <w:rFonts w:ascii="Calibri" w:hAnsi="Calibri"/>
          <w:lang w:val="en-GB"/>
        </w:rPr>
        <w:instrText>ADDIN CSL_CITATION {"citationItems":[{"id":"ITEM-1","itemData":{"DOI":"10.1186/s12859-015-0562-8","ISBN":"1285901505628","ISSN":"14712105","PMID":"25888443","abstract":"BACKGROUND:Untargeted metabolomics generates a huge amount of data. Software packages for automated data processing are crucial to successfully process these data. A variety of such software packages exist, but the outcome of data processing strongly depends on algorithm parameter settings. If they are not carefully chosen, suboptimal parameter settings can easily lead to biased results. Therefore, parameter settings also require optimization. Several parameter optimization approaches have already been proposed, but a software package for parameter optimization which is free of intricate experimental labeling steps, fast and widely applicable is still missing.RESULTS:We implemented the software package IPO ('Isotopologue Parameter Optimization') which is fast and free of labeling steps, and applicable to data from different kinds of samples and data from different methods of liquid chromatography - high resolution mass spectrometry and data from different instruments.IPO optimizes XCMS peak picking parameters by using natural, stable 13C isotopic peaks to calculate a peak picking score. Retention time correction is optimized by minimizing relative retention time differences within peak groups. Grouping parameters are optimized by maximizing the number of peak groups that show one peak from each injection of a pooled sample. The different parameter settings are achieved by design of experiments, and the resulting scores are evaluated using response surface models. IPO was tested on three different data sets, each consisting of a training set and test set. IPO resulted in an increase of reliable groups (146% - 361%), a decrease of non-reliable groups (3% - 8%) and a decrease of the retention time deviation to one third.CONCLUSIONS:IPO was successfully applied to data derived from liquid chromatography coupled to high resolution mass spectrometry from three studies with different sample types and different chromatographic methods and devices. We were also able to show the potential of IPO to increase the reliability of metabolomics data.The source code is implemented in R, tested on Linux and Windows and it is freely available for download at https://github.com/glibiseller/IPO webcite. The training sets and test sets can be downloaded from https://health.joanneum.at/IPO webcite.","author":[{"dropping-particle":"","family":"Libiseller","given":"Gunnar","non-dropping-particle":"","parse-names":false,"suffix":""},{"dropping-particle":"","family":"Dvorzak","given":"Michaela","non-dropping-particle":"","parse-names":false,"suffix":""},{"dropping-particle":"","family":"Kleb","given":"Ulrike","non-dropping-particle":"","parse-names":false,"suffix":""},{"dropping-particle":"","family":"Gander","given":"Edgar","non-dropping-particle":"","parse-names":false,"suffix":""},{"dropping-particle":"","family":"Eisenberg","given":"Tobias","non-dropping-particle":"","parse-names":false,"suffix":""},{"dropping-particle":"","family":"Madeo","given":"Frank","non-dropping-particle":"","parse-names":false,"suffix":""},{"dropping-particle":"","family":"Neumann","given":"Steffen","non-dropping-particle":"","parse-names":false,"suffix":""},{"dropping-particle":"","family":"Trausinger","given":"Gert","non-dropping-particle":"","parse-names":false,"suffix":""},{"dropping-particle":"","family":"Sinner","given":"Frank","non-dropping-particle":"","parse-names":false,"suffix":""},{"dropping-particle":"","family":"Pieber","given":"Thomas","non-dropping-particle":"","parse-names":false,"suffix":""},{"dropping-particle":"","family":"Magnes","given":"Christoph","non-dropping-particle":"","parse-names":false,"suffix":""}],"container-title":"BMC Bioinformatics","id":"ITEM-1","issue":"1","issued":{"date-parts":[["2015"]]},"page":"1-10","title":"IPO: A tool for automated optimization of XCMS parameters","type":"article-journal","volume":"16"},"uris":["http://www.mendeley.com/documents/?uuid=b099d847-defa-4717-8451-907892e9751a"]}],"mendeley":{"formattedCitation":"[36]","plainTextFormattedCitation":"[36]","previouslyFormattedCitation":"[36]"},"properties":{"noteIndex":0},"schema":"https://github.com/citation-style-language/schema/raw/master/csl-citation.json"}</w:instrText>
      </w:r>
      <w:r w:rsidR="000A1D5C" w:rsidRPr="0024604A">
        <w:rPr>
          <w:rFonts w:ascii="Calibri" w:hAnsi="Calibri"/>
          <w:lang w:val="en-GB"/>
        </w:rPr>
        <w:fldChar w:fldCharType="separate"/>
      </w:r>
      <w:r w:rsidR="0089225B" w:rsidRPr="0024604A">
        <w:rPr>
          <w:rFonts w:ascii="Calibri" w:hAnsi="Calibri"/>
          <w:noProof/>
          <w:lang w:val="en-GB"/>
        </w:rPr>
        <w:t>[36]</w:t>
      </w:r>
      <w:r w:rsidR="000A1D5C" w:rsidRPr="0024604A">
        <w:rPr>
          <w:rFonts w:ascii="Calibri" w:hAnsi="Calibri"/>
          <w:lang w:val="en-GB"/>
        </w:rPr>
        <w:fldChar w:fldCharType="end"/>
      </w:r>
      <w:r w:rsidR="000A1D5C" w:rsidRPr="0024604A">
        <w:rPr>
          <w:rFonts w:ascii="Calibri" w:hAnsi="Calibri"/>
          <w:lang w:val="en-GB"/>
        </w:rPr>
        <w:t xml:space="preserve"> optimizes XCMS peak picking </w:t>
      </w:r>
      <w:r w:rsidR="000A1D5C" w:rsidRPr="0024604A">
        <w:rPr>
          <w:rFonts w:ascii="Calibri" w:hAnsi="Calibri"/>
          <w:lang w:val="en-GB"/>
        </w:rPr>
        <w:lastRenderedPageBreak/>
        <w:t xml:space="preserve">parameters by using natural, stable </w:t>
      </w:r>
      <w:r w:rsidR="000A1D5C" w:rsidRPr="0024604A">
        <w:rPr>
          <w:rFonts w:ascii="Calibri" w:hAnsi="Calibri"/>
          <w:vertAlign w:val="superscript"/>
          <w:lang w:val="en-GB"/>
        </w:rPr>
        <w:t>13</w:t>
      </w:r>
      <w:r w:rsidR="000A1D5C" w:rsidRPr="0024604A">
        <w:rPr>
          <w:rFonts w:ascii="Calibri" w:hAnsi="Calibri"/>
          <w:lang w:val="en-GB"/>
        </w:rPr>
        <w:t>C isotopic peaks to calculate a peak picking score</w:t>
      </w:r>
      <w:r w:rsidR="005E1178" w:rsidRPr="0024604A">
        <w:rPr>
          <w:rFonts w:ascii="Calibri" w:hAnsi="Calibri"/>
          <w:lang w:val="en-GB"/>
        </w:rPr>
        <w:t xml:space="preserve"> </w:t>
      </w:r>
      <w:r w:rsidR="00E97118" w:rsidRPr="0024604A">
        <w:rPr>
          <w:rFonts w:ascii="Calibri" w:hAnsi="Calibri"/>
          <w:lang w:val="en-GB"/>
        </w:rPr>
        <w:fldChar w:fldCharType="begin" w:fldLock="1"/>
      </w:r>
      <w:r w:rsidR="006126E3" w:rsidRPr="0024604A">
        <w:rPr>
          <w:rFonts w:ascii="Calibri" w:hAnsi="Calibri"/>
          <w:lang w:val="en-GB"/>
        </w:rPr>
        <w:instrText>ADDIN CSL_CITATION {"citationItems":[{"id":"ITEM-1","itemData":{"DOI":"10.1007/s11306-020-1636-9","ISSN":"1573-3882","author":[{"dropping-particle":"","family":"Albóniga","given":"Oihane E.","non-dropping-particle":"","parse-names":false,"suffix":""},{"dropping-particle":"","family":"González","given":"Oskar","non-dropping-particle":"","parse-names":false,"suffix":""},{"dropping-particle":"","family":"Alonso","given":"Rosa M.","non-dropping-particle":"","parse-names":false,"suffix":""},{"dropping-particle":"","family":"Xu","given":"Yun","non-dropping-particle":"","parse-names":false,"suffix":""},{"dropping-particle":"","family":"Goodacre","given":"Royston","non-dropping-particle":"","parse-names":false,"suffix":""}],"container-title":"Metabolomics","id":"ITEM-1","issue":"1","issued":{"date-parts":[["2020","1"]]},"page":"14","title":"Optimization of XCMS parameters for LC–MS metabolomics: an assessment of automated versus manual tuning and its effect on the final results","type":"article-journal","volume":"16"},"uris":["http://www.mendeley.com/documents/?uuid=acad7c18-82fe-441f-9061-03ac260ad8b9"]}],"mendeley":{"formattedCitation":"[37]","plainTextFormattedCitation":"[37]","previouslyFormattedCitation":"[37]"},"properties":{"noteIndex":0},"schema":"https://github.com/citation-style-language/schema/raw/master/csl-citation.json"}</w:instrText>
      </w:r>
      <w:r w:rsidR="00E97118" w:rsidRPr="0024604A">
        <w:rPr>
          <w:rFonts w:ascii="Calibri" w:hAnsi="Calibri"/>
          <w:lang w:val="en-GB"/>
        </w:rPr>
        <w:fldChar w:fldCharType="separate"/>
      </w:r>
      <w:r w:rsidR="0089225B" w:rsidRPr="0024604A">
        <w:rPr>
          <w:rFonts w:ascii="Calibri" w:hAnsi="Calibri"/>
          <w:noProof/>
          <w:lang w:val="en-GB"/>
        </w:rPr>
        <w:t>[37]</w:t>
      </w:r>
      <w:r w:rsidR="00E97118" w:rsidRPr="0024604A">
        <w:rPr>
          <w:rFonts w:ascii="Calibri" w:hAnsi="Calibri"/>
          <w:lang w:val="en-GB"/>
        </w:rPr>
        <w:fldChar w:fldCharType="end"/>
      </w:r>
      <w:r w:rsidR="000A1D5C" w:rsidRPr="0024604A">
        <w:rPr>
          <w:rFonts w:ascii="Calibri" w:hAnsi="Calibri"/>
          <w:lang w:val="en-GB"/>
        </w:rPr>
        <w:t xml:space="preserve">. Retention time correction </w:t>
      </w:r>
      <w:r w:rsidR="00B11726" w:rsidRPr="0024604A">
        <w:rPr>
          <w:rFonts w:ascii="Calibri" w:hAnsi="Calibri"/>
          <w:lang w:val="en-GB"/>
        </w:rPr>
        <w:t>wa</w:t>
      </w:r>
      <w:r w:rsidR="000A1D5C" w:rsidRPr="0024604A">
        <w:rPr>
          <w:rFonts w:ascii="Calibri" w:hAnsi="Calibri"/>
          <w:lang w:val="en-GB"/>
        </w:rPr>
        <w:t xml:space="preserve">s optimized by minimizing relative retention time differences within peak groups, while grouping </w:t>
      </w:r>
      <w:r w:rsidR="00784B48" w:rsidRPr="0024604A">
        <w:rPr>
          <w:rFonts w:ascii="Calibri" w:hAnsi="Calibri"/>
          <w:lang w:val="en-GB"/>
        </w:rPr>
        <w:t>ones</w:t>
      </w:r>
      <w:r w:rsidR="000A1D5C" w:rsidRPr="0024604A">
        <w:rPr>
          <w:rFonts w:ascii="Calibri" w:hAnsi="Calibri"/>
          <w:lang w:val="en-GB"/>
        </w:rPr>
        <w:t xml:space="preserve"> </w:t>
      </w:r>
      <w:r w:rsidR="000A70D4" w:rsidRPr="0024604A">
        <w:rPr>
          <w:rFonts w:ascii="Calibri" w:hAnsi="Calibri"/>
          <w:lang w:val="en-GB"/>
        </w:rPr>
        <w:t>we</w:t>
      </w:r>
      <w:r w:rsidR="000A1D5C" w:rsidRPr="0024604A">
        <w:rPr>
          <w:rFonts w:ascii="Calibri" w:hAnsi="Calibri"/>
          <w:lang w:val="en-GB"/>
        </w:rPr>
        <w:t xml:space="preserve">re optimized by maximizing the number of peak groups that show one peak from each injection of a pooled sample. The different parameter settings </w:t>
      </w:r>
      <w:r w:rsidR="000A70D4" w:rsidRPr="0024604A">
        <w:rPr>
          <w:rFonts w:ascii="Calibri" w:hAnsi="Calibri"/>
          <w:lang w:val="en-GB"/>
        </w:rPr>
        <w:t>we</w:t>
      </w:r>
      <w:r w:rsidR="000A1D5C" w:rsidRPr="0024604A">
        <w:rPr>
          <w:rFonts w:ascii="Calibri" w:hAnsi="Calibri"/>
          <w:lang w:val="en-GB"/>
        </w:rPr>
        <w:t xml:space="preserve">re achieved by </w:t>
      </w:r>
      <w:r w:rsidR="0001568E" w:rsidRPr="0024604A">
        <w:rPr>
          <w:rFonts w:ascii="Calibri" w:hAnsi="Calibri"/>
          <w:lang w:val="en-GB"/>
        </w:rPr>
        <w:t>design of</w:t>
      </w:r>
      <w:r w:rsidR="00773213" w:rsidRPr="0024604A">
        <w:rPr>
          <w:rFonts w:ascii="Calibri" w:hAnsi="Calibri"/>
          <w:lang w:val="en-GB"/>
        </w:rPr>
        <w:t xml:space="preserve"> experiment</w:t>
      </w:r>
      <w:r w:rsidR="0001568E" w:rsidRPr="0024604A">
        <w:rPr>
          <w:rFonts w:ascii="Calibri" w:hAnsi="Calibri"/>
          <w:lang w:val="en-GB"/>
        </w:rPr>
        <w:t>s</w:t>
      </w:r>
      <w:r w:rsidR="00773213" w:rsidRPr="0024604A">
        <w:rPr>
          <w:rFonts w:ascii="Calibri" w:hAnsi="Calibri"/>
          <w:lang w:val="en-GB"/>
        </w:rPr>
        <w:t xml:space="preserve"> </w:t>
      </w:r>
      <w:r w:rsidR="0001568E" w:rsidRPr="0024604A">
        <w:rPr>
          <w:rFonts w:ascii="Calibri" w:hAnsi="Calibri"/>
          <w:lang w:val="en-GB"/>
        </w:rPr>
        <w:t>and</w:t>
      </w:r>
      <w:r w:rsidR="000A1D5C" w:rsidRPr="0024604A">
        <w:rPr>
          <w:rFonts w:ascii="Calibri" w:hAnsi="Calibri"/>
          <w:lang w:val="en-GB"/>
        </w:rPr>
        <w:t xml:space="preserve"> the resulting scores </w:t>
      </w:r>
      <w:r w:rsidR="000A70D4" w:rsidRPr="0024604A">
        <w:rPr>
          <w:rFonts w:ascii="Calibri" w:hAnsi="Calibri"/>
          <w:lang w:val="en-GB"/>
        </w:rPr>
        <w:t>we</w:t>
      </w:r>
      <w:r w:rsidR="000A1D5C" w:rsidRPr="0024604A">
        <w:rPr>
          <w:rFonts w:ascii="Calibri" w:hAnsi="Calibri"/>
          <w:lang w:val="en-GB"/>
        </w:rPr>
        <w:t>re evaluated using response surface models</w:t>
      </w:r>
      <w:r w:rsidR="00B01E8A" w:rsidRPr="0024604A">
        <w:rPr>
          <w:rFonts w:ascii="Calibri" w:hAnsi="Calibri"/>
          <w:lang w:val="en-GB"/>
        </w:rPr>
        <w:t xml:space="preserve">. </w:t>
      </w:r>
      <w:r w:rsidR="0001568E" w:rsidRPr="0024604A">
        <w:rPr>
          <w:rFonts w:ascii="Calibri" w:hAnsi="Calibri"/>
          <w:lang w:val="en-GB"/>
        </w:rPr>
        <w:t>So,</w:t>
      </w:r>
      <w:r w:rsidR="000A1D5C" w:rsidRPr="0024604A">
        <w:rPr>
          <w:rFonts w:ascii="Calibri" w:hAnsi="Calibri"/>
          <w:lang w:val="en-GB"/>
        </w:rPr>
        <w:t xml:space="preserve"> IPO was applied to</w:t>
      </w:r>
      <w:r w:rsidR="00B161A8" w:rsidRPr="0024604A">
        <w:rPr>
          <w:rFonts w:ascii="Calibri" w:hAnsi="Calibri"/>
          <w:lang w:val="en-GB"/>
        </w:rPr>
        <w:t xml:space="preserve"> QC samples and results were implemented in</w:t>
      </w:r>
      <w:r w:rsidR="000A1D5C" w:rsidRPr="0024604A">
        <w:rPr>
          <w:rFonts w:ascii="Calibri" w:hAnsi="Calibri"/>
          <w:lang w:val="en-GB"/>
        </w:rPr>
        <w:t xml:space="preserve"> XCMS to increase the reliability of </w:t>
      </w:r>
      <w:r w:rsidR="0011776D" w:rsidRPr="0024604A">
        <w:rPr>
          <w:rFonts w:ascii="Calibri" w:hAnsi="Calibri"/>
          <w:lang w:val="en-GB"/>
        </w:rPr>
        <w:t>lipidomic</w:t>
      </w:r>
      <w:r w:rsidR="000A1D5C" w:rsidRPr="0024604A">
        <w:rPr>
          <w:rFonts w:ascii="Calibri" w:hAnsi="Calibri"/>
          <w:lang w:val="en-GB"/>
        </w:rPr>
        <w:t>s data</w:t>
      </w:r>
      <w:r w:rsidR="00B11726" w:rsidRPr="0024604A">
        <w:rPr>
          <w:rFonts w:ascii="Calibri" w:hAnsi="Calibri"/>
          <w:lang w:val="en-GB"/>
        </w:rPr>
        <w:t xml:space="preserve"> (see </w:t>
      </w:r>
      <w:r w:rsidR="00A73C0C" w:rsidRPr="0024604A">
        <w:rPr>
          <w:rFonts w:ascii="Calibri" w:hAnsi="Calibri"/>
          <w:b/>
          <w:bCs/>
          <w:lang w:val="en-GB"/>
        </w:rPr>
        <w:t>Table S1</w:t>
      </w:r>
      <w:r w:rsidR="00B11726" w:rsidRPr="0024604A">
        <w:rPr>
          <w:rFonts w:ascii="Calibri" w:hAnsi="Calibri"/>
          <w:lang w:val="en-GB"/>
        </w:rPr>
        <w:t>).</w:t>
      </w:r>
    </w:p>
    <w:p w14:paraId="135133FE" w14:textId="71E5716C" w:rsidR="00C5398D" w:rsidRPr="0024604A" w:rsidRDefault="004B60F9" w:rsidP="00DE37FE">
      <w:pPr>
        <w:autoSpaceDE w:val="0"/>
        <w:autoSpaceDN w:val="0"/>
        <w:adjustRightInd w:val="0"/>
        <w:spacing w:line="480" w:lineRule="auto"/>
        <w:ind w:firstLine="708"/>
        <w:jc w:val="both"/>
        <w:rPr>
          <w:rFonts w:ascii="Calibri" w:hAnsi="Calibri"/>
          <w:lang w:val="en-GB"/>
        </w:rPr>
      </w:pPr>
      <w:r w:rsidRPr="0024604A">
        <w:rPr>
          <w:rFonts w:ascii="Calibri" w:hAnsi="Calibri"/>
          <w:b/>
          <w:lang w:val="en-GB"/>
        </w:rPr>
        <w:t>Figure</w:t>
      </w:r>
      <w:r w:rsidR="00DE56B3" w:rsidRPr="0024604A">
        <w:rPr>
          <w:rFonts w:ascii="Calibri" w:hAnsi="Calibri"/>
          <w:b/>
          <w:lang w:val="en-GB"/>
        </w:rPr>
        <w:t xml:space="preserve"> </w:t>
      </w:r>
      <w:r w:rsidR="00906901" w:rsidRPr="0024604A">
        <w:rPr>
          <w:rFonts w:ascii="Calibri" w:hAnsi="Calibri"/>
          <w:b/>
          <w:lang w:val="en-GB"/>
        </w:rPr>
        <w:t>2</w:t>
      </w:r>
      <w:r w:rsidR="00DE56B3" w:rsidRPr="0024604A">
        <w:rPr>
          <w:rFonts w:ascii="Calibri" w:hAnsi="Calibri"/>
          <w:lang w:val="en-GB"/>
        </w:rPr>
        <w:t xml:space="preserve"> shows the </w:t>
      </w:r>
      <w:r w:rsidR="00CA098A" w:rsidRPr="0024604A">
        <w:rPr>
          <w:rFonts w:ascii="Calibri" w:hAnsi="Calibri"/>
          <w:lang w:val="en-GB"/>
        </w:rPr>
        <w:t xml:space="preserve">superimposition of all </w:t>
      </w:r>
      <w:r w:rsidR="005409F5" w:rsidRPr="0024604A">
        <w:rPr>
          <w:rFonts w:ascii="Calibri" w:hAnsi="Calibri"/>
          <w:lang w:val="en-GB"/>
        </w:rPr>
        <w:t>the</w:t>
      </w:r>
      <w:r w:rsidR="00DE56B3" w:rsidRPr="0024604A">
        <w:rPr>
          <w:rFonts w:ascii="Calibri" w:hAnsi="Calibri"/>
          <w:lang w:val="en-GB"/>
        </w:rPr>
        <w:t xml:space="preserve"> total ion current (TIC) </w:t>
      </w:r>
      <w:r w:rsidR="005409F5" w:rsidRPr="0024604A">
        <w:rPr>
          <w:rFonts w:ascii="Calibri" w:hAnsi="Calibri"/>
          <w:lang w:val="en-GB"/>
        </w:rPr>
        <w:t xml:space="preserve">chromatographic profiles </w:t>
      </w:r>
      <w:r w:rsidR="004B1384" w:rsidRPr="0024604A">
        <w:rPr>
          <w:rFonts w:ascii="Calibri" w:hAnsi="Calibri"/>
          <w:lang w:val="en-GB"/>
        </w:rPr>
        <w:t xml:space="preserve">along with retention time deviation between runs </w:t>
      </w:r>
      <w:r w:rsidR="00CA098A" w:rsidRPr="0024604A">
        <w:rPr>
          <w:rFonts w:ascii="Calibri" w:hAnsi="Calibri"/>
          <w:lang w:val="en-GB"/>
        </w:rPr>
        <w:t>obtained</w:t>
      </w:r>
      <w:r w:rsidR="00B70566" w:rsidRPr="0024604A">
        <w:rPr>
          <w:rFonts w:ascii="Calibri" w:hAnsi="Calibri"/>
          <w:lang w:val="en-GB"/>
        </w:rPr>
        <w:t xml:space="preserve"> after </w:t>
      </w:r>
      <w:r w:rsidR="005A00D8" w:rsidRPr="0024604A">
        <w:rPr>
          <w:rFonts w:ascii="Calibri" w:hAnsi="Calibri"/>
          <w:lang w:val="en-GB"/>
        </w:rPr>
        <w:t xml:space="preserve">the </w:t>
      </w:r>
      <w:r w:rsidR="00B70566" w:rsidRPr="0024604A">
        <w:rPr>
          <w:rFonts w:ascii="Calibri" w:hAnsi="Calibri"/>
          <w:lang w:val="en-GB"/>
        </w:rPr>
        <w:t>XCMS alignment procedure</w:t>
      </w:r>
      <w:r w:rsidR="005E1178" w:rsidRPr="0024604A">
        <w:rPr>
          <w:rFonts w:ascii="Calibri" w:hAnsi="Calibri"/>
          <w:lang w:val="en-GB"/>
        </w:rPr>
        <w:t>.</w:t>
      </w:r>
      <w:r w:rsidR="0054184F" w:rsidRPr="0024604A">
        <w:rPr>
          <w:rFonts w:ascii="Calibri" w:hAnsi="Calibri"/>
          <w:lang w:val="en-GB"/>
        </w:rPr>
        <w:t xml:space="preserve"> </w:t>
      </w:r>
      <w:r w:rsidR="00DE56B3" w:rsidRPr="0024604A">
        <w:rPr>
          <w:rFonts w:ascii="Calibri" w:hAnsi="Calibri"/>
          <w:lang w:val="en-GB"/>
        </w:rPr>
        <w:t>HILIC-ESI-</w:t>
      </w:r>
      <w:r w:rsidR="000A70D4" w:rsidRPr="0024604A">
        <w:rPr>
          <w:rFonts w:ascii="Calibri" w:hAnsi="Calibri"/>
          <w:lang w:val="en-GB"/>
        </w:rPr>
        <w:t>FT</w:t>
      </w:r>
      <w:r w:rsidR="00DE56B3" w:rsidRPr="0024604A">
        <w:rPr>
          <w:rFonts w:ascii="Calibri" w:hAnsi="Calibri"/>
          <w:lang w:val="en-GB"/>
        </w:rPr>
        <w:t>MS</w:t>
      </w:r>
      <w:r w:rsidR="0054184F" w:rsidRPr="0024604A">
        <w:rPr>
          <w:rFonts w:ascii="Calibri" w:hAnsi="Calibri"/>
          <w:lang w:val="en-GB"/>
        </w:rPr>
        <w:t xml:space="preserve"> was applied for the lipid separation</w:t>
      </w:r>
      <w:r w:rsidR="00DE56B3" w:rsidRPr="0024604A">
        <w:rPr>
          <w:rFonts w:ascii="Calibri" w:hAnsi="Calibri"/>
          <w:lang w:val="en-GB"/>
        </w:rPr>
        <w:t xml:space="preserve"> </w:t>
      </w:r>
      <w:r w:rsidR="005409F5" w:rsidRPr="0024604A">
        <w:rPr>
          <w:rFonts w:ascii="Calibri" w:hAnsi="Calibri"/>
          <w:lang w:val="en-GB"/>
        </w:rPr>
        <w:t>of</w:t>
      </w:r>
      <w:r w:rsidR="00DE56B3" w:rsidRPr="0024604A">
        <w:rPr>
          <w:rFonts w:ascii="Calibri" w:hAnsi="Calibri"/>
          <w:lang w:val="en-GB"/>
        </w:rPr>
        <w:t xml:space="preserve"> </w:t>
      </w:r>
      <w:r w:rsidR="000A1D5C" w:rsidRPr="0024604A">
        <w:rPr>
          <w:rFonts w:ascii="Calibri" w:hAnsi="Calibri"/>
          <w:lang w:val="en-GB"/>
        </w:rPr>
        <w:t xml:space="preserve">38 </w:t>
      </w:r>
      <w:r w:rsidR="005409F5" w:rsidRPr="0024604A">
        <w:rPr>
          <w:rFonts w:ascii="Calibri" w:hAnsi="Calibri"/>
          <w:lang w:val="en-GB"/>
        </w:rPr>
        <w:t>sample</w:t>
      </w:r>
      <w:r w:rsidR="000A1D5C" w:rsidRPr="0024604A">
        <w:rPr>
          <w:rFonts w:ascii="Calibri" w:hAnsi="Calibri"/>
          <w:lang w:val="en-GB"/>
        </w:rPr>
        <w:t>s of autism spectrum disorder affected child</w:t>
      </w:r>
      <w:r w:rsidR="00773213" w:rsidRPr="0024604A">
        <w:rPr>
          <w:rFonts w:ascii="Calibri" w:hAnsi="Calibri"/>
          <w:lang w:val="en-GB"/>
        </w:rPr>
        <w:t>ren</w:t>
      </w:r>
      <w:r w:rsidR="00CA098A" w:rsidRPr="0024604A">
        <w:rPr>
          <w:rFonts w:ascii="Calibri" w:hAnsi="Calibri"/>
          <w:lang w:val="en-GB"/>
        </w:rPr>
        <w:t>,</w:t>
      </w:r>
      <w:r w:rsidR="005409F5" w:rsidRPr="0024604A">
        <w:rPr>
          <w:rFonts w:ascii="Calibri" w:hAnsi="Calibri"/>
          <w:lang w:val="en-GB"/>
        </w:rPr>
        <w:t xml:space="preserve"> </w:t>
      </w:r>
      <w:r w:rsidR="000A1D5C" w:rsidRPr="0024604A">
        <w:rPr>
          <w:rFonts w:ascii="Calibri" w:hAnsi="Calibri"/>
          <w:lang w:val="en-GB"/>
        </w:rPr>
        <w:t xml:space="preserve">36 </w:t>
      </w:r>
      <w:r w:rsidR="00DE56B3" w:rsidRPr="0024604A">
        <w:rPr>
          <w:rFonts w:ascii="Calibri" w:hAnsi="Calibri"/>
          <w:lang w:val="en-GB"/>
        </w:rPr>
        <w:t xml:space="preserve">control </w:t>
      </w:r>
      <w:r w:rsidR="005409F5" w:rsidRPr="0024604A">
        <w:rPr>
          <w:rFonts w:ascii="Calibri" w:hAnsi="Calibri"/>
          <w:lang w:val="en-GB"/>
        </w:rPr>
        <w:t>sample</w:t>
      </w:r>
      <w:r w:rsidR="00773213" w:rsidRPr="0024604A">
        <w:rPr>
          <w:rFonts w:ascii="Calibri" w:hAnsi="Calibri"/>
          <w:lang w:val="en-GB"/>
        </w:rPr>
        <w:t>s</w:t>
      </w:r>
      <w:r w:rsidR="008425D5" w:rsidRPr="0024604A">
        <w:rPr>
          <w:rFonts w:ascii="Calibri" w:hAnsi="Calibri"/>
          <w:lang w:val="en-GB"/>
        </w:rPr>
        <w:t xml:space="preserve"> (unaffected siblings of studied subjects)</w:t>
      </w:r>
      <w:r w:rsidR="005409F5" w:rsidRPr="0024604A">
        <w:rPr>
          <w:rFonts w:ascii="Calibri" w:hAnsi="Calibri"/>
          <w:lang w:val="en-GB"/>
        </w:rPr>
        <w:t xml:space="preserve"> </w:t>
      </w:r>
      <w:r w:rsidR="00CA098A" w:rsidRPr="0024604A">
        <w:rPr>
          <w:rFonts w:ascii="Calibri" w:hAnsi="Calibri"/>
          <w:lang w:val="en-GB"/>
        </w:rPr>
        <w:t xml:space="preserve">and </w:t>
      </w:r>
      <w:r w:rsidR="000A1D5C" w:rsidRPr="0024604A">
        <w:rPr>
          <w:rFonts w:ascii="Calibri" w:hAnsi="Calibri"/>
          <w:lang w:val="en-GB"/>
        </w:rPr>
        <w:t xml:space="preserve">21 </w:t>
      </w:r>
      <w:r w:rsidR="005E1178" w:rsidRPr="0024604A">
        <w:rPr>
          <w:rFonts w:ascii="Calibri" w:hAnsi="Calibri"/>
          <w:lang w:val="en-GB"/>
        </w:rPr>
        <w:t xml:space="preserve">pooled </w:t>
      </w:r>
      <w:r w:rsidR="00CA098A" w:rsidRPr="0024604A">
        <w:rPr>
          <w:rFonts w:ascii="Calibri" w:hAnsi="Calibri"/>
          <w:lang w:val="en-GB"/>
        </w:rPr>
        <w:t>quality control samples (QC)</w:t>
      </w:r>
      <w:r w:rsidR="0054184F" w:rsidRPr="0024604A">
        <w:rPr>
          <w:rFonts w:ascii="Calibri" w:hAnsi="Calibri"/>
          <w:lang w:val="en-GB"/>
        </w:rPr>
        <w:t xml:space="preserve">. </w:t>
      </w:r>
      <w:r w:rsidR="00FA6B34" w:rsidRPr="0024604A">
        <w:rPr>
          <w:rFonts w:ascii="Calibri" w:hAnsi="Calibri"/>
          <w:lang w:val="en-GB"/>
        </w:rPr>
        <w:t>CAMERA (</w:t>
      </w:r>
      <w:r w:rsidR="00FA6B34" w:rsidRPr="0024604A">
        <w:rPr>
          <w:rFonts w:ascii="Calibri" w:hAnsi="Calibri"/>
          <w:i/>
          <w:iCs/>
          <w:lang w:val="en-GB"/>
        </w:rPr>
        <w:t xml:space="preserve">Collection of Algorithms for </w:t>
      </w:r>
      <w:proofErr w:type="spellStart"/>
      <w:r w:rsidR="00FA6B34" w:rsidRPr="0024604A">
        <w:rPr>
          <w:rFonts w:ascii="Calibri" w:hAnsi="Calibri"/>
          <w:i/>
          <w:iCs/>
          <w:lang w:val="en-GB"/>
        </w:rPr>
        <w:t>MEtabolite</w:t>
      </w:r>
      <w:proofErr w:type="spellEnd"/>
      <w:r w:rsidR="00FA6B34" w:rsidRPr="0024604A">
        <w:rPr>
          <w:rFonts w:ascii="Calibri" w:hAnsi="Calibri"/>
          <w:i/>
          <w:iCs/>
          <w:lang w:val="en-GB"/>
        </w:rPr>
        <w:t xml:space="preserve"> </w:t>
      </w:r>
      <w:proofErr w:type="spellStart"/>
      <w:r w:rsidR="00FA6B34" w:rsidRPr="0024604A">
        <w:rPr>
          <w:rFonts w:ascii="Calibri" w:hAnsi="Calibri"/>
          <w:i/>
          <w:iCs/>
          <w:lang w:val="en-GB"/>
        </w:rPr>
        <w:t>pRofile</w:t>
      </w:r>
      <w:proofErr w:type="spellEnd"/>
      <w:r w:rsidR="00FA6B34" w:rsidRPr="0024604A">
        <w:rPr>
          <w:rFonts w:ascii="Calibri" w:hAnsi="Calibri"/>
          <w:i/>
          <w:iCs/>
          <w:lang w:val="en-GB"/>
        </w:rPr>
        <w:t xml:space="preserve"> Annotation</w:t>
      </w:r>
      <w:r w:rsidR="00FA6B34" w:rsidRPr="0024604A">
        <w:rPr>
          <w:rFonts w:ascii="Calibri" w:hAnsi="Calibri"/>
          <w:lang w:val="en-GB"/>
        </w:rPr>
        <w:t>)</w:t>
      </w:r>
      <w:r w:rsidR="0001568E" w:rsidRPr="0024604A">
        <w:rPr>
          <w:rFonts w:ascii="Calibri" w:hAnsi="Calibri"/>
          <w:lang w:val="en-GB"/>
        </w:rPr>
        <w:t xml:space="preserve"> </w:t>
      </w:r>
      <w:r w:rsidR="00FA6B34" w:rsidRPr="0024604A">
        <w:rPr>
          <w:rFonts w:ascii="Calibri" w:hAnsi="Calibri"/>
          <w:lang w:val="en-GB"/>
        </w:rPr>
        <w:t xml:space="preserve">software package </w:t>
      </w:r>
      <w:r w:rsidR="00981FD8" w:rsidRPr="0024604A">
        <w:rPr>
          <w:rFonts w:ascii="Calibri" w:hAnsi="Calibri"/>
          <w:lang w:val="en-GB"/>
        </w:rPr>
        <w:t>was employed to</w:t>
      </w:r>
      <w:r w:rsidR="00FA6B34" w:rsidRPr="0024604A">
        <w:rPr>
          <w:rFonts w:ascii="Calibri" w:hAnsi="Calibri"/>
          <w:lang w:val="en-GB"/>
        </w:rPr>
        <w:t xml:space="preserve"> interpret and </w:t>
      </w:r>
      <w:r w:rsidR="00981FD8" w:rsidRPr="0024604A">
        <w:rPr>
          <w:rFonts w:ascii="Calibri" w:hAnsi="Calibri"/>
          <w:lang w:val="en-GB"/>
        </w:rPr>
        <w:t xml:space="preserve">evaluate </w:t>
      </w:r>
      <w:r w:rsidR="00FA6B34" w:rsidRPr="0024604A">
        <w:rPr>
          <w:rFonts w:ascii="Calibri" w:hAnsi="Calibri"/>
          <w:lang w:val="en-GB"/>
        </w:rPr>
        <w:t xml:space="preserve">LC-MS data, including algorithms for annotation of isotope peaks and adducts </w:t>
      </w:r>
      <w:r w:rsidR="00FA6B34" w:rsidRPr="0024604A">
        <w:rPr>
          <w:rFonts w:ascii="Calibri" w:hAnsi="Calibri"/>
          <w:lang w:val="en-GB"/>
        </w:rPr>
        <w:fldChar w:fldCharType="begin" w:fldLock="1"/>
      </w:r>
      <w:r w:rsidR="006126E3" w:rsidRPr="0024604A">
        <w:rPr>
          <w:rFonts w:ascii="Calibri" w:hAnsi="Calibri"/>
          <w:lang w:val="en-GB"/>
        </w:rPr>
        <w:instrText>ADDIN CSL_CITATION {"citationItems":[{"id":"ITEM-1","itemData":{"DOI":"10.1021/ac202450g","ISBN":"2156623929","ISSN":"0003-2700","PMID":"1000000221","abstract":"Liquid chromatography coupled to mass spectrometry is routinely used for metabolomics experiments. In contrast to the fairly routine and automated data acquisition steps, subsequent compound annotation and identification require extensive manual analysis and thus form a major bottle neck in data interpretation. Here we present CAMERA, a Bioconductor package integrating algorithms to extract compound spectra, annotate isotope and adduct peaks, and propose the accurate compound mass even in highly complex data. To evaluate the algorithms, we compared the annotation of CAMERA against a manually defined annotation for a mixture of known compounds spiked into a complex matrix at different concentrations. CAMERA successfully extracted accurate masses for 89.7% and 90.3% of the annotatable compounds in positive and negative ion mode, respectively. Furthermore, we present a novel annotation approach that combines spectral information of data acquired in opposite ion modes to further improve the annotation rate. We demonstrate the utility of CAMERA in two different, easily adoptable plant metabolomics experiments, where the application of CAMERA drastically reduced the amount of manual analysis.","author":[{"dropping-particle":"","family":"Kuhl","given":"Carsten","non-dropping-particle":"","parse-names":false,"suffix":""},{"dropping-particle":"","family":"Tautenhahn","given":"Ralf","non-dropping-particle":"","parse-names":false,"suffix":""},{"dropping-particle":"","family":"Böttcher","given":"Christoph","non-dropping-particle":"","parse-names":false,"suffix":""},{"dropping-particle":"","family":"Larson","given":"Tony R.","non-dropping-particle":"","parse-names":false,"suffix":""},{"dropping-particle":"","family":"Neumann","given":"Steffen","non-dropping-particle":"","parse-names":false,"suffix":""}],"container-title":"Analytical Chemistry","id":"ITEM-1","issue":"1","issued":{"date-parts":[["2012","1"]]},"page":"283-289","title":"CAMERA: An Integrated Strategy for Compound Spectra Extraction and Annotation of Liquid Chromatography/Mass Spectrometry Data Sets","type":"article-journal","volume":"84"},"uris":["http://www.mendeley.com/documents/?uuid=9e927931-31db-4945-9a2b-f53e9f1c4ae8","http://www.mendeley.com/documents/?uuid=18594282-6964-4603-b956-a5cd091fbbb7"]}],"mendeley":{"formattedCitation":"[38]","plainTextFormattedCitation":"[38]","previouslyFormattedCitation":"[38]"},"properties":{"noteIndex":0},"schema":"https://github.com/citation-style-language/schema/raw/master/csl-citation.json"}</w:instrText>
      </w:r>
      <w:r w:rsidR="00FA6B34" w:rsidRPr="0024604A">
        <w:rPr>
          <w:rFonts w:ascii="Calibri" w:hAnsi="Calibri"/>
          <w:lang w:val="en-GB"/>
        </w:rPr>
        <w:fldChar w:fldCharType="separate"/>
      </w:r>
      <w:r w:rsidR="0089225B" w:rsidRPr="0024604A">
        <w:rPr>
          <w:rFonts w:ascii="Calibri" w:hAnsi="Calibri"/>
          <w:noProof/>
          <w:lang w:val="en-GB"/>
        </w:rPr>
        <w:t>[38]</w:t>
      </w:r>
      <w:r w:rsidR="00FA6B34" w:rsidRPr="0024604A">
        <w:rPr>
          <w:rFonts w:ascii="Calibri" w:hAnsi="Calibri"/>
          <w:lang w:val="en-GB"/>
        </w:rPr>
        <w:fldChar w:fldCharType="end"/>
      </w:r>
      <w:r w:rsidR="0001568E" w:rsidRPr="0024604A">
        <w:rPr>
          <w:rFonts w:ascii="Calibri" w:hAnsi="Calibri"/>
          <w:lang w:val="en-GB"/>
        </w:rPr>
        <w:t xml:space="preserve"> in order to obtain</w:t>
      </w:r>
      <w:r w:rsidR="00FA6B34" w:rsidRPr="0024604A">
        <w:rPr>
          <w:rFonts w:ascii="Calibri" w:hAnsi="Calibri"/>
          <w:lang w:val="en-GB"/>
        </w:rPr>
        <w:t xml:space="preserve"> </w:t>
      </w:r>
      <w:r w:rsidR="00DC1769" w:rsidRPr="0024604A">
        <w:rPr>
          <w:rFonts w:ascii="Calibri" w:hAnsi="Calibri"/>
          <w:lang w:val="en-GB"/>
        </w:rPr>
        <w:t>a</w:t>
      </w:r>
      <w:r w:rsidR="00FA6B34" w:rsidRPr="0024604A">
        <w:rPr>
          <w:rFonts w:ascii="Calibri" w:hAnsi="Calibri"/>
          <w:lang w:val="en-GB"/>
        </w:rPr>
        <w:t xml:space="preserve"> data matrix </w:t>
      </w:r>
      <w:r w:rsidR="00DC1769" w:rsidRPr="0024604A">
        <w:rPr>
          <w:rFonts w:ascii="Calibri" w:hAnsi="Calibri"/>
          <w:lang w:val="en-GB"/>
        </w:rPr>
        <w:t xml:space="preserve">of </w:t>
      </w:r>
      <w:r w:rsidR="00FA6B34" w:rsidRPr="0024604A">
        <w:rPr>
          <w:rFonts w:ascii="Calibri" w:hAnsi="Calibri"/>
          <w:lang w:val="en-GB"/>
        </w:rPr>
        <w:t xml:space="preserve">95 samples x 2821 variables; </w:t>
      </w:r>
      <w:r w:rsidR="0001568E" w:rsidRPr="0024604A">
        <w:rPr>
          <w:rFonts w:ascii="Calibri" w:hAnsi="Calibri"/>
          <w:lang w:val="en-GB"/>
        </w:rPr>
        <w:t xml:space="preserve">only </w:t>
      </w:r>
      <w:r w:rsidR="00FA6B34" w:rsidRPr="0024604A">
        <w:rPr>
          <w:rFonts w:ascii="Calibri" w:hAnsi="Calibri"/>
          <w:lang w:val="en-GB"/>
        </w:rPr>
        <w:t xml:space="preserve">M+1 and M+3 isotopologue peaks </w:t>
      </w:r>
      <w:r w:rsidR="0001568E" w:rsidRPr="0024604A">
        <w:rPr>
          <w:rFonts w:ascii="Calibri" w:hAnsi="Calibri"/>
          <w:lang w:val="en-GB"/>
        </w:rPr>
        <w:t>were</w:t>
      </w:r>
      <w:r w:rsidR="00FA6B34" w:rsidRPr="0024604A">
        <w:rPr>
          <w:rFonts w:ascii="Calibri" w:hAnsi="Calibri"/>
          <w:lang w:val="en-GB"/>
        </w:rPr>
        <w:t xml:space="preserve"> removed, because of the well-known problem of overlapping </w:t>
      </w:r>
      <w:r w:rsidR="00DC1769" w:rsidRPr="0024604A">
        <w:rPr>
          <w:rFonts w:ascii="Calibri" w:hAnsi="Calibri"/>
          <w:lang w:val="en-GB"/>
        </w:rPr>
        <w:t xml:space="preserve">between </w:t>
      </w:r>
      <w:r w:rsidR="00FA6B34" w:rsidRPr="0024604A">
        <w:rPr>
          <w:rFonts w:ascii="Calibri" w:hAnsi="Calibri"/>
          <w:lang w:val="en-GB"/>
        </w:rPr>
        <w:t>the third isotop</w:t>
      </w:r>
      <w:r w:rsidR="00B11726" w:rsidRPr="0024604A">
        <w:rPr>
          <w:rFonts w:ascii="Calibri" w:hAnsi="Calibri"/>
          <w:lang w:val="en-GB"/>
        </w:rPr>
        <w:t>ologue</w:t>
      </w:r>
      <w:r w:rsidR="00FA6B34" w:rsidRPr="0024604A">
        <w:rPr>
          <w:rFonts w:ascii="Calibri" w:hAnsi="Calibri"/>
          <w:lang w:val="en-GB"/>
        </w:rPr>
        <w:t xml:space="preserve"> of a specie</w:t>
      </w:r>
      <w:r w:rsidR="00DC1769" w:rsidRPr="0024604A">
        <w:rPr>
          <w:rFonts w:ascii="Calibri" w:hAnsi="Calibri"/>
          <w:lang w:val="en-GB"/>
        </w:rPr>
        <w:t>s</w:t>
      </w:r>
      <w:r w:rsidR="00FA6B34" w:rsidRPr="0024604A">
        <w:rPr>
          <w:rFonts w:ascii="Calibri" w:hAnsi="Calibri"/>
          <w:lang w:val="en-GB"/>
        </w:rPr>
        <w:t xml:space="preserve"> with </w:t>
      </w:r>
      <w:r w:rsidR="00FA6B34" w:rsidRPr="0024604A">
        <w:rPr>
          <w:rFonts w:ascii="Calibri" w:hAnsi="Calibri"/>
          <w:i/>
          <w:iCs/>
          <w:lang w:val="en-GB"/>
        </w:rPr>
        <w:t>X</w:t>
      </w:r>
      <w:r w:rsidR="00FA6B34" w:rsidRPr="0024604A">
        <w:rPr>
          <w:rFonts w:ascii="Calibri" w:hAnsi="Calibri"/>
          <w:lang w:val="en-GB"/>
        </w:rPr>
        <w:t xml:space="preserve"> carbon atoms and </w:t>
      </w:r>
      <w:r w:rsidR="00FA6B34" w:rsidRPr="0024604A">
        <w:rPr>
          <w:rFonts w:ascii="Calibri" w:hAnsi="Calibri"/>
          <w:i/>
          <w:iCs/>
          <w:lang w:val="en-GB"/>
        </w:rPr>
        <w:t>Y</w:t>
      </w:r>
      <w:r w:rsidR="00FA6B34" w:rsidRPr="0024604A">
        <w:rPr>
          <w:rFonts w:ascii="Calibri" w:hAnsi="Calibri"/>
          <w:lang w:val="en-GB"/>
        </w:rPr>
        <w:t xml:space="preserve"> unsaturations and the first </w:t>
      </w:r>
      <w:r w:rsidR="005D1DCC" w:rsidRPr="0024604A">
        <w:rPr>
          <w:rFonts w:ascii="Calibri" w:hAnsi="Calibri"/>
          <w:lang w:val="en-GB"/>
        </w:rPr>
        <w:t>isotopologue</w:t>
      </w:r>
      <w:r w:rsidR="00DC1769" w:rsidRPr="0024604A">
        <w:rPr>
          <w:rFonts w:ascii="Calibri" w:hAnsi="Calibri"/>
          <w:lang w:val="en-GB"/>
        </w:rPr>
        <w:t xml:space="preserve"> </w:t>
      </w:r>
      <w:r w:rsidR="00FA6B34" w:rsidRPr="0024604A">
        <w:rPr>
          <w:rFonts w:ascii="Calibri" w:hAnsi="Calibri"/>
          <w:lang w:val="en-GB"/>
        </w:rPr>
        <w:t>peak of the specie</w:t>
      </w:r>
      <w:r w:rsidR="00DC1769" w:rsidRPr="0024604A">
        <w:rPr>
          <w:rFonts w:ascii="Calibri" w:hAnsi="Calibri"/>
          <w:lang w:val="en-GB"/>
        </w:rPr>
        <w:t>s</w:t>
      </w:r>
      <w:r w:rsidR="00FA6B34" w:rsidRPr="0024604A">
        <w:rPr>
          <w:rFonts w:ascii="Calibri" w:hAnsi="Calibri"/>
          <w:lang w:val="en-GB"/>
        </w:rPr>
        <w:t xml:space="preserve"> having </w:t>
      </w:r>
      <w:r w:rsidR="00FA6B34" w:rsidRPr="0024604A">
        <w:rPr>
          <w:rFonts w:ascii="Calibri" w:hAnsi="Calibri"/>
          <w:i/>
          <w:iCs/>
          <w:lang w:val="en-GB"/>
        </w:rPr>
        <w:t>X</w:t>
      </w:r>
      <w:r w:rsidR="00FA6B34" w:rsidRPr="0024604A">
        <w:rPr>
          <w:rFonts w:ascii="Calibri" w:hAnsi="Calibri"/>
          <w:lang w:val="en-GB"/>
        </w:rPr>
        <w:t xml:space="preserve"> carbon atoms and </w:t>
      </w:r>
      <w:r w:rsidR="00FA6B34" w:rsidRPr="0024604A">
        <w:rPr>
          <w:rFonts w:ascii="Calibri" w:hAnsi="Calibri"/>
          <w:i/>
          <w:iCs/>
          <w:lang w:val="en-GB"/>
        </w:rPr>
        <w:t>Y</w:t>
      </w:r>
      <w:r w:rsidR="00FA6B34" w:rsidRPr="0024604A">
        <w:rPr>
          <w:rFonts w:ascii="Calibri" w:hAnsi="Calibri"/>
          <w:lang w:val="en-GB"/>
        </w:rPr>
        <w:t xml:space="preserve">-1 unsaturations </w:t>
      </w:r>
      <w:r w:rsidR="00FA6B34" w:rsidRPr="0024604A">
        <w:rPr>
          <w:rFonts w:ascii="Calibri" w:hAnsi="Calibri"/>
          <w:lang w:val="en-GB"/>
        </w:rPr>
        <w:fldChar w:fldCharType="begin" w:fldLock="1"/>
      </w:r>
      <w:r w:rsidR="006126E3" w:rsidRPr="0024604A">
        <w:rPr>
          <w:rFonts w:ascii="Calibri" w:hAnsi="Calibri"/>
          <w:lang w:val="en-GB"/>
        </w:rPr>
        <w:instrText>ADDIN CSL_CITATION {"citationItems":[{"id":"ITEM-1","itemData":{"DOI":"10.1002/9781119085263.ch15","ISBN":"9781119085263","author":[{"dropping-particle":"","family":"Han","given":"Xianlin","non-dropping-particle":"","parse-names":false,"suffix":""}],"chapter-number":"15","container-title":"Lipidomics: Comprehensive Mass Spectrometry of Lipids","editor":[{"dropping-particle":"","family":"Wiley","given":"","non-dropping-particle":"","parse-names":false,"suffix":""}],"id":"ITEM-1","issued":{"date-parts":[["2016","4"]]},"page":"335-352","publisher":"John Wiley &amp; Sons, Inc","publisher-place":"Hoboken, NJ, USA","title":"Factors Affecting Accurate Quantification of Lipids","type":"chapter"},"uris":["http://www.mendeley.com/documents/?uuid=da499cac-2f3d-41c1-a7f1-ed1d1a149b64"]}],"mendeley":{"formattedCitation":"[39]","plainTextFormattedCitation":"[39]","previouslyFormattedCitation":"[39]"},"properties":{"noteIndex":0},"schema":"https://github.com/citation-style-language/schema/raw/master/csl-citation.json"}</w:instrText>
      </w:r>
      <w:r w:rsidR="00FA6B34" w:rsidRPr="0024604A">
        <w:rPr>
          <w:rFonts w:ascii="Calibri" w:hAnsi="Calibri"/>
          <w:lang w:val="en-GB"/>
        </w:rPr>
        <w:fldChar w:fldCharType="separate"/>
      </w:r>
      <w:r w:rsidR="0089225B" w:rsidRPr="0024604A">
        <w:rPr>
          <w:rFonts w:ascii="Calibri" w:hAnsi="Calibri"/>
          <w:noProof/>
          <w:lang w:val="en-GB"/>
        </w:rPr>
        <w:t>[39]</w:t>
      </w:r>
      <w:r w:rsidR="00FA6B34" w:rsidRPr="0024604A">
        <w:rPr>
          <w:rFonts w:ascii="Calibri" w:hAnsi="Calibri"/>
          <w:lang w:val="en-GB"/>
        </w:rPr>
        <w:fldChar w:fldCharType="end"/>
      </w:r>
      <w:r w:rsidR="00FA6B34" w:rsidRPr="0024604A">
        <w:rPr>
          <w:rFonts w:ascii="Calibri" w:hAnsi="Calibri"/>
          <w:lang w:val="en-GB"/>
        </w:rPr>
        <w:t xml:space="preserve">. </w:t>
      </w:r>
      <w:r w:rsidR="00DC1769" w:rsidRPr="0024604A">
        <w:rPr>
          <w:rFonts w:ascii="Calibri" w:hAnsi="Calibri"/>
          <w:lang w:val="en-GB"/>
        </w:rPr>
        <w:t>Critical issues faced</w:t>
      </w:r>
      <w:r w:rsidR="00DC1769" w:rsidRPr="0024604A">
        <w:rPr>
          <w:rFonts w:asciiTheme="minorHAnsi" w:hAnsiTheme="minorHAnsi" w:cstheme="minorHAnsi"/>
          <w:lang w:val="en-GB"/>
        </w:rPr>
        <w:t xml:space="preserve"> over time while performing metabolome profiling analysis </w:t>
      </w:r>
      <w:r w:rsidR="00DC1769" w:rsidRPr="0024604A">
        <w:rPr>
          <w:rFonts w:asciiTheme="minorHAnsi" w:hAnsiTheme="minorHAnsi" w:cstheme="minorHAnsi"/>
          <w:lang w:val="en-GB"/>
        </w:rPr>
        <w:fldChar w:fldCharType="begin" w:fldLock="1"/>
      </w:r>
      <w:r w:rsidR="00280CED" w:rsidRPr="0024604A">
        <w:rPr>
          <w:rFonts w:asciiTheme="minorHAnsi" w:hAnsiTheme="minorHAnsi" w:cstheme="minorHAnsi"/>
          <w:lang w:val="en-GB"/>
        </w:rPr>
        <w:instrText>ADDIN CSL_CITATION {"citationItems":[{"id":"ITEM-1","itemData":{"DOI":"10.4155/bio.12.204","ISBN":"1757-6180","ISSN":"1757-6180","PMID":"23046267","abstract":"The metabolic investigation of the human population is becoming increasingly important in the study of health and disease. The phenotypic variation can be investigated through the application of metabolomics; to provide a statistically robust investigation, the study of hundreds to thousands of individuals is required. In untargeted and MS-focused metabolomic studies this once provided significant hurdles. However, recent innovations have enabled the application of MS platforms in large-scale, untargeted studies of humans. Herein we describe the importance of experimental design, the separation of the biological study into multiple analytical experiments and the incorporation of QC samples to provide the ability to perform signal correction in order to reduce analytical variation and to quantitatively determine analytical precision. In addition, we describe how to apply this in quality assurance processes. These innovations have opened up the capabilities to perform routine, large-scale, untargeted, MS-focused studies.","author":[{"dropping-particle":"","family":"Dunn","given":"Warwick B","non-dropping-particle":"","parse-names":false,"suffix":""},{"dropping-particle":"","family":"Wilson","given":"Ian D","non-dropping-particle":"","parse-names":false,"suffix":""},{"dropping-particle":"","family":"Nicholls","given":"Andrew W","non-dropping-particle":"","parse-names":false,"suffix":""},{"dropping-particle":"","family":"Broadhurst","given":"David","non-dropping-particle":"","parse-names":false,"suffix":""}],"container-title":"Bioanalysis","id":"ITEM-1","issue":"18","issued":{"date-parts":[["2012","9"]]},"page":"2249-2264","title":"The importance of experimental design and QC samples in large-scale and MS-driven untargeted metabolomic studies of humans","type":"article-journal","volume":"4"},"uris":["http://www.mendeley.com/documents/?uuid=7c543254-9c41-4a97-aa9c-7739bfee70fb"]},{"id":"ITEM-2","itemData":{"DOI":"10.1007/s11306-018-1367-3","ISBN":"0123456789","ISSN":"15733890","PMID":"29805336","abstract":"Background: Quality assurance (QA) and quality control (QC) are two quality management processes that are integral to the success of metabolomics including their application for the acquisition of high quality data in any high-throughput analytical chemistry laboratory. QA defines all the planned and systematic activities implemented before samples are collected, to provide confidence that a subsequent analytical process will fulfil predetermined requirements for quality. QC can be defined as the operational techniques and activities used to measure and report these quality requirements after data acquisition. Aim of review: This tutorial review will guide the reader through the use of system suitability and QC samples, why these samples should be applied and how the quality of data can be reported. Key scientific concepts of review: System suitability samples are applied to assess the operation and lack of contamination of the analytical platform prior to sample analysis. Isotopically-labelled internal standards are applied to assess system stability for each sample analysed. Pooled QC samples are applied to condition the analytical platform, perform intra-study reproducibility measurements (QC) and to correct mathematically for systematic errors. Standard reference materials and long-term reference QC samples are applied for inter-study and inter-laboratory assessment of data.","author":[{"dropping-particle":"","family":"Broadhurst","given":"David","non-dropping-particle":"","parse-names":false,"suffix":""},{"dropping-particle":"","family":"Goodacre","given":"Royston","non-dropping-particle":"","parse-names":false,"suffix":""},{"dropping-particle":"","family":"Reinke","given":"Stacey N.","non-dropping-particle":"","parse-names":false,"suffix":""},{"dropping-particle":"","family":"Kuligowski","given":"Julia","non-dropping-particle":"","parse-names":false,"suffix":""},{"dropping-particle":"","family":"Wilson","given":"Ian D.","non-dropping-particle":"","parse-names":false,"suffix":""},{"dropping-particle":"","family":"Lewis","given":"Matthew R.","non-dropping-particle":"","parse-names":false,"suffix":""},{"dropping-particle":"","family":"Dunn","given":"Warwick B.","non-dropping-particle":"","parse-names":false,"suffix":""}],"container-title":"Metabolomics","id":"ITEM-2","issue":"6","issued":{"date-parts":[["2018"]]},"page":"0","publisher":"Springer US","title":"Guidelines and considerations for the use of system suitability and quality control samples in mass spectrometry assays applied in untargeted clinical metabolomic studies","type":"article","volume":"14"},"uris":["http://www.mendeley.com/documents/?uuid=034d333b-fd65-4098-b9fe-2ea48c51b73a"]},{"id":"ITEM-3","itemData":{"DOI":"10.5936/csbj.201301009","ISBN":"2001-0370 (Electronic)\\r2001-0370 (Linking)","ISSN":"20010370","PMID":"24688690","abstract":"Metabolomics is a relatively new high-throughput technology that aims at measuring all endogenous metabolites within a biological sample in an unbiased fashion. The resulting metabolic profiles may be regarded as functional signatures of the physiological state, and have been shown to comprise effects of genetic regulation as well as environmental factors. This potential to connect genotypic to phenotypic information promises new insights and biomarkers for different research fields, including biomedical and pharmaceutical research. In the statistical analysis of metabolomics data, many techniques from other omics fields can be reused. However recently, a number of tools specific for metabolomics data have been developed as well. The focus of this mini review will be on recent advancements in the analysis of metabolomics data especially by utilizing Gaussian graphical models and independent component analysis. © 2013 Commisso et al.","author":[{"dropping-particle":"","family":"Bartel","given":"Jörg","non-dropping-particle":"","parse-names":false,"suffix":""},{"dropping-particle":"","family":"Krumsiek","given":"Jan","non-dropping-particle":"","parse-names":false,"suffix":""},{"dropping-particle":"","family":"Theis","given":"Fabian J.","non-dropping-particle":"","parse-names":false,"suffix":""}],"container-title":"Computational and Structural Biotechnology Journal","id":"ITEM-3","issue":"5","issued":{"date-parts":[["2013","1"]]},"page":"e201301009","publisher":"Research Network of Computational and Structural Biotechnology","title":"Statistical methods for the analysis of high-throughput metabolomics data","type":"article-journal","volume":"4"},"uris":["http://www.mendeley.com/documents/?uuid=135c7f62-e0e4-4de3-a2c4-0c17099c4503"]},{"id":"ITEM-4","itemData":{"DOI":"10.1038/nprot.2011.335","ISBN":"1750-2799 (Electronic)\\n1750-2799 (Linking)","ISSN":"17542189","PMID":"21720319","abstract":"Metabolism has an essential role in biological systems. Identification and quantitation of the compounds in the metabolome is defined as metabolic profiling, and it is applied to define metabolic changes related to genetic differences, environmental influences and disease or drug perturbations. Chromatography-mass spectrometry (MS) platforms are frequently used to provide the sensitive and reproducible detection of hundreds to thousands of metabolites in a single biofluid or tissue sample. Here we describe the experimental workflow for long-term and large-scale metabolomic studies involving thousands of human samples with data acquired for multiple analytical batches over many months and years. Protocols for serum- and plasma-based metabolic profiling applying gas chromatography-MS (GC-MS) and ultraperformance liquid chromatography-MS (UPLC-MS) are described. These include biofluid collection, sample preparation, data acquisition, data pre-processing and quality assurance. Methods for quality control-based robust LOESS signal correction to provide signal correction and integration of data from multiple analytical batches are also described.","author":[{"dropping-particle":"","family":"Dunn","given":"Warwick B.","non-dropping-particle":"","parse-names":false,"suffix":""},{"dropping-particle":"","family":"Broadhurst","given":"David","non-dropping-particle":"","parse-names":false,"suffix":""},{"dropping-particle":"","family":"Begley","given":"Paul","non-dropping-particle":"","parse-names":false,"suffix":""},{"dropping-particle":"","family":"Zelena","given":"Eva","non-dropping-particle":"","parse-names":false,"suffix":""},{"dropping-particle":"","family":"Francis-Mcintyre","given":"Sue","non-dropping-particle":"","parse-names":false,"suffix":""},{"dropping-particle":"","family":"Anderson","given":"Nadine","non-dropping-particle":"","parse-names":false,"suffix":""},{"dropping-particle":"","family":"Brown","given":"Marie","non-dropping-particle":"","parse-names":false,"suffix":""},{"dropping-particle":"","family":"Knowles","given":"Joshau D.","non-dropping-particle":"","parse-names":false,"suffix":""},{"dropping-particle":"","family":"Halsall","given":"Antony","non-dropping-particle":"","parse-names":false,"suffix":""},{"dropping-particle":"","family":"Haselden","given":"John N.","non-dropping-particle":"","parse-names":false,"suffix":""},{"dropping-particle":"","family":"Nicholls","given":"Andrew W.","non-dropping-particle":"","parse-names":false,"suffix":""},{"dropping-particle":"","family":"Wilson","given":"Ian D.","non-dropping-particle":"","parse-names":false,"suffix":""},{"dropping-particle":"","family":"Kell","given":"Douglas B.","non-dropping-particle":"","parse-names":false,"suffix":""},{"dropping-particle":"","family":"Goodacre","given":"Royston","non-dropping-particle":"","parse-names":false,"suffix":""}],"container-title":"Nature Protocols","id":"ITEM-4","issue":"7","issued":{"date-parts":[["2011","6"]]},"page":"1060-1083","title":"Procedures for large-scale metabolic profiling of serum and plasma using gas chromatography and liquid chromatography coupled to mass spectrometry","type":"article-journal","volume":"6"},"uris":["http://www.mendeley.com/documents/?uuid=3ed9feb0-8d30-4dff-953c-efb9748aeccc"]}],"mendeley":{"formattedCitation":"[28, 40–42]","plainTextFormattedCitation":"[28, 40–42]","previouslyFormattedCitation":"[28, 40–42]"},"properties":{"noteIndex":0},"schema":"https://github.com/citation-style-language/schema/raw/master/csl-citation.json"}</w:instrText>
      </w:r>
      <w:r w:rsidR="00DC1769" w:rsidRPr="0024604A">
        <w:rPr>
          <w:rFonts w:asciiTheme="minorHAnsi" w:hAnsiTheme="minorHAnsi" w:cstheme="minorHAnsi"/>
          <w:lang w:val="en-GB"/>
        </w:rPr>
        <w:fldChar w:fldCharType="separate"/>
      </w:r>
      <w:r w:rsidR="0089225B" w:rsidRPr="0024604A">
        <w:rPr>
          <w:rFonts w:asciiTheme="minorHAnsi" w:hAnsiTheme="minorHAnsi" w:cstheme="minorHAnsi"/>
          <w:noProof/>
          <w:lang w:val="en-GB"/>
        </w:rPr>
        <w:t>[28, 40–42]</w:t>
      </w:r>
      <w:r w:rsidR="00DC1769" w:rsidRPr="0024604A">
        <w:rPr>
          <w:rFonts w:asciiTheme="minorHAnsi" w:hAnsiTheme="minorHAnsi" w:cstheme="minorHAnsi"/>
          <w:lang w:val="en-GB"/>
        </w:rPr>
        <w:fldChar w:fldCharType="end"/>
      </w:r>
      <w:r w:rsidR="00DC1769" w:rsidRPr="0024604A">
        <w:rPr>
          <w:rFonts w:ascii="Calibri" w:hAnsi="Calibri"/>
          <w:lang w:val="en-GB"/>
        </w:rPr>
        <w:t xml:space="preserve"> are related to i</w:t>
      </w:r>
      <w:r w:rsidR="00101708" w:rsidRPr="0024604A">
        <w:rPr>
          <w:rFonts w:asciiTheme="minorHAnsi" w:hAnsiTheme="minorHAnsi" w:cstheme="minorHAnsi"/>
          <w:lang w:val="en-GB"/>
        </w:rPr>
        <w:t>nstrumental sensitivity changes along with degradation of sample extracts, ion source contamination and retention-time shifts.</w:t>
      </w:r>
      <w:r w:rsidR="00A27CE1" w:rsidRPr="0024604A">
        <w:rPr>
          <w:rFonts w:asciiTheme="minorHAnsi" w:hAnsiTheme="minorHAnsi" w:cstheme="minorHAnsi"/>
          <w:lang w:val="en-GB"/>
        </w:rPr>
        <w:t xml:space="preserve"> </w:t>
      </w:r>
      <w:r w:rsidR="00DC1769" w:rsidRPr="0024604A">
        <w:rPr>
          <w:rFonts w:asciiTheme="minorHAnsi" w:hAnsiTheme="minorHAnsi" w:cstheme="minorHAnsi"/>
          <w:lang w:val="en-GB"/>
        </w:rPr>
        <w:t xml:space="preserve">To </w:t>
      </w:r>
      <w:r w:rsidR="0001568E" w:rsidRPr="0024604A">
        <w:rPr>
          <w:rFonts w:asciiTheme="minorHAnsi" w:hAnsiTheme="minorHAnsi" w:cstheme="minorHAnsi"/>
          <w:lang w:val="en-GB"/>
        </w:rPr>
        <w:t>t</w:t>
      </w:r>
      <w:r w:rsidR="00DC1769" w:rsidRPr="0024604A">
        <w:rPr>
          <w:rFonts w:asciiTheme="minorHAnsi" w:hAnsiTheme="minorHAnsi" w:cstheme="minorHAnsi"/>
          <w:lang w:val="en-GB"/>
        </w:rPr>
        <w:t>his aim, q</w:t>
      </w:r>
      <w:r w:rsidR="00101708" w:rsidRPr="0024604A">
        <w:rPr>
          <w:rFonts w:asciiTheme="minorHAnsi" w:hAnsiTheme="minorHAnsi" w:cstheme="minorHAnsi"/>
          <w:lang w:val="en-GB"/>
        </w:rPr>
        <w:t xml:space="preserve">uality control (QC) samples, obtained </w:t>
      </w:r>
      <w:r w:rsidR="005E1178" w:rsidRPr="0024604A">
        <w:rPr>
          <w:rFonts w:asciiTheme="minorHAnsi" w:hAnsiTheme="minorHAnsi" w:cstheme="minorHAnsi"/>
          <w:lang w:val="en-GB"/>
        </w:rPr>
        <w:t xml:space="preserve">by </w:t>
      </w:r>
      <w:r w:rsidR="00101708" w:rsidRPr="0024604A">
        <w:rPr>
          <w:rFonts w:asciiTheme="minorHAnsi" w:hAnsiTheme="minorHAnsi" w:cstheme="minorHAnsi"/>
          <w:lang w:val="en-GB"/>
        </w:rPr>
        <w:t>pooling together small aliquots of each biological sample</w:t>
      </w:r>
      <w:r w:rsidR="005E1178" w:rsidRPr="0024604A">
        <w:rPr>
          <w:rFonts w:asciiTheme="minorHAnsi" w:hAnsiTheme="minorHAnsi" w:cstheme="minorHAnsi"/>
          <w:lang w:val="en-GB"/>
        </w:rPr>
        <w:t>,</w:t>
      </w:r>
      <w:r w:rsidR="00101708" w:rsidRPr="0024604A">
        <w:rPr>
          <w:rFonts w:asciiTheme="minorHAnsi" w:hAnsiTheme="minorHAnsi" w:cstheme="minorHAnsi"/>
          <w:lang w:val="en-GB"/>
        </w:rPr>
        <w:t xml:space="preserve"> were run every five biological samples to monitor </w:t>
      </w:r>
      <w:r w:rsidR="005D1DCC" w:rsidRPr="0024604A">
        <w:rPr>
          <w:rFonts w:asciiTheme="minorHAnsi" w:hAnsiTheme="minorHAnsi" w:cstheme="minorHAnsi"/>
          <w:lang w:val="en-GB"/>
        </w:rPr>
        <w:t>signal intensity</w:t>
      </w:r>
      <w:r w:rsidR="00101708" w:rsidRPr="0024604A">
        <w:rPr>
          <w:rFonts w:asciiTheme="minorHAnsi" w:hAnsiTheme="minorHAnsi" w:cstheme="minorHAnsi"/>
          <w:lang w:val="en-GB"/>
        </w:rPr>
        <w:t xml:space="preserve"> drift over the analysis </w:t>
      </w:r>
      <w:r w:rsidR="008F35EA" w:rsidRPr="0024604A">
        <w:rPr>
          <w:rFonts w:asciiTheme="minorHAnsi" w:hAnsiTheme="minorHAnsi" w:cstheme="minorHAnsi"/>
          <w:lang w:val="en-GB"/>
        </w:rPr>
        <w:t xml:space="preserve">time </w:t>
      </w:r>
      <w:r w:rsidR="005E1178" w:rsidRPr="0024604A">
        <w:rPr>
          <w:rFonts w:asciiTheme="minorHAnsi" w:hAnsiTheme="minorHAnsi" w:cstheme="minorHAnsi"/>
          <w:lang w:val="en-GB"/>
        </w:rPr>
        <w:t xml:space="preserve">(in this study there was very little drift as discussed below) </w:t>
      </w:r>
      <w:r w:rsidR="00101708" w:rsidRPr="0024604A">
        <w:rPr>
          <w:rFonts w:asciiTheme="minorHAnsi" w:hAnsiTheme="minorHAnsi" w:cstheme="minorHAnsi"/>
          <w:lang w:val="en-GB"/>
        </w:rPr>
        <w:t xml:space="preserve">and to allow </w:t>
      </w:r>
      <w:r w:rsidR="00DC1769" w:rsidRPr="0024604A">
        <w:rPr>
          <w:rFonts w:asciiTheme="minorHAnsi" w:hAnsiTheme="minorHAnsi" w:cstheme="minorHAnsi"/>
          <w:lang w:val="en-GB"/>
        </w:rPr>
        <w:t>its correction considering that</w:t>
      </w:r>
      <w:r w:rsidR="005D1DCC" w:rsidRPr="0024604A">
        <w:rPr>
          <w:rFonts w:asciiTheme="minorHAnsi" w:hAnsiTheme="minorHAnsi" w:cstheme="minorHAnsi"/>
          <w:lang w:val="en-GB"/>
        </w:rPr>
        <w:t xml:space="preserve"> the </w:t>
      </w:r>
      <w:r w:rsidR="00A27CE1" w:rsidRPr="0024604A">
        <w:rPr>
          <w:rFonts w:asciiTheme="minorHAnsi" w:hAnsiTheme="minorHAnsi" w:cstheme="minorHAnsi"/>
          <w:lang w:val="en-GB"/>
        </w:rPr>
        <w:t xml:space="preserve">relative standard </w:t>
      </w:r>
      <w:r w:rsidR="00A27CE1" w:rsidRPr="0024604A">
        <w:rPr>
          <w:rFonts w:asciiTheme="minorHAnsi" w:hAnsiTheme="minorHAnsi" w:cstheme="minorHAnsi"/>
          <w:lang w:val="en-GB"/>
        </w:rPr>
        <w:lastRenderedPageBreak/>
        <w:t xml:space="preserve">deviation (RSD) </w:t>
      </w:r>
      <w:r w:rsidR="005D1DCC" w:rsidRPr="0024604A">
        <w:rPr>
          <w:rFonts w:asciiTheme="minorHAnsi" w:hAnsiTheme="minorHAnsi" w:cstheme="minorHAnsi"/>
          <w:lang w:val="en-GB"/>
        </w:rPr>
        <w:t>of</w:t>
      </w:r>
      <w:r w:rsidR="00A27CE1" w:rsidRPr="0024604A">
        <w:rPr>
          <w:rFonts w:asciiTheme="minorHAnsi" w:hAnsiTheme="minorHAnsi" w:cstheme="minorHAnsi"/>
          <w:lang w:val="en-GB"/>
        </w:rPr>
        <w:t xml:space="preserve"> each variable </w:t>
      </w:r>
      <w:r w:rsidR="005D1DCC" w:rsidRPr="0024604A">
        <w:rPr>
          <w:rFonts w:asciiTheme="minorHAnsi" w:hAnsiTheme="minorHAnsi" w:cstheme="minorHAnsi"/>
          <w:lang w:val="en-GB"/>
        </w:rPr>
        <w:t>wa</w:t>
      </w:r>
      <w:r w:rsidR="00A27CE1" w:rsidRPr="0024604A">
        <w:rPr>
          <w:rFonts w:asciiTheme="minorHAnsi" w:hAnsiTheme="minorHAnsi" w:cstheme="minorHAnsi"/>
          <w:lang w:val="en-GB"/>
        </w:rPr>
        <w:t xml:space="preserve">s </w:t>
      </w:r>
      <w:r w:rsidR="006E7C47" w:rsidRPr="0024604A">
        <w:rPr>
          <w:rFonts w:asciiTheme="minorHAnsi" w:hAnsiTheme="minorHAnsi" w:cstheme="minorHAnsi"/>
          <w:lang w:val="en-GB"/>
        </w:rPr>
        <w:t xml:space="preserve">generally </w:t>
      </w:r>
      <w:r w:rsidR="00A27CE1" w:rsidRPr="0024604A">
        <w:rPr>
          <w:rFonts w:asciiTheme="minorHAnsi" w:hAnsiTheme="minorHAnsi" w:cstheme="minorHAnsi"/>
          <w:lang w:val="en-GB"/>
        </w:rPr>
        <w:t xml:space="preserve">set to </w:t>
      </w:r>
      <w:r w:rsidR="005D1DCC" w:rsidRPr="0024604A">
        <w:rPr>
          <w:rFonts w:asciiTheme="minorHAnsi" w:hAnsiTheme="minorHAnsi" w:cstheme="minorHAnsi"/>
          <w:lang w:val="en-GB"/>
        </w:rPr>
        <w:t>a maximum of</w:t>
      </w:r>
      <w:r w:rsidR="00A27CE1" w:rsidRPr="0024604A">
        <w:rPr>
          <w:rFonts w:asciiTheme="minorHAnsi" w:hAnsiTheme="minorHAnsi" w:cstheme="minorHAnsi"/>
          <w:lang w:val="en-GB"/>
        </w:rPr>
        <w:t xml:space="preserve"> 20% </w:t>
      </w:r>
      <w:r w:rsidR="00A27CE1" w:rsidRPr="0024604A">
        <w:rPr>
          <w:rFonts w:asciiTheme="minorHAnsi" w:hAnsiTheme="minorHAnsi" w:cstheme="minorHAnsi"/>
          <w:lang w:val="en-GB"/>
        </w:rPr>
        <w:fldChar w:fldCharType="begin" w:fldLock="1"/>
      </w:r>
      <w:r w:rsidR="00280CED" w:rsidRPr="0024604A">
        <w:rPr>
          <w:rFonts w:asciiTheme="minorHAnsi" w:hAnsiTheme="minorHAnsi" w:cstheme="minorHAnsi"/>
          <w:lang w:val="en-GB"/>
        </w:rPr>
        <w:instrText>ADDIN CSL_CITATION {"citationItems":[{"id":"ITEM-1","itemData":{"DOI":"10.1007/s11306-018-1367-3","ISBN":"0123456789","ISSN":"15733890","PMID":"29805336","abstract":"Background: Quality assurance (QA) and quality control (QC) are two quality management processes that are integral to the success of metabolomics including their application for the acquisition of high quality data in any high-throughput analytical chemistry laboratory. QA defines all the planned and systematic activities implemented before samples are collected, to provide confidence that a subsequent analytical process will fulfil predetermined requirements for quality. QC can be defined as the operational techniques and activities used to measure and report these quality requirements after data acquisition. Aim of review: This tutorial review will guide the reader through the use of system suitability and QC samples, why these samples should be applied and how the quality of data can be reported. Key scientific concepts of review: System suitability samples are applied to assess the operation and lack of contamination of the analytical platform prior to sample analysis. Isotopically-labelled internal standards are applied to assess system stability for each sample analysed. Pooled QC samples are applied to condition the analytical platform, perform intra-study reproducibility measurements (QC) and to correct mathematically for systematic errors. Standard reference materials and long-term reference QC samples are applied for inter-study and inter-laboratory assessment of data.","author":[{"dropping-particle":"","family":"Broadhurst","given":"David","non-dropping-particle":"","parse-names":false,"suffix":""},{"dropping-particle":"","family":"Goodacre","given":"Royston","non-dropping-particle":"","parse-names":false,"suffix":""},{"dropping-particle":"","family":"Reinke","given":"Stacey N.","non-dropping-particle":"","parse-names":false,"suffix":""},{"dropping-particle":"","family":"Kuligowski","given":"Julia","non-dropping-particle":"","parse-names":false,"suffix":""},{"dropping-particle":"","family":"Wilson","given":"Ian D.","non-dropping-particle":"","parse-names":false,"suffix":""},{"dropping-particle":"","family":"Lewis","given":"Matthew R.","non-dropping-particle":"","parse-names":false,"suffix":""},{"dropping-particle":"","family":"Dunn","given":"Warwick B.","non-dropping-particle":"","parse-names":false,"suffix":""}],"container-title":"Metabolomics","id":"ITEM-1","issue":"6","issued":{"date-parts":[["2018"]]},"page":"0","publisher":"Springer US","title":"Guidelines and considerations for the use of system suitability and quality control samples in mass spectrometry assays applied in untargeted clinical metabolomic studies","type":"article","volume":"14"},"uris":["http://www.mendeley.com/documents/?uuid=034d333b-fd65-4098-b9fe-2ea48c51b73a"]}],"mendeley":{"formattedCitation":"[41]","plainTextFormattedCitation":"[41]","previouslyFormattedCitation":"[41]"},"properties":{"noteIndex":0},"schema":"https://github.com/citation-style-language/schema/raw/master/csl-citation.json"}</w:instrText>
      </w:r>
      <w:r w:rsidR="00A27CE1" w:rsidRPr="0024604A">
        <w:rPr>
          <w:rFonts w:asciiTheme="minorHAnsi" w:hAnsiTheme="minorHAnsi" w:cstheme="minorHAnsi"/>
          <w:lang w:val="en-GB"/>
        </w:rPr>
        <w:fldChar w:fldCharType="separate"/>
      </w:r>
      <w:r w:rsidR="0089225B" w:rsidRPr="0024604A">
        <w:rPr>
          <w:rFonts w:asciiTheme="minorHAnsi" w:hAnsiTheme="minorHAnsi" w:cstheme="minorHAnsi"/>
          <w:noProof/>
          <w:lang w:val="en-GB"/>
        </w:rPr>
        <w:t>[41]</w:t>
      </w:r>
      <w:r w:rsidR="00A27CE1" w:rsidRPr="0024604A">
        <w:rPr>
          <w:rFonts w:asciiTheme="minorHAnsi" w:hAnsiTheme="minorHAnsi" w:cstheme="minorHAnsi"/>
          <w:lang w:val="en-GB"/>
        </w:rPr>
        <w:fldChar w:fldCharType="end"/>
      </w:r>
      <w:r w:rsidR="00A27CE1" w:rsidRPr="0024604A">
        <w:rPr>
          <w:rFonts w:asciiTheme="minorHAnsi" w:hAnsiTheme="minorHAnsi" w:cstheme="minorHAnsi"/>
          <w:lang w:val="en-GB"/>
        </w:rPr>
        <w:t xml:space="preserve">. </w:t>
      </w:r>
      <w:r w:rsidR="005D1DCC" w:rsidRPr="0024604A">
        <w:rPr>
          <w:rFonts w:ascii="Calibri" w:hAnsi="Calibri"/>
          <w:lang w:val="en-GB"/>
        </w:rPr>
        <w:t xml:space="preserve">Upon removal of </w:t>
      </w:r>
      <w:r w:rsidR="00043A82" w:rsidRPr="0024604A">
        <w:rPr>
          <w:rFonts w:ascii="Calibri" w:hAnsi="Calibri"/>
          <w:lang w:val="en-GB"/>
        </w:rPr>
        <w:t>(</w:t>
      </w:r>
      <w:proofErr w:type="spellStart"/>
      <w:r w:rsidR="00043A82" w:rsidRPr="0024604A">
        <w:rPr>
          <w:rFonts w:ascii="Calibri" w:hAnsi="Calibri"/>
          <w:lang w:val="en-GB"/>
        </w:rPr>
        <w:t>i</w:t>
      </w:r>
      <w:proofErr w:type="spellEnd"/>
      <w:r w:rsidR="00043A82" w:rsidRPr="0024604A">
        <w:rPr>
          <w:rFonts w:ascii="Calibri" w:hAnsi="Calibri"/>
          <w:lang w:val="en-GB"/>
        </w:rPr>
        <w:t xml:space="preserve">) </w:t>
      </w:r>
      <w:r w:rsidR="005D1DCC" w:rsidRPr="0024604A">
        <w:rPr>
          <w:rFonts w:ascii="Calibri" w:hAnsi="Calibri"/>
          <w:lang w:val="en-GB"/>
        </w:rPr>
        <w:t>signal intensity</w:t>
      </w:r>
      <w:r w:rsidR="0054184F" w:rsidRPr="0024604A">
        <w:rPr>
          <w:rFonts w:ascii="Calibri" w:hAnsi="Calibri"/>
          <w:lang w:val="en-GB"/>
        </w:rPr>
        <w:t xml:space="preserve"> with RSD &gt;20% in QC,</w:t>
      </w:r>
      <w:r w:rsidR="00043A82" w:rsidRPr="0024604A">
        <w:rPr>
          <w:rFonts w:ascii="Calibri" w:hAnsi="Calibri"/>
          <w:lang w:val="en-GB"/>
        </w:rPr>
        <w:t xml:space="preserve"> (ii)</w:t>
      </w:r>
      <w:r w:rsidR="0054184F" w:rsidRPr="0024604A">
        <w:rPr>
          <w:rFonts w:ascii="Calibri" w:hAnsi="Calibri"/>
          <w:lang w:val="en-GB"/>
        </w:rPr>
        <w:t xml:space="preserve"> </w:t>
      </w:r>
      <w:r w:rsidR="005D1DCC" w:rsidRPr="0024604A">
        <w:rPr>
          <w:rFonts w:ascii="Calibri" w:hAnsi="Calibri"/>
          <w:lang w:val="en-GB"/>
        </w:rPr>
        <w:t xml:space="preserve">peak </w:t>
      </w:r>
      <w:r w:rsidR="00BC1A69" w:rsidRPr="0024604A">
        <w:rPr>
          <w:rFonts w:ascii="Calibri" w:hAnsi="Calibri"/>
          <w:lang w:val="en-GB"/>
        </w:rPr>
        <w:t xml:space="preserve">signals with </w:t>
      </w:r>
      <w:r w:rsidR="0054184F" w:rsidRPr="0024604A">
        <w:rPr>
          <w:rFonts w:ascii="Calibri" w:hAnsi="Calibri"/>
          <w:i/>
          <w:iCs/>
          <w:lang w:val="en-GB"/>
        </w:rPr>
        <w:t>m/z</w:t>
      </w:r>
      <w:r w:rsidR="0054184F" w:rsidRPr="0024604A">
        <w:rPr>
          <w:rFonts w:ascii="Calibri" w:hAnsi="Calibri"/>
          <w:lang w:val="en-GB"/>
        </w:rPr>
        <w:t xml:space="preserve"> lower than 400 and </w:t>
      </w:r>
      <w:r w:rsidR="00043A82" w:rsidRPr="0024604A">
        <w:rPr>
          <w:rFonts w:ascii="Calibri" w:hAnsi="Calibri"/>
          <w:lang w:val="en-GB"/>
        </w:rPr>
        <w:t xml:space="preserve">(iii) </w:t>
      </w:r>
      <w:r w:rsidR="0054184F" w:rsidRPr="0024604A">
        <w:rPr>
          <w:rFonts w:ascii="Calibri" w:hAnsi="Calibri"/>
          <w:lang w:val="en-GB"/>
        </w:rPr>
        <w:t xml:space="preserve">M+1 and M+3 </w:t>
      </w:r>
      <w:proofErr w:type="spellStart"/>
      <w:r w:rsidR="0054184F" w:rsidRPr="0024604A">
        <w:rPr>
          <w:rFonts w:ascii="Calibri" w:hAnsi="Calibri"/>
          <w:lang w:val="en-GB"/>
        </w:rPr>
        <w:t>isotopologue</w:t>
      </w:r>
      <w:r w:rsidR="00DC1769" w:rsidRPr="0024604A">
        <w:rPr>
          <w:rFonts w:ascii="Calibri" w:hAnsi="Calibri"/>
          <w:lang w:val="en-GB"/>
        </w:rPr>
        <w:t>s</w:t>
      </w:r>
      <w:proofErr w:type="spellEnd"/>
      <w:r w:rsidR="00A27CE1" w:rsidRPr="0024604A">
        <w:rPr>
          <w:rFonts w:ascii="Calibri" w:hAnsi="Calibri"/>
          <w:lang w:val="en-GB"/>
        </w:rPr>
        <w:t>,</w:t>
      </w:r>
      <w:r w:rsidR="0054184F" w:rsidRPr="0024604A">
        <w:rPr>
          <w:rFonts w:ascii="Calibri" w:hAnsi="Calibri"/>
          <w:lang w:val="en-GB"/>
        </w:rPr>
        <w:t xml:space="preserve"> </w:t>
      </w:r>
      <w:r w:rsidR="005D1DCC" w:rsidRPr="0024604A">
        <w:rPr>
          <w:rFonts w:ascii="Calibri" w:hAnsi="Calibri"/>
          <w:lang w:val="en-GB"/>
        </w:rPr>
        <w:t>the number of features decreased</w:t>
      </w:r>
      <w:r w:rsidR="00FA2A92" w:rsidRPr="0024604A">
        <w:rPr>
          <w:rFonts w:ascii="Calibri" w:hAnsi="Calibri"/>
          <w:lang w:val="en-GB"/>
        </w:rPr>
        <w:t xml:space="preserve"> to </w:t>
      </w:r>
      <w:r w:rsidR="0054184F" w:rsidRPr="0024604A">
        <w:rPr>
          <w:rFonts w:ascii="Calibri" w:hAnsi="Calibri"/>
          <w:lang w:val="en-GB"/>
        </w:rPr>
        <w:t xml:space="preserve">1460. </w:t>
      </w:r>
      <w:r w:rsidR="00EF709C" w:rsidRPr="0024604A">
        <w:rPr>
          <w:rFonts w:ascii="Calibri" w:hAnsi="Calibri"/>
          <w:lang w:val="en-GB"/>
        </w:rPr>
        <w:t xml:space="preserve">Considering the </w:t>
      </w:r>
      <w:r w:rsidR="00BC1A69" w:rsidRPr="0024604A">
        <w:rPr>
          <w:rFonts w:ascii="Calibri" w:hAnsi="Calibri"/>
          <w:lang w:val="en-GB"/>
        </w:rPr>
        <w:t>significant</w:t>
      </w:r>
      <w:r w:rsidR="00EF709C" w:rsidRPr="0024604A">
        <w:rPr>
          <w:rFonts w:ascii="Calibri" w:hAnsi="Calibri"/>
          <w:lang w:val="en-GB"/>
        </w:rPr>
        <w:t xml:space="preserve"> </w:t>
      </w:r>
      <w:r w:rsidR="00A27CE1" w:rsidRPr="0024604A">
        <w:rPr>
          <w:rFonts w:ascii="Calibri" w:hAnsi="Calibri"/>
          <w:lang w:val="en-GB"/>
        </w:rPr>
        <w:t xml:space="preserve">amount </w:t>
      </w:r>
      <w:r w:rsidR="00EF709C" w:rsidRPr="0024604A">
        <w:rPr>
          <w:rFonts w:ascii="Calibri" w:hAnsi="Calibri"/>
          <w:lang w:val="en-GB"/>
        </w:rPr>
        <w:t>of lipid species in a biological sample</w:t>
      </w:r>
      <w:r w:rsidR="00BC1A69" w:rsidRPr="0024604A">
        <w:rPr>
          <w:rFonts w:ascii="Calibri" w:hAnsi="Calibri"/>
          <w:lang w:val="en-GB"/>
        </w:rPr>
        <w:t xml:space="preserve"> and</w:t>
      </w:r>
      <w:r w:rsidR="00EF709C" w:rsidRPr="0024604A">
        <w:rPr>
          <w:rFonts w:ascii="Calibri" w:hAnsi="Calibri"/>
          <w:lang w:val="en-GB"/>
        </w:rPr>
        <w:t xml:space="preserve"> the </w:t>
      </w:r>
      <w:r w:rsidR="00BC1A69" w:rsidRPr="0024604A">
        <w:rPr>
          <w:rFonts w:ascii="Calibri" w:hAnsi="Calibri"/>
          <w:lang w:val="en-GB"/>
        </w:rPr>
        <w:t>possibility</w:t>
      </w:r>
      <w:r w:rsidR="00EF709C" w:rsidRPr="0024604A">
        <w:rPr>
          <w:rFonts w:ascii="Calibri" w:hAnsi="Calibri"/>
          <w:lang w:val="en-GB"/>
        </w:rPr>
        <w:t xml:space="preserve"> of </w:t>
      </w:r>
      <w:r w:rsidR="00BC1A69" w:rsidRPr="0024604A">
        <w:rPr>
          <w:rFonts w:ascii="Calibri" w:hAnsi="Calibri"/>
          <w:lang w:val="en-GB"/>
        </w:rPr>
        <w:t>many</w:t>
      </w:r>
      <w:r w:rsidR="00EF709C" w:rsidRPr="0024604A">
        <w:rPr>
          <w:rFonts w:ascii="Calibri" w:hAnsi="Calibri"/>
          <w:lang w:val="en-GB"/>
        </w:rPr>
        <w:t xml:space="preserve"> </w:t>
      </w:r>
      <w:r w:rsidR="00BC1A69" w:rsidRPr="0024604A">
        <w:rPr>
          <w:rFonts w:ascii="Calibri" w:hAnsi="Calibri"/>
          <w:lang w:val="en-GB"/>
        </w:rPr>
        <w:t xml:space="preserve">potential </w:t>
      </w:r>
      <w:r w:rsidR="00EF709C" w:rsidRPr="0024604A">
        <w:rPr>
          <w:rFonts w:ascii="Calibri" w:hAnsi="Calibri"/>
          <w:lang w:val="en-GB"/>
        </w:rPr>
        <w:t>adduct</w:t>
      </w:r>
      <w:r w:rsidR="00FA2A92" w:rsidRPr="0024604A">
        <w:rPr>
          <w:rFonts w:ascii="Calibri" w:hAnsi="Calibri"/>
          <w:lang w:val="en-GB"/>
        </w:rPr>
        <w:t>s</w:t>
      </w:r>
      <w:r w:rsidR="00BC1A69" w:rsidRPr="0024604A">
        <w:rPr>
          <w:rFonts w:ascii="Calibri" w:hAnsi="Calibri"/>
          <w:lang w:val="en-GB"/>
        </w:rPr>
        <w:t xml:space="preserve"> for each one</w:t>
      </w:r>
      <w:r w:rsidR="00EF709C" w:rsidRPr="0024604A">
        <w:rPr>
          <w:rFonts w:ascii="Calibri" w:hAnsi="Calibri"/>
          <w:lang w:val="en-GB"/>
        </w:rPr>
        <w:t xml:space="preserve"> (i.e. </w:t>
      </w:r>
      <w:r w:rsidR="00BC1A69" w:rsidRPr="0024604A">
        <w:rPr>
          <w:rFonts w:ascii="Calibri" w:hAnsi="Calibri"/>
          <w:lang w:val="en-GB"/>
        </w:rPr>
        <w:t>principally</w:t>
      </w:r>
      <w:r w:rsidR="00ED6BBB" w:rsidRPr="0024604A">
        <w:rPr>
          <w:rFonts w:ascii="Calibri" w:hAnsi="Calibri"/>
          <w:lang w:val="en-GB"/>
        </w:rPr>
        <w:t xml:space="preserve"> deprotonate, </w:t>
      </w:r>
      <w:r w:rsidR="00EF709C" w:rsidRPr="0024604A">
        <w:rPr>
          <w:rFonts w:ascii="Calibri" w:hAnsi="Calibri"/>
          <w:lang w:val="en-GB"/>
        </w:rPr>
        <w:t>demet</w:t>
      </w:r>
      <w:r w:rsidR="00FA2A92" w:rsidRPr="0024604A">
        <w:rPr>
          <w:rFonts w:ascii="Calibri" w:hAnsi="Calibri"/>
          <w:lang w:val="en-GB"/>
        </w:rPr>
        <w:t>hy</w:t>
      </w:r>
      <w:r w:rsidR="00EF709C" w:rsidRPr="0024604A">
        <w:rPr>
          <w:rFonts w:ascii="Calibri" w:hAnsi="Calibri"/>
          <w:lang w:val="en-GB"/>
        </w:rPr>
        <w:t>late, formate, acetate</w:t>
      </w:r>
      <w:r w:rsidR="00ED6BBB" w:rsidRPr="0024604A">
        <w:rPr>
          <w:rFonts w:ascii="Calibri" w:hAnsi="Calibri"/>
          <w:lang w:val="en-GB"/>
        </w:rPr>
        <w:t xml:space="preserve"> or</w:t>
      </w:r>
      <w:r w:rsidR="00EF709C" w:rsidRPr="0024604A">
        <w:rPr>
          <w:rFonts w:ascii="Calibri" w:hAnsi="Calibri"/>
          <w:lang w:val="en-GB"/>
        </w:rPr>
        <w:t xml:space="preserve"> </w:t>
      </w:r>
      <w:r w:rsidR="00ED6BBB" w:rsidRPr="0024604A">
        <w:rPr>
          <w:rFonts w:ascii="Calibri" w:hAnsi="Calibri"/>
          <w:lang w:val="en-GB"/>
        </w:rPr>
        <w:t xml:space="preserve">chlorinate adducts) </w:t>
      </w:r>
      <w:r w:rsidR="00A27CE1" w:rsidRPr="0024604A">
        <w:rPr>
          <w:rFonts w:ascii="Calibri" w:hAnsi="Calibri"/>
          <w:lang w:val="en-GB"/>
        </w:rPr>
        <w:t>along with</w:t>
      </w:r>
      <w:r w:rsidR="00ED6BBB" w:rsidRPr="0024604A">
        <w:rPr>
          <w:rFonts w:ascii="Calibri" w:hAnsi="Calibri"/>
          <w:lang w:val="en-GB"/>
        </w:rPr>
        <w:t xml:space="preserve"> the </w:t>
      </w:r>
      <w:r w:rsidR="00BC1A69" w:rsidRPr="0024604A">
        <w:rPr>
          <w:rFonts w:ascii="Calibri" w:hAnsi="Calibri"/>
          <w:lang w:val="en-GB"/>
        </w:rPr>
        <w:t>plausible</w:t>
      </w:r>
      <w:r w:rsidR="00ED6BBB" w:rsidRPr="0024604A">
        <w:rPr>
          <w:rFonts w:ascii="Calibri" w:hAnsi="Calibri"/>
          <w:lang w:val="en-GB"/>
        </w:rPr>
        <w:t xml:space="preserve"> presence of species not related to lipid</w:t>
      </w:r>
      <w:r w:rsidR="00101708" w:rsidRPr="0024604A">
        <w:rPr>
          <w:rFonts w:ascii="Calibri" w:hAnsi="Calibri"/>
          <w:lang w:val="en-GB"/>
        </w:rPr>
        <w:t xml:space="preserve">s </w:t>
      </w:r>
      <w:r w:rsidR="00ED6BBB" w:rsidRPr="0024604A">
        <w:rPr>
          <w:rFonts w:ascii="Calibri" w:hAnsi="Calibri"/>
          <w:lang w:val="en-GB"/>
        </w:rPr>
        <w:t>(i.e. contaminants</w:t>
      </w:r>
      <w:r w:rsidR="00A35838" w:rsidRPr="0024604A">
        <w:rPr>
          <w:rFonts w:ascii="Calibri" w:hAnsi="Calibri"/>
          <w:lang w:val="en-GB"/>
        </w:rPr>
        <w:t xml:space="preserve">, </w:t>
      </w:r>
      <w:r w:rsidR="00ED6BBB" w:rsidRPr="0024604A">
        <w:rPr>
          <w:rFonts w:ascii="Calibri" w:hAnsi="Calibri"/>
          <w:lang w:val="en-GB"/>
        </w:rPr>
        <w:t xml:space="preserve">but also different metabolites that could be extracted using </w:t>
      </w:r>
      <w:r w:rsidR="00B01E8A" w:rsidRPr="0024604A">
        <w:rPr>
          <w:rFonts w:ascii="Calibri" w:hAnsi="Calibri"/>
          <w:lang w:val="en-GB"/>
        </w:rPr>
        <w:t xml:space="preserve">Bligh </w:t>
      </w:r>
      <w:r w:rsidR="00ED6BBB" w:rsidRPr="0024604A">
        <w:rPr>
          <w:rFonts w:ascii="Calibri" w:hAnsi="Calibri"/>
          <w:lang w:val="en-GB"/>
        </w:rPr>
        <w:t xml:space="preserve">&amp; Dyer </w:t>
      </w:r>
      <w:r w:rsidR="00FA2A92" w:rsidRPr="0024604A">
        <w:rPr>
          <w:rFonts w:ascii="Calibri" w:hAnsi="Calibri"/>
          <w:lang w:val="en-GB"/>
        </w:rPr>
        <w:t>protocol</w:t>
      </w:r>
      <w:r w:rsidR="00ED6BBB" w:rsidRPr="0024604A">
        <w:rPr>
          <w:rFonts w:ascii="Calibri" w:hAnsi="Calibri"/>
          <w:lang w:val="en-GB"/>
        </w:rPr>
        <w:t xml:space="preserve">) this </w:t>
      </w:r>
      <w:r w:rsidR="00A27CE1" w:rsidRPr="0024604A">
        <w:rPr>
          <w:rFonts w:ascii="Calibri" w:hAnsi="Calibri"/>
          <w:lang w:val="en-GB"/>
        </w:rPr>
        <w:t>number</w:t>
      </w:r>
      <w:r w:rsidR="00ED6BBB" w:rsidRPr="0024604A">
        <w:rPr>
          <w:rFonts w:ascii="Calibri" w:hAnsi="Calibri"/>
          <w:lang w:val="en-GB"/>
        </w:rPr>
        <w:t xml:space="preserve"> is not surprising. </w:t>
      </w:r>
      <w:r w:rsidR="00DE37FE" w:rsidRPr="0024604A">
        <w:rPr>
          <w:rFonts w:ascii="Calibri" w:hAnsi="Calibri"/>
          <w:lang w:val="en-GB"/>
        </w:rPr>
        <w:t>A</w:t>
      </w:r>
      <w:r w:rsidR="00DE37FE" w:rsidRPr="0024604A">
        <w:rPr>
          <w:rFonts w:asciiTheme="minorHAnsi" w:hAnsiTheme="minorHAnsi" w:cstheme="minorHAnsi"/>
          <w:lang w:val="en-GB"/>
        </w:rPr>
        <w:t xml:space="preserve">s described by Dunn </w:t>
      </w:r>
      <w:r w:rsidR="00DE37FE" w:rsidRPr="0024604A">
        <w:rPr>
          <w:rFonts w:asciiTheme="minorHAnsi" w:hAnsiTheme="minorHAnsi" w:cstheme="minorHAnsi"/>
          <w:i/>
          <w:iCs/>
          <w:lang w:val="en-GB"/>
        </w:rPr>
        <w:t>et al</w:t>
      </w:r>
      <w:r w:rsidR="00DE37FE" w:rsidRPr="0024604A">
        <w:rPr>
          <w:rFonts w:asciiTheme="minorHAnsi" w:hAnsiTheme="minorHAnsi" w:cstheme="minorHAnsi"/>
          <w:lang w:val="en-GB"/>
        </w:rPr>
        <w:t xml:space="preserve">. </w:t>
      </w:r>
      <w:r w:rsidR="00DE37FE" w:rsidRPr="0024604A">
        <w:rPr>
          <w:rFonts w:asciiTheme="minorHAnsi" w:hAnsiTheme="minorHAnsi" w:cstheme="minorHAnsi"/>
          <w:lang w:val="en-GB"/>
        </w:rPr>
        <w:fldChar w:fldCharType="begin" w:fldLock="1"/>
      </w:r>
      <w:r w:rsidR="006126E3" w:rsidRPr="0024604A">
        <w:rPr>
          <w:rFonts w:asciiTheme="minorHAnsi" w:hAnsiTheme="minorHAnsi" w:cstheme="minorHAnsi"/>
          <w:lang w:val="en-GB"/>
        </w:rPr>
        <w:instrText>ADDIN CSL_CITATION {"citationItems":[{"id":"ITEM-1","itemData":{"DOI":"10.1038/nprot.2011.335","ISBN":"1750-2799 (Electronic)\\n1750-2799 (Linking)","ISSN":"17542189","PMID":"21720319","abstract":"Metabolism has an essential role in biological systems. Identification and quantitation of the compounds in the metabolome is defined as metabolic profiling, and it is applied to define metabolic changes related to genetic differences, environmental influences and disease or drug perturbations. Chromatography-mass spectrometry (MS) platforms are frequently used to provide the sensitive and reproducible detection of hundreds to thousands of metabolites in a single biofluid or tissue sample. Here we describe the experimental workflow for long-term and large-scale metabolomic studies involving thousands of human samples with data acquired for multiple analytical batches over many months and years. Protocols for serum- and plasma-based metabolic profiling applying gas chromatography-MS (GC-MS) and ultraperformance liquid chromatography-MS (UPLC-MS) are described. These include biofluid collection, sample preparation, data acquisition, data pre-processing and quality assurance. Methods for quality control-based robust LOESS signal correction to provide signal correction and integration of data from multiple analytical batches are also described.","author":[{"dropping-particle":"","family":"Dunn","given":"Warwick B.","non-dropping-particle":"","parse-names":false,"suffix":""},{"dropping-particle":"","family":"Broadhurst","given":"David","non-dropping-particle":"","parse-names":false,"suffix":""},{"dropping-particle":"","family":"Begley","given":"Paul","non-dropping-particle":"","parse-names":false,"suffix":""},{"dropping-particle":"","family":"Zelena","given":"Eva","non-dropping-particle":"","parse-names":false,"suffix":""},{"dropping-particle":"","family":"Francis-Mcintyre","given":"Sue","non-dropping-particle":"","parse-names":false,"suffix":""},{"dropping-particle":"","family":"Anderson","given":"Nadine","non-dropping-particle":"","parse-names":false,"suffix":""},{"dropping-particle":"","family":"Brown","given":"Marie","non-dropping-particle":"","parse-names":false,"suffix":""},{"dropping-particle":"","family":"Knowles","given":"Joshau D.","non-dropping-particle":"","parse-names":false,"suffix":""},{"dropping-particle":"","family":"Halsall","given":"Antony","non-dropping-particle":"","parse-names":false,"suffix":""},{"dropping-particle":"","family":"Haselden","given":"John N.","non-dropping-particle":"","parse-names":false,"suffix":""},{"dropping-particle":"","family":"Nicholls","given":"Andrew W.","non-dropping-particle":"","parse-names":false,"suffix":""},{"dropping-particle":"","family":"Wilson","given":"Ian D.","non-dropping-particle":"","parse-names":false,"suffix":""},{"dropping-particle":"","family":"Kell","given":"Douglas B.","non-dropping-particle":"","parse-names":false,"suffix":""},{"dropping-particle":"","family":"Goodacre","given":"Royston","non-dropping-particle":"","parse-names":false,"suffix":""}],"container-title":"Nature Protocols","id":"ITEM-1","issue":"7","issued":{"date-parts":[["2011","6"]]},"page":"1060-1083","title":"Procedures for large-scale metabolic profiling of serum and plasma using gas chromatography and liquid chromatography coupled to mass spectrometry","type":"article-journal","volume":"6"},"uris":["http://www.mendeley.com/documents/?uuid=3ed9feb0-8d30-4dff-953c-efb9748aeccc"]}],"mendeley":{"formattedCitation":"[28]","plainTextFormattedCitation":"[28]","previouslyFormattedCitation":"[28]"},"properties":{"noteIndex":0},"schema":"https://github.com/citation-style-language/schema/raw/master/csl-citation.json"}</w:instrText>
      </w:r>
      <w:r w:rsidR="00DE37FE" w:rsidRPr="0024604A">
        <w:rPr>
          <w:rFonts w:asciiTheme="minorHAnsi" w:hAnsiTheme="minorHAnsi" w:cstheme="minorHAnsi"/>
          <w:lang w:val="en-GB"/>
        </w:rPr>
        <w:fldChar w:fldCharType="separate"/>
      </w:r>
      <w:r w:rsidR="0089225B" w:rsidRPr="0024604A">
        <w:rPr>
          <w:rFonts w:asciiTheme="minorHAnsi" w:hAnsiTheme="minorHAnsi" w:cstheme="minorHAnsi"/>
          <w:noProof/>
          <w:lang w:val="en-GB"/>
        </w:rPr>
        <w:t>[28]</w:t>
      </w:r>
      <w:r w:rsidR="00DE37FE" w:rsidRPr="0024604A">
        <w:rPr>
          <w:rFonts w:asciiTheme="minorHAnsi" w:hAnsiTheme="minorHAnsi" w:cstheme="minorHAnsi"/>
          <w:lang w:val="en-GB"/>
        </w:rPr>
        <w:fldChar w:fldCharType="end"/>
      </w:r>
      <w:r w:rsidR="00DE37FE" w:rsidRPr="0024604A">
        <w:rPr>
          <w:rFonts w:asciiTheme="minorHAnsi" w:hAnsiTheme="minorHAnsi" w:cstheme="minorHAnsi"/>
          <w:lang w:val="en-GB"/>
        </w:rPr>
        <w:t>, to compensate difference in extraction yields,</w:t>
      </w:r>
      <w:r w:rsidR="00A73997" w:rsidRPr="0024604A">
        <w:rPr>
          <w:rFonts w:asciiTheme="minorHAnsi" w:hAnsiTheme="minorHAnsi" w:cstheme="minorHAnsi"/>
          <w:lang w:val="en-GB"/>
        </w:rPr>
        <w:t xml:space="preserve"> </w:t>
      </w:r>
      <w:r w:rsidR="00C57C81" w:rsidRPr="0024604A">
        <w:rPr>
          <w:rFonts w:asciiTheme="minorHAnsi" w:hAnsiTheme="minorHAnsi" w:cstheme="minorHAnsi"/>
          <w:lang w:val="en-GB"/>
        </w:rPr>
        <w:t xml:space="preserve">QC correction </w:t>
      </w:r>
      <w:r w:rsidR="000A7C55" w:rsidRPr="0024604A">
        <w:rPr>
          <w:rFonts w:asciiTheme="minorHAnsi" w:hAnsiTheme="minorHAnsi" w:cstheme="minorHAnsi"/>
          <w:lang w:val="en-GB"/>
        </w:rPr>
        <w:t>and normalization to the sum of all the signals found in the spectra were performed</w:t>
      </w:r>
      <w:r w:rsidR="00DE37FE" w:rsidRPr="0024604A">
        <w:rPr>
          <w:rFonts w:asciiTheme="minorHAnsi" w:hAnsiTheme="minorHAnsi" w:cstheme="minorHAnsi"/>
          <w:lang w:val="en-GB"/>
        </w:rPr>
        <w:t xml:space="preserve"> and m</w:t>
      </w:r>
      <w:r w:rsidR="00A73997" w:rsidRPr="0024604A">
        <w:rPr>
          <w:rFonts w:asciiTheme="minorHAnsi" w:hAnsiTheme="minorHAnsi" w:cstheme="minorHAnsi"/>
          <w:lang w:val="en-GB"/>
        </w:rPr>
        <w:t xml:space="preserve">ultivariate analysis </w:t>
      </w:r>
      <w:r w:rsidR="00FA2A92" w:rsidRPr="0024604A">
        <w:rPr>
          <w:rFonts w:asciiTheme="minorHAnsi" w:hAnsiTheme="minorHAnsi" w:cstheme="minorHAnsi"/>
          <w:lang w:val="en-GB"/>
        </w:rPr>
        <w:t xml:space="preserve">was </w:t>
      </w:r>
      <w:r w:rsidR="00A73997" w:rsidRPr="0024604A">
        <w:rPr>
          <w:rFonts w:asciiTheme="minorHAnsi" w:hAnsiTheme="minorHAnsi" w:cstheme="minorHAnsi"/>
          <w:lang w:val="en-GB"/>
        </w:rPr>
        <w:t xml:space="preserve">applied to </w:t>
      </w:r>
      <w:r w:rsidR="000A7C55" w:rsidRPr="0024604A">
        <w:rPr>
          <w:rFonts w:asciiTheme="minorHAnsi" w:hAnsiTheme="minorHAnsi" w:cstheme="minorHAnsi"/>
          <w:lang w:val="en-GB"/>
        </w:rPr>
        <w:t xml:space="preserve">obtained </w:t>
      </w:r>
      <w:r w:rsidR="00A73997" w:rsidRPr="0024604A">
        <w:rPr>
          <w:rFonts w:asciiTheme="minorHAnsi" w:hAnsiTheme="minorHAnsi" w:cstheme="minorHAnsi"/>
          <w:lang w:val="en-GB"/>
        </w:rPr>
        <w:t>data matri</w:t>
      </w:r>
      <w:r w:rsidR="000A7C55" w:rsidRPr="0024604A">
        <w:rPr>
          <w:rFonts w:asciiTheme="minorHAnsi" w:hAnsiTheme="minorHAnsi" w:cstheme="minorHAnsi"/>
          <w:lang w:val="en-GB"/>
        </w:rPr>
        <w:t>x.</w:t>
      </w:r>
      <w:r w:rsidR="00A73997" w:rsidRPr="0024604A">
        <w:rPr>
          <w:rFonts w:asciiTheme="minorHAnsi" w:hAnsiTheme="minorHAnsi" w:cstheme="minorHAnsi"/>
          <w:lang w:val="en-GB"/>
        </w:rPr>
        <w:t xml:space="preserve"> </w:t>
      </w:r>
      <w:r w:rsidR="007D32CA" w:rsidRPr="0024604A">
        <w:rPr>
          <w:rFonts w:asciiTheme="minorHAnsi" w:hAnsiTheme="minorHAnsi" w:cstheme="minorHAnsi"/>
          <w:lang w:val="en-GB"/>
        </w:rPr>
        <w:t>Since</w:t>
      </w:r>
      <w:r w:rsidR="00DF558D" w:rsidRPr="0024604A">
        <w:rPr>
          <w:rFonts w:asciiTheme="minorHAnsi" w:hAnsiTheme="minorHAnsi" w:cstheme="minorHAnsi"/>
          <w:lang w:val="en-GB"/>
        </w:rPr>
        <w:t xml:space="preserve"> pre-treatment methods </w:t>
      </w:r>
      <w:r w:rsidR="00DE37FE" w:rsidRPr="0024604A">
        <w:rPr>
          <w:rFonts w:asciiTheme="minorHAnsi" w:hAnsiTheme="minorHAnsi" w:cstheme="minorHAnsi"/>
          <w:lang w:val="en-GB"/>
        </w:rPr>
        <w:t>represent</w:t>
      </w:r>
      <w:r w:rsidR="00DF558D" w:rsidRPr="0024604A">
        <w:rPr>
          <w:rFonts w:asciiTheme="minorHAnsi" w:hAnsiTheme="minorHAnsi" w:cstheme="minorHAnsi"/>
          <w:lang w:val="en-GB"/>
        </w:rPr>
        <w:t xml:space="preserve"> a crucial step </w:t>
      </w:r>
      <w:r w:rsidR="00DE37FE" w:rsidRPr="0024604A">
        <w:rPr>
          <w:rFonts w:asciiTheme="minorHAnsi" w:hAnsiTheme="minorHAnsi" w:cstheme="minorHAnsi"/>
          <w:lang w:val="en-GB"/>
        </w:rPr>
        <w:t xml:space="preserve">to revealing hidden information </w:t>
      </w:r>
      <w:r w:rsidR="00DF558D" w:rsidRPr="0024604A">
        <w:rPr>
          <w:rFonts w:asciiTheme="minorHAnsi" w:hAnsiTheme="minorHAnsi" w:cstheme="minorHAnsi"/>
          <w:lang w:val="en-GB"/>
        </w:rPr>
        <w:t xml:space="preserve">in metabolomic analysis </w:t>
      </w:r>
      <w:r w:rsidR="00DF558D" w:rsidRPr="0024604A">
        <w:rPr>
          <w:rFonts w:asciiTheme="minorHAnsi" w:hAnsiTheme="minorHAnsi" w:cstheme="minorHAnsi"/>
          <w:lang w:val="en-GB"/>
        </w:rPr>
        <w:fldChar w:fldCharType="begin" w:fldLock="1"/>
      </w:r>
      <w:r w:rsidR="006126E3" w:rsidRPr="0024604A">
        <w:rPr>
          <w:rFonts w:asciiTheme="minorHAnsi" w:hAnsiTheme="minorHAnsi" w:cstheme="minorHAnsi"/>
          <w:lang w:val="en-GB"/>
        </w:rPr>
        <w:instrText>ADDIN CSL_CITATION {"citationItems":[{"id":"ITEM-1","itemData":{"DOI":"10.1002/0470863242","ISBN":"0471489778","author":[{"dropping-particle":"","family":"Brereton","given":"Richard G.","non-dropping-particle":"","parse-names":false,"suffix":""}],"id":"ITEM-1","issued":{"date-parts":[["2003","1"]]},"publisher":"John Wiley &amp; Sons, Ltd","publisher-place":"Chichester, UK","title":"Chemometrics","type":"book"},"uris":["http://www.mendeley.com/documents/?uuid=f203e87f-3f8d-4115-9272-e8e66c79b5f3"]}],"mendeley":{"formattedCitation":"[43]","plainTextFormattedCitation":"[43]","previouslyFormattedCitation":"[43]"},"properties":{"noteIndex":0},"schema":"https://github.com/citation-style-language/schema/raw/master/csl-citation.json"}</w:instrText>
      </w:r>
      <w:r w:rsidR="00DF558D" w:rsidRPr="0024604A">
        <w:rPr>
          <w:rFonts w:asciiTheme="minorHAnsi" w:hAnsiTheme="minorHAnsi" w:cstheme="minorHAnsi"/>
          <w:lang w:val="en-GB"/>
        </w:rPr>
        <w:fldChar w:fldCharType="separate"/>
      </w:r>
      <w:r w:rsidR="0089225B" w:rsidRPr="0024604A">
        <w:rPr>
          <w:rFonts w:asciiTheme="minorHAnsi" w:hAnsiTheme="minorHAnsi" w:cstheme="minorHAnsi"/>
          <w:noProof/>
          <w:lang w:val="en-GB"/>
        </w:rPr>
        <w:t>[43]</w:t>
      </w:r>
      <w:r w:rsidR="00DF558D" w:rsidRPr="0024604A">
        <w:rPr>
          <w:rFonts w:asciiTheme="minorHAnsi" w:hAnsiTheme="minorHAnsi" w:cstheme="minorHAnsi"/>
          <w:lang w:val="en-GB"/>
        </w:rPr>
        <w:fldChar w:fldCharType="end"/>
      </w:r>
      <w:r w:rsidR="00DF558D" w:rsidRPr="0024604A">
        <w:rPr>
          <w:rFonts w:asciiTheme="minorHAnsi" w:hAnsiTheme="minorHAnsi" w:cstheme="minorHAnsi"/>
          <w:lang w:val="en-GB"/>
        </w:rPr>
        <w:t xml:space="preserve">, </w:t>
      </w:r>
      <w:r w:rsidR="00DE37FE" w:rsidRPr="0024604A">
        <w:rPr>
          <w:rFonts w:asciiTheme="minorHAnsi" w:hAnsiTheme="minorHAnsi" w:cstheme="minorHAnsi"/>
          <w:lang w:val="en-GB"/>
        </w:rPr>
        <w:t xml:space="preserve">four </w:t>
      </w:r>
      <w:r w:rsidR="00DF558D" w:rsidRPr="0024604A">
        <w:rPr>
          <w:rFonts w:asciiTheme="minorHAnsi" w:hAnsiTheme="minorHAnsi" w:cstheme="minorHAnsi"/>
          <w:lang w:val="en-GB"/>
        </w:rPr>
        <w:t xml:space="preserve">different </w:t>
      </w:r>
      <w:r w:rsidR="007D32CA" w:rsidRPr="0024604A">
        <w:rPr>
          <w:rFonts w:asciiTheme="minorHAnsi" w:hAnsiTheme="minorHAnsi" w:cstheme="minorHAnsi"/>
          <w:lang w:val="en-GB"/>
        </w:rPr>
        <w:t>data transformation</w:t>
      </w:r>
      <w:r w:rsidR="00DF558D" w:rsidRPr="0024604A">
        <w:rPr>
          <w:rFonts w:asciiTheme="minorHAnsi" w:hAnsiTheme="minorHAnsi" w:cstheme="minorHAnsi"/>
          <w:lang w:val="en-GB"/>
        </w:rPr>
        <w:t xml:space="preserve"> were e</w:t>
      </w:r>
      <w:r w:rsidR="00DE37FE" w:rsidRPr="0024604A">
        <w:rPr>
          <w:rFonts w:asciiTheme="minorHAnsi" w:hAnsiTheme="minorHAnsi" w:cstheme="minorHAnsi"/>
          <w:lang w:val="en-GB"/>
        </w:rPr>
        <w:t>xamine</w:t>
      </w:r>
      <w:r w:rsidR="00DF558D" w:rsidRPr="0024604A">
        <w:rPr>
          <w:rFonts w:asciiTheme="minorHAnsi" w:hAnsiTheme="minorHAnsi" w:cstheme="minorHAnsi"/>
          <w:lang w:val="en-GB"/>
        </w:rPr>
        <w:t xml:space="preserve">d. </w:t>
      </w:r>
      <w:r w:rsidR="00F46675" w:rsidRPr="0024604A">
        <w:rPr>
          <w:rFonts w:asciiTheme="minorHAnsi" w:hAnsiTheme="minorHAnsi" w:cstheme="minorHAnsi"/>
          <w:lang w:val="en-GB"/>
        </w:rPr>
        <w:t xml:space="preserve">As can be seen in Figure 3, </w:t>
      </w:r>
      <w:r w:rsidR="00A73997" w:rsidRPr="0024604A">
        <w:rPr>
          <w:rFonts w:asciiTheme="minorHAnsi" w:hAnsiTheme="minorHAnsi" w:cstheme="minorHAnsi"/>
          <w:lang w:val="en-GB"/>
        </w:rPr>
        <w:t>QC samples</w:t>
      </w:r>
      <w:r w:rsidR="00C5398D" w:rsidRPr="0024604A">
        <w:rPr>
          <w:rFonts w:asciiTheme="minorHAnsi" w:hAnsiTheme="minorHAnsi" w:cstheme="minorHAnsi"/>
          <w:lang w:val="en-GB"/>
        </w:rPr>
        <w:t xml:space="preserve"> </w:t>
      </w:r>
      <w:r w:rsidR="00C5398D" w:rsidRPr="0024604A">
        <w:rPr>
          <w:rFonts w:ascii="Calibri" w:hAnsi="Calibri"/>
          <w:lang w:val="en-GB"/>
        </w:rPr>
        <w:t>(red circles)</w:t>
      </w:r>
      <w:r w:rsidR="00A73997" w:rsidRPr="0024604A">
        <w:rPr>
          <w:rFonts w:asciiTheme="minorHAnsi" w:hAnsiTheme="minorHAnsi" w:cstheme="minorHAnsi"/>
          <w:lang w:val="en-GB"/>
        </w:rPr>
        <w:t xml:space="preserve"> </w:t>
      </w:r>
      <w:r w:rsidR="00DE37FE" w:rsidRPr="0024604A">
        <w:rPr>
          <w:rFonts w:asciiTheme="minorHAnsi" w:hAnsiTheme="minorHAnsi" w:cstheme="minorHAnsi"/>
          <w:lang w:val="en-GB"/>
        </w:rPr>
        <w:t xml:space="preserve">were always well </w:t>
      </w:r>
      <w:r w:rsidR="00A73997" w:rsidRPr="0024604A">
        <w:rPr>
          <w:rFonts w:asciiTheme="minorHAnsi" w:hAnsiTheme="minorHAnsi" w:cstheme="minorHAnsi"/>
          <w:lang w:val="en-GB"/>
        </w:rPr>
        <w:t>clustered in the PCA score plot</w:t>
      </w:r>
      <w:r w:rsidR="00DE37FE" w:rsidRPr="0024604A">
        <w:rPr>
          <w:rFonts w:asciiTheme="minorHAnsi" w:hAnsiTheme="minorHAnsi" w:cstheme="minorHAnsi"/>
          <w:lang w:val="en-GB"/>
        </w:rPr>
        <w:t>s</w:t>
      </w:r>
      <w:r w:rsidR="005E1178" w:rsidRPr="0024604A">
        <w:rPr>
          <w:rFonts w:asciiTheme="minorHAnsi" w:hAnsiTheme="minorHAnsi" w:cstheme="minorHAnsi"/>
          <w:lang w:val="en-GB"/>
        </w:rPr>
        <w:t xml:space="preserve"> showing excellent analytical </w:t>
      </w:r>
      <w:r w:rsidR="008F35EA" w:rsidRPr="0024604A">
        <w:rPr>
          <w:rFonts w:asciiTheme="minorHAnsi" w:hAnsiTheme="minorHAnsi" w:cstheme="minorHAnsi"/>
          <w:lang w:val="en-GB"/>
        </w:rPr>
        <w:t>repeatability</w:t>
      </w:r>
      <w:r w:rsidR="005E1178" w:rsidRPr="0024604A">
        <w:rPr>
          <w:rFonts w:asciiTheme="minorHAnsi" w:hAnsiTheme="minorHAnsi" w:cstheme="minorHAnsi"/>
          <w:lang w:val="en-GB"/>
        </w:rPr>
        <w:t>. This was irrespective of the data pre-processing used:</w:t>
      </w:r>
      <w:r w:rsidR="005E1178" w:rsidRPr="0024604A">
        <w:rPr>
          <w:rFonts w:asciiTheme="minorHAnsi" w:hAnsiTheme="minorHAnsi" w:cstheme="minorHAnsi"/>
          <w:i/>
          <w:iCs/>
          <w:lang w:val="en-GB"/>
        </w:rPr>
        <w:t xml:space="preserve"> viz</w:t>
      </w:r>
      <w:r w:rsidR="005E1178" w:rsidRPr="0024604A">
        <w:rPr>
          <w:rFonts w:asciiTheme="minorHAnsi" w:hAnsiTheme="minorHAnsi" w:cstheme="minorHAnsi"/>
          <w:lang w:val="en-GB"/>
        </w:rPr>
        <w:t>.,</w:t>
      </w:r>
      <w:r w:rsidR="00C5398D" w:rsidRPr="0024604A">
        <w:rPr>
          <w:rFonts w:asciiTheme="minorHAnsi" w:hAnsiTheme="minorHAnsi" w:cstheme="minorHAnsi"/>
          <w:lang w:val="en-GB"/>
        </w:rPr>
        <w:t xml:space="preserve"> </w:t>
      </w:r>
      <w:r w:rsidR="005E1178" w:rsidRPr="0024604A">
        <w:rPr>
          <w:rFonts w:asciiTheme="minorHAnsi" w:hAnsiTheme="minorHAnsi" w:cstheme="minorHAnsi"/>
          <w:lang w:val="en-GB"/>
        </w:rPr>
        <w:t xml:space="preserve">mean </w:t>
      </w:r>
      <w:proofErr w:type="spellStart"/>
      <w:r w:rsidR="00C5398D" w:rsidRPr="0024604A">
        <w:rPr>
          <w:rFonts w:asciiTheme="minorHAnsi" w:hAnsiTheme="minorHAnsi" w:cstheme="minorHAnsi"/>
          <w:lang w:val="en-GB"/>
        </w:rPr>
        <w:t>centering</w:t>
      </w:r>
      <w:proofErr w:type="spellEnd"/>
      <w:r w:rsidR="00C5398D" w:rsidRPr="0024604A">
        <w:rPr>
          <w:rFonts w:asciiTheme="minorHAnsi" w:hAnsiTheme="minorHAnsi" w:cstheme="minorHAnsi"/>
          <w:lang w:val="en-GB"/>
        </w:rPr>
        <w:t xml:space="preserve"> (plot A), autoscaling (plot B), level scaling (plot C) and log</w:t>
      </w:r>
      <w:r w:rsidR="005E1178" w:rsidRPr="0024604A">
        <w:rPr>
          <w:rFonts w:asciiTheme="minorHAnsi" w:hAnsiTheme="minorHAnsi" w:cstheme="minorHAnsi"/>
          <w:vertAlign w:val="subscript"/>
          <w:lang w:val="en-GB"/>
        </w:rPr>
        <w:t>10</w:t>
      </w:r>
      <w:r w:rsidR="00C67130" w:rsidRPr="0024604A">
        <w:rPr>
          <w:rFonts w:asciiTheme="minorHAnsi" w:hAnsiTheme="minorHAnsi" w:cstheme="minorHAnsi"/>
          <w:lang w:val="en-GB"/>
        </w:rPr>
        <w:t>-</w:t>
      </w:r>
      <w:r w:rsidR="00C5398D" w:rsidRPr="0024604A">
        <w:rPr>
          <w:rFonts w:asciiTheme="minorHAnsi" w:hAnsiTheme="minorHAnsi" w:cstheme="minorHAnsi"/>
          <w:lang w:val="en-GB"/>
        </w:rPr>
        <w:t xml:space="preserve">transformation (plot D), </w:t>
      </w:r>
      <w:r w:rsidR="00A73997" w:rsidRPr="0024604A">
        <w:rPr>
          <w:rFonts w:asciiTheme="minorHAnsi" w:hAnsiTheme="minorHAnsi" w:cstheme="minorHAnsi"/>
          <w:lang w:val="en-GB"/>
        </w:rPr>
        <w:t xml:space="preserve">even </w:t>
      </w:r>
      <w:r w:rsidR="00A213A0" w:rsidRPr="0024604A">
        <w:rPr>
          <w:rFonts w:asciiTheme="minorHAnsi" w:hAnsiTheme="minorHAnsi" w:cstheme="minorHAnsi"/>
          <w:lang w:val="en-GB"/>
        </w:rPr>
        <w:t xml:space="preserve">reporting in the score plot </w:t>
      </w:r>
      <w:r w:rsidR="00FA2A92" w:rsidRPr="0024604A">
        <w:rPr>
          <w:rFonts w:asciiTheme="minorHAnsi" w:hAnsiTheme="minorHAnsi" w:cstheme="minorHAnsi"/>
          <w:lang w:val="en-GB"/>
        </w:rPr>
        <w:t>principal components (</w:t>
      </w:r>
      <w:r w:rsidR="00A73997" w:rsidRPr="0024604A">
        <w:rPr>
          <w:rFonts w:asciiTheme="minorHAnsi" w:hAnsiTheme="minorHAnsi" w:cstheme="minorHAnsi"/>
          <w:lang w:val="en-GB"/>
        </w:rPr>
        <w:t>PCs</w:t>
      </w:r>
      <w:r w:rsidR="00FA2A92" w:rsidRPr="0024604A">
        <w:rPr>
          <w:rFonts w:asciiTheme="minorHAnsi" w:hAnsiTheme="minorHAnsi" w:cstheme="minorHAnsi"/>
          <w:lang w:val="en-GB"/>
        </w:rPr>
        <w:t>)</w:t>
      </w:r>
      <w:r w:rsidR="00A73997" w:rsidRPr="0024604A">
        <w:rPr>
          <w:rFonts w:asciiTheme="minorHAnsi" w:hAnsiTheme="minorHAnsi" w:cstheme="minorHAnsi"/>
          <w:lang w:val="en-GB"/>
        </w:rPr>
        <w:t xml:space="preserve"> of </w:t>
      </w:r>
      <w:r w:rsidR="00DB432E" w:rsidRPr="0024604A">
        <w:rPr>
          <w:rFonts w:asciiTheme="minorHAnsi" w:hAnsiTheme="minorHAnsi" w:cstheme="minorHAnsi"/>
          <w:lang w:val="en-GB"/>
        </w:rPr>
        <w:t>major order</w:t>
      </w:r>
      <w:r w:rsidR="00A73997" w:rsidRPr="0024604A">
        <w:rPr>
          <w:rFonts w:asciiTheme="minorHAnsi" w:hAnsiTheme="minorHAnsi" w:cstheme="minorHAnsi"/>
          <w:lang w:val="en-GB"/>
        </w:rPr>
        <w:t xml:space="preserve"> (</w:t>
      </w:r>
      <w:r w:rsidR="00C5398D" w:rsidRPr="0024604A">
        <w:rPr>
          <w:rFonts w:asciiTheme="minorHAnsi" w:hAnsiTheme="minorHAnsi" w:cstheme="minorHAnsi"/>
          <w:lang w:val="en-GB"/>
        </w:rPr>
        <w:t xml:space="preserve">data </w:t>
      </w:r>
      <w:r w:rsidR="00A73997" w:rsidRPr="0024604A">
        <w:rPr>
          <w:rFonts w:asciiTheme="minorHAnsi" w:hAnsiTheme="minorHAnsi" w:cstheme="minorHAnsi"/>
          <w:lang w:val="en-GB"/>
        </w:rPr>
        <w:t xml:space="preserve">not shown). </w:t>
      </w:r>
      <w:r w:rsidR="005E1178" w:rsidRPr="0024604A">
        <w:rPr>
          <w:rFonts w:asciiTheme="minorHAnsi" w:hAnsiTheme="minorHAnsi" w:cstheme="minorHAnsi"/>
          <w:lang w:val="en-GB"/>
        </w:rPr>
        <w:t xml:space="preserve">In the PCA plots </w:t>
      </w:r>
      <w:r w:rsidR="005E1178" w:rsidRPr="0024604A">
        <w:rPr>
          <w:rFonts w:ascii="Calibri" w:hAnsi="Calibri"/>
          <w:lang w:val="en-GB"/>
        </w:rPr>
        <w:t>s</w:t>
      </w:r>
      <w:r w:rsidR="00C5398D" w:rsidRPr="0024604A">
        <w:rPr>
          <w:rFonts w:ascii="Calibri" w:hAnsi="Calibri"/>
          <w:lang w:val="en-GB"/>
        </w:rPr>
        <w:t xml:space="preserve">amples </w:t>
      </w:r>
      <w:r w:rsidR="005E1178" w:rsidRPr="0024604A">
        <w:rPr>
          <w:rFonts w:ascii="Calibri" w:hAnsi="Calibri"/>
          <w:lang w:val="en-GB"/>
        </w:rPr>
        <w:t xml:space="preserve">belonging to </w:t>
      </w:r>
      <w:r w:rsidR="00C5398D" w:rsidRPr="0024604A">
        <w:rPr>
          <w:rFonts w:ascii="Calibri" w:hAnsi="Calibri"/>
          <w:lang w:val="en-GB"/>
        </w:rPr>
        <w:t xml:space="preserve">different classes (i.e. healthy </w:t>
      </w:r>
      <w:r w:rsidR="00C5398D" w:rsidRPr="0024604A">
        <w:rPr>
          <w:rFonts w:ascii="Calibri" w:hAnsi="Calibri"/>
          <w:i/>
          <w:lang w:val="en-GB"/>
        </w:rPr>
        <w:t>vs</w:t>
      </w:r>
      <w:r w:rsidR="00C5398D" w:rsidRPr="0024604A">
        <w:rPr>
          <w:rFonts w:ascii="Calibri" w:hAnsi="Calibri"/>
          <w:lang w:val="en-GB"/>
        </w:rPr>
        <w:t xml:space="preserve"> </w:t>
      </w:r>
      <w:r w:rsidR="008F35EA" w:rsidRPr="0024604A">
        <w:rPr>
          <w:rFonts w:ascii="Calibri" w:hAnsi="Calibri"/>
          <w:lang w:val="en-GB"/>
        </w:rPr>
        <w:t>ASD children</w:t>
      </w:r>
      <w:r w:rsidR="00C5398D" w:rsidRPr="0024604A">
        <w:rPr>
          <w:rFonts w:ascii="Calibri" w:hAnsi="Calibri"/>
          <w:lang w:val="en-GB"/>
        </w:rPr>
        <w:t xml:space="preserve">) were labelled by </w:t>
      </w:r>
      <w:r w:rsidR="00DB432E" w:rsidRPr="0024604A">
        <w:rPr>
          <w:rFonts w:ascii="Calibri" w:hAnsi="Calibri"/>
          <w:lang w:val="en-GB"/>
        </w:rPr>
        <w:t>different</w:t>
      </w:r>
      <w:r w:rsidR="00C5398D" w:rsidRPr="0024604A">
        <w:rPr>
          <w:rFonts w:ascii="Calibri" w:hAnsi="Calibri"/>
          <w:lang w:val="en-GB"/>
        </w:rPr>
        <w:t xml:space="preserve"> colours and symbols</w:t>
      </w:r>
      <w:r w:rsidR="00DE37FE" w:rsidRPr="0024604A">
        <w:rPr>
          <w:rFonts w:ascii="Calibri" w:hAnsi="Calibri"/>
          <w:lang w:val="en-GB"/>
        </w:rPr>
        <w:t xml:space="preserve">: </w:t>
      </w:r>
      <w:r w:rsidR="00C5766C" w:rsidRPr="0024604A">
        <w:rPr>
          <w:rFonts w:ascii="Calibri" w:hAnsi="Calibri"/>
          <w:lang w:val="en-GB"/>
        </w:rPr>
        <w:t>blue diamonds for patients and green squares for healthy siblings</w:t>
      </w:r>
      <w:r w:rsidR="00C5398D" w:rsidRPr="0024604A">
        <w:rPr>
          <w:rFonts w:ascii="Calibri" w:hAnsi="Calibri"/>
          <w:lang w:val="en-GB"/>
        </w:rPr>
        <w:t xml:space="preserve">. Despite </w:t>
      </w:r>
      <w:r w:rsidR="000C5BD7" w:rsidRPr="0024604A">
        <w:rPr>
          <w:rFonts w:ascii="Calibri" w:hAnsi="Calibri"/>
          <w:lang w:val="en-GB"/>
        </w:rPr>
        <w:t>diverse</w:t>
      </w:r>
      <w:r w:rsidR="00C5766C" w:rsidRPr="0024604A">
        <w:rPr>
          <w:rFonts w:ascii="Calibri" w:hAnsi="Calibri"/>
          <w:lang w:val="en-GB"/>
        </w:rPr>
        <w:t xml:space="preserve"> pre-processing methods such as </w:t>
      </w:r>
      <w:r w:rsidR="00C5398D" w:rsidRPr="0024604A">
        <w:rPr>
          <w:rFonts w:ascii="Calibri" w:hAnsi="Calibri"/>
          <w:lang w:val="en-GB"/>
        </w:rPr>
        <w:t xml:space="preserve">autoscaling of data, needed to ensure that less abundant but, perhaps, important lipid species contribute to </w:t>
      </w:r>
      <w:r w:rsidR="000C5BD7" w:rsidRPr="0024604A">
        <w:rPr>
          <w:rFonts w:ascii="Calibri" w:hAnsi="Calibri"/>
          <w:lang w:val="en-GB"/>
        </w:rPr>
        <w:t xml:space="preserve">a </w:t>
      </w:r>
      <w:r w:rsidR="00C5398D" w:rsidRPr="0024604A">
        <w:rPr>
          <w:rFonts w:ascii="Calibri" w:hAnsi="Calibri"/>
          <w:lang w:val="en-GB"/>
        </w:rPr>
        <w:t xml:space="preserve">separation of data, </w:t>
      </w:r>
      <w:r w:rsidR="00F46E3F" w:rsidRPr="0024604A">
        <w:rPr>
          <w:rFonts w:ascii="Calibri" w:hAnsi="Calibri"/>
          <w:lang w:val="en-GB"/>
        </w:rPr>
        <w:t>n</w:t>
      </w:r>
      <w:r w:rsidR="00C5398D" w:rsidRPr="0024604A">
        <w:rPr>
          <w:rFonts w:ascii="Calibri" w:hAnsi="Calibri"/>
          <w:lang w:val="en-GB"/>
        </w:rPr>
        <w:t xml:space="preserve">o </w:t>
      </w:r>
      <w:r w:rsidR="000C5BD7" w:rsidRPr="0024604A">
        <w:rPr>
          <w:rFonts w:ascii="Calibri" w:hAnsi="Calibri"/>
          <w:lang w:val="en-GB"/>
        </w:rPr>
        <w:t xml:space="preserve">clear </w:t>
      </w:r>
      <w:r w:rsidR="00C5398D" w:rsidRPr="0024604A">
        <w:rPr>
          <w:rFonts w:ascii="Calibri" w:hAnsi="Calibri"/>
          <w:lang w:val="en-GB"/>
        </w:rPr>
        <w:t>trend</w:t>
      </w:r>
      <w:r w:rsidR="00F46E3F" w:rsidRPr="0024604A">
        <w:rPr>
          <w:rFonts w:ascii="Calibri" w:hAnsi="Calibri"/>
          <w:lang w:val="en-GB"/>
        </w:rPr>
        <w:t>s</w:t>
      </w:r>
      <w:r w:rsidR="00C5398D" w:rsidRPr="0024604A">
        <w:rPr>
          <w:rFonts w:ascii="Calibri" w:hAnsi="Calibri"/>
          <w:lang w:val="en-GB"/>
        </w:rPr>
        <w:t xml:space="preserve"> o</w:t>
      </w:r>
      <w:r w:rsidR="005E1178" w:rsidRPr="0024604A">
        <w:rPr>
          <w:rFonts w:ascii="Calibri" w:hAnsi="Calibri"/>
          <w:lang w:val="en-GB"/>
        </w:rPr>
        <w:t>r</w:t>
      </w:r>
      <w:r w:rsidR="00C5398D" w:rsidRPr="0024604A">
        <w:rPr>
          <w:rFonts w:ascii="Calibri" w:hAnsi="Calibri"/>
          <w:lang w:val="en-GB"/>
        </w:rPr>
        <w:t xml:space="preserve"> clustering </w:t>
      </w:r>
      <w:r w:rsidR="006E5293" w:rsidRPr="0024604A">
        <w:rPr>
          <w:rFonts w:ascii="Calibri" w:hAnsi="Calibri"/>
          <w:lang w:val="en-GB"/>
        </w:rPr>
        <w:t xml:space="preserve">in all graphs </w:t>
      </w:r>
      <w:r w:rsidR="00F46E3F" w:rsidRPr="0024604A">
        <w:rPr>
          <w:rFonts w:ascii="Calibri" w:hAnsi="Calibri"/>
          <w:lang w:val="en-GB"/>
        </w:rPr>
        <w:t>were</w:t>
      </w:r>
      <w:r w:rsidR="00C5398D" w:rsidRPr="0024604A">
        <w:rPr>
          <w:rFonts w:ascii="Calibri" w:hAnsi="Calibri"/>
          <w:lang w:val="en-GB"/>
        </w:rPr>
        <w:t xml:space="preserve"> observed: </w:t>
      </w:r>
      <w:r w:rsidR="008F35EA" w:rsidRPr="0024604A">
        <w:rPr>
          <w:rFonts w:ascii="Calibri" w:hAnsi="Calibri"/>
          <w:lang w:val="en-GB"/>
        </w:rPr>
        <w:t xml:space="preserve">ASD </w:t>
      </w:r>
      <w:r w:rsidR="00C5398D" w:rsidRPr="0024604A">
        <w:rPr>
          <w:rFonts w:ascii="Calibri" w:hAnsi="Calibri"/>
          <w:lang w:val="en-GB"/>
        </w:rPr>
        <w:t xml:space="preserve">patient samples are spread in the whole </w:t>
      </w:r>
      <w:r w:rsidR="005A00D8" w:rsidRPr="0024604A">
        <w:rPr>
          <w:rFonts w:ascii="Calibri" w:hAnsi="Calibri"/>
          <w:lang w:val="en-GB"/>
        </w:rPr>
        <w:t xml:space="preserve">principal component </w:t>
      </w:r>
      <w:r w:rsidR="00C5398D" w:rsidRPr="0024604A">
        <w:rPr>
          <w:rFonts w:ascii="Calibri" w:hAnsi="Calibri"/>
          <w:lang w:val="en-GB"/>
        </w:rPr>
        <w:t>space</w:t>
      </w:r>
      <w:r w:rsidR="000C5BD7" w:rsidRPr="0024604A">
        <w:rPr>
          <w:rFonts w:ascii="Calibri" w:hAnsi="Calibri"/>
          <w:lang w:val="en-GB"/>
        </w:rPr>
        <w:t xml:space="preserve"> even taking into account </w:t>
      </w:r>
      <w:r w:rsidR="00C5398D" w:rsidRPr="0024604A">
        <w:rPr>
          <w:rFonts w:ascii="Calibri" w:hAnsi="Calibri"/>
          <w:lang w:val="en-GB"/>
        </w:rPr>
        <w:t>subsequent PCs or different pre</w:t>
      </w:r>
      <w:r w:rsidR="000C5BD7" w:rsidRPr="0024604A">
        <w:rPr>
          <w:rFonts w:ascii="Calibri" w:hAnsi="Calibri"/>
          <w:lang w:val="en-GB"/>
        </w:rPr>
        <w:t>-</w:t>
      </w:r>
      <w:r w:rsidR="00C5398D" w:rsidRPr="0024604A">
        <w:rPr>
          <w:rFonts w:ascii="Calibri" w:hAnsi="Calibri"/>
          <w:lang w:val="en-GB"/>
        </w:rPr>
        <w:t xml:space="preserve">treatment data. </w:t>
      </w:r>
      <w:r w:rsidR="007E6D67" w:rsidRPr="0024604A">
        <w:rPr>
          <w:rFonts w:ascii="Calibri" w:hAnsi="Calibri"/>
          <w:lang w:val="en-GB"/>
        </w:rPr>
        <w:t xml:space="preserve">Although some ASD children (i.e., PT 6, 7, 8, 9, 27, 28 and 32) appear to be more separated from control group for example in score </w:t>
      </w:r>
      <w:r w:rsidR="007E6D67" w:rsidRPr="0024604A">
        <w:rPr>
          <w:rFonts w:ascii="Calibri" w:hAnsi="Calibri"/>
          <w:lang w:val="en-GB"/>
        </w:rPr>
        <w:lastRenderedPageBreak/>
        <w:t xml:space="preserve">plot of </w:t>
      </w:r>
      <w:r w:rsidR="007E6D67" w:rsidRPr="0024604A">
        <w:rPr>
          <w:rFonts w:ascii="Calibri" w:hAnsi="Calibri"/>
          <w:b/>
          <w:bCs/>
          <w:lang w:val="en-GB"/>
        </w:rPr>
        <w:t>Figure 3A</w:t>
      </w:r>
      <w:r w:rsidR="007E6D67" w:rsidRPr="0024604A">
        <w:rPr>
          <w:rFonts w:ascii="Calibri" w:hAnsi="Calibri"/>
          <w:lang w:val="en-GB"/>
        </w:rPr>
        <w:t xml:space="preserve">, it does not seem to be a consistent reason linking their disease, and so we did not consider this significant. </w:t>
      </w:r>
      <w:r w:rsidR="00512AB3" w:rsidRPr="0024604A">
        <w:rPr>
          <w:rFonts w:ascii="Calibri" w:hAnsi="Calibri"/>
          <w:lang w:val="en-GB"/>
        </w:rPr>
        <w:t>Notably, the</w:t>
      </w:r>
      <w:r w:rsidR="00070C08" w:rsidRPr="0024604A">
        <w:rPr>
          <w:rFonts w:ascii="Calibri" w:hAnsi="Calibri"/>
          <w:lang w:val="en-GB"/>
        </w:rPr>
        <w:t xml:space="preserve">y have </w:t>
      </w:r>
      <w:r w:rsidR="00512AB3" w:rsidRPr="0024604A">
        <w:rPr>
          <w:rFonts w:ascii="Calibri" w:hAnsi="Calibri"/>
          <w:lang w:val="en-GB"/>
        </w:rPr>
        <w:t xml:space="preserve">not so much in common because ASD’s </w:t>
      </w:r>
      <w:r w:rsidR="00C5398D" w:rsidRPr="0024604A">
        <w:rPr>
          <w:rFonts w:ascii="Calibri" w:hAnsi="Calibri"/>
          <w:lang w:val="en-GB"/>
        </w:rPr>
        <w:t>severity, rang</w:t>
      </w:r>
      <w:r w:rsidR="00512AB3" w:rsidRPr="0024604A">
        <w:rPr>
          <w:rFonts w:ascii="Calibri" w:hAnsi="Calibri"/>
          <w:lang w:val="en-GB"/>
        </w:rPr>
        <w:t>ing</w:t>
      </w:r>
      <w:r w:rsidR="00C5398D" w:rsidRPr="0024604A">
        <w:rPr>
          <w:rFonts w:ascii="Calibri" w:hAnsi="Calibri"/>
          <w:lang w:val="en-GB"/>
        </w:rPr>
        <w:t xml:space="preserve"> from 1 to 3, age between 3 to 17, gender </w:t>
      </w:r>
      <w:r w:rsidR="00DB432E" w:rsidRPr="0024604A">
        <w:rPr>
          <w:rFonts w:ascii="Calibri" w:hAnsi="Calibri"/>
          <w:lang w:val="en-GB"/>
        </w:rPr>
        <w:t xml:space="preserve">and </w:t>
      </w:r>
      <w:r w:rsidR="00C5398D" w:rsidRPr="0024604A">
        <w:rPr>
          <w:rFonts w:ascii="Calibri" w:hAnsi="Calibri"/>
          <w:lang w:val="en-GB"/>
        </w:rPr>
        <w:t xml:space="preserve">cognitive delay </w:t>
      </w:r>
      <w:r w:rsidR="00512AB3" w:rsidRPr="0024604A">
        <w:rPr>
          <w:rFonts w:ascii="Calibri" w:hAnsi="Calibri"/>
          <w:lang w:val="en-GB"/>
        </w:rPr>
        <w:t xml:space="preserve">are different </w:t>
      </w:r>
      <w:r w:rsidR="00C5398D" w:rsidRPr="0024604A">
        <w:rPr>
          <w:rFonts w:ascii="Calibri" w:hAnsi="Calibri"/>
          <w:lang w:val="en-GB"/>
        </w:rPr>
        <w:t>(</w:t>
      </w:r>
      <w:r w:rsidR="00BC3AE7" w:rsidRPr="0024604A">
        <w:rPr>
          <w:rFonts w:ascii="Calibri" w:hAnsi="Calibri"/>
          <w:lang w:val="en-GB"/>
        </w:rPr>
        <w:t xml:space="preserve">see </w:t>
      </w:r>
      <w:r w:rsidR="00C5398D" w:rsidRPr="0024604A">
        <w:rPr>
          <w:rFonts w:ascii="Calibri" w:hAnsi="Calibri"/>
          <w:lang w:val="en-GB"/>
        </w:rPr>
        <w:t xml:space="preserve">Table 1). </w:t>
      </w:r>
      <w:r w:rsidR="00512AB3" w:rsidRPr="0024604A">
        <w:rPr>
          <w:rFonts w:ascii="Calibri" w:hAnsi="Calibri"/>
          <w:lang w:val="en-GB"/>
        </w:rPr>
        <w:t>Thus</w:t>
      </w:r>
      <w:r w:rsidR="00DB432E" w:rsidRPr="0024604A">
        <w:rPr>
          <w:rFonts w:ascii="Calibri" w:hAnsi="Calibri"/>
          <w:lang w:val="en-GB"/>
        </w:rPr>
        <w:t xml:space="preserve">, </w:t>
      </w:r>
      <w:r w:rsidR="005F0F2B" w:rsidRPr="0024604A">
        <w:rPr>
          <w:rFonts w:ascii="Calibri" w:hAnsi="Calibri"/>
          <w:lang w:val="en-GB"/>
        </w:rPr>
        <w:t xml:space="preserve">PCA </w:t>
      </w:r>
      <w:r w:rsidR="00DB432E" w:rsidRPr="0024604A">
        <w:rPr>
          <w:rFonts w:ascii="Calibri" w:hAnsi="Calibri"/>
          <w:lang w:val="en-GB"/>
        </w:rPr>
        <w:t>s</w:t>
      </w:r>
      <w:r w:rsidR="00C5398D" w:rsidRPr="0024604A">
        <w:rPr>
          <w:rFonts w:ascii="Calibri" w:hAnsi="Calibri"/>
          <w:lang w:val="en-GB"/>
        </w:rPr>
        <w:t>core plots reporting sex and age do not bring to a clustering according to gender, and cluster or trends are not observed in age</w:t>
      </w:r>
      <w:r w:rsidR="003553A9" w:rsidRPr="0024604A">
        <w:rPr>
          <w:rFonts w:ascii="Calibri" w:hAnsi="Calibri"/>
          <w:lang w:val="en-GB"/>
        </w:rPr>
        <w:t xml:space="preserve"> (</w:t>
      </w:r>
      <w:r w:rsidR="003553A9" w:rsidRPr="0024604A">
        <w:rPr>
          <w:rFonts w:ascii="Calibri" w:hAnsi="Calibri"/>
          <w:b/>
          <w:bCs/>
          <w:lang w:val="en-GB"/>
        </w:rPr>
        <w:t>Figure S</w:t>
      </w:r>
      <w:r w:rsidR="008F783E" w:rsidRPr="0024604A">
        <w:rPr>
          <w:rFonts w:ascii="Calibri" w:hAnsi="Calibri"/>
          <w:b/>
          <w:bCs/>
          <w:lang w:val="en-GB"/>
        </w:rPr>
        <w:t>1</w:t>
      </w:r>
      <w:r w:rsidR="003553A9" w:rsidRPr="0024604A">
        <w:rPr>
          <w:rFonts w:ascii="Calibri" w:hAnsi="Calibri"/>
          <w:lang w:val="en-GB"/>
        </w:rPr>
        <w:t>)</w:t>
      </w:r>
      <w:r w:rsidR="00C5398D" w:rsidRPr="0024604A">
        <w:rPr>
          <w:rFonts w:ascii="Calibri" w:hAnsi="Calibri"/>
          <w:lang w:val="en-GB"/>
        </w:rPr>
        <w:t xml:space="preserve">. Absence of </w:t>
      </w:r>
      <w:r w:rsidR="005F0F2B" w:rsidRPr="0024604A">
        <w:rPr>
          <w:rFonts w:ascii="Calibri" w:hAnsi="Calibri"/>
          <w:lang w:val="en-GB"/>
        </w:rPr>
        <w:t xml:space="preserve">obvious groups or </w:t>
      </w:r>
      <w:r w:rsidR="00C5398D" w:rsidRPr="0024604A">
        <w:rPr>
          <w:rFonts w:ascii="Calibri" w:hAnsi="Calibri"/>
          <w:lang w:val="en-GB"/>
        </w:rPr>
        <w:t>cluster</w:t>
      </w:r>
      <w:r w:rsidR="005F0F2B" w:rsidRPr="0024604A">
        <w:rPr>
          <w:rFonts w:ascii="Calibri" w:hAnsi="Calibri"/>
          <w:lang w:val="en-GB"/>
        </w:rPr>
        <w:t>s</w:t>
      </w:r>
      <w:r w:rsidR="00C5398D" w:rsidRPr="0024604A">
        <w:rPr>
          <w:rFonts w:ascii="Calibri" w:hAnsi="Calibri"/>
          <w:lang w:val="en-GB"/>
        </w:rPr>
        <w:t xml:space="preserve"> was </w:t>
      </w:r>
      <w:r w:rsidR="005F0F2B" w:rsidRPr="0024604A">
        <w:rPr>
          <w:rFonts w:ascii="Calibri" w:hAnsi="Calibri"/>
          <w:lang w:val="en-GB"/>
        </w:rPr>
        <w:t xml:space="preserve">also </w:t>
      </w:r>
      <w:r w:rsidR="00C5398D" w:rsidRPr="0024604A">
        <w:rPr>
          <w:rFonts w:ascii="Calibri" w:hAnsi="Calibri"/>
          <w:lang w:val="en-GB"/>
        </w:rPr>
        <w:t xml:space="preserve">obtained </w:t>
      </w:r>
      <w:r w:rsidR="005F0F2B" w:rsidRPr="0024604A">
        <w:rPr>
          <w:rFonts w:ascii="Calibri" w:hAnsi="Calibri"/>
          <w:lang w:val="en-GB"/>
        </w:rPr>
        <w:t xml:space="preserve">when the plots were </w:t>
      </w:r>
      <w:r w:rsidR="00FF3AF7" w:rsidRPr="0024604A">
        <w:rPr>
          <w:rFonts w:ascii="Calibri" w:hAnsi="Calibri"/>
          <w:lang w:val="en-GB"/>
        </w:rPr>
        <w:t xml:space="preserve">labelled </w:t>
      </w:r>
      <w:r w:rsidR="00C5398D" w:rsidRPr="0024604A">
        <w:rPr>
          <w:rFonts w:ascii="Calibri" w:hAnsi="Calibri"/>
          <w:lang w:val="en-GB"/>
        </w:rPr>
        <w:t>according to ASD degree and cognitive delay</w:t>
      </w:r>
      <w:r w:rsidR="003553A9" w:rsidRPr="0024604A">
        <w:rPr>
          <w:rFonts w:ascii="Calibri" w:hAnsi="Calibri"/>
          <w:lang w:val="en-GB"/>
        </w:rPr>
        <w:t xml:space="preserve"> (</w:t>
      </w:r>
      <w:r w:rsidR="003553A9" w:rsidRPr="0024604A">
        <w:rPr>
          <w:rFonts w:ascii="Calibri" w:hAnsi="Calibri"/>
          <w:b/>
          <w:bCs/>
          <w:lang w:val="en-GB"/>
        </w:rPr>
        <w:t>Figure S</w:t>
      </w:r>
      <w:r w:rsidR="008F783E" w:rsidRPr="0024604A">
        <w:rPr>
          <w:rFonts w:ascii="Calibri" w:hAnsi="Calibri"/>
          <w:b/>
          <w:bCs/>
          <w:lang w:val="en-GB"/>
        </w:rPr>
        <w:t>2</w:t>
      </w:r>
      <w:r w:rsidR="003553A9" w:rsidRPr="0024604A">
        <w:rPr>
          <w:rFonts w:ascii="Calibri" w:hAnsi="Calibri"/>
          <w:lang w:val="en-GB"/>
        </w:rPr>
        <w:t>).</w:t>
      </w:r>
      <w:r w:rsidR="00C5398D" w:rsidRPr="0024604A">
        <w:rPr>
          <w:rFonts w:ascii="Calibri" w:hAnsi="Calibri"/>
          <w:lang w:val="en-GB"/>
        </w:rPr>
        <w:t xml:space="preserve"> </w:t>
      </w:r>
    </w:p>
    <w:p w14:paraId="2D44450E" w14:textId="353BDF40" w:rsidR="00CF1C2D" w:rsidRPr="0024604A" w:rsidRDefault="00DB432E" w:rsidP="00C57C81">
      <w:pPr>
        <w:keepNext/>
        <w:widowControl w:val="0"/>
        <w:autoSpaceDE w:val="0"/>
        <w:autoSpaceDN w:val="0"/>
        <w:adjustRightInd w:val="0"/>
        <w:spacing w:line="480" w:lineRule="auto"/>
        <w:ind w:firstLine="708"/>
        <w:jc w:val="both"/>
        <w:rPr>
          <w:rFonts w:ascii="Calibri" w:hAnsi="Calibri"/>
          <w:lang w:val="en-GB"/>
        </w:rPr>
      </w:pPr>
      <w:r w:rsidRPr="0024604A">
        <w:rPr>
          <w:rFonts w:ascii="Calibri" w:hAnsi="Calibri"/>
          <w:lang w:val="en-GB"/>
        </w:rPr>
        <w:t>Subject</w:t>
      </w:r>
      <w:r w:rsidR="005F0F2B" w:rsidRPr="0024604A">
        <w:rPr>
          <w:rFonts w:ascii="Calibri" w:hAnsi="Calibri"/>
          <w:lang w:val="en-GB"/>
        </w:rPr>
        <w:t xml:space="preserve"> group</w:t>
      </w:r>
      <w:r w:rsidR="00C5398D" w:rsidRPr="0024604A">
        <w:rPr>
          <w:rFonts w:ascii="Calibri" w:hAnsi="Calibri"/>
          <w:lang w:val="en-GB"/>
        </w:rPr>
        <w:t xml:space="preserve"> 42 is a triad composed by three </w:t>
      </w:r>
      <w:r w:rsidR="005F0F2B" w:rsidRPr="0024604A">
        <w:rPr>
          <w:rFonts w:ascii="Calibri" w:hAnsi="Calibri"/>
          <w:lang w:val="en-GB"/>
        </w:rPr>
        <w:t>siblings</w:t>
      </w:r>
      <w:r w:rsidR="00C5398D" w:rsidRPr="0024604A">
        <w:rPr>
          <w:rFonts w:ascii="Calibri" w:hAnsi="Calibri"/>
          <w:lang w:val="en-GB"/>
        </w:rPr>
        <w:t>:</w:t>
      </w:r>
      <w:r w:rsidR="00DF6332" w:rsidRPr="0024604A">
        <w:rPr>
          <w:rFonts w:ascii="Calibri" w:hAnsi="Calibri"/>
          <w:lang w:val="en-GB"/>
        </w:rPr>
        <w:t xml:space="preserve"> one </w:t>
      </w:r>
      <w:r w:rsidR="00C5398D" w:rsidRPr="0024604A">
        <w:rPr>
          <w:rFonts w:ascii="Calibri" w:hAnsi="Calibri"/>
          <w:lang w:val="en-GB"/>
        </w:rPr>
        <w:t xml:space="preserve">healthy </w:t>
      </w:r>
      <w:r w:rsidR="00153A2D" w:rsidRPr="0024604A">
        <w:rPr>
          <w:rFonts w:ascii="Calibri" w:hAnsi="Calibri"/>
          <w:lang w:val="en-GB"/>
        </w:rPr>
        <w:t>9-year-old</w:t>
      </w:r>
      <w:r w:rsidR="00DF6332" w:rsidRPr="0024604A">
        <w:rPr>
          <w:rFonts w:ascii="Calibri" w:hAnsi="Calibri"/>
          <w:lang w:val="en-GB"/>
        </w:rPr>
        <w:t xml:space="preserve"> boy</w:t>
      </w:r>
      <w:r w:rsidR="00C5398D" w:rsidRPr="0024604A">
        <w:rPr>
          <w:rFonts w:ascii="Calibri" w:hAnsi="Calibri"/>
          <w:lang w:val="en-GB"/>
        </w:rPr>
        <w:t xml:space="preserve">, </w:t>
      </w:r>
      <w:r w:rsidR="00314825" w:rsidRPr="0024604A">
        <w:rPr>
          <w:rFonts w:ascii="Calibri" w:hAnsi="Calibri"/>
          <w:lang w:val="en-GB"/>
        </w:rPr>
        <w:t xml:space="preserve">his </w:t>
      </w:r>
      <w:r w:rsidR="00C5398D" w:rsidRPr="0024604A">
        <w:rPr>
          <w:rFonts w:ascii="Calibri" w:hAnsi="Calibri"/>
          <w:lang w:val="en-GB"/>
        </w:rPr>
        <w:t>ASD</w:t>
      </w:r>
      <w:r w:rsidR="00DF6332" w:rsidRPr="0024604A">
        <w:rPr>
          <w:rFonts w:ascii="Calibri" w:hAnsi="Calibri"/>
          <w:lang w:val="en-GB"/>
        </w:rPr>
        <w:t xml:space="preserve"> affected sister, with the maximum ASD</w:t>
      </w:r>
      <w:r w:rsidR="00C5398D" w:rsidRPr="0024604A">
        <w:rPr>
          <w:rFonts w:ascii="Calibri" w:hAnsi="Calibri"/>
          <w:lang w:val="en-GB"/>
        </w:rPr>
        <w:t xml:space="preserve"> severity</w:t>
      </w:r>
      <w:r w:rsidR="005F0F2B" w:rsidRPr="0024604A">
        <w:rPr>
          <w:rFonts w:ascii="Calibri" w:hAnsi="Calibri"/>
          <w:lang w:val="en-GB"/>
        </w:rPr>
        <w:t>,</w:t>
      </w:r>
      <w:r w:rsidR="00C5398D" w:rsidRPr="0024604A">
        <w:rPr>
          <w:rFonts w:ascii="Calibri" w:hAnsi="Calibri"/>
          <w:lang w:val="en-GB"/>
        </w:rPr>
        <w:t xml:space="preserve"> and h</w:t>
      </w:r>
      <w:r w:rsidR="00DF6332" w:rsidRPr="0024604A">
        <w:rPr>
          <w:rFonts w:ascii="Calibri" w:hAnsi="Calibri"/>
          <w:lang w:val="en-GB"/>
        </w:rPr>
        <w:t>er</w:t>
      </w:r>
      <w:r w:rsidR="00C5398D" w:rsidRPr="0024604A">
        <w:rPr>
          <w:rFonts w:ascii="Calibri" w:hAnsi="Calibri"/>
          <w:lang w:val="en-GB"/>
        </w:rPr>
        <w:t xml:space="preserve"> monozygotic twin</w:t>
      </w:r>
      <w:r w:rsidR="00512AB3" w:rsidRPr="0024604A">
        <w:rPr>
          <w:rFonts w:ascii="Calibri" w:hAnsi="Calibri"/>
          <w:lang w:val="en-GB"/>
        </w:rPr>
        <w:t xml:space="preserve"> </w:t>
      </w:r>
      <w:r w:rsidR="005F0F2B" w:rsidRPr="0024604A">
        <w:rPr>
          <w:rFonts w:ascii="Calibri" w:hAnsi="Calibri"/>
          <w:lang w:val="en-GB"/>
        </w:rPr>
        <w:t xml:space="preserve">sister, both </w:t>
      </w:r>
      <w:r w:rsidR="00512AB3" w:rsidRPr="0024604A">
        <w:rPr>
          <w:rFonts w:ascii="Calibri" w:hAnsi="Calibri"/>
          <w:lang w:val="en-GB"/>
        </w:rPr>
        <w:t>8 years old</w:t>
      </w:r>
      <w:r w:rsidR="00C5398D" w:rsidRPr="0024604A">
        <w:rPr>
          <w:rFonts w:ascii="Calibri" w:hAnsi="Calibri"/>
          <w:lang w:val="en-GB"/>
        </w:rPr>
        <w:t xml:space="preserve">. As the concordance rate in monozygotic twins is estimated to be approximately 90% </w:t>
      </w:r>
      <w:r w:rsidR="00C5398D" w:rsidRPr="0024604A">
        <w:rPr>
          <w:rFonts w:ascii="Calibri" w:hAnsi="Calibri"/>
          <w:lang w:val="en-GB"/>
        </w:rPr>
        <w:fldChar w:fldCharType="begin" w:fldLock="1"/>
      </w:r>
      <w:r w:rsidR="00280CED" w:rsidRPr="0024604A">
        <w:rPr>
          <w:rFonts w:ascii="Calibri" w:hAnsi="Calibri"/>
          <w:lang w:val="en-GB"/>
        </w:rPr>
        <w:instrText>ADDIN CSL_CITATION {"citationItems":[{"id":"ITEM-1","itemData":{"DOI":"10.1007/s10803-008-0683-2","ISBN":"1573-3432 (Electronic)\\r0162-3257 (Linking)","ISSN":"01623257","PMID":"19148737","abstract":"In the development of genetic theories of Autistic Spectrum Disorder (ASD) various characteristics of monozygotic (MZ) and dizygotic (DZ) twins are often considered. This paper sets forth a possible refinement in the interpretation of the MZ twin concordance percentages for ASD underlying such genetic theories, and, drawing the consequences from that refinement, a possible early environmental factor in the later development of ASD. © 2009 Springer Science+Business Media, LLC.","author":[{"dropping-particle":"V.","family":"Bohm","given":"Henry","non-dropping-particle":"","parse-names":false,"suffix":""},{"dropping-particle":"","family":"Stewart","given":"Melbourne G.","non-dropping-particle":"","parse-names":false,"suffix":""}],"container-title":"Journal of Autism and Developmental Disorders","id":"ITEM-1","issue":"5","issued":{"date-parts":[["2009"]]},"page":"806-808","title":"Brief report: On the concordance percentages for autistic spectrum disorder of Twins","type":"article-journal","volume":"39"},"uris":["http://www.mendeley.com/documents/?uuid=77639b4f-f00f-4eec-82eb-bd47f054fa0e"]}],"mendeley":{"formattedCitation":"[44]","plainTextFormattedCitation":"[44]","previouslyFormattedCitation":"[44]"},"properties":{"noteIndex":0},"schema":"https://github.com/citation-style-language/schema/raw/master/csl-citation.json"}</w:instrText>
      </w:r>
      <w:r w:rsidR="00C5398D" w:rsidRPr="0024604A">
        <w:rPr>
          <w:rFonts w:ascii="Calibri" w:hAnsi="Calibri"/>
          <w:lang w:val="en-GB"/>
        </w:rPr>
        <w:fldChar w:fldCharType="separate"/>
      </w:r>
      <w:r w:rsidR="0089225B" w:rsidRPr="0024604A">
        <w:rPr>
          <w:rFonts w:ascii="Calibri" w:hAnsi="Calibri"/>
          <w:noProof/>
          <w:lang w:val="en-GB"/>
        </w:rPr>
        <w:t>[44]</w:t>
      </w:r>
      <w:r w:rsidR="00C5398D" w:rsidRPr="0024604A">
        <w:rPr>
          <w:rFonts w:ascii="Calibri" w:hAnsi="Calibri"/>
          <w:lang w:val="en-GB"/>
        </w:rPr>
        <w:fldChar w:fldCharType="end"/>
      </w:r>
      <w:r w:rsidR="00C5398D" w:rsidRPr="0024604A">
        <w:rPr>
          <w:rFonts w:ascii="Calibri" w:hAnsi="Calibri"/>
          <w:lang w:val="en-GB"/>
        </w:rPr>
        <w:t xml:space="preserve">, this combination is really interesting because it represents an example of two monozygotic twins where just one of them is affected by ASD. Regardless of differences in sex, age </w:t>
      </w:r>
      <w:r w:rsidR="005F0F2B" w:rsidRPr="0024604A">
        <w:rPr>
          <w:rFonts w:ascii="Calibri" w:hAnsi="Calibri"/>
          <w:lang w:val="en-GB"/>
        </w:rPr>
        <w:t xml:space="preserve">(only 1 year difference between siblings) </w:t>
      </w:r>
      <w:r w:rsidR="00C5398D" w:rsidRPr="0024604A">
        <w:rPr>
          <w:rFonts w:ascii="Calibri" w:hAnsi="Calibri"/>
          <w:lang w:val="en-GB"/>
        </w:rPr>
        <w:t xml:space="preserve">and ASD severity, </w:t>
      </w:r>
      <w:r w:rsidR="005F0F2B" w:rsidRPr="0024604A">
        <w:rPr>
          <w:rFonts w:ascii="Calibri" w:hAnsi="Calibri"/>
          <w:lang w:val="en-GB"/>
        </w:rPr>
        <w:t>these three</w:t>
      </w:r>
      <w:r w:rsidR="00C5398D" w:rsidRPr="0024604A">
        <w:rPr>
          <w:rFonts w:ascii="Calibri" w:hAnsi="Calibri"/>
          <w:lang w:val="en-GB"/>
        </w:rPr>
        <w:t xml:space="preserve"> siblings (see </w:t>
      </w:r>
      <w:r w:rsidR="00C5398D" w:rsidRPr="0024604A">
        <w:rPr>
          <w:rFonts w:ascii="Calibri" w:hAnsi="Calibri"/>
          <w:b/>
          <w:lang w:val="en-GB"/>
        </w:rPr>
        <w:t xml:space="preserve">Figure </w:t>
      </w:r>
      <w:r w:rsidR="00C5766C" w:rsidRPr="0024604A">
        <w:rPr>
          <w:rFonts w:ascii="Calibri" w:hAnsi="Calibri"/>
          <w:b/>
          <w:lang w:val="en-GB"/>
        </w:rPr>
        <w:t>3</w:t>
      </w:r>
      <w:r w:rsidR="00A35838" w:rsidRPr="0024604A">
        <w:rPr>
          <w:rFonts w:ascii="Calibri" w:hAnsi="Calibri"/>
          <w:b/>
          <w:lang w:val="en-GB"/>
        </w:rPr>
        <w:t>, plots A-D</w:t>
      </w:r>
      <w:r w:rsidR="00C5398D" w:rsidRPr="0024604A">
        <w:rPr>
          <w:rFonts w:ascii="Calibri" w:hAnsi="Calibri"/>
          <w:lang w:val="en-GB"/>
        </w:rPr>
        <w:t xml:space="preserve">) are </w:t>
      </w:r>
      <w:r w:rsidR="00070C08" w:rsidRPr="0024604A">
        <w:rPr>
          <w:rFonts w:ascii="Calibri" w:hAnsi="Calibri"/>
          <w:lang w:val="en-GB"/>
        </w:rPr>
        <w:t xml:space="preserve">not </w:t>
      </w:r>
      <w:r w:rsidR="00C5398D" w:rsidRPr="0024604A">
        <w:rPr>
          <w:rFonts w:ascii="Calibri" w:hAnsi="Calibri"/>
          <w:lang w:val="en-GB"/>
        </w:rPr>
        <w:t>very close</w:t>
      </w:r>
      <w:r w:rsidR="00314825" w:rsidRPr="0024604A">
        <w:rPr>
          <w:rFonts w:ascii="Calibri" w:hAnsi="Calibri"/>
          <w:lang w:val="en-GB"/>
        </w:rPr>
        <w:t xml:space="preserve"> each other</w:t>
      </w:r>
      <w:r w:rsidRPr="0024604A">
        <w:rPr>
          <w:rFonts w:ascii="Calibri" w:hAnsi="Calibri"/>
          <w:lang w:val="en-GB"/>
        </w:rPr>
        <w:t xml:space="preserve"> in the score plot</w:t>
      </w:r>
      <w:r w:rsidR="00070C08" w:rsidRPr="0024604A">
        <w:rPr>
          <w:rFonts w:ascii="Calibri" w:hAnsi="Calibri"/>
          <w:lang w:val="en-GB"/>
        </w:rPr>
        <w:t xml:space="preserve">: </w:t>
      </w:r>
      <w:r w:rsidR="00DF6332" w:rsidRPr="0024604A">
        <w:rPr>
          <w:rFonts w:ascii="Calibri" w:hAnsi="Calibri"/>
          <w:lang w:val="en-GB"/>
        </w:rPr>
        <w:t>monozygotic twins</w:t>
      </w:r>
      <w:r w:rsidR="00070C08" w:rsidRPr="0024604A">
        <w:rPr>
          <w:rFonts w:ascii="Calibri" w:hAnsi="Calibri"/>
          <w:lang w:val="en-GB"/>
        </w:rPr>
        <w:t>,</w:t>
      </w:r>
      <w:r w:rsidR="00DF6332" w:rsidRPr="0024604A">
        <w:rPr>
          <w:rFonts w:ascii="Calibri" w:hAnsi="Calibri"/>
          <w:lang w:val="en-GB"/>
        </w:rPr>
        <w:t xml:space="preserve"> </w:t>
      </w:r>
      <w:r w:rsidR="00C5398D" w:rsidRPr="0024604A">
        <w:rPr>
          <w:rFonts w:ascii="Calibri" w:hAnsi="Calibri"/>
          <w:lang w:val="en-GB"/>
        </w:rPr>
        <w:t xml:space="preserve">even having a </w:t>
      </w:r>
      <w:r w:rsidR="00652382" w:rsidRPr="0024604A">
        <w:rPr>
          <w:rFonts w:ascii="Calibri" w:hAnsi="Calibri"/>
          <w:lang w:val="en-GB"/>
        </w:rPr>
        <w:t xml:space="preserve">most common </w:t>
      </w:r>
      <w:r w:rsidR="00C5398D" w:rsidRPr="0024604A">
        <w:rPr>
          <w:rFonts w:ascii="Calibri" w:hAnsi="Calibri"/>
          <w:lang w:val="en-GB"/>
        </w:rPr>
        <w:t xml:space="preserve">genome and sharing age and gender, are not close in the </w:t>
      </w:r>
      <w:r w:rsidR="00FF3AF7" w:rsidRPr="0024604A">
        <w:rPr>
          <w:rFonts w:ascii="Calibri" w:hAnsi="Calibri"/>
          <w:lang w:val="en-GB"/>
        </w:rPr>
        <w:t xml:space="preserve">space of </w:t>
      </w:r>
      <w:r w:rsidR="00C5398D" w:rsidRPr="0024604A">
        <w:rPr>
          <w:rFonts w:ascii="Calibri" w:hAnsi="Calibri"/>
          <w:lang w:val="en-GB"/>
        </w:rPr>
        <w:t xml:space="preserve">variables, thus confirming the system complexity. </w:t>
      </w:r>
    </w:p>
    <w:p w14:paraId="13FB8DF0" w14:textId="4EE769AE" w:rsidR="00CF1C2D" w:rsidRPr="0024604A" w:rsidRDefault="00617A62" w:rsidP="00C57C81">
      <w:pPr>
        <w:keepNext/>
        <w:widowControl w:val="0"/>
        <w:autoSpaceDE w:val="0"/>
        <w:autoSpaceDN w:val="0"/>
        <w:adjustRightInd w:val="0"/>
        <w:spacing w:line="480" w:lineRule="auto"/>
        <w:ind w:firstLine="708"/>
        <w:jc w:val="both"/>
        <w:rPr>
          <w:rFonts w:ascii="Calibri" w:hAnsi="Calibri"/>
          <w:lang w:val="en-GB"/>
        </w:rPr>
      </w:pPr>
      <w:r w:rsidRPr="0024604A">
        <w:rPr>
          <w:rFonts w:ascii="Calibri" w:hAnsi="Calibri"/>
          <w:lang w:val="en-GB"/>
        </w:rPr>
        <w:t>Afterward, w</w:t>
      </w:r>
      <w:r w:rsidR="00FF3AF7" w:rsidRPr="0024604A">
        <w:rPr>
          <w:rFonts w:ascii="Calibri" w:hAnsi="Calibri"/>
          <w:lang w:val="en-GB"/>
        </w:rPr>
        <w:t xml:space="preserve">e </w:t>
      </w:r>
      <w:r w:rsidR="005F0F2B" w:rsidRPr="0024604A">
        <w:rPr>
          <w:rFonts w:ascii="Calibri" w:hAnsi="Calibri"/>
          <w:lang w:val="en-GB"/>
        </w:rPr>
        <w:t>attempted to generate ASD predictive models b</w:t>
      </w:r>
      <w:r w:rsidR="00CF1C2D" w:rsidRPr="0024604A">
        <w:rPr>
          <w:rFonts w:ascii="Calibri" w:hAnsi="Calibri"/>
          <w:lang w:val="en-GB"/>
        </w:rPr>
        <w:t>y applying partial least squares-discriminant analysis (PLS-DA) on XCMS data</w:t>
      </w:r>
      <w:r w:rsidR="005F0F2B" w:rsidRPr="0024604A">
        <w:rPr>
          <w:rFonts w:ascii="Calibri" w:hAnsi="Calibri"/>
          <w:lang w:val="en-GB"/>
        </w:rPr>
        <w:t xml:space="preserve"> (</w:t>
      </w:r>
      <w:r w:rsidR="005F0F2B" w:rsidRPr="0024604A">
        <w:rPr>
          <w:rFonts w:ascii="Calibri" w:hAnsi="Calibri"/>
          <w:b/>
          <w:lang w:val="en-GB"/>
        </w:rPr>
        <w:t>Figure</w:t>
      </w:r>
      <w:r w:rsidR="005F0F2B" w:rsidRPr="0024604A">
        <w:rPr>
          <w:rFonts w:ascii="Calibri" w:hAnsi="Calibri"/>
          <w:lang w:val="en-GB"/>
        </w:rPr>
        <w:t xml:space="preserve"> </w:t>
      </w:r>
      <w:r w:rsidR="005F0F2B" w:rsidRPr="0024604A">
        <w:rPr>
          <w:rFonts w:ascii="Calibri" w:hAnsi="Calibri"/>
          <w:b/>
          <w:lang w:val="en-GB"/>
        </w:rPr>
        <w:t>4</w:t>
      </w:r>
      <w:r w:rsidR="005F0F2B" w:rsidRPr="0024604A">
        <w:rPr>
          <w:rFonts w:ascii="Calibri" w:hAnsi="Calibri"/>
          <w:bCs/>
          <w:lang w:val="en-GB"/>
        </w:rPr>
        <w:t>)</w:t>
      </w:r>
      <w:r w:rsidRPr="0024604A">
        <w:rPr>
          <w:rFonts w:ascii="Calibri" w:hAnsi="Calibri"/>
          <w:bCs/>
          <w:lang w:val="en-GB"/>
        </w:rPr>
        <w:t>. The following plots were generated</w:t>
      </w:r>
      <w:r w:rsidR="00E775AD" w:rsidRPr="0024604A">
        <w:rPr>
          <w:rFonts w:ascii="Calibri" w:hAnsi="Calibri"/>
          <w:lang w:val="en-GB"/>
        </w:rPr>
        <w:t xml:space="preserve">, </w:t>
      </w:r>
      <w:proofErr w:type="spellStart"/>
      <w:r w:rsidR="00E775AD" w:rsidRPr="0024604A">
        <w:rPr>
          <w:rFonts w:ascii="Calibri" w:hAnsi="Calibri"/>
          <w:lang w:val="en-GB"/>
        </w:rPr>
        <w:t>centered</w:t>
      </w:r>
      <w:proofErr w:type="spellEnd"/>
      <w:r w:rsidR="00E775AD" w:rsidRPr="0024604A">
        <w:rPr>
          <w:rFonts w:ascii="Calibri" w:hAnsi="Calibri"/>
          <w:lang w:val="en-GB"/>
        </w:rPr>
        <w:t xml:space="preserve"> (A), autoscaled (B), level scaled (C) and log</w:t>
      </w:r>
      <w:r w:rsidR="005F0F2B" w:rsidRPr="0024604A">
        <w:rPr>
          <w:rFonts w:ascii="Calibri" w:hAnsi="Calibri"/>
          <w:vertAlign w:val="subscript"/>
          <w:lang w:val="en-GB"/>
        </w:rPr>
        <w:t>10</w:t>
      </w:r>
      <w:r w:rsidR="00E775AD" w:rsidRPr="0024604A">
        <w:rPr>
          <w:rFonts w:ascii="Calibri" w:hAnsi="Calibri"/>
          <w:lang w:val="en-GB"/>
        </w:rPr>
        <w:t>-transformed (D</w:t>
      </w:r>
      <w:r w:rsidR="00E775AD" w:rsidRPr="0024604A">
        <w:rPr>
          <w:rFonts w:ascii="Calibri" w:hAnsi="Calibri"/>
          <w:bCs/>
          <w:lang w:val="en-GB"/>
        </w:rPr>
        <w:t>)</w:t>
      </w:r>
      <w:r w:rsidRPr="0024604A">
        <w:rPr>
          <w:rFonts w:ascii="Calibri" w:hAnsi="Calibri"/>
          <w:bCs/>
          <w:lang w:val="en-GB"/>
        </w:rPr>
        <w:t xml:space="preserve"> also </w:t>
      </w:r>
      <w:r w:rsidR="00CF1C2D" w:rsidRPr="0024604A">
        <w:rPr>
          <w:rFonts w:ascii="Calibri" w:hAnsi="Calibri"/>
          <w:lang w:val="en-GB"/>
        </w:rPr>
        <w:t>using the ASD status (yes or not) as the target variable</w:t>
      </w:r>
      <w:r w:rsidR="005F0F2B" w:rsidRPr="0024604A">
        <w:rPr>
          <w:rFonts w:ascii="Calibri" w:hAnsi="Calibri"/>
          <w:lang w:val="en-GB"/>
        </w:rPr>
        <w:t xml:space="preserve">: ASD was encoded in the </w:t>
      </w:r>
      <w:r w:rsidR="005F0F2B" w:rsidRPr="0024604A">
        <w:rPr>
          <w:rFonts w:ascii="Calibri" w:hAnsi="Calibri"/>
          <w:i/>
          <w:iCs/>
          <w:lang w:val="en-GB"/>
        </w:rPr>
        <w:t>Y</w:t>
      </w:r>
      <w:r w:rsidR="005F0F2B" w:rsidRPr="0024604A">
        <w:rPr>
          <w:rFonts w:ascii="Calibri" w:hAnsi="Calibri"/>
          <w:lang w:val="en-GB"/>
        </w:rPr>
        <w:t>-variable as ‘1’ and absence of ASD as ‘0’. To test the validity of any modelling</w:t>
      </w:r>
      <w:r w:rsidR="00E73882" w:rsidRPr="0024604A">
        <w:rPr>
          <w:rFonts w:ascii="Calibri" w:hAnsi="Calibri"/>
          <w:lang w:val="en-GB"/>
        </w:rPr>
        <w:t>,</w:t>
      </w:r>
      <w:r w:rsidR="005F0F2B" w:rsidRPr="0024604A">
        <w:rPr>
          <w:rFonts w:ascii="Calibri" w:hAnsi="Calibri"/>
          <w:lang w:val="en-GB"/>
        </w:rPr>
        <w:t xml:space="preserve"> 1000 bootstraps with replacement </w:t>
      </w:r>
      <w:r w:rsidR="00C410E6" w:rsidRPr="0024604A">
        <w:rPr>
          <w:rFonts w:ascii="Calibri" w:hAnsi="Calibri"/>
          <w:lang w:val="en-GB"/>
        </w:rPr>
        <w:t xml:space="preserve">were performed </w:t>
      </w:r>
      <w:r w:rsidR="005F0F2B" w:rsidRPr="0024604A">
        <w:rPr>
          <w:rFonts w:ascii="Calibri" w:hAnsi="Calibri"/>
          <w:lang w:val="en-GB"/>
        </w:rPr>
        <w:t xml:space="preserve">and all assessments </w:t>
      </w:r>
      <w:r w:rsidR="00FF3AF7" w:rsidRPr="0024604A">
        <w:rPr>
          <w:rFonts w:ascii="Calibri" w:hAnsi="Calibri"/>
          <w:lang w:val="en-GB"/>
        </w:rPr>
        <w:t xml:space="preserve">were </w:t>
      </w:r>
      <w:r w:rsidR="005F0F2B" w:rsidRPr="0024604A">
        <w:rPr>
          <w:rFonts w:ascii="Calibri" w:hAnsi="Calibri"/>
          <w:lang w:val="en-GB"/>
        </w:rPr>
        <w:t xml:space="preserve">made on the 1000 test sets (i.e., not the data used to construct the models). We also used permutation testing where the </w:t>
      </w:r>
      <w:r w:rsidR="005F0F2B" w:rsidRPr="0024604A">
        <w:rPr>
          <w:rFonts w:ascii="Calibri" w:hAnsi="Calibri"/>
          <w:i/>
          <w:iCs/>
          <w:lang w:val="en-GB"/>
        </w:rPr>
        <w:t>Y</w:t>
      </w:r>
      <w:r w:rsidR="005F0F2B" w:rsidRPr="0024604A">
        <w:rPr>
          <w:rFonts w:ascii="Calibri" w:hAnsi="Calibri"/>
          <w:lang w:val="en-GB"/>
        </w:rPr>
        <w:t xml:space="preserve">-variable was scrambled to generate 1000 null distributions, again for the test sets. As can be seen in Figure </w:t>
      </w:r>
      <w:r w:rsidR="005F0F2B" w:rsidRPr="0024604A">
        <w:rPr>
          <w:rFonts w:ascii="Calibri" w:hAnsi="Calibri"/>
          <w:lang w:val="en-GB"/>
        </w:rPr>
        <w:lastRenderedPageBreak/>
        <w:t>4</w:t>
      </w:r>
      <w:r w:rsidR="00FC0710" w:rsidRPr="0024604A">
        <w:rPr>
          <w:rFonts w:ascii="Calibri" w:hAnsi="Calibri"/>
          <w:lang w:val="en-GB"/>
        </w:rPr>
        <w:t>,</w:t>
      </w:r>
      <w:r w:rsidR="005F0F2B" w:rsidRPr="0024604A">
        <w:rPr>
          <w:rFonts w:ascii="Calibri" w:hAnsi="Calibri"/>
          <w:lang w:val="en-GB"/>
        </w:rPr>
        <w:t xml:space="preserve"> the</w:t>
      </w:r>
      <w:r w:rsidR="00E73882" w:rsidRPr="0024604A">
        <w:rPr>
          <w:rFonts w:ascii="Calibri" w:hAnsi="Calibri"/>
          <w:lang w:val="en-GB"/>
        </w:rPr>
        <w:t>re was a</w:t>
      </w:r>
      <w:r w:rsidR="00C67130" w:rsidRPr="0024604A">
        <w:rPr>
          <w:rFonts w:ascii="Calibri" w:hAnsi="Calibri"/>
          <w:lang w:val="en-GB"/>
        </w:rPr>
        <w:t xml:space="preserve"> large</w:t>
      </w:r>
      <w:r w:rsidR="005F0F2B" w:rsidRPr="0024604A">
        <w:rPr>
          <w:rFonts w:ascii="Calibri" w:hAnsi="Calibri"/>
          <w:lang w:val="en-GB"/>
        </w:rPr>
        <w:t xml:space="preserve"> </w:t>
      </w:r>
      <w:r w:rsidR="00E73882" w:rsidRPr="0024604A">
        <w:rPr>
          <w:rFonts w:ascii="Calibri" w:hAnsi="Calibri"/>
          <w:lang w:val="en-GB"/>
        </w:rPr>
        <w:t>overlap of</w:t>
      </w:r>
      <w:r w:rsidR="005F0F2B" w:rsidRPr="0024604A">
        <w:rPr>
          <w:rFonts w:ascii="Calibri" w:hAnsi="Calibri"/>
          <w:lang w:val="en-GB"/>
        </w:rPr>
        <w:t xml:space="preserve"> distributions and </w:t>
      </w:r>
      <w:r w:rsidR="00E73882" w:rsidRPr="0024604A">
        <w:rPr>
          <w:rFonts w:ascii="Calibri" w:hAnsi="Calibri"/>
          <w:lang w:val="en-GB"/>
        </w:rPr>
        <w:t>absence of</w:t>
      </w:r>
      <w:r w:rsidR="00CF1C2D" w:rsidRPr="0024604A">
        <w:rPr>
          <w:rFonts w:ascii="Calibri" w:hAnsi="Calibri"/>
          <w:lang w:val="en-GB"/>
        </w:rPr>
        <w:t xml:space="preserve"> statistically significant separation</w:t>
      </w:r>
      <w:r w:rsidR="00E73882" w:rsidRPr="0024604A">
        <w:rPr>
          <w:rFonts w:ascii="Calibri" w:hAnsi="Calibri"/>
          <w:lang w:val="en-GB"/>
        </w:rPr>
        <w:t xml:space="preserve"> among all plots</w:t>
      </w:r>
      <w:r w:rsidR="00CF1C2D" w:rsidRPr="0024604A">
        <w:rPr>
          <w:rFonts w:ascii="Calibri" w:hAnsi="Calibri"/>
          <w:lang w:val="en-GB"/>
        </w:rPr>
        <w:t>. According to the resulting confusion matrix (</w:t>
      </w:r>
      <w:r w:rsidR="00CF1C2D" w:rsidRPr="0024604A">
        <w:rPr>
          <w:rFonts w:ascii="Calibri" w:hAnsi="Calibri"/>
          <w:b/>
          <w:bCs/>
          <w:lang w:val="en-GB"/>
        </w:rPr>
        <w:t>Table 2</w:t>
      </w:r>
      <w:r w:rsidR="00CF1C2D" w:rsidRPr="0024604A">
        <w:rPr>
          <w:rFonts w:ascii="Calibri" w:hAnsi="Calibri"/>
          <w:lang w:val="en-GB"/>
        </w:rPr>
        <w:t xml:space="preserve">), the PLS-DA model showed predictions close to 0.5 and large </w:t>
      </w:r>
      <w:r w:rsidR="00CF1C2D" w:rsidRPr="0024604A">
        <w:rPr>
          <w:rFonts w:ascii="Calibri" w:hAnsi="Calibri"/>
          <w:i/>
          <w:iCs/>
          <w:lang w:val="en-GB"/>
        </w:rPr>
        <w:t>p</w:t>
      </w:r>
      <w:r w:rsidR="00CF1C2D" w:rsidRPr="0024604A">
        <w:rPr>
          <w:rFonts w:ascii="Calibri" w:hAnsi="Calibri"/>
          <w:lang w:val="en-GB"/>
        </w:rPr>
        <w:t xml:space="preserve">-values, </w:t>
      </w:r>
      <w:r w:rsidR="00086516" w:rsidRPr="0024604A">
        <w:rPr>
          <w:rFonts w:ascii="Calibri" w:hAnsi="Calibri"/>
          <w:lang w:val="en-GB"/>
        </w:rPr>
        <w:t xml:space="preserve">again confirming the lack of </w:t>
      </w:r>
      <w:r w:rsidR="00CF1C2D" w:rsidRPr="0024604A">
        <w:rPr>
          <w:rFonts w:ascii="Calibri" w:hAnsi="Calibri"/>
          <w:lang w:val="en-GB"/>
        </w:rPr>
        <w:t>discriminatory power</w:t>
      </w:r>
      <w:r w:rsidR="00086516" w:rsidRPr="0024604A">
        <w:rPr>
          <w:rFonts w:ascii="Calibri" w:hAnsi="Calibri"/>
          <w:lang w:val="en-GB"/>
        </w:rPr>
        <w:t xml:space="preserve"> in these PLS-DA models</w:t>
      </w:r>
      <w:r w:rsidR="00CF1C2D" w:rsidRPr="0024604A">
        <w:rPr>
          <w:rFonts w:ascii="Calibri" w:hAnsi="Calibri"/>
          <w:lang w:val="en-GB"/>
        </w:rPr>
        <w:t xml:space="preserve">. </w:t>
      </w:r>
      <w:r w:rsidR="005A4B7F" w:rsidRPr="0024604A">
        <w:rPr>
          <w:rFonts w:ascii="Calibri" w:hAnsi="Calibri"/>
          <w:lang w:val="en-GB"/>
        </w:rPr>
        <w:t xml:space="preserve">In </w:t>
      </w:r>
      <w:r w:rsidR="005A4B7F" w:rsidRPr="0024604A">
        <w:rPr>
          <w:rFonts w:ascii="Calibri" w:hAnsi="Calibri"/>
          <w:b/>
          <w:bCs/>
          <w:lang w:val="en-GB"/>
        </w:rPr>
        <w:t>Figure S3</w:t>
      </w:r>
      <w:r w:rsidR="005A4B7F" w:rsidRPr="0024604A">
        <w:rPr>
          <w:rFonts w:ascii="Calibri" w:hAnsi="Calibri"/>
          <w:lang w:val="en-GB"/>
        </w:rPr>
        <w:t xml:space="preserve"> PLS-DA </w:t>
      </w:r>
      <w:r w:rsidR="00C044A0" w:rsidRPr="0024604A">
        <w:rPr>
          <w:rFonts w:ascii="Calibri" w:hAnsi="Calibri"/>
          <w:lang w:val="en-GB"/>
        </w:rPr>
        <w:t xml:space="preserve">score plots </w:t>
      </w:r>
      <w:r w:rsidR="005A4B7F" w:rsidRPr="0024604A">
        <w:rPr>
          <w:rFonts w:ascii="Calibri" w:hAnsi="Calibri"/>
          <w:lang w:val="en-GB"/>
        </w:rPr>
        <w:t xml:space="preserve">are also </w:t>
      </w:r>
      <w:r w:rsidR="00C410E6" w:rsidRPr="0024604A">
        <w:rPr>
          <w:rFonts w:ascii="Calibri" w:hAnsi="Calibri"/>
          <w:lang w:val="en-GB"/>
        </w:rPr>
        <w:t>displaye</w:t>
      </w:r>
      <w:r w:rsidR="005A4B7F" w:rsidRPr="0024604A">
        <w:rPr>
          <w:rFonts w:ascii="Calibri" w:hAnsi="Calibri"/>
          <w:lang w:val="en-GB"/>
        </w:rPr>
        <w:t xml:space="preserve">d, together with </w:t>
      </w:r>
      <w:r w:rsidR="005A4B7F" w:rsidRPr="0024604A">
        <w:rPr>
          <w:rFonts w:ascii="Calibri" w:hAnsi="Calibri"/>
          <w:i/>
          <w:iCs/>
          <w:lang w:val="en-GB"/>
        </w:rPr>
        <w:t>Q</w:t>
      </w:r>
      <w:r w:rsidR="005A4B7F" w:rsidRPr="0024604A">
        <w:rPr>
          <w:rFonts w:ascii="Calibri" w:hAnsi="Calibri"/>
          <w:vertAlign w:val="superscript"/>
          <w:lang w:val="en-GB"/>
        </w:rPr>
        <w:t>2</w:t>
      </w:r>
      <w:r w:rsidR="005A4B7F" w:rsidRPr="0024604A">
        <w:rPr>
          <w:rFonts w:ascii="Calibri" w:hAnsi="Calibri"/>
          <w:lang w:val="en-GB"/>
        </w:rPr>
        <w:t xml:space="preserve"> and </w:t>
      </w:r>
      <w:r w:rsidR="005A4B7F" w:rsidRPr="0024604A">
        <w:rPr>
          <w:rFonts w:ascii="Calibri" w:hAnsi="Calibri"/>
          <w:i/>
          <w:iCs/>
          <w:lang w:val="en-GB"/>
        </w:rPr>
        <w:t>R</w:t>
      </w:r>
      <w:r w:rsidR="005A4B7F" w:rsidRPr="0024604A">
        <w:rPr>
          <w:rFonts w:ascii="Calibri" w:hAnsi="Calibri"/>
          <w:vertAlign w:val="superscript"/>
          <w:lang w:val="en-GB"/>
        </w:rPr>
        <w:t>2</w:t>
      </w:r>
      <w:r w:rsidR="005A4B7F" w:rsidRPr="0024604A">
        <w:rPr>
          <w:rFonts w:ascii="Calibri" w:hAnsi="Calibri"/>
          <w:lang w:val="en-GB"/>
        </w:rPr>
        <w:t xml:space="preserve"> metrics to outline that the</w:t>
      </w:r>
      <w:r w:rsidR="00C044A0" w:rsidRPr="0024604A">
        <w:rPr>
          <w:rFonts w:ascii="Calibri" w:hAnsi="Calibri"/>
          <w:lang w:val="en-GB"/>
        </w:rPr>
        <w:t xml:space="preserve">ir </w:t>
      </w:r>
      <w:r w:rsidR="005A4B7F" w:rsidRPr="0024604A">
        <w:rPr>
          <w:rFonts w:ascii="Calibri" w:hAnsi="Calibri"/>
          <w:lang w:val="en-GB"/>
        </w:rPr>
        <w:t xml:space="preserve">use for inference of class differences often provides an over-optimistic understanding of the separation between classes </w:t>
      </w:r>
      <w:r w:rsidR="005A4B7F" w:rsidRPr="0024604A">
        <w:rPr>
          <w:rFonts w:ascii="Calibri" w:hAnsi="Calibri"/>
          <w:lang w:val="en-GB"/>
        </w:rPr>
        <w:fldChar w:fldCharType="begin" w:fldLock="1"/>
      </w:r>
      <w:r w:rsidR="006126E3" w:rsidRPr="0024604A">
        <w:rPr>
          <w:rFonts w:ascii="Calibri" w:hAnsi="Calibri"/>
          <w:lang w:val="en-GB"/>
        </w:rPr>
        <w:instrText>ADDIN CSL_CITATION {"citationItems":[{"id":"ITEM-1","itemData":{"DOI":"10.1016/j.aca.2015.02.012","ISSN":"18734324","abstract":"The predominance of partial least squares-discriminant analysis (PLS-DA) used to analyze metabolomics datasets (indeed, it is the most well-known tool to perform classification and regression in metabolomics), can be said to have led to the point that not all researchers are fully aware of alternative multivariate classification algorithms. This may in part be due to the widespread availability of PLS-DA in most of the well-known statistical software packages, where its implementation is very easy if the default settings are used. In addition, one of the perceived advantages of PLS-DA is that it has the ability to analyze highly collinear and noisy data. Furthermore, the calibration model is known to provide a variety of useful statistics, such as prediction accuracy as well as scores and loadings plots. However, this method may provide misleading results, largely due to a lack of suitable statistical validation, when used by non-experts who are not aware of its potential limitations when used in conjunction with metabolomics. This tutorial review aims to provide an introductory overview to several straightforward statistical methods such as principal component-discriminant function analysis (PC-DFA), support vector machines (SVM) and random forests (RF), which could very easily be used either to augment PLS or as alternative supervised learning methods to PLS-DA. These methods can be said to be particularly appropriate for the analysis of large, highly-complex data sets which are common output(s) in metabolomics studies where the numbers of variables often far exceed the number of samples. In addition, these alternative techniques may be useful tools for generating parsimonious models through feature selection and data reduction, as well as providing more propitious results. We sincerely hope that the general reader is left with little doubt that there are several promising and readily available alternatives to PLS-DA, to analyze large and highly complex data sets.","author":[{"dropping-particle":"","family":"Gromski","given":"Piotr S.","non-dropping-particle":"","parse-names":false,"suffix":""},{"dropping-particle":"","family":"Muhamadali","given":"Howbeer","non-dropping-particle":"","parse-names":false,"suffix":""},{"dropping-particle":"","family":"Ellis","given":"David I.","non-dropping-particle":"","parse-names":false,"suffix":""},{"dropping-particle":"","family":"Xu","given":"Yun","non-dropping-particle":"","parse-names":false,"suffix":""},{"dropping-particle":"","family":"Correa","given":"Elon","non-dropping-particle":"","parse-names":false,"suffix":""},{"dropping-particle":"","family":"Turner","given":"Michael L.","non-dropping-particle":"","parse-names":false,"suffix":""},{"dropping-particle":"","family":"Goodacre","given":"Royston","non-dropping-particle":"","parse-names":false,"suffix":""}],"container-title":"Analytica Chimica Acta","id":"ITEM-1","issued":{"date-parts":[["2015"]]},"page":"10-23","publisher":"Elsevier B.V.","title":"A tutorial review: Metabolomics and partial least squares-discriminant analysis - a marriage of convenience or a shotgun wedding","type":"article-journal","volume":"879"},"uris":["http://www.mendeley.com/documents/?uuid=62a13498-bd88-4d2f-9c98-88631b09b685","http://www.mendeley.com/documents/?uuid=ec47ef3f-d7a8-4de6-953f-ee496d838253","http://www.mendeley.com/documents/?uuid=116fb6ba-470b-41c0-a928-3b0cda6e11e0"]}],"mendeley":{"formattedCitation":"[45]","plainTextFormattedCitation":"[45]","previouslyFormattedCitation":"[45]"},"properties":{"noteIndex":0},"schema":"https://github.com/citation-style-language/schema/raw/master/csl-citation.json"}</w:instrText>
      </w:r>
      <w:r w:rsidR="005A4B7F" w:rsidRPr="0024604A">
        <w:rPr>
          <w:rFonts w:ascii="Calibri" w:hAnsi="Calibri"/>
          <w:lang w:val="en-GB"/>
        </w:rPr>
        <w:fldChar w:fldCharType="separate"/>
      </w:r>
      <w:r w:rsidR="0089225B" w:rsidRPr="0024604A">
        <w:rPr>
          <w:rFonts w:ascii="Calibri" w:hAnsi="Calibri"/>
          <w:noProof/>
          <w:lang w:val="en-GB"/>
        </w:rPr>
        <w:t>[45]</w:t>
      </w:r>
      <w:r w:rsidR="005A4B7F" w:rsidRPr="0024604A">
        <w:rPr>
          <w:rFonts w:ascii="Calibri" w:hAnsi="Calibri"/>
          <w:lang w:val="en-GB"/>
        </w:rPr>
        <w:fldChar w:fldCharType="end"/>
      </w:r>
      <w:r w:rsidR="00C67130" w:rsidRPr="0024604A">
        <w:rPr>
          <w:rFonts w:ascii="Calibri" w:hAnsi="Calibri"/>
          <w:lang w:val="en-GB"/>
        </w:rPr>
        <w:t xml:space="preserve">; although in this case the </w:t>
      </w:r>
      <w:r w:rsidR="00C67130" w:rsidRPr="0024604A">
        <w:rPr>
          <w:rFonts w:ascii="Calibri" w:hAnsi="Calibri"/>
          <w:i/>
          <w:iCs/>
          <w:lang w:val="en-GB"/>
        </w:rPr>
        <w:t>Q</w:t>
      </w:r>
      <w:r w:rsidR="00C67130" w:rsidRPr="0024604A">
        <w:rPr>
          <w:rFonts w:ascii="Calibri" w:hAnsi="Calibri"/>
          <w:vertAlign w:val="superscript"/>
          <w:lang w:val="en-GB"/>
        </w:rPr>
        <w:t>2</w:t>
      </w:r>
      <w:r w:rsidR="00C67130" w:rsidRPr="0024604A">
        <w:rPr>
          <w:rFonts w:ascii="Calibri" w:hAnsi="Calibri"/>
          <w:lang w:val="en-GB"/>
        </w:rPr>
        <w:t xml:space="preserve"> values are all insignificant</w:t>
      </w:r>
      <w:r w:rsidR="00C410E6" w:rsidRPr="0024604A">
        <w:rPr>
          <w:rFonts w:ascii="Calibri" w:hAnsi="Calibri"/>
          <w:lang w:val="en-GB"/>
        </w:rPr>
        <w:t>. A</w:t>
      </w:r>
      <w:r w:rsidR="005A4B7F" w:rsidRPr="0024604A">
        <w:rPr>
          <w:rFonts w:ascii="Calibri" w:hAnsi="Calibri"/>
          <w:lang w:val="en-GB"/>
        </w:rPr>
        <w:t xml:space="preserve">t first glance, it appears that a </w:t>
      </w:r>
      <w:r w:rsidR="00C410E6" w:rsidRPr="0024604A">
        <w:rPr>
          <w:rFonts w:ascii="Calibri" w:hAnsi="Calibri"/>
          <w:lang w:val="en-GB"/>
        </w:rPr>
        <w:t xml:space="preserve">class </w:t>
      </w:r>
      <w:r w:rsidR="005A4B7F" w:rsidRPr="0024604A">
        <w:rPr>
          <w:rFonts w:ascii="Calibri" w:hAnsi="Calibri"/>
          <w:lang w:val="en-GB"/>
        </w:rPr>
        <w:t xml:space="preserve">separation </w:t>
      </w:r>
      <w:r w:rsidR="00CB52C9" w:rsidRPr="0024604A">
        <w:rPr>
          <w:rFonts w:ascii="Calibri" w:hAnsi="Calibri"/>
          <w:lang w:val="en-GB"/>
        </w:rPr>
        <w:t>was</w:t>
      </w:r>
      <w:r w:rsidR="005A4B7F" w:rsidRPr="0024604A">
        <w:rPr>
          <w:rFonts w:ascii="Calibri" w:hAnsi="Calibri"/>
          <w:lang w:val="en-GB"/>
        </w:rPr>
        <w:t xml:space="preserve"> obtained, </w:t>
      </w:r>
      <w:r w:rsidR="001653F3" w:rsidRPr="0024604A">
        <w:rPr>
          <w:rFonts w:ascii="Calibri" w:hAnsi="Calibri"/>
          <w:lang w:val="en-GB"/>
        </w:rPr>
        <w:t xml:space="preserve">yet </w:t>
      </w:r>
      <w:r w:rsidR="005A4B7F" w:rsidRPr="0024604A">
        <w:rPr>
          <w:rFonts w:ascii="Calibri" w:hAnsi="Calibri"/>
          <w:lang w:val="en-GB"/>
        </w:rPr>
        <w:t xml:space="preserve">the metrics </w:t>
      </w:r>
      <w:r w:rsidR="00C044A0" w:rsidRPr="0024604A">
        <w:rPr>
          <w:rFonts w:ascii="Calibri" w:hAnsi="Calibri"/>
          <w:lang w:val="en-GB"/>
        </w:rPr>
        <w:t xml:space="preserve">proved </w:t>
      </w:r>
      <w:r w:rsidR="005A4B7F" w:rsidRPr="0024604A">
        <w:rPr>
          <w:rFonts w:ascii="Calibri" w:hAnsi="Calibri"/>
          <w:lang w:val="en-GB"/>
        </w:rPr>
        <w:t xml:space="preserve">that the expected results </w:t>
      </w:r>
      <w:r w:rsidR="00C410E6" w:rsidRPr="0024604A">
        <w:rPr>
          <w:rFonts w:ascii="Calibri" w:hAnsi="Calibri"/>
          <w:lang w:val="en-GB"/>
        </w:rPr>
        <w:t>were</w:t>
      </w:r>
      <w:r w:rsidR="005A4B7F" w:rsidRPr="0024604A">
        <w:rPr>
          <w:rFonts w:ascii="Calibri" w:hAnsi="Calibri"/>
          <w:lang w:val="en-GB"/>
        </w:rPr>
        <w:t xml:space="preserve"> </w:t>
      </w:r>
      <w:r w:rsidR="001653F3" w:rsidRPr="0024604A">
        <w:rPr>
          <w:rFonts w:ascii="Calibri" w:hAnsi="Calibri"/>
          <w:lang w:val="en-GB"/>
        </w:rPr>
        <w:t xml:space="preserve">not </w:t>
      </w:r>
      <w:r w:rsidR="005A4B7F" w:rsidRPr="0024604A">
        <w:rPr>
          <w:rFonts w:ascii="Calibri" w:hAnsi="Calibri"/>
          <w:lang w:val="en-GB"/>
        </w:rPr>
        <w:t>achieved</w:t>
      </w:r>
      <w:r w:rsidR="00DD4568" w:rsidRPr="0024604A">
        <w:rPr>
          <w:rFonts w:ascii="Calibri" w:hAnsi="Calibri"/>
          <w:lang w:val="en-GB"/>
        </w:rPr>
        <w:t xml:space="preserve"> as already demonstrated by the </w:t>
      </w:r>
      <w:r w:rsidR="005A4B7F" w:rsidRPr="0024604A">
        <w:rPr>
          <w:rFonts w:ascii="Calibri" w:hAnsi="Calibri"/>
          <w:lang w:val="en-GB"/>
        </w:rPr>
        <w:t>distribution</w:t>
      </w:r>
      <w:r w:rsidR="00DD4568" w:rsidRPr="0024604A">
        <w:rPr>
          <w:rFonts w:ascii="Calibri" w:hAnsi="Calibri"/>
          <w:lang w:val="en-GB"/>
        </w:rPr>
        <w:t xml:space="preserve"> overlap of </w:t>
      </w:r>
      <w:r w:rsidR="00DD4568" w:rsidRPr="0024604A">
        <w:rPr>
          <w:rFonts w:ascii="Calibri" w:hAnsi="Calibri"/>
          <w:b/>
          <w:bCs/>
          <w:lang w:val="en-GB"/>
        </w:rPr>
        <w:t>Figure 4.</w:t>
      </w:r>
      <w:r w:rsidR="00DD4568" w:rsidRPr="0024604A">
        <w:rPr>
          <w:rFonts w:ascii="Calibri" w:hAnsi="Calibri"/>
          <w:lang w:val="en-GB"/>
        </w:rPr>
        <w:t xml:space="preserve"> </w:t>
      </w:r>
      <w:r w:rsidR="00CF1C2D" w:rsidRPr="0024604A">
        <w:rPr>
          <w:rFonts w:ascii="Calibri" w:hAnsi="Calibri"/>
          <w:lang w:val="en-GB"/>
        </w:rPr>
        <w:t>In addition,</w:t>
      </w:r>
      <w:r w:rsidR="00E552BB" w:rsidRPr="0024604A">
        <w:rPr>
          <w:rFonts w:ascii="Calibri" w:hAnsi="Calibri"/>
          <w:lang w:val="en-GB"/>
        </w:rPr>
        <w:t xml:space="preserve"> other variables were </w:t>
      </w:r>
      <w:r w:rsidR="006D4757" w:rsidRPr="0024604A">
        <w:rPr>
          <w:rFonts w:ascii="Calibri" w:hAnsi="Calibri"/>
          <w:lang w:val="en-GB"/>
        </w:rPr>
        <w:t>examined</w:t>
      </w:r>
      <w:r w:rsidR="00E552BB" w:rsidRPr="0024604A">
        <w:rPr>
          <w:rFonts w:ascii="Calibri" w:hAnsi="Calibri"/>
          <w:lang w:val="en-GB"/>
        </w:rPr>
        <w:t xml:space="preserve"> for discriminant analysis (i.e. histological types, </w:t>
      </w:r>
      <w:r w:rsidR="008F0F88" w:rsidRPr="0024604A">
        <w:rPr>
          <w:rFonts w:ascii="Calibri" w:hAnsi="Calibri"/>
          <w:lang w:val="en-GB"/>
        </w:rPr>
        <w:t xml:space="preserve">cognitive delay, gender and </w:t>
      </w:r>
      <w:r w:rsidR="00E552BB" w:rsidRPr="0024604A">
        <w:rPr>
          <w:rFonts w:ascii="Calibri" w:hAnsi="Calibri"/>
          <w:lang w:val="en-GB"/>
        </w:rPr>
        <w:t xml:space="preserve">age), </w:t>
      </w:r>
      <w:r w:rsidR="006D4757" w:rsidRPr="0024604A">
        <w:rPr>
          <w:rFonts w:ascii="Calibri" w:hAnsi="Calibri"/>
          <w:lang w:val="en-GB"/>
        </w:rPr>
        <w:t>using</w:t>
      </w:r>
      <w:r w:rsidR="005F65F4" w:rsidRPr="0024604A">
        <w:rPr>
          <w:rFonts w:ascii="Calibri" w:hAnsi="Calibri"/>
          <w:lang w:val="en-GB"/>
        </w:rPr>
        <w:t xml:space="preserve"> </w:t>
      </w:r>
      <w:r w:rsidR="00512AB3" w:rsidRPr="0024604A">
        <w:rPr>
          <w:rFonts w:ascii="Calibri" w:hAnsi="Calibri"/>
          <w:lang w:val="en-GB"/>
        </w:rPr>
        <w:t xml:space="preserve">the </w:t>
      </w:r>
      <w:r w:rsidR="00327212" w:rsidRPr="0024604A">
        <w:rPr>
          <w:rFonts w:ascii="Calibri" w:hAnsi="Calibri"/>
          <w:lang w:val="en-GB"/>
        </w:rPr>
        <w:t>above-mentioned</w:t>
      </w:r>
      <w:r w:rsidR="00512AB3" w:rsidRPr="0024604A">
        <w:rPr>
          <w:rFonts w:ascii="Calibri" w:hAnsi="Calibri"/>
          <w:lang w:val="en-GB"/>
        </w:rPr>
        <w:t xml:space="preserve"> </w:t>
      </w:r>
      <w:r w:rsidR="001653F3" w:rsidRPr="0024604A">
        <w:rPr>
          <w:rFonts w:ascii="Calibri" w:hAnsi="Calibri"/>
          <w:lang w:val="en-GB"/>
        </w:rPr>
        <w:t xml:space="preserve">transformation </w:t>
      </w:r>
      <w:r w:rsidR="00512AB3" w:rsidRPr="0024604A">
        <w:rPr>
          <w:rFonts w:ascii="Calibri" w:hAnsi="Calibri"/>
          <w:lang w:val="en-GB"/>
        </w:rPr>
        <w:t>data</w:t>
      </w:r>
      <w:r w:rsidR="00E552BB" w:rsidRPr="0024604A">
        <w:rPr>
          <w:rFonts w:ascii="Calibri" w:hAnsi="Calibri"/>
          <w:lang w:val="en-GB"/>
        </w:rPr>
        <w:t>.</w:t>
      </w:r>
      <w:r w:rsidR="00CF1C2D" w:rsidRPr="0024604A">
        <w:rPr>
          <w:rFonts w:ascii="Calibri" w:hAnsi="Calibri"/>
          <w:lang w:val="en-GB"/>
        </w:rPr>
        <w:t xml:space="preserve"> </w:t>
      </w:r>
      <w:r w:rsidR="00E552BB" w:rsidRPr="0024604A">
        <w:rPr>
          <w:rFonts w:ascii="Calibri" w:hAnsi="Calibri"/>
          <w:lang w:val="en-GB"/>
        </w:rPr>
        <w:t>M</w:t>
      </w:r>
      <w:r w:rsidR="00CF1C2D" w:rsidRPr="0024604A">
        <w:rPr>
          <w:rFonts w:ascii="Calibri" w:hAnsi="Calibri"/>
          <w:lang w:val="en-GB"/>
        </w:rPr>
        <w:t xml:space="preserve">odelling of the four histological types (healthy, n° 35; </w:t>
      </w:r>
      <w:r w:rsidR="004E4678" w:rsidRPr="0024604A">
        <w:rPr>
          <w:rFonts w:ascii="Calibri" w:hAnsi="Calibri"/>
          <w:lang w:val="en-GB"/>
        </w:rPr>
        <w:t xml:space="preserve">ASD </w:t>
      </w:r>
      <w:r w:rsidR="00CF1C2D" w:rsidRPr="0024604A">
        <w:rPr>
          <w:rFonts w:ascii="Calibri" w:hAnsi="Calibri"/>
          <w:lang w:val="en-GB"/>
        </w:rPr>
        <w:t xml:space="preserve">severity 1, n° 13; </w:t>
      </w:r>
      <w:r w:rsidR="004E4678" w:rsidRPr="0024604A">
        <w:rPr>
          <w:rFonts w:ascii="Calibri" w:hAnsi="Calibri"/>
          <w:lang w:val="en-GB"/>
        </w:rPr>
        <w:t xml:space="preserve">ASD </w:t>
      </w:r>
      <w:r w:rsidR="00CF1C2D" w:rsidRPr="0024604A">
        <w:rPr>
          <w:rFonts w:ascii="Calibri" w:hAnsi="Calibri"/>
          <w:lang w:val="en-GB"/>
        </w:rPr>
        <w:t xml:space="preserve">severity 2, n° 14; </w:t>
      </w:r>
      <w:r w:rsidR="004E4678" w:rsidRPr="0024604A">
        <w:rPr>
          <w:rFonts w:ascii="Calibri" w:hAnsi="Calibri"/>
          <w:lang w:val="en-GB"/>
        </w:rPr>
        <w:t xml:space="preserve">ASD </w:t>
      </w:r>
      <w:r w:rsidR="00CF1C2D" w:rsidRPr="0024604A">
        <w:rPr>
          <w:rFonts w:ascii="Calibri" w:hAnsi="Calibri"/>
          <w:lang w:val="en-GB"/>
        </w:rPr>
        <w:t>severity 3, n° 6</w:t>
      </w:r>
      <w:r w:rsidR="00086516" w:rsidRPr="0024604A">
        <w:rPr>
          <w:rFonts w:ascii="Calibri" w:hAnsi="Calibri"/>
          <w:lang w:val="en-GB"/>
        </w:rPr>
        <w:t xml:space="preserve">; </w:t>
      </w:r>
      <w:r w:rsidR="00F0604E" w:rsidRPr="0024604A">
        <w:rPr>
          <w:rFonts w:ascii="Calibri" w:hAnsi="Calibri"/>
          <w:b/>
          <w:bCs/>
          <w:lang w:val="en-GB"/>
        </w:rPr>
        <w:t>Figure</w:t>
      </w:r>
      <w:r w:rsidR="00CF1C2D" w:rsidRPr="0024604A">
        <w:rPr>
          <w:rFonts w:ascii="Calibri" w:hAnsi="Calibri"/>
          <w:b/>
          <w:bCs/>
          <w:lang w:val="en-GB"/>
        </w:rPr>
        <w:t xml:space="preserve"> </w:t>
      </w:r>
      <w:r w:rsidR="00A140DB" w:rsidRPr="0024604A">
        <w:rPr>
          <w:rFonts w:ascii="Calibri" w:hAnsi="Calibri"/>
          <w:b/>
          <w:bCs/>
          <w:lang w:val="en-GB"/>
        </w:rPr>
        <w:t>S4</w:t>
      </w:r>
      <w:r w:rsidR="00A140DB" w:rsidRPr="0024604A">
        <w:rPr>
          <w:rFonts w:ascii="Calibri" w:hAnsi="Calibri"/>
          <w:lang w:val="en-GB"/>
        </w:rPr>
        <w:t xml:space="preserve"> </w:t>
      </w:r>
      <w:r w:rsidR="00E552BB" w:rsidRPr="0024604A">
        <w:rPr>
          <w:rFonts w:ascii="Calibri" w:hAnsi="Calibri"/>
          <w:lang w:val="en-GB"/>
        </w:rPr>
        <w:t>plot A</w:t>
      </w:r>
      <w:r w:rsidR="00F0604E" w:rsidRPr="0024604A">
        <w:rPr>
          <w:rFonts w:ascii="Calibri" w:hAnsi="Calibri"/>
          <w:lang w:val="en-GB"/>
        </w:rPr>
        <w:t xml:space="preserve"> in </w:t>
      </w:r>
      <w:r w:rsidR="00FF3AF7" w:rsidRPr="0024604A">
        <w:rPr>
          <w:rFonts w:ascii="Calibri" w:hAnsi="Calibri"/>
          <w:lang w:val="en-GB"/>
        </w:rPr>
        <w:t>Supplementary Material</w:t>
      </w:r>
      <w:r w:rsidR="00CF1C2D" w:rsidRPr="0024604A">
        <w:rPr>
          <w:rFonts w:ascii="Calibri" w:hAnsi="Calibri"/>
          <w:lang w:val="en-GB"/>
        </w:rPr>
        <w:t>)</w:t>
      </w:r>
      <w:r w:rsidR="00086516" w:rsidRPr="0024604A">
        <w:rPr>
          <w:rFonts w:ascii="Calibri" w:hAnsi="Calibri"/>
          <w:lang w:val="en-GB"/>
        </w:rPr>
        <w:t xml:space="preserve"> also</w:t>
      </w:r>
      <w:r w:rsidR="00CF1C2D" w:rsidRPr="0024604A">
        <w:rPr>
          <w:rFonts w:ascii="Calibri" w:hAnsi="Calibri"/>
          <w:lang w:val="en-GB"/>
        </w:rPr>
        <w:t xml:space="preserve"> produced no discrimination power between the several </w:t>
      </w:r>
      <w:r w:rsidR="001653F3" w:rsidRPr="0024604A">
        <w:rPr>
          <w:rFonts w:ascii="Calibri" w:hAnsi="Calibri"/>
          <w:lang w:val="en-GB"/>
        </w:rPr>
        <w:t xml:space="preserve">examined </w:t>
      </w:r>
      <w:r w:rsidR="00CF1C2D" w:rsidRPr="0024604A">
        <w:rPr>
          <w:rFonts w:ascii="Calibri" w:hAnsi="Calibri"/>
          <w:lang w:val="en-GB"/>
        </w:rPr>
        <w:t>pairs</w:t>
      </w:r>
      <w:r w:rsidR="00FF3AF7" w:rsidRPr="0024604A">
        <w:rPr>
          <w:rFonts w:ascii="Calibri" w:hAnsi="Calibri"/>
          <w:lang w:val="en-GB"/>
        </w:rPr>
        <w:t xml:space="preserve">, since </w:t>
      </w:r>
      <w:r w:rsidR="00CF1C2D" w:rsidRPr="0024604A">
        <w:rPr>
          <w:rFonts w:ascii="Calibri" w:hAnsi="Calibri"/>
          <w:lang w:val="en-GB"/>
        </w:rPr>
        <w:t xml:space="preserve">less than 2% of the data </w:t>
      </w:r>
      <w:r w:rsidR="00FF3AF7" w:rsidRPr="0024604A">
        <w:rPr>
          <w:rFonts w:ascii="Calibri" w:hAnsi="Calibri"/>
          <w:lang w:val="en-GB"/>
        </w:rPr>
        <w:t xml:space="preserve">were </w:t>
      </w:r>
      <w:r w:rsidR="00CF1C2D" w:rsidRPr="0024604A">
        <w:rPr>
          <w:rFonts w:ascii="Calibri" w:hAnsi="Calibri"/>
          <w:lang w:val="en-GB"/>
        </w:rPr>
        <w:t xml:space="preserve">correctly assigned for the </w:t>
      </w:r>
      <w:r w:rsidR="00E552BB" w:rsidRPr="0024604A">
        <w:rPr>
          <w:rFonts w:ascii="Calibri" w:hAnsi="Calibri"/>
          <w:lang w:val="en-GB"/>
        </w:rPr>
        <w:t>highest</w:t>
      </w:r>
      <w:r w:rsidR="00CF1C2D" w:rsidRPr="0024604A">
        <w:rPr>
          <w:rFonts w:ascii="Calibri" w:hAnsi="Calibri"/>
          <w:lang w:val="en-GB"/>
        </w:rPr>
        <w:t xml:space="preserve"> ASD degree of severity </w:t>
      </w:r>
      <w:r w:rsidR="005F65F4" w:rsidRPr="0024604A">
        <w:rPr>
          <w:rFonts w:ascii="Calibri" w:hAnsi="Calibri"/>
          <w:lang w:val="en-GB"/>
        </w:rPr>
        <w:t xml:space="preserve">while </w:t>
      </w:r>
      <w:r w:rsidR="00CF1C2D" w:rsidRPr="0024604A">
        <w:rPr>
          <w:rFonts w:ascii="Calibri" w:hAnsi="Calibri"/>
          <w:lang w:val="en-GB"/>
        </w:rPr>
        <w:t xml:space="preserve">the major part of </w:t>
      </w:r>
      <w:r w:rsidR="005F65F4" w:rsidRPr="0024604A">
        <w:rPr>
          <w:rFonts w:ascii="Calibri" w:hAnsi="Calibri"/>
          <w:lang w:val="en-GB"/>
        </w:rPr>
        <w:t>them appear</w:t>
      </w:r>
      <w:r w:rsidR="001653F3" w:rsidRPr="0024604A">
        <w:rPr>
          <w:rFonts w:ascii="Calibri" w:hAnsi="Calibri"/>
          <w:lang w:val="en-GB"/>
        </w:rPr>
        <w:t>ed</w:t>
      </w:r>
      <w:r w:rsidR="005F65F4" w:rsidRPr="0024604A">
        <w:rPr>
          <w:rFonts w:ascii="Calibri" w:hAnsi="Calibri"/>
          <w:lang w:val="en-GB"/>
        </w:rPr>
        <w:t xml:space="preserve"> as</w:t>
      </w:r>
      <w:r w:rsidR="00CF1C2D" w:rsidRPr="0024604A">
        <w:rPr>
          <w:rFonts w:ascii="Calibri" w:hAnsi="Calibri"/>
          <w:lang w:val="en-GB"/>
        </w:rPr>
        <w:t xml:space="preserve"> belonging to control group</w:t>
      </w:r>
      <w:r w:rsidR="00460E02" w:rsidRPr="0024604A">
        <w:rPr>
          <w:rFonts w:ascii="Calibri" w:hAnsi="Calibri"/>
          <w:lang w:val="en-GB"/>
        </w:rPr>
        <w:t xml:space="preserve">. </w:t>
      </w:r>
      <w:r w:rsidR="00BC3AE7" w:rsidRPr="0024604A">
        <w:rPr>
          <w:rFonts w:ascii="Calibri" w:hAnsi="Calibri"/>
          <w:lang w:val="en-GB"/>
        </w:rPr>
        <w:t>Next,</w:t>
      </w:r>
      <w:r w:rsidR="00086516" w:rsidRPr="0024604A">
        <w:rPr>
          <w:rFonts w:ascii="Calibri" w:hAnsi="Calibri"/>
          <w:lang w:val="en-GB"/>
        </w:rPr>
        <w:t xml:space="preserve"> we used the </w:t>
      </w:r>
      <w:r w:rsidR="00460E02" w:rsidRPr="0024604A">
        <w:rPr>
          <w:rFonts w:ascii="Calibri" w:hAnsi="Calibri"/>
          <w:lang w:val="en-GB"/>
        </w:rPr>
        <w:t xml:space="preserve">cognitive delay </w:t>
      </w:r>
      <w:r w:rsidR="004E43A1" w:rsidRPr="0024604A">
        <w:rPr>
          <w:rFonts w:ascii="Calibri" w:hAnsi="Calibri"/>
          <w:lang w:val="en-GB"/>
        </w:rPr>
        <w:t xml:space="preserve">status </w:t>
      </w:r>
      <w:r w:rsidR="00460E02" w:rsidRPr="0024604A">
        <w:rPr>
          <w:rFonts w:ascii="Calibri" w:hAnsi="Calibri"/>
          <w:lang w:val="en-GB"/>
        </w:rPr>
        <w:t xml:space="preserve">to try </w:t>
      </w:r>
      <w:r w:rsidR="000602CD" w:rsidRPr="0024604A">
        <w:rPr>
          <w:rFonts w:ascii="Calibri" w:hAnsi="Calibri"/>
          <w:lang w:val="en-GB"/>
        </w:rPr>
        <w:t>to</w:t>
      </w:r>
      <w:r w:rsidR="00086516" w:rsidRPr="0024604A">
        <w:rPr>
          <w:rFonts w:ascii="Calibri" w:hAnsi="Calibri"/>
          <w:lang w:val="en-GB"/>
        </w:rPr>
        <w:t xml:space="preserve"> </w:t>
      </w:r>
      <w:r w:rsidR="005F65F4" w:rsidRPr="0024604A">
        <w:rPr>
          <w:rFonts w:ascii="Calibri" w:hAnsi="Calibri"/>
          <w:lang w:val="en-GB"/>
        </w:rPr>
        <w:t>discriminat</w:t>
      </w:r>
      <w:r w:rsidR="000602CD" w:rsidRPr="0024604A">
        <w:rPr>
          <w:rFonts w:ascii="Calibri" w:hAnsi="Calibri"/>
          <w:lang w:val="en-GB"/>
        </w:rPr>
        <w:t>e</w:t>
      </w:r>
      <w:r w:rsidR="005F65F4" w:rsidRPr="0024604A">
        <w:rPr>
          <w:rFonts w:ascii="Calibri" w:hAnsi="Calibri"/>
          <w:lang w:val="en-GB"/>
        </w:rPr>
        <w:t xml:space="preserve"> </w:t>
      </w:r>
      <w:r w:rsidR="008F0F88" w:rsidRPr="0024604A">
        <w:rPr>
          <w:rFonts w:ascii="Calibri" w:hAnsi="Calibri"/>
          <w:lang w:val="en-GB"/>
        </w:rPr>
        <w:t>between ASD affected child</w:t>
      </w:r>
      <w:r w:rsidR="005F65F4" w:rsidRPr="0024604A">
        <w:rPr>
          <w:rFonts w:ascii="Calibri" w:hAnsi="Calibri"/>
          <w:lang w:val="en-GB"/>
        </w:rPr>
        <w:t>ren</w:t>
      </w:r>
      <w:r w:rsidR="008F0F88" w:rsidRPr="0024604A">
        <w:rPr>
          <w:rFonts w:ascii="Calibri" w:hAnsi="Calibri"/>
          <w:lang w:val="en-GB"/>
        </w:rPr>
        <w:t xml:space="preserve"> with or without </w:t>
      </w:r>
      <w:r w:rsidR="005F65F4" w:rsidRPr="0024604A">
        <w:rPr>
          <w:rFonts w:ascii="Calibri" w:hAnsi="Calibri"/>
          <w:lang w:val="en-GB"/>
        </w:rPr>
        <w:t>pathology</w:t>
      </w:r>
      <w:r w:rsidR="008F0F88" w:rsidRPr="0024604A">
        <w:rPr>
          <w:rFonts w:ascii="Calibri" w:hAnsi="Calibri"/>
          <w:lang w:val="en-GB"/>
        </w:rPr>
        <w:t xml:space="preserve"> (i.e</w:t>
      </w:r>
      <w:r w:rsidR="00086516" w:rsidRPr="0024604A">
        <w:rPr>
          <w:rFonts w:ascii="Calibri" w:hAnsi="Calibri"/>
          <w:lang w:val="en-GB"/>
        </w:rPr>
        <w:t>.</w:t>
      </w:r>
      <w:r w:rsidR="008F0F88" w:rsidRPr="0024604A">
        <w:rPr>
          <w:rFonts w:ascii="Calibri" w:hAnsi="Calibri"/>
          <w:lang w:val="en-GB"/>
        </w:rPr>
        <w:t>, 13 cognitive delayed ASD affected child</w:t>
      </w:r>
      <w:r w:rsidR="005F65F4" w:rsidRPr="0024604A">
        <w:rPr>
          <w:rFonts w:ascii="Calibri" w:hAnsi="Calibri"/>
          <w:lang w:val="en-GB"/>
        </w:rPr>
        <w:t>ren</w:t>
      </w:r>
      <w:r w:rsidR="008F0F88" w:rsidRPr="0024604A">
        <w:rPr>
          <w:rFonts w:ascii="Calibri" w:hAnsi="Calibri"/>
          <w:lang w:val="en-GB"/>
        </w:rPr>
        <w:t xml:space="preserve"> </w:t>
      </w:r>
      <w:r w:rsidR="008F0F88" w:rsidRPr="0024604A">
        <w:rPr>
          <w:rFonts w:ascii="Calibri" w:hAnsi="Calibri"/>
          <w:i/>
          <w:iCs/>
          <w:lang w:val="en-GB"/>
        </w:rPr>
        <w:t>vs</w:t>
      </w:r>
      <w:r w:rsidR="008F0F88" w:rsidRPr="0024604A">
        <w:rPr>
          <w:rFonts w:ascii="Calibri" w:hAnsi="Calibri"/>
          <w:lang w:val="en-GB"/>
        </w:rPr>
        <w:t xml:space="preserve"> 23 ASD affected child</w:t>
      </w:r>
      <w:r w:rsidR="005F65F4" w:rsidRPr="0024604A">
        <w:rPr>
          <w:rFonts w:ascii="Calibri" w:hAnsi="Calibri"/>
          <w:lang w:val="en-GB"/>
        </w:rPr>
        <w:t>ren</w:t>
      </w:r>
      <w:r w:rsidR="008F0F88" w:rsidRPr="0024604A">
        <w:rPr>
          <w:rFonts w:ascii="Calibri" w:hAnsi="Calibri"/>
          <w:lang w:val="en-GB"/>
        </w:rPr>
        <w:t xml:space="preserve"> without cognitive delay)</w:t>
      </w:r>
      <w:r w:rsidR="00512AB3" w:rsidRPr="0024604A">
        <w:rPr>
          <w:rFonts w:ascii="Calibri" w:hAnsi="Calibri"/>
          <w:lang w:val="en-GB"/>
        </w:rPr>
        <w:t>.</w:t>
      </w:r>
      <w:r w:rsidR="00460E02" w:rsidRPr="0024604A">
        <w:rPr>
          <w:rFonts w:ascii="Calibri" w:hAnsi="Calibri"/>
          <w:lang w:val="en-GB"/>
        </w:rPr>
        <w:t xml:space="preserve"> </w:t>
      </w:r>
      <w:r w:rsidR="00BC1832" w:rsidRPr="0024604A">
        <w:rPr>
          <w:rFonts w:ascii="Calibri" w:hAnsi="Calibri"/>
          <w:lang w:val="en-GB"/>
        </w:rPr>
        <w:t>Yet</w:t>
      </w:r>
      <w:r w:rsidR="00460E02" w:rsidRPr="0024604A">
        <w:rPr>
          <w:rFonts w:ascii="Calibri" w:hAnsi="Calibri"/>
          <w:lang w:val="en-GB"/>
        </w:rPr>
        <w:t xml:space="preserve">, </w:t>
      </w:r>
      <w:r w:rsidR="008F0F88" w:rsidRPr="0024604A">
        <w:rPr>
          <w:rFonts w:ascii="Calibri" w:hAnsi="Calibri"/>
          <w:lang w:val="en-GB"/>
        </w:rPr>
        <w:t xml:space="preserve">no significant discriminant power was </w:t>
      </w:r>
      <w:r w:rsidR="00512AB3" w:rsidRPr="0024604A">
        <w:rPr>
          <w:rFonts w:ascii="Calibri" w:hAnsi="Calibri"/>
          <w:lang w:val="en-GB"/>
        </w:rPr>
        <w:t>statistically obtained</w:t>
      </w:r>
      <w:r w:rsidR="008F0F88" w:rsidRPr="0024604A">
        <w:rPr>
          <w:rFonts w:ascii="Calibri" w:hAnsi="Calibri"/>
          <w:lang w:val="en-GB"/>
        </w:rPr>
        <w:t>.</w:t>
      </w:r>
      <w:r w:rsidR="00C7131D" w:rsidRPr="0024604A">
        <w:rPr>
          <w:rFonts w:ascii="Calibri" w:hAnsi="Calibri"/>
          <w:lang w:val="en-GB"/>
        </w:rPr>
        <w:t xml:space="preserve"> </w:t>
      </w:r>
      <w:r w:rsidR="00F0604E" w:rsidRPr="0024604A">
        <w:rPr>
          <w:rFonts w:ascii="Calibri" w:hAnsi="Calibri"/>
          <w:lang w:val="en-GB"/>
        </w:rPr>
        <w:t>T</w:t>
      </w:r>
      <w:r w:rsidR="00CF1C2D" w:rsidRPr="0024604A">
        <w:rPr>
          <w:rFonts w:ascii="Calibri" w:hAnsi="Calibri"/>
          <w:lang w:val="en-GB"/>
        </w:rPr>
        <w:t>he</w:t>
      </w:r>
      <w:r w:rsidR="00C7131D" w:rsidRPr="0024604A">
        <w:rPr>
          <w:rFonts w:ascii="Calibri" w:hAnsi="Calibri"/>
          <w:lang w:val="en-GB"/>
        </w:rPr>
        <w:t xml:space="preserve"> whole</w:t>
      </w:r>
      <w:r w:rsidR="00CF1C2D" w:rsidRPr="0024604A">
        <w:rPr>
          <w:rFonts w:ascii="Calibri" w:hAnsi="Calibri"/>
          <w:lang w:val="en-GB"/>
        </w:rPr>
        <w:t xml:space="preserve"> data set </w:t>
      </w:r>
      <w:r w:rsidR="00C7131D" w:rsidRPr="0024604A">
        <w:rPr>
          <w:rFonts w:ascii="Calibri" w:hAnsi="Calibri"/>
          <w:lang w:val="en-GB"/>
        </w:rPr>
        <w:t>was later</w:t>
      </w:r>
      <w:r w:rsidR="00CF1C2D" w:rsidRPr="0024604A">
        <w:rPr>
          <w:rFonts w:ascii="Calibri" w:hAnsi="Calibri"/>
          <w:lang w:val="en-GB"/>
        </w:rPr>
        <w:t xml:space="preserve"> modelled by PLS-DA taking the gender as classifier</w:t>
      </w:r>
      <w:r w:rsidR="00F0604E" w:rsidRPr="0024604A">
        <w:rPr>
          <w:rFonts w:ascii="Calibri" w:hAnsi="Calibri"/>
          <w:lang w:val="en-GB"/>
        </w:rPr>
        <w:t xml:space="preserve"> to </w:t>
      </w:r>
      <w:r w:rsidR="005F65F4" w:rsidRPr="0024604A">
        <w:rPr>
          <w:rFonts w:ascii="Calibri" w:hAnsi="Calibri"/>
          <w:lang w:val="en-GB"/>
        </w:rPr>
        <w:t>understand the importance of this variable</w:t>
      </w:r>
      <w:r w:rsidR="00CF1C2D" w:rsidRPr="0024604A">
        <w:rPr>
          <w:rFonts w:ascii="Calibri" w:hAnsi="Calibri"/>
          <w:lang w:val="en-GB"/>
        </w:rPr>
        <w:t xml:space="preserve">. </w:t>
      </w:r>
      <w:r w:rsidR="001653F3" w:rsidRPr="0024604A">
        <w:rPr>
          <w:rFonts w:ascii="Calibri" w:hAnsi="Calibri"/>
          <w:lang w:val="en-GB"/>
        </w:rPr>
        <w:t xml:space="preserve">Note that </w:t>
      </w:r>
      <w:r w:rsidR="00CF1C2D" w:rsidRPr="0024604A">
        <w:rPr>
          <w:rFonts w:ascii="Calibri" w:hAnsi="Calibri"/>
          <w:lang w:val="en-GB"/>
        </w:rPr>
        <w:t>a significant limitation is present</w:t>
      </w:r>
      <w:r w:rsidR="00512AB3" w:rsidRPr="0024604A">
        <w:rPr>
          <w:rFonts w:ascii="Calibri" w:hAnsi="Calibri"/>
          <w:lang w:val="en-GB"/>
        </w:rPr>
        <w:t xml:space="preserve"> </w:t>
      </w:r>
      <w:r w:rsidR="001653F3" w:rsidRPr="0024604A">
        <w:rPr>
          <w:rFonts w:ascii="Calibri" w:hAnsi="Calibri"/>
          <w:lang w:val="en-GB"/>
        </w:rPr>
        <w:t xml:space="preserve">in the data set </w:t>
      </w:r>
      <w:r w:rsidR="00512AB3" w:rsidRPr="0024604A">
        <w:rPr>
          <w:rFonts w:ascii="Calibri" w:hAnsi="Calibri"/>
          <w:lang w:val="en-GB"/>
        </w:rPr>
        <w:t>since</w:t>
      </w:r>
      <w:r w:rsidR="00CF1C2D" w:rsidRPr="0024604A">
        <w:rPr>
          <w:rFonts w:ascii="Calibri" w:hAnsi="Calibri"/>
          <w:lang w:val="en-GB"/>
        </w:rPr>
        <w:t xml:space="preserve"> </w:t>
      </w:r>
      <w:r w:rsidR="00EB51C6" w:rsidRPr="0024604A">
        <w:rPr>
          <w:rFonts w:ascii="Calibri" w:hAnsi="Calibri"/>
          <w:lang w:val="en-GB"/>
        </w:rPr>
        <w:t xml:space="preserve">there was a skew in the patient group with </w:t>
      </w:r>
      <w:r w:rsidR="00CF1C2D" w:rsidRPr="0024604A">
        <w:rPr>
          <w:rFonts w:ascii="Calibri" w:hAnsi="Calibri"/>
          <w:lang w:val="en-GB"/>
        </w:rPr>
        <w:t xml:space="preserve">less than the 25% of </w:t>
      </w:r>
      <w:r w:rsidR="00FF3AF7" w:rsidRPr="0024604A">
        <w:rPr>
          <w:rFonts w:ascii="Calibri" w:hAnsi="Calibri"/>
          <w:lang w:val="en-GB"/>
        </w:rPr>
        <w:t xml:space="preserve">female </w:t>
      </w:r>
      <w:r w:rsidR="00CF1C2D" w:rsidRPr="0024604A">
        <w:rPr>
          <w:rFonts w:ascii="Calibri" w:hAnsi="Calibri"/>
          <w:lang w:val="en-GB"/>
        </w:rPr>
        <w:t>subject</w:t>
      </w:r>
      <w:r w:rsidR="005F65F4" w:rsidRPr="0024604A">
        <w:rPr>
          <w:rFonts w:ascii="Calibri" w:hAnsi="Calibri"/>
          <w:lang w:val="en-GB"/>
        </w:rPr>
        <w:t>s</w:t>
      </w:r>
      <w:r w:rsidR="00CF1C2D" w:rsidRPr="0024604A">
        <w:rPr>
          <w:rFonts w:ascii="Calibri" w:hAnsi="Calibri"/>
          <w:lang w:val="en-GB"/>
        </w:rPr>
        <w:t xml:space="preserve"> and, among them, only five </w:t>
      </w:r>
      <w:r w:rsidR="001653F3" w:rsidRPr="0024604A">
        <w:rPr>
          <w:rFonts w:ascii="Calibri" w:hAnsi="Calibri"/>
          <w:lang w:val="en-GB"/>
        </w:rPr>
        <w:t xml:space="preserve">ASD </w:t>
      </w:r>
      <w:r w:rsidR="00B57205" w:rsidRPr="0024604A">
        <w:rPr>
          <w:rFonts w:ascii="Calibri" w:hAnsi="Calibri"/>
          <w:lang w:val="en-GB"/>
        </w:rPr>
        <w:t>children</w:t>
      </w:r>
      <w:r w:rsidR="00CF1C2D" w:rsidRPr="0024604A">
        <w:rPr>
          <w:rFonts w:ascii="Calibri" w:hAnsi="Calibri"/>
          <w:lang w:val="en-GB"/>
        </w:rPr>
        <w:t xml:space="preserve">. </w:t>
      </w:r>
      <w:r w:rsidR="00512AB3" w:rsidRPr="0024604A">
        <w:rPr>
          <w:rFonts w:ascii="Calibri" w:hAnsi="Calibri"/>
          <w:lang w:val="en-GB"/>
        </w:rPr>
        <w:t>The present r</w:t>
      </w:r>
      <w:r w:rsidR="00CF1C2D" w:rsidRPr="0024604A">
        <w:rPr>
          <w:rFonts w:ascii="Calibri" w:hAnsi="Calibri"/>
          <w:lang w:val="en-GB"/>
        </w:rPr>
        <w:t xml:space="preserve">esults </w:t>
      </w:r>
      <w:r w:rsidR="00E552BB" w:rsidRPr="0024604A">
        <w:rPr>
          <w:rFonts w:ascii="Calibri" w:hAnsi="Calibri"/>
          <w:lang w:val="en-GB"/>
        </w:rPr>
        <w:t>demonstrate</w:t>
      </w:r>
      <w:r w:rsidR="00CF1C2D" w:rsidRPr="0024604A">
        <w:rPr>
          <w:rFonts w:ascii="Calibri" w:hAnsi="Calibri"/>
          <w:lang w:val="en-GB"/>
        </w:rPr>
        <w:t xml:space="preserve"> that the metabolic differences between </w:t>
      </w:r>
      <w:r w:rsidR="000602CD" w:rsidRPr="0024604A">
        <w:rPr>
          <w:rFonts w:ascii="Calibri" w:hAnsi="Calibri"/>
          <w:lang w:val="en-GB"/>
        </w:rPr>
        <w:t xml:space="preserve">the </w:t>
      </w:r>
      <w:r w:rsidR="00CF1C2D" w:rsidRPr="0024604A">
        <w:rPr>
          <w:rFonts w:ascii="Calibri" w:hAnsi="Calibri"/>
          <w:lang w:val="en-GB"/>
        </w:rPr>
        <w:t>two genders were not significant</w:t>
      </w:r>
      <w:r w:rsidR="00512AB3" w:rsidRPr="0024604A">
        <w:rPr>
          <w:rFonts w:ascii="Calibri" w:hAnsi="Calibri"/>
          <w:lang w:val="en-GB"/>
        </w:rPr>
        <w:t xml:space="preserve"> (see </w:t>
      </w:r>
      <w:r w:rsidR="00512AB3" w:rsidRPr="0024604A">
        <w:rPr>
          <w:rFonts w:ascii="Calibri" w:hAnsi="Calibri"/>
          <w:bCs/>
          <w:lang w:val="en-GB"/>
        </w:rPr>
        <w:t xml:space="preserve">level scaled data of </w:t>
      </w:r>
      <w:r w:rsidR="00512AB3" w:rsidRPr="0024604A">
        <w:rPr>
          <w:rFonts w:ascii="Calibri" w:hAnsi="Calibri"/>
          <w:b/>
          <w:lang w:val="en-GB"/>
        </w:rPr>
        <w:t xml:space="preserve">Figure </w:t>
      </w:r>
      <w:r w:rsidR="00A140DB" w:rsidRPr="0024604A">
        <w:rPr>
          <w:rFonts w:ascii="Calibri" w:hAnsi="Calibri"/>
          <w:b/>
          <w:lang w:val="en-GB"/>
        </w:rPr>
        <w:t>S4C</w:t>
      </w:r>
      <w:r w:rsidR="00512AB3" w:rsidRPr="0024604A">
        <w:rPr>
          <w:rFonts w:ascii="Calibri" w:hAnsi="Calibri"/>
          <w:lang w:val="en-GB"/>
        </w:rPr>
        <w:t>)</w:t>
      </w:r>
      <w:r w:rsidR="00CF1C2D" w:rsidRPr="0024604A">
        <w:rPr>
          <w:rFonts w:ascii="Calibri" w:hAnsi="Calibri"/>
          <w:lang w:val="en-GB"/>
        </w:rPr>
        <w:t xml:space="preserve">. </w:t>
      </w:r>
      <w:r w:rsidR="00512AB3" w:rsidRPr="0024604A">
        <w:rPr>
          <w:rFonts w:ascii="Calibri" w:hAnsi="Calibri"/>
          <w:lang w:val="en-GB"/>
        </w:rPr>
        <w:t>B</w:t>
      </w:r>
      <w:r w:rsidR="009B119E" w:rsidRPr="0024604A">
        <w:rPr>
          <w:rFonts w:ascii="Calibri" w:hAnsi="Calibri"/>
          <w:lang w:val="en-GB"/>
        </w:rPr>
        <w:t xml:space="preserve">eing present </w:t>
      </w:r>
      <w:r w:rsidR="00CF1C2D" w:rsidRPr="0024604A">
        <w:rPr>
          <w:rFonts w:ascii="Calibri" w:hAnsi="Calibri"/>
          <w:lang w:val="en-GB"/>
        </w:rPr>
        <w:t xml:space="preserve">a large difference in the age </w:t>
      </w:r>
      <w:r w:rsidR="005F65F4" w:rsidRPr="0024604A">
        <w:rPr>
          <w:rFonts w:ascii="Calibri" w:hAnsi="Calibri"/>
          <w:lang w:val="en-GB"/>
        </w:rPr>
        <w:t>of investigated subjects</w:t>
      </w:r>
      <w:r w:rsidR="00CF1C2D" w:rsidRPr="0024604A">
        <w:rPr>
          <w:rFonts w:ascii="Calibri" w:hAnsi="Calibri"/>
          <w:lang w:val="en-GB"/>
        </w:rPr>
        <w:t>,</w:t>
      </w:r>
      <w:r w:rsidR="009B119E" w:rsidRPr="0024604A">
        <w:rPr>
          <w:rFonts w:ascii="Calibri" w:hAnsi="Calibri"/>
          <w:lang w:val="en-GB"/>
        </w:rPr>
        <w:t xml:space="preserve"> they </w:t>
      </w:r>
      <w:r w:rsidR="00CF1C2D" w:rsidRPr="0024604A">
        <w:rPr>
          <w:rFonts w:ascii="Calibri" w:hAnsi="Calibri"/>
          <w:lang w:val="en-GB"/>
        </w:rPr>
        <w:t xml:space="preserve">were </w:t>
      </w:r>
      <w:r w:rsidR="009B119E" w:rsidRPr="0024604A">
        <w:rPr>
          <w:rFonts w:ascii="Calibri" w:hAnsi="Calibri"/>
          <w:lang w:val="en-GB"/>
        </w:rPr>
        <w:t>groupe</w:t>
      </w:r>
      <w:r w:rsidR="00CF1C2D" w:rsidRPr="0024604A">
        <w:rPr>
          <w:rFonts w:ascii="Calibri" w:hAnsi="Calibri"/>
          <w:lang w:val="en-GB"/>
        </w:rPr>
        <w:t xml:space="preserve">d in three </w:t>
      </w:r>
      <w:r w:rsidR="00CF1C2D" w:rsidRPr="0024604A">
        <w:rPr>
          <w:rFonts w:ascii="Calibri" w:hAnsi="Calibri"/>
          <w:lang w:val="en-GB"/>
        </w:rPr>
        <w:lastRenderedPageBreak/>
        <w:t>ranges: A) 3-</w:t>
      </w:r>
      <w:r w:rsidR="00E552BB" w:rsidRPr="0024604A">
        <w:rPr>
          <w:rFonts w:ascii="Calibri" w:hAnsi="Calibri"/>
          <w:lang w:val="en-GB"/>
        </w:rPr>
        <w:t>6</w:t>
      </w:r>
      <w:r w:rsidR="00CF1C2D" w:rsidRPr="0024604A">
        <w:rPr>
          <w:rFonts w:ascii="Calibri" w:hAnsi="Calibri"/>
          <w:lang w:val="en-GB"/>
        </w:rPr>
        <w:t xml:space="preserve">, B) </w:t>
      </w:r>
      <w:r w:rsidR="00E552BB" w:rsidRPr="0024604A">
        <w:rPr>
          <w:rFonts w:ascii="Calibri" w:hAnsi="Calibri"/>
          <w:lang w:val="en-GB"/>
        </w:rPr>
        <w:t>7</w:t>
      </w:r>
      <w:r w:rsidR="00CF1C2D" w:rsidRPr="0024604A">
        <w:rPr>
          <w:rFonts w:ascii="Calibri" w:hAnsi="Calibri"/>
          <w:lang w:val="en-GB"/>
        </w:rPr>
        <w:t>-1</w:t>
      </w:r>
      <w:r w:rsidR="00E552BB" w:rsidRPr="0024604A">
        <w:rPr>
          <w:rFonts w:ascii="Calibri" w:hAnsi="Calibri"/>
          <w:lang w:val="en-GB"/>
        </w:rPr>
        <w:t>2</w:t>
      </w:r>
      <w:r w:rsidR="00CF1C2D" w:rsidRPr="0024604A">
        <w:rPr>
          <w:rFonts w:ascii="Calibri" w:hAnsi="Calibri"/>
          <w:lang w:val="en-GB"/>
        </w:rPr>
        <w:t>, C) 1</w:t>
      </w:r>
      <w:r w:rsidR="00E552BB" w:rsidRPr="0024604A">
        <w:rPr>
          <w:rFonts w:ascii="Calibri" w:hAnsi="Calibri"/>
          <w:lang w:val="en-GB"/>
        </w:rPr>
        <w:t>3</w:t>
      </w:r>
      <w:r w:rsidR="00CF1C2D" w:rsidRPr="0024604A">
        <w:rPr>
          <w:rFonts w:ascii="Calibri" w:hAnsi="Calibri"/>
          <w:lang w:val="en-GB"/>
        </w:rPr>
        <w:t xml:space="preserve">-17. </w:t>
      </w:r>
      <w:r w:rsidR="009B119E" w:rsidRPr="0024604A">
        <w:rPr>
          <w:rFonts w:ascii="Calibri" w:hAnsi="Calibri"/>
          <w:lang w:val="en-GB"/>
        </w:rPr>
        <w:t xml:space="preserve">Apparently, </w:t>
      </w:r>
      <w:r w:rsidR="00CF1C2D" w:rsidRPr="0024604A">
        <w:rPr>
          <w:rFonts w:ascii="Calibri" w:hAnsi="Calibri"/>
          <w:lang w:val="en-GB"/>
        </w:rPr>
        <w:t>PLS-DA model</w:t>
      </w:r>
      <w:r w:rsidR="00EB51C6" w:rsidRPr="0024604A">
        <w:rPr>
          <w:rFonts w:ascii="Calibri" w:hAnsi="Calibri"/>
          <w:lang w:val="en-GB"/>
        </w:rPr>
        <w:t>s</w:t>
      </w:r>
      <w:r w:rsidR="00CF1C2D" w:rsidRPr="0024604A">
        <w:rPr>
          <w:rFonts w:ascii="Calibri" w:hAnsi="Calibri"/>
          <w:lang w:val="en-GB"/>
        </w:rPr>
        <w:t xml:space="preserve"> showed better predictive power</w:t>
      </w:r>
      <w:r w:rsidR="009B119E" w:rsidRPr="0024604A">
        <w:rPr>
          <w:rFonts w:ascii="Calibri" w:hAnsi="Calibri"/>
          <w:lang w:val="en-GB"/>
        </w:rPr>
        <w:t xml:space="preserve">, </w:t>
      </w:r>
      <w:r w:rsidR="00EB51C6" w:rsidRPr="0024604A">
        <w:rPr>
          <w:rFonts w:ascii="Calibri" w:hAnsi="Calibri"/>
          <w:lang w:val="en-GB"/>
        </w:rPr>
        <w:t xml:space="preserve">however </w:t>
      </w:r>
      <w:r w:rsidR="009B119E" w:rsidRPr="0024604A">
        <w:rPr>
          <w:rFonts w:ascii="Calibri" w:hAnsi="Calibri"/>
          <w:lang w:val="en-GB"/>
        </w:rPr>
        <w:t xml:space="preserve">it was </w:t>
      </w:r>
      <w:r w:rsidR="00CF1C2D" w:rsidRPr="0024604A">
        <w:rPr>
          <w:rFonts w:ascii="Calibri" w:hAnsi="Calibri"/>
          <w:lang w:val="en-GB"/>
        </w:rPr>
        <w:t xml:space="preserve">still </w:t>
      </w:r>
      <w:r w:rsidR="00EB51C6" w:rsidRPr="0024604A">
        <w:rPr>
          <w:rFonts w:ascii="Calibri" w:hAnsi="Calibri"/>
          <w:lang w:val="en-GB"/>
        </w:rPr>
        <w:t xml:space="preserve">clearly </w:t>
      </w:r>
      <w:r w:rsidR="00CF1C2D" w:rsidRPr="0024604A">
        <w:rPr>
          <w:rFonts w:ascii="Calibri" w:hAnsi="Calibri"/>
          <w:lang w:val="en-GB"/>
        </w:rPr>
        <w:t>not enough</w:t>
      </w:r>
      <w:r w:rsidR="009B119E" w:rsidRPr="0024604A">
        <w:rPr>
          <w:rFonts w:ascii="Calibri" w:hAnsi="Calibri"/>
          <w:lang w:val="en-GB"/>
        </w:rPr>
        <w:t xml:space="preserve"> to discriminate among lipidomics data (see PLS-DA on </w:t>
      </w:r>
      <w:r w:rsidR="005A4B7F" w:rsidRPr="0024604A">
        <w:rPr>
          <w:rFonts w:ascii="Calibri" w:hAnsi="Calibri"/>
          <w:lang w:val="en-GB"/>
        </w:rPr>
        <w:t>log</w:t>
      </w:r>
      <w:r w:rsidR="005A4B7F" w:rsidRPr="0024604A">
        <w:rPr>
          <w:rFonts w:ascii="Calibri" w:hAnsi="Calibri"/>
          <w:vertAlign w:val="subscript"/>
          <w:lang w:val="en-GB"/>
        </w:rPr>
        <w:t>10</w:t>
      </w:r>
      <w:r w:rsidR="005A4B7F" w:rsidRPr="0024604A">
        <w:rPr>
          <w:rFonts w:ascii="Calibri" w:hAnsi="Calibri"/>
          <w:lang w:val="en-GB"/>
        </w:rPr>
        <w:t>-</w:t>
      </w:r>
      <w:r w:rsidR="009B119E" w:rsidRPr="0024604A">
        <w:rPr>
          <w:rFonts w:ascii="Calibri" w:hAnsi="Calibri"/>
          <w:lang w:val="en-GB"/>
        </w:rPr>
        <w:t xml:space="preserve">scaled data of </w:t>
      </w:r>
      <w:r w:rsidR="009B119E" w:rsidRPr="0024604A">
        <w:rPr>
          <w:rFonts w:ascii="Calibri" w:hAnsi="Calibri"/>
          <w:b/>
          <w:lang w:val="en-GB"/>
        </w:rPr>
        <w:t>Figure</w:t>
      </w:r>
      <w:r w:rsidR="009B119E" w:rsidRPr="0024604A">
        <w:rPr>
          <w:rFonts w:ascii="Calibri" w:hAnsi="Calibri"/>
          <w:lang w:val="en-GB"/>
        </w:rPr>
        <w:t xml:space="preserve"> </w:t>
      </w:r>
      <w:r w:rsidR="00A140DB" w:rsidRPr="0024604A">
        <w:rPr>
          <w:rFonts w:ascii="Calibri" w:hAnsi="Calibri"/>
          <w:b/>
          <w:lang w:val="en-GB"/>
        </w:rPr>
        <w:t xml:space="preserve">S4 </w:t>
      </w:r>
      <w:r w:rsidR="009B119E" w:rsidRPr="0024604A">
        <w:rPr>
          <w:rFonts w:ascii="Calibri" w:hAnsi="Calibri"/>
          <w:b/>
          <w:lang w:val="en-GB"/>
        </w:rPr>
        <w:t>D</w:t>
      </w:r>
      <w:r w:rsidR="009B119E" w:rsidRPr="0024604A">
        <w:rPr>
          <w:rFonts w:ascii="Calibri" w:hAnsi="Calibri"/>
          <w:lang w:val="en-GB"/>
        </w:rPr>
        <w:t>)</w:t>
      </w:r>
      <w:r w:rsidR="00CF1C2D" w:rsidRPr="0024604A">
        <w:rPr>
          <w:rFonts w:ascii="Calibri" w:hAnsi="Calibri"/>
          <w:lang w:val="en-GB"/>
        </w:rPr>
        <w:t xml:space="preserve">. </w:t>
      </w:r>
      <w:r w:rsidR="009B119E" w:rsidRPr="0024604A">
        <w:rPr>
          <w:rFonts w:ascii="Calibri" w:hAnsi="Calibri"/>
          <w:lang w:val="en-GB"/>
        </w:rPr>
        <w:t>Once again</w:t>
      </w:r>
      <w:r w:rsidR="00CF1C2D" w:rsidRPr="0024604A">
        <w:rPr>
          <w:rFonts w:ascii="Calibri" w:hAnsi="Calibri"/>
          <w:lang w:val="en-GB"/>
        </w:rPr>
        <w:t>, age was not a dominating variability source in our data set</w:t>
      </w:r>
      <w:r w:rsidR="009B119E" w:rsidRPr="0024604A">
        <w:rPr>
          <w:rFonts w:ascii="Calibri" w:hAnsi="Calibri"/>
          <w:lang w:val="en-GB"/>
        </w:rPr>
        <w:t xml:space="preserve">; the </w:t>
      </w:r>
      <w:r w:rsidR="00CF1C2D" w:rsidRPr="0024604A">
        <w:rPr>
          <w:rFonts w:ascii="Calibri" w:hAnsi="Calibri"/>
          <w:lang w:val="en-GB"/>
        </w:rPr>
        <w:t>lipid</w:t>
      </w:r>
      <w:r w:rsidR="009B119E" w:rsidRPr="0024604A">
        <w:rPr>
          <w:rFonts w:ascii="Calibri" w:hAnsi="Calibri"/>
          <w:lang w:val="en-GB"/>
        </w:rPr>
        <w:t xml:space="preserve">ic </w:t>
      </w:r>
      <w:r w:rsidR="00CF1C2D" w:rsidRPr="0024604A">
        <w:rPr>
          <w:rFonts w:ascii="Calibri" w:hAnsi="Calibri"/>
          <w:lang w:val="en-GB"/>
        </w:rPr>
        <w:t xml:space="preserve">profile </w:t>
      </w:r>
      <w:r w:rsidR="009B119E" w:rsidRPr="0024604A">
        <w:rPr>
          <w:rFonts w:ascii="Calibri" w:hAnsi="Calibri"/>
          <w:lang w:val="en-GB"/>
        </w:rPr>
        <w:t xml:space="preserve">of </w:t>
      </w:r>
      <w:r w:rsidR="00B452D5" w:rsidRPr="0024604A">
        <w:rPr>
          <w:rFonts w:ascii="Calibri" w:hAnsi="Calibri"/>
          <w:lang w:val="en-GB"/>
        </w:rPr>
        <w:t>PBMC</w:t>
      </w:r>
      <w:r w:rsidR="009B119E" w:rsidRPr="0024604A">
        <w:rPr>
          <w:rFonts w:ascii="Calibri" w:hAnsi="Calibri"/>
          <w:lang w:val="en-GB"/>
        </w:rPr>
        <w:t xml:space="preserve"> is seemingly </w:t>
      </w:r>
      <w:r w:rsidR="00CF1C2D" w:rsidRPr="0024604A">
        <w:rPr>
          <w:rFonts w:ascii="Calibri" w:hAnsi="Calibri"/>
          <w:lang w:val="en-GB"/>
        </w:rPr>
        <w:t>less important than other uncontrolled sources of variation.</w:t>
      </w:r>
      <w:r w:rsidR="00E552BB" w:rsidRPr="0024604A">
        <w:rPr>
          <w:rFonts w:ascii="Calibri" w:hAnsi="Calibri"/>
          <w:lang w:val="en-GB"/>
        </w:rPr>
        <w:t xml:space="preserve"> </w:t>
      </w:r>
    </w:p>
    <w:p w14:paraId="7A8793A7" w14:textId="77777777" w:rsidR="005F0DD2" w:rsidRPr="0024604A" w:rsidRDefault="005F0DD2" w:rsidP="00A35838">
      <w:pPr>
        <w:keepNext/>
        <w:widowControl w:val="0"/>
        <w:autoSpaceDE w:val="0"/>
        <w:autoSpaceDN w:val="0"/>
        <w:adjustRightInd w:val="0"/>
        <w:spacing w:line="480" w:lineRule="auto"/>
        <w:jc w:val="both"/>
        <w:rPr>
          <w:rFonts w:ascii="Calibri" w:hAnsi="Calibri"/>
          <w:lang w:val="en-GB"/>
        </w:rPr>
      </w:pPr>
    </w:p>
    <w:p w14:paraId="3480E1F1" w14:textId="0A2374CC" w:rsidR="001B0647" w:rsidRPr="0024604A" w:rsidRDefault="001B0647" w:rsidP="001B0647">
      <w:pPr>
        <w:autoSpaceDE w:val="0"/>
        <w:autoSpaceDN w:val="0"/>
        <w:adjustRightInd w:val="0"/>
        <w:spacing w:line="480" w:lineRule="auto"/>
        <w:jc w:val="both"/>
        <w:rPr>
          <w:rFonts w:ascii="Calibri" w:hAnsi="Calibri"/>
          <w:b/>
          <w:lang w:val="en-GB"/>
        </w:rPr>
      </w:pPr>
      <w:r w:rsidRPr="0024604A">
        <w:rPr>
          <w:rFonts w:ascii="Calibri" w:hAnsi="Calibri"/>
          <w:b/>
          <w:lang w:val="en-GB"/>
        </w:rPr>
        <w:t>3.2</w:t>
      </w:r>
      <w:r w:rsidRPr="0024604A">
        <w:rPr>
          <w:rFonts w:ascii="Calibri" w:hAnsi="Calibri"/>
          <w:lang w:val="en-GB"/>
        </w:rPr>
        <w:t>.</w:t>
      </w:r>
      <w:r w:rsidRPr="0024604A">
        <w:rPr>
          <w:rFonts w:ascii="Calibri" w:hAnsi="Calibri"/>
          <w:lang w:val="en-GB"/>
        </w:rPr>
        <w:tab/>
      </w:r>
      <w:r w:rsidRPr="0024604A">
        <w:rPr>
          <w:rFonts w:ascii="Calibri" w:hAnsi="Calibri"/>
          <w:b/>
          <w:lang w:val="en-GB"/>
        </w:rPr>
        <w:t>Data processing of Alex</w:t>
      </w:r>
      <w:r w:rsidRPr="0024604A">
        <w:rPr>
          <w:rFonts w:ascii="Calibri" w:hAnsi="Calibri"/>
          <w:b/>
          <w:vertAlign w:val="superscript"/>
          <w:lang w:val="en-GB"/>
        </w:rPr>
        <w:t>123</w:t>
      </w:r>
      <w:r w:rsidRPr="0024604A">
        <w:rPr>
          <w:rFonts w:ascii="Calibri" w:hAnsi="Calibri"/>
          <w:b/>
          <w:lang w:val="en-GB"/>
        </w:rPr>
        <w:t xml:space="preserve"> results. </w:t>
      </w:r>
    </w:p>
    <w:p w14:paraId="4F68A567" w14:textId="46CA1F0F" w:rsidR="001B0647" w:rsidRPr="0024604A" w:rsidRDefault="006135EF" w:rsidP="001B0647">
      <w:pPr>
        <w:autoSpaceDE w:val="0"/>
        <w:autoSpaceDN w:val="0"/>
        <w:adjustRightInd w:val="0"/>
        <w:spacing w:line="480" w:lineRule="auto"/>
        <w:jc w:val="both"/>
        <w:rPr>
          <w:rFonts w:ascii="Calibri" w:hAnsi="Calibri"/>
          <w:strike/>
          <w:lang w:val="en-GB"/>
        </w:rPr>
      </w:pPr>
      <w:r w:rsidRPr="0024604A">
        <w:rPr>
          <w:rFonts w:ascii="Calibri" w:hAnsi="Calibri"/>
          <w:lang w:val="en-GB"/>
        </w:rPr>
        <w:t xml:space="preserve">It is possible that if </w:t>
      </w:r>
      <w:r w:rsidR="001B0647" w:rsidRPr="0024604A">
        <w:rPr>
          <w:rFonts w:ascii="Calibri" w:hAnsi="Calibri"/>
          <w:lang w:val="en-GB"/>
        </w:rPr>
        <w:t xml:space="preserve">only </w:t>
      </w:r>
      <w:r w:rsidRPr="0024604A">
        <w:rPr>
          <w:rFonts w:ascii="Calibri" w:hAnsi="Calibri"/>
          <w:lang w:val="en-GB"/>
        </w:rPr>
        <w:t xml:space="preserve">a few </w:t>
      </w:r>
      <w:r w:rsidR="001B0647" w:rsidRPr="0024604A">
        <w:rPr>
          <w:rFonts w:ascii="Calibri" w:hAnsi="Calibri"/>
          <w:lang w:val="en-GB"/>
        </w:rPr>
        <w:t xml:space="preserve">lipid classes are involved in disease </w:t>
      </w:r>
      <w:r w:rsidR="005F65F4" w:rsidRPr="0024604A">
        <w:rPr>
          <w:rFonts w:ascii="Calibri" w:hAnsi="Calibri"/>
          <w:lang w:val="en-GB"/>
        </w:rPr>
        <w:t xml:space="preserve">the </w:t>
      </w:r>
      <w:r w:rsidR="001B0647" w:rsidRPr="0024604A">
        <w:rPr>
          <w:rFonts w:ascii="Calibri" w:hAnsi="Calibri"/>
          <w:lang w:val="en-GB"/>
        </w:rPr>
        <w:t>presence of uninformative variables result</w:t>
      </w:r>
      <w:r w:rsidR="005F65F4" w:rsidRPr="0024604A">
        <w:rPr>
          <w:rFonts w:ascii="Calibri" w:hAnsi="Calibri"/>
          <w:lang w:val="en-GB"/>
        </w:rPr>
        <w:t>s</w:t>
      </w:r>
      <w:r w:rsidR="001B0647" w:rsidRPr="0024604A">
        <w:rPr>
          <w:rFonts w:ascii="Calibri" w:hAnsi="Calibri"/>
          <w:lang w:val="en-GB"/>
        </w:rPr>
        <w:t xml:space="preserve"> in </w:t>
      </w:r>
      <w:r w:rsidR="005F65F4" w:rsidRPr="0024604A">
        <w:rPr>
          <w:rFonts w:ascii="Calibri" w:hAnsi="Calibri"/>
          <w:lang w:val="en-GB"/>
        </w:rPr>
        <w:t xml:space="preserve">increased noise and </w:t>
      </w:r>
      <w:r w:rsidR="001B0647" w:rsidRPr="0024604A">
        <w:rPr>
          <w:rFonts w:ascii="Calibri" w:hAnsi="Calibri"/>
          <w:lang w:val="en-GB"/>
        </w:rPr>
        <w:t>discrimination power</w:t>
      </w:r>
      <w:r w:rsidR="00DE51CD" w:rsidRPr="0024604A">
        <w:rPr>
          <w:rFonts w:ascii="Calibri" w:hAnsi="Calibri"/>
          <w:lang w:val="en-GB"/>
        </w:rPr>
        <w:t xml:space="preserve"> </w:t>
      </w:r>
      <w:r w:rsidRPr="0024604A">
        <w:rPr>
          <w:rFonts w:ascii="Calibri" w:hAnsi="Calibri"/>
          <w:lang w:val="en-GB"/>
        </w:rPr>
        <w:t xml:space="preserve">is </w:t>
      </w:r>
      <w:r w:rsidR="00DE51CD" w:rsidRPr="0024604A">
        <w:rPr>
          <w:rFonts w:ascii="Calibri" w:hAnsi="Calibri"/>
          <w:lang w:val="en-GB"/>
        </w:rPr>
        <w:t>los</w:t>
      </w:r>
      <w:r w:rsidRPr="0024604A">
        <w:rPr>
          <w:rFonts w:ascii="Calibri" w:hAnsi="Calibri"/>
          <w:lang w:val="en-GB"/>
        </w:rPr>
        <w:t>t</w:t>
      </w:r>
      <w:r w:rsidR="00E97118" w:rsidRPr="0024604A">
        <w:rPr>
          <w:rFonts w:ascii="Calibri" w:hAnsi="Calibri"/>
          <w:lang w:val="en-GB"/>
        </w:rPr>
        <w:t>: for example,</w:t>
      </w:r>
      <w:r w:rsidR="00DE51CD" w:rsidRPr="0024604A">
        <w:rPr>
          <w:rFonts w:ascii="Calibri" w:hAnsi="Calibri"/>
          <w:lang w:val="en-GB"/>
        </w:rPr>
        <w:t xml:space="preserve"> </w:t>
      </w:r>
      <w:r w:rsidR="00E97118" w:rsidRPr="0024604A">
        <w:rPr>
          <w:rFonts w:ascii="Calibri" w:hAnsi="Calibri"/>
          <w:lang w:val="en-GB"/>
        </w:rPr>
        <w:t xml:space="preserve">alterations only </w:t>
      </w:r>
      <w:r w:rsidR="001B0647" w:rsidRPr="0024604A">
        <w:rPr>
          <w:rFonts w:ascii="Calibri" w:hAnsi="Calibri"/>
          <w:lang w:val="en-GB"/>
        </w:rPr>
        <w:t xml:space="preserve">in </w:t>
      </w:r>
      <w:r w:rsidR="00E97118" w:rsidRPr="0024604A">
        <w:rPr>
          <w:rFonts w:ascii="Calibri" w:hAnsi="Calibri"/>
          <w:lang w:val="en-GB"/>
        </w:rPr>
        <w:t>amino</w:t>
      </w:r>
      <w:r w:rsidR="006D2437" w:rsidRPr="0024604A">
        <w:rPr>
          <w:rFonts w:ascii="Calibri" w:hAnsi="Calibri"/>
          <w:lang w:val="en-GB"/>
        </w:rPr>
        <w:t>-</w:t>
      </w:r>
      <w:r w:rsidR="00E97118" w:rsidRPr="0024604A">
        <w:rPr>
          <w:rFonts w:ascii="Calibri" w:hAnsi="Calibri"/>
          <w:lang w:val="en-GB"/>
        </w:rPr>
        <w:t xml:space="preserve">glycerophospholipids </w:t>
      </w:r>
      <w:r w:rsidR="00DE51CD" w:rsidRPr="0024604A">
        <w:rPr>
          <w:rFonts w:ascii="Calibri" w:hAnsi="Calibri"/>
          <w:lang w:val="en-GB"/>
        </w:rPr>
        <w:t xml:space="preserve">levels </w:t>
      </w:r>
      <w:r w:rsidR="005F65F4" w:rsidRPr="0024604A">
        <w:rPr>
          <w:rFonts w:ascii="Calibri" w:hAnsi="Calibri"/>
          <w:lang w:val="en-GB"/>
        </w:rPr>
        <w:t>(</w:t>
      </w:r>
      <w:r w:rsidR="00DE51CD" w:rsidRPr="0024604A">
        <w:rPr>
          <w:rFonts w:ascii="Calibri" w:hAnsi="Calibri"/>
          <w:lang w:val="en-GB"/>
        </w:rPr>
        <w:t xml:space="preserve">e.g., </w:t>
      </w:r>
      <w:r w:rsidR="005F65F4" w:rsidRPr="0024604A">
        <w:rPr>
          <w:rFonts w:ascii="Calibri" w:hAnsi="Calibri"/>
          <w:lang w:val="en-GB"/>
        </w:rPr>
        <w:t xml:space="preserve">phosphatidylethanolamine, PE and phosphatidylserine, PS) </w:t>
      </w:r>
      <w:r w:rsidR="001B0647" w:rsidRPr="0024604A">
        <w:rPr>
          <w:rFonts w:ascii="Calibri" w:hAnsi="Calibri"/>
          <w:lang w:val="en-GB"/>
        </w:rPr>
        <w:t>of children with autism have been reported</w:t>
      </w:r>
      <w:r w:rsidR="00E97118" w:rsidRPr="0024604A">
        <w:rPr>
          <w:rFonts w:ascii="Calibri" w:hAnsi="Calibri"/>
          <w:lang w:val="en-GB"/>
        </w:rPr>
        <w:t xml:space="preserve"> in plasma samples</w:t>
      </w:r>
      <w:r w:rsidR="001B0647" w:rsidRPr="0024604A">
        <w:rPr>
          <w:rFonts w:ascii="Calibri" w:hAnsi="Calibri"/>
          <w:lang w:val="en-GB"/>
        </w:rPr>
        <w:t xml:space="preserve"> </w:t>
      </w:r>
      <w:r w:rsidR="001B0647" w:rsidRPr="0024604A">
        <w:rPr>
          <w:rFonts w:ascii="Calibri" w:hAnsi="Calibri"/>
          <w:lang w:val="en-GB"/>
        </w:rPr>
        <w:fldChar w:fldCharType="begin" w:fldLock="1"/>
      </w:r>
      <w:r w:rsidR="006126E3" w:rsidRPr="0024604A">
        <w:rPr>
          <w:rFonts w:ascii="Calibri" w:hAnsi="Calibri"/>
          <w:lang w:val="en-GB"/>
        </w:rPr>
        <w:instrText>ADDIN CSL_CITATION {"citationItems":[{"id":"ITEM-1","itemData":{"DOI":"10.1016/j.lfs.2003.08.024","ISBN":"00243205","ISSN":"00243205","PMID":"14738907","abstract":"Currently, there is no biochemical test to assist in the behavioral diagnosis of autism. We observed that levels of phosphatidylethanolamine (PE) were decreased while phosphatidylserine (PS) were increased in the erythrocyte membranes of children with autism as compared to their non-autistic developmentally normal siblings. A new method using Trinitrobenezene sulfonic acid (TNBS) for the quantification of PE and PS (amino-glycerophospholipids, i.e., AGP) in the plasma of children was developed and standardized. Wavelength scans of TNBS-PE and TNBS-PS complexes gave two peaks at 320 nm and 410 nm. When varying concentrations of PS and PE were used, a linear regression line was observed at 410 nm with TNBS. Using this assay, the levels of AGP were found to be significantly increased in the plasma of children with autism as compared to their non-autistic normal siblings. It is proposed that plasma AGP levels may function as a potential diagnostic marker for autism. © 2003 Elsevier Inc. All rights reserved.","author":[{"dropping-particle":"","family":"Chauhan","given":"Ved","non-dropping-particle":"","parse-names":false,"suffix":""},{"dropping-particle":"","family":"Chauhan","given":"Abha","non-dropping-particle":"","parse-names":false,"suffix":""},{"dropping-particle":"","family":"Cohen","given":"Ira L.","non-dropping-particle":"","parse-names":false,"suffix":""},{"dropping-particle":"","family":"Brown","given":"W. Ted","non-dropping-particle":"","parse-names":false,"suffix":""},{"dropping-particle":"","family":"Sheikh","given":"Ashfaq","non-dropping-particle":"","parse-names":false,"suffix":""}],"container-title":"Life Sciences","id":"ITEM-1","issue":"13","issued":{"date-parts":[["2004"]]},"page":"1635-1643","title":"Alteration in amino-glycerophospholipids levels in the plasma of children with autism: A potential biochemical diagnostic marker","type":"article-journal","volume":"74"},"uris":["http://www.mendeley.com/documents/?uuid=0a7b7091-005a-400e-a563-b66698f74ab1"]}],"mendeley":{"formattedCitation":"[46]","plainTextFormattedCitation":"[46]","previouslyFormattedCitation":"[46]"},"properties":{"noteIndex":0},"schema":"https://github.com/citation-style-language/schema/raw/master/csl-citation.json"}</w:instrText>
      </w:r>
      <w:r w:rsidR="001B0647" w:rsidRPr="0024604A">
        <w:rPr>
          <w:rFonts w:ascii="Calibri" w:hAnsi="Calibri"/>
          <w:lang w:val="en-GB"/>
        </w:rPr>
        <w:fldChar w:fldCharType="separate"/>
      </w:r>
      <w:r w:rsidR="0089225B" w:rsidRPr="0024604A">
        <w:rPr>
          <w:rFonts w:ascii="Calibri" w:hAnsi="Calibri"/>
          <w:noProof/>
          <w:lang w:val="en-GB"/>
        </w:rPr>
        <w:t>[46]</w:t>
      </w:r>
      <w:r w:rsidR="001B0647" w:rsidRPr="0024604A">
        <w:rPr>
          <w:rFonts w:ascii="Calibri" w:hAnsi="Calibri"/>
          <w:lang w:val="en-GB"/>
        </w:rPr>
        <w:fldChar w:fldCharType="end"/>
      </w:r>
      <w:r w:rsidR="00E97118" w:rsidRPr="0024604A">
        <w:rPr>
          <w:rFonts w:ascii="Calibri" w:hAnsi="Calibri"/>
          <w:lang w:val="en-GB"/>
        </w:rPr>
        <w:t xml:space="preserve">. </w:t>
      </w:r>
      <w:r w:rsidR="005F65F4" w:rsidRPr="0024604A">
        <w:rPr>
          <w:rFonts w:ascii="Calibri" w:hAnsi="Calibri"/>
          <w:lang w:val="en-GB"/>
        </w:rPr>
        <w:t>Although</w:t>
      </w:r>
      <w:r w:rsidR="001B0647" w:rsidRPr="0024604A">
        <w:rPr>
          <w:rFonts w:ascii="Calibri" w:hAnsi="Calibri"/>
          <w:lang w:val="en-GB"/>
        </w:rPr>
        <w:t xml:space="preserve"> XCMS </w:t>
      </w:r>
      <w:r w:rsidR="005F65F4" w:rsidRPr="0024604A">
        <w:rPr>
          <w:rFonts w:ascii="Calibri" w:hAnsi="Calibri"/>
          <w:lang w:val="en-GB"/>
        </w:rPr>
        <w:t>shows great advantage</w:t>
      </w:r>
      <w:r w:rsidR="00DE51CD" w:rsidRPr="0024604A">
        <w:rPr>
          <w:rFonts w:ascii="Calibri" w:hAnsi="Calibri"/>
          <w:lang w:val="en-GB"/>
        </w:rPr>
        <w:t>s</w:t>
      </w:r>
      <w:r w:rsidR="005F65F4" w:rsidRPr="0024604A">
        <w:rPr>
          <w:rFonts w:ascii="Calibri" w:hAnsi="Calibri"/>
          <w:lang w:val="en-GB"/>
        </w:rPr>
        <w:t xml:space="preserve"> </w:t>
      </w:r>
      <w:r w:rsidR="00DE51CD" w:rsidRPr="0024604A">
        <w:rPr>
          <w:rFonts w:ascii="Calibri" w:hAnsi="Calibri"/>
          <w:lang w:val="en-GB"/>
        </w:rPr>
        <w:t>for</w:t>
      </w:r>
      <w:r w:rsidR="005F65F4" w:rsidRPr="0024604A">
        <w:rPr>
          <w:rFonts w:ascii="Calibri" w:hAnsi="Calibri"/>
          <w:lang w:val="en-GB"/>
        </w:rPr>
        <w:t xml:space="preserve"> obtaining </w:t>
      </w:r>
      <w:r w:rsidR="00DE51CD" w:rsidRPr="0024604A">
        <w:rPr>
          <w:rFonts w:ascii="Calibri" w:hAnsi="Calibri"/>
          <w:lang w:val="en-GB"/>
        </w:rPr>
        <w:t xml:space="preserve">rapid elaborate data, the same </w:t>
      </w:r>
      <w:r w:rsidR="006D2437" w:rsidRPr="0024604A">
        <w:rPr>
          <w:rFonts w:ascii="Calibri" w:hAnsi="Calibri"/>
          <w:lang w:val="en-GB"/>
        </w:rPr>
        <w:t xml:space="preserve">is </w:t>
      </w:r>
      <w:r w:rsidR="00DE51CD" w:rsidRPr="0024604A">
        <w:rPr>
          <w:rFonts w:ascii="Calibri" w:hAnsi="Calibri"/>
          <w:lang w:val="en-GB"/>
        </w:rPr>
        <w:t xml:space="preserve">not true when there is the need to </w:t>
      </w:r>
      <w:r w:rsidR="00B57205" w:rsidRPr="0024604A">
        <w:rPr>
          <w:rFonts w:ascii="Calibri" w:hAnsi="Calibri"/>
          <w:lang w:val="en-GB"/>
        </w:rPr>
        <w:t>dismiss</w:t>
      </w:r>
      <w:r w:rsidR="00DE51CD" w:rsidRPr="0024604A">
        <w:rPr>
          <w:rFonts w:ascii="Calibri" w:hAnsi="Calibri"/>
          <w:lang w:val="en-GB"/>
        </w:rPr>
        <w:t xml:space="preserve"> </w:t>
      </w:r>
      <w:r w:rsidRPr="0024604A">
        <w:rPr>
          <w:rFonts w:ascii="Calibri" w:hAnsi="Calibri"/>
          <w:lang w:val="en-GB"/>
        </w:rPr>
        <w:t xml:space="preserve">certain </w:t>
      </w:r>
      <w:r w:rsidR="00DE51CD" w:rsidRPr="0024604A">
        <w:rPr>
          <w:rFonts w:ascii="Calibri" w:hAnsi="Calibri"/>
          <w:lang w:val="en-GB"/>
        </w:rPr>
        <w:t>lipid class</w:t>
      </w:r>
      <w:r w:rsidR="00B57205" w:rsidRPr="0024604A">
        <w:rPr>
          <w:rFonts w:ascii="Calibri" w:hAnsi="Calibri"/>
          <w:lang w:val="en-GB"/>
        </w:rPr>
        <w:t>es</w:t>
      </w:r>
      <w:r w:rsidR="001B0647" w:rsidRPr="0024604A">
        <w:rPr>
          <w:rFonts w:ascii="Calibri" w:hAnsi="Calibri"/>
          <w:lang w:val="en-GB"/>
        </w:rPr>
        <w:t xml:space="preserve">. </w:t>
      </w:r>
      <w:r w:rsidRPr="0024604A">
        <w:rPr>
          <w:rFonts w:ascii="Calibri" w:hAnsi="Calibri"/>
          <w:lang w:val="en-GB"/>
        </w:rPr>
        <w:t>In addition, a</w:t>
      </w:r>
      <w:r w:rsidR="00D454A7" w:rsidRPr="0024604A">
        <w:rPr>
          <w:rFonts w:ascii="Calibri" w:hAnsi="Calibri"/>
          <w:lang w:val="en-GB"/>
        </w:rPr>
        <w:t xml:space="preserve">nother issue </w:t>
      </w:r>
      <w:r w:rsidRPr="0024604A">
        <w:rPr>
          <w:rFonts w:ascii="Calibri" w:hAnsi="Calibri"/>
          <w:lang w:val="en-GB"/>
        </w:rPr>
        <w:t xml:space="preserve">with </w:t>
      </w:r>
      <w:r w:rsidR="00D454A7" w:rsidRPr="0024604A">
        <w:rPr>
          <w:rFonts w:ascii="Calibri" w:hAnsi="Calibri"/>
          <w:lang w:val="en-GB"/>
        </w:rPr>
        <w:t xml:space="preserve">the XCMS workflow is </w:t>
      </w:r>
      <w:r w:rsidRPr="0024604A">
        <w:rPr>
          <w:rFonts w:ascii="Calibri" w:hAnsi="Calibri"/>
          <w:lang w:val="en-GB"/>
        </w:rPr>
        <w:t xml:space="preserve">that it is likely to </w:t>
      </w:r>
      <w:r w:rsidR="00B57205" w:rsidRPr="0024604A">
        <w:rPr>
          <w:rFonts w:ascii="Calibri" w:hAnsi="Calibri"/>
          <w:lang w:val="en-GB"/>
        </w:rPr>
        <w:t>embrace</w:t>
      </w:r>
      <w:r w:rsidRPr="0024604A">
        <w:rPr>
          <w:rFonts w:ascii="Calibri" w:hAnsi="Calibri"/>
          <w:lang w:val="en-GB"/>
        </w:rPr>
        <w:t xml:space="preserve"> non</w:t>
      </w:r>
      <w:r w:rsidR="0045512D" w:rsidRPr="0024604A">
        <w:rPr>
          <w:rFonts w:ascii="Calibri" w:hAnsi="Calibri"/>
          <w:lang w:val="en-GB"/>
        </w:rPr>
        <w:t>-</w:t>
      </w:r>
      <w:r w:rsidR="001B0647" w:rsidRPr="0024604A">
        <w:rPr>
          <w:rFonts w:ascii="Calibri" w:hAnsi="Calibri"/>
          <w:lang w:val="en-GB"/>
        </w:rPr>
        <w:t xml:space="preserve">lipid related </w:t>
      </w:r>
      <w:r w:rsidR="00A140DB" w:rsidRPr="0024604A">
        <w:rPr>
          <w:rFonts w:ascii="Calibri" w:hAnsi="Calibri"/>
          <w:lang w:val="en-GB"/>
        </w:rPr>
        <w:t>species,</w:t>
      </w:r>
      <w:r w:rsidRPr="0024604A">
        <w:rPr>
          <w:rFonts w:ascii="Calibri" w:hAnsi="Calibri"/>
          <w:lang w:val="en-GB"/>
        </w:rPr>
        <w:t xml:space="preserve"> and these may also add noise into </w:t>
      </w:r>
      <w:r w:rsidR="00FF3AF7" w:rsidRPr="0024604A">
        <w:rPr>
          <w:rFonts w:ascii="Calibri" w:hAnsi="Calibri"/>
          <w:lang w:val="en-GB"/>
        </w:rPr>
        <w:t>raw data</w:t>
      </w:r>
      <w:r w:rsidR="001B0647" w:rsidRPr="0024604A">
        <w:rPr>
          <w:rFonts w:ascii="Calibri" w:hAnsi="Calibri"/>
          <w:lang w:val="en-GB"/>
        </w:rPr>
        <w:t xml:space="preserve">. </w:t>
      </w:r>
    </w:p>
    <w:p w14:paraId="7C9E4BDD" w14:textId="60EDB41A" w:rsidR="009D3F4F" w:rsidRPr="0024604A" w:rsidRDefault="00F0604E" w:rsidP="00C57C81">
      <w:pPr>
        <w:autoSpaceDE w:val="0"/>
        <w:autoSpaceDN w:val="0"/>
        <w:adjustRightInd w:val="0"/>
        <w:spacing w:line="480" w:lineRule="auto"/>
        <w:ind w:firstLine="708"/>
        <w:jc w:val="both"/>
        <w:rPr>
          <w:rFonts w:ascii="Calibri" w:hAnsi="Calibri"/>
          <w:lang w:val="en-GB"/>
        </w:rPr>
      </w:pPr>
      <w:r w:rsidRPr="0024604A">
        <w:rPr>
          <w:rFonts w:ascii="Calibri" w:hAnsi="Calibri"/>
          <w:lang w:val="en-GB"/>
        </w:rPr>
        <w:t>Alex</w:t>
      </w:r>
      <w:r w:rsidRPr="0024604A">
        <w:rPr>
          <w:rFonts w:ascii="Calibri" w:hAnsi="Calibri"/>
          <w:vertAlign w:val="superscript"/>
          <w:lang w:val="en-GB"/>
        </w:rPr>
        <w:t>123</w:t>
      </w:r>
      <w:r w:rsidR="009D3F4F" w:rsidRPr="0024604A">
        <w:rPr>
          <w:rFonts w:ascii="Calibri" w:hAnsi="Calibri"/>
          <w:vertAlign w:val="superscript"/>
          <w:lang w:val="en-GB"/>
        </w:rPr>
        <w:t xml:space="preserve"> </w:t>
      </w:r>
      <w:r w:rsidR="00A140DB" w:rsidRPr="0024604A">
        <w:rPr>
          <w:rFonts w:ascii="Calibri" w:hAnsi="Calibri"/>
          <w:vertAlign w:val="superscript"/>
          <w:lang w:val="en-GB"/>
        </w:rPr>
        <w:fldChar w:fldCharType="begin" w:fldLock="1"/>
      </w:r>
      <w:r w:rsidR="006126E3" w:rsidRPr="0024604A">
        <w:rPr>
          <w:rFonts w:ascii="Calibri" w:hAnsi="Calibri"/>
          <w:vertAlign w:val="superscript"/>
          <w:lang w:val="en-GB"/>
        </w:rPr>
        <w:instrText>ADDIN CSL_CITATION {"citationItems":[{"id":"ITEM-1","itemData":{"DOI":"10.1371/journal.pone.0079736","ISSN":"19326203","abstract":"Global lipidomics analysis across large sample sizes produces high-content datasets that require dedicated software tools supporting lipid identification and quantification, efficient data management and lipidome visualization. Here we present a novel software-based platform for streamlined data processing, management and visualization of shotgun lipidomics data acquired using high-resolution Orbitrap mass spectrometry. The platform features the ALEX framework designed for automated identification and export of lipid species intensity directly from proprietary mass spectral data files, and an auxiliary workflow using database exploration tools for integration of sample information, computation of lipid abundance and lipidome visualization. A key feature of the platform is the organization of lipidomics data in \"database table format\" which provides the user with an unsurpassed flexibility for rapid lipidome navigation using selected features within the dataset. To demonstrate the efficacy of the platform, we present a comparative neurolipidomics study of cerebellum, hippocampus and somatosensory barrel cortex (S1BF) from wild-type and knockout mice devoid of the putative lipid phosphate phosphatase PRG-1 (plasticity related gene-1). The presented framework is generic, extendable to processing and integration of other lipidomic data structures, can be interfaced with post-processing protocols supporting statistical testing and multivariate analysis, and can serve as an avenue for disseminating lipidomics data within the scientific community. The ALEX software is available at www.msLipidomics. info. © 2013 Husen et al.","author":[{"dropping-particle":"","family":"Husen","given":"Peter","non-dropping-particle":"","parse-names":false,"suffix":""},{"dropping-particle":"","family":"Tarasov","given":"Kirill","non-dropping-particle":"","parse-names":false,"suffix":""},{"dropping-particle":"","family":"Katafiasz","given":"Maciej","non-dropping-particle":"","parse-names":false,"suffix":""},{"dropping-particle":"","family":"Sokol","given":"Elena","non-dropping-particle":"","parse-names":false,"suffix":""},{"dropping-particle":"","family":"Vogt","given":"Johannes","non-dropping-particle":"","parse-names":false,"suffix":""},{"dropping-particle":"","family":"Baumgart","given":"Jan","non-dropping-particle":"","parse-names":false,"suffix":""},{"dropping-particle":"","family":"Nitsch","given":"Robert","non-dropping-particle":"","parse-names":false,"suffix":""},{"dropping-particle":"","family":"Ekroos","given":"Kim","non-dropping-particle":"","parse-names":false,"suffix":""},{"dropping-particle":"","family":"Ejsing","given":"Christer S.","non-dropping-particle":"","parse-names":false,"suffix":""}],"container-title":"PLoS ONE","id":"ITEM-1","issue":"11","issued":{"date-parts":[["2013"]]},"page":"e79736","publisher":"Public Library of Science","title":"Analysis of lipid experiments (ALEX): A software framework for analysis of high-resolution shotgun lipidomics data","type":"article-journal","volume":"8"},"uris":["http://www.mendeley.com/documents/?uuid=fb6116b3-97d0-4e61-9c90-e6b188667372"]},{"id":"ITEM-2","itemData":{"DOI":"10.1038/s41592-018-0010-6","ISSN":"15487105","abstract":"We report a method that enables automated data-dependent acquisition of lipid tandem mass spectrometry data in parallel with a high-resolution mass spectrometry imaging experiment. The method does not increase the total image acquisition time and is combined with automatic structural assignments. This lipidome-per-pixel approach automatically identified and validated 104 unique molecular lipids and their spatial locations from rat cerebellar tissue.","author":[{"dropping-particle":"","family":"Ellis","given":"Shane R.","non-dropping-particle":"","parse-names":false,"suffix":""},{"dropping-particle":"","family":"Paine","given":"Martin R.L.","non-dropping-particle":"","parse-names":false,"suffix":""},{"dropping-particle":"","family":"Eijkel","given":"Gert B.","non-dropping-particle":"","parse-names":false,"suffix":""},{"dropping-particle":"","family":"Pauling","given":"Josch K.","non-dropping-particle":"","parse-names":false,"suffix":""},{"dropping-particle":"","family":"Husen","given":"Peter","non-dropping-particle":"","parse-names":false,"suffix":""},{"dropping-particle":"","family":"Jervelund","given":"Mark W.","non-dropping-particle":"","parse-names":false,"suffix":""},{"dropping-particle":"","family":"Hermansson","given":"Martin","non-dropping-particle":"","parse-names":false,"suffix":""},{"dropping-particle":"","family":"Ejsing","given":"Christer S.","non-dropping-particle":"","parse-names":false,"suffix":""},{"dropping-particle":"","family":"Heeren","given":"Ron M.A.","non-dropping-particle":"","parse-names":false,"suffix":""}],"container-title":"Nature Methods","id":"ITEM-2","issue":"7","issued":{"date-parts":[["2018","7"]]},"page":"515-518","publisher":"Nature Publishing Group","title":"Automated, parallel mass spectrometry imaging and structural identification of lipids","type":"article-journal","volume":"15"},"uris":["http://www.mendeley.com/documents/?uuid=a9cd6758-9b03-4ad6-aa9a-d1b5da1bdcbf"]}],"mendeley":{"formattedCitation":"[23, 24]","plainTextFormattedCitation":"[23, 24]","previouslyFormattedCitation":"[23, 24]"},"properties":{"noteIndex":0},"schema":"https://github.com/citation-style-language/schema/raw/master/csl-citation.json"}</w:instrText>
      </w:r>
      <w:r w:rsidR="00A140DB" w:rsidRPr="0024604A">
        <w:rPr>
          <w:rFonts w:ascii="Calibri" w:hAnsi="Calibri"/>
          <w:vertAlign w:val="superscript"/>
          <w:lang w:val="en-GB"/>
        </w:rPr>
        <w:fldChar w:fldCharType="separate"/>
      </w:r>
      <w:r w:rsidR="0089225B" w:rsidRPr="0024604A">
        <w:rPr>
          <w:rFonts w:ascii="Calibri" w:hAnsi="Calibri"/>
          <w:noProof/>
          <w:lang w:val="en-GB"/>
        </w:rPr>
        <w:t>[23, 24]</w:t>
      </w:r>
      <w:r w:rsidR="00A140DB" w:rsidRPr="0024604A">
        <w:rPr>
          <w:rFonts w:ascii="Calibri" w:hAnsi="Calibri"/>
          <w:vertAlign w:val="superscript"/>
          <w:lang w:val="en-GB"/>
        </w:rPr>
        <w:fldChar w:fldCharType="end"/>
      </w:r>
      <w:r w:rsidR="0045512D" w:rsidRPr="0024604A">
        <w:rPr>
          <w:rFonts w:ascii="Calibri" w:hAnsi="Calibri"/>
          <w:lang w:val="en-GB"/>
        </w:rPr>
        <w:t xml:space="preserve"> </w:t>
      </w:r>
      <w:r w:rsidRPr="0024604A">
        <w:rPr>
          <w:rFonts w:ascii="Calibri" w:hAnsi="Calibri"/>
          <w:lang w:val="en-GB"/>
        </w:rPr>
        <w:t xml:space="preserve">is a </w:t>
      </w:r>
      <w:r w:rsidR="009D3F4F" w:rsidRPr="0024604A">
        <w:rPr>
          <w:rFonts w:ascii="Calibri" w:hAnsi="Calibri"/>
          <w:lang w:val="en-GB"/>
        </w:rPr>
        <w:t xml:space="preserve">powerful and reliable </w:t>
      </w:r>
      <w:r w:rsidR="00D454A7" w:rsidRPr="0024604A">
        <w:rPr>
          <w:rFonts w:ascii="Calibri" w:hAnsi="Calibri"/>
          <w:lang w:val="en-GB"/>
        </w:rPr>
        <w:t xml:space="preserve">high-throughput </w:t>
      </w:r>
      <w:r w:rsidR="009D3F4F" w:rsidRPr="0024604A">
        <w:rPr>
          <w:rFonts w:ascii="Calibri" w:hAnsi="Calibri"/>
          <w:lang w:val="en-GB"/>
        </w:rPr>
        <w:t xml:space="preserve">tool </w:t>
      </w:r>
      <w:r w:rsidR="0045512D" w:rsidRPr="0024604A">
        <w:rPr>
          <w:rFonts w:ascii="Calibri" w:hAnsi="Calibri"/>
          <w:lang w:val="en-GB"/>
        </w:rPr>
        <w:t>(</w:t>
      </w:r>
      <w:r w:rsidRPr="0024604A">
        <w:rPr>
          <w:rFonts w:ascii="Calibri" w:hAnsi="Calibri"/>
          <w:lang w:val="en-GB"/>
        </w:rPr>
        <w:t>free</w:t>
      </w:r>
      <w:r w:rsidR="009D3F4F" w:rsidRPr="0024604A">
        <w:rPr>
          <w:rFonts w:ascii="Calibri" w:hAnsi="Calibri"/>
          <w:lang w:val="en-GB"/>
        </w:rPr>
        <w:t>ly</w:t>
      </w:r>
      <w:r w:rsidRPr="0024604A">
        <w:rPr>
          <w:rFonts w:ascii="Calibri" w:hAnsi="Calibri"/>
          <w:lang w:val="en-GB"/>
        </w:rPr>
        <w:t xml:space="preserve"> </w:t>
      </w:r>
      <w:r w:rsidR="009D3F4F" w:rsidRPr="0024604A">
        <w:rPr>
          <w:rFonts w:ascii="Calibri" w:hAnsi="Calibri"/>
          <w:lang w:val="en-GB"/>
        </w:rPr>
        <w:t xml:space="preserve">available at </w:t>
      </w:r>
      <w:r w:rsidR="00C47A6B" w:rsidRPr="0024604A">
        <w:fldChar w:fldCharType="begin"/>
      </w:r>
      <w:r w:rsidR="00C47A6B" w:rsidRPr="0024604A">
        <w:rPr>
          <w:lang w:val="en-GB"/>
        </w:rPr>
        <w:instrText xml:space="preserve"> HYPERLINK "http://www.mslipidomics.info" </w:instrText>
      </w:r>
      <w:r w:rsidR="00C47A6B" w:rsidRPr="0024604A">
        <w:fldChar w:fldCharType="separate"/>
      </w:r>
      <w:r w:rsidR="009D3F4F" w:rsidRPr="0024604A">
        <w:rPr>
          <w:rStyle w:val="Collegamentoipertestuale"/>
          <w:rFonts w:ascii="Calibri" w:hAnsi="Calibri"/>
          <w:color w:val="auto"/>
          <w:lang w:val="en-GB"/>
        </w:rPr>
        <w:t>www.mslipidomics.info</w:t>
      </w:r>
      <w:r w:rsidR="00C47A6B" w:rsidRPr="0024604A">
        <w:rPr>
          <w:rStyle w:val="Collegamentoipertestuale"/>
          <w:rFonts w:ascii="Calibri" w:hAnsi="Calibri"/>
          <w:color w:val="auto"/>
          <w:lang w:val="en-GB"/>
        </w:rPr>
        <w:fldChar w:fldCharType="end"/>
      </w:r>
      <w:r w:rsidR="0045512D" w:rsidRPr="0024604A">
        <w:rPr>
          <w:rFonts w:ascii="Calibri" w:hAnsi="Calibri"/>
          <w:lang w:val="en-GB"/>
        </w:rPr>
        <w:t xml:space="preserve">) </w:t>
      </w:r>
      <w:r w:rsidR="00662B27" w:rsidRPr="0024604A">
        <w:rPr>
          <w:rFonts w:ascii="Calibri" w:hAnsi="Calibri"/>
          <w:lang w:val="en-GB"/>
        </w:rPr>
        <w:t xml:space="preserve">for semi-untargeted </w:t>
      </w:r>
      <w:r w:rsidR="00662B27" w:rsidRPr="0024604A">
        <w:rPr>
          <w:rFonts w:ascii="Calibri" w:hAnsi="Calibri"/>
          <w:lang w:val="en-US"/>
        </w:rPr>
        <w:t xml:space="preserve">analysis </w:t>
      </w:r>
      <w:r w:rsidR="006135EF" w:rsidRPr="0024604A">
        <w:rPr>
          <w:rFonts w:ascii="Calibri" w:hAnsi="Calibri"/>
          <w:lang w:val="en-US"/>
        </w:rPr>
        <w:t xml:space="preserve">of lipids </w:t>
      </w:r>
      <w:r w:rsidR="009D3F4F" w:rsidRPr="0024604A">
        <w:rPr>
          <w:rFonts w:ascii="Calibri" w:hAnsi="Calibri"/>
          <w:lang w:val="en-GB"/>
        </w:rPr>
        <w:t xml:space="preserve">that </w:t>
      </w:r>
      <w:r w:rsidR="0045512D" w:rsidRPr="0024604A">
        <w:rPr>
          <w:rFonts w:ascii="Calibri" w:hAnsi="Calibri"/>
          <w:lang w:val="en-GB"/>
        </w:rPr>
        <w:t>searches</w:t>
      </w:r>
      <w:r w:rsidR="009D3F4F" w:rsidRPr="0024604A">
        <w:rPr>
          <w:rFonts w:ascii="Calibri" w:hAnsi="Calibri"/>
          <w:lang w:val="en-GB"/>
        </w:rPr>
        <w:t xml:space="preserve"> </w:t>
      </w:r>
      <w:r w:rsidR="0045512D" w:rsidRPr="0024604A">
        <w:rPr>
          <w:rFonts w:ascii="Calibri" w:hAnsi="Calibri"/>
          <w:lang w:val="en-GB"/>
        </w:rPr>
        <w:t xml:space="preserve">compounds </w:t>
      </w:r>
      <w:r w:rsidR="009D3F4F" w:rsidRPr="0024604A">
        <w:rPr>
          <w:rFonts w:ascii="Calibri" w:hAnsi="Calibri"/>
          <w:lang w:val="en-GB"/>
        </w:rPr>
        <w:t xml:space="preserve">in a </w:t>
      </w:r>
      <w:r w:rsidR="00423C2E" w:rsidRPr="0024604A">
        <w:rPr>
          <w:rFonts w:ascii="Calibri" w:hAnsi="Calibri"/>
          <w:lang w:val="en-GB"/>
        </w:rPr>
        <w:t>customizable</w:t>
      </w:r>
      <w:r w:rsidR="009D3F4F" w:rsidRPr="0024604A">
        <w:rPr>
          <w:rFonts w:ascii="Calibri" w:hAnsi="Calibri"/>
          <w:lang w:val="en-GB"/>
        </w:rPr>
        <w:t xml:space="preserve"> database containing for each </w:t>
      </w:r>
      <w:r w:rsidR="007E6D67" w:rsidRPr="0024604A">
        <w:rPr>
          <w:rFonts w:ascii="Calibri" w:hAnsi="Calibri"/>
          <w:lang w:val="en-GB"/>
        </w:rPr>
        <w:t>of them</w:t>
      </w:r>
      <w:r w:rsidR="006135EF" w:rsidRPr="0024604A">
        <w:rPr>
          <w:rFonts w:ascii="Calibri" w:hAnsi="Calibri"/>
          <w:lang w:val="en-GB"/>
        </w:rPr>
        <w:t>:</w:t>
      </w:r>
      <w:r w:rsidR="009D3F4F" w:rsidRPr="0024604A">
        <w:rPr>
          <w:rFonts w:ascii="Calibri" w:hAnsi="Calibri"/>
          <w:lang w:val="en-GB"/>
        </w:rPr>
        <w:t xml:space="preserve"> name, molecular formula and mass</w:t>
      </w:r>
      <w:r w:rsidR="0045512D" w:rsidRPr="0024604A">
        <w:rPr>
          <w:rFonts w:ascii="Calibri" w:hAnsi="Calibri"/>
          <w:lang w:val="en-GB"/>
        </w:rPr>
        <w:t xml:space="preserve">, </w:t>
      </w:r>
      <w:r w:rsidR="007E6D67" w:rsidRPr="0024604A">
        <w:rPr>
          <w:rFonts w:ascii="Calibri" w:hAnsi="Calibri"/>
          <w:lang w:val="en-GB"/>
        </w:rPr>
        <w:t xml:space="preserve">and </w:t>
      </w:r>
      <w:r w:rsidR="009D3F4F" w:rsidRPr="0024604A">
        <w:rPr>
          <w:rFonts w:ascii="Calibri" w:hAnsi="Calibri"/>
          <w:lang w:val="en-GB"/>
        </w:rPr>
        <w:t xml:space="preserve">indication of adducts or modifications. A deep </w:t>
      </w:r>
      <w:r w:rsidR="00D454A7" w:rsidRPr="0024604A">
        <w:rPr>
          <w:rFonts w:ascii="Calibri" w:hAnsi="Calibri"/>
          <w:lang w:val="en-GB"/>
        </w:rPr>
        <w:t>spectra</w:t>
      </w:r>
      <w:r w:rsidR="006135EF" w:rsidRPr="0024604A">
        <w:rPr>
          <w:rFonts w:ascii="Calibri" w:hAnsi="Calibri"/>
          <w:lang w:val="en-GB"/>
        </w:rPr>
        <w:t>l</w:t>
      </w:r>
      <w:r w:rsidR="00D454A7" w:rsidRPr="0024604A">
        <w:rPr>
          <w:rFonts w:ascii="Calibri" w:hAnsi="Calibri"/>
          <w:lang w:val="en-GB"/>
        </w:rPr>
        <w:t xml:space="preserve"> </w:t>
      </w:r>
      <w:r w:rsidR="009D3F4F" w:rsidRPr="0024604A">
        <w:rPr>
          <w:rFonts w:ascii="Calibri" w:hAnsi="Calibri"/>
          <w:lang w:val="en-GB"/>
        </w:rPr>
        <w:t>examination is required to build up a comprehensive database</w:t>
      </w:r>
      <w:r w:rsidR="00D454A7" w:rsidRPr="0024604A">
        <w:rPr>
          <w:rFonts w:ascii="Calibri" w:hAnsi="Calibri"/>
          <w:lang w:val="en-GB"/>
        </w:rPr>
        <w:t xml:space="preserve"> in which</w:t>
      </w:r>
      <w:r w:rsidR="009D3F4F" w:rsidRPr="0024604A">
        <w:rPr>
          <w:rFonts w:ascii="Calibri" w:hAnsi="Calibri"/>
          <w:lang w:val="en-GB"/>
        </w:rPr>
        <w:t xml:space="preserve"> </w:t>
      </w:r>
      <w:r w:rsidR="0045512D" w:rsidRPr="0024604A">
        <w:rPr>
          <w:rFonts w:ascii="Calibri" w:hAnsi="Calibri"/>
          <w:lang w:val="en-GB"/>
        </w:rPr>
        <w:t xml:space="preserve">retention time windows of </w:t>
      </w:r>
      <w:r w:rsidR="009D3F4F" w:rsidRPr="0024604A">
        <w:rPr>
          <w:rFonts w:ascii="Calibri" w:hAnsi="Calibri"/>
          <w:lang w:val="en-GB"/>
        </w:rPr>
        <w:t xml:space="preserve">lipid classes and most common ions </w:t>
      </w:r>
      <w:r w:rsidR="0045512D" w:rsidRPr="0024604A">
        <w:rPr>
          <w:rFonts w:ascii="Calibri" w:hAnsi="Calibri"/>
          <w:lang w:val="en-GB"/>
        </w:rPr>
        <w:t xml:space="preserve">for a certain lipid generated </w:t>
      </w:r>
      <w:r w:rsidR="009D3F4F" w:rsidRPr="0024604A">
        <w:rPr>
          <w:rFonts w:ascii="Calibri" w:hAnsi="Calibri"/>
          <w:lang w:val="en-GB"/>
        </w:rPr>
        <w:t xml:space="preserve">in the </w:t>
      </w:r>
      <w:r w:rsidR="0045512D" w:rsidRPr="0024604A">
        <w:rPr>
          <w:rFonts w:ascii="Calibri" w:hAnsi="Calibri"/>
          <w:lang w:val="en-GB"/>
        </w:rPr>
        <w:t xml:space="preserve">described experimental </w:t>
      </w:r>
      <w:r w:rsidR="009D3F4F" w:rsidRPr="0024604A">
        <w:rPr>
          <w:rFonts w:ascii="Calibri" w:hAnsi="Calibri"/>
          <w:lang w:val="en-GB"/>
        </w:rPr>
        <w:t>condition</w:t>
      </w:r>
      <w:r w:rsidR="0045512D" w:rsidRPr="0024604A">
        <w:rPr>
          <w:rFonts w:ascii="Calibri" w:hAnsi="Calibri"/>
          <w:lang w:val="en-GB"/>
        </w:rPr>
        <w:t>s</w:t>
      </w:r>
      <w:r w:rsidR="009D3F4F" w:rsidRPr="0024604A">
        <w:rPr>
          <w:rFonts w:ascii="Calibri" w:hAnsi="Calibri"/>
          <w:lang w:val="en-GB"/>
        </w:rPr>
        <w:t xml:space="preserve"> must be known. Specific and class-related product ions </w:t>
      </w:r>
      <w:r w:rsidR="00B57205" w:rsidRPr="0024604A">
        <w:rPr>
          <w:rFonts w:ascii="Calibri" w:hAnsi="Calibri"/>
          <w:lang w:val="en-GB"/>
        </w:rPr>
        <w:t>can be</w:t>
      </w:r>
      <w:r w:rsidR="009D3F4F" w:rsidRPr="0024604A">
        <w:rPr>
          <w:rFonts w:ascii="Calibri" w:hAnsi="Calibri"/>
          <w:lang w:val="en-GB"/>
        </w:rPr>
        <w:t xml:space="preserve"> </w:t>
      </w:r>
      <w:r w:rsidR="00E575B7" w:rsidRPr="0024604A">
        <w:rPr>
          <w:rFonts w:ascii="Calibri" w:hAnsi="Calibri"/>
          <w:lang w:val="en-GB"/>
        </w:rPr>
        <w:t xml:space="preserve">promptly </w:t>
      </w:r>
      <w:r w:rsidR="0045512D" w:rsidRPr="0024604A">
        <w:rPr>
          <w:rFonts w:ascii="Calibri" w:hAnsi="Calibri"/>
          <w:lang w:val="en-GB"/>
        </w:rPr>
        <w:t xml:space="preserve">retrieved </w:t>
      </w:r>
      <w:r w:rsidR="00E575B7" w:rsidRPr="0024604A">
        <w:rPr>
          <w:rFonts w:ascii="Calibri" w:hAnsi="Calibri"/>
          <w:lang w:val="en-GB"/>
        </w:rPr>
        <w:t xml:space="preserve">by using the </w:t>
      </w:r>
      <w:r w:rsidR="0045512D" w:rsidRPr="0024604A">
        <w:rPr>
          <w:rFonts w:ascii="Calibri" w:hAnsi="Calibri"/>
          <w:lang w:val="en-GB"/>
        </w:rPr>
        <w:t xml:space="preserve">all ion fragmentation (AIF) </w:t>
      </w:r>
      <w:r w:rsidR="00FF3AF7" w:rsidRPr="0024604A">
        <w:rPr>
          <w:rFonts w:ascii="Calibri" w:hAnsi="Calibri"/>
          <w:lang w:val="en-GB"/>
        </w:rPr>
        <w:t xml:space="preserve">MS </w:t>
      </w:r>
      <w:r w:rsidR="00B57205" w:rsidRPr="0024604A">
        <w:rPr>
          <w:rFonts w:ascii="Calibri" w:hAnsi="Calibri"/>
          <w:lang w:val="en-GB"/>
        </w:rPr>
        <w:t>scan</w:t>
      </w:r>
      <w:r w:rsidR="0045512D" w:rsidRPr="0024604A">
        <w:rPr>
          <w:rFonts w:ascii="Calibri" w:hAnsi="Calibri"/>
          <w:lang w:val="en-GB"/>
        </w:rPr>
        <w:t>,</w:t>
      </w:r>
      <w:r w:rsidR="006D4757" w:rsidRPr="0024604A">
        <w:rPr>
          <w:rFonts w:ascii="Calibri" w:hAnsi="Calibri"/>
          <w:lang w:val="en-GB"/>
        </w:rPr>
        <w:t xml:space="preserve"> </w:t>
      </w:r>
      <w:r w:rsidR="0045512D" w:rsidRPr="0024604A">
        <w:rPr>
          <w:rFonts w:ascii="Calibri" w:hAnsi="Calibri"/>
          <w:lang w:val="en-GB"/>
        </w:rPr>
        <w:t xml:space="preserve">a feature </w:t>
      </w:r>
      <w:r w:rsidR="009D3F4F" w:rsidRPr="0024604A">
        <w:rPr>
          <w:rFonts w:ascii="Calibri" w:hAnsi="Calibri"/>
          <w:lang w:val="en-GB"/>
        </w:rPr>
        <w:t>provided by the FTMS system, without the need of isolating and fragmenting definite precursor ions</w:t>
      </w:r>
      <w:r w:rsidR="0045512D" w:rsidRPr="0024604A">
        <w:rPr>
          <w:rFonts w:ascii="Calibri" w:hAnsi="Calibri"/>
          <w:lang w:val="en-GB"/>
        </w:rPr>
        <w:t xml:space="preserve">. By exploiting </w:t>
      </w:r>
      <w:r w:rsidR="00E575B7" w:rsidRPr="0024604A">
        <w:rPr>
          <w:rFonts w:ascii="Calibri" w:hAnsi="Calibri"/>
          <w:lang w:val="en-GB"/>
        </w:rPr>
        <w:t>AIF MS</w:t>
      </w:r>
      <w:r w:rsidR="005277AE" w:rsidRPr="0024604A">
        <w:rPr>
          <w:rFonts w:ascii="Calibri" w:hAnsi="Calibri"/>
          <w:lang w:val="en-GB"/>
        </w:rPr>
        <w:t>,</w:t>
      </w:r>
      <w:r w:rsidR="0045512D" w:rsidRPr="0024604A">
        <w:rPr>
          <w:rFonts w:ascii="Calibri" w:hAnsi="Calibri"/>
          <w:lang w:val="en-GB"/>
        </w:rPr>
        <w:t xml:space="preserve"> it is possible to recover </w:t>
      </w:r>
      <w:r w:rsidR="0045512D" w:rsidRPr="0024604A">
        <w:rPr>
          <w:rFonts w:ascii="Calibri" w:hAnsi="Calibri"/>
          <w:lang w:val="en-GB"/>
        </w:rPr>
        <w:lastRenderedPageBreak/>
        <w:t>product ions related to the polar head of each PL generated at</w:t>
      </w:r>
      <w:r w:rsidR="009D3F4F" w:rsidRPr="0024604A">
        <w:rPr>
          <w:rFonts w:ascii="Calibri" w:hAnsi="Calibri"/>
          <w:lang w:val="en-GB"/>
        </w:rPr>
        <w:t xml:space="preserve"> relatively high collisional energies </w:t>
      </w:r>
      <w:r w:rsidR="005277AE" w:rsidRPr="0024604A">
        <w:rPr>
          <w:rFonts w:ascii="Calibri" w:hAnsi="Calibri"/>
          <w:lang w:val="en-GB"/>
        </w:rPr>
        <w:t>in</w:t>
      </w:r>
      <w:r w:rsidR="009D3F4F" w:rsidRPr="0024604A">
        <w:rPr>
          <w:rFonts w:ascii="Calibri" w:hAnsi="Calibri"/>
          <w:lang w:val="en-GB"/>
        </w:rPr>
        <w:t xml:space="preserve"> the HCD cell. In </w:t>
      </w:r>
      <w:r w:rsidR="009D3F4F" w:rsidRPr="0024604A">
        <w:rPr>
          <w:rFonts w:ascii="Calibri" w:hAnsi="Calibri"/>
          <w:b/>
          <w:bCs/>
          <w:lang w:val="en-GB"/>
        </w:rPr>
        <w:t>Figure S</w:t>
      </w:r>
      <w:r w:rsidR="008B568F" w:rsidRPr="0024604A">
        <w:rPr>
          <w:rFonts w:ascii="Calibri" w:hAnsi="Calibri"/>
          <w:b/>
          <w:bCs/>
          <w:lang w:val="en-GB"/>
        </w:rPr>
        <w:t>5</w:t>
      </w:r>
      <w:r w:rsidR="009D3F4F" w:rsidRPr="0024604A">
        <w:rPr>
          <w:rFonts w:ascii="Calibri" w:hAnsi="Calibri"/>
          <w:lang w:val="en-GB"/>
        </w:rPr>
        <w:t xml:space="preserve"> are compared XIC spectra and structures of (</w:t>
      </w:r>
      <w:r w:rsidR="00FF3AF7" w:rsidRPr="0024604A">
        <w:rPr>
          <w:rFonts w:ascii="Calibri" w:hAnsi="Calibri"/>
          <w:lang w:val="en-GB"/>
        </w:rPr>
        <w:t>A</w:t>
      </w:r>
      <w:r w:rsidR="009D3F4F" w:rsidRPr="0024604A">
        <w:rPr>
          <w:rFonts w:ascii="Calibri" w:hAnsi="Calibri"/>
          <w:lang w:val="en-GB"/>
        </w:rPr>
        <w:t xml:space="preserve">) </w:t>
      </w:r>
      <w:r w:rsidR="009D3F4F" w:rsidRPr="0024604A">
        <w:rPr>
          <w:rFonts w:ascii="Calibri" w:hAnsi="Calibri"/>
          <w:i/>
          <w:lang w:val="en-GB"/>
        </w:rPr>
        <w:t>m/z</w:t>
      </w:r>
      <w:r w:rsidR="009D3F4F" w:rsidRPr="0024604A">
        <w:rPr>
          <w:rFonts w:ascii="Calibri" w:hAnsi="Calibri"/>
          <w:lang w:val="en-GB"/>
        </w:rPr>
        <w:t xml:space="preserve"> 168.043 due to phosphatidylcholines (PC), lyso-PC (LPC) and sphingomyelin (SM), (</w:t>
      </w:r>
      <w:r w:rsidR="00FF3AF7" w:rsidRPr="0024604A">
        <w:rPr>
          <w:rFonts w:ascii="Calibri" w:hAnsi="Calibri"/>
          <w:lang w:val="en-GB"/>
        </w:rPr>
        <w:t>B</w:t>
      </w:r>
      <w:r w:rsidR="009D3F4F" w:rsidRPr="0024604A">
        <w:rPr>
          <w:rFonts w:ascii="Calibri" w:hAnsi="Calibri"/>
          <w:lang w:val="en-GB"/>
        </w:rPr>
        <w:t xml:space="preserve">) </w:t>
      </w:r>
      <w:r w:rsidR="009D3F4F" w:rsidRPr="0024604A">
        <w:rPr>
          <w:rFonts w:ascii="Calibri" w:hAnsi="Calibri"/>
          <w:i/>
          <w:lang w:val="en-GB"/>
        </w:rPr>
        <w:t>m/z</w:t>
      </w:r>
      <w:r w:rsidR="009D3F4F" w:rsidRPr="0024604A">
        <w:rPr>
          <w:rFonts w:ascii="Calibri" w:hAnsi="Calibri"/>
          <w:lang w:val="en-GB"/>
        </w:rPr>
        <w:t xml:space="preserve"> 224.069 associated with PC and LPC, and (</w:t>
      </w:r>
      <w:r w:rsidR="00FF3AF7" w:rsidRPr="0024604A">
        <w:rPr>
          <w:rFonts w:ascii="Calibri" w:hAnsi="Calibri"/>
          <w:lang w:val="en-GB"/>
        </w:rPr>
        <w:t>C</w:t>
      </w:r>
      <w:r w:rsidR="009D3F4F" w:rsidRPr="0024604A">
        <w:rPr>
          <w:rFonts w:ascii="Calibri" w:hAnsi="Calibri"/>
          <w:lang w:val="en-GB"/>
        </w:rPr>
        <w:t xml:space="preserve">) </w:t>
      </w:r>
      <w:r w:rsidR="009D3F4F" w:rsidRPr="0024604A">
        <w:rPr>
          <w:rFonts w:ascii="Calibri" w:hAnsi="Calibri"/>
          <w:i/>
          <w:lang w:val="en-GB"/>
        </w:rPr>
        <w:t>m/z</w:t>
      </w:r>
      <w:r w:rsidR="009D3F4F" w:rsidRPr="0024604A">
        <w:rPr>
          <w:rFonts w:ascii="Calibri" w:hAnsi="Calibri"/>
          <w:lang w:val="en-GB"/>
        </w:rPr>
        <w:t xml:space="preserve"> 196.038, due to PE and lyso-PE (LPE). </w:t>
      </w:r>
      <w:r w:rsidR="006D2437" w:rsidRPr="0024604A">
        <w:rPr>
          <w:rFonts w:ascii="Calibri" w:hAnsi="Calibri"/>
          <w:lang w:val="en-GB"/>
        </w:rPr>
        <w:t>From the</w:t>
      </w:r>
      <w:r w:rsidR="009D3F4F" w:rsidRPr="0024604A">
        <w:rPr>
          <w:rFonts w:ascii="Calibri" w:hAnsi="Calibri"/>
          <w:lang w:val="en-GB"/>
        </w:rPr>
        <w:t xml:space="preserve"> information obtained by AIF spectra, elution windows of PC, LPC, SM, PE and LPE can be easily </w:t>
      </w:r>
      <w:r w:rsidR="006D4757" w:rsidRPr="0024604A">
        <w:rPr>
          <w:rFonts w:ascii="Calibri" w:hAnsi="Calibri"/>
          <w:lang w:val="en-GB"/>
        </w:rPr>
        <w:t>detected</w:t>
      </w:r>
      <w:r w:rsidR="009D3F4F" w:rsidRPr="0024604A">
        <w:rPr>
          <w:rFonts w:ascii="Calibri" w:hAnsi="Calibri"/>
          <w:lang w:val="en-GB"/>
        </w:rPr>
        <w:t xml:space="preserve">; ether phospholipids, lipids in which the </w:t>
      </w:r>
      <w:r w:rsidR="009D3F4F" w:rsidRPr="0024604A">
        <w:rPr>
          <w:rFonts w:ascii="Calibri" w:hAnsi="Calibri"/>
          <w:i/>
          <w:iCs/>
          <w:lang w:val="en-GB"/>
        </w:rPr>
        <w:t>sn</w:t>
      </w:r>
      <w:r w:rsidR="009D3F4F" w:rsidRPr="0024604A">
        <w:rPr>
          <w:rFonts w:ascii="Calibri" w:hAnsi="Calibri"/>
          <w:lang w:val="en-GB"/>
        </w:rPr>
        <w:t>-1 position of the glycerol backbone has a lipid attached by an ether bond</w:t>
      </w:r>
      <w:r w:rsidR="006D2437" w:rsidRPr="0024604A">
        <w:rPr>
          <w:rFonts w:ascii="Calibri" w:hAnsi="Calibri"/>
          <w:lang w:val="en-GB"/>
        </w:rPr>
        <w:t>,</w:t>
      </w:r>
      <w:r w:rsidR="009D3F4F" w:rsidRPr="0024604A">
        <w:rPr>
          <w:rFonts w:ascii="Calibri" w:hAnsi="Calibri"/>
          <w:lang w:val="en-GB"/>
        </w:rPr>
        <w:t xml:space="preserve"> co-elute with the more common diacyl subclass</w:t>
      </w:r>
      <w:r w:rsidR="004E43A1" w:rsidRPr="0024604A">
        <w:rPr>
          <w:rFonts w:ascii="Calibri" w:hAnsi="Calibri"/>
          <w:lang w:val="en-GB"/>
        </w:rPr>
        <w:t>es</w:t>
      </w:r>
      <w:r w:rsidR="009D3F4F" w:rsidRPr="0024604A">
        <w:rPr>
          <w:rFonts w:ascii="Calibri" w:hAnsi="Calibri"/>
          <w:lang w:val="en-GB"/>
        </w:rPr>
        <w:t xml:space="preserve">; </w:t>
      </w:r>
      <w:proofErr w:type="spellStart"/>
      <w:r w:rsidR="009D3F4F" w:rsidRPr="0024604A">
        <w:rPr>
          <w:rFonts w:ascii="Calibri" w:hAnsi="Calibri"/>
          <w:lang w:val="en-GB"/>
        </w:rPr>
        <w:t>plasmanyl</w:t>
      </w:r>
      <w:proofErr w:type="spellEnd"/>
      <w:r w:rsidR="009D3F4F" w:rsidRPr="0024604A">
        <w:rPr>
          <w:rFonts w:ascii="Calibri" w:hAnsi="Calibri"/>
          <w:lang w:val="en-GB"/>
        </w:rPr>
        <w:t xml:space="preserve">-phospholipids (indicated using </w:t>
      </w:r>
      <w:r w:rsidR="009D3F4F" w:rsidRPr="0024604A">
        <w:rPr>
          <w:rFonts w:ascii="Calibri" w:hAnsi="Calibri"/>
          <w:i/>
          <w:iCs/>
          <w:lang w:val="en-GB"/>
        </w:rPr>
        <w:t>o</w:t>
      </w:r>
      <w:r w:rsidR="009D3F4F" w:rsidRPr="0024604A">
        <w:rPr>
          <w:rFonts w:ascii="Calibri" w:hAnsi="Calibri"/>
          <w:lang w:val="en-GB"/>
        </w:rPr>
        <w:t xml:space="preserve">-) have an ether bond in position </w:t>
      </w:r>
      <w:r w:rsidR="009D3F4F" w:rsidRPr="0024604A">
        <w:rPr>
          <w:rFonts w:ascii="Calibri" w:hAnsi="Calibri"/>
          <w:i/>
          <w:iCs/>
          <w:lang w:val="en-GB"/>
        </w:rPr>
        <w:t>sn</w:t>
      </w:r>
      <w:r w:rsidR="009D3F4F" w:rsidRPr="0024604A">
        <w:rPr>
          <w:rFonts w:ascii="Calibri" w:hAnsi="Calibri"/>
          <w:lang w:val="en-GB"/>
        </w:rPr>
        <w:t xml:space="preserve">-1 to an alkyl </w:t>
      </w:r>
      <w:r w:rsidR="00FF3AF7" w:rsidRPr="0024604A">
        <w:rPr>
          <w:rFonts w:ascii="Calibri" w:hAnsi="Calibri"/>
          <w:lang w:val="en-GB"/>
        </w:rPr>
        <w:t>chain</w:t>
      </w:r>
      <w:r w:rsidR="009D3F4F" w:rsidRPr="0024604A">
        <w:rPr>
          <w:rFonts w:ascii="Calibri" w:hAnsi="Calibri"/>
          <w:lang w:val="en-GB"/>
        </w:rPr>
        <w:t xml:space="preserve">, while </w:t>
      </w:r>
      <w:proofErr w:type="spellStart"/>
      <w:r w:rsidR="009D3F4F" w:rsidRPr="0024604A">
        <w:rPr>
          <w:rFonts w:ascii="Calibri" w:hAnsi="Calibri"/>
          <w:lang w:val="en-GB"/>
        </w:rPr>
        <w:t>plasmenyl</w:t>
      </w:r>
      <w:proofErr w:type="spellEnd"/>
      <w:r w:rsidR="009D3F4F" w:rsidRPr="0024604A">
        <w:rPr>
          <w:rFonts w:ascii="Calibri" w:hAnsi="Calibri"/>
          <w:lang w:val="en-GB"/>
        </w:rPr>
        <w:t>-phospholipids (</w:t>
      </w:r>
      <w:r w:rsidR="009D3F4F" w:rsidRPr="0024604A">
        <w:rPr>
          <w:rFonts w:ascii="Calibri" w:hAnsi="Calibri"/>
          <w:i/>
          <w:iCs/>
          <w:lang w:val="en-GB"/>
        </w:rPr>
        <w:t>p</w:t>
      </w:r>
      <w:r w:rsidR="009D3F4F" w:rsidRPr="0024604A">
        <w:rPr>
          <w:rFonts w:ascii="Calibri" w:hAnsi="Calibri"/>
          <w:lang w:val="en-GB"/>
        </w:rPr>
        <w:t xml:space="preserve">-) have an ether bond in position </w:t>
      </w:r>
      <w:r w:rsidR="009D3F4F" w:rsidRPr="0024604A">
        <w:rPr>
          <w:rFonts w:ascii="Calibri" w:hAnsi="Calibri"/>
          <w:i/>
          <w:iCs/>
          <w:lang w:val="en-GB"/>
        </w:rPr>
        <w:t>sn</w:t>
      </w:r>
      <w:r w:rsidR="009D3F4F" w:rsidRPr="0024604A">
        <w:rPr>
          <w:rFonts w:ascii="Calibri" w:hAnsi="Calibri"/>
          <w:lang w:val="en-GB"/>
        </w:rPr>
        <w:t xml:space="preserve">-1 to an alkenyl </w:t>
      </w:r>
      <w:r w:rsidR="00FF3AF7" w:rsidRPr="0024604A">
        <w:rPr>
          <w:rFonts w:ascii="Calibri" w:hAnsi="Calibri"/>
          <w:lang w:val="en-GB"/>
        </w:rPr>
        <w:t>moiety</w:t>
      </w:r>
      <w:r w:rsidR="009D3F4F" w:rsidRPr="0024604A">
        <w:rPr>
          <w:rFonts w:ascii="Calibri" w:hAnsi="Calibri"/>
          <w:lang w:val="en-GB"/>
        </w:rPr>
        <w:t xml:space="preserve">. A lipid species </w:t>
      </w:r>
      <w:r w:rsidR="009D3F4F" w:rsidRPr="0024604A">
        <w:rPr>
          <w:rFonts w:ascii="Calibri" w:hAnsi="Calibri"/>
          <w:i/>
          <w:iCs/>
          <w:lang w:val="en-GB"/>
        </w:rPr>
        <w:t>p</w:t>
      </w:r>
      <w:r w:rsidR="009D3F4F" w:rsidRPr="0024604A">
        <w:rPr>
          <w:rFonts w:ascii="Calibri" w:hAnsi="Calibri"/>
          <w:lang w:val="en-GB"/>
        </w:rPr>
        <w:t xml:space="preserve">-Z </w:t>
      </w:r>
      <w:r w:rsidR="009D3F4F" w:rsidRPr="0024604A">
        <w:rPr>
          <w:rFonts w:ascii="Calibri" w:hAnsi="Calibri"/>
          <w:i/>
          <w:iCs/>
          <w:lang w:val="en-GB"/>
        </w:rPr>
        <w:t>X</w:t>
      </w:r>
      <w:r w:rsidR="009D3F4F" w:rsidRPr="0024604A">
        <w:rPr>
          <w:rFonts w:ascii="Calibri" w:hAnsi="Calibri"/>
          <w:lang w:val="en-GB"/>
        </w:rPr>
        <w:t>:</w:t>
      </w:r>
      <w:r w:rsidR="009D3F4F" w:rsidRPr="0024604A">
        <w:rPr>
          <w:rFonts w:ascii="Calibri" w:hAnsi="Calibri"/>
          <w:i/>
          <w:iCs/>
          <w:lang w:val="en-GB"/>
        </w:rPr>
        <w:t>Y</w:t>
      </w:r>
      <w:r w:rsidR="009D3F4F" w:rsidRPr="0024604A">
        <w:rPr>
          <w:rFonts w:ascii="Calibri" w:hAnsi="Calibri"/>
          <w:lang w:val="en-GB"/>
        </w:rPr>
        <w:t xml:space="preserve">, where Z is the class name, </w:t>
      </w:r>
      <w:r w:rsidR="009D3F4F" w:rsidRPr="0024604A">
        <w:rPr>
          <w:rFonts w:ascii="Calibri" w:hAnsi="Calibri"/>
          <w:i/>
          <w:iCs/>
          <w:lang w:val="en-GB"/>
        </w:rPr>
        <w:t>X</w:t>
      </w:r>
      <w:r w:rsidR="009D3F4F" w:rsidRPr="0024604A">
        <w:rPr>
          <w:rFonts w:ascii="Calibri" w:hAnsi="Calibri"/>
          <w:lang w:val="en-GB"/>
        </w:rPr>
        <w:t xml:space="preserve"> the carbon atoms and </w:t>
      </w:r>
      <w:r w:rsidR="009D3F4F" w:rsidRPr="0024604A">
        <w:rPr>
          <w:rFonts w:ascii="Calibri" w:hAnsi="Calibri"/>
          <w:i/>
          <w:iCs/>
          <w:lang w:val="en-GB"/>
        </w:rPr>
        <w:t>Y</w:t>
      </w:r>
      <w:r w:rsidR="009D3F4F" w:rsidRPr="0024604A">
        <w:rPr>
          <w:rFonts w:ascii="Calibri" w:hAnsi="Calibri"/>
          <w:lang w:val="en-GB"/>
        </w:rPr>
        <w:t xml:space="preserve"> the </w:t>
      </w:r>
      <w:r w:rsidR="00FF3AF7" w:rsidRPr="0024604A">
        <w:rPr>
          <w:rFonts w:ascii="Calibri" w:hAnsi="Calibri"/>
          <w:lang w:val="en-GB"/>
        </w:rPr>
        <w:t xml:space="preserve">degree </w:t>
      </w:r>
      <w:r w:rsidR="009D3F4F" w:rsidRPr="0024604A">
        <w:rPr>
          <w:rFonts w:ascii="Calibri" w:hAnsi="Calibri"/>
          <w:lang w:val="en-GB"/>
        </w:rPr>
        <w:t xml:space="preserve">of unsaturations in </w:t>
      </w:r>
      <w:r w:rsidR="00FF3AF7" w:rsidRPr="0024604A">
        <w:rPr>
          <w:rFonts w:ascii="Calibri" w:hAnsi="Calibri"/>
          <w:lang w:val="en-GB"/>
        </w:rPr>
        <w:t xml:space="preserve">the </w:t>
      </w:r>
      <w:r w:rsidR="009D3F4F" w:rsidRPr="0024604A">
        <w:rPr>
          <w:rFonts w:ascii="Calibri" w:hAnsi="Calibri"/>
          <w:lang w:val="en-GB"/>
        </w:rPr>
        <w:t>side chains</w:t>
      </w:r>
      <w:r w:rsidR="00513E5D" w:rsidRPr="0024604A">
        <w:rPr>
          <w:rFonts w:ascii="Calibri" w:hAnsi="Calibri"/>
          <w:lang w:val="en-GB"/>
        </w:rPr>
        <w:t>,</w:t>
      </w:r>
      <w:r w:rsidR="009D3F4F" w:rsidRPr="0024604A">
        <w:rPr>
          <w:rFonts w:ascii="Calibri" w:hAnsi="Calibri"/>
          <w:lang w:val="en-GB"/>
        </w:rPr>
        <w:t xml:space="preserve"> respectively, is isobaric to a </w:t>
      </w:r>
      <w:r w:rsidR="009D3F4F" w:rsidRPr="0024604A">
        <w:rPr>
          <w:rFonts w:ascii="Calibri" w:hAnsi="Calibri"/>
          <w:i/>
          <w:iCs/>
          <w:lang w:val="en-GB"/>
        </w:rPr>
        <w:t>o</w:t>
      </w:r>
      <w:r w:rsidR="009D3F4F" w:rsidRPr="0024604A">
        <w:rPr>
          <w:rFonts w:ascii="Calibri" w:hAnsi="Calibri"/>
          <w:lang w:val="en-GB"/>
        </w:rPr>
        <w:t xml:space="preserve">-Z </w:t>
      </w:r>
      <w:r w:rsidR="009D3F4F" w:rsidRPr="0024604A">
        <w:rPr>
          <w:rFonts w:ascii="Calibri" w:hAnsi="Calibri"/>
          <w:i/>
          <w:iCs/>
          <w:lang w:val="en-GB"/>
        </w:rPr>
        <w:t>X</w:t>
      </w:r>
      <w:r w:rsidR="009D3F4F" w:rsidRPr="0024604A">
        <w:rPr>
          <w:rFonts w:ascii="Calibri" w:hAnsi="Calibri"/>
          <w:lang w:val="en-GB"/>
        </w:rPr>
        <w:t>:(</w:t>
      </w:r>
      <w:r w:rsidR="009D3F4F" w:rsidRPr="0024604A">
        <w:rPr>
          <w:rFonts w:ascii="Calibri" w:hAnsi="Calibri"/>
          <w:i/>
          <w:iCs/>
          <w:lang w:val="en-GB"/>
        </w:rPr>
        <w:t>Y</w:t>
      </w:r>
      <w:r w:rsidR="009D3F4F" w:rsidRPr="0024604A">
        <w:rPr>
          <w:rFonts w:ascii="Calibri" w:hAnsi="Calibri"/>
          <w:lang w:val="en-GB"/>
        </w:rPr>
        <w:t>-1) specie</w:t>
      </w:r>
      <w:r w:rsidR="005277AE" w:rsidRPr="0024604A">
        <w:rPr>
          <w:rFonts w:ascii="Calibri" w:hAnsi="Calibri"/>
          <w:lang w:val="en-GB"/>
        </w:rPr>
        <w:t>s</w:t>
      </w:r>
      <w:r w:rsidR="009D3F4F" w:rsidRPr="0024604A">
        <w:rPr>
          <w:rFonts w:ascii="Calibri" w:hAnsi="Calibri"/>
          <w:lang w:val="en-GB"/>
        </w:rPr>
        <w:t xml:space="preserve">; </w:t>
      </w:r>
      <w:r w:rsidR="004E43A1" w:rsidRPr="0024604A">
        <w:rPr>
          <w:rFonts w:ascii="Calibri" w:hAnsi="Calibri"/>
          <w:lang w:val="en-GB"/>
        </w:rPr>
        <w:t>MS/MS analysis c</w:t>
      </w:r>
      <w:r w:rsidR="00E575B7" w:rsidRPr="0024604A">
        <w:rPr>
          <w:rFonts w:ascii="Calibri" w:hAnsi="Calibri"/>
          <w:lang w:val="en-GB"/>
        </w:rPr>
        <w:t xml:space="preserve">arried out </w:t>
      </w:r>
      <w:r w:rsidR="004E43A1" w:rsidRPr="0024604A">
        <w:rPr>
          <w:rFonts w:ascii="Calibri" w:hAnsi="Calibri"/>
          <w:lang w:val="en-GB"/>
        </w:rPr>
        <w:t>in positive ion mode</w:t>
      </w:r>
      <w:r w:rsidR="009D3F4F" w:rsidRPr="0024604A">
        <w:rPr>
          <w:rFonts w:ascii="Calibri" w:hAnsi="Calibri"/>
          <w:lang w:val="en-GB"/>
        </w:rPr>
        <w:t xml:space="preserve"> can be used to </w:t>
      </w:r>
      <w:r w:rsidR="005277AE" w:rsidRPr="0024604A">
        <w:rPr>
          <w:rFonts w:ascii="Calibri" w:hAnsi="Calibri"/>
          <w:lang w:val="en-GB"/>
        </w:rPr>
        <w:t>discriminate</w:t>
      </w:r>
      <w:r w:rsidR="009D3F4F" w:rsidRPr="0024604A">
        <w:rPr>
          <w:rFonts w:ascii="Calibri" w:hAnsi="Calibri"/>
          <w:lang w:val="en-GB"/>
        </w:rPr>
        <w:t xml:space="preserve"> between these two </w:t>
      </w:r>
      <w:r w:rsidR="00E575B7" w:rsidRPr="0024604A">
        <w:rPr>
          <w:rFonts w:ascii="Calibri" w:hAnsi="Calibri"/>
          <w:lang w:val="en-GB"/>
        </w:rPr>
        <w:t>specie</w:t>
      </w:r>
      <w:r w:rsidR="009D3F4F" w:rsidRPr="0024604A">
        <w:rPr>
          <w:rFonts w:ascii="Calibri" w:hAnsi="Calibri"/>
          <w:lang w:val="en-GB"/>
        </w:rPr>
        <w:t xml:space="preserve">s </w:t>
      </w:r>
      <w:r w:rsidR="004E43A1" w:rsidRPr="0024604A">
        <w:rPr>
          <w:rFonts w:ascii="Calibri" w:hAnsi="Calibri"/>
          <w:lang w:val="en-GB"/>
        </w:rPr>
        <w:fldChar w:fldCharType="begin" w:fldLock="1"/>
      </w:r>
      <w:r w:rsidR="006126E3" w:rsidRPr="0024604A">
        <w:rPr>
          <w:rFonts w:ascii="Calibri" w:hAnsi="Calibri"/>
          <w:lang w:val="en-GB"/>
        </w:rPr>
        <w:instrText>ADDIN CSL_CITATION {"citationItems":[{"id":"ITEM-1","itemData":{"ISBN":"9781849738279","author":[{"dropping-particle":"","family":"Murphy","given":"Robert","non-dropping-particle":"","parse-names":false,"suffix":""}],"id":"ITEM-1","issued":{"date-parts":[["2015"]]},"number-of-pages":"1-295","title":"Tandem Mass Spectrometry of Lipids","type":"book"},"uris":["http://www.mendeley.com/documents/?uuid=4af22dfe-4872-4a38-a935-89187799f14c","http://www.mendeley.com/documents/?uuid=9390357f-92a7-498a-bcce-9c3a66ad2c84"]}],"mendeley":{"formattedCitation":"[47]","plainTextFormattedCitation":"[47]","previouslyFormattedCitation":"[47]"},"properties":{"noteIndex":0},"schema":"https://github.com/citation-style-language/schema/raw/master/csl-citation.json"}</w:instrText>
      </w:r>
      <w:r w:rsidR="004E43A1" w:rsidRPr="0024604A">
        <w:rPr>
          <w:rFonts w:ascii="Calibri" w:hAnsi="Calibri"/>
          <w:lang w:val="en-GB"/>
        </w:rPr>
        <w:fldChar w:fldCharType="separate"/>
      </w:r>
      <w:r w:rsidR="0089225B" w:rsidRPr="0024604A">
        <w:rPr>
          <w:rFonts w:ascii="Calibri" w:hAnsi="Calibri"/>
          <w:noProof/>
          <w:lang w:val="en-GB"/>
        </w:rPr>
        <w:t>[47]</w:t>
      </w:r>
      <w:r w:rsidR="004E43A1" w:rsidRPr="0024604A">
        <w:rPr>
          <w:rFonts w:ascii="Calibri" w:hAnsi="Calibri"/>
          <w:lang w:val="en-GB"/>
        </w:rPr>
        <w:fldChar w:fldCharType="end"/>
      </w:r>
      <w:r w:rsidR="009D3F4F" w:rsidRPr="0024604A">
        <w:rPr>
          <w:rFonts w:ascii="Calibri" w:hAnsi="Calibri"/>
          <w:lang w:val="en-GB"/>
        </w:rPr>
        <w:t xml:space="preserve">. </w:t>
      </w:r>
      <w:r w:rsidR="00E575B7" w:rsidRPr="0024604A">
        <w:rPr>
          <w:rFonts w:ascii="Calibri" w:hAnsi="Calibri"/>
          <w:lang w:val="en-GB"/>
        </w:rPr>
        <w:t xml:space="preserve">Note that </w:t>
      </w:r>
      <w:r w:rsidR="009D3F4F" w:rsidRPr="0024604A">
        <w:rPr>
          <w:rFonts w:ascii="Calibri" w:hAnsi="Calibri"/>
          <w:lang w:val="en-GB"/>
        </w:rPr>
        <w:t xml:space="preserve">in the first part of the work this information </w:t>
      </w:r>
      <w:r w:rsidR="00E575B7" w:rsidRPr="0024604A">
        <w:rPr>
          <w:rFonts w:ascii="Calibri" w:hAnsi="Calibri"/>
          <w:lang w:val="en-GB"/>
        </w:rPr>
        <w:t>wa</w:t>
      </w:r>
      <w:r w:rsidR="009D3F4F" w:rsidRPr="0024604A">
        <w:rPr>
          <w:rFonts w:ascii="Calibri" w:hAnsi="Calibri"/>
          <w:lang w:val="en-GB"/>
        </w:rPr>
        <w:t xml:space="preserve">s not crucial and </w:t>
      </w:r>
      <w:proofErr w:type="spellStart"/>
      <w:r w:rsidR="009D3F4F" w:rsidRPr="0024604A">
        <w:rPr>
          <w:rFonts w:ascii="Calibri" w:hAnsi="Calibri"/>
          <w:lang w:val="en-GB"/>
        </w:rPr>
        <w:t>plasmanyl</w:t>
      </w:r>
      <w:proofErr w:type="spellEnd"/>
      <w:r w:rsidR="009D3F4F" w:rsidRPr="0024604A">
        <w:rPr>
          <w:rFonts w:ascii="Calibri" w:hAnsi="Calibri"/>
          <w:lang w:val="en-GB"/>
        </w:rPr>
        <w:t xml:space="preserve">- and </w:t>
      </w:r>
      <w:proofErr w:type="spellStart"/>
      <w:r w:rsidR="009D3F4F" w:rsidRPr="0024604A">
        <w:rPr>
          <w:rFonts w:ascii="Calibri" w:hAnsi="Calibri"/>
          <w:lang w:val="en-GB"/>
        </w:rPr>
        <w:t>plasmenyl</w:t>
      </w:r>
      <w:proofErr w:type="spellEnd"/>
      <w:r w:rsidR="009D3F4F" w:rsidRPr="0024604A">
        <w:rPr>
          <w:rFonts w:ascii="Calibri" w:hAnsi="Calibri"/>
          <w:lang w:val="en-GB"/>
        </w:rPr>
        <w:t xml:space="preserve">-phospholipids </w:t>
      </w:r>
      <w:r w:rsidR="00E575B7" w:rsidRPr="0024604A">
        <w:rPr>
          <w:rFonts w:ascii="Calibri" w:hAnsi="Calibri"/>
          <w:lang w:val="en-GB"/>
        </w:rPr>
        <w:t>wer</w:t>
      </w:r>
      <w:r w:rsidR="009D3F4F" w:rsidRPr="0024604A">
        <w:rPr>
          <w:rFonts w:ascii="Calibri" w:hAnsi="Calibri"/>
          <w:lang w:val="en-GB"/>
        </w:rPr>
        <w:t>e indifferently indicated as –</w:t>
      </w:r>
      <w:r w:rsidR="00DA4C86" w:rsidRPr="0024604A">
        <w:rPr>
          <w:rFonts w:ascii="Calibri" w:hAnsi="Calibri"/>
          <w:i/>
          <w:iCs/>
          <w:lang w:val="en-GB"/>
        </w:rPr>
        <w:t>O</w:t>
      </w:r>
      <w:r w:rsidR="009D3F4F" w:rsidRPr="0024604A">
        <w:rPr>
          <w:rFonts w:ascii="Calibri" w:hAnsi="Calibri"/>
          <w:lang w:val="en-GB"/>
        </w:rPr>
        <w:t xml:space="preserve"> and fully characterized </w:t>
      </w:r>
      <w:r w:rsidR="005277AE" w:rsidRPr="0024604A">
        <w:rPr>
          <w:rFonts w:ascii="Calibri" w:hAnsi="Calibri"/>
          <w:lang w:val="en-GB"/>
        </w:rPr>
        <w:t xml:space="preserve">later </w:t>
      </w:r>
      <w:r w:rsidR="009D3F4F" w:rsidRPr="0024604A">
        <w:rPr>
          <w:rFonts w:ascii="Calibri" w:hAnsi="Calibri"/>
          <w:lang w:val="en-GB"/>
        </w:rPr>
        <w:t xml:space="preserve">in the </w:t>
      </w:r>
      <w:proofErr w:type="spellStart"/>
      <w:r w:rsidR="009D3F4F" w:rsidRPr="0024604A">
        <w:rPr>
          <w:rFonts w:ascii="Calibri" w:hAnsi="Calibri"/>
          <w:lang w:val="en-GB"/>
        </w:rPr>
        <w:t>phospholipidomics</w:t>
      </w:r>
      <w:proofErr w:type="spellEnd"/>
      <w:r w:rsidR="009D3F4F" w:rsidRPr="0024604A">
        <w:rPr>
          <w:rFonts w:ascii="Calibri" w:hAnsi="Calibri"/>
          <w:lang w:val="en-GB"/>
        </w:rPr>
        <w:t xml:space="preserve"> of ASD disease. </w:t>
      </w:r>
    </w:p>
    <w:p w14:paraId="5FD14941" w14:textId="37A8D332" w:rsidR="00664624" w:rsidRPr="0024604A" w:rsidRDefault="009D3F4F" w:rsidP="00C57C81">
      <w:pPr>
        <w:autoSpaceDE w:val="0"/>
        <w:autoSpaceDN w:val="0"/>
        <w:adjustRightInd w:val="0"/>
        <w:spacing w:line="480" w:lineRule="auto"/>
        <w:ind w:firstLine="708"/>
        <w:jc w:val="both"/>
        <w:rPr>
          <w:rFonts w:ascii="Calibri" w:hAnsi="Calibri"/>
          <w:lang w:val="en-GB"/>
        </w:rPr>
      </w:pPr>
      <w:r w:rsidRPr="0024604A">
        <w:rPr>
          <w:rFonts w:ascii="Calibri" w:hAnsi="Calibri"/>
          <w:lang w:val="en-GB"/>
        </w:rPr>
        <w:t xml:space="preserve">To create </w:t>
      </w:r>
      <w:r w:rsidR="00E575B7" w:rsidRPr="0024604A">
        <w:rPr>
          <w:rFonts w:ascii="Calibri" w:hAnsi="Calibri"/>
          <w:lang w:val="en-GB"/>
        </w:rPr>
        <w:t xml:space="preserve">the </w:t>
      </w:r>
      <w:r w:rsidR="00D5220B" w:rsidRPr="0024604A">
        <w:rPr>
          <w:rFonts w:ascii="Calibri" w:hAnsi="Calibri"/>
          <w:lang w:val="en-GB"/>
        </w:rPr>
        <w:t>Alex</w:t>
      </w:r>
      <w:r w:rsidR="00D5220B" w:rsidRPr="0024604A">
        <w:rPr>
          <w:rFonts w:ascii="Calibri" w:hAnsi="Calibri"/>
          <w:vertAlign w:val="superscript"/>
          <w:lang w:val="en-GB"/>
        </w:rPr>
        <w:t>123</w:t>
      </w:r>
      <w:r w:rsidR="00D5220B" w:rsidRPr="0024604A">
        <w:rPr>
          <w:rFonts w:ascii="Calibri" w:hAnsi="Calibri"/>
          <w:lang w:val="en-GB"/>
        </w:rPr>
        <w:t xml:space="preserve"> </w:t>
      </w:r>
      <w:r w:rsidRPr="0024604A">
        <w:rPr>
          <w:rFonts w:ascii="Calibri" w:hAnsi="Calibri"/>
          <w:lang w:val="en-GB"/>
        </w:rPr>
        <w:t xml:space="preserve">database, only unambiguous identifications were </w:t>
      </w:r>
      <w:r w:rsidR="005277AE" w:rsidRPr="0024604A">
        <w:rPr>
          <w:rFonts w:ascii="Calibri" w:hAnsi="Calibri"/>
          <w:lang w:val="en-GB"/>
        </w:rPr>
        <w:t>selected</w:t>
      </w:r>
      <w:r w:rsidR="00A213A0" w:rsidRPr="0024604A">
        <w:rPr>
          <w:rFonts w:ascii="Calibri" w:hAnsi="Calibri"/>
          <w:lang w:val="en-GB"/>
        </w:rPr>
        <w:t xml:space="preserve"> to obtain putatively annotated compounds on the basis of intra-laboratory class retention time and Orbitrap </w:t>
      </w:r>
      <w:r w:rsidR="00FF3AF7" w:rsidRPr="0024604A">
        <w:rPr>
          <w:rFonts w:ascii="Calibri" w:hAnsi="Calibri"/>
          <w:lang w:val="en-GB"/>
        </w:rPr>
        <w:t xml:space="preserve">FTMS </w:t>
      </w:r>
      <w:r w:rsidR="00A213A0" w:rsidRPr="0024604A">
        <w:rPr>
          <w:rFonts w:ascii="Calibri" w:hAnsi="Calibri"/>
          <w:lang w:val="en-GB"/>
        </w:rPr>
        <w:t xml:space="preserve">accurate mass </w:t>
      </w:r>
      <w:r w:rsidR="00A213A0" w:rsidRPr="0024604A">
        <w:rPr>
          <w:rFonts w:ascii="Calibri" w:hAnsi="Calibri"/>
          <w:lang w:val="en-GB"/>
        </w:rPr>
        <w:fldChar w:fldCharType="begin" w:fldLock="1"/>
      </w:r>
      <w:r w:rsidR="006126E3" w:rsidRPr="0024604A">
        <w:rPr>
          <w:rFonts w:ascii="Calibri" w:hAnsi="Calibri"/>
          <w:lang w:val="en-GB"/>
        </w:rPr>
        <w:instrText>ADDIN CSL_CITATION {"citationItems":[{"id":"ITEM-1","itemData":{"DOI":"10.1007/s11306-007-0082-2","ISBN":"1130600700822","ISSN":"1573-3882","PMID":"24039616","abstract":"There is a general consensus that supports the need for standardized reporting of metadata or information describing large-scale metabolomics and other functional genomics data sets. Reporting of standard metadata provides a biological and empirical context for the data, facilitates experimental replication, and enables the re-interrogation and comparison of data by others. Accordingly, the Metabolomics Standards Initiative is building a general consensus concerning the minimum reporting standards for metabolomics experiments of which the Chemical Analysis Working Group (CAWG) is a member of this community effort. This article proposes the minimum reporting standards related to the chemical analysis aspects of metabolomics experiments including: sample preparation, experimental analysis, quality control, metabolite identification, and data pre-processing. These minimum standards currently focus mostly upon mass spectrometry and nuclear magnetic resonance spectroscopy due to the popularity of these techniques in metabolomics. However, additional input concerning other techniques is welcomed and can be provided via the CAWG on-line discussion forum at http://msi- workgroups.sourceforge.net/ or http://Msi-workgroups-feedback@lists.sourceforge.net. Further, community input related to this document can also be provided via this electronic forum.","author":[{"dropping-particle":"","family":"Sumner","given":"Lloyd W","non-dropping-particle":"","parse-names":false,"suffix":""},{"dropping-particle":"","family":"Amberg","given":"Alexander","non-dropping-particle":"","parse-names":false,"suffix":""},{"dropping-particle":"","family":"Barrett","given":"Dave","non-dropping-particle":"","parse-names":false,"suffix":""},{"dropping-particle":"","family":"Beale","given":"Michael H","non-dropping-particle":"","parse-names":false,"suffix":""},{"dropping-particle":"","family":"Beger","given":"Richard","non-dropping-particle":"","parse-names":false,"suffix":""},{"dropping-particle":"","family":"Daykin","given":"Clare A","non-dropping-particle":"","parse-names":false,"suffix":""},{"dropping-particle":"","family":"Fan","given":"Teresa W.-M","non-dropping-particle":"","parse-names":false,"suffix":""},{"dropping-particle":"","family":"Fiehn","given":"Oliver","non-dropping-particle":"","parse-names":false,"suffix":""},{"dropping-particle":"","family":"Goodacre","given":"Royston","non-dropping-particle":"","parse-names":false,"suffix":""},{"dropping-particle":"","family":"Griffin","given":"Julian L","non-dropping-particle":"","parse-names":false,"suffix":""},{"dropping-particle":"","family":"Hankemeier","given":"Thomas","non-dropping-particle":"","parse-names":false,"suffix":""},{"dropping-particle":"","family":"Hardy","given":"Nigel","non-dropping-particle":"","parse-names":false,"suffix":""},{"dropping-particle":"","family":"Harnly","given":"James","non-dropping-particle":"","parse-names":false,"suffix":""},{"dropping-particle":"","family":"Higashi","given":"Richard","non-dropping-particle":"","parse-names":false,"suffix":""},{"dropping-particle":"","family":"Kopka","given":"Joachim","non-dropping-particle":"","parse-names":false,"suffix":""},{"dropping-particle":"","family":"Lane","given":"Andrew N.","non-dropping-particle":"","parse-names":false,"suffix":""},{"dropping-particle":"","family":"Lindon","given":"John C.","non-dropping-particle":"","parse-names":false,"suffix":""},{"dropping-particle":"","family":"Marriott","given":"Philip","non-dropping-particle":"","parse-names":false,"suffix":""},{"dropping-particle":"","family":"Nicholls","given":"Andrew W.","non-dropping-particle":"","parse-names":false,"suffix":""},{"dropping-particle":"","family":"Reily","given":"Michael D.","non-dropping-particle":"","parse-names":false,"suffix":""},{"dropping-particle":"","family":"Thaden","given":"John J.","non-dropping-particle":"","parse-names":false,"suffix":""},{"dropping-particle":"","family":"Viant","given":"Mark R.","non-dropping-particle":"","parse-names":false,"suffix":""}],"container-title":"Metabolomics","id":"ITEM-1","issue":"3","issued":{"date-parts":[["2007","9"]]},"page":"211-221","title":"Proposed minimum reporting standards for chemical analysis","type":"article-journal","volume":"3"},"uris":["http://www.mendeley.com/documents/?uuid=a253854c-e021-4d8e-9c0b-f724ed3e352a","http://www.mendeley.com/documents/?uuid=63631402-59d9-486d-a87c-29742fa2bcf9"]}],"mendeley":{"formattedCitation":"[48]","plainTextFormattedCitation":"[48]","previouslyFormattedCitation":"[48]"},"properties":{"noteIndex":0},"schema":"https://github.com/citation-style-language/schema/raw/master/csl-citation.json"}</w:instrText>
      </w:r>
      <w:r w:rsidR="00A213A0" w:rsidRPr="0024604A">
        <w:rPr>
          <w:rFonts w:ascii="Calibri" w:hAnsi="Calibri"/>
          <w:lang w:val="en-GB"/>
        </w:rPr>
        <w:fldChar w:fldCharType="separate"/>
      </w:r>
      <w:r w:rsidR="0089225B" w:rsidRPr="0024604A">
        <w:rPr>
          <w:rFonts w:ascii="Calibri" w:hAnsi="Calibri"/>
          <w:noProof/>
          <w:lang w:val="en-GB"/>
        </w:rPr>
        <w:t>[48]</w:t>
      </w:r>
      <w:r w:rsidR="00A213A0" w:rsidRPr="0024604A">
        <w:rPr>
          <w:rFonts w:ascii="Calibri" w:hAnsi="Calibri"/>
          <w:lang w:val="en-GB"/>
        </w:rPr>
        <w:fldChar w:fldCharType="end"/>
      </w:r>
      <w:r w:rsidRPr="0024604A">
        <w:rPr>
          <w:rFonts w:ascii="Calibri" w:hAnsi="Calibri"/>
          <w:lang w:val="en-GB"/>
        </w:rPr>
        <w:t xml:space="preserve">. For </w:t>
      </w:r>
      <w:r w:rsidR="001F7394" w:rsidRPr="0024604A">
        <w:rPr>
          <w:rFonts w:ascii="Calibri" w:hAnsi="Calibri"/>
          <w:lang w:val="en-GB"/>
        </w:rPr>
        <w:t>instance</w:t>
      </w:r>
      <w:r w:rsidRPr="0024604A">
        <w:rPr>
          <w:rFonts w:ascii="Calibri" w:hAnsi="Calibri"/>
          <w:lang w:val="en-GB"/>
        </w:rPr>
        <w:t xml:space="preserve">, source-induced </w:t>
      </w:r>
      <w:r w:rsidR="006D2437" w:rsidRPr="0024604A">
        <w:rPr>
          <w:rFonts w:ascii="Calibri" w:hAnsi="Calibri"/>
          <w:lang w:val="en-GB"/>
        </w:rPr>
        <w:t xml:space="preserve">dissociation </w:t>
      </w:r>
      <w:r w:rsidRPr="0024604A">
        <w:rPr>
          <w:rFonts w:ascii="Calibri" w:hAnsi="Calibri"/>
          <w:lang w:val="en-GB"/>
        </w:rPr>
        <w:t>(</w:t>
      </w:r>
      <w:proofErr w:type="spellStart"/>
      <w:r w:rsidRPr="0024604A">
        <w:rPr>
          <w:rFonts w:ascii="Calibri" w:hAnsi="Calibri"/>
          <w:lang w:val="en-GB"/>
        </w:rPr>
        <w:t>sid</w:t>
      </w:r>
      <w:proofErr w:type="spellEnd"/>
      <w:r w:rsidRPr="0024604A">
        <w:rPr>
          <w:rFonts w:ascii="Calibri" w:hAnsi="Calibri"/>
          <w:lang w:val="en-GB"/>
        </w:rPr>
        <w:t>) enhance</w:t>
      </w:r>
      <w:r w:rsidR="005277AE" w:rsidRPr="0024604A">
        <w:rPr>
          <w:rFonts w:ascii="Calibri" w:hAnsi="Calibri"/>
          <w:lang w:val="en-GB"/>
        </w:rPr>
        <w:t>s</w:t>
      </w:r>
      <w:r w:rsidRPr="0024604A">
        <w:rPr>
          <w:rFonts w:ascii="Calibri" w:hAnsi="Calibri"/>
          <w:lang w:val="en-GB"/>
        </w:rPr>
        <w:t xml:space="preserve"> the generation of [M-CH</w:t>
      </w:r>
      <w:r w:rsidRPr="0024604A">
        <w:rPr>
          <w:rFonts w:ascii="Calibri" w:hAnsi="Calibri"/>
          <w:vertAlign w:val="subscript"/>
          <w:lang w:val="en-GB"/>
        </w:rPr>
        <w:t>3</w:t>
      </w:r>
      <w:r w:rsidRPr="0024604A">
        <w:rPr>
          <w:rFonts w:ascii="Calibri" w:hAnsi="Calibri"/>
          <w:lang w:val="en-GB"/>
        </w:rPr>
        <w:t>]</w:t>
      </w:r>
      <w:r w:rsidRPr="0024604A">
        <w:rPr>
          <w:rFonts w:ascii="Calibri" w:hAnsi="Calibri"/>
          <w:vertAlign w:val="superscript"/>
          <w:lang w:val="en-GB"/>
        </w:rPr>
        <w:t>−</w:t>
      </w:r>
      <w:r w:rsidRPr="0024604A">
        <w:rPr>
          <w:rFonts w:ascii="Calibri" w:hAnsi="Calibri"/>
          <w:lang w:val="en-GB"/>
        </w:rPr>
        <w:t xml:space="preserve"> ions in PL bearing a choline moiety in the polar head, i.e., PC, LPC, and SM (M represents the zwitterionic form of these PL) that otherwise ionize mainly as formate [M+HCOO</w:t>
      </w:r>
      <w:r w:rsidR="001F7394" w:rsidRPr="0024604A">
        <w:rPr>
          <w:rFonts w:ascii="Calibri" w:hAnsi="Calibri"/>
          <w:lang w:val="en-GB"/>
        </w:rPr>
        <w:t>]</w:t>
      </w:r>
      <w:r w:rsidR="001F7394" w:rsidRPr="0024604A">
        <w:rPr>
          <w:rFonts w:ascii="Calibri" w:hAnsi="Calibri"/>
          <w:vertAlign w:val="superscript"/>
          <w:lang w:val="en-GB"/>
        </w:rPr>
        <w:t>−</w:t>
      </w:r>
      <w:r w:rsidRPr="0024604A">
        <w:rPr>
          <w:rFonts w:ascii="Calibri" w:hAnsi="Calibri"/>
          <w:lang w:val="en-GB"/>
        </w:rPr>
        <w:t xml:space="preserve"> adducts</w:t>
      </w:r>
      <w:r w:rsidR="005277AE" w:rsidRPr="0024604A">
        <w:rPr>
          <w:rFonts w:ascii="Calibri" w:hAnsi="Calibri"/>
          <w:lang w:val="en-GB"/>
        </w:rPr>
        <w:t xml:space="preserve"> often </w:t>
      </w:r>
      <w:r w:rsidRPr="0024604A">
        <w:rPr>
          <w:rFonts w:ascii="Calibri" w:hAnsi="Calibri"/>
          <w:lang w:val="en-GB"/>
        </w:rPr>
        <w:t>confusingly with alternative isobar</w:t>
      </w:r>
      <w:r w:rsidR="005277AE" w:rsidRPr="0024604A">
        <w:rPr>
          <w:rFonts w:ascii="Calibri" w:hAnsi="Calibri"/>
          <w:lang w:val="en-GB"/>
        </w:rPr>
        <w:t>ic</w:t>
      </w:r>
      <w:r w:rsidRPr="0024604A">
        <w:rPr>
          <w:rFonts w:ascii="Calibri" w:hAnsi="Calibri"/>
          <w:lang w:val="en-GB"/>
        </w:rPr>
        <w:t xml:space="preserve"> species: e.g., </w:t>
      </w:r>
      <w:r w:rsidR="001F7394" w:rsidRPr="0024604A">
        <w:rPr>
          <w:rFonts w:ascii="Calibri" w:hAnsi="Calibri"/>
          <w:lang w:val="en-GB"/>
        </w:rPr>
        <w:t xml:space="preserve">the formate adduct of </w:t>
      </w:r>
      <w:r w:rsidRPr="0024604A">
        <w:rPr>
          <w:rFonts w:ascii="Calibri" w:hAnsi="Calibri"/>
          <w:lang w:val="en-GB"/>
        </w:rPr>
        <w:t xml:space="preserve">PC 36:2 is isobaric </w:t>
      </w:r>
      <w:r w:rsidR="001F7394" w:rsidRPr="0024604A">
        <w:rPr>
          <w:rFonts w:ascii="Calibri" w:hAnsi="Calibri"/>
          <w:lang w:val="en-GB"/>
        </w:rPr>
        <w:t xml:space="preserve">with </w:t>
      </w:r>
      <w:r w:rsidRPr="0024604A">
        <w:rPr>
          <w:rFonts w:ascii="Calibri" w:hAnsi="Calibri"/>
          <w:lang w:val="en-GB"/>
        </w:rPr>
        <w:t>t</w:t>
      </w:r>
      <w:r w:rsidR="001F7394" w:rsidRPr="0024604A">
        <w:rPr>
          <w:rFonts w:ascii="Calibri" w:hAnsi="Calibri"/>
          <w:lang w:val="en-GB"/>
        </w:rPr>
        <w:t>he</w:t>
      </w:r>
      <w:r w:rsidRPr="0024604A">
        <w:rPr>
          <w:rFonts w:ascii="Calibri" w:hAnsi="Calibri"/>
          <w:lang w:val="en-GB"/>
        </w:rPr>
        <w:t xml:space="preserve"> </w:t>
      </w:r>
      <w:r w:rsidR="001F7394" w:rsidRPr="0024604A">
        <w:rPr>
          <w:rFonts w:ascii="Calibri" w:hAnsi="Calibri"/>
          <w:lang w:val="en-GB"/>
        </w:rPr>
        <w:t xml:space="preserve">acetate adduct of </w:t>
      </w:r>
      <w:r w:rsidRPr="0024604A">
        <w:rPr>
          <w:rFonts w:ascii="Calibri" w:hAnsi="Calibri"/>
          <w:lang w:val="en-GB"/>
        </w:rPr>
        <w:t xml:space="preserve">PC 35:2. </w:t>
      </w:r>
      <w:r w:rsidR="001F7394" w:rsidRPr="0024604A">
        <w:rPr>
          <w:rFonts w:ascii="Calibri" w:hAnsi="Calibri"/>
          <w:lang w:val="en-GB"/>
        </w:rPr>
        <w:t>Therefore</w:t>
      </w:r>
      <w:r w:rsidR="00423C2E" w:rsidRPr="0024604A">
        <w:rPr>
          <w:rFonts w:ascii="Calibri" w:hAnsi="Calibri"/>
          <w:lang w:val="en-GB"/>
        </w:rPr>
        <w:t>, after RSD criterion application</w:t>
      </w:r>
      <w:r w:rsidR="00D30781" w:rsidRPr="0024604A">
        <w:rPr>
          <w:rFonts w:ascii="Calibri" w:hAnsi="Calibri"/>
          <w:lang w:val="en-GB"/>
        </w:rPr>
        <w:t xml:space="preserve">, </w:t>
      </w:r>
      <w:r w:rsidR="00921FE8" w:rsidRPr="0024604A">
        <w:rPr>
          <w:rFonts w:ascii="Calibri" w:hAnsi="Calibri"/>
          <w:lang w:val="en-GB"/>
        </w:rPr>
        <w:t>324</w:t>
      </w:r>
      <w:r w:rsidR="00D30781" w:rsidRPr="0024604A">
        <w:rPr>
          <w:rFonts w:ascii="Calibri" w:hAnsi="Calibri"/>
          <w:lang w:val="en-GB"/>
        </w:rPr>
        <w:t xml:space="preserve"> variables were </w:t>
      </w:r>
      <w:r w:rsidR="001F7394" w:rsidRPr="0024604A">
        <w:rPr>
          <w:rFonts w:ascii="Calibri" w:hAnsi="Calibri"/>
          <w:lang w:val="en-GB"/>
        </w:rPr>
        <w:t>obtaine</w:t>
      </w:r>
      <w:r w:rsidR="00D30781" w:rsidRPr="0024604A">
        <w:rPr>
          <w:rFonts w:ascii="Calibri" w:hAnsi="Calibri"/>
          <w:lang w:val="en-GB"/>
        </w:rPr>
        <w:t>d (</w:t>
      </w:r>
      <w:r w:rsidR="00D30781" w:rsidRPr="0024604A">
        <w:rPr>
          <w:rFonts w:ascii="Calibri" w:hAnsi="Calibri"/>
          <w:i/>
          <w:iCs/>
          <w:lang w:val="en-GB"/>
        </w:rPr>
        <w:t>i.e.</w:t>
      </w:r>
      <w:r w:rsidR="00D30781" w:rsidRPr="0024604A">
        <w:rPr>
          <w:rFonts w:ascii="Calibri" w:hAnsi="Calibri"/>
          <w:lang w:val="en-GB"/>
        </w:rPr>
        <w:t>, 17 Hex</w:t>
      </w:r>
      <w:r w:rsidR="00D30781" w:rsidRPr="0024604A">
        <w:rPr>
          <w:rFonts w:ascii="Calibri" w:hAnsi="Calibri"/>
          <w:vertAlign w:val="subscript"/>
          <w:lang w:val="en-GB"/>
        </w:rPr>
        <w:t>2</w:t>
      </w:r>
      <w:r w:rsidR="00D30781" w:rsidRPr="0024604A">
        <w:rPr>
          <w:rFonts w:ascii="Calibri" w:hAnsi="Calibri"/>
          <w:lang w:val="en-GB"/>
        </w:rPr>
        <w:t xml:space="preserve">Cer, 12 </w:t>
      </w:r>
      <w:r w:rsidR="00734C08" w:rsidRPr="0024604A">
        <w:rPr>
          <w:rFonts w:ascii="Calibri" w:hAnsi="Calibri"/>
          <w:lang w:val="en-GB"/>
        </w:rPr>
        <w:t>LPC</w:t>
      </w:r>
      <w:r w:rsidR="00D30781" w:rsidRPr="0024604A">
        <w:rPr>
          <w:rFonts w:ascii="Calibri" w:hAnsi="Calibri"/>
          <w:lang w:val="en-GB"/>
        </w:rPr>
        <w:t xml:space="preserve">, 4 LPC-O, 20 LPE, 15 LPE-O, 39 PC, 23 PC-O, 49 PE, 40 PE-O, 27 PG, 18 PI, 33 PS </w:t>
      </w:r>
      <w:r w:rsidR="00921FE8" w:rsidRPr="0024604A">
        <w:rPr>
          <w:rFonts w:ascii="Calibri" w:hAnsi="Calibri"/>
          <w:lang w:val="en-GB"/>
        </w:rPr>
        <w:t>and 27 SM).</w:t>
      </w:r>
      <w:bookmarkStart w:id="14" w:name="_Hlk42079177"/>
      <w:r w:rsidR="001B3357" w:rsidRPr="0024604A">
        <w:rPr>
          <w:rFonts w:ascii="Calibri" w:hAnsi="Calibri"/>
          <w:lang w:val="en-GB"/>
        </w:rPr>
        <w:t xml:space="preserve"> </w:t>
      </w:r>
      <w:bookmarkStart w:id="15" w:name="_Hlk42148074"/>
      <w:r w:rsidR="001B3357" w:rsidRPr="0024604A">
        <w:rPr>
          <w:rFonts w:ascii="Calibri" w:hAnsi="Calibri"/>
          <w:lang w:val="en-GB"/>
        </w:rPr>
        <w:t xml:space="preserve">Relative class </w:t>
      </w:r>
      <w:r w:rsidR="001B3357" w:rsidRPr="0024604A">
        <w:rPr>
          <w:rFonts w:ascii="Calibri" w:hAnsi="Calibri"/>
          <w:lang w:val="en-GB"/>
        </w:rPr>
        <w:lastRenderedPageBreak/>
        <w:t xml:space="preserve">normalized abundance in QC samples, together with </w:t>
      </w:r>
      <w:r w:rsidR="00462F87" w:rsidRPr="0024604A">
        <w:rPr>
          <w:rFonts w:ascii="Calibri" w:hAnsi="Calibri"/>
          <w:lang w:val="en-GB"/>
        </w:rPr>
        <w:t>standard deviations</w:t>
      </w:r>
      <w:r w:rsidR="001B3357" w:rsidRPr="0024604A">
        <w:rPr>
          <w:rFonts w:ascii="Calibri" w:hAnsi="Calibri"/>
          <w:lang w:val="en-GB"/>
        </w:rPr>
        <w:t xml:space="preserve"> are listed in </w:t>
      </w:r>
      <w:r w:rsidR="001B3357" w:rsidRPr="0024604A">
        <w:rPr>
          <w:rFonts w:ascii="Calibri" w:hAnsi="Calibri"/>
          <w:b/>
          <w:bCs/>
          <w:lang w:val="en-GB"/>
        </w:rPr>
        <w:t>Table S3.</w:t>
      </w:r>
      <w:bookmarkEnd w:id="14"/>
      <w:r w:rsidR="00921FE8" w:rsidRPr="0024604A">
        <w:rPr>
          <w:rFonts w:ascii="Calibri" w:hAnsi="Calibri"/>
          <w:lang w:val="en-GB"/>
        </w:rPr>
        <w:t xml:space="preserve"> </w:t>
      </w:r>
      <w:bookmarkEnd w:id="15"/>
      <w:r w:rsidR="001F7394" w:rsidRPr="0024604A">
        <w:rPr>
          <w:rFonts w:ascii="Calibri" w:hAnsi="Calibri"/>
          <w:lang w:val="en-GB"/>
        </w:rPr>
        <w:t>T</w:t>
      </w:r>
      <w:r w:rsidR="00764A32" w:rsidRPr="0024604A">
        <w:rPr>
          <w:rFonts w:ascii="Calibri" w:hAnsi="Calibri"/>
          <w:lang w:val="en-GB"/>
        </w:rPr>
        <w:t>he score</w:t>
      </w:r>
      <w:r w:rsidR="00921FE8" w:rsidRPr="0024604A">
        <w:rPr>
          <w:rFonts w:ascii="Calibri" w:hAnsi="Calibri"/>
          <w:lang w:val="en-GB"/>
        </w:rPr>
        <w:t xml:space="preserve"> plot obtained by using all the</w:t>
      </w:r>
      <w:r w:rsidR="00FF3AF7" w:rsidRPr="0024604A">
        <w:rPr>
          <w:rFonts w:ascii="Calibri" w:hAnsi="Calibri"/>
          <w:lang w:val="en-GB"/>
        </w:rPr>
        <w:t>se</w:t>
      </w:r>
      <w:r w:rsidR="00921FE8" w:rsidRPr="0024604A">
        <w:rPr>
          <w:rFonts w:ascii="Calibri" w:hAnsi="Calibri"/>
          <w:lang w:val="en-GB"/>
        </w:rPr>
        <w:t xml:space="preserve"> variables and then a row normalization gave </w:t>
      </w:r>
      <w:r w:rsidR="00186CE4" w:rsidRPr="0024604A">
        <w:rPr>
          <w:rFonts w:ascii="Calibri" w:hAnsi="Calibri"/>
          <w:lang w:val="en-GB"/>
        </w:rPr>
        <w:t>good clusteri</w:t>
      </w:r>
      <w:r w:rsidR="006135EF" w:rsidRPr="0024604A">
        <w:rPr>
          <w:rFonts w:ascii="Calibri" w:hAnsi="Calibri"/>
          <w:lang w:val="en-GB"/>
        </w:rPr>
        <w:t>ng</w:t>
      </w:r>
      <w:r w:rsidR="00186CE4" w:rsidRPr="0024604A">
        <w:rPr>
          <w:rFonts w:ascii="Calibri" w:hAnsi="Calibri"/>
          <w:lang w:val="en-GB"/>
        </w:rPr>
        <w:t xml:space="preserve"> of QC in the middle of the </w:t>
      </w:r>
      <w:r w:rsidR="006135EF" w:rsidRPr="0024604A">
        <w:rPr>
          <w:rFonts w:ascii="Calibri" w:hAnsi="Calibri"/>
          <w:lang w:val="en-GB"/>
        </w:rPr>
        <w:t xml:space="preserve">PCA </w:t>
      </w:r>
      <w:r w:rsidR="00186CE4" w:rsidRPr="0024604A">
        <w:rPr>
          <w:rFonts w:ascii="Calibri" w:hAnsi="Calibri"/>
          <w:lang w:val="en-GB"/>
        </w:rPr>
        <w:t>score plot</w:t>
      </w:r>
      <w:r w:rsidR="006135EF" w:rsidRPr="0024604A">
        <w:rPr>
          <w:rFonts w:ascii="Calibri" w:hAnsi="Calibri"/>
          <w:lang w:val="en-GB"/>
        </w:rPr>
        <w:t xml:space="preserve">, highlighting that the data processing </w:t>
      </w:r>
      <w:r w:rsidR="00FF3AF7" w:rsidRPr="0024604A">
        <w:rPr>
          <w:rFonts w:ascii="Calibri" w:hAnsi="Calibri"/>
          <w:lang w:val="en-GB"/>
        </w:rPr>
        <w:t xml:space="preserve">did </w:t>
      </w:r>
      <w:r w:rsidR="006135EF" w:rsidRPr="0024604A">
        <w:rPr>
          <w:rFonts w:ascii="Calibri" w:hAnsi="Calibri"/>
          <w:lang w:val="en-GB"/>
        </w:rPr>
        <w:t xml:space="preserve">not introduce any artefacts into the </w:t>
      </w:r>
      <w:r w:rsidR="00B65CB0" w:rsidRPr="0024604A">
        <w:rPr>
          <w:rFonts w:ascii="Calibri" w:hAnsi="Calibri"/>
          <w:lang w:val="en-GB"/>
        </w:rPr>
        <w:t xml:space="preserve">data </w:t>
      </w:r>
      <w:r w:rsidR="00A140DB" w:rsidRPr="0024604A">
        <w:rPr>
          <w:rFonts w:ascii="Calibri" w:hAnsi="Calibri"/>
          <w:lang w:val="en-GB"/>
        </w:rPr>
        <w:t>output</w:t>
      </w:r>
      <w:r w:rsidR="00B65CB0" w:rsidRPr="0024604A">
        <w:rPr>
          <w:rFonts w:ascii="Calibri" w:hAnsi="Calibri"/>
          <w:lang w:val="en-GB"/>
        </w:rPr>
        <w:t xml:space="preserve"> and again confirmed the excellent analytical reproducibility of </w:t>
      </w:r>
      <w:r w:rsidR="00FF3AF7" w:rsidRPr="0024604A">
        <w:rPr>
          <w:rFonts w:ascii="Calibri" w:hAnsi="Calibri"/>
          <w:lang w:val="en-GB"/>
        </w:rPr>
        <w:t xml:space="preserve">the used </w:t>
      </w:r>
      <w:r w:rsidR="00B65CB0" w:rsidRPr="0024604A">
        <w:rPr>
          <w:rFonts w:ascii="Calibri" w:hAnsi="Calibri"/>
          <w:lang w:val="en-GB"/>
        </w:rPr>
        <w:t>LC-ESI-FTMS approach</w:t>
      </w:r>
      <w:r w:rsidR="00186CE4" w:rsidRPr="0024604A">
        <w:rPr>
          <w:rFonts w:ascii="Calibri" w:hAnsi="Calibri"/>
          <w:lang w:val="en-GB"/>
        </w:rPr>
        <w:t>. Despite some little differences (</w:t>
      </w:r>
      <w:r w:rsidR="005277AE" w:rsidRPr="0024604A">
        <w:rPr>
          <w:rFonts w:ascii="Calibri" w:hAnsi="Calibri"/>
          <w:lang w:val="en-GB"/>
        </w:rPr>
        <w:t xml:space="preserve">in </w:t>
      </w:r>
      <w:r w:rsidR="00186CE4" w:rsidRPr="0024604A">
        <w:rPr>
          <w:rFonts w:ascii="Calibri" w:hAnsi="Calibri"/>
          <w:b/>
          <w:bCs/>
          <w:lang w:val="en-GB"/>
        </w:rPr>
        <w:t>F</w:t>
      </w:r>
      <w:r w:rsidR="009248D1" w:rsidRPr="0024604A">
        <w:rPr>
          <w:rFonts w:ascii="Calibri" w:hAnsi="Calibri"/>
          <w:b/>
          <w:bCs/>
          <w:lang w:val="en-GB"/>
        </w:rPr>
        <w:t xml:space="preserve">igure </w:t>
      </w:r>
      <w:r w:rsidR="008B568F" w:rsidRPr="0024604A">
        <w:rPr>
          <w:rFonts w:ascii="Calibri" w:hAnsi="Calibri"/>
          <w:b/>
          <w:bCs/>
          <w:lang w:val="en-GB"/>
        </w:rPr>
        <w:t>5</w:t>
      </w:r>
      <w:r w:rsidR="009248D1" w:rsidRPr="0024604A">
        <w:rPr>
          <w:rFonts w:ascii="Calibri" w:hAnsi="Calibri"/>
          <w:lang w:val="en-GB"/>
        </w:rPr>
        <w:t>, plot A</w:t>
      </w:r>
      <w:r w:rsidR="008B568F" w:rsidRPr="0024604A">
        <w:rPr>
          <w:rFonts w:ascii="Calibri" w:hAnsi="Calibri"/>
          <w:lang w:val="en-GB"/>
        </w:rPr>
        <w:t>, biplot is reported</w:t>
      </w:r>
      <w:r w:rsidR="00186CE4" w:rsidRPr="0024604A">
        <w:rPr>
          <w:rFonts w:ascii="Calibri" w:hAnsi="Calibri"/>
          <w:lang w:val="en-GB"/>
        </w:rPr>
        <w:t>),</w:t>
      </w:r>
      <w:r w:rsidR="00734C08" w:rsidRPr="0024604A">
        <w:rPr>
          <w:rFonts w:ascii="Calibri" w:hAnsi="Calibri"/>
          <w:lang w:val="en-GB"/>
        </w:rPr>
        <w:t xml:space="preserve"> </w:t>
      </w:r>
      <w:r w:rsidR="00186CE4" w:rsidRPr="0024604A">
        <w:rPr>
          <w:rFonts w:ascii="Calibri" w:hAnsi="Calibri"/>
          <w:lang w:val="en-GB"/>
        </w:rPr>
        <w:t xml:space="preserve">PCA </w:t>
      </w:r>
      <w:r w:rsidR="001F7394" w:rsidRPr="0024604A">
        <w:rPr>
          <w:rFonts w:ascii="Calibri" w:hAnsi="Calibri"/>
          <w:lang w:val="en-GB"/>
        </w:rPr>
        <w:t>showed that</w:t>
      </w:r>
      <w:r w:rsidR="00186CE4" w:rsidRPr="0024604A">
        <w:rPr>
          <w:rFonts w:ascii="Calibri" w:hAnsi="Calibri"/>
          <w:lang w:val="en-GB"/>
        </w:rPr>
        <w:t xml:space="preserve"> the </w:t>
      </w:r>
      <w:proofErr w:type="spellStart"/>
      <w:r w:rsidR="00734C08" w:rsidRPr="0024604A">
        <w:rPr>
          <w:rFonts w:ascii="Calibri" w:hAnsi="Calibri"/>
          <w:lang w:val="en-GB"/>
        </w:rPr>
        <w:t>centered</w:t>
      </w:r>
      <w:proofErr w:type="spellEnd"/>
      <w:r w:rsidR="00186CE4" w:rsidRPr="0024604A">
        <w:rPr>
          <w:rFonts w:ascii="Calibri" w:hAnsi="Calibri"/>
          <w:lang w:val="en-GB"/>
        </w:rPr>
        <w:t xml:space="preserve"> data </w:t>
      </w:r>
      <w:r w:rsidR="00FF3AF7" w:rsidRPr="0024604A">
        <w:rPr>
          <w:rFonts w:ascii="Calibri" w:hAnsi="Calibri"/>
          <w:lang w:val="en-GB"/>
        </w:rPr>
        <w:t xml:space="preserve">were </w:t>
      </w:r>
      <w:r w:rsidR="002927DA" w:rsidRPr="0024604A">
        <w:rPr>
          <w:rFonts w:ascii="Calibri" w:hAnsi="Calibri"/>
          <w:lang w:val="en-GB"/>
        </w:rPr>
        <w:t>rather</w:t>
      </w:r>
      <w:r w:rsidR="00186CE4" w:rsidRPr="0024604A">
        <w:rPr>
          <w:rFonts w:ascii="Calibri" w:hAnsi="Calibri"/>
          <w:lang w:val="en-GB"/>
        </w:rPr>
        <w:t xml:space="preserve"> </w:t>
      </w:r>
      <w:r w:rsidR="002927DA" w:rsidRPr="0024604A">
        <w:rPr>
          <w:rFonts w:ascii="Calibri" w:hAnsi="Calibri"/>
          <w:lang w:val="en-GB"/>
        </w:rPr>
        <w:t>like</w:t>
      </w:r>
      <w:r w:rsidR="00186CE4" w:rsidRPr="0024604A">
        <w:rPr>
          <w:rFonts w:ascii="Calibri" w:hAnsi="Calibri"/>
          <w:lang w:val="en-GB"/>
        </w:rPr>
        <w:t xml:space="preserve"> that obtained using XCMS for data matrix </w:t>
      </w:r>
      <w:r w:rsidR="0078499C" w:rsidRPr="0024604A">
        <w:rPr>
          <w:rFonts w:ascii="Calibri" w:hAnsi="Calibri"/>
          <w:lang w:val="en-GB"/>
        </w:rPr>
        <w:t>construction</w:t>
      </w:r>
      <w:r w:rsidR="001F7394" w:rsidRPr="0024604A">
        <w:rPr>
          <w:rFonts w:ascii="Calibri" w:hAnsi="Calibri"/>
          <w:lang w:val="en-GB"/>
        </w:rPr>
        <w:t xml:space="preserve">. </w:t>
      </w:r>
      <w:r w:rsidR="002927DA" w:rsidRPr="0024604A">
        <w:rPr>
          <w:rFonts w:ascii="Calibri" w:hAnsi="Calibri"/>
          <w:lang w:val="en-GB"/>
        </w:rPr>
        <w:t>Also</w:t>
      </w:r>
      <w:r w:rsidR="001F7394" w:rsidRPr="0024604A">
        <w:rPr>
          <w:rFonts w:ascii="Calibri" w:hAnsi="Calibri"/>
          <w:lang w:val="en-GB"/>
        </w:rPr>
        <w:t xml:space="preserve"> using different pre-processing </w:t>
      </w:r>
      <w:r w:rsidR="00221428" w:rsidRPr="0024604A">
        <w:rPr>
          <w:rFonts w:ascii="Calibri" w:hAnsi="Calibri"/>
          <w:lang w:val="en-GB"/>
        </w:rPr>
        <w:t>methods,</w:t>
      </w:r>
      <w:r w:rsidR="001F7394" w:rsidRPr="0024604A">
        <w:rPr>
          <w:rFonts w:ascii="Calibri" w:hAnsi="Calibri"/>
          <w:lang w:val="en-GB"/>
        </w:rPr>
        <w:t xml:space="preserve"> the </w:t>
      </w:r>
      <w:r w:rsidR="00B65CB0" w:rsidRPr="0024604A">
        <w:rPr>
          <w:rFonts w:ascii="Calibri" w:hAnsi="Calibri"/>
          <w:lang w:val="en-GB"/>
        </w:rPr>
        <w:t>same groupings in PCA score plots were</w:t>
      </w:r>
      <w:r w:rsidR="0078499C" w:rsidRPr="0024604A">
        <w:rPr>
          <w:rFonts w:ascii="Calibri" w:hAnsi="Calibri"/>
          <w:lang w:val="en-GB"/>
        </w:rPr>
        <w:t xml:space="preserve"> </w:t>
      </w:r>
      <w:r w:rsidR="00513E5D" w:rsidRPr="0024604A">
        <w:rPr>
          <w:rFonts w:ascii="Calibri" w:hAnsi="Calibri"/>
          <w:lang w:val="en-GB"/>
        </w:rPr>
        <w:t>regularly</w:t>
      </w:r>
      <w:r w:rsidR="001F7394" w:rsidRPr="0024604A">
        <w:rPr>
          <w:rFonts w:ascii="Calibri" w:hAnsi="Calibri"/>
          <w:lang w:val="en-GB"/>
        </w:rPr>
        <w:t xml:space="preserve"> </w:t>
      </w:r>
      <w:r w:rsidR="0078499C" w:rsidRPr="0024604A">
        <w:rPr>
          <w:rFonts w:ascii="Calibri" w:hAnsi="Calibri"/>
          <w:lang w:val="en-GB"/>
        </w:rPr>
        <w:t>obtained (</w:t>
      </w:r>
      <w:r w:rsidR="00734C08" w:rsidRPr="0024604A">
        <w:rPr>
          <w:rFonts w:ascii="Calibri" w:hAnsi="Calibri"/>
          <w:lang w:val="en-GB"/>
        </w:rPr>
        <w:t>data not shown</w:t>
      </w:r>
      <w:r w:rsidR="0078499C" w:rsidRPr="0024604A">
        <w:rPr>
          <w:rFonts w:ascii="Calibri" w:hAnsi="Calibri"/>
          <w:lang w:val="en-GB"/>
        </w:rPr>
        <w:t xml:space="preserve">). </w:t>
      </w:r>
      <w:r w:rsidR="00186CE4" w:rsidRPr="0024604A">
        <w:rPr>
          <w:rFonts w:ascii="Calibri" w:hAnsi="Calibri"/>
          <w:lang w:val="en-GB"/>
        </w:rPr>
        <w:t>As already mentioned, one of the main advantages of Alex</w:t>
      </w:r>
      <w:r w:rsidR="00186CE4" w:rsidRPr="0024604A">
        <w:rPr>
          <w:rFonts w:ascii="Calibri" w:hAnsi="Calibri"/>
          <w:vertAlign w:val="superscript"/>
          <w:lang w:val="en-GB"/>
        </w:rPr>
        <w:t>123</w:t>
      </w:r>
      <w:r w:rsidR="00186CE4" w:rsidRPr="0024604A">
        <w:rPr>
          <w:rFonts w:ascii="Calibri" w:hAnsi="Calibri"/>
          <w:lang w:val="en-GB"/>
        </w:rPr>
        <w:t xml:space="preserve"> is the possibility to obtain data </w:t>
      </w:r>
      <w:r w:rsidR="005277AE" w:rsidRPr="0024604A">
        <w:rPr>
          <w:rFonts w:ascii="Calibri" w:hAnsi="Calibri"/>
          <w:lang w:val="en-GB"/>
        </w:rPr>
        <w:t xml:space="preserve">linked to </w:t>
      </w:r>
      <w:r w:rsidR="00186CE4" w:rsidRPr="0024604A">
        <w:rPr>
          <w:rFonts w:ascii="Calibri" w:hAnsi="Calibri"/>
          <w:lang w:val="en-GB"/>
        </w:rPr>
        <w:t>lipid class</w:t>
      </w:r>
      <w:r w:rsidR="002927DA" w:rsidRPr="0024604A">
        <w:rPr>
          <w:rFonts w:ascii="Calibri" w:hAnsi="Calibri"/>
          <w:lang w:val="en-GB"/>
        </w:rPr>
        <w:t>es</w:t>
      </w:r>
      <w:r w:rsidR="006D2437" w:rsidRPr="0024604A">
        <w:rPr>
          <w:rFonts w:ascii="Calibri" w:hAnsi="Calibri"/>
          <w:lang w:val="en-GB"/>
        </w:rPr>
        <w:t xml:space="preserve"> under examination</w:t>
      </w:r>
      <w:r w:rsidR="00186CE4" w:rsidRPr="0024604A">
        <w:rPr>
          <w:rFonts w:ascii="Calibri" w:hAnsi="Calibri"/>
          <w:lang w:val="en-GB"/>
        </w:rPr>
        <w:t>.</w:t>
      </w:r>
      <w:r w:rsidR="001B0647" w:rsidRPr="0024604A">
        <w:rPr>
          <w:rFonts w:ascii="Calibri" w:hAnsi="Calibri"/>
          <w:lang w:val="en-GB"/>
        </w:rPr>
        <w:t xml:space="preserve"> As an example, </w:t>
      </w:r>
      <w:r w:rsidR="00AA2FD1" w:rsidRPr="0024604A">
        <w:rPr>
          <w:rFonts w:ascii="Calibri" w:hAnsi="Calibri"/>
          <w:lang w:val="en-GB"/>
        </w:rPr>
        <w:t>biplot</w:t>
      </w:r>
      <w:r w:rsidR="001B0647" w:rsidRPr="0024604A">
        <w:rPr>
          <w:rFonts w:ascii="Calibri" w:hAnsi="Calibri"/>
          <w:lang w:val="en-GB"/>
        </w:rPr>
        <w:t xml:space="preserve"> obtained for </w:t>
      </w:r>
      <w:r w:rsidR="00ED0792" w:rsidRPr="0024604A">
        <w:rPr>
          <w:rFonts w:ascii="Calibri" w:hAnsi="Calibri"/>
          <w:lang w:val="en-GB"/>
        </w:rPr>
        <w:t>LPE</w:t>
      </w:r>
      <w:r w:rsidR="001B0647" w:rsidRPr="0024604A">
        <w:rPr>
          <w:rFonts w:ascii="Calibri" w:hAnsi="Calibri"/>
          <w:lang w:val="en-GB"/>
        </w:rPr>
        <w:t xml:space="preserve"> </w:t>
      </w:r>
      <w:r w:rsidR="00ED0792" w:rsidRPr="0024604A">
        <w:rPr>
          <w:rFonts w:ascii="Calibri" w:hAnsi="Calibri"/>
          <w:lang w:val="en-GB"/>
        </w:rPr>
        <w:t xml:space="preserve">signals, </w:t>
      </w:r>
      <w:r w:rsidR="001B0647" w:rsidRPr="0024604A">
        <w:rPr>
          <w:rFonts w:ascii="Calibri" w:hAnsi="Calibri"/>
          <w:lang w:val="en-GB"/>
        </w:rPr>
        <w:t>normalized</w:t>
      </w:r>
      <w:r w:rsidR="00734C08" w:rsidRPr="0024604A">
        <w:rPr>
          <w:rFonts w:ascii="Calibri" w:hAnsi="Calibri"/>
          <w:lang w:val="en-GB"/>
        </w:rPr>
        <w:t xml:space="preserve"> and </w:t>
      </w:r>
      <w:r w:rsidR="005F0DD2" w:rsidRPr="0024604A">
        <w:rPr>
          <w:rFonts w:ascii="Calibri" w:hAnsi="Calibri"/>
          <w:lang w:val="en-GB"/>
        </w:rPr>
        <w:t>auto scaled</w:t>
      </w:r>
      <w:r w:rsidR="006D2437" w:rsidRPr="0024604A">
        <w:rPr>
          <w:rFonts w:ascii="Calibri" w:hAnsi="Calibri"/>
          <w:lang w:val="en-GB"/>
        </w:rPr>
        <w:t>,</w:t>
      </w:r>
      <w:r w:rsidR="001B0647" w:rsidRPr="0024604A">
        <w:rPr>
          <w:rFonts w:ascii="Calibri" w:hAnsi="Calibri"/>
          <w:lang w:val="en-GB"/>
        </w:rPr>
        <w:t xml:space="preserve"> </w:t>
      </w:r>
      <w:r w:rsidR="002927DA" w:rsidRPr="0024604A">
        <w:rPr>
          <w:rFonts w:ascii="Calibri" w:hAnsi="Calibri"/>
          <w:lang w:val="en-GB"/>
        </w:rPr>
        <w:t xml:space="preserve">exhibited </w:t>
      </w:r>
      <w:r w:rsidR="001B0647" w:rsidRPr="0024604A">
        <w:rPr>
          <w:rFonts w:ascii="Calibri" w:hAnsi="Calibri"/>
          <w:lang w:val="en-GB"/>
        </w:rPr>
        <w:t xml:space="preserve">a mixed distribution </w:t>
      </w:r>
      <w:r w:rsidR="002927DA" w:rsidRPr="0024604A">
        <w:rPr>
          <w:rFonts w:ascii="Calibri" w:hAnsi="Calibri"/>
          <w:lang w:val="en-GB"/>
        </w:rPr>
        <w:t>(</w:t>
      </w:r>
      <w:r w:rsidR="002927DA" w:rsidRPr="0024604A">
        <w:rPr>
          <w:rFonts w:ascii="Calibri" w:hAnsi="Calibri"/>
          <w:b/>
          <w:lang w:val="en-GB"/>
        </w:rPr>
        <w:t>Figure 5B</w:t>
      </w:r>
      <w:r w:rsidR="002927DA" w:rsidRPr="0024604A">
        <w:rPr>
          <w:rFonts w:ascii="Calibri" w:hAnsi="Calibri"/>
          <w:bCs/>
          <w:lang w:val="en-GB"/>
        </w:rPr>
        <w:t xml:space="preserve">). The examination </w:t>
      </w:r>
      <w:r w:rsidR="002927DA" w:rsidRPr="0024604A">
        <w:rPr>
          <w:rFonts w:ascii="Calibri" w:hAnsi="Calibri"/>
          <w:lang w:val="en-GB"/>
        </w:rPr>
        <w:t xml:space="preserve">of </w:t>
      </w:r>
      <w:r w:rsidR="001B0647" w:rsidRPr="0024604A">
        <w:rPr>
          <w:rFonts w:ascii="Calibri" w:hAnsi="Calibri"/>
          <w:lang w:val="en-GB"/>
        </w:rPr>
        <w:t>other lipid classes</w:t>
      </w:r>
      <w:r w:rsidR="002927DA" w:rsidRPr="0024604A">
        <w:rPr>
          <w:rFonts w:ascii="Calibri" w:hAnsi="Calibri"/>
          <w:lang w:val="en-GB"/>
        </w:rPr>
        <w:t>, also</w:t>
      </w:r>
      <w:r w:rsidR="001B0647" w:rsidRPr="0024604A">
        <w:rPr>
          <w:rFonts w:ascii="Calibri" w:hAnsi="Calibri"/>
          <w:lang w:val="en-GB"/>
        </w:rPr>
        <w:t xml:space="preserve"> using different processing methods, </w:t>
      </w:r>
      <w:r w:rsidR="002927DA" w:rsidRPr="0024604A">
        <w:rPr>
          <w:rFonts w:ascii="Calibri" w:hAnsi="Calibri"/>
          <w:lang w:val="en-GB"/>
        </w:rPr>
        <w:t>d</w:t>
      </w:r>
      <w:r w:rsidR="00B65CB0" w:rsidRPr="0024604A">
        <w:rPr>
          <w:rFonts w:ascii="Calibri" w:hAnsi="Calibri"/>
          <w:lang w:val="en-GB"/>
        </w:rPr>
        <w:t>id</w:t>
      </w:r>
      <w:r w:rsidR="002927DA" w:rsidRPr="0024604A">
        <w:rPr>
          <w:rFonts w:ascii="Calibri" w:hAnsi="Calibri"/>
          <w:lang w:val="en-GB"/>
        </w:rPr>
        <w:t xml:space="preserve"> not lead to a well definite </w:t>
      </w:r>
      <w:r w:rsidR="00325AC8" w:rsidRPr="0024604A">
        <w:rPr>
          <w:rFonts w:ascii="Calibri" w:hAnsi="Calibri"/>
          <w:lang w:val="en-GB"/>
        </w:rPr>
        <w:t>separation</w:t>
      </w:r>
      <w:r w:rsidR="001B0647" w:rsidRPr="0024604A">
        <w:rPr>
          <w:rFonts w:ascii="Calibri" w:hAnsi="Calibri"/>
          <w:lang w:val="en-GB"/>
        </w:rPr>
        <w:t>.</w:t>
      </w:r>
      <w:r w:rsidR="00186CE4" w:rsidRPr="0024604A">
        <w:rPr>
          <w:rFonts w:ascii="Calibri" w:hAnsi="Calibri"/>
          <w:lang w:val="en-GB"/>
        </w:rPr>
        <w:t xml:space="preserve"> </w:t>
      </w:r>
      <w:r w:rsidR="00221428" w:rsidRPr="0024604A">
        <w:rPr>
          <w:rFonts w:ascii="Calibri" w:hAnsi="Calibri"/>
          <w:lang w:val="en-GB"/>
        </w:rPr>
        <w:t>Nonetheless</w:t>
      </w:r>
      <w:r w:rsidR="00186CE4" w:rsidRPr="0024604A">
        <w:rPr>
          <w:rFonts w:ascii="Calibri" w:hAnsi="Calibri"/>
          <w:lang w:val="en-GB"/>
        </w:rPr>
        <w:t>, PLS</w:t>
      </w:r>
      <w:r w:rsidR="00325AC8" w:rsidRPr="0024604A">
        <w:rPr>
          <w:rFonts w:ascii="Calibri" w:hAnsi="Calibri"/>
          <w:lang w:val="en-GB"/>
        </w:rPr>
        <w:t>-</w:t>
      </w:r>
      <w:r w:rsidR="00186CE4" w:rsidRPr="0024604A">
        <w:rPr>
          <w:rFonts w:ascii="Calibri" w:hAnsi="Calibri"/>
          <w:lang w:val="en-GB"/>
        </w:rPr>
        <w:t xml:space="preserve">DA was applied on </w:t>
      </w:r>
      <w:r w:rsidR="00221428" w:rsidRPr="0024604A">
        <w:rPr>
          <w:rFonts w:ascii="Calibri" w:hAnsi="Calibri"/>
          <w:lang w:val="en-GB"/>
        </w:rPr>
        <w:t>data elaborate</w:t>
      </w:r>
      <w:r w:rsidR="003F67BF" w:rsidRPr="0024604A">
        <w:rPr>
          <w:rFonts w:ascii="Calibri" w:hAnsi="Calibri"/>
          <w:lang w:val="en-GB"/>
        </w:rPr>
        <w:t>d</w:t>
      </w:r>
      <w:r w:rsidR="00221428" w:rsidRPr="0024604A">
        <w:rPr>
          <w:rFonts w:ascii="Calibri" w:hAnsi="Calibri"/>
          <w:lang w:val="en-GB"/>
        </w:rPr>
        <w:t xml:space="preserve"> by </w:t>
      </w:r>
      <w:r w:rsidR="00186CE4" w:rsidRPr="0024604A">
        <w:rPr>
          <w:rFonts w:ascii="Calibri" w:hAnsi="Calibri"/>
          <w:lang w:val="en-GB"/>
        </w:rPr>
        <w:t>Alex</w:t>
      </w:r>
      <w:r w:rsidR="00186CE4" w:rsidRPr="0024604A">
        <w:rPr>
          <w:rFonts w:ascii="Calibri" w:hAnsi="Calibri"/>
          <w:vertAlign w:val="superscript"/>
          <w:lang w:val="en-GB"/>
        </w:rPr>
        <w:t>123</w:t>
      </w:r>
      <w:r w:rsidR="00186CE4" w:rsidRPr="0024604A">
        <w:rPr>
          <w:rFonts w:ascii="Calibri" w:hAnsi="Calibri"/>
          <w:lang w:val="en-GB"/>
        </w:rPr>
        <w:t xml:space="preserve"> using pathology as discriminant variable</w:t>
      </w:r>
      <w:r w:rsidR="001F5EA2" w:rsidRPr="0024604A">
        <w:rPr>
          <w:rFonts w:ascii="Calibri" w:hAnsi="Calibri"/>
          <w:lang w:val="en-GB"/>
        </w:rPr>
        <w:t xml:space="preserve"> and </w:t>
      </w:r>
      <w:r w:rsidR="00E67689" w:rsidRPr="0024604A">
        <w:rPr>
          <w:rFonts w:ascii="Calibri" w:hAnsi="Calibri"/>
          <w:lang w:val="en-GB"/>
        </w:rPr>
        <w:t xml:space="preserve">different </w:t>
      </w:r>
      <w:r w:rsidR="00221428" w:rsidRPr="0024604A">
        <w:rPr>
          <w:rFonts w:ascii="Calibri" w:hAnsi="Calibri"/>
          <w:lang w:val="en-GB"/>
        </w:rPr>
        <w:t xml:space="preserve">data </w:t>
      </w:r>
      <w:r w:rsidR="00E67689" w:rsidRPr="0024604A">
        <w:rPr>
          <w:rFonts w:ascii="Calibri" w:hAnsi="Calibri"/>
          <w:lang w:val="en-GB"/>
        </w:rPr>
        <w:t>pre-treatment</w:t>
      </w:r>
      <w:r w:rsidR="00186CE4" w:rsidRPr="0024604A">
        <w:rPr>
          <w:rFonts w:ascii="Calibri" w:hAnsi="Calibri"/>
          <w:lang w:val="en-GB"/>
        </w:rPr>
        <w:t xml:space="preserve">. </w:t>
      </w:r>
      <w:r w:rsidR="00E67689" w:rsidRPr="0024604A">
        <w:rPr>
          <w:rFonts w:ascii="Calibri" w:hAnsi="Calibri"/>
          <w:lang w:val="en-GB"/>
        </w:rPr>
        <w:t xml:space="preserve">In </w:t>
      </w:r>
      <w:r w:rsidR="00221428" w:rsidRPr="0024604A">
        <w:rPr>
          <w:rFonts w:ascii="Calibri" w:hAnsi="Calibri"/>
          <w:b/>
          <w:bCs/>
          <w:lang w:val="en-GB"/>
        </w:rPr>
        <w:t>F</w:t>
      </w:r>
      <w:r w:rsidR="00E67689" w:rsidRPr="0024604A">
        <w:rPr>
          <w:rFonts w:ascii="Calibri" w:hAnsi="Calibri"/>
          <w:b/>
          <w:bCs/>
          <w:lang w:val="en-GB"/>
        </w:rPr>
        <w:t>igure 6A</w:t>
      </w:r>
      <w:r w:rsidR="00E67689" w:rsidRPr="0024604A">
        <w:rPr>
          <w:rFonts w:ascii="Calibri" w:hAnsi="Calibri"/>
          <w:lang w:val="en-GB"/>
        </w:rPr>
        <w:t xml:space="preserve"> and </w:t>
      </w:r>
      <w:r w:rsidR="00E67689" w:rsidRPr="0024604A">
        <w:rPr>
          <w:rFonts w:ascii="Calibri" w:hAnsi="Calibri"/>
          <w:b/>
          <w:bCs/>
          <w:lang w:val="en-GB"/>
        </w:rPr>
        <w:t>6B</w:t>
      </w:r>
      <w:r w:rsidR="00325AC8" w:rsidRPr="0024604A">
        <w:rPr>
          <w:rFonts w:ascii="Calibri" w:hAnsi="Calibri"/>
          <w:lang w:val="en-GB"/>
        </w:rPr>
        <w:t>,</w:t>
      </w:r>
      <w:r w:rsidR="00E67689" w:rsidRPr="0024604A">
        <w:rPr>
          <w:rFonts w:ascii="Calibri" w:hAnsi="Calibri"/>
          <w:lang w:val="en-GB"/>
        </w:rPr>
        <w:t xml:space="preserve"> </w:t>
      </w:r>
      <w:r w:rsidR="00221428" w:rsidRPr="0024604A">
        <w:rPr>
          <w:rFonts w:ascii="Calibri" w:hAnsi="Calibri"/>
          <w:lang w:val="en-GB"/>
        </w:rPr>
        <w:t xml:space="preserve">are displayed the </w:t>
      </w:r>
      <w:r w:rsidR="00E67689" w:rsidRPr="0024604A">
        <w:rPr>
          <w:rFonts w:ascii="Calibri" w:hAnsi="Calibri"/>
          <w:lang w:val="en-GB"/>
        </w:rPr>
        <w:t xml:space="preserve">PLS-DA performed on the whole data set and on SM class, respectively, </w:t>
      </w:r>
      <w:r w:rsidR="00221428" w:rsidRPr="0024604A">
        <w:rPr>
          <w:rFonts w:ascii="Calibri" w:hAnsi="Calibri"/>
          <w:lang w:val="en-GB"/>
        </w:rPr>
        <w:t xml:space="preserve">either </w:t>
      </w:r>
      <w:r w:rsidR="00EA64D1" w:rsidRPr="0024604A">
        <w:rPr>
          <w:rFonts w:ascii="Calibri" w:hAnsi="Calibri"/>
          <w:lang w:val="en-GB"/>
        </w:rPr>
        <w:t>cantered</w:t>
      </w:r>
      <w:r w:rsidR="00C76FF3" w:rsidRPr="0024604A">
        <w:rPr>
          <w:rFonts w:ascii="Calibri" w:hAnsi="Calibri"/>
          <w:lang w:val="en-GB"/>
        </w:rPr>
        <w:t xml:space="preserve"> </w:t>
      </w:r>
      <w:r w:rsidR="00221428" w:rsidRPr="0024604A">
        <w:rPr>
          <w:rFonts w:ascii="Calibri" w:hAnsi="Calibri"/>
          <w:lang w:val="en-GB"/>
        </w:rPr>
        <w:t>or</w:t>
      </w:r>
      <w:r w:rsidR="00C76FF3" w:rsidRPr="0024604A">
        <w:rPr>
          <w:rFonts w:ascii="Calibri" w:hAnsi="Calibri"/>
          <w:lang w:val="en-GB"/>
        </w:rPr>
        <w:t xml:space="preserve"> autoscaled data</w:t>
      </w:r>
      <w:r w:rsidR="00221428" w:rsidRPr="0024604A">
        <w:rPr>
          <w:rFonts w:ascii="Calibri" w:hAnsi="Calibri"/>
          <w:lang w:val="en-GB"/>
        </w:rPr>
        <w:t>;</w:t>
      </w:r>
      <w:r w:rsidR="00513E5D" w:rsidRPr="0024604A">
        <w:rPr>
          <w:rFonts w:ascii="Calibri" w:hAnsi="Calibri"/>
          <w:lang w:val="en-GB"/>
        </w:rPr>
        <w:t xml:space="preserve"> </w:t>
      </w:r>
      <w:r w:rsidR="00B65CB0" w:rsidRPr="0024604A">
        <w:rPr>
          <w:rFonts w:ascii="Calibri" w:hAnsi="Calibri"/>
          <w:lang w:val="en-GB"/>
        </w:rPr>
        <w:t xml:space="preserve">as reported for the data after deconvolution using XCMS, </w:t>
      </w:r>
      <w:r w:rsidR="00221428" w:rsidRPr="0024604A">
        <w:rPr>
          <w:rFonts w:ascii="Calibri" w:hAnsi="Calibri"/>
          <w:lang w:val="en-GB"/>
        </w:rPr>
        <w:t>n</w:t>
      </w:r>
      <w:r w:rsidR="00186CE4" w:rsidRPr="0024604A">
        <w:rPr>
          <w:rFonts w:ascii="Calibri" w:hAnsi="Calibri"/>
          <w:lang w:val="en-GB"/>
        </w:rPr>
        <w:t xml:space="preserve">o significant </w:t>
      </w:r>
      <w:r w:rsidR="00CA299D" w:rsidRPr="0024604A">
        <w:rPr>
          <w:rFonts w:ascii="Calibri" w:hAnsi="Calibri"/>
          <w:lang w:val="en-GB"/>
        </w:rPr>
        <w:t>discrimination power</w:t>
      </w:r>
      <w:r w:rsidR="00325AC8" w:rsidRPr="0024604A">
        <w:rPr>
          <w:rFonts w:ascii="Calibri" w:hAnsi="Calibri"/>
          <w:lang w:val="en-GB"/>
        </w:rPr>
        <w:t xml:space="preserve"> </w:t>
      </w:r>
      <w:r w:rsidR="00186CE4" w:rsidRPr="0024604A">
        <w:rPr>
          <w:rFonts w:ascii="Calibri" w:hAnsi="Calibri"/>
          <w:lang w:val="en-GB"/>
        </w:rPr>
        <w:t>w</w:t>
      </w:r>
      <w:r w:rsidR="00CA299D" w:rsidRPr="0024604A">
        <w:rPr>
          <w:rFonts w:ascii="Calibri" w:hAnsi="Calibri"/>
          <w:lang w:val="en-GB"/>
        </w:rPr>
        <w:t>as</w:t>
      </w:r>
      <w:r w:rsidR="00186CE4" w:rsidRPr="0024604A">
        <w:rPr>
          <w:rFonts w:ascii="Calibri" w:hAnsi="Calibri"/>
          <w:lang w:val="en-GB"/>
        </w:rPr>
        <w:t xml:space="preserve"> </w:t>
      </w:r>
      <w:r w:rsidR="00513E5D" w:rsidRPr="0024604A">
        <w:rPr>
          <w:rFonts w:ascii="Calibri" w:hAnsi="Calibri"/>
          <w:lang w:val="en-GB"/>
        </w:rPr>
        <w:t xml:space="preserve">again </w:t>
      </w:r>
      <w:r w:rsidR="00186CE4" w:rsidRPr="0024604A">
        <w:rPr>
          <w:rFonts w:ascii="Calibri" w:hAnsi="Calibri"/>
          <w:lang w:val="en-GB"/>
        </w:rPr>
        <w:t>obtained</w:t>
      </w:r>
      <w:r w:rsidR="00664624" w:rsidRPr="0024604A">
        <w:rPr>
          <w:rFonts w:ascii="Calibri" w:hAnsi="Calibri"/>
          <w:lang w:val="en-GB"/>
        </w:rPr>
        <w:t>.</w:t>
      </w:r>
    </w:p>
    <w:p w14:paraId="12411F5A" w14:textId="77777777" w:rsidR="005F0DD2" w:rsidRPr="0024604A" w:rsidRDefault="005F0DD2" w:rsidP="005F0DD2">
      <w:pPr>
        <w:autoSpaceDE w:val="0"/>
        <w:autoSpaceDN w:val="0"/>
        <w:adjustRightInd w:val="0"/>
        <w:spacing w:line="480" w:lineRule="auto"/>
        <w:jc w:val="both"/>
        <w:rPr>
          <w:rFonts w:ascii="Calibri" w:hAnsi="Calibri"/>
          <w:lang w:val="en-GB"/>
        </w:rPr>
      </w:pPr>
    </w:p>
    <w:p w14:paraId="7AF43912" w14:textId="647486B6" w:rsidR="004872EE" w:rsidRPr="0024604A" w:rsidRDefault="004872EE" w:rsidP="00F00A30">
      <w:pPr>
        <w:keepNext/>
        <w:widowControl w:val="0"/>
        <w:autoSpaceDE w:val="0"/>
        <w:autoSpaceDN w:val="0"/>
        <w:adjustRightInd w:val="0"/>
        <w:spacing w:line="480" w:lineRule="auto"/>
        <w:jc w:val="both"/>
        <w:rPr>
          <w:rFonts w:ascii="Calibri" w:hAnsi="Calibri"/>
          <w:b/>
          <w:lang w:val="en-GB"/>
        </w:rPr>
      </w:pPr>
      <w:r w:rsidRPr="0024604A">
        <w:rPr>
          <w:rFonts w:ascii="Calibri" w:hAnsi="Calibri"/>
          <w:b/>
          <w:lang w:val="en-GB"/>
        </w:rPr>
        <w:t>3.</w:t>
      </w:r>
      <w:r w:rsidR="00006145" w:rsidRPr="0024604A">
        <w:rPr>
          <w:rFonts w:ascii="Calibri" w:hAnsi="Calibri"/>
          <w:b/>
          <w:lang w:val="en-GB"/>
        </w:rPr>
        <w:t>3</w:t>
      </w:r>
      <w:r w:rsidRPr="0024604A">
        <w:rPr>
          <w:rFonts w:ascii="Calibri" w:hAnsi="Calibri"/>
          <w:lang w:val="en-GB"/>
        </w:rPr>
        <w:t>.</w:t>
      </w:r>
      <w:r w:rsidRPr="0024604A">
        <w:rPr>
          <w:rFonts w:ascii="Calibri" w:hAnsi="Calibri"/>
          <w:lang w:val="en-GB"/>
        </w:rPr>
        <w:tab/>
      </w:r>
      <w:r w:rsidRPr="0024604A">
        <w:rPr>
          <w:rFonts w:ascii="Calibri" w:hAnsi="Calibri"/>
          <w:b/>
          <w:lang w:val="en-GB"/>
        </w:rPr>
        <w:t xml:space="preserve">All ion fragmentation MS </w:t>
      </w:r>
      <w:r w:rsidR="00513E5D" w:rsidRPr="0024604A">
        <w:rPr>
          <w:rFonts w:ascii="Calibri" w:hAnsi="Calibri"/>
          <w:b/>
          <w:lang w:val="en-GB"/>
        </w:rPr>
        <w:t>scan</w:t>
      </w:r>
      <w:r w:rsidRPr="0024604A">
        <w:rPr>
          <w:rFonts w:ascii="Calibri" w:hAnsi="Calibri"/>
          <w:b/>
          <w:lang w:val="en-GB"/>
        </w:rPr>
        <w:t xml:space="preserve"> as a tool in </w:t>
      </w:r>
      <w:r w:rsidR="0011776D" w:rsidRPr="0024604A">
        <w:rPr>
          <w:rFonts w:ascii="Calibri" w:hAnsi="Calibri"/>
          <w:b/>
          <w:lang w:val="en-GB"/>
        </w:rPr>
        <w:t>lipidomic</w:t>
      </w:r>
      <w:r w:rsidRPr="0024604A">
        <w:rPr>
          <w:rFonts w:ascii="Calibri" w:hAnsi="Calibri"/>
          <w:b/>
          <w:lang w:val="en-GB"/>
        </w:rPr>
        <w:t xml:space="preserve"> analysis</w:t>
      </w:r>
    </w:p>
    <w:p w14:paraId="08152C8A" w14:textId="3D542E55" w:rsidR="00CA299D" w:rsidRPr="0024604A" w:rsidRDefault="00EA64D1" w:rsidP="00651E13">
      <w:pPr>
        <w:keepNext/>
        <w:widowControl w:val="0"/>
        <w:autoSpaceDE w:val="0"/>
        <w:autoSpaceDN w:val="0"/>
        <w:adjustRightInd w:val="0"/>
        <w:spacing w:line="480" w:lineRule="auto"/>
        <w:jc w:val="both"/>
        <w:rPr>
          <w:rFonts w:ascii="Calibri" w:hAnsi="Calibri"/>
          <w:lang w:val="en-GB"/>
        </w:rPr>
      </w:pPr>
      <w:bookmarkStart w:id="16" w:name="_Hlk40513814"/>
      <w:bookmarkStart w:id="17" w:name="_Hlk42148117"/>
      <w:r w:rsidRPr="0024604A">
        <w:rPr>
          <w:rFonts w:ascii="Calibri" w:hAnsi="Calibri"/>
          <w:lang w:val="en-GB"/>
        </w:rPr>
        <w:t>Very r</w:t>
      </w:r>
      <w:r w:rsidR="00A1628B" w:rsidRPr="0024604A">
        <w:rPr>
          <w:rFonts w:ascii="Calibri" w:hAnsi="Calibri"/>
          <w:lang w:val="en-GB"/>
        </w:rPr>
        <w:t xml:space="preserve">ecently we have described the possibility of using data generated by HILIC separations and AIF MS scan to obtain a snapshot of the fatty acyl composition of some glycerophospholipid classes. Indeed, AIF MS scans averaged over each chromatographic band (i.e. lipid class) contain information on their fatty acyl chain composition </w:t>
      </w:r>
      <w:bookmarkEnd w:id="16"/>
      <w:r w:rsidR="00651E13" w:rsidRPr="0024604A">
        <w:rPr>
          <w:rFonts w:ascii="Calibri" w:hAnsi="Calibri"/>
          <w:lang w:val="en-GB"/>
        </w:rPr>
        <w:fldChar w:fldCharType="begin" w:fldLock="1"/>
      </w:r>
      <w:r w:rsidR="006126E3" w:rsidRPr="0024604A">
        <w:rPr>
          <w:rFonts w:ascii="Calibri" w:hAnsi="Calibri"/>
          <w:lang w:val="en-GB"/>
        </w:rPr>
        <w:instrText>ADDIN CSL_CITATION {"citationItems":[{"id":"ITEM-1","itemData":{"DOI":"10.3390/molecules25102310","ISSN":"1420-3049","abstract":"Lipidomics suffers from the lack of fast and reproducible tools to obtain both structural information on intact phospholipids (PL) and fatty acyl chain composition. Hydrophilic interaction liquid chromatography with electrospray ionization coupled to an orbital-trap Fourier-transform analyzer operating using all ion fragmentation mode (HILIC-ESI-FTMS-AIF MS) is seemingly a valuable resource in this respect. Here, accurate m/z values, HILIC retention times and AIF MS scan data were combined for PL assignment in standard mixtures or real lipid extracts. AIF scans in both positive and negative ESI mode, achieved using collisional induced dissociation for fragmentation, were applied to identify both the head-group of each PL class and the fatty acyl chains, respectively. An advantage of the AIF approach was the concurrent collection of tandem MS-like data, enabling the identification of linked fatty acyl chains of precursor phospholipids through the corresponding carboxylate anions. To illustrate the ability of AIF in the field of lipidomics, two different types of real samples, i.e., the lipid extracts obtained from human plasma and dermal fibroblasts, were examined. Using AIF scans, a total of 253 intact lipid species and 18 fatty acids across 4 lipid classes were recognized in plasma samples, while FA C20:3 was confirmed as the fatty acyl chain belonging to phosphatidylinositol, PI 38:3, which was found to be down-regulated in fibroblast samples of Parkinson’s disease patients.","author":[{"dropping-particle":"","family":"Ventura","given":"Giovanni","non-dropping-particle":"","parse-names":false,"suffix":""},{"dropping-particle":"","family":"Bianco","given":"Mariachiara","non-dropping-particle":"","parse-names":false,"suffix":""},{"dropping-particle":"","family":"Calvano","given":"Cosima Damiana","non-dropping-particle":"","parse-names":false,"suffix":""},{"dropping-particle":"","family":"Losito","given":"Ilario","non-dropping-particle":"","parse-names":false,"suffix":""},{"dropping-particle":"","family":"Cataldi","given":"Tommaso R.I.","non-dropping-particle":"","parse-names":false,"suffix":""}],"container-title":"Molecules","id":"ITEM-1","issue":"10","issued":{"date-parts":[["2020","5"]]},"page":"2310","title":"HILIC-ESI-FTMS with All Ion Fragmentation (AIF) Scans as a Tool for Fast Lipidome Investigations","type":"article-journal","volume":"25"},"uris":["http://www.mendeley.com/documents/?uuid=b908c2cc-e94b-4387-8bd7-51329331eaca","http://www.mendeley.com/documents/?uuid=bc7ed5c8-a106-490f-8d53-a6000fd3d150"]}],"mendeley":{"formattedCitation":"[20]","plainTextFormattedCitation":"[20]","previouslyFormattedCitation":"[20]"},"properties":{"noteIndex":0},"schema":"https://github.com/citation-style-language/schema/raw/master/csl-citation.json"}</w:instrText>
      </w:r>
      <w:r w:rsidR="00651E13" w:rsidRPr="0024604A">
        <w:rPr>
          <w:rFonts w:ascii="Calibri" w:hAnsi="Calibri"/>
          <w:lang w:val="en-GB"/>
        </w:rPr>
        <w:fldChar w:fldCharType="separate"/>
      </w:r>
      <w:r w:rsidR="0089225B" w:rsidRPr="0024604A">
        <w:rPr>
          <w:rFonts w:ascii="Calibri" w:hAnsi="Calibri"/>
          <w:noProof/>
          <w:lang w:val="en-GB"/>
        </w:rPr>
        <w:t>[20]</w:t>
      </w:r>
      <w:r w:rsidR="00651E13" w:rsidRPr="0024604A">
        <w:rPr>
          <w:rFonts w:ascii="Calibri" w:hAnsi="Calibri"/>
          <w:lang w:val="en-GB"/>
        </w:rPr>
        <w:fldChar w:fldCharType="end"/>
      </w:r>
      <w:r w:rsidR="00A1628B" w:rsidRPr="0024604A">
        <w:rPr>
          <w:rFonts w:ascii="Calibri" w:hAnsi="Calibri"/>
          <w:lang w:val="en-GB"/>
        </w:rPr>
        <w:t>.</w:t>
      </w:r>
      <w:r w:rsidR="00A1628B" w:rsidRPr="0024604A">
        <w:rPr>
          <w:lang w:val="en-US"/>
        </w:rPr>
        <w:t xml:space="preserve"> </w:t>
      </w:r>
      <w:r w:rsidR="00A1628B" w:rsidRPr="0024604A">
        <w:rPr>
          <w:rFonts w:ascii="Calibri" w:hAnsi="Calibri"/>
          <w:lang w:val="en-GB"/>
        </w:rPr>
        <w:t xml:space="preserve">Regardless of the peak intensities of the carboxylate ions, which depend on their position on the glycerol </w:t>
      </w:r>
      <w:r w:rsidR="00A1628B" w:rsidRPr="0024604A">
        <w:rPr>
          <w:rFonts w:ascii="Calibri" w:hAnsi="Calibri"/>
          <w:lang w:val="en-GB"/>
        </w:rPr>
        <w:lastRenderedPageBreak/>
        <w:t>backbone (</w:t>
      </w:r>
      <w:r w:rsidR="00A1628B" w:rsidRPr="0024604A">
        <w:rPr>
          <w:rFonts w:ascii="Calibri" w:hAnsi="Calibri"/>
          <w:i/>
          <w:iCs/>
          <w:lang w:val="en-GB"/>
        </w:rPr>
        <w:t>sn‐</w:t>
      </w:r>
      <w:r w:rsidR="00A1628B" w:rsidRPr="0024604A">
        <w:rPr>
          <w:rFonts w:ascii="Calibri" w:hAnsi="Calibri"/>
          <w:lang w:val="en-GB"/>
        </w:rPr>
        <w:t>1/</w:t>
      </w:r>
      <w:r w:rsidR="00A1628B" w:rsidRPr="0024604A">
        <w:rPr>
          <w:rFonts w:ascii="Calibri" w:hAnsi="Calibri"/>
          <w:i/>
          <w:iCs/>
          <w:lang w:val="en-GB"/>
        </w:rPr>
        <w:t>sn‐</w:t>
      </w:r>
      <w:r w:rsidR="00A1628B" w:rsidRPr="0024604A">
        <w:rPr>
          <w:rFonts w:ascii="Calibri" w:hAnsi="Calibri"/>
          <w:lang w:val="en-GB"/>
        </w:rPr>
        <w:t>2), the outcome obtained by using HILIC-ESI‐AIF</w:t>
      </w:r>
      <w:r w:rsidR="00601CDC" w:rsidRPr="0024604A">
        <w:rPr>
          <w:rFonts w:ascii="Calibri" w:hAnsi="Calibri"/>
          <w:lang w:val="en-GB"/>
        </w:rPr>
        <w:t xml:space="preserve"> MS</w:t>
      </w:r>
      <w:r w:rsidR="00A1628B" w:rsidRPr="0024604A">
        <w:rPr>
          <w:rFonts w:ascii="Calibri" w:hAnsi="Calibri"/>
          <w:lang w:val="en-GB"/>
        </w:rPr>
        <w:t xml:space="preserve"> affords a direct and immediate comparison of samples when examined under the same experimental conditions. </w:t>
      </w:r>
      <w:bookmarkEnd w:id="17"/>
      <w:r w:rsidR="00ED0822" w:rsidRPr="0024604A">
        <w:rPr>
          <w:rFonts w:ascii="Calibri" w:hAnsi="Calibri"/>
          <w:lang w:val="en-GB"/>
        </w:rPr>
        <w:t>H</w:t>
      </w:r>
      <w:r w:rsidR="004872EE" w:rsidRPr="0024604A">
        <w:rPr>
          <w:rFonts w:ascii="Calibri" w:hAnsi="Calibri"/>
          <w:lang w:val="en-GB"/>
        </w:rPr>
        <w:t xml:space="preserve">ere, the same approach was </w:t>
      </w:r>
      <w:r w:rsidR="00F66C1D" w:rsidRPr="0024604A">
        <w:rPr>
          <w:rFonts w:ascii="Calibri" w:hAnsi="Calibri"/>
          <w:lang w:val="en-GB"/>
        </w:rPr>
        <w:t>applied</w:t>
      </w:r>
      <w:r w:rsidR="004872EE" w:rsidRPr="0024604A">
        <w:rPr>
          <w:rFonts w:ascii="Calibri" w:hAnsi="Calibri"/>
          <w:lang w:val="en-GB"/>
        </w:rPr>
        <w:t xml:space="preserve">, and data quality was assessed by using </w:t>
      </w:r>
      <w:r w:rsidR="00ED0822" w:rsidRPr="0024604A">
        <w:rPr>
          <w:rFonts w:ascii="Calibri" w:hAnsi="Calibri"/>
          <w:lang w:val="en-GB"/>
        </w:rPr>
        <w:t xml:space="preserve">a </w:t>
      </w:r>
      <w:r w:rsidR="0011776D" w:rsidRPr="0024604A">
        <w:rPr>
          <w:rFonts w:ascii="Calibri" w:hAnsi="Calibri"/>
          <w:lang w:val="en-GB"/>
        </w:rPr>
        <w:t>lipidomi</w:t>
      </w:r>
      <w:r w:rsidR="004872EE" w:rsidRPr="0024604A">
        <w:rPr>
          <w:rFonts w:ascii="Calibri" w:hAnsi="Calibri"/>
          <w:lang w:val="en-GB"/>
        </w:rPr>
        <w:t xml:space="preserve">c approach. </w:t>
      </w:r>
      <w:bookmarkStart w:id="18" w:name="_Hlk42160667"/>
      <w:r w:rsidR="004872EE" w:rsidRPr="0024604A">
        <w:rPr>
          <w:rFonts w:ascii="Calibri" w:hAnsi="Calibri"/>
          <w:lang w:val="en-GB"/>
        </w:rPr>
        <w:t xml:space="preserve">Under the seven main </w:t>
      </w:r>
      <w:r w:rsidR="00570CA2" w:rsidRPr="0024604A">
        <w:rPr>
          <w:rFonts w:ascii="Calibri" w:hAnsi="Calibri"/>
          <w:lang w:val="en-GB"/>
        </w:rPr>
        <w:t>chromatographic</w:t>
      </w:r>
      <w:r w:rsidR="004872EE" w:rsidRPr="0024604A">
        <w:rPr>
          <w:rFonts w:ascii="Calibri" w:hAnsi="Calibri"/>
          <w:lang w:val="en-GB"/>
        </w:rPr>
        <w:t xml:space="preserve"> band</w:t>
      </w:r>
      <w:r w:rsidR="00325AC8" w:rsidRPr="0024604A">
        <w:rPr>
          <w:rFonts w:ascii="Calibri" w:hAnsi="Calibri"/>
          <w:lang w:val="en-GB"/>
        </w:rPr>
        <w:t>s</w:t>
      </w:r>
      <w:r w:rsidR="00A66E81" w:rsidRPr="0024604A">
        <w:rPr>
          <w:rFonts w:ascii="Calibri" w:hAnsi="Calibri"/>
          <w:lang w:val="en-GB"/>
        </w:rPr>
        <w:t>,</w:t>
      </w:r>
      <w:r w:rsidR="004872EE" w:rsidRPr="0024604A">
        <w:rPr>
          <w:rFonts w:ascii="Calibri" w:hAnsi="Calibri"/>
          <w:lang w:val="en-GB"/>
        </w:rPr>
        <w:t xml:space="preserve"> i.e.</w:t>
      </w:r>
      <w:r w:rsidR="00ED0822" w:rsidRPr="0024604A">
        <w:rPr>
          <w:rFonts w:ascii="Calibri" w:hAnsi="Calibri"/>
          <w:lang w:val="en-GB"/>
        </w:rPr>
        <w:t xml:space="preserve"> </w:t>
      </w:r>
      <w:r w:rsidR="004872EE" w:rsidRPr="0024604A">
        <w:rPr>
          <w:rFonts w:ascii="Calibri" w:hAnsi="Calibri"/>
          <w:lang w:val="en-GB"/>
        </w:rPr>
        <w:t>PI</w:t>
      </w:r>
      <w:r w:rsidR="00A66E81" w:rsidRPr="0024604A">
        <w:rPr>
          <w:rFonts w:ascii="Calibri" w:hAnsi="Calibri"/>
          <w:lang w:val="en-GB"/>
        </w:rPr>
        <w:t xml:space="preserve"> (#1)</w:t>
      </w:r>
      <w:r w:rsidR="004872EE" w:rsidRPr="0024604A">
        <w:rPr>
          <w:rFonts w:ascii="Calibri" w:hAnsi="Calibri"/>
          <w:lang w:val="en-GB"/>
        </w:rPr>
        <w:t>, PE</w:t>
      </w:r>
      <w:r w:rsidR="003F67BF" w:rsidRPr="0024604A">
        <w:rPr>
          <w:rFonts w:ascii="Calibri" w:hAnsi="Calibri"/>
          <w:lang w:val="en-GB"/>
        </w:rPr>
        <w:t xml:space="preserve"> </w:t>
      </w:r>
      <w:r w:rsidR="004872EE" w:rsidRPr="0024604A">
        <w:rPr>
          <w:rFonts w:ascii="Calibri" w:hAnsi="Calibri"/>
          <w:lang w:val="en-GB"/>
        </w:rPr>
        <w:t>&amp;</w:t>
      </w:r>
      <w:r w:rsidR="003F67BF" w:rsidRPr="0024604A">
        <w:rPr>
          <w:rFonts w:ascii="Calibri" w:hAnsi="Calibri"/>
          <w:lang w:val="en-GB"/>
        </w:rPr>
        <w:t xml:space="preserve"> </w:t>
      </w:r>
      <w:r w:rsidR="004872EE" w:rsidRPr="0024604A">
        <w:rPr>
          <w:rFonts w:ascii="Calibri" w:hAnsi="Calibri"/>
          <w:lang w:val="en-GB"/>
        </w:rPr>
        <w:t>PEO</w:t>
      </w:r>
      <w:r w:rsidR="00A66E81" w:rsidRPr="0024604A">
        <w:rPr>
          <w:rFonts w:ascii="Calibri" w:hAnsi="Calibri"/>
          <w:lang w:val="en-GB"/>
        </w:rPr>
        <w:t xml:space="preserve"> (#2),</w:t>
      </w:r>
      <w:r w:rsidR="004872EE" w:rsidRPr="0024604A">
        <w:rPr>
          <w:rFonts w:ascii="Calibri" w:hAnsi="Calibri"/>
          <w:lang w:val="en-GB"/>
        </w:rPr>
        <w:t xml:space="preserve"> LPE &amp; LPE-O</w:t>
      </w:r>
      <w:r w:rsidR="006A59CD" w:rsidRPr="0024604A">
        <w:rPr>
          <w:rFonts w:ascii="Calibri" w:hAnsi="Calibri"/>
          <w:lang w:val="en-GB"/>
        </w:rPr>
        <w:t xml:space="preserve"> </w:t>
      </w:r>
      <w:r w:rsidR="00A66E81" w:rsidRPr="0024604A">
        <w:rPr>
          <w:rFonts w:ascii="Calibri" w:hAnsi="Calibri"/>
          <w:lang w:val="en-GB"/>
        </w:rPr>
        <w:t>(#3)</w:t>
      </w:r>
      <w:r w:rsidR="004872EE" w:rsidRPr="0024604A">
        <w:rPr>
          <w:rFonts w:ascii="Calibri" w:hAnsi="Calibri"/>
          <w:lang w:val="en-GB"/>
        </w:rPr>
        <w:t>, PS</w:t>
      </w:r>
      <w:r w:rsidR="00A66E81" w:rsidRPr="0024604A">
        <w:rPr>
          <w:rFonts w:ascii="Calibri" w:hAnsi="Calibri"/>
          <w:lang w:val="en-GB"/>
        </w:rPr>
        <w:t xml:space="preserve"> (#4)</w:t>
      </w:r>
      <w:r w:rsidR="004872EE" w:rsidRPr="0024604A">
        <w:rPr>
          <w:rFonts w:ascii="Calibri" w:hAnsi="Calibri"/>
          <w:lang w:val="en-GB"/>
        </w:rPr>
        <w:t>, PC &amp; PC-O</w:t>
      </w:r>
      <w:r w:rsidR="00A66E81" w:rsidRPr="0024604A">
        <w:rPr>
          <w:rFonts w:ascii="Calibri" w:hAnsi="Calibri"/>
          <w:lang w:val="en-GB"/>
        </w:rPr>
        <w:t xml:space="preserve"> (#5)</w:t>
      </w:r>
      <w:r w:rsidR="004872EE" w:rsidRPr="0024604A">
        <w:rPr>
          <w:rFonts w:ascii="Calibri" w:hAnsi="Calibri"/>
          <w:lang w:val="en-GB"/>
        </w:rPr>
        <w:t>, SM</w:t>
      </w:r>
      <w:r w:rsidR="00A66E81" w:rsidRPr="0024604A">
        <w:rPr>
          <w:rFonts w:ascii="Calibri" w:hAnsi="Calibri"/>
          <w:lang w:val="en-GB"/>
        </w:rPr>
        <w:t xml:space="preserve"> (#6)</w:t>
      </w:r>
      <w:r w:rsidR="004872EE" w:rsidRPr="0024604A">
        <w:rPr>
          <w:rFonts w:ascii="Calibri" w:hAnsi="Calibri"/>
          <w:lang w:val="en-GB"/>
        </w:rPr>
        <w:t xml:space="preserve"> and LPC &amp; LPC-O</w:t>
      </w:r>
      <w:r w:rsidR="00A66E81" w:rsidRPr="0024604A">
        <w:rPr>
          <w:rFonts w:ascii="Calibri" w:hAnsi="Calibri"/>
          <w:lang w:val="en-GB"/>
        </w:rPr>
        <w:t xml:space="preserve"> (#7)</w:t>
      </w:r>
      <w:r w:rsidR="00570CA2" w:rsidRPr="0024604A">
        <w:rPr>
          <w:rFonts w:ascii="Calibri" w:hAnsi="Calibri"/>
          <w:lang w:val="en-GB"/>
        </w:rPr>
        <w:t>,</w:t>
      </w:r>
      <w:r w:rsidR="004872EE" w:rsidRPr="0024604A">
        <w:rPr>
          <w:rFonts w:ascii="Calibri" w:hAnsi="Calibri"/>
          <w:lang w:val="en-GB"/>
        </w:rPr>
        <w:t xml:space="preserve"> AIF </w:t>
      </w:r>
      <w:r w:rsidR="00213BB5" w:rsidRPr="0024604A">
        <w:rPr>
          <w:rFonts w:ascii="Calibri" w:hAnsi="Calibri"/>
          <w:lang w:val="en-GB"/>
        </w:rPr>
        <w:t xml:space="preserve">MS </w:t>
      </w:r>
      <w:r w:rsidR="004872EE" w:rsidRPr="0024604A">
        <w:rPr>
          <w:rFonts w:ascii="Calibri" w:hAnsi="Calibri"/>
          <w:lang w:val="en-GB"/>
        </w:rPr>
        <w:t xml:space="preserve">spectra were integrated </w:t>
      </w:r>
      <w:r w:rsidR="00A66E81" w:rsidRPr="0024604A">
        <w:rPr>
          <w:rFonts w:ascii="Calibri" w:hAnsi="Calibri"/>
          <w:lang w:val="en-GB"/>
        </w:rPr>
        <w:t xml:space="preserve">and </w:t>
      </w:r>
      <w:r w:rsidR="004872EE" w:rsidRPr="0024604A">
        <w:rPr>
          <w:rFonts w:ascii="Calibri" w:hAnsi="Calibri"/>
          <w:lang w:val="en-GB"/>
        </w:rPr>
        <w:t xml:space="preserve">data </w:t>
      </w:r>
      <w:r w:rsidR="00A66E81" w:rsidRPr="0024604A">
        <w:rPr>
          <w:rFonts w:ascii="Calibri" w:hAnsi="Calibri"/>
          <w:lang w:val="en-GB"/>
        </w:rPr>
        <w:t xml:space="preserve">were </w:t>
      </w:r>
      <w:r w:rsidR="00ED0822" w:rsidRPr="0024604A">
        <w:rPr>
          <w:rFonts w:ascii="Calibri" w:hAnsi="Calibri"/>
          <w:lang w:val="en-GB"/>
        </w:rPr>
        <w:t>evaluated</w:t>
      </w:r>
      <w:r w:rsidR="004872EE" w:rsidRPr="0024604A">
        <w:rPr>
          <w:rFonts w:ascii="Calibri" w:hAnsi="Calibri"/>
          <w:lang w:val="en-GB"/>
        </w:rPr>
        <w:t xml:space="preserve"> by Alex</w:t>
      </w:r>
      <w:r w:rsidR="004872EE" w:rsidRPr="0024604A">
        <w:rPr>
          <w:rFonts w:ascii="Calibri" w:hAnsi="Calibri"/>
          <w:vertAlign w:val="superscript"/>
          <w:lang w:val="en-GB"/>
        </w:rPr>
        <w:t>123</w:t>
      </w:r>
      <w:bookmarkStart w:id="19" w:name="_Hlk42148146"/>
      <w:r w:rsidR="00462F87" w:rsidRPr="0024604A">
        <w:rPr>
          <w:rFonts w:ascii="Calibri" w:hAnsi="Calibri"/>
          <w:lang w:val="en-GB"/>
        </w:rPr>
        <w:t xml:space="preserve">; </w:t>
      </w:r>
      <w:bookmarkStart w:id="20" w:name="_Hlk42078781"/>
      <w:bookmarkEnd w:id="18"/>
      <w:r w:rsidR="00462F87" w:rsidRPr="0024604A">
        <w:rPr>
          <w:rFonts w:ascii="Calibri" w:hAnsi="Calibri"/>
          <w:lang w:val="en-GB"/>
        </w:rPr>
        <w:t xml:space="preserve">a summary of retrieved acyl fatty chains, together with relative </w:t>
      </w:r>
      <w:r w:rsidR="008A3775" w:rsidRPr="0024604A">
        <w:rPr>
          <w:rFonts w:ascii="Calibri" w:hAnsi="Calibri"/>
          <w:lang w:val="en-GB"/>
        </w:rPr>
        <w:t>abundances</w:t>
      </w:r>
      <w:r w:rsidR="00462F87" w:rsidRPr="0024604A">
        <w:rPr>
          <w:rFonts w:ascii="Calibri" w:hAnsi="Calibri"/>
          <w:lang w:val="en-GB"/>
        </w:rPr>
        <w:t xml:space="preserve"> is reported in </w:t>
      </w:r>
      <w:r w:rsidR="00462F87" w:rsidRPr="0024604A">
        <w:rPr>
          <w:rFonts w:ascii="Calibri" w:hAnsi="Calibri"/>
          <w:b/>
          <w:bCs/>
          <w:lang w:val="en-GB"/>
        </w:rPr>
        <w:t>Table S4</w:t>
      </w:r>
      <w:r w:rsidR="00462F87" w:rsidRPr="0024604A">
        <w:rPr>
          <w:rFonts w:ascii="Calibri" w:hAnsi="Calibri"/>
          <w:lang w:val="en-GB"/>
        </w:rPr>
        <w:t xml:space="preserve">. </w:t>
      </w:r>
      <w:bookmarkEnd w:id="19"/>
      <w:bookmarkEnd w:id="20"/>
      <w:r w:rsidR="00ED0822" w:rsidRPr="0024604A">
        <w:rPr>
          <w:rFonts w:ascii="Calibri" w:hAnsi="Calibri"/>
          <w:lang w:val="en-GB"/>
        </w:rPr>
        <w:t>Note that the</w:t>
      </w:r>
      <w:r w:rsidR="00570CA2" w:rsidRPr="0024604A">
        <w:rPr>
          <w:rFonts w:ascii="Calibri" w:hAnsi="Calibri"/>
          <w:lang w:val="en-GB"/>
        </w:rPr>
        <w:t xml:space="preserve"> AIF data integrated under </w:t>
      </w:r>
      <w:r w:rsidR="00ED0822" w:rsidRPr="0024604A">
        <w:rPr>
          <w:rFonts w:ascii="Calibri" w:hAnsi="Calibri"/>
          <w:lang w:val="en-GB"/>
        </w:rPr>
        <w:t xml:space="preserve">the </w:t>
      </w:r>
      <w:r w:rsidR="00570CA2" w:rsidRPr="0024604A">
        <w:rPr>
          <w:rFonts w:ascii="Calibri" w:hAnsi="Calibri"/>
          <w:lang w:val="en-GB"/>
        </w:rPr>
        <w:t>SM band can</w:t>
      </w:r>
      <w:r w:rsidR="00325AC8" w:rsidRPr="0024604A">
        <w:rPr>
          <w:rFonts w:ascii="Calibri" w:hAnsi="Calibri"/>
          <w:lang w:val="en-GB"/>
        </w:rPr>
        <w:t>not</w:t>
      </w:r>
      <w:r w:rsidR="00570CA2" w:rsidRPr="0024604A">
        <w:rPr>
          <w:rFonts w:ascii="Calibri" w:hAnsi="Calibri"/>
          <w:lang w:val="en-GB"/>
        </w:rPr>
        <w:t xml:space="preserve"> be </w:t>
      </w:r>
      <w:r w:rsidR="00ED0822" w:rsidRPr="0024604A">
        <w:rPr>
          <w:rFonts w:ascii="Calibri" w:hAnsi="Calibri"/>
          <w:lang w:val="en-GB"/>
        </w:rPr>
        <w:t xml:space="preserve">included among suitable spectra because the </w:t>
      </w:r>
      <w:r w:rsidR="00570CA2" w:rsidRPr="0024604A">
        <w:rPr>
          <w:rFonts w:ascii="Calibri" w:hAnsi="Calibri"/>
          <w:lang w:val="en-GB"/>
        </w:rPr>
        <w:t xml:space="preserve">instrumental variability </w:t>
      </w:r>
      <w:r w:rsidR="00FF3AF7" w:rsidRPr="0024604A">
        <w:rPr>
          <w:rFonts w:ascii="Calibri" w:hAnsi="Calibri"/>
          <w:lang w:val="en-GB"/>
        </w:rPr>
        <w:t xml:space="preserve">was </w:t>
      </w:r>
      <w:r w:rsidR="00CA299D" w:rsidRPr="0024604A">
        <w:rPr>
          <w:rFonts w:ascii="Calibri" w:hAnsi="Calibri"/>
          <w:lang w:val="en-US"/>
        </w:rPr>
        <w:t>higher than biological one</w:t>
      </w:r>
      <w:r w:rsidR="00CA299D" w:rsidRPr="0024604A">
        <w:rPr>
          <w:rFonts w:ascii="Calibri" w:hAnsi="Calibri"/>
          <w:lang w:val="en-GB"/>
        </w:rPr>
        <w:t xml:space="preserve"> </w:t>
      </w:r>
      <w:r w:rsidR="002442BB" w:rsidRPr="0024604A">
        <w:rPr>
          <w:rFonts w:ascii="Calibri" w:hAnsi="Calibri"/>
          <w:lang w:val="en-GB"/>
        </w:rPr>
        <w:t>as demonstrated by</w:t>
      </w:r>
      <w:r w:rsidR="00570CA2" w:rsidRPr="0024604A">
        <w:rPr>
          <w:rFonts w:ascii="Calibri" w:hAnsi="Calibri"/>
          <w:lang w:val="en-GB"/>
        </w:rPr>
        <w:t xml:space="preserve"> QC</w:t>
      </w:r>
      <w:r w:rsidR="003F67BF" w:rsidRPr="0024604A">
        <w:rPr>
          <w:rFonts w:ascii="Calibri" w:hAnsi="Calibri"/>
          <w:lang w:val="en-GB"/>
        </w:rPr>
        <w:t xml:space="preserve"> samples</w:t>
      </w:r>
      <w:r w:rsidR="00570CA2" w:rsidRPr="0024604A">
        <w:rPr>
          <w:rFonts w:ascii="Calibri" w:hAnsi="Calibri"/>
          <w:lang w:val="en-GB"/>
        </w:rPr>
        <w:t xml:space="preserve"> not </w:t>
      </w:r>
      <w:r w:rsidR="00C57C81" w:rsidRPr="0024604A">
        <w:rPr>
          <w:rFonts w:ascii="Calibri" w:hAnsi="Calibri"/>
          <w:lang w:val="en-GB"/>
        </w:rPr>
        <w:t>clustered</w:t>
      </w:r>
      <w:r w:rsidR="00570CA2" w:rsidRPr="0024604A">
        <w:rPr>
          <w:rFonts w:ascii="Calibri" w:hAnsi="Calibri"/>
          <w:lang w:val="en-GB"/>
        </w:rPr>
        <w:t xml:space="preserve"> in the middle of the score plot</w:t>
      </w:r>
      <w:r w:rsidR="002442BB" w:rsidRPr="0024604A">
        <w:rPr>
          <w:rFonts w:ascii="Calibri" w:hAnsi="Calibri"/>
          <w:lang w:val="en-GB"/>
        </w:rPr>
        <w:t xml:space="preserve"> (</w:t>
      </w:r>
      <w:r w:rsidR="00ED0822" w:rsidRPr="0024604A">
        <w:rPr>
          <w:rFonts w:ascii="Calibri" w:hAnsi="Calibri"/>
          <w:lang w:val="en-GB"/>
        </w:rPr>
        <w:t xml:space="preserve">see </w:t>
      </w:r>
      <w:r w:rsidR="00ED0822" w:rsidRPr="0024604A">
        <w:rPr>
          <w:rFonts w:ascii="Calibri" w:hAnsi="Calibri"/>
          <w:b/>
          <w:bCs/>
          <w:lang w:val="en-GB"/>
        </w:rPr>
        <w:t xml:space="preserve">Figure </w:t>
      </w:r>
      <w:r w:rsidR="00A140DB" w:rsidRPr="0024604A">
        <w:rPr>
          <w:rFonts w:ascii="Calibri" w:hAnsi="Calibri"/>
          <w:b/>
          <w:bCs/>
          <w:lang w:val="en-GB"/>
        </w:rPr>
        <w:t>S6</w:t>
      </w:r>
      <w:r w:rsidR="002442BB" w:rsidRPr="0024604A">
        <w:rPr>
          <w:rFonts w:ascii="Calibri" w:hAnsi="Calibri"/>
          <w:lang w:val="en-GB"/>
        </w:rPr>
        <w:t>)</w:t>
      </w:r>
      <w:r w:rsidR="00570CA2" w:rsidRPr="0024604A">
        <w:rPr>
          <w:rFonts w:ascii="Calibri" w:hAnsi="Calibri"/>
          <w:lang w:val="en-GB"/>
        </w:rPr>
        <w:t xml:space="preserve">. </w:t>
      </w:r>
      <w:r w:rsidR="00325AC8" w:rsidRPr="0024604A">
        <w:rPr>
          <w:rFonts w:ascii="Calibri" w:hAnsi="Calibri"/>
          <w:lang w:val="en-GB"/>
        </w:rPr>
        <w:t xml:space="preserve">This result was somehow predictable since </w:t>
      </w:r>
      <w:r w:rsidR="00570CA2" w:rsidRPr="0024604A">
        <w:rPr>
          <w:rFonts w:ascii="Calibri" w:hAnsi="Calibri"/>
          <w:lang w:val="en-GB"/>
        </w:rPr>
        <w:t xml:space="preserve">fragmentation </w:t>
      </w:r>
      <w:r w:rsidR="00325AC8" w:rsidRPr="0024604A">
        <w:rPr>
          <w:rFonts w:ascii="Calibri" w:hAnsi="Calibri"/>
          <w:lang w:val="en-GB"/>
        </w:rPr>
        <w:t xml:space="preserve">of </w:t>
      </w:r>
      <w:r w:rsidR="00570CA2" w:rsidRPr="0024604A">
        <w:rPr>
          <w:rFonts w:ascii="Calibri" w:hAnsi="Calibri"/>
          <w:lang w:val="en-GB"/>
        </w:rPr>
        <w:t>SM</w:t>
      </w:r>
      <w:r w:rsidR="00325AC8" w:rsidRPr="0024604A">
        <w:rPr>
          <w:rFonts w:ascii="Calibri" w:hAnsi="Calibri"/>
          <w:lang w:val="en-GB"/>
        </w:rPr>
        <w:t xml:space="preserve"> does not produce</w:t>
      </w:r>
      <w:r w:rsidR="00570CA2" w:rsidRPr="0024604A">
        <w:rPr>
          <w:rFonts w:ascii="Calibri" w:hAnsi="Calibri"/>
          <w:lang w:val="en-GB"/>
        </w:rPr>
        <w:t xml:space="preserve"> very intense fatty acyl signals</w:t>
      </w:r>
      <w:r w:rsidR="00325AC8" w:rsidRPr="0024604A">
        <w:rPr>
          <w:rFonts w:ascii="Calibri" w:hAnsi="Calibri"/>
          <w:lang w:val="en-GB"/>
        </w:rPr>
        <w:t xml:space="preserve"> </w:t>
      </w:r>
      <w:r w:rsidR="00734C08" w:rsidRPr="0024604A">
        <w:rPr>
          <w:rFonts w:ascii="Calibri" w:hAnsi="Calibri"/>
          <w:lang w:val="en-GB"/>
        </w:rPr>
        <w:fldChar w:fldCharType="begin" w:fldLock="1"/>
      </w:r>
      <w:r w:rsidR="006126E3" w:rsidRPr="0024604A">
        <w:rPr>
          <w:rFonts w:ascii="Calibri" w:hAnsi="Calibri"/>
          <w:lang w:val="en-GB"/>
        </w:rPr>
        <w:instrText>ADDIN CSL_CITATION {"citationItems":[{"id":"ITEM-1","itemData":{"ISBN":"9781849738279","author":[{"dropping-particle":"","family":"Murphy","given":"Robert","non-dropping-particle":"","parse-names":false,"suffix":""}],"id":"ITEM-1","issued":{"date-parts":[["2015"]]},"number-of-pages":"1-295","title":"Tandem Mass Spectrometry of Lipids","type":"book"},"uris":["http://www.mendeley.com/documents/?uuid=9390357f-92a7-498a-bcce-9c3a66ad2c84","http://www.mendeley.com/documents/?uuid=4af22dfe-4872-4a38-a935-89187799f14c"]}],"mendeley":{"formattedCitation":"[47]","plainTextFormattedCitation":"[47]","previouslyFormattedCitation":"[47]"},"properties":{"noteIndex":0},"schema":"https://github.com/citation-style-language/schema/raw/master/csl-citation.json"}</w:instrText>
      </w:r>
      <w:r w:rsidR="00734C08" w:rsidRPr="0024604A">
        <w:rPr>
          <w:rFonts w:ascii="Calibri" w:hAnsi="Calibri"/>
          <w:lang w:val="en-GB"/>
        </w:rPr>
        <w:fldChar w:fldCharType="separate"/>
      </w:r>
      <w:r w:rsidR="0089225B" w:rsidRPr="0024604A">
        <w:rPr>
          <w:rFonts w:ascii="Calibri" w:hAnsi="Calibri"/>
          <w:noProof/>
          <w:lang w:val="en-GB"/>
        </w:rPr>
        <w:t>[47]</w:t>
      </w:r>
      <w:r w:rsidR="00734C08" w:rsidRPr="0024604A">
        <w:rPr>
          <w:rFonts w:ascii="Calibri" w:hAnsi="Calibri"/>
          <w:lang w:val="en-GB"/>
        </w:rPr>
        <w:fldChar w:fldCharType="end"/>
      </w:r>
      <w:r w:rsidR="00570CA2" w:rsidRPr="0024604A">
        <w:rPr>
          <w:rFonts w:ascii="Calibri" w:hAnsi="Calibri"/>
          <w:lang w:val="en-GB"/>
        </w:rPr>
        <w:t>; so, AIF data related to</w:t>
      </w:r>
      <w:r w:rsidR="00A66E81" w:rsidRPr="0024604A">
        <w:rPr>
          <w:rFonts w:ascii="Calibri" w:hAnsi="Calibri"/>
          <w:lang w:val="en-GB"/>
        </w:rPr>
        <w:t xml:space="preserve"> </w:t>
      </w:r>
      <w:r w:rsidR="00691B97" w:rsidRPr="0024604A">
        <w:rPr>
          <w:rFonts w:ascii="Calibri" w:hAnsi="Calibri"/>
          <w:lang w:val="en-GB"/>
        </w:rPr>
        <w:t>FA</w:t>
      </w:r>
      <w:r w:rsidR="00A66E81" w:rsidRPr="0024604A">
        <w:rPr>
          <w:rFonts w:ascii="Calibri" w:hAnsi="Calibri"/>
          <w:lang w:val="en-GB"/>
        </w:rPr>
        <w:t xml:space="preserve"> of</w:t>
      </w:r>
      <w:r w:rsidR="00570CA2" w:rsidRPr="0024604A">
        <w:rPr>
          <w:rFonts w:ascii="Calibri" w:hAnsi="Calibri"/>
          <w:lang w:val="en-GB"/>
        </w:rPr>
        <w:t xml:space="preserve"> SM species were removed and not further analysed.</w:t>
      </w:r>
      <w:r w:rsidR="00A66E81" w:rsidRPr="0024604A">
        <w:rPr>
          <w:rFonts w:ascii="Calibri" w:hAnsi="Calibri"/>
          <w:lang w:val="en-GB"/>
        </w:rPr>
        <w:t xml:space="preserve"> </w:t>
      </w:r>
      <w:r w:rsidR="009A5F4A" w:rsidRPr="0024604A">
        <w:rPr>
          <w:rFonts w:ascii="Calibri" w:hAnsi="Calibri"/>
          <w:lang w:val="en-GB"/>
        </w:rPr>
        <w:t>U</w:t>
      </w:r>
      <w:r w:rsidR="00F66C1D" w:rsidRPr="0024604A">
        <w:rPr>
          <w:rFonts w:ascii="Calibri" w:hAnsi="Calibri"/>
          <w:lang w:val="en-GB"/>
        </w:rPr>
        <w:t>pon</w:t>
      </w:r>
      <w:r w:rsidR="00A66E81" w:rsidRPr="0024604A">
        <w:rPr>
          <w:rFonts w:ascii="Calibri" w:hAnsi="Calibri"/>
          <w:lang w:val="en-GB"/>
        </w:rPr>
        <w:t xml:space="preserve"> RSD criterion application and QC </w:t>
      </w:r>
      <w:r w:rsidR="00A140DB" w:rsidRPr="0024604A">
        <w:rPr>
          <w:rFonts w:ascii="Calibri" w:hAnsi="Calibri"/>
          <w:lang w:val="en-GB"/>
        </w:rPr>
        <w:t>correction,</w:t>
      </w:r>
      <w:r w:rsidR="009A5F4A" w:rsidRPr="0024604A">
        <w:rPr>
          <w:rFonts w:ascii="Calibri" w:hAnsi="Calibri"/>
          <w:lang w:val="en-GB"/>
        </w:rPr>
        <w:t xml:space="preserve"> up to </w:t>
      </w:r>
      <w:r w:rsidR="00A66E81" w:rsidRPr="0024604A">
        <w:rPr>
          <w:rFonts w:ascii="Calibri" w:hAnsi="Calibri"/>
          <w:lang w:val="en-GB"/>
        </w:rPr>
        <w:t>133 FA related signals were obtained</w:t>
      </w:r>
      <w:r w:rsidR="009A5F4A" w:rsidRPr="0024604A">
        <w:rPr>
          <w:rFonts w:ascii="Calibri" w:hAnsi="Calibri"/>
          <w:lang w:val="en-GB"/>
        </w:rPr>
        <w:t xml:space="preserve">, namely </w:t>
      </w:r>
      <w:r w:rsidR="00A66E81" w:rsidRPr="0024604A">
        <w:rPr>
          <w:rFonts w:ascii="Calibri" w:hAnsi="Calibri"/>
          <w:lang w:val="en-GB"/>
        </w:rPr>
        <w:t xml:space="preserve">17 for band #1, 30 for band #2, 23 for band #3, 22 for band #4, 29 for band #5, 12 for band #7. </w:t>
      </w:r>
      <w:r w:rsidR="004F396E" w:rsidRPr="0024604A">
        <w:rPr>
          <w:rFonts w:ascii="Calibri" w:hAnsi="Calibri"/>
          <w:b/>
          <w:lang w:val="en-GB"/>
        </w:rPr>
        <w:t>Figure 5C</w:t>
      </w:r>
      <w:r w:rsidR="004F396E" w:rsidRPr="0024604A">
        <w:rPr>
          <w:rFonts w:ascii="Calibri" w:hAnsi="Calibri"/>
          <w:lang w:val="en-GB"/>
        </w:rPr>
        <w:t xml:space="preserve"> </w:t>
      </w:r>
      <w:r w:rsidR="00A66E81" w:rsidRPr="0024604A">
        <w:rPr>
          <w:rFonts w:ascii="Calibri" w:hAnsi="Calibri"/>
          <w:lang w:val="en-GB"/>
        </w:rPr>
        <w:t>shows</w:t>
      </w:r>
      <w:r w:rsidR="009A5F4A" w:rsidRPr="0024604A">
        <w:rPr>
          <w:rFonts w:ascii="Calibri" w:hAnsi="Calibri"/>
          <w:lang w:val="en-GB"/>
        </w:rPr>
        <w:t xml:space="preserve"> a</w:t>
      </w:r>
      <w:r w:rsidR="00A66E81" w:rsidRPr="0024604A">
        <w:rPr>
          <w:rFonts w:ascii="Calibri" w:hAnsi="Calibri"/>
          <w:lang w:val="en-GB"/>
        </w:rPr>
        <w:t xml:space="preserve"> </w:t>
      </w:r>
      <w:proofErr w:type="spellStart"/>
      <w:r w:rsidR="009A5F4A" w:rsidRPr="0024604A">
        <w:rPr>
          <w:rFonts w:ascii="Calibri" w:hAnsi="Calibri"/>
          <w:lang w:val="en-GB"/>
        </w:rPr>
        <w:t>centered</w:t>
      </w:r>
      <w:proofErr w:type="spellEnd"/>
      <w:r w:rsidR="009A5F4A" w:rsidRPr="0024604A">
        <w:rPr>
          <w:rFonts w:ascii="Calibri" w:hAnsi="Calibri"/>
          <w:lang w:val="en-GB"/>
        </w:rPr>
        <w:t xml:space="preserve"> PCA </w:t>
      </w:r>
      <w:r w:rsidR="00A66E81" w:rsidRPr="0024604A">
        <w:rPr>
          <w:rFonts w:ascii="Calibri" w:hAnsi="Calibri"/>
          <w:lang w:val="en-GB"/>
        </w:rPr>
        <w:t xml:space="preserve">plot </w:t>
      </w:r>
      <w:r w:rsidR="00006145" w:rsidRPr="0024604A">
        <w:rPr>
          <w:rFonts w:ascii="Calibri" w:hAnsi="Calibri"/>
          <w:lang w:val="en-GB"/>
        </w:rPr>
        <w:t xml:space="preserve">of </w:t>
      </w:r>
      <w:r w:rsidR="00F66C1D" w:rsidRPr="0024604A">
        <w:rPr>
          <w:rFonts w:ascii="Calibri" w:hAnsi="Calibri"/>
          <w:lang w:val="en-GB"/>
        </w:rPr>
        <w:t xml:space="preserve">all </w:t>
      </w:r>
      <w:r w:rsidR="009A5F4A" w:rsidRPr="0024604A">
        <w:rPr>
          <w:rFonts w:ascii="Calibri" w:hAnsi="Calibri"/>
          <w:lang w:val="en-GB"/>
        </w:rPr>
        <w:t xml:space="preserve">the </w:t>
      </w:r>
      <w:r w:rsidR="00F66C1D" w:rsidRPr="0024604A">
        <w:rPr>
          <w:rFonts w:ascii="Calibri" w:hAnsi="Calibri"/>
          <w:lang w:val="en-GB"/>
        </w:rPr>
        <w:t>extracted</w:t>
      </w:r>
      <w:r w:rsidR="00006145" w:rsidRPr="0024604A">
        <w:rPr>
          <w:rFonts w:ascii="Calibri" w:hAnsi="Calibri"/>
          <w:lang w:val="en-GB"/>
        </w:rPr>
        <w:t xml:space="preserve"> FA data matrix. </w:t>
      </w:r>
      <w:r w:rsidR="00734C08" w:rsidRPr="0024604A">
        <w:rPr>
          <w:rFonts w:ascii="Calibri" w:hAnsi="Calibri"/>
          <w:lang w:val="en-GB"/>
        </w:rPr>
        <w:t>As can be seen, signals of fatty acyl</w:t>
      </w:r>
      <w:r w:rsidR="009A5F4A" w:rsidRPr="0024604A">
        <w:rPr>
          <w:rFonts w:ascii="Calibri" w:hAnsi="Calibri"/>
          <w:lang w:val="en-GB"/>
        </w:rPr>
        <w:t xml:space="preserve"> </w:t>
      </w:r>
      <w:r w:rsidR="00FF3AF7" w:rsidRPr="0024604A">
        <w:rPr>
          <w:rFonts w:ascii="Calibri" w:hAnsi="Calibri"/>
          <w:lang w:val="en-GB"/>
        </w:rPr>
        <w:t xml:space="preserve">substituents </w:t>
      </w:r>
      <w:r w:rsidR="00734C08" w:rsidRPr="0024604A">
        <w:rPr>
          <w:rFonts w:ascii="Calibri" w:hAnsi="Calibri"/>
          <w:lang w:val="en-GB"/>
        </w:rPr>
        <w:t>mainly b</w:t>
      </w:r>
      <w:r w:rsidR="00325AC8" w:rsidRPr="0024604A">
        <w:rPr>
          <w:rFonts w:ascii="Calibri" w:hAnsi="Calibri"/>
          <w:lang w:val="en-GB"/>
        </w:rPr>
        <w:t>o</w:t>
      </w:r>
      <w:r w:rsidR="00734C08" w:rsidRPr="0024604A">
        <w:rPr>
          <w:rFonts w:ascii="Calibri" w:hAnsi="Calibri"/>
          <w:lang w:val="en-GB"/>
        </w:rPr>
        <w:t xml:space="preserve">unded to PC and PE discriminate between studied subjects (i.e. </w:t>
      </w:r>
      <w:r w:rsidR="008900A4" w:rsidRPr="0024604A">
        <w:rPr>
          <w:rFonts w:ascii="Calibri" w:hAnsi="Calibri"/>
          <w:lang w:val="en-GB"/>
        </w:rPr>
        <w:t xml:space="preserve">mainly </w:t>
      </w:r>
      <w:r w:rsidR="00734C08" w:rsidRPr="0024604A">
        <w:rPr>
          <w:rFonts w:ascii="Calibri" w:hAnsi="Calibri"/>
          <w:lang w:val="en-GB"/>
        </w:rPr>
        <w:t xml:space="preserve">FA </w:t>
      </w:r>
      <w:r w:rsidR="008900A4" w:rsidRPr="0024604A">
        <w:rPr>
          <w:rFonts w:ascii="Calibri" w:hAnsi="Calibri"/>
          <w:lang w:val="en-GB"/>
        </w:rPr>
        <w:t xml:space="preserve">16:0, </w:t>
      </w:r>
      <w:r w:rsidR="00734C08" w:rsidRPr="0024604A">
        <w:rPr>
          <w:rFonts w:ascii="Calibri" w:hAnsi="Calibri"/>
          <w:lang w:val="en-GB"/>
        </w:rPr>
        <w:t>18:1</w:t>
      </w:r>
      <w:r w:rsidR="008900A4" w:rsidRPr="0024604A">
        <w:rPr>
          <w:rFonts w:ascii="Calibri" w:hAnsi="Calibri"/>
          <w:lang w:val="en-GB"/>
        </w:rPr>
        <w:t xml:space="preserve"> and 20:4</w:t>
      </w:r>
      <w:r w:rsidR="00734C08" w:rsidRPr="0024604A">
        <w:rPr>
          <w:rFonts w:ascii="Calibri" w:hAnsi="Calibri"/>
          <w:lang w:val="en-GB"/>
        </w:rPr>
        <w:t xml:space="preserve"> in PC</w:t>
      </w:r>
      <w:r w:rsidR="008900A4" w:rsidRPr="0024604A">
        <w:rPr>
          <w:rFonts w:ascii="Calibri" w:hAnsi="Calibri"/>
          <w:lang w:val="en-GB"/>
        </w:rPr>
        <w:t>, FA 20:4 in PE class, but also FA 18:0 in LPE and in PS), in accordance with relative intensities of the considered lipid</w:t>
      </w:r>
      <w:r w:rsidR="00734C08" w:rsidRPr="0024604A">
        <w:rPr>
          <w:rFonts w:ascii="Calibri" w:hAnsi="Calibri"/>
          <w:lang w:val="en-GB"/>
        </w:rPr>
        <w:t xml:space="preserve"> </w:t>
      </w:r>
      <w:r w:rsidR="008900A4" w:rsidRPr="0024604A">
        <w:rPr>
          <w:rFonts w:ascii="Calibri" w:hAnsi="Calibri"/>
          <w:lang w:val="en-GB"/>
        </w:rPr>
        <w:t>classes</w:t>
      </w:r>
      <w:r w:rsidR="005D50F2" w:rsidRPr="0024604A">
        <w:rPr>
          <w:rFonts w:ascii="Calibri" w:hAnsi="Calibri"/>
          <w:lang w:val="en-GB"/>
        </w:rPr>
        <w:t>.</w:t>
      </w:r>
      <w:r w:rsidR="00A1628B" w:rsidRPr="0024604A">
        <w:rPr>
          <w:lang w:val="en-US"/>
        </w:rPr>
        <w:t xml:space="preserve"> </w:t>
      </w:r>
      <w:bookmarkStart w:id="21" w:name="_Hlk42148249"/>
      <w:r w:rsidR="00A1628B" w:rsidRPr="0024604A">
        <w:rPr>
          <w:rFonts w:ascii="Calibri" w:hAnsi="Calibri"/>
          <w:lang w:val="en-GB"/>
        </w:rPr>
        <w:t xml:space="preserve">Despite no clustering due to ASD, gender or age was assessed, sufficient information was obtained showing </w:t>
      </w:r>
      <w:r w:rsidR="00601CDC" w:rsidRPr="0024604A">
        <w:rPr>
          <w:rFonts w:ascii="Calibri" w:hAnsi="Calibri"/>
          <w:lang w:val="en-GB"/>
        </w:rPr>
        <w:t xml:space="preserve">for </w:t>
      </w:r>
      <w:r w:rsidR="00A1628B" w:rsidRPr="0024604A">
        <w:rPr>
          <w:rFonts w:ascii="Calibri" w:hAnsi="Calibri"/>
          <w:lang w:val="en-GB"/>
        </w:rPr>
        <w:t xml:space="preserve">the first time the possibility to exploit AIF data collected by HILIC-ESI-MS also for lipidomics </w:t>
      </w:r>
      <w:r w:rsidR="002E7DA0" w:rsidRPr="0024604A">
        <w:rPr>
          <w:rFonts w:ascii="Calibri" w:hAnsi="Calibri"/>
          <w:lang w:val="en-GB"/>
        </w:rPr>
        <w:t>investigations</w:t>
      </w:r>
      <w:r w:rsidR="00A1628B" w:rsidRPr="0024604A">
        <w:rPr>
          <w:rFonts w:ascii="Calibri" w:hAnsi="Calibri"/>
          <w:lang w:val="en-GB"/>
        </w:rPr>
        <w:t xml:space="preserve">; clusterization of QC samples in the score plots demonstrated the reproducibility of this approach in terms of qualitative fatty acyl chain compositions. </w:t>
      </w:r>
      <w:bookmarkEnd w:id="21"/>
      <w:r w:rsidR="0037500E" w:rsidRPr="0024604A">
        <w:rPr>
          <w:rFonts w:ascii="Calibri" w:hAnsi="Calibri"/>
          <w:lang w:val="en-GB"/>
        </w:rPr>
        <w:t>HILIC-</w:t>
      </w:r>
      <w:proofErr w:type="gramStart"/>
      <w:r w:rsidR="0037500E" w:rsidRPr="0024604A">
        <w:rPr>
          <w:rFonts w:ascii="Calibri" w:hAnsi="Calibri"/>
          <w:lang w:val="en-GB"/>
        </w:rPr>
        <w:t>ESI</w:t>
      </w:r>
      <w:r w:rsidR="00AA2B2D" w:rsidRPr="0024604A">
        <w:rPr>
          <w:rFonts w:ascii="Calibri" w:hAnsi="Calibri"/>
          <w:lang w:val="en-GB"/>
        </w:rPr>
        <w:t>(</w:t>
      </w:r>
      <w:proofErr w:type="gramEnd"/>
      <w:r w:rsidR="00AA2B2D" w:rsidRPr="0024604A">
        <w:rPr>
          <w:rFonts w:ascii="Calibri" w:hAnsi="Calibri"/>
          <w:lang w:val="en-GB"/>
        </w:rPr>
        <w:t>-)</w:t>
      </w:r>
      <w:r w:rsidR="0037500E" w:rsidRPr="0024604A">
        <w:rPr>
          <w:rFonts w:ascii="Calibri" w:hAnsi="Calibri"/>
          <w:lang w:val="en-GB"/>
        </w:rPr>
        <w:t xml:space="preserve">AIF MS </w:t>
      </w:r>
      <w:r w:rsidR="00AA2B2D" w:rsidRPr="0024604A">
        <w:rPr>
          <w:rFonts w:ascii="Calibri" w:hAnsi="Calibri"/>
          <w:lang w:val="en-GB"/>
        </w:rPr>
        <w:t>scan ca</w:t>
      </w:r>
      <w:r w:rsidR="009A5F4A" w:rsidRPr="0024604A">
        <w:rPr>
          <w:rFonts w:ascii="Calibri" w:hAnsi="Calibri"/>
          <w:lang w:val="en-GB"/>
        </w:rPr>
        <w:t xml:space="preserve">n be </w:t>
      </w:r>
      <w:r w:rsidR="0037500E" w:rsidRPr="0024604A">
        <w:rPr>
          <w:rFonts w:ascii="Calibri" w:hAnsi="Calibri"/>
          <w:lang w:val="en-GB"/>
        </w:rPr>
        <w:t>use</w:t>
      </w:r>
      <w:r w:rsidR="009A5F4A" w:rsidRPr="0024604A">
        <w:rPr>
          <w:rFonts w:ascii="Calibri" w:hAnsi="Calibri"/>
          <w:lang w:val="en-GB"/>
        </w:rPr>
        <w:t xml:space="preserve">d </w:t>
      </w:r>
      <w:r w:rsidR="00AA2B2D" w:rsidRPr="0024604A">
        <w:rPr>
          <w:rFonts w:ascii="Calibri" w:hAnsi="Calibri"/>
          <w:lang w:val="en-GB"/>
        </w:rPr>
        <w:t>to</w:t>
      </w:r>
      <w:r w:rsidR="009A5F4A" w:rsidRPr="0024604A">
        <w:rPr>
          <w:rFonts w:ascii="Calibri" w:hAnsi="Calibri"/>
          <w:lang w:val="en-GB"/>
        </w:rPr>
        <w:t xml:space="preserve"> </w:t>
      </w:r>
      <w:r w:rsidR="00006145" w:rsidRPr="0024604A">
        <w:rPr>
          <w:rFonts w:ascii="Calibri" w:hAnsi="Calibri"/>
          <w:lang w:val="en-GB"/>
        </w:rPr>
        <w:t xml:space="preserve">collect </w:t>
      </w:r>
      <w:r w:rsidR="00E23398" w:rsidRPr="0024604A">
        <w:rPr>
          <w:rFonts w:ascii="Calibri" w:hAnsi="Calibri"/>
          <w:lang w:val="en-GB"/>
        </w:rPr>
        <w:t xml:space="preserve">data </w:t>
      </w:r>
      <w:r w:rsidR="00006145" w:rsidRPr="0024604A">
        <w:rPr>
          <w:rFonts w:ascii="Calibri" w:hAnsi="Calibri"/>
          <w:lang w:val="en-GB"/>
        </w:rPr>
        <w:t>under each chromatographic band</w:t>
      </w:r>
      <w:r w:rsidR="00E23398" w:rsidRPr="0024604A">
        <w:rPr>
          <w:rFonts w:ascii="Calibri" w:hAnsi="Calibri"/>
          <w:lang w:val="en-GB"/>
        </w:rPr>
        <w:t xml:space="preserve">, thus demonstrating subtle </w:t>
      </w:r>
      <w:r w:rsidR="0037500E" w:rsidRPr="0024604A">
        <w:rPr>
          <w:rFonts w:ascii="Calibri" w:hAnsi="Calibri"/>
          <w:lang w:val="en-GB"/>
        </w:rPr>
        <w:t xml:space="preserve">differences in </w:t>
      </w:r>
      <w:r w:rsidR="00E23398" w:rsidRPr="0024604A">
        <w:rPr>
          <w:rFonts w:ascii="Calibri" w:hAnsi="Calibri"/>
          <w:lang w:val="en-GB"/>
        </w:rPr>
        <w:t xml:space="preserve">the </w:t>
      </w:r>
      <w:r w:rsidR="0037500E" w:rsidRPr="0024604A">
        <w:rPr>
          <w:rFonts w:ascii="Calibri" w:hAnsi="Calibri"/>
          <w:lang w:val="en-GB"/>
        </w:rPr>
        <w:t xml:space="preserve">composition </w:t>
      </w:r>
      <w:r w:rsidR="00E23398" w:rsidRPr="0024604A">
        <w:rPr>
          <w:rFonts w:ascii="Calibri" w:hAnsi="Calibri"/>
          <w:lang w:val="en-GB"/>
        </w:rPr>
        <w:t>of acyl chains</w:t>
      </w:r>
      <w:r w:rsidR="00006145" w:rsidRPr="0024604A">
        <w:rPr>
          <w:rFonts w:ascii="Calibri" w:hAnsi="Calibri"/>
          <w:lang w:val="en-GB"/>
        </w:rPr>
        <w:t xml:space="preserve">; </w:t>
      </w:r>
      <w:r w:rsidR="00E51420" w:rsidRPr="0024604A">
        <w:rPr>
          <w:rFonts w:ascii="Calibri" w:hAnsi="Calibri"/>
          <w:b/>
          <w:lang w:val="en-GB"/>
        </w:rPr>
        <w:t>F</w:t>
      </w:r>
      <w:r w:rsidR="00006145" w:rsidRPr="0024604A">
        <w:rPr>
          <w:rFonts w:ascii="Calibri" w:hAnsi="Calibri"/>
          <w:b/>
          <w:lang w:val="en-GB"/>
        </w:rPr>
        <w:t xml:space="preserve">igure </w:t>
      </w:r>
      <w:r w:rsidR="00E51420" w:rsidRPr="0024604A">
        <w:rPr>
          <w:rFonts w:ascii="Calibri" w:hAnsi="Calibri"/>
          <w:b/>
          <w:lang w:val="en-GB"/>
        </w:rPr>
        <w:t>5D</w:t>
      </w:r>
      <w:r w:rsidR="00E51420" w:rsidRPr="0024604A">
        <w:rPr>
          <w:rFonts w:ascii="Calibri" w:hAnsi="Calibri"/>
          <w:lang w:val="en-GB"/>
        </w:rPr>
        <w:t xml:space="preserve"> </w:t>
      </w:r>
      <w:r w:rsidR="00006145" w:rsidRPr="0024604A">
        <w:rPr>
          <w:rFonts w:ascii="Calibri" w:hAnsi="Calibri"/>
          <w:lang w:val="en-GB"/>
        </w:rPr>
        <w:t xml:space="preserve">shows </w:t>
      </w:r>
      <w:r w:rsidR="00E23398" w:rsidRPr="0024604A">
        <w:rPr>
          <w:rFonts w:ascii="Calibri" w:hAnsi="Calibri"/>
          <w:lang w:val="en-GB"/>
        </w:rPr>
        <w:t xml:space="preserve">the </w:t>
      </w:r>
      <w:r w:rsidR="00006145" w:rsidRPr="0024604A">
        <w:rPr>
          <w:rFonts w:ascii="Calibri" w:hAnsi="Calibri"/>
          <w:lang w:val="en-GB"/>
        </w:rPr>
        <w:t xml:space="preserve">PCA </w:t>
      </w:r>
      <w:r w:rsidR="00006145" w:rsidRPr="0024604A">
        <w:rPr>
          <w:rFonts w:ascii="Calibri" w:hAnsi="Calibri"/>
          <w:lang w:val="en-GB"/>
        </w:rPr>
        <w:lastRenderedPageBreak/>
        <w:t xml:space="preserve">score plot </w:t>
      </w:r>
      <w:r w:rsidR="00E23398" w:rsidRPr="0024604A">
        <w:rPr>
          <w:rFonts w:ascii="Calibri" w:hAnsi="Calibri"/>
          <w:lang w:val="en-GB"/>
        </w:rPr>
        <w:t>of</w:t>
      </w:r>
      <w:r w:rsidR="00006145" w:rsidRPr="0024604A">
        <w:rPr>
          <w:rFonts w:ascii="Calibri" w:hAnsi="Calibri"/>
          <w:lang w:val="en-GB"/>
        </w:rPr>
        <w:t xml:space="preserve"> FA signals under band #</w:t>
      </w:r>
      <w:r w:rsidR="00E51420" w:rsidRPr="0024604A">
        <w:rPr>
          <w:rFonts w:ascii="Calibri" w:hAnsi="Calibri"/>
          <w:lang w:val="en-GB"/>
        </w:rPr>
        <w:t>5</w:t>
      </w:r>
      <w:r w:rsidR="00006145" w:rsidRPr="0024604A">
        <w:rPr>
          <w:rFonts w:ascii="Calibri" w:hAnsi="Calibri"/>
          <w:lang w:val="en-GB"/>
        </w:rPr>
        <w:t xml:space="preserve">. </w:t>
      </w:r>
      <w:r w:rsidR="00CA299D" w:rsidRPr="0024604A">
        <w:rPr>
          <w:rFonts w:ascii="Calibri" w:hAnsi="Calibri"/>
          <w:lang w:val="en-GB"/>
        </w:rPr>
        <w:t xml:space="preserve">PLS-DA was </w:t>
      </w:r>
      <w:r w:rsidR="00B00A21" w:rsidRPr="0024604A">
        <w:rPr>
          <w:rFonts w:ascii="Calibri" w:hAnsi="Calibri"/>
          <w:lang w:val="en-GB"/>
        </w:rPr>
        <w:t xml:space="preserve">applied </w:t>
      </w:r>
      <w:r w:rsidR="00CA299D" w:rsidRPr="0024604A">
        <w:rPr>
          <w:rFonts w:ascii="Calibri" w:hAnsi="Calibri"/>
          <w:lang w:val="en-GB"/>
        </w:rPr>
        <w:t>using the whole data set (</w:t>
      </w:r>
      <w:r w:rsidR="00CA299D" w:rsidRPr="0024604A">
        <w:rPr>
          <w:rFonts w:ascii="Calibri" w:hAnsi="Calibri"/>
          <w:b/>
          <w:lang w:val="en-GB"/>
        </w:rPr>
        <w:t>Figure 6C</w:t>
      </w:r>
      <w:r w:rsidR="00CA299D" w:rsidRPr="0024604A">
        <w:rPr>
          <w:rFonts w:ascii="Calibri" w:hAnsi="Calibri"/>
          <w:lang w:val="en-GB"/>
        </w:rPr>
        <w:t>) or only FA signals obtained in AIF MS</w:t>
      </w:r>
      <w:r w:rsidR="00153A2D" w:rsidRPr="0024604A">
        <w:rPr>
          <w:rFonts w:ascii="Calibri" w:hAnsi="Calibri"/>
          <w:lang w:val="en-GB"/>
        </w:rPr>
        <w:t xml:space="preserve"> scan </w:t>
      </w:r>
      <w:r w:rsidR="00CA299D" w:rsidRPr="0024604A">
        <w:rPr>
          <w:rFonts w:ascii="Calibri" w:hAnsi="Calibri"/>
          <w:lang w:val="en-GB"/>
        </w:rPr>
        <w:t>under band #2 (</w:t>
      </w:r>
      <w:r w:rsidR="00CA299D" w:rsidRPr="0024604A">
        <w:rPr>
          <w:rFonts w:ascii="Calibri" w:hAnsi="Calibri"/>
          <w:b/>
          <w:lang w:val="en-GB"/>
        </w:rPr>
        <w:t>Figure 6D</w:t>
      </w:r>
      <w:r w:rsidR="00CA299D" w:rsidRPr="0024604A">
        <w:rPr>
          <w:rFonts w:ascii="Calibri" w:hAnsi="Calibri"/>
          <w:lang w:val="en-GB"/>
        </w:rPr>
        <w:t xml:space="preserve">) using different pre-treatment methods (for example, level scaling for data in </w:t>
      </w:r>
      <w:r w:rsidR="00CA299D" w:rsidRPr="0024604A">
        <w:rPr>
          <w:rFonts w:ascii="Calibri" w:hAnsi="Calibri"/>
          <w:b/>
          <w:lang w:val="en-GB"/>
        </w:rPr>
        <w:t>Figure 6C</w:t>
      </w:r>
      <w:r w:rsidR="00CA299D" w:rsidRPr="0024604A">
        <w:rPr>
          <w:rFonts w:ascii="Calibri" w:hAnsi="Calibri"/>
          <w:lang w:val="en-GB"/>
        </w:rPr>
        <w:t xml:space="preserve"> and </w:t>
      </w:r>
      <w:r w:rsidR="005A4B7F" w:rsidRPr="0024604A">
        <w:rPr>
          <w:rFonts w:ascii="Calibri" w:hAnsi="Calibri"/>
          <w:lang w:val="en-GB"/>
        </w:rPr>
        <w:t>log</w:t>
      </w:r>
      <w:r w:rsidR="005A4B7F" w:rsidRPr="0024604A">
        <w:rPr>
          <w:rFonts w:ascii="Calibri" w:hAnsi="Calibri"/>
          <w:vertAlign w:val="subscript"/>
          <w:lang w:val="en-GB"/>
        </w:rPr>
        <w:t>10</w:t>
      </w:r>
      <w:r w:rsidR="005A4B7F" w:rsidRPr="0024604A">
        <w:rPr>
          <w:rFonts w:ascii="Calibri" w:hAnsi="Calibri"/>
          <w:lang w:val="en-GB"/>
        </w:rPr>
        <w:t>-</w:t>
      </w:r>
      <w:r w:rsidR="00CA299D" w:rsidRPr="0024604A">
        <w:rPr>
          <w:rFonts w:ascii="Calibri" w:hAnsi="Calibri"/>
          <w:lang w:val="en-GB"/>
        </w:rPr>
        <w:t xml:space="preserve">transformation in </w:t>
      </w:r>
      <w:r w:rsidR="00CA299D" w:rsidRPr="0024604A">
        <w:rPr>
          <w:rFonts w:ascii="Calibri" w:hAnsi="Calibri"/>
          <w:b/>
          <w:lang w:val="en-GB"/>
        </w:rPr>
        <w:t>Figure 6D</w:t>
      </w:r>
      <w:r w:rsidR="00CA299D" w:rsidRPr="0024604A">
        <w:rPr>
          <w:rFonts w:ascii="Calibri" w:hAnsi="Calibri"/>
          <w:lang w:val="en-GB"/>
        </w:rPr>
        <w:t>) but</w:t>
      </w:r>
      <w:r w:rsidR="00B452D5" w:rsidRPr="0024604A">
        <w:rPr>
          <w:rFonts w:ascii="Calibri" w:hAnsi="Calibri"/>
          <w:lang w:val="en-GB"/>
        </w:rPr>
        <w:t xml:space="preserve"> </w:t>
      </w:r>
      <w:r w:rsidR="00CA299D" w:rsidRPr="0024604A">
        <w:rPr>
          <w:rFonts w:ascii="Calibri" w:hAnsi="Calibri"/>
          <w:lang w:val="en-GB"/>
        </w:rPr>
        <w:t>no significant discrimination power was obtained.</w:t>
      </w:r>
    </w:p>
    <w:p w14:paraId="42A81753" w14:textId="3F8262CD" w:rsidR="00006145" w:rsidRPr="0024604A" w:rsidRDefault="00006145" w:rsidP="00CA299D">
      <w:pPr>
        <w:autoSpaceDE w:val="0"/>
        <w:autoSpaceDN w:val="0"/>
        <w:adjustRightInd w:val="0"/>
        <w:spacing w:line="480" w:lineRule="auto"/>
        <w:jc w:val="both"/>
        <w:rPr>
          <w:rFonts w:ascii="Calibri" w:hAnsi="Calibri"/>
          <w:b/>
          <w:lang w:val="en-GB"/>
        </w:rPr>
      </w:pPr>
    </w:p>
    <w:p w14:paraId="4593945B" w14:textId="6B179CDF" w:rsidR="00006145" w:rsidRPr="0024604A" w:rsidRDefault="006F6E9F" w:rsidP="00D163F6">
      <w:pPr>
        <w:keepNext/>
        <w:widowControl w:val="0"/>
        <w:autoSpaceDE w:val="0"/>
        <w:autoSpaceDN w:val="0"/>
        <w:adjustRightInd w:val="0"/>
        <w:spacing w:line="480" w:lineRule="auto"/>
        <w:jc w:val="both"/>
        <w:rPr>
          <w:rFonts w:ascii="Calibri" w:hAnsi="Calibri"/>
          <w:b/>
          <w:lang w:val="en-GB"/>
        </w:rPr>
      </w:pPr>
      <w:r w:rsidRPr="0024604A">
        <w:rPr>
          <w:rFonts w:ascii="Calibri" w:hAnsi="Calibri"/>
          <w:b/>
          <w:lang w:val="en-GB"/>
        </w:rPr>
        <w:t>3.</w:t>
      </w:r>
      <w:r w:rsidR="00006145" w:rsidRPr="0024604A">
        <w:rPr>
          <w:rFonts w:ascii="Calibri" w:hAnsi="Calibri"/>
          <w:b/>
          <w:lang w:val="en-GB"/>
        </w:rPr>
        <w:t>4</w:t>
      </w:r>
      <w:r w:rsidRPr="0024604A">
        <w:rPr>
          <w:rFonts w:ascii="Calibri" w:hAnsi="Calibri"/>
          <w:b/>
          <w:lang w:val="en-GB"/>
        </w:rPr>
        <w:tab/>
        <w:t>Univariate test</w:t>
      </w:r>
      <w:r w:rsidR="00D163F6" w:rsidRPr="0024604A">
        <w:rPr>
          <w:rFonts w:ascii="Calibri" w:hAnsi="Calibri"/>
          <w:b/>
          <w:lang w:val="en-GB"/>
        </w:rPr>
        <w:t xml:space="preserve">. </w:t>
      </w:r>
    </w:p>
    <w:p w14:paraId="6602CA93" w14:textId="2480A03A" w:rsidR="006F6E9F" w:rsidRPr="0024604A" w:rsidRDefault="007A13D7" w:rsidP="00C57C81">
      <w:pPr>
        <w:keepNext/>
        <w:widowControl w:val="0"/>
        <w:autoSpaceDE w:val="0"/>
        <w:autoSpaceDN w:val="0"/>
        <w:adjustRightInd w:val="0"/>
        <w:spacing w:line="480" w:lineRule="auto"/>
        <w:jc w:val="both"/>
        <w:rPr>
          <w:rFonts w:ascii="Calibri" w:hAnsi="Calibri"/>
          <w:lang w:val="en-GB"/>
        </w:rPr>
      </w:pPr>
      <w:r w:rsidRPr="0024604A">
        <w:rPr>
          <w:rFonts w:ascii="Calibri" w:hAnsi="Calibri"/>
          <w:lang w:val="en-GB"/>
        </w:rPr>
        <w:t xml:space="preserve">To supplement the multivariate approaches discussed </w:t>
      </w:r>
      <w:r w:rsidR="0016426C" w:rsidRPr="0024604A">
        <w:rPr>
          <w:rFonts w:ascii="Calibri" w:hAnsi="Calibri"/>
          <w:lang w:val="en-GB"/>
        </w:rPr>
        <w:t xml:space="preserve">above </w:t>
      </w:r>
      <w:r w:rsidRPr="0024604A">
        <w:rPr>
          <w:rFonts w:ascii="Calibri" w:hAnsi="Calibri"/>
          <w:lang w:val="en-GB"/>
        </w:rPr>
        <w:t>and t</w:t>
      </w:r>
      <w:r w:rsidR="006F6E9F" w:rsidRPr="0024604A">
        <w:rPr>
          <w:rFonts w:ascii="Calibri" w:hAnsi="Calibri"/>
          <w:lang w:val="en-GB"/>
        </w:rPr>
        <w:t>o try to overcome between-</w:t>
      </w:r>
      <w:r w:rsidR="00325AC8" w:rsidRPr="0024604A">
        <w:rPr>
          <w:rFonts w:ascii="Calibri" w:hAnsi="Calibri"/>
          <w:lang w:val="en-GB"/>
        </w:rPr>
        <w:t>subjects’</w:t>
      </w:r>
      <w:r w:rsidR="006F6E9F" w:rsidRPr="0024604A">
        <w:rPr>
          <w:rFonts w:ascii="Calibri" w:hAnsi="Calibri"/>
          <w:lang w:val="en-GB"/>
        </w:rPr>
        <w:t xml:space="preserve"> variability, paired-sample t-test and Wilcoxon signed rank test for zero median were </w:t>
      </w:r>
      <w:r w:rsidR="00F66C1D" w:rsidRPr="0024604A">
        <w:rPr>
          <w:rFonts w:ascii="Calibri" w:hAnsi="Calibri"/>
          <w:lang w:val="en-GB"/>
        </w:rPr>
        <w:t>explored</w:t>
      </w:r>
      <w:r w:rsidR="006A5D17" w:rsidRPr="0024604A">
        <w:rPr>
          <w:rFonts w:ascii="Calibri" w:hAnsi="Calibri"/>
          <w:lang w:val="en-GB"/>
        </w:rPr>
        <w:t xml:space="preserve"> as selected by Alex</w:t>
      </w:r>
      <w:r w:rsidR="006A5D17" w:rsidRPr="0024604A">
        <w:rPr>
          <w:rFonts w:ascii="Calibri" w:hAnsi="Calibri"/>
          <w:vertAlign w:val="superscript"/>
          <w:lang w:val="en-GB"/>
        </w:rPr>
        <w:t>123</w:t>
      </w:r>
      <w:r w:rsidR="006F6E9F" w:rsidRPr="0024604A">
        <w:rPr>
          <w:rFonts w:ascii="Calibri" w:hAnsi="Calibri"/>
          <w:lang w:val="en-GB"/>
        </w:rPr>
        <w:t xml:space="preserve">, </w:t>
      </w:r>
      <w:r w:rsidR="006A5D17" w:rsidRPr="0024604A">
        <w:rPr>
          <w:rFonts w:ascii="Calibri" w:hAnsi="Calibri"/>
          <w:lang w:val="en-GB"/>
        </w:rPr>
        <w:t xml:space="preserve">thus </w:t>
      </w:r>
      <w:r w:rsidR="006F6E9F" w:rsidRPr="0024604A">
        <w:rPr>
          <w:rFonts w:ascii="Calibri" w:hAnsi="Calibri"/>
          <w:lang w:val="en-GB"/>
        </w:rPr>
        <w:t xml:space="preserve">comparing </w:t>
      </w:r>
      <w:r w:rsidR="006A5D17" w:rsidRPr="0024604A">
        <w:rPr>
          <w:rFonts w:ascii="Calibri" w:hAnsi="Calibri"/>
          <w:lang w:val="en-GB"/>
        </w:rPr>
        <w:t xml:space="preserve">the </w:t>
      </w:r>
      <w:r w:rsidR="006F6E9F" w:rsidRPr="0024604A">
        <w:rPr>
          <w:rFonts w:ascii="Calibri" w:hAnsi="Calibri"/>
          <w:lang w:val="en-GB"/>
        </w:rPr>
        <w:t xml:space="preserve">level of each variable between </w:t>
      </w:r>
      <w:r w:rsidR="006A5D17" w:rsidRPr="0024604A">
        <w:rPr>
          <w:rFonts w:ascii="Calibri" w:hAnsi="Calibri"/>
          <w:lang w:val="en-GB"/>
        </w:rPr>
        <w:t>ASD children</w:t>
      </w:r>
      <w:r w:rsidR="006F6E9F" w:rsidRPr="0024604A">
        <w:rPr>
          <w:rFonts w:ascii="Calibri" w:hAnsi="Calibri"/>
          <w:lang w:val="en-GB"/>
        </w:rPr>
        <w:t xml:space="preserve"> and </w:t>
      </w:r>
      <w:r w:rsidR="006A5D17" w:rsidRPr="0024604A">
        <w:rPr>
          <w:rFonts w:ascii="Calibri" w:hAnsi="Calibri"/>
          <w:lang w:val="en-GB"/>
        </w:rPr>
        <w:t xml:space="preserve">their </w:t>
      </w:r>
      <w:r w:rsidR="006F6E9F" w:rsidRPr="0024604A">
        <w:rPr>
          <w:rFonts w:ascii="Calibri" w:hAnsi="Calibri"/>
          <w:lang w:val="en-GB"/>
        </w:rPr>
        <w:t>healthy sibling</w:t>
      </w:r>
      <w:r w:rsidRPr="0024604A">
        <w:rPr>
          <w:rFonts w:ascii="Calibri" w:hAnsi="Calibri"/>
          <w:lang w:val="en-GB"/>
        </w:rPr>
        <w:t xml:space="preserve">. </w:t>
      </w:r>
      <w:r w:rsidR="00F468A5" w:rsidRPr="0024604A">
        <w:rPr>
          <w:rFonts w:ascii="Calibri" w:hAnsi="Calibri"/>
          <w:lang w:val="en-GB"/>
        </w:rPr>
        <w:t xml:space="preserve">It is worth mentioning </w:t>
      </w:r>
      <w:r w:rsidRPr="0024604A">
        <w:rPr>
          <w:rFonts w:ascii="Calibri" w:hAnsi="Calibri"/>
          <w:lang w:val="en-GB"/>
        </w:rPr>
        <w:t xml:space="preserve">that this is a pseudo-paired test as the pairs are not the same </w:t>
      </w:r>
      <w:r w:rsidR="00F468A5" w:rsidRPr="0024604A">
        <w:rPr>
          <w:rFonts w:ascii="Calibri" w:hAnsi="Calibri"/>
          <w:lang w:val="en-GB"/>
        </w:rPr>
        <w:t>children</w:t>
      </w:r>
      <w:r w:rsidRPr="0024604A">
        <w:rPr>
          <w:rFonts w:ascii="Calibri" w:hAnsi="Calibri"/>
          <w:lang w:val="en-GB"/>
        </w:rPr>
        <w:t xml:space="preserve"> after some perturbation but pairs of siblings: one with ASD and the other non-autistic</w:t>
      </w:r>
      <w:r w:rsidR="006F6E9F" w:rsidRPr="0024604A">
        <w:rPr>
          <w:rFonts w:ascii="Calibri" w:hAnsi="Calibri"/>
          <w:lang w:val="en-GB"/>
        </w:rPr>
        <w:t xml:space="preserve">. The level of significance was set initially at </w:t>
      </w:r>
      <w:r w:rsidR="006F6E9F" w:rsidRPr="0024604A">
        <w:rPr>
          <w:rFonts w:ascii="Calibri" w:hAnsi="Calibri"/>
          <w:i/>
          <w:iCs/>
          <w:lang w:val="en-GB"/>
        </w:rPr>
        <w:t>P</w:t>
      </w:r>
      <w:r w:rsidR="006F6E9F" w:rsidRPr="0024604A">
        <w:rPr>
          <w:rFonts w:ascii="Calibri" w:hAnsi="Calibri"/>
          <w:lang w:val="en-GB"/>
        </w:rPr>
        <w:t xml:space="preserve"> </w:t>
      </w:r>
      <w:r w:rsidRPr="0024604A">
        <w:rPr>
          <w:rFonts w:ascii="Calibri" w:hAnsi="Calibri"/>
          <w:lang w:val="en-GB"/>
        </w:rPr>
        <w:t xml:space="preserve">&lt; </w:t>
      </w:r>
      <w:r w:rsidR="006F6E9F" w:rsidRPr="0024604A">
        <w:rPr>
          <w:rFonts w:ascii="Calibri" w:hAnsi="Calibri"/>
          <w:lang w:val="en-GB"/>
        </w:rPr>
        <w:t>0.05 and</w:t>
      </w:r>
      <w:r w:rsidR="003F67BF" w:rsidRPr="0024604A">
        <w:rPr>
          <w:rFonts w:ascii="Calibri" w:hAnsi="Calibri"/>
          <w:lang w:val="en-GB"/>
        </w:rPr>
        <w:t>,</w:t>
      </w:r>
      <w:r w:rsidR="006F6E9F" w:rsidRPr="0024604A">
        <w:rPr>
          <w:rFonts w:ascii="Calibri" w:hAnsi="Calibri"/>
          <w:lang w:val="en-GB"/>
        </w:rPr>
        <w:t xml:space="preserve"> </w:t>
      </w:r>
      <w:r w:rsidRPr="0024604A">
        <w:rPr>
          <w:rFonts w:ascii="Calibri" w:hAnsi="Calibri"/>
          <w:lang w:val="en-GB"/>
        </w:rPr>
        <w:t>to avoid multiple testing problems</w:t>
      </w:r>
      <w:r w:rsidR="003F67BF" w:rsidRPr="0024604A">
        <w:rPr>
          <w:rFonts w:ascii="Calibri" w:hAnsi="Calibri"/>
          <w:lang w:val="en-GB"/>
        </w:rPr>
        <w:t>,</w:t>
      </w:r>
      <w:r w:rsidRPr="0024604A">
        <w:rPr>
          <w:rFonts w:ascii="Calibri" w:hAnsi="Calibri"/>
          <w:lang w:val="en-GB"/>
        </w:rPr>
        <w:t xml:space="preserve"> </w:t>
      </w:r>
      <w:r w:rsidR="006F6E9F" w:rsidRPr="0024604A">
        <w:rPr>
          <w:rFonts w:ascii="Calibri" w:hAnsi="Calibri"/>
          <w:lang w:val="en-GB"/>
        </w:rPr>
        <w:t xml:space="preserve">false discovery rates (FDR) of multiple-hypothesis </w:t>
      </w:r>
      <w:r w:rsidR="00325AC8" w:rsidRPr="0024604A">
        <w:rPr>
          <w:rFonts w:ascii="Calibri" w:hAnsi="Calibri"/>
          <w:lang w:val="en-GB"/>
        </w:rPr>
        <w:t xml:space="preserve">were </w:t>
      </w:r>
      <w:r w:rsidR="006F6E9F" w:rsidRPr="0024604A">
        <w:rPr>
          <w:rFonts w:ascii="Calibri" w:hAnsi="Calibri"/>
          <w:lang w:val="en-GB"/>
        </w:rPr>
        <w:t xml:space="preserve">tested </w:t>
      </w:r>
      <w:r w:rsidR="00F468A5" w:rsidRPr="0024604A">
        <w:rPr>
          <w:rFonts w:ascii="Calibri" w:hAnsi="Calibri"/>
          <w:lang w:val="en-GB"/>
        </w:rPr>
        <w:t>applying</w:t>
      </w:r>
      <w:r w:rsidR="006F6E9F" w:rsidRPr="0024604A">
        <w:rPr>
          <w:rFonts w:ascii="Calibri" w:hAnsi="Calibri"/>
          <w:lang w:val="en-GB"/>
        </w:rPr>
        <w:t xml:space="preserve"> the procedure described by Storey et al. </w:t>
      </w:r>
      <w:r w:rsidR="00FD1293" w:rsidRPr="0024604A">
        <w:rPr>
          <w:rFonts w:ascii="Calibri" w:hAnsi="Calibri"/>
          <w:lang w:val="en-GB"/>
        </w:rPr>
        <w:fldChar w:fldCharType="begin" w:fldLock="1"/>
      </w:r>
      <w:r w:rsidR="006126E3" w:rsidRPr="0024604A">
        <w:rPr>
          <w:rFonts w:ascii="Calibri" w:hAnsi="Calibri"/>
          <w:lang w:val="en-GB"/>
        </w:rPr>
        <w:instrText>ADDIN CSL_CITATION {"citationItems":[{"id":"ITEM-1","itemData":{"DOI":"10.1111/1467-9868.00346","ISBN":"9781405122382","ISSN":"13697412","PMID":"11917092","abstract":"Multiple-hypothesis testing involves guarding against much more complicated errors than single-hypothesis testing. Whereas we typically control the type I error rate for a single-hypothesis test, a compound error rate is controlled for multiple-hypothesis tests. For example, controlling the false discovery rate FDR traditionally involves intricate sequential p-value rejection methods based on the observed data. Whereas a sequential p-value method fixes the error rate and estimates its corresponding rejection region, we propose the opposite approach—we fix the rejection region and then estimate its corresponding error rate. This new approach offers increased applicability, accuracy and power.We apply the methodology to both the positive false discovery rate pFDR and FDR, and provide evidence for its benefits. It is shown that pFDR is probably the quantity of interest over FDR. Also discussed is the calculation of the q-value, the pFDR analogue of the p-value, which eliminates the need to set the error rate beforehand as is traditionally done. Some simple numerical examples are presented that show that this new approach can yield an increase of over eight times in power compared with the Benjamini–Hochberg FDR method.","author":[{"dropping-particle":"","family":"Storey","given":"John D.","non-dropping-particle":"","parse-names":false,"suffix":""}],"container-title":"Journal of the Royal Statistical Society: Series B (Statistical Methodology)","id":"ITEM-1","issue":"3","issued":{"date-parts":[["2002","8"]]},"page":"479-498","title":"A direct approach to false discovery rates","type":"article-journal","volume":"64"},"uris":["http://www.mendeley.com/documents/?uuid=090158ec-bfa7-416d-aa54-fb53513ccc01"]}],"mendeley":{"formattedCitation":"[49]","plainTextFormattedCitation":"[49]","previouslyFormattedCitation":"[49]"},"properties":{"noteIndex":0},"schema":"https://github.com/citation-style-language/schema/raw/master/csl-citation.json"}</w:instrText>
      </w:r>
      <w:r w:rsidR="00FD1293" w:rsidRPr="0024604A">
        <w:rPr>
          <w:rFonts w:ascii="Calibri" w:hAnsi="Calibri"/>
          <w:lang w:val="en-GB"/>
        </w:rPr>
        <w:fldChar w:fldCharType="separate"/>
      </w:r>
      <w:r w:rsidR="0089225B" w:rsidRPr="0024604A">
        <w:rPr>
          <w:rFonts w:ascii="Calibri" w:hAnsi="Calibri"/>
          <w:noProof/>
          <w:lang w:val="en-GB"/>
        </w:rPr>
        <w:t>[49]</w:t>
      </w:r>
      <w:r w:rsidR="00FD1293" w:rsidRPr="0024604A">
        <w:rPr>
          <w:rFonts w:ascii="Calibri" w:hAnsi="Calibri"/>
          <w:lang w:val="en-GB"/>
        </w:rPr>
        <w:fldChar w:fldCharType="end"/>
      </w:r>
      <w:r w:rsidR="006F6E9F" w:rsidRPr="0024604A">
        <w:rPr>
          <w:rFonts w:ascii="Calibri" w:hAnsi="Calibri"/>
          <w:lang w:val="en-GB"/>
        </w:rPr>
        <w:t xml:space="preserve">. </w:t>
      </w:r>
      <w:r w:rsidR="00B0770C" w:rsidRPr="0024604A">
        <w:rPr>
          <w:rFonts w:ascii="Calibri" w:hAnsi="Calibri"/>
          <w:lang w:val="en-GB"/>
        </w:rPr>
        <w:t>Notably, different significant features were obtained</w:t>
      </w:r>
      <w:r w:rsidR="00F468A5" w:rsidRPr="0024604A">
        <w:rPr>
          <w:rFonts w:ascii="Calibri" w:hAnsi="Calibri"/>
          <w:lang w:val="en-GB"/>
        </w:rPr>
        <w:t>,</w:t>
      </w:r>
      <w:r w:rsidR="0016426C" w:rsidRPr="0024604A">
        <w:rPr>
          <w:rFonts w:ascii="Calibri" w:hAnsi="Calibri"/>
          <w:lang w:val="en-GB"/>
        </w:rPr>
        <w:t xml:space="preserve"> and</w:t>
      </w:r>
      <w:r w:rsidR="00B0770C" w:rsidRPr="0024604A">
        <w:rPr>
          <w:rFonts w:ascii="Calibri" w:hAnsi="Calibri"/>
          <w:lang w:val="en-GB"/>
        </w:rPr>
        <w:t xml:space="preserve"> box plots were constructed reporting lipid levels </w:t>
      </w:r>
      <w:r w:rsidR="00B0770C" w:rsidRPr="0024604A">
        <w:rPr>
          <w:rFonts w:ascii="Calibri" w:hAnsi="Calibri"/>
          <w:i/>
          <w:iCs/>
          <w:lang w:val="en-GB"/>
        </w:rPr>
        <w:t>vs</w:t>
      </w:r>
      <w:r w:rsidR="00B0770C" w:rsidRPr="0024604A">
        <w:rPr>
          <w:rFonts w:ascii="Calibri" w:hAnsi="Calibri"/>
          <w:lang w:val="en-GB"/>
        </w:rPr>
        <w:t xml:space="preserve"> ASD severity degree; w</w:t>
      </w:r>
      <w:r w:rsidR="00652D4D" w:rsidRPr="0024604A">
        <w:rPr>
          <w:rFonts w:ascii="Calibri" w:hAnsi="Calibri"/>
          <w:lang w:val="en-GB"/>
        </w:rPr>
        <w:t xml:space="preserve">hether an </w:t>
      </w:r>
      <w:r w:rsidR="006F6E9F" w:rsidRPr="0024604A">
        <w:rPr>
          <w:rFonts w:ascii="Calibri" w:hAnsi="Calibri"/>
          <w:lang w:val="en-GB"/>
        </w:rPr>
        <w:t>ascending or descending</w:t>
      </w:r>
      <w:r w:rsidR="00652D4D" w:rsidRPr="0024604A">
        <w:rPr>
          <w:rFonts w:ascii="Calibri" w:hAnsi="Calibri"/>
          <w:lang w:val="en-GB"/>
        </w:rPr>
        <w:t xml:space="preserve"> trend </w:t>
      </w:r>
      <w:r w:rsidR="00F468A5" w:rsidRPr="0024604A">
        <w:rPr>
          <w:rFonts w:ascii="Calibri" w:hAnsi="Calibri"/>
          <w:lang w:val="en-GB"/>
        </w:rPr>
        <w:t>wa</w:t>
      </w:r>
      <w:r w:rsidR="006F6E9F" w:rsidRPr="0024604A">
        <w:rPr>
          <w:rFonts w:ascii="Calibri" w:hAnsi="Calibri"/>
          <w:lang w:val="en-GB"/>
        </w:rPr>
        <w:t xml:space="preserve">s observed, the </w:t>
      </w:r>
      <w:r w:rsidR="00930844" w:rsidRPr="0024604A">
        <w:rPr>
          <w:rFonts w:ascii="Calibri" w:hAnsi="Calibri"/>
          <w:lang w:val="en-GB"/>
        </w:rPr>
        <w:t xml:space="preserve">feature </w:t>
      </w:r>
      <w:r w:rsidR="006F6E9F" w:rsidRPr="0024604A">
        <w:rPr>
          <w:rFonts w:ascii="Calibri" w:hAnsi="Calibri"/>
          <w:lang w:val="en-GB"/>
        </w:rPr>
        <w:t>could be related to autism. Some variables seem</w:t>
      </w:r>
      <w:r w:rsidR="00930844" w:rsidRPr="0024604A">
        <w:rPr>
          <w:rFonts w:ascii="Calibri" w:hAnsi="Calibri"/>
          <w:lang w:val="en-GB"/>
        </w:rPr>
        <w:t>ed</w:t>
      </w:r>
      <w:r w:rsidR="006F6E9F" w:rsidRPr="0024604A">
        <w:rPr>
          <w:rFonts w:ascii="Calibri" w:hAnsi="Calibri"/>
          <w:lang w:val="en-GB"/>
        </w:rPr>
        <w:t xml:space="preserve"> to follow </w:t>
      </w:r>
      <w:r w:rsidR="002250FD" w:rsidRPr="0024604A">
        <w:rPr>
          <w:rFonts w:ascii="Calibri" w:hAnsi="Calibri"/>
          <w:lang w:val="en-GB"/>
        </w:rPr>
        <w:t>a</w:t>
      </w:r>
      <w:r w:rsidR="006F6E9F" w:rsidRPr="0024604A">
        <w:rPr>
          <w:rFonts w:ascii="Calibri" w:hAnsi="Calibri"/>
          <w:lang w:val="en-GB"/>
        </w:rPr>
        <w:t xml:space="preserve"> </w:t>
      </w:r>
      <w:r w:rsidR="00652D4D" w:rsidRPr="0024604A">
        <w:rPr>
          <w:rFonts w:ascii="Calibri" w:hAnsi="Calibri"/>
          <w:lang w:val="en-GB"/>
        </w:rPr>
        <w:t xml:space="preserve">specific </w:t>
      </w:r>
      <w:r w:rsidR="006F6E9F" w:rsidRPr="0024604A">
        <w:rPr>
          <w:rFonts w:ascii="Calibri" w:hAnsi="Calibri"/>
          <w:lang w:val="en-GB"/>
        </w:rPr>
        <w:t xml:space="preserve">trend but </w:t>
      </w:r>
      <w:r w:rsidR="00652D4D" w:rsidRPr="0024604A">
        <w:rPr>
          <w:rFonts w:ascii="Calibri" w:hAnsi="Calibri"/>
          <w:lang w:val="en-GB"/>
        </w:rPr>
        <w:t>the</w:t>
      </w:r>
      <w:r w:rsidR="006F6E9F" w:rsidRPr="0024604A">
        <w:rPr>
          <w:rFonts w:ascii="Calibri" w:hAnsi="Calibri"/>
          <w:lang w:val="en-GB"/>
        </w:rPr>
        <w:t xml:space="preserve"> between-subject variability </w:t>
      </w:r>
      <w:r w:rsidR="00652D4D" w:rsidRPr="0024604A">
        <w:rPr>
          <w:rFonts w:ascii="Calibri" w:hAnsi="Calibri"/>
          <w:lang w:val="en-GB"/>
        </w:rPr>
        <w:t>still remains</w:t>
      </w:r>
      <w:r w:rsidR="006F6E9F" w:rsidRPr="0024604A">
        <w:rPr>
          <w:rFonts w:ascii="Calibri" w:hAnsi="Calibri"/>
          <w:lang w:val="en-GB"/>
        </w:rPr>
        <w:t xml:space="preserve"> the dominating effect</w:t>
      </w:r>
      <w:r w:rsidR="00652D4D" w:rsidRPr="0024604A">
        <w:rPr>
          <w:rFonts w:ascii="Calibri" w:hAnsi="Calibri"/>
          <w:lang w:val="en-GB"/>
        </w:rPr>
        <w:t>;</w:t>
      </w:r>
      <w:r w:rsidR="00B17BA7" w:rsidRPr="0024604A">
        <w:rPr>
          <w:rFonts w:ascii="Calibri" w:hAnsi="Calibri"/>
          <w:lang w:val="en-GB"/>
        </w:rPr>
        <w:t xml:space="preserve"> </w:t>
      </w:r>
      <w:r w:rsidR="00652D4D" w:rsidRPr="0024604A">
        <w:rPr>
          <w:rFonts w:ascii="Calibri" w:hAnsi="Calibri"/>
          <w:lang w:val="en-GB"/>
        </w:rPr>
        <w:t xml:space="preserve">an example is given </w:t>
      </w:r>
      <w:r w:rsidR="006F6E9F" w:rsidRPr="0024604A">
        <w:rPr>
          <w:rFonts w:ascii="Calibri" w:hAnsi="Calibri"/>
          <w:lang w:val="en-GB"/>
        </w:rPr>
        <w:t xml:space="preserve">in </w:t>
      </w:r>
      <w:r w:rsidR="004B60F9" w:rsidRPr="0024604A">
        <w:rPr>
          <w:rFonts w:ascii="Calibri" w:hAnsi="Calibri"/>
          <w:b/>
          <w:lang w:val="en-GB"/>
        </w:rPr>
        <w:t>Figure</w:t>
      </w:r>
      <w:r w:rsidR="006F6E9F" w:rsidRPr="0024604A">
        <w:rPr>
          <w:rFonts w:ascii="Calibri" w:hAnsi="Calibri"/>
          <w:lang w:val="en-GB"/>
        </w:rPr>
        <w:t xml:space="preserve"> </w:t>
      </w:r>
      <w:r w:rsidR="006F6E9F" w:rsidRPr="0024604A">
        <w:rPr>
          <w:rFonts w:ascii="Calibri" w:hAnsi="Calibri"/>
          <w:b/>
          <w:lang w:val="en-GB"/>
        </w:rPr>
        <w:t>7</w:t>
      </w:r>
      <w:r w:rsidR="006F6E9F" w:rsidRPr="0024604A">
        <w:rPr>
          <w:rFonts w:ascii="Calibri" w:hAnsi="Calibri"/>
          <w:lang w:val="en-GB"/>
        </w:rPr>
        <w:t xml:space="preserve"> where box</w:t>
      </w:r>
      <w:r w:rsidR="002250FD" w:rsidRPr="0024604A">
        <w:rPr>
          <w:rFonts w:ascii="Calibri" w:hAnsi="Calibri"/>
          <w:lang w:val="en-GB"/>
        </w:rPr>
        <w:t>-</w:t>
      </w:r>
      <w:r w:rsidR="006F6E9F" w:rsidRPr="0024604A">
        <w:rPr>
          <w:rFonts w:ascii="Calibri" w:hAnsi="Calibri"/>
          <w:lang w:val="en-GB"/>
        </w:rPr>
        <w:t xml:space="preserve">plots of </w:t>
      </w:r>
      <w:r w:rsidR="008F0B56" w:rsidRPr="0024604A">
        <w:rPr>
          <w:rFonts w:ascii="Calibri" w:hAnsi="Calibri"/>
          <w:lang w:val="en-GB"/>
        </w:rPr>
        <w:t>PI</w:t>
      </w:r>
      <w:r w:rsidR="006F6E9F" w:rsidRPr="0024604A">
        <w:rPr>
          <w:rFonts w:ascii="Calibri" w:hAnsi="Calibri"/>
          <w:lang w:val="en-GB"/>
        </w:rPr>
        <w:t xml:space="preserve"> 38:4 (</w:t>
      </w:r>
      <w:r w:rsidR="008F1AE7" w:rsidRPr="0024604A">
        <w:rPr>
          <w:rFonts w:ascii="Calibri" w:hAnsi="Calibri"/>
          <w:lang w:val="en-GB"/>
        </w:rPr>
        <w:t>Alex</w:t>
      </w:r>
      <w:r w:rsidR="008F1AE7" w:rsidRPr="0024604A">
        <w:rPr>
          <w:rFonts w:ascii="Calibri" w:hAnsi="Calibri"/>
          <w:vertAlign w:val="superscript"/>
          <w:lang w:val="en-GB"/>
        </w:rPr>
        <w:t>123</w:t>
      </w:r>
      <w:r w:rsidR="006F6E9F" w:rsidRPr="0024604A">
        <w:rPr>
          <w:rFonts w:ascii="Calibri" w:hAnsi="Calibri"/>
          <w:lang w:val="en-GB"/>
        </w:rPr>
        <w:t xml:space="preserve"> </w:t>
      </w:r>
      <w:r w:rsidR="0016426C" w:rsidRPr="0024604A">
        <w:rPr>
          <w:rFonts w:ascii="Calibri" w:hAnsi="Calibri"/>
          <w:lang w:val="en-GB"/>
        </w:rPr>
        <w:t>assignment</w:t>
      </w:r>
      <w:r w:rsidR="006F6E9F" w:rsidRPr="0024604A">
        <w:rPr>
          <w:rFonts w:ascii="Calibri" w:hAnsi="Calibri"/>
          <w:lang w:val="en-GB"/>
        </w:rPr>
        <w:t xml:space="preserve">, </w:t>
      </w:r>
      <w:r w:rsidR="006F6E9F" w:rsidRPr="0024604A">
        <w:rPr>
          <w:rFonts w:ascii="Calibri" w:hAnsi="Calibri"/>
          <w:i/>
          <w:iCs/>
          <w:lang w:val="en-GB"/>
        </w:rPr>
        <w:t>m/z</w:t>
      </w:r>
      <w:r w:rsidR="006F6E9F" w:rsidRPr="0024604A">
        <w:rPr>
          <w:rFonts w:ascii="Calibri" w:hAnsi="Calibri"/>
          <w:lang w:val="en-GB"/>
        </w:rPr>
        <w:t xml:space="preserve"> </w:t>
      </w:r>
      <w:r w:rsidR="008900A4" w:rsidRPr="0024604A">
        <w:rPr>
          <w:rFonts w:ascii="Calibri" w:hAnsi="Calibri"/>
          <w:lang w:val="en-GB"/>
        </w:rPr>
        <w:t>885.550</w:t>
      </w:r>
      <w:r w:rsidR="008F1AE7" w:rsidRPr="0024604A">
        <w:rPr>
          <w:rFonts w:ascii="Calibri" w:hAnsi="Calibri"/>
          <w:lang w:val="en-GB"/>
        </w:rPr>
        <w:t>)</w:t>
      </w:r>
      <w:r w:rsidR="006F6E9F" w:rsidRPr="0024604A">
        <w:rPr>
          <w:rFonts w:ascii="Calibri" w:hAnsi="Calibri"/>
          <w:lang w:val="en-GB"/>
        </w:rPr>
        <w:t xml:space="preserve"> </w:t>
      </w:r>
      <w:r w:rsidR="008F0B56" w:rsidRPr="0024604A">
        <w:rPr>
          <w:rFonts w:ascii="Calibri" w:hAnsi="Calibri"/>
          <w:lang w:val="en-GB"/>
        </w:rPr>
        <w:t>and FA 20:4 under PI band (</w:t>
      </w:r>
      <w:r w:rsidR="008F0B56" w:rsidRPr="0024604A">
        <w:rPr>
          <w:rFonts w:ascii="Calibri" w:hAnsi="Calibri"/>
          <w:i/>
          <w:iCs/>
          <w:lang w:val="en-GB"/>
        </w:rPr>
        <w:t>m/z</w:t>
      </w:r>
      <w:r w:rsidR="008F0B56" w:rsidRPr="0024604A">
        <w:rPr>
          <w:rFonts w:ascii="Calibri" w:hAnsi="Calibri"/>
          <w:lang w:val="en-GB"/>
        </w:rPr>
        <w:t xml:space="preserve"> </w:t>
      </w:r>
      <w:r w:rsidR="008900A4" w:rsidRPr="0024604A">
        <w:rPr>
          <w:rFonts w:ascii="Calibri" w:hAnsi="Calibri"/>
          <w:lang w:val="en-GB"/>
        </w:rPr>
        <w:t>303.323</w:t>
      </w:r>
      <w:r w:rsidR="008F0B56" w:rsidRPr="0024604A">
        <w:rPr>
          <w:rFonts w:ascii="Calibri" w:hAnsi="Calibri"/>
          <w:lang w:val="en-GB"/>
        </w:rPr>
        <w:t xml:space="preserve">) </w:t>
      </w:r>
      <w:r w:rsidR="002250FD" w:rsidRPr="0024604A">
        <w:rPr>
          <w:rFonts w:ascii="Calibri" w:hAnsi="Calibri"/>
          <w:lang w:val="en-GB"/>
        </w:rPr>
        <w:t xml:space="preserve">are </w:t>
      </w:r>
      <w:r w:rsidR="00F468A5" w:rsidRPr="0024604A">
        <w:rPr>
          <w:rFonts w:ascii="Calibri" w:hAnsi="Calibri"/>
          <w:lang w:val="en-GB"/>
        </w:rPr>
        <w:t>illustrat</w:t>
      </w:r>
      <w:r w:rsidR="006F6E9F" w:rsidRPr="0024604A">
        <w:rPr>
          <w:rFonts w:ascii="Calibri" w:hAnsi="Calibri"/>
          <w:lang w:val="en-GB"/>
        </w:rPr>
        <w:t xml:space="preserve">ed. </w:t>
      </w:r>
      <w:r w:rsidR="008F0B56" w:rsidRPr="0024604A">
        <w:rPr>
          <w:rFonts w:ascii="Calibri" w:hAnsi="Calibri"/>
          <w:lang w:val="en-GB"/>
        </w:rPr>
        <w:t>As can be seen, similar trend</w:t>
      </w:r>
      <w:r w:rsidR="00F468A5" w:rsidRPr="0024604A">
        <w:rPr>
          <w:rFonts w:ascii="Calibri" w:hAnsi="Calibri"/>
          <w:lang w:val="en-GB"/>
        </w:rPr>
        <w:t>s</w:t>
      </w:r>
      <w:r w:rsidR="008F0B56" w:rsidRPr="0024604A">
        <w:rPr>
          <w:rFonts w:ascii="Calibri" w:hAnsi="Calibri"/>
          <w:lang w:val="en-GB"/>
        </w:rPr>
        <w:t xml:space="preserve"> </w:t>
      </w:r>
      <w:r w:rsidR="0016426C" w:rsidRPr="0024604A">
        <w:rPr>
          <w:rFonts w:ascii="Calibri" w:hAnsi="Calibri"/>
          <w:lang w:val="en-GB"/>
        </w:rPr>
        <w:t>were</w:t>
      </w:r>
      <w:r w:rsidR="008F0B56" w:rsidRPr="0024604A">
        <w:rPr>
          <w:rFonts w:ascii="Calibri" w:hAnsi="Calibri"/>
          <w:lang w:val="en-GB"/>
        </w:rPr>
        <w:t xml:space="preserve"> obtained in both </w:t>
      </w:r>
      <w:r w:rsidR="00F66C1D" w:rsidRPr="0024604A">
        <w:rPr>
          <w:rFonts w:ascii="Calibri" w:hAnsi="Calibri"/>
          <w:lang w:val="en-GB"/>
        </w:rPr>
        <w:t>graphs as</w:t>
      </w:r>
      <w:r w:rsidR="008F0B56" w:rsidRPr="0024604A">
        <w:rPr>
          <w:rFonts w:ascii="Calibri" w:hAnsi="Calibri"/>
          <w:lang w:val="en-GB"/>
        </w:rPr>
        <w:t xml:space="preserve"> a confirmation of the utility of </w:t>
      </w:r>
      <w:r w:rsidR="002250FD" w:rsidRPr="0024604A">
        <w:rPr>
          <w:rFonts w:ascii="Calibri" w:hAnsi="Calibri"/>
          <w:lang w:val="en-GB"/>
        </w:rPr>
        <w:t xml:space="preserve">full </w:t>
      </w:r>
      <w:r w:rsidR="008F0B56" w:rsidRPr="0024604A">
        <w:rPr>
          <w:rFonts w:ascii="Calibri" w:hAnsi="Calibri"/>
          <w:lang w:val="en-GB"/>
        </w:rPr>
        <w:t xml:space="preserve">and </w:t>
      </w:r>
      <w:r w:rsidR="002250FD" w:rsidRPr="0024604A">
        <w:rPr>
          <w:rFonts w:ascii="Calibri" w:hAnsi="Calibri"/>
          <w:lang w:val="en-GB"/>
        </w:rPr>
        <w:t xml:space="preserve">AIF </w:t>
      </w:r>
      <w:r w:rsidR="00F468A5" w:rsidRPr="0024604A">
        <w:rPr>
          <w:rFonts w:ascii="Calibri" w:hAnsi="Calibri"/>
          <w:lang w:val="en-GB"/>
        </w:rPr>
        <w:t xml:space="preserve">scan </w:t>
      </w:r>
      <w:r w:rsidR="008F0B56" w:rsidRPr="0024604A">
        <w:rPr>
          <w:rFonts w:ascii="Calibri" w:hAnsi="Calibri"/>
          <w:lang w:val="en-GB"/>
        </w:rPr>
        <w:t>comparison</w:t>
      </w:r>
      <w:r w:rsidR="008900A4" w:rsidRPr="0024604A">
        <w:rPr>
          <w:rFonts w:ascii="Calibri" w:hAnsi="Calibri"/>
          <w:lang w:val="en-GB"/>
        </w:rPr>
        <w:t xml:space="preserve">: in principle, AIF data can be used to understand which fatty acyl chains are involved in the </w:t>
      </w:r>
      <w:r w:rsidR="007E6DC2" w:rsidRPr="0024604A">
        <w:rPr>
          <w:rFonts w:ascii="Calibri" w:hAnsi="Calibri"/>
          <w:lang w:val="en-GB"/>
        </w:rPr>
        <w:t>aetiology of the considered pathology</w:t>
      </w:r>
      <w:r w:rsidR="008F0B56" w:rsidRPr="0024604A">
        <w:rPr>
          <w:rFonts w:ascii="Calibri" w:hAnsi="Calibri"/>
          <w:lang w:val="en-GB"/>
        </w:rPr>
        <w:t xml:space="preserve">. </w:t>
      </w:r>
      <w:r w:rsidR="006F6E9F" w:rsidRPr="0024604A">
        <w:rPr>
          <w:rFonts w:ascii="Calibri" w:hAnsi="Calibri"/>
          <w:lang w:val="en-GB"/>
        </w:rPr>
        <w:t xml:space="preserve">MS/MS spectra confirmed </w:t>
      </w:r>
      <w:r w:rsidR="00652D4D" w:rsidRPr="0024604A">
        <w:rPr>
          <w:rFonts w:ascii="Calibri" w:hAnsi="Calibri"/>
          <w:lang w:val="en-GB"/>
        </w:rPr>
        <w:t xml:space="preserve">the </w:t>
      </w:r>
      <w:r w:rsidR="006F6E9F" w:rsidRPr="0024604A">
        <w:rPr>
          <w:rFonts w:ascii="Calibri" w:hAnsi="Calibri"/>
          <w:lang w:val="en-GB"/>
        </w:rPr>
        <w:t>attribution</w:t>
      </w:r>
      <w:r w:rsidR="008F0B56" w:rsidRPr="0024604A">
        <w:rPr>
          <w:rFonts w:ascii="Calibri" w:hAnsi="Calibri"/>
          <w:lang w:val="en-GB"/>
        </w:rPr>
        <w:t xml:space="preserve"> </w:t>
      </w:r>
      <w:r w:rsidR="00652D4D" w:rsidRPr="0024604A">
        <w:rPr>
          <w:rFonts w:ascii="Calibri" w:hAnsi="Calibri"/>
          <w:lang w:val="en-GB"/>
        </w:rPr>
        <w:t>to</w:t>
      </w:r>
      <w:r w:rsidR="008F0B56" w:rsidRPr="0024604A">
        <w:rPr>
          <w:rFonts w:ascii="Calibri" w:hAnsi="Calibri"/>
          <w:lang w:val="en-GB"/>
        </w:rPr>
        <w:t xml:space="preserve"> PI</w:t>
      </w:r>
      <w:r w:rsidR="006F6E9F" w:rsidRPr="0024604A">
        <w:rPr>
          <w:rFonts w:ascii="Calibri" w:hAnsi="Calibri"/>
          <w:lang w:val="en-GB"/>
        </w:rPr>
        <w:t xml:space="preserve"> </w:t>
      </w:r>
      <w:r w:rsidR="002250FD" w:rsidRPr="0024604A">
        <w:rPr>
          <w:rFonts w:ascii="Calibri" w:hAnsi="Calibri"/>
          <w:lang w:val="en-GB"/>
        </w:rPr>
        <w:t>as two isobaric species</w:t>
      </w:r>
      <w:r w:rsidR="0003385C" w:rsidRPr="0024604A">
        <w:rPr>
          <w:rFonts w:ascii="Calibri" w:hAnsi="Calibri"/>
          <w:lang w:val="en-GB"/>
        </w:rPr>
        <w:t>, namely</w:t>
      </w:r>
      <w:r w:rsidR="002250FD" w:rsidRPr="0024604A">
        <w:rPr>
          <w:rFonts w:ascii="Calibri" w:hAnsi="Calibri"/>
          <w:lang w:val="en-GB"/>
        </w:rPr>
        <w:t xml:space="preserve"> </w:t>
      </w:r>
      <w:r w:rsidR="008F0B56" w:rsidRPr="0024604A">
        <w:rPr>
          <w:rFonts w:ascii="Calibri" w:hAnsi="Calibri"/>
          <w:lang w:val="en-GB"/>
        </w:rPr>
        <w:t>PI</w:t>
      </w:r>
      <w:r w:rsidR="006F6E9F" w:rsidRPr="0024604A">
        <w:rPr>
          <w:rFonts w:ascii="Calibri" w:hAnsi="Calibri"/>
          <w:lang w:val="en-GB"/>
        </w:rPr>
        <w:t xml:space="preserve"> 18:0/20:4 and </w:t>
      </w:r>
      <w:r w:rsidR="008F0B56" w:rsidRPr="0024604A">
        <w:rPr>
          <w:rFonts w:ascii="Calibri" w:hAnsi="Calibri"/>
          <w:lang w:val="en-GB"/>
        </w:rPr>
        <w:t>PI</w:t>
      </w:r>
      <w:r w:rsidR="006F6E9F" w:rsidRPr="0024604A">
        <w:rPr>
          <w:rFonts w:ascii="Calibri" w:hAnsi="Calibri"/>
          <w:lang w:val="en-GB"/>
        </w:rPr>
        <w:t xml:space="preserve"> 16:0/22:4</w:t>
      </w:r>
      <w:r w:rsidR="0003385C" w:rsidRPr="0024604A">
        <w:rPr>
          <w:rFonts w:ascii="Calibri" w:hAnsi="Calibri"/>
          <w:lang w:val="en-GB"/>
        </w:rPr>
        <w:t xml:space="preserve"> (not shown)</w:t>
      </w:r>
      <w:r w:rsidR="008F0B56" w:rsidRPr="0024604A">
        <w:rPr>
          <w:rFonts w:ascii="Calibri" w:hAnsi="Calibri"/>
          <w:lang w:val="en-GB"/>
        </w:rPr>
        <w:t>.</w:t>
      </w:r>
      <w:r w:rsidR="007B05AC" w:rsidRPr="0024604A">
        <w:rPr>
          <w:rFonts w:ascii="Calibri" w:hAnsi="Calibri"/>
          <w:lang w:val="en-GB"/>
        </w:rPr>
        <w:t xml:space="preserve"> However, as already mentioned, </w:t>
      </w:r>
      <w:r w:rsidR="004631FD" w:rsidRPr="0024604A">
        <w:rPr>
          <w:rFonts w:ascii="Calibri" w:hAnsi="Calibri"/>
          <w:lang w:val="en-GB"/>
        </w:rPr>
        <w:t>interindividual</w:t>
      </w:r>
      <w:r w:rsidR="007B05AC" w:rsidRPr="0024604A">
        <w:rPr>
          <w:rFonts w:ascii="Calibri" w:hAnsi="Calibri"/>
          <w:lang w:val="en-GB"/>
        </w:rPr>
        <w:t xml:space="preserve"> variability seems to be the dominant </w:t>
      </w:r>
      <w:r w:rsidR="00F468A5" w:rsidRPr="0024604A">
        <w:rPr>
          <w:rFonts w:ascii="Calibri" w:hAnsi="Calibri"/>
          <w:lang w:val="en-GB"/>
        </w:rPr>
        <w:lastRenderedPageBreak/>
        <w:t>outcome</w:t>
      </w:r>
      <w:r w:rsidR="007B05AC" w:rsidRPr="0024604A">
        <w:rPr>
          <w:rFonts w:ascii="Calibri" w:hAnsi="Calibri"/>
          <w:lang w:val="en-GB"/>
        </w:rPr>
        <w:t>.</w:t>
      </w:r>
      <w:r w:rsidR="008F1AE7" w:rsidRPr="0024604A">
        <w:rPr>
          <w:rFonts w:ascii="Calibri" w:hAnsi="Calibri"/>
          <w:lang w:val="en-GB"/>
        </w:rPr>
        <w:t xml:space="preserve"> </w:t>
      </w:r>
      <w:proofErr w:type="gramStart"/>
      <w:r w:rsidR="0003385C" w:rsidRPr="0024604A">
        <w:rPr>
          <w:rFonts w:ascii="Calibri" w:hAnsi="Calibri"/>
          <w:lang w:val="en-GB"/>
        </w:rPr>
        <w:t xml:space="preserve">In an </w:t>
      </w:r>
      <w:r w:rsidR="002250FD" w:rsidRPr="0024604A">
        <w:rPr>
          <w:rFonts w:ascii="Calibri" w:hAnsi="Calibri"/>
          <w:lang w:val="en-GB"/>
        </w:rPr>
        <w:t>attempt</w:t>
      </w:r>
      <w:r w:rsidR="008F1AE7" w:rsidRPr="0024604A">
        <w:rPr>
          <w:rFonts w:ascii="Calibri" w:hAnsi="Calibri"/>
          <w:lang w:val="en-GB"/>
        </w:rPr>
        <w:t xml:space="preserve"> </w:t>
      </w:r>
      <w:r w:rsidR="00F468A5" w:rsidRPr="0024604A">
        <w:rPr>
          <w:rFonts w:ascii="Calibri" w:hAnsi="Calibri"/>
          <w:lang w:val="en-GB"/>
        </w:rPr>
        <w:t>to</w:t>
      </w:r>
      <w:proofErr w:type="gramEnd"/>
      <w:r w:rsidR="002250FD" w:rsidRPr="0024604A">
        <w:rPr>
          <w:rFonts w:ascii="Calibri" w:hAnsi="Calibri"/>
          <w:lang w:val="en-GB"/>
        </w:rPr>
        <w:t xml:space="preserve"> minimiz</w:t>
      </w:r>
      <w:r w:rsidR="0003385C" w:rsidRPr="0024604A">
        <w:rPr>
          <w:rFonts w:ascii="Calibri" w:hAnsi="Calibri"/>
          <w:lang w:val="en-GB"/>
        </w:rPr>
        <w:t>e the</w:t>
      </w:r>
      <w:r w:rsidR="002250FD" w:rsidRPr="0024604A">
        <w:rPr>
          <w:rFonts w:ascii="Calibri" w:hAnsi="Calibri"/>
          <w:lang w:val="en-GB"/>
        </w:rPr>
        <w:t xml:space="preserve"> </w:t>
      </w:r>
      <w:r w:rsidR="008F1AE7" w:rsidRPr="0024604A">
        <w:rPr>
          <w:rFonts w:ascii="Calibri" w:hAnsi="Calibri"/>
          <w:lang w:val="en-GB"/>
        </w:rPr>
        <w:t xml:space="preserve">environmental factors, the level of </w:t>
      </w:r>
      <w:r w:rsidR="0003385C" w:rsidRPr="0024604A">
        <w:rPr>
          <w:rFonts w:ascii="Calibri" w:hAnsi="Calibri"/>
          <w:lang w:val="en-GB"/>
        </w:rPr>
        <w:t xml:space="preserve">each </w:t>
      </w:r>
      <w:r w:rsidR="008F1AE7" w:rsidRPr="0024604A">
        <w:rPr>
          <w:rFonts w:ascii="Calibri" w:hAnsi="Calibri"/>
          <w:lang w:val="en-GB"/>
        </w:rPr>
        <w:t xml:space="preserve">considered lipid </w:t>
      </w:r>
      <w:r w:rsidR="00665ACD" w:rsidRPr="0024604A">
        <w:rPr>
          <w:rFonts w:ascii="Calibri" w:hAnsi="Calibri"/>
          <w:lang w:val="en-GB"/>
        </w:rPr>
        <w:t xml:space="preserve">and </w:t>
      </w:r>
      <w:r w:rsidR="002250FD" w:rsidRPr="0024604A">
        <w:rPr>
          <w:rFonts w:ascii="Calibri" w:hAnsi="Calibri"/>
          <w:lang w:val="en-GB"/>
        </w:rPr>
        <w:t xml:space="preserve">the </w:t>
      </w:r>
      <w:r w:rsidR="0003385C" w:rsidRPr="0024604A">
        <w:rPr>
          <w:rFonts w:ascii="Calibri" w:hAnsi="Calibri"/>
          <w:lang w:val="en-GB"/>
        </w:rPr>
        <w:t xml:space="preserve">corresponding </w:t>
      </w:r>
      <w:r w:rsidR="00665ACD" w:rsidRPr="0024604A">
        <w:rPr>
          <w:rFonts w:ascii="Calibri" w:hAnsi="Calibri"/>
          <w:lang w:val="en-GB"/>
        </w:rPr>
        <w:t xml:space="preserve">FA obtained </w:t>
      </w:r>
      <w:r w:rsidR="0003385C" w:rsidRPr="0024604A">
        <w:rPr>
          <w:rFonts w:ascii="Calibri" w:hAnsi="Calibri"/>
          <w:lang w:val="en-GB"/>
        </w:rPr>
        <w:t>through</w:t>
      </w:r>
      <w:r w:rsidR="002250FD" w:rsidRPr="0024604A">
        <w:rPr>
          <w:rFonts w:ascii="Calibri" w:hAnsi="Calibri"/>
          <w:lang w:val="en-GB"/>
        </w:rPr>
        <w:t xml:space="preserve"> </w:t>
      </w:r>
      <w:r w:rsidR="00665ACD" w:rsidRPr="0024604A">
        <w:rPr>
          <w:rFonts w:ascii="Calibri" w:hAnsi="Calibri"/>
          <w:lang w:val="en-GB"/>
        </w:rPr>
        <w:t xml:space="preserve">AIF </w:t>
      </w:r>
      <w:r w:rsidR="0003385C" w:rsidRPr="0024604A">
        <w:rPr>
          <w:rFonts w:ascii="Calibri" w:hAnsi="Calibri"/>
          <w:lang w:val="en-GB"/>
        </w:rPr>
        <w:t>MS</w:t>
      </w:r>
      <w:r w:rsidR="002250FD" w:rsidRPr="0024604A">
        <w:rPr>
          <w:rFonts w:ascii="Calibri" w:hAnsi="Calibri"/>
          <w:lang w:val="en-GB"/>
        </w:rPr>
        <w:t xml:space="preserve"> </w:t>
      </w:r>
      <w:r w:rsidR="00F468A5" w:rsidRPr="0024604A">
        <w:rPr>
          <w:rFonts w:ascii="Calibri" w:hAnsi="Calibri"/>
          <w:lang w:val="en-GB"/>
        </w:rPr>
        <w:t xml:space="preserve">scan </w:t>
      </w:r>
      <w:r w:rsidR="008F1AE7" w:rsidRPr="0024604A">
        <w:rPr>
          <w:rFonts w:ascii="Calibri" w:hAnsi="Calibri"/>
          <w:lang w:val="en-GB"/>
        </w:rPr>
        <w:t>was plotted and compared among siblings</w:t>
      </w:r>
      <w:r w:rsidR="002250FD" w:rsidRPr="0024604A">
        <w:rPr>
          <w:rFonts w:ascii="Calibri" w:hAnsi="Calibri"/>
          <w:lang w:val="en-GB"/>
        </w:rPr>
        <w:t>;</w:t>
      </w:r>
      <w:r w:rsidR="008F1AE7" w:rsidRPr="0024604A">
        <w:rPr>
          <w:rFonts w:ascii="Calibri" w:hAnsi="Calibri"/>
          <w:lang w:val="en-GB"/>
        </w:rPr>
        <w:t xml:space="preserve"> </w:t>
      </w:r>
      <w:r w:rsidR="00F52081" w:rsidRPr="0024604A">
        <w:rPr>
          <w:rFonts w:ascii="Calibri" w:hAnsi="Calibri"/>
          <w:lang w:val="en-GB"/>
        </w:rPr>
        <w:t xml:space="preserve">no presence of systematic trend </w:t>
      </w:r>
      <w:r w:rsidR="002250FD" w:rsidRPr="0024604A">
        <w:rPr>
          <w:rFonts w:ascii="Calibri" w:hAnsi="Calibri"/>
          <w:lang w:val="en-GB"/>
        </w:rPr>
        <w:t xml:space="preserve">was </w:t>
      </w:r>
      <w:r w:rsidR="0016426C" w:rsidRPr="0024604A">
        <w:rPr>
          <w:rFonts w:ascii="Calibri" w:hAnsi="Calibri"/>
          <w:lang w:val="en-GB"/>
        </w:rPr>
        <w:t xml:space="preserve">still </w:t>
      </w:r>
      <w:r w:rsidR="00F52081" w:rsidRPr="0024604A">
        <w:rPr>
          <w:rFonts w:ascii="Calibri" w:hAnsi="Calibri"/>
          <w:lang w:val="en-GB"/>
        </w:rPr>
        <w:t>evidence</w:t>
      </w:r>
      <w:r w:rsidR="002250FD" w:rsidRPr="0024604A">
        <w:rPr>
          <w:rFonts w:ascii="Calibri" w:hAnsi="Calibri"/>
          <w:lang w:val="en-GB"/>
        </w:rPr>
        <w:t>d.</w:t>
      </w:r>
    </w:p>
    <w:p w14:paraId="1422578D" w14:textId="77777777" w:rsidR="008E394B" w:rsidRPr="0024604A" w:rsidRDefault="008E394B" w:rsidP="006F6E9F">
      <w:pPr>
        <w:autoSpaceDE w:val="0"/>
        <w:autoSpaceDN w:val="0"/>
        <w:adjustRightInd w:val="0"/>
        <w:spacing w:line="480" w:lineRule="auto"/>
        <w:jc w:val="both"/>
        <w:rPr>
          <w:rFonts w:ascii="Calibri" w:hAnsi="Calibri"/>
          <w:lang w:val="en-GB"/>
        </w:rPr>
      </w:pPr>
    </w:p>
    <w:p w14:paraId="04857027" w14:textId="6C19398C" w:rsidR="008E394B" w:rsidRPr="0024604A" w:rsidRDefault="00E80F40" w:rsidP="00153A2D">
      <w:pPr>
        <w:keepNext/>
        <w:widowControl w:val="0"/>
        <w:autoSpaceDE w:val="0"/>
        <w:autoSpaceDN w:val="0"/>
        <w:adjustRightInd w:val="0"/>
        <w:spacing w:line="480" w:lineRule="auto"/>
        <w:jc w:val="both"/>
        <w:rPr>
          <w:rFonts w:ascii="Calibri" w:hAnsi="Calibri"/>
          <w:b/>
          <w:lang w:val="en-GB"/>
        </w:rPr>
      </w:pPr>
      <w:r w:rsidRPr="0024604A">
        <w:rPr>
          <w:rFonts w:ascii="Calibri" w:hAnsi="Calibri"/>
          <w:b/>
          <w:lang w:val="en-GB"/>
        </w:rPr>
        <w:t>Discussion</w:t>
      </w:r>
    </w:p>
    <w:p w14:paraId="64936025" w14:textId="2BFF8F2B" w:rsidR="000D145B" w:rsidRPr="0024604A" w:rsidRDefault="00B452D5" w:rsidP="000D145B">
      <w:pPr>
        <w:pStyle w:val="Corpotesto"/>
        <w:spacing w:line="480" w:lineRule="auto"/>
        <w:jc w:val="both"/>
        <w:rPr>
          <w:rFonts w:ascii="Calibri" w:hAnsi="Calibri"/>
          <w:szCs w:val="24"/>
          <w:lang w:val="en-GB"/>
        </w:rPr>
      </w:pPr>
      <w:r w:rsidRPr="0024604A">
        <w:rPr>
          <w:rFonts w:ascii="Calibri" w:hAnsi="Calibri"/>
          <w:szCs w:val="24"/>
          <w:lang w:val="en-GB"/>
        </w:rPr>
        <w:t xml:space="preserve">Lipids represent a very broad group of molecules with a substantial structural diversity that is reflected in the variety and complexity of the physiological processes in which they are involved, from providing cell structure to energy storage for cell signalling </w:t>
      </w:r>
      <w:r w:rsidRPr="0024604A">
        <w:rPr>
          <w:rFonts w:ascii="Calibri" w:hAnsi="Calibri"/>
          <w:szCs w:val="24"/>
          <w:lang w:val="en-GB"/>
        </w:rPr>
        <w:fldChar w:fldCharType="begin" w:fldLock="1"/>
      </w:r>
      <w:r w:rsidR="000F2D94" w:rsidRPr="0024604A">
        <w:rPr>
          <w:rFonts w:ascii="Calibri" w:hAnsi="Calibri"/>
          <w:szCs w:val="24"/>
          <w:lang w:val="en-GB"/>
        </w:rPr>
        <w:instrText>ADDIN CSL_CITATION {"citationItems":[{"id":"ITEM-1","itemData":{"DOI":"10.1038/nrd1776","ISBN":"1474-1776 (Print)","ISSN":"14741776","PMID":"16052242","abstract":"The crucial role of lipids in cell, tissue and organ physiology is demonstrated by a large number of genetic studies and by many human diseases that involve the disruption of lipid metabolic enzymes and pathways. Examples of such diseases include cancer, diabetes, as well as neurodegenerative and infectious diseases. So far, the explosion of information in the fields of genomics and proteomics has not been matched by a corresponding advancement of knowledge in the field of lipids, which is largely due to the complexity of lipids and the lack of powerful tools for their analysis. Novel analytical approaches--in particular, liquid chromatography and mass spectrometry--for systems-level analysis of lipids and their interacting partners (lipidomics) now make this field a promising area of biomedical research, with a variety of applications in drug and biomarker development.","author":[{"dropping-particle":"","family":"Wenk","given":"Markus R.","non-dropping-particle":"","parse-names":false,"suffix":""}],"container-title":"Nature Reviews Drug Discovery","id":"ITEM-1","issue":"7","issued":{"date-parts":[["2005","7"]]},"page":"594-610","title":"The emerging field of lipidomics","type":"article-journal","volume":"4"},"uris":["http://www.mendeley.com/documents/?uuid=dc869542-7792-4d01-b1c3-13c98caba8da"]},{"id":"ITEM-2","itemData":{"DOI":"10.1038/nrm.2017.138","ISBN":"1471-0080 (Electronic) 1471-0072 (Linking)","ISSN":"14710080","PMID":"29410529","abstract":"Clathrin-mediated endocytosis is a key process in vesicular trafficking that transports a wide range of cargo molecules from the cell surface to the interior. Clathrin-mediated endocytosis was first described over 5 decades ago. Since its discovery, over 50 proteins have been shown to be part of the molecular machinery that generates the clathrin-coated endocytic vesicles. These proteins and the different steps of the endocytic process that they mediate have been studied in detail. However, we still lack a good understanding of how all these different components work together in a highly coordinated manner to drive vesicle formation. Nevertheless, studies in recent years have provided several important insights into how endocytic vesicles are built, starting from initiation, cargo loading and the mechanisms governing membrane bending to membrane scission and the release of the vesicle into the cytoplasm.","author":[{"dropping-particle":"","family":"Harayama","given":"Takeshi","non-dropping-particle":"","parse-names":false,"suffix":""},{"dropping-particle":"","family":"Riezman","given":"Howard","non-dropping-particle":"","parse-names":false,"suffix":""}],"container-title":"Nature Reviews Molecular Cell Biology","id":"ITEM-2","issue":"5","issued":{"date-parts":[["2018"]]},"page":"281-296","publisher":"Nature Publishing Group","title":"Understanding the diversity of membrane lipid composition","type":"article","volume":"19"},"uris":["http://www.mendeley.com/documents/?uuid=4a159524-ce55-4b71-a234-c5497bfae1fa"]},{"id":"ITEM-3","itemData":{"DOI":"10.1002/9781119085263.ch1","ISBN":"9781119085263","author":[{"dropping-particle":"","family":"Han","given":"Xianlin","non-dropping-particle":"","parse-names":false,"suffix":""}],"chapter-number":"1","container-title":"Lipidomics","id":"ITEM-3","issued":{"date-parts":[["2016","4"]]},"page":"1-20","publisher":"John Wiley &amp; Sons, Inc","publisher-place":"Hoboken, NJ, USA","title":"Lipids and Lipidomics","type":"chapter"},"uris":["http://www.mendeley.com/documents/?uuid=6df8a9c0-86e0-4301-8ef1-bb7ed155c482"]},{"id":"ITEM-4","itemData":{"DOI":"10.4155/bio-2018-0023","ISSN":"1757-6180","author":[{"dropping-particle":"","family":"Calvano","given":"Cosima D","non-dropping-particle":"","parse-names":false,"suffix":""},{"dropping-particle":"","family":"Palmisano","given":"Francesco","non-dropping-particle":"","parse-names":false,"suffix":""},{"dropping-particle":"","family":"Cataldi","given":"Tommaso R.I.","non-dropping-particle":"","parse-names":false,"suffix":""}],"container-title":"Bioanalysis","id":"ITEM-4","issue":"11","issued":{"date-parts":[["2018","6"]]},"page":"787-790","publisher":"Future Science Ltd London, UK","title":"Understanding neurodegenerative disorders by MS-based lipidomics","type":"article-journal","volume":"10"},"uris":["http://www.mendeley.com/documents/?uuid=97a38cb1-c837-4a83-a92c-417ff7ac4afb"]}],"mendeley":{"formattedCitation":"[50–53]","plainTextFormattedCitation":"[50–53]","previouslyFormattedCitation":"[50–53]"},"properties":{"noteIndex":0},"schema":"https://github.com/citation-style-language/schema/raw/master/csl-citation.json"}</w:instrText>
      </w:r>
      <w:r w:rsidRPr="0024604A">
        <w:rPr>
          <w:rFonts w:ascii="Calibri" w:hAnsi="Calibri"/>
          <w:szCs w:val="24"/>
          <w:lang w:val="en-GB"/>
        </w:rPr>
        <w:fldChar w:fldCharType="separate"/>
      </w:r>
      <w:r w:rsidR="0089225B" w:rsidRPr="0024604A">
        <w:rPr>
          <w:rFonts w:ascii="Calibri" w:hAnsi="Calibri"/>
          <w:noProof/>
          <w:szCs w:val="24"/>
          <w:lang w:val="en-GB"/>
        </w:rPr>
        <w:t>[50–53]</w:t>
      </w:r>
      <w:r w:rsidRPr="0024604A">
        <w:rPr>
          <w:rFonts w:ascii="Calibri" w:hAnsi="Calibri"/>
          <w:szCs w:val="24"/>
          <w:lang w:val="en-GB"/>
        </w:rPr>
        <w:fldChar w:fldCharType="end"/>
      </w:r>
      <w:r w:rsidRPr="0024604A">
        <w:rPr>
          <w:rFonts w:ascii="Calibri" w:hAnsi="Calibri"/>
          <w:szCs w:val="24"/>
          <w:lang w:val="en-GB"/>
        </w:rPr>
        <w:t xml:space="preserve">. Generally, any perturbation of a biological system is expected to alter the abundance and/or composition of the lipid pool of that system </w:t>
      </w:r>
      <w:r w:rsidRPr="0024604A">
        <w:rPr>
          <w:rFonts w:ascii="Calibri" w:hAnsi="Calibri"/>
          <w:szCs w:val="24"/>
          <w:lang w:val="en-GB"/>
        </w:rPr>
        <w:fldChar w:fldCharType="begin" w:fldLock="1"/>
      </w:r>
      <w:r w:rsidR="006126E3" w:rsidRPr="0024604A">
        <w:rPr>
          <w:rFonts w:ascii="Calibri" w:hAnsi="Calibri"/>
          <w:szCs w:val="24"/>
          <w:lang w:val="en-GB"/>
        </w:rPr>
        <w:instrText>ADDIN CSL_CITATION {"citationItems":[{"id":"ITEM-1","itemData":{"DOI":"10.3390/metabo1010021","ISSN":"22181989","abstract":"Electrospray ionization mass spectrometry (ESI-MS) has become one of the most popular and powerful technologies to identify and quantify individual lipid species in lipidomics. Meanwhile, quantitative analysis of lipid species by ESI-MS has also become a major obstacle to meet the challenges of lipidomics. Herein, we discuss the principles, advantages, and possible limitations of different mass spectrometry-based methodologies for lipid quantification, as well as a few practical issues important for accurate quantification of individual lipid species. Accordingly, accurate quantification of individual lipid species, one of the key challenges in lipidomics, can be practically met. © 2011 by the authors; licensee MDPI, Basel, Switzerland.","author":[{"dropping-particle":"","family":"Yang","given":"Kui","non-dropping-particle":"","parse-names":false,"suffix":""},{"dropping-particle":"","family":"Han","given":"Xianlin","non-dropping-particle":"","parse-names":false,"suffix":""}],"container-title":"Metabolites","id":"ITEM-1","issue":"1","issued":{"date-parts":[["2011"]]},"page":"21-40","title":"Accurate quantification of lipid species by electrospray ionization mass spectrometry - Meets a key challenge in lipidomics","type":"article","volume":"1"},"uris":["http://www.mendeley.com/documents/?uuid=5156605b-5325-3405-85f7-bcc3e40d5da7"]}],"mendeley":{"formattedCitation":"[54]","plainTextFormattedCitation":"[54]","previouslyFormattedCitation":"[54]"},"properties":{"noteIndex":0},"schema":"https://github.com/citation-style-language/schema/raw/master/csl-citation.json"}</w:instrText>
      </w:r>
      <w:r w:rsidRPr="0024604A">
        <w:rPr>
          <w:rFonts w:ascii="Calibri" w:hAnsi="Calibri"/>
          <w:szCs w:val="24"/>
          <w:lang w:val="en-GB"/>
        </w:rPr>
        <w:fldChar w:fldCharType="separate"/>
      </w:r>
      <w:r w:rsidR="0089225B" w:rsidRPr="0024604A">
        <w:rPr>
          <w:rFonts w:ascii="Calibri" w:hAnsi="Calibri"/>
          <w:noProof/>
          <w:szCs w:val="24"/>
          <w:lang w:val="en-GB"/>
        </w:rPr>
        <w:t>[54]</w:t>
      </w:r>
      <w:r w:rsidRPr="0024604A">
        <w:rPr>
          <w:rFonts w:ascii="Calibri" w:hAnsi="Calibri"/>
          <w:szCs w:val="24"/>
          <w:lang w:val="en-GB"/>
        </w:rPr>
        <w:fldChar w:fldCharType="end"/>
      </w:r>
      <w:r w:rsidRPr="0024604A">
        <w:rPr>
          <w:rFonts w:ascii="Calibri" w:hAnsi="Calibri"/>
          <w:szCs w:val="24"/>
          <w:lang w:val="en-GB"/>
        </w:rPr>
        <w:t xml:space="preserve">. </w:t>
      </w:r>
      <w:r w:rsidR="00A673AB" w:rsidRPr="0024604A">
        <w:rPr>
          <w:rFonts w:ascii="Calibri" w:hAnsi="Calibri"/>
          <w:szCs w:val="24"/>
          <w:lang w:val="en-GB"/>
        </w:rPr>
        <w:t>I</w:t>
      </w:r>
      <w:r w:rsidRPr="0024604A">
        <w:rPr>
          <w:rFonts w:ascii="Calibri" w:hAnsi="Calibri"/>
          <w:szCs w:val="24"/>
          <w:lang w:val="en-GB"/>
        </w:rPr>
        <w:t>n the field of ASD biomarker discovery,</w:t>
      </w:r>
      <w:r w:rsidR="00A673AB" w:rsidRPr="0024604A">
        <w:rPr>
          <w:rFonts w:ascii="Calibri" w:hAnsi="Calibri"/>
          <w:szCs w:val="24"/>
          <w:lang w:val="en-GB"/>
        </w:rPr>
        <w:t xml:space="preserve"> v</w:t>
      </w:r>
      <w:r w:rsidR="00A46EE4" w:rsidRPr="0024604A">
        <w:rPr>
          <w:rFonts w:ascii="Calibri" w:hAnsi="Calibri"/>
          <w:szCs w:val="24"/>
          <w:lang w:val="en-GB"/>
        </w:rPr>
        <w:t>ery few</w:t>
      </w:r>
      <w:r w:rsidR="008E394B" w:rsidRPr="0024604A">
        <w:rPr>
          <w:rFonts w:ascii="Calibri" w:hAnsi="Calibri"/>
          <w:szCs w:val="24"/>
          <w:lang w:val="en-GB"/>
        </w:rPr>
        <w:t xml:space="preserve"> studies have examined fatty </w:t>
      </w:r>
      <w:r w:rsidR="00A80207" w:rsidRPr="0024604A">
        <w:rPr>
          <w:rFonts w:ascii="Calibri" w:hAnsi="Calibri"/>
          <w:szCs w:val="24"/>
          <w:lang w:val="en-GB"/>
        </w:rPr>
        <w:t>acid me</w:t>
      </w:r>
      <w:r w:rsidR="00A9799C" w:rsidRPr="0024604A">
        <w:rPr>
          <w:rFonts w:ascii="Calibri" w:hAnsi="Calibri"/>
          <w:szCs w:val="24"/>
          <w:lang w:val="en-GB"/>
        </w:rPr>
        <w:t xml:space="preserve">tabolism with the </w:t>
      </w:r>
      <w:r w:rsidR="00013811" w:rsidRPr="0024604A">
        <w:rPr>
          <w:rFonts w:ascii="Calibri" w:hAnsi="Calibri"/>
          <w:szCs w:val="24"/>
          <w:lang w:val="en-GB"/>
        </w:rPr>
        <w:t xml:space="preserve">underlying </w:t>
      </w:r>
      <w:r w:rsidR="00A9799C" w:rsidRPr="0024604A">
        <w:rPr>
          <w:rFonts w:ascii="Calibri" w:hAnsi="Calibri"/>
          <w:szCs w:val="24"/>
          <w:lang w:val="en-GB"/>
        </w:rPr>
        <w:t xml:space="preserve">idea </w:t>
      </w:r>
      <w:r w:rsidR="007A13D7" w:rsidRPr="0024604A">
        <w:rPr>
          <w:rFonts w:ascii="Calibri" w:hAnsi="Calibri"/>
          <w:szCs w:val="24"/>
          <w:lang w:val="en-GB"/>
        </w:rPr>
        <w:t xml:space="preserve">being </w:t>
      </w:r>
      <w:r w:rsidR="008E394B" w:rsidRPr="0024604A">
        <w:rPr>
          <w:rFonts w:ascii="Calibri" w:hAnsi="Calibri"/>
          <w:szCs w:val="24"/>
          <w:lang w:val="en-GB"/>
        </w:rPr>
        <w:t xml:space="preserve">that </w:t>
      </w:r>
      <w:r w:rsidR="00013811" w:rsidRPr="0024604A">
        <w:rPr>
          <w:rFonts w:ascii="Calibri" w:hAnsi="Calibri"/>
          <w:szCs w:val="24"/>
          <w:lang w:val="en-GB"/>
        </w:rPr>
        <w:t>the</w:t>
      </w:r>
      <w:r w:rsidR="008E394B" w:rsidRPr="0024604A">
        <w:rPr>
          <w:rFonts w:ascii="Calibri" w:hAnsi="Calibri"/>
          <w:szCs w:val="24"/>
          <w:lang w:val="en-GB"/>
        </w:rPr>
        <w:t xml:space="preserve"> abnormal membrane fatty acid composition </w:t>
      </w:r>
      <w:r w:rsidR="00013811" w:rsidRPr="0024604A">
        <w:rPr>
          <w:rFonts w:ascii="Calibri" w:hAnsi="Calibri"/>
          <w:szCs w:val="24"/>
          <w:lang w:val="en-GB"/>
        </w:rPr>
        <w:t>is involved in</w:t>
      </w:r>
      <w:r w:rsidR="008E394B" w:rsidRPr="0024604A">
        <w:rPr>
          <w:rFonts w:ascii="Calibri" w:hAnsi="Calibri"/>
          <w:szCs w:val="24"/>
          <w:lang w:val="en-GB"/>
        </w:rPr>
        <w:t xml:space="preserve"> neurodevelopmental and psychiatric disorders </w:t>
      </w:r>
      <w:r w:rsidR="00A673AB" w:rsidRPr="0024604A">
        <w:rPr>
          <w:rFonts w:ascii="Calibri" w:hAnsi="Calibri"/>
          <w:szCs w:val="24"/>
          <w:lang w:val="en-GB"/>
        </w:rPr>
        <w:fldChar w:fldCharType="begin" w:fldLock="1"/>
      </w:r>
      <w:r w:rsidR="006126E3" w:rsidRPr="0024604A">
        <w:rPr>
          <w:rFonts w:ascii="Calibri" w:hAnsi="Calibri"/>
          <w:szCs w:val="24"/>
          <w:lang w:val="en-GB"/>
        </w:rPr>
        <w:instrText>ADDIN CSL_CITATION {"citationItems":[{"id":"ITEM-1","itemData":{"DOI":"10.1016/j.plefa.2009.01.007","ISBN":"1532-2823 (Electronic)\\r0952-3278 (Linking)","ISSN":"09523278","PMID":"19307110","abstract":"Increasing evidence is mounting in support of fatty acid metabolism playing a role in neurodevelopmental disorders such as autism. In order to definitely determine whether fatty acid concentrations were associated with autism, we quantitatively measured 30 fatty acids from seven lipid classes in plasma from a large subset of subjects enrolled in the Childhood Autism Risk from Genetics and the Environment (CHARGE) study. The CHARGE study is a large, population-based case-control study on children aged 2-5 born in California. Our subset consisted of 153 children with autism and 97 developmentally normal controls. Results showed that docosahexaenoic acid (DHA, 22:6n-3) was significantly decreased in phosphatidylethanolamine. Dimethyl acetals were significantly decreased in phosphatidylethanolamine and phosphatidylcholine as well. These results are consistent with the only other study to measure dimethyl acetals in children with autism, and suggest that the function of peroxisomes and the enzymes of the peroxisome involved with fatty acid metabolism may be affected in autism. ?? 2009 Elsevier Ltd. All rights reserved.","author":[{"dropping-particle":"","family":"Wiest","given":"M. M.","non-dropping-particle":"","parse-names":false,"suffix":""},{"dropping-particle":"","family":"German","given":"J. B.","non-dropping-particle":"","parse-names":false,"suffix":""},{"dropping-particle":"","family":"Harvey","given":"D. J.","non-dropping-particle":"","parse-names":false,"suffix":""},{"dropping-particle":"","family":"Watkins","given":"S. M.","non-dropping-particle":"","parse-names":false,"suffix":""},{"dropping-particle":"","family":"Hertz-Picciotto","given":"I.","non-dropping-particle":"","parse-names":false,"suffix":""}],"container-title":"Prostaglandins Leukotrienes and Essential Fatty Acids","id":"ITEM-1","issue":"4","issued":{"date-parts":[["2009"]]},"page":"221-227","title":"Plasma fatty acid profiles in autism: A case-control study","type":"article-journal","volume":"80"},"uris":["http://www.mendeley.com/documents/?uuid=266e2b62-ddd2-4969-b263-888b6ebca9d1"]},{"id":"ITEM-2","itemData":{"DOI":"10.3390/ijms160510061","ISBN":"1617726850","ISSN":"14220067","PMID":"25946342","abstract":"Omega-6 (n-6) and omega-3 (n-3) polyunsaturated fatty acids (PUFA) are essential nutrients for brain development and function. However, whether or not the levels of these fatty acids are altered in individuals with autism remains debatable. In this study, we compared the fatty acid contents between 121 autistic patients and 110 non-autistic, non-developmentally delayed controls, aged 3-17. Analysis of the fatty acid composition of red blood cell (RBC) membrane phospholipids showed that the percentage of total PUFA was lower in autistic patients than in controls; levels of n-6 arachidonic acid (AA) and n-3 docosahexaenoic acid (DHA) were particularly decreased (p&lt;0.001). In addition, plasma levels of the pro-inflammatory AA metabolite prostaglandin E2 (PGE2) were higher in a subset of the autistic participants (n=20) compared to controls. Our study demonstrates an alteration in the PUFA profile and increased production of a PUFA-derived metabolite in autistic patients, supporting the hypothesis that abnormal lipid metabolism is implicated in autism.","author":[{"dropping-particle":"","family":"Brigandi","given":"Sarah A.","non-dropping-particle":"","parse-names":false,"suffix":""},{"dropping-particle":"","family":"Shao","given":"Hong","non-dropping-particle":"","parse-names":false,"suffix":""},{"dropping-particle":"","family":"Qian","given":"Steven Y.","non-dropping-particle":"","parse-names":false,"suffix":""},{"dropping-particle":"","family":"Shen","given":"Yiping","non-dropping-particle":"","parse-names":false,"suffix":""},{"dropping-particle":"","family":"Wu","given":"Bai Lin","non-dropping-particle":"","parse-names":false,"suffix":""},{"dropping-particle":"","family":"Kang","given":"Jing X.","non-dropping-particle":"","parse-names":false,"suffix":""}],"container-title":"International Journal of Molecular Sciences","id":"ITEM-2","issue":"5","issued":{"date-parts":[["2015"]]},"page":"10061-10076","title":"Autistic children exhibit decreased levels of essential fatty acids in red blood cells","type":"article-journal","volume":"16"},"uris":["http://www.mendeley.com/documents/?uuid=219fe4a0-190e-49aa-aac4-80b09dd9f02f"]},{"id":"ITEM-3","itemData":{"DOI":"10.1054/plef.2000.0184","ISBN":"0952-3278 (Print)\\r0952-3278 (Linking)","ISSN":"09523278","PMID":"10970706","abstract":"There is increasing evidence that abnormalities of fatty acid and membrane phospholipid metabolism play a part in a wide range of neurodevelopmental and psychiatric disorders. This proposal is discussed here in relation to attention-deficit/hyperactivity disorder (ADHD), dyslexia, developmental coordination disorder (dyspraxia) and the autistic spectrum. These are among the most common neurodevelopmental disorders of childhood, with significant implications for society as well as for those directly affected. However, controversy still surrounds both the identification and management of these conditions, and while their aetiology is recognized as being complex and multifactorial, little progress has yet been made in elucidating predisposing factors at the biological level. An overview is provided here of the contents of this Special Issue, which contains a selection of reports from a unique multidisciplinary workshop involving both researchers and clinicians. Its purpose was to explore the possibility that ADHD, dyslexia, dyspraxia and autism fall within a phospholipid spectrum of disorders. This proposal could explain the high degree of co-morbidity between these conditions, their aggregation within families and relation to other psychiatric disorders, and a range of associated features that are already well known at a clinical level. The existing evidence for fatty acid abnormalities in these disorders is summarized, and new approaches are outlined that have the potential to improve both the identification and the management of these and related neurodevelopmental and psychiatric conditions.","author":[{"dropping-particle":"","family":"Richardson","given":"A.J.","non-dropping-particle":"","parse-names":false,"suffix":""},{"dropping-particle":"","family":"Ross","given":"M.A.","non-dropping-particle":"","parse-names":false,"suffix":""}],"container-title":"Prostaglandins, Leukotrienes and Essential Fatty Acids (PLEFA)","id":"ITEM-3","issue":"1-2","issued":{"date-parts":[["2000"]]},"page":"1-9","title":"Fatty acid metabolism in neurodevelopmental disorder: a new perspective on associations between attention-deficit/hyperactivity disorder, dyslexia, dyspraxia and the autistic spectrum","type":"article-journal","volume":"63"},"uris":["http://www.mendeley.com/documents/?uuid=6d52c893-51f8-494e-b15b-f65e94db30b4"]},{"id":"ITEM-4","itemData":{"DOI":"10.1007/s40291-019-00430-0","ISBN":"0123456789","ISSN":"11792000","abstract":"Autism spectrum disorder (ASD) is a complex neurodevelopmental syndrome commonly diagnosed in early childhood; it is usually characterized by impairment in reciprocal communication and speech, repetitive behaviors, and social withdrawal with loss in communication skills. Its development may be affected by a variety of environmental and genetic factors. Trained physicians diagnose and evaluate the severity of ASD based on clinical evaluations of observed behaviors. As such, this approach is inevitably dependent on the expertise and subjective assessment of those administering the clinical evaluations. There is a need to identify objective biological markers associated with diagnosis or clinical severity of the disorder. Several important issues and concerns exist regarding the diagnostic competence of the many abnormal plasma metabolites produced in the different biochemical pathways evaluated in individuals with ASD. The search for high-performing bio-analytes to diagnose and follow-up ASD development is still a major target in medicine. Dysregulation in the oxidative stress response and proinflammatory processes are major etiological causes of ASD pathogenesis. Furthermore, dicarboxylic acid metabolites, cholesterol-related metabolites, phospholipid-related metabolites, and lipid transporters and mediators are impaired in different pathological conditions that have a role in the ASD etiology. A mechanism may exist by which pro-oxidant environmental stressors and abnormal metabolites regulate clinical manifestations and development of ASD.","author":[{"dropping-particle":"","family":"El-Ansary","given":"Afaf","non-dropping-particle":"","parse-names":false,"suffix":""},{"dropping-particle":"","family":"Chirumbolo","given":"Salvatore","non-dropping-particle":"","parse-names":false,"suffix":""},{"dropping-particle":"","family":"Bhat","given":"Ramesa Shafi","non-dropping-particle":"","parse-names":false,"suffix":""},{"dropping-particle":"","family":"Dadar","given":"Maryam","non-dropping-particle":"","parse-names":false,"suffix":""},{"dropping-particle":"","family":"Ibrahim","given":"Eiman M.","non-dropping-particle":"","parse-names":false,"suffix":""},{"dropping-particle":"","family":"Bjørklund","given":"Geir","non-dropping-particle":"","parse-names":false,"suffix":""}],"container-title":"Molecular Diagnosis and Therapy","id":"ITEM-4","issue":"1","issued":{"date-parts":[["2020"]]},"page":"31-48","publisher":"Springer International Publishing","title":"The Role of Lipidomics in Autism Spectrum Disorder","type":"article-journal","volume":"24"},"uris":["http://www.mendeley.com/documents/?uuid=7cf6a2b8-4410-40ad-86b6-2aa433ef130d"]}],"mendeley":{"formattedCitation":"[55–58]","plainTextFormattedCitation":"[55–58]","previouslyFormattedCitation":"[55–58]"},"properties":{"noteIndex":0},"schema":"https://github.com/citation-style-language/schema/raw/master/csl-citation.json"}</w:instrText>
      </w:r>
      <w:r w:rsidR="00A673AB" w:rsidRPr="0024604A">
        <w:rPr>
          <w:rFonts w:ascii="Calibri" w:hAnsi="Calibri"/>
          <w:szCs w:val="24"/>
          <w:lang w:val="en-GB"/>
        </w:rPr>
        <w:fldChar w:fldCharType="separate"/>
      </w:r>
      <w:r w:rsidR="0089225B" w:rsidRPr="0024604A">
        <w:rPr>
          <w:rFonts w:ascii="Calibri" w:hAnsi="Calibri"/>
          <w:noProof/>
          <w:szCs w:val="24"/>
          <w:lang w:val="en-GB"/>
        </w:rPr>
        <w:t>[55–58]</w:t>
      </w:r>
      <w:r w:rsidR="00A673AB" w:rsidRPr="0024604A">
        <w:rPr>
          <w:rFonts w:ascii="Calibri" w:hAnsi="Calibri"/>
          <w:szCs w:val="24"/>
          <w:lang w:val="en-GB"/>
        </w:rPr>
        <w:fldChar w:fldCharType="end"/>
      </w:r>
      <w:r w:rsidR="00A673AB" w:rsidRPr="0024604A">
        <w:rPr>
          <w:rFonts w:ascii="Calibri" w:hAnsi="Calibri"/>
          <w:szCs w:val="24"/>
          <w:lang w:val="en-GB"/>
        </w:rPr>
        <w:t>.</w:t>
      </w:r>
      <w:r w:rsidR="008E394B" w:rsidRPr="0024604A">
        <w:rPr>
          <w:rFonts w:ascii="Calibri" w:hAnsi="Calibri"/>
          <w:szCs w:val="24"/>
          <w:lang w:val="en-GB"/>
        </w:rPr>
        <w:t xml:space="preserve"> </w:t>
      </w:r>
      <w:r w:rsidR="00013811" w:rsidRPr="0024604A">
        <w:rPr>
          <w:rFonts w:ascii="Calibri" w:hAnsi="Calibri"/>
          <w:szCs w:val="24"/>
          <w:lang w:val="en-GB"/>
        </w:rPr>
        <w:t xml:space="preserve">However, ambiguous or at least non-definitive results have been presented including higher levels of </w:t>
      </w:r>
      <w:r w:rsidR="00630740" w:rsidRPr="0024604A">
        <w:rPr>
          <w:rFonts w:ascii="Calibri" w:hAnsi="Calibri"/>
          <w:szCs w:val="24"/>
          <w:lang w:val="en-GB"/>
        </w:rPr>
        <w:t>polyunsaturated fatty acids (</w:t>
      </w:r>
      <w:r w:rsidR="00013811" w:rsidRPr="0024604A">
        <w:rPr>
          <w:rFonts w:ascii="Calibri" w:hAnsi="Calibri"/>
          <w:szCs w:val="24"/>
          <w:lang w:val="en-GB"/>
        </w:rPr>
        <w:t>PUFA</w:t>
      </w:r>
      <w:r w:rsidR="00630740" w:rsidRPr="0024604A">
        <w:rPr>
          <w:rFonts w:ascii="Calibri" w:hAnsi="Calibri"/>
          <w:szCs w:val="24"/>
          <w:lang w:val="en-GB"/>
        </w:rPr>
        <w:t>)</w:t>
      </w:r>
      <w:r w:rsidR="00013811" w:rsidRPr="0024604A">
        <w:rPr>
          <w:rFonts w:ascii="Calibri" w:hAnsi="Calibri"/>
          <w:szCs w:val="24"/>
          <w:lang w:val="en-GB"/>
        </w:rPr>
        <w:t xml:space="preserve"> occurring in </w:t>
      </w:r>
      <w:r w:rsidR="00795F1F" w:rsidRPr="0024604A">
        <w:rPr>
          <w:rFonts w:ascii="Calibri" w:hAnsi="Calibri"/>
          <w:szCs w:val="24"/>
          <w:lang w:val="en-GB"/>
        </w:rPr>
        <w:t>biological fluids</w:t>
      </w:r>
      <w:r w:rsidR="00013811" w:rsidRPr="0024604A">
        <w:rPr>
          <w:rFonts w:ascii="Calibri" w:hAnsi="Calibri"/>
          <w:szCs w:val="24"/>
          <w:lang w:val="en-GB"/>
        </w:rPr>
        <w:t xml:space="preserve"> of autistic subjects.</w:t>
      </w:r>
      <w:r w:rsidR="008E394B" w:rsidRPr="0024604A">
        <w:rPr>
          <w:rFonts w:ascii="Calibri" w:hAnsi="Calibri"/>
          <w:szCs w:val="24"/>
          <w:lang w:val="en-GB"/>
        </w:rPr>
        <w:t xml:space="preserve"> </w:t>
      </w:r>
      <w:proofErr w:type="spellStart"/>
      <w:r w:rsidR="008E394B" w:rsidRPr="0024604A">
        <w:rPr>
          <w:rFonts w:ascii="Calibri" w:hAnsi="Calibri"/>
          <w:szCs w:val="24"/>
          <w:lang w:val="en-GB"/>
        </w:rPr>
        <w:t>Vancassel</w:t>
      </w:r>
      <w:proofErr w:type="spellEnd"/>
      <w:r w:rsidR="008E394B" w:rsidRPr="0024604A">
        <w:rPr>
          <w:rFonts w:ascii="Calibri" w:hAnsi="Calibri"/>
          <w:szCs w:val="24"/>
          <w:lang w:val="en-GB"/>
        </w:rPr>
        <w:t xml:space="preserve"> </w:t>
      </w:r>
      <w:r w:rsidR="008E394B" w:rsidRPr="0024604A">
        <w:rPr>
          <w:rFonts w:ascii="Calibri" w:hAnsi="Calibri"/>
          <w:i/>
          <w:iCs/>
          <w:szCs w:val="24"/>
          <w:lang w:val="en-GB"/>
        </w:rPr>
        <w:t>et al</w:t>
      </w:r>
      <w:r w:rsidR="008E394B" w:rsidRPr="0024604A">
        <w:rPr>
          <w:rFonts w:ascii="Calibri" w:hAnsi="Calibri"/>
          <w:szCs w:val="24"/>
          <w:lang w:val="en-GB"/>
        </w:rPr>
        <w:t xml:space="preserve">. </w:t>
      </w:r>
      <w:r w:rsidR="00366217" w:rsidRPr="0024604A">
        <w:rPr>
          <w:rFonts w:ascii="Calibri" w:hAnsi="Calibri"/>
          <w:szCs w:val="24"/>
          <w:lang w:val="en-GB"/>
        </w:rPr>
        <w:fldChar w:fldCharType="begin" w:fldLock="1"/>
      </w:r>
      <w:r w:rsidR="006126E3" w:rsidRPr="0024604A">
        <w:rPr>
          <w:rFonts w:ascii="Calibri" w:hAnsi="Calibri"/>
          <w:szCs w:val="24"/>
          <w:lang w:val="en-GB"/>
        </w:rPr>
        <w:instrText>ADDIN CSL_CITATION {"citationItems":[{"id":"ITEM-1","itemData":{"DOI":"10.1054/plef.2001.0281","ISBN":"0952-3278","ISSN":"09523278","PMID":"11487301","abstract":"Phospholipid fatty acids are major structural components of neuronal cell membranes, which modulate membrane fluidity and hence function. Evidence from clinical and biochemical sources have indicated changes in the metabolism of fatty acids in several psychiatric disorders. We examined the phospholipid fatty acids in the plasma of a population of autistic subjects compared to mentally retarded controls. Our results showed a marked reduction in the levels of 22: 6n-3 (23%) in the autistic subjects, resulting in significantly lower levels of total (n-3) polyunsaturated fatty acids (PUFA) (20%), without significant reduction in the (n-6) PUFA series, and consequently a significant increase in the (n-6)/(n-3) ratio (25%). These variations are discussed in terms of potential differences in PUFA dietary intake, metabolism, or incorporation into cellular membranes between the two groups of subjects. These results open up interesting perspectives for the investigation of new biological indices in autism. Moreover, this might have new therapeutic implications in terms of child nutrition.","author":[{"dropping-particle":"","family":"Vancassel","given":"S","non-dropping-particle":"","parse-names":false,"suffix":""},{"dropping-particle":"","family":"Durand","given":"G","non-dropping-particle":"","parse-names":false,"suffix":""},{"dropping-particle":"","family":"Barthélémy","given":"C","non-dropping-particle":"","parse-names":false,"suffix":""},{"dropping-particle":"","family":"Lejeune","given":"B","non-dropping-particle":"","parse-names":false,"suffix":""},{"dropping-particle":"","family":"Martineau","given":"J","non-dropping-particle":"","parse-names":false,"suffix":""},{"dropping-particle":"","family":"Guilloteau","given":"D","non-dropping-particle":"","parse-names":false,"suffix":""},{"dropping-particle":"","family":"Andrès","given":"C","non-dropping-particle":"","parse-names":false,"suffix":""},{"dropping-particle":"","family":"Chalon","given":"S","non-dropping-particle":"","parse-names":false,"suffix":""}],"container-title":"Prostaglandins, Leukotrienes and Essential Fatty Acids (PLEFA)","id":"ITEM-1","issue":"1","issued":{"date-parts":[["2001"]]},"page":"1-7","title":"Plasma fatty acid levels in autistic children","type":"article-journal","volume":"65"},"uris":["http://www.mendeley.com/documents/?uuid=715845e9-fe38-414c-8d3c-31ba3b517425"]}],"mendeley":{"formattedCitation":"[59]","plainTextFormattedCitation":"[59]","previouslyFormattedCitation":"[59]"},"properties":{"noteIndex":0},"schema":"https://github.com/citation-style-language/schema/raw/master/csl-citation.json"}</w:instrText>
      </w:r>
      <w:r w:rsidR="00366217" w:rsidRPr="0024604A">
        <w:rPr>
          <w:rFonts w:ascii="Calibri" w:hAnsi="Calibri"/>
          <w:szCs w:val="24"/>
          <w:lang w:val="en-GB"/>
        </w:rPr>
        <w:fldChar w:fldCharType="separate"/>
      </w:r>
      <w:r w:rsidR="0089225B" w:rsidRPr="0024604A">
        <w:rPr>
          <w:rFonts w:ascii="Calibri" w:hAnsi="Calibri"/>
          <w:noProof/>
          <w:szCs w:val="24"/>
          <w:lang w:val="en-GB"/>
        </w:rPr>
        <w:t>[59]</w:t>
      </w:r>
      <w:r w:rsidR="00366217" w:rsidRPr="0024604A">
        <w:rPr>
          <w:rFonts w:ascii="Calibri" w:hAnsi="Calibri"/>
          <w:szCs w:val="24"/>
          <w:lang w:val="en-GB"/>
        </w:rPr>
        <w:fldChar w:fldCharType="end"/>
      </w:r>
      <w:r w:rsidR="00366217" w:rsidRPr="0024604A">
        <w:rPr>
          <w:rFonts w:ascii="Calibri" w:hAnsi="Calibri"/>
          <w:szCs w:val="24"/>
          <w:lang w:val="en-GB"/>
        </w:rPr>
        <w:t xml:space="preserve"> </w:t>
      </w:r>
      <w:r w:rsidR="00306EE9" w:rsidRPr="0024604A">
        <w:rPr>
          <w:rFonts w:ascii="Calibri" w:hAnsi="Calibri"/>
          <w:szCs w:val="24"/>
          <w:lang w:val="en-GB"/>
        </w:rPr>
        <w:t>speculate</w:t>
      </w:r>
      <w:r w:rsidR="00F468A5" w:rsidRPr="0024604A">
        <w:rPr>
          <w:rFonts w:ascii="Calibri" w:hAnsi="Calibri"/>
          <w:szCs w:val="24"/>
          <w:lang w:val="en-GB"/>
        </w:rPr>
        <w:t>d</w:t>
      </w:r>
      <w:r w:rsidR="008E394B" w:rsidRPr="0024604A">
        <w:rPr>
          <w:rFonts w:ascii="Calibri" w:hAnsi="Calibri"/>
          <w:szCs w:val="24"/>
          <w:lang w:val="en-GB"/>
        </w:rPr>
        <w:t xml:space="preserve"> that </w:t>
      </w:r>
      <w:r w:rsidR="00013811" w:rsidRPr="0024604A">
        <w:rPr>
          <w:rFonts w:ascii="Calibri" w:hAnsi="Calibri"/>
          <w:szCs w:val="24"/>
          <w:lang w:val="en-GB"/>
        </w:rPr>
        <w:t xml:space="preserve">the </w:t>
      </w:r>
      <w:r w:rsidR="008E394B" w:rsidRPr="0024604A">
        <w:rPr>
          <w:rFonts w:ascii="Calibri" w:hAnsi="Calibri"/>
          <w:szCs w:val="24"/>
          <w:lang w:val="en-GB"/>
        </w:rPr>
        <w:t xml:space="preserve">total </w:t>
      </w:r>
      <w:r w:rsidR="008E394B" w:rsidRPr="0024604A">
        <w:rPr>
          <w:rFonts w:ascii="Calibri" w:hAnsi="Calibri"/>
          <w:i/>
          <w:iCs/>
          <w:szCs w:val="24"/>
          <w:lang w:val="en-GB"/>
        </w:rPr>
        <w:t>n</w:t>
      </w:r>
      <w:r w:rsidR="008E394B" w:rsidRPr="0024604A">
        <w:rPr>
          <w:rFonts w:ascii="Calibri" w:hAnsi="Calibri"/>
          <w:szCs w:val="24"/>
          <w:lang w:val="en-GB"/>
        </w:rPr>
        <w:t xml:space="preserve">-3 PUFA were significantly lower in the </w:t>
      </w:r>
      <w:r w:rsidR="00306EE9" w:rsidRPr="0024604A">
        <w:rPr>
          <w:rFonts w:ascii="Calibri" w:hAnsi="Calibri"/>
          <w:szCs w:val="24"/>
          <w:lang w:val="en-GB"/>
        </w:rPr>
        <w:t>population of autistic patients compared to mentally retarded ones,</w:t>
      </w:r>
      <w:r w:rsidR="008E394B" w:rsidRPr="0024604A">
        <w:rPr>
          <w:rFonts w:ascii="Calibri" w:hAnsi="Calibri"/>
          <w:szCs w:val="24"/>
          <w:lang w:val="en-GB"/>
        </w:rPr>
        <w:t xml:space="preserve"> yet arachidonic acid (</w:t>
      </w:r>
      <w:r w:rsidR="0016426C" w:rsidRPr="0024604A">
        <w:rPr>
          <w:rFonts w:ascii="Calibri" w:hAnsi="Calibri"/>
          <w:szCs w:val="24"/>
          <w:lang w:val="en-GB"/>
        </w:rPr>
        <w:t xml:space="preserve">AA, </w:t>
      </w:r>
      <w:r w:rsidR="0016426C" w:rsidRPr="0024604A">
        <w:rPr>
          <w:rFonts w:ascii="Calibri" w:hAnsi="Calibri"/>
          <w:i/>
          <w:iCs/>
          <w:szCs w:val="24"/>
          <w:lang w:val="en-GB"/>
        </w:rPr>
        <w:t xml:space="preserve">i.e. </w:t>
      </w:r>
      <w:r w:rsidR="0016426C" w:rsidRPr="0024604A">
        <w:rPr>
          <w:rFonts w:ascii="Calibri" w:hAnsi="Calibri"/>
          <w:szCs w:val="24"/>
          <w:lang w:val="en-GB"/>
        </w:rPr>
        <w:t>FA 20:4</w:t>
      </w:r>
      <w:r w:rsidR="008E394B" w:rsidRPr="0024604A">
        <w:rPr>
          <w:rFonts w:ascii="Calibri" w:hAnsi="Calibri"/>
          <w:szCs w:val="24"/>
          <w:lang w:val="en-GB"/>
        </w:rPr>
        <w:t>) and docosahexaenoic acid (DHA</w:t>
      </w:r>
      <w:r w:rsidR="0016426C" w:rsidRPr="0024604A">
        <w:rPr>
          <w:rFonts w:ascii="Calibri" w:hAnsi="Calibri"/>
          <w:szCs w:val="24"/>
          <w:lang w:val="en-GB"/>
        </w:rPr>
        <w:t xml:space="preserve">, </w:t>
      </w:r>
      <w:r w:rsidR="0016426C" w:rsidRPr="0024604A">
        <w:rPr>
          <w:rFonts w:ascii="Calibri" w:hAnsi="Calibri"/>
          <w:i/>
          <w:iCs/>
          <w:szCs w:val="24"/>
          <w:lang w:val="en-GB"/>
        </w:rPr>
        <w:t xml:space="preserve">i.e. </w:t>
      </w:r>
      <w:r w:rsidR="0016426C" w:rsidRPr="0024604A">
        <w:rPr>
          <w:rFonts w:ascii="Calibri" w:hAnsi="Calibri"/>
          <w:szCs w:val="24"/>
          <w:lang w:val="en-GB"/>
        </w:rPr>
        <w:t>FA 22:6</w:t>
      </w:r>
      <w:r w:rsidR="008E394B" w:rsidRPr="0024604A">
        <w:rPr>
          <w:rFonts w:ascii="Calibri" w:hAnsi="Calibri"/>
          <w:szCs w:val="24"/>
          <w:lang w:val="en-GB"/>
        </w:rPr>
        <w:t xml:space="preserve">) </w:t>
      </w:r>
      <w:r w:rsidR="00A673AB" w:rsidRPr="0024604A">
        <w:rPr>
          <w:rFonts w:ascii="Calibri" w:hAnsi="Calibri"/>
          <w:szCs w:val="24"/>
          <w:lang w:val="en-GB"/>
        </w:rPr>
        <w:t xml:space="preserve">plasma </w:t>
      </w:r>
      <w:r w:rsidR="008E394B" w:rsidRPr="0024604A">
        <w:rPr>
          <w:rFonts w:ascii="Calibri" w:hAnsi="Calibri"/>
          <w:szCs w:val="24"/>
          <w:lang w:val="en-GB"/>
        </w:rPr>
        <w:t xml:space="preserve">levels were only moderately reduced. Likewise, Bell </w:t>
      </w:r>
      <w:r w:rsidR="008E394B" w:rsidRPr="0024604A">
        <w:rPr>
          <w:rFonts w:ascii="Calibri" w:hAnsi="Calibri"/>
          <w:i/>
          <w:iCs/>
          <w:szCs w:val="24"/>
          <w:lang w:val="en-GB"/>
        </w:rPr>
        <w:t>et al</w:t>
      </w:r>
      <w:r w:rsidR="008E394B" w:rsidRPr="0024604A">
        <w:rPr>
          <w:rFonts w:ascii="Calibri" w:hAnsi="Calibri"/>
          <w:szCs w:val="24"/>
          <w:lang w:val="en-GB"/>
        </w:rPr>
        <w:t xml:space="preserve">. </w:t>
      </w:r>
      <w:r w:rsidR="00395CFB" w:rsidRPr="0024604A">
        <w:rPr>
          <w:rFonts w:ascii="Calibri" w:hAnsi="Calibri"/>
          <w:szCs w:val="24"/>
          <w:lang w:val="en-GB"/>
        </w:rPr>
        <w:fldChar w:fldCharType="begin" w:fldLock="1"/>
      </w:r>
      <w:r w:rsidR="00280CED" w:rsidRPr="0024604A">
        <w:rPr>
          <w:rFonts w:ascii="Calibri" w:hAnsi="Calibri"/>
          <w:szCs w:val="24"/>
          <w:lang w:val="en-GB"/>
        </w:rPr>
        <w:instrText>ADDIN CSL_CITATION {"citationItems":[{"id":"ITEM-1","itemData":{"DOI":"10.1016/j.plefa.2004.03.008","ISBN":"0952-3278 (Print)\\r0952-3278 (Linking)","ISSN":"09523278","PMID":"15301788","abstract":"A health questionnaire based on parental observations of clinical signs of fatty acid deficiency (FAD) showed that patients with autism and Asperger's syndrome (ASP) had significantly higher FAD scores (6.34±4.37 and 7.64±6.20, respectively) compared to controls (1.78±1.68). Patients with regressive autism had significantly higher percentages of 18:0,18:2n-6 and total saturates in their RBC membranes compared to controls, while 24:0, 22:5n-6, 24:1 and the 20:4n-6/20:5n-3 ratio were significantly higher in both regressive autism and ASP groups compared to controls. By comparison, the 18:1n-9 and 20:4n-6 values were significantly lower in patients with regressive autism compared to controls while 22:5n-3, total n-3 and total dimethyl acetals were significantly lower in both regressive autism and ASP groups compared to controls. Storage of RBC at -20°C for 6 weeks resulted in significant reductions in highly unsaturated fatty acid levels in polar lipids of patients with regressive autism, compared to patients with classical autism or ASP, or controls. Patients diagnosed with both autism and ASP showed significantly increased levels of EPA (</w:instrText>
      </w:r>
      <w:r w:rsidR="00280CED" w:rsidRPr="0024604A">
        <w:rPr>
          <w:rFonts w:ascii="Cambria Math" w:hAnsi="Cambria Math" w:cs="Cambria Math"/>
          <w:szCs w:val="24"/>
          <w:lang w:val="en-GB"/>
        </w:rPr>
        <w:instrText>∼</w:instrText>
      </w:r>
      <w:r w:rsidR="00280CED" w:rsidRPr="0024604A">
        <w:rPr>
          <w:rFonts w:ascii="Calibri" w:hAnsi="Calibri"/>
          <w:szCs w:val="24"/>
          <w:lang w:val="en-GB"/>
        </w:rPr>
        <w:instrText>200%) and DHA (</w:instrText>
      </w:r>
      <w:r w:rsidR="00280CED" w:rsidRPr="0024604A">
        <w:rPr>
          <w:rFonts w:ascii="Cambria Math" w:hAnsi="Cambria Math" w:cs="Cambria Math"/>
          <w:szCs w:val="24"/>
          <w:lang w:val="en-GB"/>
        </w:rPr>
        <w:instrText>∼</w:instrText>
      </w:r>
      <w:r w:rsidR="00280CED" w:rsidRPr="0024604A">
        <w:rPr>
          <w:rFonts w:ascii="Calibri" w:hAnsi="Calibri"/>
          <w:szCs w:val="24"/>
          <w:lang w:val="en-GB"/>
        </w:rPr>
        <w:instrText>40%), and significantly reduced levels of ARA (</w:instrText>
      </w:r>
      <w:r w:rsidR="00280CED" w:rsidRPr="0024604A">
        <w:rPr>
          <w:rFonts w:ascii="Cambria Math" w:hAnsi="Cambria Math" w:cs="Cambria Math"/>
          <w:szCs w:val="24"/>
          <w:lang w:val="en-GB"/>
        </w:rPr>
        <w:instrText>∼</w:instrText>
      </w:r>
      <w:r w:rsidR="00280CED" w:rsidRPr="0024604A">
        <w:rPr>
          <w:rFonts w:ascii="Calibri" w:hAnsi="Calibri"/>
          <w:szCs w:val="24"/>
          <w:lang w:val="en-GB"/>
        </w:rPr>
        <w:instrText>20%), 20:3n-6 and ARA/EPA ratio in their RBC polar lipids, when supplemented with EPA-rich fish oils, compared to controls and non-supplemented patients with autism. Patients with both regressive autism and classical autism/Asperger's syndrome had significantly higher concentrations of RBC type IV phospholipase A2 compared to controls. However, patients with autism/ASP, who had taken EPA supplements, had significantly reduced PLA2 concentrations compared to unsupplemented patients with classical autism or ASP. © 2004 Elsevier Ltd. All rights reserved.","author":[{"dropping-particle":"","family":"Bell","given":"J. G.","non-dropping-particle":"","parse-names":false,"suffix":""},{"dropping-particle":"","family":"MacKinlay","given":"E. E.","non-dropping-particle":"","parse-names":false,"suffix":""},{"dropping-particle":"","family":"Dick","given":"J. R.","non-dropping-particle":"","parse-names":false,"suffix":""},{"dropping-particle":"","family":"MacDonald","given":"D. J.","non-dropping-particle":"","parse-names":false,"suffix":""},{"dropping-particle":"","family":"Boyle","given":"R. M.","non-dropping-particle":"","parse-names":false,"suffix":""},{"dropping-particle":"","family":"Glen","given":"A. C A","non-dropping-particle":"","parse-names":false,"suffix":""}],"container-title":"Prostaglandins Leukotrienes and Essential Fatty Acids","id":"ITEM-1","issue":"4","issued":{"date-parts":[["2004"]]},"page":"201-204","title":"Essential fatty acids and phospholipase A2 in autistic spectrum disorders","type":"paper-conference","volume":"71"},"uris":["http://www.mendeley.com/documents/?uuid=18bc7e74-34ca-4b7e-b25c-dda310a88fe5"]},{"id":"ITEM-2","itemData":{"DOI":"10.1017/S0007114509992881","ISBN":"1475-2662 (Electronic)\\r0007-1145 (Linking)","ISSN":"00071145","PMID":"19995470","abstract":"The erythrocyte and plasma fatty acid compositions of children with autism were compared in a case-control study with typically developing (TD) children and with children showing developmental delay (DD). Forty-five autism subjects were age-matched with TD controls and thirty-eight with DD controls. Fatty acid data were compared using paired t tests. In addition, blood fatty acids from treatment-naive autism subjects were compared with autism subjects who had consumed fish oil supplements by two-sample t tests. Relatively few differences were seen between erythrocyte fatty acids in autism and TD subjects although the former had an increased arachidonic acid (ARA):EPA ratio. This ratio was also increased in plasma samples from the same children. No changes in n-3 fatty acids or ARA:EPA ratio were seen when comparing autism with DD subjects but some SFA and MUFA were decreased in the DD subjects, most notably 24:0 and 24:1, which are essential components of axonal myelin sheaths. However, if multiple comparisons are taken into account, and a stricter level of significance applied, most of these values would not be significant. Autism subjects consuming fish oil showed reduced erythrocyte ARA, 22:4n-6, 22:5n-6 and total n-6 fatty acids and increased EPA, 22:5n-3, 22:6n-3 and total n-3 fatty acids along with reduced n-6:n-3 and ARA:EPA ratios. Collectively, the autism subjects did not have an underlying phospholipid disorder, based on erythrocyte fatty acid compositions, although the increased ARA:EPA ratio observed suggested that an imbalance of essential highly unsaturated fatty acids may be present in a cohort of autism subjects. Copyright © The Authors 2009.","author":[{"dropping-particle":"","family":"Bell","given":"J. G.","non-dropping-particle":"","parse-names":false,"suffix":""},{"dropping-particle":"","family":"Miller","given":"Deborah","non-dropping-particle":"","parse-names":false,"suffix":""},{"dropping-particle":"","family":"MacDonald","given":"Donald J.","non-dropping-particle":"","parse-names":false,"suffix":""},{"dropping-particle":"","family":"MacKinlay","given":"Elizabeth E.","non-dropping-particle":"","parse-names":false,"suffix":""},{"dropping-particle":"","family":"Dick","given":"James R.","non-dropping-particle":"","parse-names":false,"suffix":""},{"dropping-particle":"","family":"Cheseldine","given":"Sally","non-dropping-particle":"","parse-names":false,"suffix":""},{"dropping-particle":"","family":"Boyle","given":"Rose M.","non-dropping-particle":"","parse-names":false,"suffix":""},{"dropping-particle":"","family":"Graham","given":"Catriona","non-dropping-particle":"","parse-names":false,"suffix":""},{"dropping-particle":"","family":"O'Hare","given":"Anne E.","non-dropping-particle":"","parse-names":false,"suffix":""}],"container-title":"British Journal of Nutrition","id":"ITEM-2","issue":"8","issued":{"date-parts":[["2010"]]},"page":"1160-1167","title":"The fatty acid compositions of erythrocyte and plasma polar lipids in children with autism, developmental delay or typically developing controls and the effect of fish oil intake","type":"article-journal","volume":"103"},"uris":["http://www.mendeley.com/documents/?uuid=2c084a9c-13e5-4758-aff5-aceb2ce00ef9"]}],"mendeley":{"formattedCitation":"[60, 61]","plainTextFormattedCitation":"[60, 61]","previouslyFormattedCitation":"[60, 61]"},"properties":{"noteIndex":0},"schema":"https://github.com/citation-style-language/schema/raw/master/csl-citation.json"}</w:instrText>
      </w:r>
      <w:r w:rsidR="00395CFB" w:rsidRPr="0024604A">
        <w:rPr>
          <w:rFonts w:ascii="Calibri" w:hAnsi="Calibri"/>
          <w:szCs w:val="24"/>
          <w:lang w:val="en-GB"/>
        </w:rPr>
        <w:fldChar w:fldCharType="separate"/>
      </w:r>
      <w:r w:rsidR="0089225B" w:rsidRPr="0024604A">
        <w:rPr>
          <w:rFonts w:ascii="Calibri" w:hAnsi="Calibri"/>
          <w:noProof/>
          <w:szCs w:val="24"/>
          <w:lang w:val="en-GB"/>
        </w:rPr>
        <w:t>[60, 61]</w:t>
      </w:r>
      <w:r w:rsidR="00395CFB" w:rsidRPr="0024604A">
        <w:rPr>
          <w:rFonts w:ascii="Calibri" w:hAnsi="Calibri"/>
          <w:szCs w:val="24"/>
          <w:lang w:val="en-GB"/>
        </w:rPr>
        <w:fldChar w:fldCharType="end"/>
      </w:r>
      <w:r w:rsidR="00395CFB" w:rsidRPr="0024604A">
        <w:rPr>
          <w:rFonts w:ascii="Calibri" w:hAnsi="Calibri"/>
          <w:szCs w:val="24"/>
          <w:lang w:val="en-GB"/>
        </w:rPr>
        <w:t xml:space="preserve"> </w:t>
      </w:r>
      <w:r w:rsidR="008E394B" w:rsidRPr="0024604A">
        <w:rPr>
          <w:rFonts w:ascii="Calibri" w:hAnsi="Calibri"/>
          <w:szCs w:val="24"/>
          <w:lang w:val="en-GB"/>
        </w:rPr>
        <w:t xml:space="preserve">found significantly lower AA and </w:t>
      </w:r>
      <w:r w:rsidR="008E394B" w:rsidRPr="0024604A">
        <w:rPr>
          <w:rFonts w:ascii="Calibri" w:hAnsi="Calibri"/>
          <w:i/>
          <w:iCs/>
          <w:szCs w:val="24"/>
          <w:lang w:val="en-GB"/>
        </w:rPr>
        <w:t>n</w:t>
      </w:r>
      <w:r w:rsidR="008E394B" w:rsidRPr="0024604A">
        <w:rPr>
          <w:rFonts w:ascii="Calibri" w:hAnsi="Calibri"/>
          <w:szCs w:val="24"/>
          <w:lang w:val="en-GB"/>
        </w:rPr>
        <w:t xml:space="preserve">-6 PUFA levels in </w:t>
      </w:r>
      <w:r w:rsidR="002250FD" w:rsidRPr="0024604A">
        <w:rPr>
          <w:rFonts w:ascii="Calibri" w:hAnsi="Calibri"/>
          <w:szCs w:val="24"/>
          <w:lang w:val="en-GB"/>
        </w:rPr>
        <w:t>phospholipids of</w:t>
      </w:r>
      <w:r w:rsidR="008E394B" w:rsidRPr="0024604A">
        <w:rPr>
          <w:rFonts w:ascii="Calibri" w:hAnsi="Calibri"/>
          <w:szCs w:val="24"/>
          <w:lang w:val="en-GB"/>
        </w:rPr>
        <w:t xml:space="preserve"> red blood cells </w:t>
      </w:r>
      <w:r w:rsidR="00AF4216" w:rsidRPr="0024604A">
        <w:rPr>
          <w:rFonts w:ascii="Calibri" w:hAnsi="Calibri"/>
          <w:szCs w:val="24"/>
          <w:lang w:val="en-GB"/>
        </w:rPr>
        <w:t xml:space="preserve">(RBC) </w:t>
      </w:r>
      <w:r w:rsidR="002250FD" w:rsidRPr="0024604A">
        <w:rPr>
          <w:rFonts w:ascii="Calibri" w:hAnsi="Calibri"/>
          <w:szCs w:val="24"/>
          <w:lang w:val="en-GB"/>
        </w:rPr>
        <w:t xml:space="preserve">in </w:t>
      </w:r>
      <w:r w:rsidR="00795F1F" w:rsidRPr="0024604A">
        <w:rPr>
          <w:rFonts w:ascii="Calibri" w:hAnsi="Calibri"/>
          <w:szCs w:val="24"/>
          <w:lang w:val="en-GB"/>
        </w:rPr>
        <w:t xml:space="preserve">the </w:t>
      </w:r>
      <w:r w:rsidR="008E394B" w:rsidRPr="0024604A">
        <w:rPr>
          <w:rFonts w:ascii="Calibri" w:hAnsi="Calibri"/>
          <w:szCs w:val="24"/>
          <w:lang w:val="en-GB"/>
        </w:rPr>
        <w:t xml:space="preserve">autistic test group compared to pair-matched developmentally delayed controls. </w:t>
      </w:r>
      <w:r w:rsidR="00795F1F" w:rsidRPr="0024604A">
        <w:rPr>
          <w:rFonts w:ascii="Calibri" w:hAnsi="Calibri"/>
          <w:szCs w:val="24"/>
          <w:lang w:val="en-GB"/>
        </w:rPr>
        <w:t xml:space="preserve">Yet, these </w:t>
      </w:r>
      <w:r w:rsidR="00A9799C" w:rsidRPr="0024604A">
        <w:rPr>
          <w:rFonts w:ascii="Calibri" w:hAnsi="Calibri"/>
          <w:szCs w:val="24"/>
          <w:lang w:val="en-GB"/>
        </w:rPr>
        <w:t xml:space="preserve">abnormalities were not replicated in the study </w:t>
      </w:r>
      <w:r w:rsidR="00B05387" w:rsidRPr="0024604A">
        <w:rPr>
          <w:rFonts w:ascii="Calibri" w:hAnsi="Calibri"/>
          <w:szCs w:val="24"/>
          <w:lang w:val="en-GB"/>
        </w:rPr>
        <w:t>of</w:t>
      </w:r>
      <w:r w:rsidR="008E394B" w:rsidRPr="0024604A">
        <w:rPr>
          <w:rFonts w:ascii="Calibri" w:hAnsi="Calibri"/>
          <w:szCs w:val="24"/>
          <w:lang w:val="en-GB"/>
        </w:rPr>
        <w:t xml:space="preserve"> Bu </w:t>
      </w:r>
      <w:r w:rsidR="008E394B" w:rsidRPr="0024604A">
        <w:rPr>
          <w:rFonts w:ascii="Calibri" w:hAnsi="Calibri"/>
          <w:i/>
          <w:iCs/>
          <w:szCs w:val="24"/>
          <w:lang w:val="en-GB"/>
        </w:rPr>
        <w:t>et al</w:t>
      </w:r>
      <w:r w:rsidR="008E394B" w:rsidRPr="0024604A">
        <w:rPr>
          <w:rFonts w:ascii="Calibri" w:hAnsi="Calibri"/>
          <w:szCs w:val="24"/>
          <w:lang w:val="en-GB"/>
        </w:rPr>
        <w:t xml:space="preserve">. </w:t>
      </w:r>
      <w:r w:rsidR="00797A7F" w:rsidRPr="0024604A">
        <w:rPr>
          <w:rFonts w:ascii="Calibri" w:hAnsi="Calibri"/>
          <w:szCs w:val="24"/>
          <w:lang w:val="en-GB"/>
        </w:rPr>
        <w:fldChar w:fldCharType="begin" w:fldLock="1"/>
      </w:r>
      <w:r w:rsidR="006126E3" w:rsidRPr="0024604A">
        <w:rPr>
          <w:rFonts w:ascii="Calibri" w:hAnsi="Calibri"/>
          <w:szCs w:val="24"/>
          <w:lang w:val="en-GB"/>
        </w:rPr>
        <w:instrText>ADDIN CSL_CITATION {"citationItems":[{"id":"ITEM-1","itemData":{"DOI":"10.1016/j.plefa.2006.02.001","ISBN":"0952-3278 (Print)\\r0952-3278 (Linking)","ISSN":"09523278","PMID":"16581239","abstract":"We compared the compositions of fatty acids including n-3, n-6 polyunsaturated fatty acids, trans- and cis-monounsaturated fatty acids, and saturated fatty acids in the red blood cell membranes of 40 children with autism (20 with early onset autism and 20 with developmental regression) and age-matched, 20 typically developing controls and 20 subjects with non-autistic developmental disabilities. The main findings include increased levels of eicosenoic acid (20:1n9) and erucic acid (22:1n9) in autistic subjects with developmental regression when compared with typically developing controls. In addition, an increase in 20:2n6 and a decrease in 16:1n7t were observed in children with clinical regression compared to those with early onset autism. Our results do not provide strong evidence for the hypothesis that abnormal fatty acid metabolism plays a role in the pathogenesis of autism spectrum disorder, although they suggest some metabolic or dietary abnormalities in the regressive form of autism. © 2006 Elsevier Ltd. All rights reserved.","author":[{"dropping-particle":"","family":"Bu","given":"B.","non-dropping-particle":"","parse-names":false,"suffix":""},{"dropping-particle":"","family":"Ashwood","given":"P.","non-dropping-particle":"","parse-names":false,"suffix":""},{"dropping-particle":"","family":"Harvey","given":"D.","non-dropping-particle":"","parse-names":false,"suffix":""},{"dropping-particle":"","family":"King","given":"I. B.","non-dropping-particle":"","parse-names":false,"suffix":""},{"dropping-particle":"Van de","family":"Water","given":"J.","non-dropping-particle":"","parse-names":false,"suffix":""},{"dropping-particle":"","family":"Jin","given":"L. W.","non-dropping-particle":"","parse-names":false,"suffix":""}],"container-title":"Prostaglandins Leukotrienes and Essential Fatty Acids","id":"ITEM-1","issue":"4","issued":{"date-parts":[["2006"]]},"page":"215-221","title":"Fatty acid compositions of red blood cell phospholipids in children with autism","type":"article-journal","volume":"74"},"uris":["http://www.mendeley.com/documents/?uuid=5d1c7c30-a04d-4135-b87a-523009ae4b77"]}],"mendeley":{"formattedCitation":"[62]","plainTextFormattedCitation":"[62]","previouslyFormattedCitation":"[62]"},"properties":{"noteIndex":0},"schema":"https://github.com/citation-style-language/schema/raw/master/csl-citation.json"}</w:instrText>
      </w:r>
      <w:r w:rsidR="00797A7F" w:rsidRPr="0024604A">
        <w:rPr>
          <w:rFonts w:ascii="Calibri" w:hAnsi="Calibri"/>
          <w:szCs w:val="24"/>
          <w:lang w:val="en-GB"/>
        </w:rPr>
        <w:fldChar w:fldCharType="separate"/>
      </w:r>
      <w:r w:rsidR="0089225B" w:rsidRPr="0024604A">
        <w:rPr>
          <w:rFonts w:ascii="Calibri" w:hAnsi="Calibri"/>
          <w:noProof/>
          <w:szCs w:val="24"/>
          <w:lang w:val="en-GB"/>
        </w:rPr>
        <w:t>[62]</w:t>
      </w:r>
      <w:r w:rsidR="00797A7F" w:rsidRPr="0024604A">
        <w:rPr>
          <w:rFonts w:ascii="Calibri" w:hAnsi="Calibri"/>
          <w:szCs w:val="24"/>
          <w:lang w:val="en-GB"/>
        </w:rPr>
        <w:fldChar w:fldCharType="end"/>
      </w:r>
      <w:r w:rsidR="00795F1F" w:rsidRPr="0024604A">
        <w:rPr>
          <w:rFonts w:ascii="Calibri" w:hAnsi="Calibri"/>
          <w:szCs w:val="24"/>
          <w:lang w:val="en-GB"/>
        </w:rPr>
        <w:t xml:space="preserve"> as</w:t>
      </w:r>
      <w:r w:rsidR="00A9799C" w:rsidRPr="0024604A">
        <w:rPr>
          <w:rFonts w:ascii="Calibri" w:hAnsi="Calibri"/>
          <w:szCs w:val="24"/>
          <w:lang w:val="en-GB"/>
        </w:rPr>
        <w:t xml:space="preserve"> </w:t>
      </w:r>
      <w:r w:rsidR="008E394B" w:rsidRPr="0024604A">
        <w:rPr>
          <w:rFonts w:ascii="Calibri" w:hAnsi="Calibri"/>
          <w:szCs w:val="24"/>
          <w:lang w:val="en-GB"/>
        </w:rPr>
        <w:t xml:space="preserve">no </w:t>
      </w:r>
      <w:r w:rsidR="00582939" w:rsidRPr="0024604A">
        <w:rPr>
          <w:rFonts w:ascii="Calibri" w:hAnsi="Calibri"/>
          <w:szCs w:val="24"/>
          <w:lang w:val="en-GB"/>
        </w:rPr>
        <w:t>strong evidences of</w:t>
      </w:r>
      <w:r w:rsidR="008E394B" w:rsidRPr="0024604A">
        <w:rPr>
          <w:rFonts w:ascii="Calibri" w:hAnsi="Calibri"/>
          <w:szCs w:val="24"/>
          <w:lang w:val="en-GB"/>
        </w:rPr>
        <w:t xml:space="preserve"> </w:t>
      </w:r>
      <w:r w:rsidR="00795F1F" w:rsidRPr="0024604A">
        <w:rPr>
          <w:rFonts w:ascii="Calibri" w:hAnsi="Calibri"/>
          <w:szCs w:val="24"/>
          <w:lang w:val="en-GB"/>
        </w:rPr>
        <w:t xml:space="preserve">PUFA </w:t>
      </w:r>
      <w:r w:rsidR="008E394B" w:rsidRPr="0024604A">
        <w:rPr>
          <w:rFonts w:ascii="Calibri" w:hAnsi="Calibri"/>
          <w:szCs w:val="24"/>
          <w:lang w:val="en-GB"/>
        </w:rPr>
        <w:t>differences between autistic individu</w:t>
      </w:r>
      <w:r w:rsidR="00797A7F" w:rsidRPr="0024604A">
        <w:rPr>
          <w:rFonts w:ascii="Calibri" w:hAnsi="Calibri"/>
          <w:szCs w:val="24"/>
          <w:lang w:val="en-GB"/>
        </w:rPr>
        <w:t>als and age-matched controls</w:t>
      </w:r>
      <w:r w:rsidR="00582939" w:rsidRPr="0024604A">
        <w:rPr>
          <w:rFonts w:ascii="Calibri" w:hAnsi="Calibri"/>
          <w:szCs w:val="24"/>
          <w:lang w:val="en-GB"/>
        </w:rPr>
        <w:t xml:space="preserve"> were </w:t>
      </w:r>
      <w:r w:rsidR="002250FD" w:rsidRPr="0024604A">
        <w:rPr>
          <w:rFonts w:ascii="Calibri" w:hAnsi="Calibri"/>
          <w:szCs w:val="24"/>
          <w:lang w:val="en-GB"/>
        </w:rPr>
        <w:t>confirmed</w:t>
      </w:r>
      <w:r w:rsidR="00797A7F" w:rsidRPr="0024604A">
        <w:rPr>
          <w:rFonts w:ascii="Calibri" w:hAnsi="Calibri"/>
          <w:szCs w:val="24"/>
          <w:lang w:val="en-GB"/>
        </w:rPr>
        <w:t>. W</w:t>
      </w:r>
      <w:r w:rsidR="008E394B" w:rsidRPr="0024604A">
        <w:rPr>
          <w:rFonts w:ascii="Calibri" w:hAnsi="Calibri"/>
          <w:szCs w:val="24"/>
          <w:lang w:val="en-GB"/>
        </w:rPr>
        <w:t>i</w:t>
      </w:r>
      <w:r w:rsidR="00797A7F" w:rsidRPr="0024604A">
        <w:rPr>
          <w:rFonts w:ascii="Calibri" w:hAnsi="Calibri"/>
          <w:szCs w:val="24"/>
          <w:lang w:val="en-GB"/>
        </w:rPr>
        <w:t>e</w:t>
      </w:r>
      <w:r w:rsidR="008E394B" w:rsidRPr="0024604A">
        <w:rPr>
          <w:rFonts w:ascii="Calibri" w:hAnsi="Calibri"/>
          <w:szCs w:val="24"/>
          <w:lang w:val="en-GB"/>
        </w:rPr>
        <w:t xml:space="preserve">st </w:t>
      </w:r>
      <w:r w:rsidR="007A13D7" w:rsidRPr="0024604A">
        <w:rPr>
          <w:rFonts w:ascii="Calibri" w:hAnsi="Calibri"/>
          <w:szCs w:val="24"/>
          <w:lang w:val="en-GB"/>
        </w:rPr>
        <w:t>and colleagues</w:t>
      </w:r>
      <w:r w:rsidR="008E394B" w:rsidRPr="0024604A">
        <w:rPr>
          <w:rFonts w:ascii="Calibri" w:hAnsi="Calibri"/>
          <w:szCs w:val="24"/>
          <w:lang w:val="en-GB"/>
        </w:rPr>
        <w:t xml:space="preserve"> </w:t>
      </w:r>
      <w:r w:rsidR="00797A7F" w:rsidRPr="0024604A">
        <w:rPr>
          <w:rFonts w:ascii="Calibri" w:hAnsi="Calibri"/>
          <w:szCs w:val="24"/>
          <w:lang w:val="en-GB"/>
        </w:rPr>
        <w:fldChar w:fldCharType="begin" w:fldLock="1"/>
      </w:r>
      <w:r w:rsidR="006126E3" w:rsidRPr="0024604A">
        <w:rPr>
          <w:rFonts w:ascii="Calibri" w:hAnsi="Calibri"/>
          <w:szCs w:val="24"/>
          <w:lang w:val="en-GB"/>
        </w:rPr>
        <w:instrText>ADDIN CSL_CITATION {"citationItems":[{"id":"ITEM-1","itemData":{"DOI":"10.1016/j.plefa.2009.01.007","ISBN":"1532-2823 (Electronic)\\r0952-3278 (Linking)","ISSN":"09523278","PMID":"19307110","abstract":"Increasing evidence is mounting in support of fatty acid metabolism playing a role in neurodevelopmental disorders such as autism. In order to definitely determine whether fatty acid concentrations were associated with autism, we quantitatively measured 30 fatty acids from seven lipid classes in plasma from a large subset of subjects enrolled in the Childhood Autism Risk from Genetics and the Environment (CHARGE) study. The CHARGE study is a large, population-based case-control study on children aged 2-5 born in California. Our subset consisted of 153 children with autism and 97 developmentally normal controls. Results showed that docosahexaenoic acid (DHA, 22:6n-3) was significantly decreased in phosphatidylethanolamine. Dimethyl acetals were significantly decreased in phosphatidylethanolamine and phosphatidylcholine as well. These results are consistent with the only other study to measure dimethyl acetals in children with autism, and suggest that the function of peroxisomes and the enzymes of the peroxisome involved with fatty acid metabolism may be affected in autism. ?? 2009 Elsevier Ltd. All rights reserved.","author":[{"dropping-particle":"","family":"Wiest","given":"M. M.","non-dropping-particle":"","parse-names":false,"suffix":""},{"dropping-particle":"","family":"German","given":"J. B.","non-dropping-particle":"","parse-names":false,"suffix":""},{"dropping-particle":"","family":"Harvey","given":"D. J.","non-dropping-particle":"","parse-names":false,"suffix":""},{"dropping-particle":"","family":"Watkins","given":"S. M.","non-dropping-particle":"","parse-names":false,"suffix":""},{"dropping-particle":"","family":"Hertz-Picciotto","given":"I.","non-dropping-particle":"","parse-names":false,"suffix":""}],"container-title":"Prostaglandins Leukotrienes and Essential Fatty Acids","id":"ITEM-1","issue":"4","issued":{"date-parts":[["2009"]]},"page":"221-227","title":"Plasma fatty acid profiles in autism: A case-control study","type":"article-journal","volume":"80"},"uris":["http://www.mendeley.com/documents/?uuid=266e2b62-ddd2-4969-b263-888b6ebca9d1"]}],"mendeley":{"formattedCitation":"[55]","plainTextFormattedCitation":"[55]","previouslyFormattedCitation":"[55]"},"properties":{"noteIndex":0},"schema":"https://github.com/citation-style-language/schema/raw/master/csl-citation.json"}</w:instrText>
      </w:r>
      <w:r w:rsidR="00797A7F" w:rsidRPr="0024604A">
        <w:rPr>
          <w:rFonts w:ascii="Calibri" w:hAnsi="Calibri"/>
          <w:szCs w:val="24"/>
          <w:lang w:val="en-GB"/>
        </w:rPr>
        <w:fldChar w:fldCharType="separate"/>
      </w:r>
      <w:r w:rsidR="0089225B" w:rsidRPr="0024604A">
        <w:rPr>
          <w:rFonts w:ascii="Calibri" w:hAnsi="Calibri"/>
          <w:noProof/>
          <w:szCs w:val="24"/>
          <w:lang w:val="en-GB"/>
        </w:rPr>
        <w:t>[55]</w:t>
      </w:r>
      <w:r w:rsidR="00797A7F" w:rsidRPr="0024604A">
        <w:rPr>
          <w:rFonts w:ascii="Calibri" w:hAnsi="Calibri"/>
          <w:szCs w:val="24"/>
          <w:lang w:val="en-GB"/>
        </w:rPr>
        <w:fldChar w:fldCharType="end"/>
      </w:r>
      <w:r w:rsidR="00797A7F" w:rsidRPr="0024604A">
        <w:rPr>
          <w:rFonts w:ascii="Calibri" w:hAnsi="Calibri"/>
          <w:szCs w:val="24"/>
          <w:lang w:val="en-GB"/>
        </w:rPr>
        <w:t xml:space="preserve"> </w:t>
      </w:r>
      <w:r w:rsidR="008E394B" w:rsidRPr="0024604A">
        <w:rPr>
          <w:rFonts w:ascii="Calibri" w:hAnsi="Calibri"/>
          <w:szCs w:val="24"/>
          <w:lang w:val="en-GB"/>
        </w:rPr>
        <w:t xml:space="preserve">found that </w:t>
      </w:r>
      <w:r w:rsidR="00B05387" w:rsidRPr="0024604A">
        <w:rPr>
          <w:rFonts w:ascii="Calibri" w:hAnsi="Calibri"/>
          <w:szCs w:val="24"/>
          <w:lang w:val="en-GB"/>
        </w:rPr>
        <w:t xml:space="preserve">within </w:t>
      </w:r>
      <w:r w:rsidR="008E394B" w:rsidRPr="0024604A">
        <w:rPr>
          <w:rFonts w:ascii="Calibri" w:hAnsi="Calibri"/>
          <w:szCs w:val="24"/>
          <w:lang w:val="en-GB"/>
        </w:rPr>
        <w:t xml:space="preserve">the </w:t>
      </w:r>
      <w:r w:rsidR="002250FD" w:rsidRPr="0024604A">
        <w:rPr>
          <w:rFonts w:ascii="Calibri" w:hAnsi="Calibri"/>
          <w:szCs w:val="24"/>
          <w:lang w:val="en-GB"/>
        </w:rPr>
        <w:t xml:space="preserve">phosphatidylcholine </w:t>
      </w:r>
      <w:r w:rsidR="008E394B" w:rsidRPr="0024604A">
        <w:rPr>
          <w:rFonts w:ascii="Calibri" w:hAnsi="Calibri"/>
          <w:szCs w:val="24"/>
          <w:lang w:val="en-GB"/>
        </w:rPr>
        <w:t xml:space="preserve">class, DHA was significantly lower in the autistic group than in the general population, while </w:t>
      </w:r>
      <w:r w:rsidR="00A673AB" w:rsidRPr="0024604A">
        <w:rPr>
          <w:rFonts w:ascii="Calibri" w:hAnsi="Calibri"/>
          <w:szCs w:val="24"/>
          <w:lang w:val="en-GB"/>
        </w:rPr>
        <w:t>plasma</w:t>
      </w:r>
      <w:r w:rsidR="00B05387" w:rsidRPr="0024604A">
        <w:rPr>
          <w:rFonts w:ascii="Calibri" w:hAnsi="Calibri"/>
          <w:szCs w:val="24"/>
          <w:lang w:val="en-GB"/>
        </w:rPr>
        <w:t xml:space="preserve"> AA levels in </w:t>
      </w:r>
      <w:r w:rsidR="008E394B" w:rsidRPr="0024604A">
        <w:rPr>
          <w:rFonts w:ascii="Calibri" w:hAnsi="Calibri"/>
          <w:szCs w:val="24"/>
          <w:lang w:val="en-GB"/>
        </w:rPr>
        <w:t>phospholipid</w:t>
      </w:r>
      <w:r w:rsidR="00B05387" w:rsidRPr="0024604A">
        <w:rPr>
          <w:rFonts w:ascii="Calibri" w:hAnsi="Calibri"/>
          <w:szCs w:val="24"/>
          <w:lang w:val="en-GB"/>
        </w:rPr>
        <w:t>s</w:t>
      </w:r>
      <w:r w:rsidR="008E394B" w:rsidRPr="0024604A">
        <w:rPr>
          <w:rFonts w:ascii="Calibri" w:hAnsi="Calibri"/>
          <w:szCs w:val="24"/>
          <w:lang w:val="en-GB"/>
        </w:rPr>
        <w:t xml:space="preserve"> were not </w:t>
      </w:r>
      <w:r w:rsidR="008E394B" w:rsidRPr="0024604A">
        <w:rPr>
          <w:rFonts w:ascii="Calibri" w:hAnsi="Calibri"/>
          <w:szCs w:val="24"/>
          <w:lang w:val="en-GB"/>
        </w:rPr>
        <w:lastRenderedPageBreak/>
        <w:t xml:space="preserve">significantly different between groups, although AA was found to be significantly lower in free fatty acids of </w:t>
      </w:r>
      <w:r w:rsidR="00B05387" w:rsidRPr="0024604A">
        <w:rPr>
          <w:rFonts w:ascii="Calibri" w:hAnsi="Calibri"/>
          <w:szCs w:val="24"/>
          <w:lang w:val="en-GB"/>
        </w:rPr>
        <w:t>ASD</w:t>
      </w:r>
      <w:r w:rsidR="008E394B" w:rsidRPr="0024604A">
        <w:rPr>
          <w:rFonts w:ascii="Calibri" w:hAnsi="Calibri"/>
          <w:szCs w:val="24"/>
          <w:lang w:val="en-GB"/>
        </w:rPr>
        <w:t xml:space="preserve"> participants. </w:t>
      </w:r>
      <w:r w:rsidR="00A673AB" w:rsidRPr="0024604A">
        <w:rPr>
          <w:rFonts w:ascii="Calibri" w:hAnsi="Calibri"/>
          <w:szCs w:val="24"/>
        </w:rPr>
        <w:t xml:space="preserve">An increase in most of the saturated fatty acids and a decrease in most of </w:t>
      </w:r>
      <w:r w:rsidR="000602CD" w:rsidRPr="0024604A">
        <w:rPr>
          <w:rFonts w:ascii="Calibri" w:hAnsi="Calibri"/>
          <w:szCs w:val="24"/>
        </w:rPr>
        <w:t>PUFA was</w:t>
      </w:r>
      <w:r w:rsidR="00A673AB" w:rsidRPr="0024604A">
        <w:rPr>
          <w:rFonts w:ascii="Calibri" w:hAnsi="Calibri"/>
          <w:szCs w:val="24"/>
        </w:rPr>
        <w:t xml:space="preserve"> reported in the plasma of a cohort of autistic patients from Saudi Arabia </w:t>
      </w:r>
      <w:r w:rsidR="00A673AB" w:rsidRPr="0024604A">
        <w:rPr>
          <w:rFonts w:ascii="Calibri" w:hAnsi="Calibri"/>
          <w:szCs w:val="24"/>
        </w:rPr>
        <w:fldChar w:fldCharType="begin" w:fldLock="1"/>
      </w:r>
      <w:r w:rsidR="006126E3" w:rsidRPr="0024604A">
        <w:rPr>
          <w:rFonts w:ascii="Calibri" w:hAnsi="Calibri"/>
          <w:szCs w:val="24"/>
        </w:rPr>
        <w:instrText>ADDIN CSL_CITATION {"citationItems":[{"id":"ITEM-1","itemData":{"DOI":"10.1186/1476-511X-10-62","ISSN":"1476511X","abstract":"Backgrounds. Autism is a family of developmental disorders of unknown origin. The disorder is characterized by behavioral, developmental, neuropathological and sensory abnormalities, and is usually diagnosed between the ages of 2 and 10 with peak prevalence rates observed in children aged 5-8 years. Recently, there has been heightened interest in the role of plasma free fatty acids (FA) in the pathology of neurological disorders. The aim of this study is to compare plasma fatty acid profiles of Saudi autistic patients with those of age-matching control subjects in an attempt to clarify the role of FA in the etiology of autism. Methods. 26 autistic patients together with 26-age-matching controls were enrolled in the present study. Methyl esters of FA were extracted with hexane, and the fatty acid composition of the extract was analyzed on a gas chromatography. Results: The obtained data proved that fatty acids are altered in the plasma of autistic patients, specifically showing an increase in most of the saturated fatty acids except for propionic acid, and a decrease in most of polyunsaturated fatty acids. The altered fatty acid profile was discussed in relation to oxidative stress, mitochondrial dysfunction and the high lead (Pb) concentration previously reported in Saudi autistic patients. Statistical analysis of the obtained data shows that most of the measured fatty acids were significantly different in autistic patients compared to age -matching controls. Conclusions: Receiver Operating Characteristic (ROC) curve analysis shows satisfactory values of area under the curve (AUC) which could reflect the high degree of specificity and sensitivity of the altered fatty acids as biomarkers in autistic patients from Saudi Arabia. © 2011 El-Ansary et al; licensee BioMed Central Ltd.","author":[{"dropping-particle":"","family":"El-Ansary","given":"Afaf K.","non-dropping-particle":"","parse-names":false,"suffix":""},{"dropping-particle":"","family":"Bacha","given":"Abir G.","non-dropping-particle":"Ben","parse-names":false,"suffix":""},{"dropping-particle":"","family":"Al- Ayahdi","given":"Layla Y.","non-dropping-particle":"","parse-names":false,"suffix":""}],"container-title":"Lipids in Health and Disease","id":"ITEM-1","issue":"1","issued":{"date-parts":[["2011","4","21"]]},"page":"62","publisher":"BioMed Central","title":"Plasma fatty acids as diagnostic markers in autistic patients from Saudi Arabia","type":"article-journal","volume":"10"},"uris":["http://www.mendeley.com/documents/?uuid=524ebb32-5875-3c13-b675-f2c33cf6aab3"]}],"mendeley":{"formattedCitation":"[63]","plainTextFormattedCitation":"[63]","previouslyFormattedCitation":"[63]"},"properties":{"noteIndex":0},"schema":"https://github.com/citation-style-language/schema/raw/master/csl-citation.json"}</w:instrText>
      </w:r>
      <w:r w:rsidR="00A673AB" w:rsidRPr="0024604A">
        <w:rPr>
          <w:rFonts w:ascii="Calibri" w:hAnsi="Calibri"/>
          <w:szCs w:val="24"/>
        </w:rPr>
        <w:fldChar w:fldCharType="separate"/>
      </w:r>
      <w:r w:rsidR="0089225B" w:rsidRPr="0024604A">
        <w:rPr>
          <w:rFonts w:ascii="Calibri" w:hAnsi="Calibri"/>
          <w:noProof/>
          <w:szCs w:val="24"/>
        </w:rPr>
        <w:t>[63]</w:t>
      </w:r>
      <w:r w:rsidR="00A673AB" w:rsidRPr="0024604A">
        <w:rPr>
          <w:rFonts w:ascii="Calibri" w:hAnsi="Calibri"/>
          <w:szCs w:val="24"/>
        </w:rPr>
        <w:fldChar w:fldCharType="end"/>
      </w:r>
      <w:r w:rsidR="00A673AB" w:rsidRPr="0024604A">
        <w:rPr>
          <w:rFonts w:ascii="Calibri" w:hAnsi="Calibri"/>
          <w:szCs w:val="24"/>
        </w:rPr>
        <w:t>.</w:t>
      </w:r>
      <w:r w:rsidR="00A673AB" w:rsidRPr="0024604A">
        <w:rPr>
          <w:rFonts w:ascii="Calibri" w:hAnsi="Calibri"/>
          <w:szCs w:val="24"/>
          <w:lang w:val="en-GB"/>
        </w:rPr>
        <w:t xml:space="preserve"> </w:t>
      </w:r>
      <w:r w:rsidR="000D145B" w:rsidRPr="0024604A">
        <w:rPr>
          <w:rFonts w:ascii="Calibri" w:hAnsi="Calibri"/>
          <w:szCs w:val="24"/>
          <w:lang w:val="en-GB"/>
        </w:rPr>
        <w:t>More recently, multivariate statistical analysis of the content of a dozen fatty acids, including AA and DHA, suggested that unsaturated fatty acids in erythrocytes</w:t>
      </w:r>
      <w:r w:rsidR="000D145B" w:rsidRPr="0024604A">
        <w:rPr>
          <w:rFonts w:ascii="Calibri" w:hAnsi="Calibri"/>
          <w:szCs w:val="24"/>
        </w:rPr>
        <w:t xml:space="preserve"> are not predictive of autism spectrum disorder</w:t>
      </w:r>
      <w:r w:rsidR="000D145B" w:rsidRPr="0024604A">
        <w:rPr>
          <w:rFonts w:ascii="Calibri" w:hAnsi="Calibri"/>
          <w:szCs w:val="24"/>
          <w:lang w:val="en-GB"/>
        </w:rPr>
        <w:t xml:space="preserve"> </w:t>
      </w:r>
      <w:r w:rsidR="000D145B" w:rsidRPr="0024604A">
        <w:rPr>
          <w:rFonts w:ascii="Calibri" w:hAnsi="Calibri"/>
          <w:szCs w:val="24"/>
          <w:lang w:val="en-GB"/>
        </w:rPr>
        <w:fldChar w:fldCharType="begin" w:fldLock="1"/>
      </w:r>
      <w:r w:rsidR="006126E3" w:rsidRPr="0024604A">
        <w:rPr>
          <w:rFonts w:ascii="Calibri" w:hAnsi="Calibri"/>
          <w:szCs w:val="24"/>
          <w:lang w:val="en-GB"/>
        </w:rPr>
        <w:instrText>ADDIN CSL_CITATION {"citationItems":[{"id":"ITEM-1","itemData":{"DOI":"10.1186/s40364-018-0125-z","ISSN":"20507771","abstract":"Biomarkers promise biomolecular explanations as well as reliable diagnostics, stratification, and treatment strategies that have the potential to help mitigate the effects of disorders. While no reliable biomarker has yet been found for autism spectrum disorder (ASD), fatty acids have been investigated as potential biomarkers because of their association with brain development and neural functions. However, the ability of fatty acids to classify individuals with ASD from age/gender-matched neurotypical (NEU) peers has largely been ignored in favor of investigating population-level differences. Contrary to existing work, this classification task between ASD and NEU cohorts is the main focus of this work. The data presented herein suggest that fatty acids do not allow for classification at the individual level.","author":[{"dropping-particle":"","family":"Howsmon","given":"Daniel P.","non-dropping-particle":"","parse-names":false,"suffix":""},{"dropping-particle":"","family":"Adams","given":"James B.","non-dropping-particle":"","parse-names":false,"suffix":""},{"dropping-particle":"","family":"Kruger","given":"Uwe","non-dropping-particle":"","parse-names":false,"suffix":""},{"dropping-particle":"","family":"Geis","given":"Elizabeth","non-dropping-particle":"","parse-names":false,"suffix":""},{"dropping-particle":"","family":"Gehn","given":"Eva","non-dropping-particle":"","parse-names":false,"suffix":""},{"dropping-particle":"","family":"Hahn","given":"Juergen","non-dropping-particle":"","parse-names":false,"suffix":""}],"container-title":"Biomarker Research","id":"ITEM-1","issue":"1","issued":{"date-parts":[["2018","12","14"]]},"page":"12","publisher":"BioMed Central Ltd.","title":"Erythrocyte fatty acid profiles in children are not predictive of autism spectrum disorder status: A case control study","type":"article-journal","volume":"6"},"uris":["http://www.mendeley.com/documents/?uuid=47cd3a2c-202c-36f1-aba2-40efff73c76c"]}],"mendeley":{"formattedCitation":"[64]","plainTextFormattedCitation":"[64]","previouslyFormattedCitation":"[64]"},"properties":{"noteIndex":0},"schema":"https://github.com/citation-style-language/schema/raw/master/csl-citation.json"}</w:instrText>
      </w:r>
      <w:r w:rsidR="000D145B" w:rsidRPr="0024604A">
        <w:rPr>
          <w:rFonts w:ascii="Calibri" w:hAnsi="Calibri"/>
          <w:szCs w:val="24"/>
          <w:lang w:val="en-GB"/>
        </w:rPr>
        <w:fldChar w:fldCharType="separate"/>
      </w:r>
      <w:r w:rsidR="0089225B" w:rsidRPr="0024604A">
        <w:rPr>
          <w:rFonts w:ascii="Calibri" w:hAnsi="Calibri"/>
          <w:noProof/>
          <w:szCs w:val="24"/>
          <w:lang w:val="en-GB"/>
        </w:rPr>
        <w:t>[64]</w:t>
      </w:r>
      <w:r w:rsidR="000D145B" w:rsidRPr="0024604A">
        <w:rPr>
          <w:rFonts w:ascii="Calibri" w:hAnsi="Calibri"/>
          <w:szCs w:val="24"/>
          <w:lang w:val="en-GB"/>
        </w:rPr>
        <w:fldChar w:fldCharType="end"/>
      </w:r>
      <w:r w:rsidR="000D145B" w:rsidRPr="0024604A">
        <w:rPr>
          <w:rFonts w:ascii="Calibri" w:hAnsi="Calibri"/>
          <w:szCs w:val="24"/>
          <w:lang w:val="en-GB"/>
        </w:rPr>
        <w:t xml:space="preserve">. A major limitation of these studies lies in the </w:t>
      </w:r>
      <w:r w:rsidR="000D145B" w:rsidRPr="0024604A">
        <w:rPr>
          <w:rFonts w:ascii="Calibri" w:hAnsi="Calibri"/>
          <w:lang w:val="en-GB"/>
        </w:rPr>
        <w:t xml:space="preserve">fact that fatty acid contents in plasma and to a lesser extent also in </w:t>
      </w:r>
      <w:r w:rsidR="000602CD" w:rsidRPr="0024604A">
        <w:rPr>
          <w:rFonts w:ascii="Calibri" w:hAnsi="Calibri"/>
          <w:lang w:val="en-GB"/>
        </w:rPr>
        <w:t>RBC</w:t>
      </w:r>
      <w:r w:rsidR="000D145B" w:rsidRPr="0024604A">
        <w:rPr>
          <w:rFonts w:ascii="Calibri" w:hAnsi="Calibri"/>
          <w:lang w:val="en-GB"/>
        </w:rPr>
        <w:t xml:space="preserve"> are responsive to dietary habits </w:t>
      </w:r>
      <w:r w:rsidR="000D145B" w:rsidRPr="0024604A">
        <w:rPr>
          <w:rFonts w:ascii="Calibri" w:hAnsi="Calibri"/>
          <w:lang w:val="en-GB"/>
        </w:rPr>
        <w:fldChar w:fldCharType="begin" w:fldLock="1"/>
      </w:r>
      <w:r w:rsidR="006126E3" w:rsidRPr="0024604A">
        <w:rPr>
          <w:rFonts w:ascii="Calibri" w:hAnsi="Calibri"/>
          <w:lang w:val="en-GB"/>
        </w:rPr>
        <w:instrText>ADDIN CSL_CITATION {"citationItems":[{"id":"ITEM-1","itemData":{"DOI":"10.1038/ejcn.2010.239","ISSN":"09543007","abstract":"Background: There is a debate currently about whether different chemical forms of eicosapentaenoic acid (EPA) and docosahexaenoic acid (DHA) are absorbed in an identical way. The objective of this study was to investigate the response of the omega-3 index, the percentage of EPA + DHA in red blood cell membranes, to supplementation with two different omega-3 fatty acid (n-3 FA) formulations in humans.Design: The study was conducted as a double-blinded placebo-controlled trial. A total of 150 volunteers was randomly assigned to one of the three groups: (1) fish oil concentrate with EPA + DHA (1.01 g + 0.67 g) given as reesterified triacylglycerides (rTAG group); (2) corn oil (placebo group) or (3) fish oil concentrate with EPA + DHA (1.01 g + 0.67 g) given as ethyl ester (EE group). Volunteers consumed four gelatine-coated soft capsules daily over a period of six months. The omega-3 index was determined at baseline (t0) after three months (t3) and at the end of the intervention period (t6).Results: The omega-3 index increased significantly in both groups treated with n-3 FAs from baseline to t 3 and t 6 (P&lt;0.001). The omega-3 index increased to a greater extent in the rTAG group than in the EE group (t 3: 186 versus 161% (P&lt;0.001); t 6: 197 versus 171% (P&lt;0.01)).Conclusion: A six-month supplementation of identical doses of EPA + DHA led to a faster and higher increase in the omega-3 index when consumed as triacylglycerides than when consumed as ethyl esters. © 2011 Macmillan Publishers Limited All rights reserved.","author":[{"dropping-particle":"","family":"Neubronner","given":"J.","non-dropping-particle":"","parse-names":false,"suffix":""},{"dropping-particle":"","family":"Schuchardt","given":"J. P.","non-dropping-particle":"","parse-names":false,"suffix":""},{"dropping-particle":"","family":"Kressel","given":"G.","non-dropping-particle":"","parse-names":false,"suffix":""},{"dropping-particle":"","family":"Merkel","given":"M.","non-dropping-particle":"","parse-names":false,"suffix":""},{"dropping-particle":"","family":"Schacky","given":"C.","non-dropping-particle":"Von","parse-names":false,"suffix":""},{"dropping-particle":"","family":"Hahn","given":"A.","non-dropping-particle":"","parse-names":false,"suffix":""}],"container-title":"European Journal of Clinical Nutrition","id":"ITEM-1","issue":"2","issued":{"date-parts":[["2011","2","10"]]},"page":"247-254","publisher":"Nature Publishing Group","title":"Enhanced increase of omega-3 index in response to long-term n-3 fatty acid supplementation from triacylglycerides versus ethyl esters","type":"article-journal","volume":"65"},"uris":["http://www.mendeley.com/documents/?uuid=950de4ce-2f1b-371b-9c37-abc43b0ac92b"]}],"mendeley":{"formattedCitation":"[65]","plainTextFormattedCitation":"[65]","previouslyFormattedCitation":"[65]"},"properties":{"noteIndex":0},"schema":"https://github.com/citation-style-language/schema/raw/master/csl-citation.json"}</w:instrText>
      </w:r>
      <w:r w:rsidR="000D145B" w:rsidRPr="0024604A">
        <w:rPr>
          <w:rFonts w:ascii="Calibri" w:hAnsi="Calibri"/>
          <w:lang w:val="en-GB"/>
        </w:rPr>
        <w:fldChar w:fldCharType="separate"/>
      </w:r>
      <w:r w:rsidR="0089225B" w:rsidRPr="0024604A">
        <w:rPr>
          <w:rFonts w:ascii="Calibri" w:hAnsi="Calibri"/>
          <w:noProof/>
          <w:lang w:val="en-GB"/>
        </w:rPr>
        <w:t>[65]</w:t>
      </w:r>
      <w:r w:rsidR="000D145B" w:rsidRPr="0024604A">
        <w:rPr>
          <w:rFonts w:ascii="Calibri" w:hAnsi="Calibri"/>
          <w:lang w:val="en-GB"/>
        </w:rPr>
        <w:fldChar w:fldCharType="end"/>
      </w:r>
      <w:r w:rsidR="000D145B" w:rsidRPr="0024604A">
        <w:rPr>
          <w:rFonts w:ascii="Calibri" w:hAnsi="Calibri"/>
          <w:lang w:val="en-GB"/>
        </w:rPr>
        <w:t xml:space="preserve">. </w:t>
      </w:r>
      <w:r w:rsidR="000D145B" w:rsidRPr="0024604A">
        <w:rPr>
          <w:rFonts w:ascii="Calibri" w:hAnsi="Calibri"/>
          <w:szCs w:val="24"/>
          <w:lang w:val="en-GB"/>
        </w:rPr>
        <w:t xml:space="preserve">Indeed, many children with ASD display restrictive food preference </w:t>
      </w:r>
      <w:r w:rsidR="000D145B" w:rsidRPr="0024604A">
        <w:rPr>
          <w:rFonts w:ascii="Calibri" w:hAnsi="Calibri"/>
          <w:szCs w:val="24"/>
          <w:lang w:val="en-GB"/>
        </w:rPr>
        <w:fldChar w:fldCharType="begin" w:fldLock="1"/>
      </w:r>
      <w:r w:rsidR="006126E3" w:rsidRPr="0024604A">
        <w:rPr>
          <w:rFonts w:ascii="Calibri" w:hAnsi="Calibri"/>
          <w:szCs w:val="24"/>
          <w:lang w:val="en-GB"/>
        </w:rPr>
        <w:instrText>ADDIN CSL_CITATION {"citationItems":[{"id":"ITEM-1","itemData":{"DOI":"10.1038/ejcn.2010.239","ISSN":"09543007","abstract":"Background: There is a debate currently about whether different chemical forms of eicosapentaenoic acid (EPA) and docosahexaenoic acid (DHA) are absorbed in an identical way. The objective of this study was to investigate the response of the omega-3 index, the percentage of EPA + DHA in red blood cell membranes, to supplementation with two different omega-3 fatty acid (n-3 FA) formulations in humans.Design: The study was conducted as a double-blinded placebo-controlled trial. A total of 150 volunteers was randomly assigned to one of the three groups: (1) fish oil concentrate with EPA + DHA (1.01 g + 0.67 g) given as reesterified triacylglycerides (rTAG group); (2) corn oil (placebo group) or (3) fish oil concentrate with EPA + DHA (1.01 g + 0.67 g) given as ethyl ester (EE group). Volunteers consumed four gelatine-coated soft capsules daily over a period of six months. The omega-3 index was determined at baseline (t0) after three months (t3) and at the end of the intervention period (t6).Results: The omega-3 index increased significantly in both groups treated with n-3 FAs from baseline to t 3 and t 6 (P&lt;0.001). The omega-3 index increased to a greater extent in the rTAG group than in the EE group (t 3: 186 versus 161% (P&lt;0.001); t 6: 197 versus 171% (P&lt;0.01)).Conclusion: A six-month supplementation of identical doses of EPA + DHA led to a faster and higher increase in the omega-3 index when consumed as triacylglycerides than when consumed as ethyl esters. © 2011 Macmillan Publishers Limited All rights reserved.","author":[{"dropping-particle":"","family":"Neubronner","given":"J.","non-dropping-particle":"","parse-names":false,"suffix":""},{"dropping-particle":"","family":"Schuchardt","given":"J. P.","non-dropping-particle":"","parse-names":false,"suffix":""},{"dropping-particle":"","family":"Kressel","given":"G.","non-dropping-particle":"","parse-names":false,"suffix":""},{"dropping-particle":"","family":"Merkel","given":"M.","non-dropping-particle":"","parse-names":false,"suffix":""},{"dropping-particle":"","family":"Schacky","given":"C.","non-dropping-particle":"Von","parse-names":false,"suffix":""},{"dropping-particle":"","family":"Hahn","given":"A.","non-dropping-particle":"","parse-names":false,"suffix":""}],"container-title":"European Journal of Clinical Nutrition","id":"ITEM-1","issue":"2","issued":{"date-parts":[["2011","2","10"]]},"page":"247-254","publisher":"Nature Publishing Group","title":"Enhanced increase of omega-3 index in response to long-term n-3 fatty acid supplementation from triacylglycerides versus ethyl esters","type":"article-journal","volume":"65"},"uris":["http://www.mendeley.com/documents/?uuid=950de4ce-2f1b-371b-9c37-abc43b0ac92b"]}],"mendeley":{"formattedCitation":"[65]","plainTextFormattedCitation":"[65]","previouslyFormattedCitation":"[65]"},"properties":{"noteIndex":0},"schema":"https://github.com/citation-style-language/schema/raw/master/csl-citation.json"}</w:instrText>
      </w:r>
      <w:r w:rsidR="000D145B" w:rsidRPr="0024604A">
        <w:rPr>
          <w:rFonts w:ascii="Calibri" w:hAnsi="Calibri"/>
          <w:szCs w:val="24"/>
          <w:lang w:val="en-GB"/>
        </w:rPr>
        <w:fldChar w:fldCharType="separate"/>
      </w:r>
      <w:r w:rsidR="0089225B" w:rsidRPr="0024604A">
        <w:rPr>
          <w:rFonts w:ascii="Calibri" w:hAnsi="Calibri"/>
          <w:noProof/>
          <w:szCs w:val="24"/>
          <w:lang w:val="en-GB"/>
        </w:rPr>
        <w:t>[65]</w:t>
      </w:r>
      <w:r w:rsidR="000D145B" w:rsidRPr="0024604A">
        <w:rPr>
          <w:rFonts w:ascii="Calibri" w:hAnsi="Calibri"/>
          <w:szCs w:val="24"/>
          <w:lang w:val="en-GB"/>
        </w:rPr>
        <w:fldChar w:fldCharType="end"/>
      </w:r>
      <w:r w:rsidR="000D145B" w:rsidRPr="0024604A">
        <w:rPr>
          <w:rFonts w:ascii="Calibri" w:hAnsi="Calibri"/>
          <w:szCs w:val="24"/>
          <w:lang w:val="en-GB"/>
        </w:rPr>
        <w:t xml:space="preserve"> and low intake of foods containing PUFA by individuals with ASD has been documented </w:t>
      </w:r>
      <w:r w:rsidR="00F408CD" w:rsidRPr="0024604A">
        <w:rPr>
          <w:rFonts w:ascii="Calibri" w:hAnsi="Calibri"/>
          <w:szCs w:val="24"/>
          <w:lang w:val="en-GB"/>
        </w:rPr>
        <w:fldChar w:fldCharType="begin" w:fldLock="1"/>
      </w:r>
      <w:r w:rsidR="006126E3" w:rsidRPr="0024604A">
        <w:rPr>
          <w:rFonts w:ascii="Calibri" w:hAnsi="Calibri"/>
          <w:szCs w:val="24"/>
          <w:lang w:val="en-GB"/>
        </w:rPr>
        <w:instrText>ADDIN CSL_CITATION {"citationItems":[{"id":"ITEM-1","itemData":{"DOI":"10.1016/j.nut.2013.03.009","ISSN":"08999007","abstract":"Objectives: Autism is a lifelong neurodevelopmental disorder of early childhood. Dietary supplementation of the ω-3 fatty acid (docosahexaenoic acid [DHA]) during prenatal and postnatal life is considered a protective dietary intervention strategy to minimize the risk for autism spectrum disorder (ASD). To our knowledge, no relevant studies have been conducted in the Middle East investigating the status of DHA among children with autism during early childhood. The aim of this study was to investigate the serum levels and dietary intake status of DHA among Omani children recently diagnosed with ASD. Methods: The present case-control study involved 80 Omani children (&lt;5 y), 40 cases and 40 controls matched for age and sex. A semi-quantitative food frequency questionnaire was used to assess dietary intake of all the participants, while serum levels of DHA were measured using high-performance liquid chromatography. Results: Our results showed that children with ASD had lower dietary consumption of foodstuff containing DHA, as well as lower serum levels of DHA than controls. Conclusion: The present finding from Oman supports the view of other studies that there are low serum levels of DHA among children with ASD. © 2013 Elsevier Inc.","author":[{"dropping-particle":"","family":"Al-Farsi","given":"Yahya M.","non-dropping-particle":"","parse-names":false,"suffix":""},{"dropping-particle":"","family":"Waly","given":"Mostafa I.","non-dropping-particle":"","parse-names":false,"suffix":""},{"dropping-particle":"","family":"Deth","given":"Richard C.","non-dropping-particle":"","parse-names":false,"suffix":""},{"dropping-particle":"","family":"Al-Sharbati","given":"Marwan M.","non-dropping-particle":"","parse-names":false,"suffix":""},{"dropping-particle":"","family":"Al-Shafaee","given":"Mohammed","non-dropping-particle":"","parse-names":false,"suffix":""},{"dropping-particle":"","family":"Al-Farsi","given":"Omar","non-dropping-particle":"","parse-names":false,"suffix":""},{"dropping-particle":"","family":"Al-Khaduri","given":"Maha M.","non-dropping-particle":"","parse-names":false,"suffix":""},{"dropping-particle":"","family":"Al-Adawi","given":"Samir","non-dropping-particle":"","parse-names":false,"suffix":""},{"dropping-particle":"","family":"Hodgson","given":"Nathaniel W.","non-dropping-particle":"","parse-names":false,"suffix":""},{"dropping-particle":"","family":"Gupta","given":"Ishita","non-dropping-particle":"","parse-names":false,"suffix":""},{"dropping-particle":"","family":"Ouhtit","given":"Allal","non-dropping-particle":"","parse-names":false,"suffix":""}],"container-title":"Nutrition","id":"ITEM-1","issue":"9","issued":{"date-parts":[["2013","9"]]},"page":"1142-1146","title":"Impact of nutrition on serum levels of docosahexaenoic acid among Omani children with autism","type":"article-journal","volume":"29"},"uris":["http://www.mendeley.com/documents/?uuid=552b5bb1-71f3-3627-b5c4-774a4fbc2c51"]}],"mendeley":{"formattedCitation":"[66]","plainTextFormattedCitation":"[66]","previouslyFormattedCitation":"[66]"},"properties":{"noteIndex":0},"schema":"https://github.com/citation-style-language/schema/raw/master/csl-citation.json"}</w:instrText>
      </w:r>
      <w:r w:rsidR="00F408CD" w:rsidRPr="0024604A">
        <w:rPr>
          <w:rFonts w:ascii="Calibri" w:hAnsi="Calibri"/>
          <w:szCs w:val="24"/>
          <w:lang w:val="en-GB"/>
        </w:rPr>
        <w:fldChar w:fldCharType="separate"/>
      </w:r>
      <w:r w:rsidR="0089225B" w:rsidRPr="0024604A">
        <w:rPr>
          <w:rFonts w:ascii="Calibri" w:hAnsi="Calibri"/>
          <w:noProof/>
          <w:szCs w:val="24"/>
          <w:lang w:val="en-GB"/>
        </w:rPr>
        <w:t>[66]</w:t>
      </w:r>
      <w:r w:rsidR="00F408CD" w:rsidRPr="0024604A">
        <w:rPr>
          <w:rFonts w:ascii="Calibri" w:hAnsi="Calibri"/>
          <w:szCs w:val="24"/>
          <w:lang w:val="en-GB"/>
        </w:rPr>
        <w:fldChar w:fldCharType="end"/>
      </w:r>
      <w:r w:rsidR="000D145B" w:rsidRPr="0024604A">
        <w:rPr>
          <w:rFonts w:ascii="Calibri" w:hAnsi="Calibri"/>
          <w:szCs w:val="24"/>
        </w:rPr>
        <w:t>.</w:t>
      </w:r>
      <w:r w:rsidR="000D145B" w:rsidRPr="0024604A">
        <w:rPr>
          <w:rFonts w:ascii="Calibri" w:hAnsi="Calibri"/>
          <w:szCs w:val="24"/>
          <w:lang w:val="en-GB"/>
        </w:rPr>
        <w:t xml:space="preserve"> </w:t>
      </w:r>
      <w:r w:rsidR="000D145B" w:rsidRPr="0024604A">
        <w:rPr>
          <w:rFonts w:ascii="Calibri" w:hAnsi="Calibri"/>
          <w:szCs w:val="24"/>
        </w:rPr>
        <w:t>Most importantly, these studies have been carried out under the assumption that ASD children are largely biochemically homogenous and a single or even a small number of “marker” molecules could discriminate them from sex/age matched neurotypical peers. However, it is likely that ASD covers a bunch of biochemical phenotypes s</w:t>
      </w:r>
      <w:r w:rsidR="00F408CD" w:rsidRPr="0024604A">
        <w:rPr>
          <w:rFonts w:ascii="Calibri" w:hAnsi="Calibri"/>
          <w:szCs w:val="24"/>
        </w:rPr>
        <w:t xml:space="preserve">uch as </w:t>
      </w:r>
      <w:r w:rsidR="000D145B" w:rsidRPr="0024604A">
        <w:rPr>
          <w:rFonts w:ascii="Calibri" w:hAnsi="Calibri"/>
          <w:szCs w:val="24"/>
        </w:rPr>
        <w:t>the large heterogeneity observed clinically. Therefore, more insight into ASD pathogenicity may result from analyzing large patterns.</w:t>
      </w:r>
    </w:p>
    <w:p w14:paraId="04DC5E29" w14:textId="49CB7D02" w:rsidR="000D145B" w:rsidRPr="0024604A" w:rsidRDefault="000D145B" w:rsidP="000F76C0">
      <w:pPr>
        <w:pStyle w:val="Corpotesto"/>
        <w:keepNext/>
        <w:widowControl w:val="0"/>
        <w:spacing w:line="480" w:lineRule="auto"/>
        <w:ind w:firstLine="708"/>
        <w:jc w:val="both"/>
        <w:rPr>
          <w:rFonts w:ascii="Calibri" w:hAnsi="Calibri"/>
          <w:szCs w:val="24"/>
        </w:rPr>
      </w:pPr>
      <w:r w:rsidRPr="0024604A">
        <w:rPr>
          <w:rFonts w:ascii="Calibri" w:hAnsi="Calibri"/>
          <w:szCs w:val="24"/>
          <w:lang w:val="en-GB"/>
        </w:rPr>
        <w:t xml:space="preserve">Here, for the first time, we have used high-resolution mass spectrometry to perform a comprehensive </w:t>
      </w:r>
      <w:proofErr w:type="spellStart"/>
      <w:r w:rsidRPr="0024604A">
        <w:rPr>
          <w:rFonts w:ascii="Calibri" w:hAnsi="Calibri"/>
          <w:szCs w:val="24"/>
          <w:lang w:val="en-GB"/>
        </w:rPr>
        <w:t>phospholipidomic</w:t>
      </w:r>
      <w:proofErr w:type="spellEnd"/>
      <w:r w:rsidRPr="0024604A">
        <w:rPr>
          <w:rFonts w:ascii="Calibri" w:hAnsi="Calibri"/>
          <w:szCs w:val="24"/>
          <w:lang w:val="en-GB"/>
        </w:rPr>
        <w:t xml:space="preserve"> analysis of PBMCs from ASD children and their non-autistic </w:t>
      </w:r>
      <w:r w:rsidR="00D63F79" w:rsidRPr="0024604A">
        <w:rPr>
          <w:rFonts w:ascii="Calibri" w:hAnsi="Calibri"/>
          <w:szCs w:val="24"/>
          <w:lang w:val="en-GB"/>
        </w:rPr>
        <w:t>siblings</w:t>
      </w:r>
      <w:r w:rsidRPr="0024604A">
        <w:rPr>
          <w:rFonts w:ascii="Calibri" w:hAnsi="Calibri"/>
          <w:szCs w:val="24"/>
          <w:lang w:val="en-GB"/>
        </w:rPr>
        <w:t>. Another strength of this study is the case-sibling approach undertaken to minimize genetic variability. In fact,</w:t>
      </w:r>
      <w:r w:rsidRPr="0024604A">
        <w:rPr>
          <w:rFonts w:ascii="Calibri" w:hAnsi="Calibri"/>
          <w:lang w:val="en-GB"/>
        </w:rPr>
        <w:t xml:space="preserve"> it is believed that genetic variation explains over 50% of the risk of developing ASD </w:t>
      </w:r>
      <w:r w:rsidRPr="0024604A">
        <w:rPr>
          <w:rFonts w:ascii="Calibri" w:hAnsi="Calibri"/>
          <w:lang w:val="en-GB"/>
        </w:rPr>
        <w:fldChar w:fldCharType="begin" w:fldLock="1"/>
      </w:r>
      <w:r w:rsidR="006126E3" w:rsidRPr="0024604A">
        <w:rPr>
          <w:rFonts w:ascii="Calibri" w:hAnsi="Calibri"/>
          <w:lang w:val="en-GB"/>
        </w:rPr>
        <w:instrText>ADDIN CSL_CITATION {"citationItems":[{"id":"ITEM-1","itemData":{"DOI":"10.1093/hmg/ddv273","ISBN":"1460-2083 (Electronic)\\r0964-6906 (Linking)","ISSN":"14602083","PMID":"26188008","author":[{"dropping-particle":"","family":"Rubeis","given":"Silvia","non-dropping-particle":"De","parse-names":false,"suffix":""},{"dropping-particle":"","family":"Buxbaum","given":"Joseph D.","non-dropping-particle":"","parse-names":false,"suffix":""}],"container-title":"Human Molecular Genetics","id":"ITEM-1","issue":"R1","issued":{"date-parts":[["2015"]]},"page":"R24-R31","title":"Genetics and genomics of autism spectrum disorder: Embracing complexity","type":"bill","volume":"24"},"uris":["http://www.mendeley.com/documents/?uuid=79a5b90d-e8f9-4f80-89f3-70d1099df0ad"]}],"mendeley":{"formattedCitation":"[67]","plainTextFormattedCitation":"[67]","previouslyFormattedCitation":"[67]"},"properties":{"noteIndex":0},"schema":"https://github.com/citation-style-language/schema/raw/master/csl-citation.json"}</w:instrText>
      </w:r>
      <w:r w:rsidRPr="0024604A">
        <w:rPr>
          <w:rFonts w:ascii="Calibri" w:hAnsi="Calibri"/>
          <w:lang w:val="en-GB"/>
        </w:rPr>
        <w:fldChar w:fldCharType="separate"/>
      </w:r>
      <w:r w:rsidR="0089225B" w:rsidRPr="0024604A">
        <w:rPr>
          <w:rFonts w:ascii="Calibri" w:hAnsi="Calibri"/>
          <w:noProof/>
          <w:lang w:val="en-GB"/>
        </w:rPr>
        <w:t>[67]</w:t>
      </w:r>
      <w:r w:rsidRPr="0024604A">
        <w:rPr>
          <w:rFonts w:ascii="Calibri" w:hAnsi="Calibri"/>
          <w:lang w:val="en-GB"/>
        </w:rPr>
        <w:fldChar w:fldCharType="end"/>
      </w:r>
      <w:r w:rsidRPr="0024604A">
        <w:rPr>
          <w:rFonts w:ascii="Calibri" w:hAnsi="Calibri"/>
          <w:lang w:val="en-GB"/>
        </w:rPr>
        <w:t xml:space="preserve"> and the risk is increased 10 fold if a sibling reports the diagnosis; moreover, aggregates in families and early twin studies estimated the proportion of the phenotype variance due to genetic factors to be up to 90% </w:t>
      </w:r>
      <w:r w:rsidRPr="0024604A">
        <w:rPr>
          <w:rFonts w:ascii="Calibri" w:hAnsi="Calibri"/>
          <w:lang w:val="en-GB"/>
        </w:rPr>
        <w:fldChar w:fldCharType="begin" w:fldLock="1"/>
      </w:r>
      <w:r w:rsidR="006126E3" w:rsidRPr="0024604A">
        <w:rPr>
          <w:rFonts w:ascii="Calibri" w:hAnsi="Calibri"/>
          <w:lang w:val="en-GB"/>
        </w:rPr>
        <w:instrText>ADDIN CSL_CITATION {"citationItems":[{"id":"ITEM-1","itemData":{"DOI":"10.1001/jama.2014.4144","ISSN":"0098-7484","abstract":"Importance—Autism Spectrum Disorders (ASD) aggregates in families, but the individual risk and to what extent this is caused by genetic factors, or shared or non-shared environment remains unresolved. Objective—To provide estimates of familial aggregation of ASD. Design, Setting and Participants—A population based cohort of all Swedish children born 1982–2007. We identified all twins, full siblings, maternal and paternal half siblings and cousin pairs and all diagnosis of ASD to 31-December-2009. Main Outcome Measure(s)—The relative recurrence risk (RR) measure familial aggregation of disease. The RR is the relative risk of autism in an participant given a sibling or cousin has the diagnosis, compared with the risk in a participant with no diseased family member. We calculated RR for both ASD and Autistic Disorder (AD). We estimated how much of the probability of developing ASD can be related to genetic (additive and dominance) and environmental (shared and non-shared) factors. Results—In the sample of 2,049,899 children, 14,516 obtained an ASD diagnosis of which 5,689 were AD. The ASD RR was estimated to 153.0 (95%CI 56.7–412.8; 27 vs 6,273 per 100,000 person-years) for monozygotic twins, 8.2 (95%CI 3.7–18.1; 55 vs 805 per 100,000 person-years) for dizygotic twins, 10.3 (95%CI 9.4–11.2; 49 vs 829 per 100,000 person-years) for full-siblings, 3.3 (95%CI 2.6–4.2; 94 vs 492 per 100,000 person-years) for maternal half siblings, 2.9 (95%CI: 2.2–3.7; 85 vs 371 per 100,000 person-years) for paternal half siblings, and 2.0 (95%CI: 1.8–2.2; 49 vs 155 per 100,000 person-years) for cousins. The RR pattern was similar for AD but of slightly higher magnitude. We found support for a disease etiology including only additive genetic and non-shared environmental effects. The ASD heritability was estimated to 0.50 (95%CI 0.44–0.55) and the AD heritability was estimated to 0.54 (95%CI 0.44–0.64). Conclusion and Relevance—Among children born in Sweden, heritability of ASD and AD were estimated to be approximately 50%. For an individual, the risk of autism is increased 10 fold if a full sibling has the diagnosis and about 2 fold if a cousin has the diagnosis. These findings may inform counseling families with affected children.","author":[{"dropping-particle":"","family":"Sandin","given":"Sven","non-dropping-particle":"","parse-names":false,"suffix":""},{"dropping-particle":"","family":"Lichtenstein","given":"Paul","non-dropping-particle":"","parse-names":false,"suffix":""},{"dropping-particle":"","family":"Kuja-Halkola","given":"Ralf","non-dropping-particle":"","parse-names":false,"suffix":""},{"dropping-particle":"","family":"Larsson","given":"Henrik","non-dropping-particle":"","parse-names":false,"suffix":""},{"dropping-particle":"","family":"Hultman","given":"Christina M.","non-dropping-particle":"","parse-names":false,"suffix":""},{"dropping-particle":"","family":"Reichenberg","given":"Abraham","non-dropping-particle":"","parse-names":false,"suffix":""}],"container-title":"JAMA","id":"ITEM-1","issue":"17","issued":{"date-parts":[["2014","5"]]},"page":"1770","title":"The Familial Risk of Autism","type":"article-journal","volume":"311"},"uris":["http://www.mendeley.com/documents/?uuid=d1018ae2-c38d-494f-8b6f-06311c6479dd","http://www.mendeley.com/documents/?uuid=50b264b0-0082-4e59-858f-6542fb23ce2a"]}],"mendeley":{"formattedCitation":"[68]","plainTextFormattedCitation":"[68]","previouslyFormattedCitation":"[68]"},"properties":{"noteIndex":0},"schema":"https://github.com/citation-style-language/schema/raw/master/csl-citation.json"}</w:instrText>
      </w:r>
      <w:r w:rsidRPr="0024604A">
        <w:rPr>
          <w:rFonts w:ascii="Calibri" w:hAnsi="Calibri"/>
          <w:lang w:val="en-GB"/>
        </w:rPr>
        <w:fldChar w:fldCharType="separate"/>
      </w:r>
      <w:r w:rsidR="0089225B" w:rsidRPr="0024604A">
        <w:rPr>
          <w:rFonts w:ascii="Calibri" w:hAnsi="Calibri"/>
          <w:noProof/>
          <w:lang w:val="en-GB"/>
        </w:rPr>
        <w:t>[68]</w:t>
      </w:r>
      <w:r w:rsidRPr="0024604A">
        <w:rPr>
          <w:rFonts w:ascii="Calibri" w:hAnsi="Calibri"/>
          <w:lang w:val="en-GB"/>
        </w:rPr>
        <w:fldChar w:fldCharType="end"/>
      </w:r>
      <w:r w:rsidRPr="0024604A">
        <w:rPr>
          <w:rFonts w:ascii="Calibri" w:hAnsi="Calibri"/>
          <w:lang w:val="en-GB"/>
        </w:rPr>
        <w:t xml:space="preserve">. Therefore, unaffected siblings are an ideal control group because they enable a more accurate assessment as to whether any observed differences are due to the autism phenotype because they control for shared </w:t>
      </w:r>
      <w:r w:rsidRPr="0024604A">
        <w:rPr>
          <w:rFonts w:ascii="Calibri" w:hAnsi="Calibri"/>
          <w:lang w:val="en-GB"/>
        </w:rPr>
        <w:lastRenderedPageBreak/>
        <w:t xml:space="preserve">genes and possibly also common epigenetic modifications induced early in life. </w:t>
      </w:r>
    </w:p>
    <w:p w14:paraId="151501E5" w14:textId="184772E7" w:rsidR="000D145B" w:rsidRPr="0024604A" w:rsidRDefault="000D145B" w:rsidP="000F76C0">
      <w:pPr>
        <w:pStyle w:val="Corpotesto"/>
        <w:keepNext/>
        <w:widowControl w:val="0"/>
        <w:spacing w:line="480" w:lineRule="auto"/>
        <w:ind w:firstLine="708"/>
        <w:jc w:val="both"/>
        <w:rPr>
          <w:rFonts w:ascii="Calibri" w:hAnsi="Calibri"/>
          <w:lang w:val="en-GB"/>
        </w:rPr>
      </w:pPr>
      <w:r w:rsidRPr="0024604A">
        <w:rPr>
          <w:rFonts w:ascii="Calibri" w:hAnsi="Calibri"/>
          <w:lang w:val="en-GB"/>
        </w:rPr>
        <w:t xml:space="preserve">For its </w:t>
      </w:r>
      <w:r w:rsidRPr="0024604A">
        <w:rPr>
          <w:rFonts w:ascii="Calibri" w:hAnsi="Calibri"/>
          <w:szCs w:val="24"/>
          <w:lang w:val="en-GB"/>
        </w:rPr>
        <w:t>complex aetiology</w:t>
      </w:r>
      <w:r w:rsidRPr="0024604A">
        <w:rPr>
          <w:rFonts w:ascii="Calibri" w:hAnsi="Calibri"/>
          <w:lang w:val="en-GB"/>
        </w:rPr>
        <w:t xml:space="preserve">, the role of environmental factors in the onset of ASD is still largely unknown: physiological and chemical elements are the most commonly studied in association with ASD, while research on nutritional and social influences are limited </w:t>
      </w:r>
      <w:r w:rsidRPr="0024604A">
        <w:rPr>
          <w:rFonts w:ascii="Calibri" w:hAnsi="Calibri"/>
          <w:lang w:val="en-GB"/>
        </w:rPr>
        <w:fldChar w:fldCharType="begin" w:fldLock="1"/>
      </w:r>
      <w:r w:rsidR="006126E3" w:rsidRPr="0024604A">
        <w:rPr>
          <w:rFonts w:ascii="Calibri" w:hAnsi="Calibri"/>
          <w:lang w:val="en-GB"/>
        </w:rPr>
        <w:instrText>ADDIN CSL_CITATION {"citationItems":[{"id":"ITEM-1","itemData":{"DOI":"10.24095/hpcdp.37.1.01","ISBN":"2368-738x","ISSN":"2368-738X","PMID":"28102992","abstract":"INTRODUCTION The number of children diagnosed with autism spectrum disorder (ASD) has been rapidly rising in the past decade. The etiology of this disorder, however, is largely unknown, although the environmental relative to the genetic contribution is substantial. We conducted a scoping review to comprehensively assess the current state of knowledge of the environmental factors present from preconception to early life associated with ASD, and to identify research gaps. METHODS We searched electronic databases MEDLINE, PsycINFO and ERIC for articles on potential risk factors or protective factors from the physical and social environments associated with ASD and its subclassifications published between 1 January, 2003, and 12 July, 2013. We categorized articles into broad themes: chemical, physiological, nutritional and social factors, based on environmental exposure. RESULTS We identified over 50 000 publications, but after ineligible studies were screened out, 315 articles remained. Most of these studies examined physiological factors, followed closely by chemical factors, and to a much lesser extent, nutritional and social factors, associated with ASD. Despite a vast literature and many heterogeneous studies, several risk factors emerged consistently: chemical factors such as traffic-related air pollutants; physiological factors including advanced parental age, preterm birth, low birth weight, hyperbilirubinemia and clustering of pregnancy complications; and maternal immigrant status. Despite extensive research on vaccines, findings overwhelmingly demonstrate no support for an association with ASD. CONCLUSION The lack of consistency, temporality and specificity of associations between environmental factors and ASD remains the largest barrier to establishing causal relationships. More robust research is required to resolve inconsistencies in the literature. Future research should explore underlying mechanisms of associations between the risk factors that we identified and ASD. INTRODUCTION Le nombre d’enfants chez lesquels on diagnostique un trouble du spectre de l’autisme (TSA) grimpe rapidement depuis une décennie. L’étiologie de ce trouble est toutefois en grande partie inconnue, même si la contribution de l’environnement est importante par rapport à celle de la génétique. Nous avons procédé à une étude de délimitation pour évaluer en détail l’état actuel des connaissances sur les facteurs environnementaux présents depuis le stade de la préconceptio…","author":[{"dropping-particle":"","family":"Ng","given":"Michelle","non-dropping-particle":"","parse-names":false,"suffix":""},{"dropping-particle":"","family":"Montigny","given":"Joanne G.","non-dropping-particle":"de","parse-names":false,"suffix":""},{"dropping-particle":"","family":"Ofner","given":"Marianna","non-dropping-particle":"","parse-names":false,"suffix":""},{"dropping-particle":"","family":"Do","given":"Minh","non-dropping-particle":"","parse-names":false,"suffix":""}],"container-title":"Health Promotion and Chronic Disease Prevention in Canada","id":"ITEM-1","issue":"1","issued":{"date-parts":[["2017","1"]]},"page":"1-23","title":"Environmental factors associated with autism spectrum disorder: a scoping review for the years 2003–2013","type":"article-journal","volume":"37"},"uris":["http://www.mendeley.com/documents/?uuid=afbfbe2d-0c37-4ce3-8496-bf591f94b0d2","http://www.mendeley.com/documents/?uuid=d46289c0-e416-4996-8a8e-7dceceae00fe"]}],"mendeley":{"formattedCitation":"[69]","plainTextFormattedCitation":"[69]","previouslyFormattedCitation":"[69]"},"properties":{"noteIndex":0},"schema":"https://github.com/citation-style-language/schema/raw/master/csl-citation.json"}</w:instrText>
      </w:r>
      <w:r w:rsidRPr="0024604A">
        <w:rPr>
          <w:rFonts w:ascii="Calibri" w:hAnsi="Calibri"/>
          <w:lang w:val="en-GB"/>
        </w:rPr>
        <w:fldChar w:fldCharType="separate"/>
      </w:r>
      <w:r w:rsidR="0089225B" w:rsidRPr="0024604A">
        <w:rPr>
          <w:rFonts w:ascii="Calibri" w:hAnsi="Calibri"/>
          <w:noProof/>
          <w:lang w:val="en-GB"/>
        </w:rPr>
        <w:t>[69]</w:t>
      </w:r>
      <w:r w:rsidRPr="0024604A">
        <w:rPr>
          <w:rFonts w:ascii="Calibri" w:hAnsi="Calibri"/>
          <w:lang w:val="en-GB"/>
        </w:rPr>
        <w:fldChar w:fldCharType="end"/>
      </w:r>
      <w:r w:rsidRPr="0024604A">
        <w:rPr>
          <w:rFonts w:ascii="Calibri" w:hAnsi="Calibri"/>
          <w:lang w:val="en-GB"/>
        </w:rPr>
        <w:t xml:space="preserve">. </w:t>
      </w:r>
      <w:r w:rsidR="003B4655" w:rsidRPr="0024604A">
        <w:rPr>
          <w:rFonts w:ascii="Calibri" w:hAnsi="Calibri"/>
          <w:lang w:val="en-GB"/>
        </w:rPr>
        <w:t>Unfortunately</w:t>
      </w:r>
      <w:r w:rsidRPr="0024604A">
        <w:rPr>
          <w:rFonts w:ascii="Calibri" w:hAnsi="Calibri"/>
          <w:lang w:val="en-GB"/>
        </w:rPr>
        <w:t xml:space="preserve">, the case-sibling approach does not overcome the difficulty of disentangling the effects of variable genetic risks, environmental exposures across development and the likely interactions between these factors in a population with considerable phenotypic and prognostic heterogeneity. Furthermore, the fatty acid composition of human immune cells can be modified by altering oral intakes of certain fatty acids </w:t>
      </w:r>
      <w:r w:rsidRPr="0024604A">
        <w:rPr>
          <w:rFonts w:ascii="Calibri" w:hAnsi="Calibri"/>
          <w:lang w:val="en-GB"/>
        </w:rPr>
        <w:fldChar w:fldCharType="begin" w:fldLock="1"/>
      </w:r>
      <w:r w:rsidR="006126E3" w:rsidRPr="0024604A">
        <w:rPr>
          <w:rFonts w:ascii="Calibri" w:hAnsi="Calibri"/>
          <w:lang w:val="en-GB"/>
        </w:rPr>
        <w:instrText>ADDIN CSL_CITATION {"citationItems":[{"id":"ITEM-1","itemData":{"DOI":"10.1016/j.plefa.2008.09.016","ISBN":"0952-3278","ISSN":"09523278","PMID":"18951005","abstract":"The immune system, including its inflammatory components, is fundamental to host defence against pathogenic invaders. It is a complex system involving interactions amongst many different cell types dispersed throughout the body. Central to its actions are phagocytosis of bacteria, processing of antigens derived from intracellular and extracellular pathogens, activation of T cells with clonal expansion (proliferation) and production of cytokines that elicit effector cell functions such as antibody production and killing cell activity. Inappropriate immunologic activity, including inflammation, is a characteristic of many common human disorders. Eicosanoids produced from arachidonic acid have roles in inflammation and regulation of T and B lymphocyte functions. Eicosapentaenoic acid (EPA) also gives rise to eicosanoids and these may have differing properties from those of arachidonic acid-derived eicosanoids. EPA and docosahexaenoic acid (DHA) give rise to newly discovered resolvins which are anti-inflammatory and inflammation resolving. Human immune cells are typically rich in arachidonic acid, but arachidonic acid, EPA and DHA contents can be altered through oral administration of EPA and DHA. This results in a changed pattern of production of eicosanoids and probably also of resolvins, although the latter are not well examined in the human context. Changing the fatty acid composition of immune cells also affects phagocytosis, T cell signaling and antigen presentation capability. These effects appear to mediated at the membrane level suggesting important roles of fatty acids in membrane order, lipid raft structure and function, and membrane trafficking. Thus, the fatty acid composition of human immune cells influences their function and the cell membrane contents of arachidonic acid, EPA and DHA are important. Fatty acids influence immune cell function through a variety of complex mechanisms and these mechanisms are now beginning to be unraveled. © 2008 Elsevier Ltd. All rights reserved.","author":[{"dropping-particle":"","family":"Calder","given":"Philip C.","non-dropping-particle":"","parse-names":false,"suffix":""}],"container-title":"Prostaglandins Leukotrienes and Essential Fatty Acids","id":"ITEM-1","issue":"3-5","issued":{"date-parts":[["2008"]]},"page":"101-108","title":"The relationship between the fatty acid composition of immune cells and their function","type":"article-journal","volume":"79"},"uris":["http://www.mendeley.com/documents/?uuid=fa657557-5059-48a4-87a9-52b8fe2af92f"]}],"mendeley":{"formattedCitation":"[70]","plainTextFormattedCitation":"[70]","previouslyFormattedCitation":"[70]"},"properties":{"noteIndex":0},"schema":"https://github.com/citation-style-language/schema/raw/master/csl-citation.json"}</w:instrText>
      </w:r>
      <w:r w:rsidRPr="0024604A">
        <w:rPr>
          <w:rFonts w:ascii="Calibri" w:hAnsi="Calibri"/>
          <w:lang w:val="en-GB"/>
        </w:rPr>
        <w:fldChar w:fldCharType="separate"/>
      </w:r>
      <w:r w:rsidR="0089225B" w:rsidRPr="0024604A">
        <w:rPr>
          <w:rFonts w:ascii="Calibri" w:hAnsi="Calibri"/>
          <w:noProof/>
          <w:lang w:val="en-GB"/>
        </w:rPr>
        <w:t>[70]</w:t>
      </w:r>
      <w:r w:rsidRPr="0024604A">
        <w:rPr>
          <w:rFonts w:ascii="Calibri" w:hAnsi="Calibri"/>
          <w:lang w:val="en-GB"/>
        </w:rPr>
        <w:fldChar w:fldCharType="end"/>
      </w:r>
      <w:r w:rsidRPr="0024604A">
        <w:rPr>
          <w:rFonts w:ascii="Calibri" w:hAnsi="Calibri"/>
          <w:lang w:val="en-GB"/>
        </w:rPr>
        <w:t xml:space="preserve">. All those factors, together with differences in sex, age and lifestyles, could explain the observed variance in the present study and the lack of ability to separate ASD from paired healthy siblings. </w:t>
      </w:r>
    </w:p>
    <w:p w14:paraId="0E2C36ED" w14:textId="14F465E3" w:rsidR="00BA1437" w:rsidRPr="0024604A" w:rsidRDefault="000D145B" w:rsidP="000F76C0">
      <w:pPr>
        <w:autoSpaceDE w:val="0"/>
        <w:autoSpaceDN w:val="0"/>
        <w:adjustRightInd w:val="0"/>
        <w:spacing w:line="480" w:lineRule="auto"/>
        <w:ind w:firstLine="708"/>
        <w:jc w:val="both"/>
        <w:rPr>
          <w:rFonts w:ascii="Calibri" w:hAnsi="Calibri"/>
          <w:lang w:val="en-GB"/>
        </w:rPr>
      </w:pPr>
      <w:r w:rsidRPr="0024604A">
        <w:rPr>
          <w:rFonts w:ascii="Calibri" w:hAnsi="Calibri"/>
          <w:lang w:val="en-GB"/>
        </w:rPr>
        <w:t xml:space="preserve">Limitations of this study predominantly include the </w:t>
      </w:r>
      <w:r w:rsidR="007E6D67" w:rsidRPr="0024604A">
        <w:rPr>
          <w:rFonts w:ascii="Calibri" w:hAnsi="Calibri"/>
          <w:lang w:val="en-GB"/>
        </w:rPr>
        <w:t xml:space="preserve">restricted </w:t>
      </w:r>
      <w:r w:rsidRPr="0024604A">
        <w:rPr>
          <w:rFonts w:ascii="Calibri" w:hAnsi="Calibri"/>
          <w:lang w:val="en-GB"/>
        </w:rPr>
        <w:t>phenotyping, which, as noted previously, prevent us from addressing pressing questions about heterogeneity in ASD. The search for shared patterns of lipid composition associated with ASD may be more fruitful within ASD subgroups that reflect shared etiological and developmental factors. Detecting shared patterns of lipid composition associated with ASD subgroups requires a larger sample size and more extensive phenotyping and/or genotyping than the current dataset</w:t>
      </w:r>
      <w:r w:rsidR="00CA0E9F" w:rsidRPr="0024604A">
        <w:rPr>
          <w:rFonts w:ascii="Calibri" w:hAnsi="Calibri"/>
          <w:lang w:val="en-GB"/>
        </w:rPr>
        <w:t xml:space="preserve">. </w:t>
      </w:r>
      <w:r w:rsidR="00BA1437" w:rsidRPr="0024604A">
        <w:rPr>
          <w:rFonts w:ascii="Calibri" w:hAnsi="Calibri"/>
          <w:lang w:val="en-GB"/>
        </w:rPr>
        <w:t>All those factor</w:t>
      </w:r>
      <w:r w:rsidR="00DB1016" w:rsidRPr="0024604A">
        <w:rPr>
          <w:rFonts w:ascii="Calibri" w:hAnsi="Calibri"/>
          <w:lang w:val="en-GB"/>
        </w:rPr>
        <w:t>s</w:t>
      </w:r>
      <w:r w:rsidR="00BA1437" w:rsidRPr="0024604A">
        <w:rPr>
          <w:rFonts w:ascii="Calibri" w:hAnsi="Calibri"/>
          <w:lang w:val="en-GB"/>
        </w:rPr>
        <w:t>, together with differenc</w:t>
      </w:r>
      <w:r w:rsidR="00D15DB5" w:rsidRPr="0024604A">
        <w:rPr>
          <w:rFonts w:ascii="Calibri" w:hAnsi="Calibri"/>
          <w:lang w:val="en-GB"/>
        </w:rPr>
        <w:t xml:space="preserve">es in sex, </w:t>
      </w:r>
      <w:r w:rsidR="0066115F" w:rsidRPr="0024604A">
        <w:rPr>
          <w:rFonts w:ascii="Calibri" w:hAnsi="Calibri"/>
          <w:lang w:val="en-GB"/>
        </w:rPr>
        <w:t>age,</w:t>
      </w:r>
      <w:r w:rsidR="00D15DB5" w:rsidRPr="0024604A">
        <w:rPr>
          <w:rFonts w:ascii="Calibri" w:hAnsi="Calibri"/>
          <w:lang w:val="en-GB"/>
        </w:rPr>
        <w:t xml:space="preserve"> and lifestyles, </w:t>
      </w:r>
      <w:r w:rsidR="00BA1437" w:rsidRPr="0024604A">
        <w:rPr>
          <w:rFonts w:ascii="Calibri" w:hAnsi="Calibri"/>
          <w:lang w:val="en-GB"/>
        </w:rPr>
        <w:t>coul</w:t>
      </w:r>
      <w:r w:rsidR="00D15DB5" w:rsidRPr="0024604A">
        <w:rPr>
          <w:rFonts w:ascii="Calibri" w:hAnsi="Calibri"/>
          <w:lang w:val="en-GB"/>
        </w:rPr>
        <w:t>d explain the observed variance</w:t>
      </w:r>
      <w:r w:rsidR="007A13D7" w:rsidRPr="0024604A">
        <w:rPr>
          <w:rFonts w:ascii="Calibri" w:hAnsi="Calibri"/>
          <w:lang w:val="en-GB"/>
        </w:rPr>
        <w:t xml:space="preserve"> in </w:t>
      </w:r>
      <w:r w:rsidR="0016426C" w:rsidRPr="0024604A">
        <w:rPr>
          <w:rFonts w:ascii="Calibri" w:hAnsi="Calibri"/>
          <w:lang w:val="en-GB"/>
        </w:rPr>
        <w:t xml:space="preserve">the present </w:t>
      </w:r>
      <w:r w:rsidR="007A13D7" w:rsidRPr="0024604A">
        <w:rPr>
          <w:rFonts w:ascii="Calibri" w:hAnsi="Calibri"/>
          <w:lang w:val="en-GB"/>
        </w:rPr>
        <w:t>study and the lack of ability to separate ASD from paired healthy siblings. We are therefore left wondering:</w:t>
      </w:r>
      <w:r w:rsidR="008813FB" w:rsidRPr="0024604A">
        <w:rPr>
          <w:rFonts w:ascii="Calibri" w:hAnsi="Calibri"/>
          <w:lang w:val="en-GB"/>
        </w:rPr>
        <w:t xml:space="preserve"> are</w:t>
      </w:r>
      <w:r w:rsidR="00D15DB5" w:rsidRPr="0024604A">
        <w:rPr>
          <w:rFonts w:ascii="Calibri" w:hAnsi="Calibri"/>
          <w:lang w:val="en-GB"/>
        </w:rPr>
        <w:t xml:space="preserve"> </w:t>
      </w:r>
      <w:r w:rsidR="008813FB" w:rsidRPr="0024604A">
        <w:rPr>
          <w:rFonts w:ascii="Calibri" w:hAnsi="Calibri"/>
          <w:lang w:val="en-GB"/>
        </w:rPr>
        <w:t xml:space="preserve">lymphocytes </w:t>
      </w:r>
      <w:r w:rsidR="00D15DB5" w:rsidRPr="0024604A">
        <w:rPr>
          <w:rFonts w:ascii="Calibri" w:hAnsi="Calibri"/>
          <w:lang w:val="en-GB"/>
        </w:rPr>
        <w:t xml:space="preserve">not a good </w:t>
      </w:r>
      <w:r w:rsidR="0012239B" w:rsidRPr="0024604A">
        <w:rPr>
          <w:rFonts w:ascii="Calibri" w:hAnsi="Calibri"/>
          <w:lang w:val="en-GB"/>
        </w:rPr>
        <w:t xml:space="preserve">choice </w:t>
      </w:r>
      <w:r w:rsidR="00D15DB5" w:rsidRPr="0024604A">
        <w:rPr>
          <w:rFonts w:ascii="Calibri" w:hAnsi="Calibri"/>
          <w:lang w:val="en-GB"/>
        </w:rPr>
        <w:t>for lipid levels comparison</w:t>
      </w:r>
      <w:r w:rsidR="008813FB" w:rsidRPr="0024604A">
        <w:rPr>
          <w:rFonts w:ascii="Calibri" w:hAnsi="Calibri"/>
          <w:lang w:val="en-GB"/>
        </w:rPr>
        <w:t xml:space="preserve">? </w:t>
      </w:r>
      <w:bookmarkStart w:id="22" w:name="_Hlk45112751"/>
      <w:r w:rsidR="007A13D7" w:rsidRPr="0024604A">
        <w:rPr>
          <w:rFonts w:ascii="Calibri" w:hAnsi="Calibri"/>
          <w:lang w:val="en-GB"/>
        </w:rPr>
        <w:t>We believe that f</w:t>
      </w:r>
      <w:r w:rsidR="008813FB" w:rsidRPr="0024604A">
        <w:rPr>
          <w:rFonts w:ascii="Calibri" w:hAnsi="Calibri"/>
          <w:lang w:val="en-GB"/>
        </w:rPr>
        <w:t>urther work</w:t>
      </w:r>
      <w:r w:rsidR="00441683" w:rsidRPr="0024604A">
        <w:rPr>
          <w:rFonts w:ascii="Calibri" w:hAnsi="Calibri"/>
          <w:lang w:val="en-GB"/>
        </w:rPr>
        <w:t xml:space="preserve">, including metabolomic and proteomic ones, </w:t>
      </w:r>
      <w:r w:rsidR="008813FB" w:rsidRPr="0024604A">
        <w:rPr>
          <w:rFonts w:ascii="Calibri" w:hAnsi="Calibri"/>
          <w:lang w:val="en-GB"/>
        </w:rPr>
        <w:t xml:space="preserve">is </w:t>
      </w:r>
      <w:r w:rsidR="00586195" w:rsidRPr="0024604A">
        <w:rPr>
          <w:rFonts w:ascii="Calibri" w:hAnsi="Calibri"/>
          <w:lang w:val="en-GB"/>
        </w:rPr>
        <w:t xml:space="preserve">most likely </w:t>
      </w:r>
      <w:r w:rsidR="008813FB" w:rsidRPr="0024604A">
        <w:rPr>
          <w:rFonts w:ascii="Calibri" w:hAnsi="Calibri"/>
          <w:lang w:val="en-GB"/>
        </w:rPr>
        <w:t xml:space="preserve">needed </w:t>
      </w:r>
      <w:r w:rsidR="00441683" w:rsidRPr="0024604A">
        <w:rPr>
          <w:rFonts w:ascii="Calibri" w:hAnsi="Calibri"/>
          <w:lang w:val="en-GB"/>
        </w:rPr>
        <w:t xml:space="preserve">in larger cohorts </w:t>
      </w:r>
      <w:r w:rsidR="008813FB" w:rsidRPr="0024604A">
        <w:rPr>
          <w:rFonts w:ascii="Calibri" w:hAnsi="Calibri"/>
          <w:lang w:val="en-GB"/>
        </w:rPr>
        <w:t xml:space="preserve">to shed </w:t>
      </w:r>
      <w:r w:rsidR="00441683" w:rsidRPr="0024604A">
        <w:rPr>
          <w:rFonts w:ascii="Calibri" w:hAnsi="Calibri"/>
          <w:lang w:val="en-GB"/>
        </w:rPr>
        <w:t xml:space="preserve">some </w:t>
      </w:r>
      <w:r w:rsidR="008813FB" w:rsidRPr="0024604A">
        <w:rPr>
          <w:rFonts w:ascii="Calibri" w:hAnsi="Calibri"/>
          <w:lang w:val="en-GB"/>
        </w:rPr>
        <w:t xml:space="preserve">light on this </w:t>
      </w:r>
      <w:r w:rsidR="00D63F79" w:rsidRPr="0024604A">
        <w:rPr>
          <w:rFonts w:ascii="Calibri" w:hAnsi="Calibri"/>
          <w:lang w:val="en-GB"/>
        </w:rPr>
        <w:t xml:space="preserve">tricky </w:t>
      </w:r>
      <w:r w:rsidR="009432CE" w:rsidRPr="0024604A">
        <w:rPr>
          <w:rFonts w:ascii="Calibri" w:hAnsi="Calibri"/>
          <w:lang w:val="en-GB"/>
        </w:rPr>
        <w:t>issue</w:t>
      </w:r>
      <w:r w:rsidR="008813FB" w:rsidRPr="0024604A">
        <w:rPr>
          <w:rFonts w:ascii="Calibri" w:hAnsi="Calibri"/>
          <w:lang w:val="en-GB"/>
        </w:rPr>
        <w:t>.</w:t>
      </w:r>
    </w:p>
    <w:bookmarkEnd w:id="22"/>
    <w:p w14:paraId="46B19BAB" w14:textId="73A75B2D" w:rsidR="008813FB" w:rsidRPr="0024604A" w:rsidRDefault="008813FB" w:rsidP="008813FB">
      <w:pPr>
        <w:pStyle w:val="Corpotesto"/>
        <w:spacing w:line="480" w:lineRule="auto"/>
        <w:jc w:val="both"/>
        <w:rPr>
          <w:rFonts w:ascii="Calibri" w:hAnsi="Calibri"/>
          <w:szCs w:val="24"/>
          <w:lang w:val="en-GB"/>
        </w:rPr>
      </w:pPr>
    </w:p>
    <w:p w14:paraId="345F2350" w14:textId="2AF2FBC6" w:rsidR="00A127C5" w:rsidRPr="0024604A" w:rsidRDefault="00A127C5" w:rsidP="00EA64D1">
      <w:pPr>
        <w:pStyle w:val="Corpotesto"/>
        <w:keepNext/>
        <w:spacing w:line="480" w:lineRule="auto"/>
        <w:jc w:val="both"/>
        <w:rPr>
          <w:rFonts w:ascii="Calibri" w:hAnsi="Calibri"/>
          <w:b/>
          <w:caps/>
          <w:lang w:val="en-GB"/>
        </w:rPr>
      </w:pPr>
      <w:r w:rsidRPr="0024604A">
        <w:rPr>
          <w:rFonts w:ascii="Calibri" w:hAnsi="Calibri"/>
          <w:b/>
          <w:caps/>
          <w:lang w:val="en-GB"/>
        </w:rPr>
        <w:lastRenderedPageBreak/>
        <w:t>Conclusions</w:t>
      </w:r>
    </w:p>
    <w:p w14:paraId="58785383" w14:textId="60B93D0A" w:rsidR="00A13AE7" w:rsidRPr="0024604A" w:rsidRDefault="00A13AE7" w:rsidP="00EA64D1">
      <w:pPr>
        <w:keepNext/>
        <w:autoSpaceDE w:val="0"/>
        <w:autoSpaceDN w:val="0"/>
        <w:adjustRightInd w:val="0"/>
        <w:spacing w:line="480" w:lineRule="auto"/>
        <w:jc w:val="both"/>
        <w:rPr>
          <w:rFonts w:ascii="Calibri" w:hAnsi="Calibri"/>
          <w:lang w:val="en-GB"/>
        </w:rPr>
      </w:pPr>
      <w:r w:rsidRPr="0024604A">
        <w:rPr>
          <w:rFonts w:ascii="Calibri" w:hAnsi="Calibri"/>
          <w:lang w:val="en-GB"/>
        </w:rPr>
        <w:t xml:space="preserve">In this study, lipid extracts obtained from isolated PBMC </w:t>
      </w:r>
      <w:r w:rsidR="004F5436" w:rsidRPr="0024604A">
        <w:rPr>
          <w:rFonts w:ascii="Calibri" w:hAnsi="Calibri"/>
          <w:lang w:val="en-GB"/>
        </w:rPr>
        <w:t>of</w:t>
      </w:r>
      <w:r w:rsidRPr="0024604A">
        <w:rPr>
          <w:rFonts w:ascii="Calibri" w:hAnsi="Calibri"/>
          <w:lang w:val="en-GB"/>
        </w:rPr>
        <w:t xml:space="preserve"> children affected by ASD, along with samples of their healthy siblings were analysed by </w:t>
      </w:r>
      <w:r w:rsidR="00EC5EC8" w:rsidRPr="0024604A">
        <w:rPr>
          <w:rFonts w:ascii="Calibri" w:hAnsi="Calibri"/>
          <w:lang w:val="en-GB"/>
        </w:rPr>
        <w:t>lipidomics</w:t>
      </w:r>
      <w:r w:rsidRPr="0024604A">
        <w:rPr>
          <w:rFonts w:ascii="Calibri" w:hAnsi="Calibri"/>
          <w:lang w:val="en-GB"/>
        </w:rPr>
        <w:t>. Deconvolution of the LC-ESI-FTMS data using untargeted (XCMS) and semi-targeted (Alex</w:t>
      </w:r>
      <w:r w:rsidRPr="0024604A">
        <w:rPr>
          <w:rFonts w:ascii="Calibri" w:hAnsi="Calibri"/>
          <w:vertAlign w:val="superscript"/>
          <w:lang w:val="en-GB"/>
        </w:rPr>
        <w:t>123</w:t>
      </w:r>
      <w:r w:rsidRPr="0024604A">
        <w:rPr>
          <w:rFonts w:ascii="Calibri" w:hAnsi="Calibri"/>
          <w:lang w:val="en-GB"/>
        </w:rPr>
        <w:t xml:space="preserve">) approaches, were examined and compared. Interindividual variability is seemingly the most dominant factor as no significant differences were revealed by multivariate analysis for ASD </w:t>
      </w:r>
      <w:r w:rsidRPr="0024604A">
        <w:rPr>
          <w:rFonts w:ascii="Calibri" w:hAnsi="Calibri"/>
          <w:i/>
          <w:iCs/>
          <w:lang w:val="en-GB"/>
        </w:rPr>
        <w:t>vs</w:t>
      </w:r>
      <w:r w:rsidRPr="0024604A">
        <w:rPr>
          <w:rFonts w:ascii="Calibri" w:hAnsi="Calibri"/>
          <w:lang w:val="en-GB"/>
        </w:rPr>
        <w:t xml:space="preserve"> healthy siblings within the sampled lipid pools. It is possible that dietary habits and comorbidities contribute to the system complexity, together with differences in sex, age </w:t>
      </w:r>
      <w:r w:rsidR="00D63F79" w:rsidRPr="0024604A">
        <w:rPr>
          <w:rFonts w:ascii="Calibri" w:hAnsi="Calibri"/>
          <w:lang w:val="en-GB"/>
        </w:rPr>
        <w:t>and/</w:t>
      </w:r>
      <w:r w:rsidRPr="0024604A">
        <w:rPr>
          <w:rFonts w:ascii="Calibri" w:hAnsi="Calibri"/>
          <w:lang w:val="en-GB"/>
        </w:rPr>
        <w:t>or ASD severity. The fact that the disease aetiology of ASD is unknown and likely multifactorial, confounds the current studies such as the present one. Further work with more defined ASD subgroups may shed some light on this most complex disease.</w:t>
      </w:r>
    </w:p>
    <w:p w14:paraId="3751BEA1" w14:textId="77777777" w:rsidR="00A13AE7" w:rsidRPr="0024604A" w:rsidRDefault="00A13AE7" w:rsidP="00FE26F5">
      <w:pPr>
        <w:autoSpaceDE w:val="0"/>
        <w:autoSpaceDN w:val="0"/>
        <w:adjustRightInd w:val="0"/>
        <w:spacing w:line="480" w:lineRule="auto"/>
        <w:jc w:val="both"/>
        <w:rPr>
          <w:rFonts w:ascii="Calibri" w:hAnsi="Calibri"/>
          <w:lang w:val="en-GB"/>
        </w:rPr>
      </w:pPr>
    </w:p>
    <w:p w14:paraId="1617E1A8" w14:textId="77777777" w:rsidR="00A127C5" w:rsidRPr="0024604A" w:rsidRDefault="00A127C5" w:rsidP="001D29AB">
      <w:pPr>
        <w:pStyle w:val="Corpotesto"/>
        <w:spacing w:line="480" w:lineRule="auto"/>
        <w:jc w:val="both"/>
        <w:rPr>
          <w:rFonts w:ascii="Calibri" w:hAnsi="Calibri"/>
          <w:b/>
          <w:caps/>
          <w:szCs w:val="24"/>
          <w:lang w:val="en-GB"/>
        </w:rPr>
      </w:pPr>
      <w:r w:rsidRPr="0024604A">
        <w:rPr>
          <w:rFonts w:ascii="Calibri" w:hAnsi="Calibri"/>
          <w:b/>
          <w:szCs w:val="24"/>
          <w:lang w:val="en-GB"/>
        </w:rPr>
        <w:t>A</w:t>
      </w:r>
      <w:r w:rsidRPr="0024604A">
        <w:rPr>
          <w:rFonts w:ascii="Calibri" w:hAnsi="Calibri"/>
          <w:b/>
          <w:caps/>
          <w:szCs w:val="24"/>
          <w:lang w:val="en-GB"/>
        </w:rPr>
        <w:t>cknowledgmentS</w:t>
      </w:r>
    </w:p>
    <w:p w14:paraId="7AAD44C7" w14:textId="2C7EFC5C" w:rsidR="000949D3" w:rsidRPr="0024604A" w:rsidRDefault="00B840D4" w:rsidP="008046E2">
      <w:pPr>
        <w:widowControl w:val="0"/>
        <w:tabs>
          <w:tab w:val="left" w:pos="-2127"/>
        </w:tabs>
        <w:spacing w:after="200" w:line="480" w:lineRule="auto"/>
        <w:contextualSpacing/>
        <w:jc w:val="both"/>
        <w:rPr>
          <w:rFonts w:ascii="Calibri" w:hAnsi="Calibri"/>
          <w:lang w:val="en-GB"/>
        </w:rPr>
      </w:pPr>
      <w:r w:rsidRPr="0024604A">
        <w:rPr>
          <w:rFonts w:ascii="Calibri" w:hAnsi="Calibri"/>
          <w:lang w:val="en-GB"/>
        </w:rPr>
        <w:t xml:space="preserve">This work was supported by the </w:t>
      </w:r>
      <w:r w:rsidR="00153A2D" w:rsidRPr="0024604A">
        <w:rPr>
          <w:rFonts w:ascii="Calibri" w:hAnsi="Calibri"/>
          <w:lang w:val="en-GB"/>
        </w:rPr>
        <w:t xml:space="preserve">following </w:t>
      </w:r>
      <w:r w:rsidRPr="0024604A">
        <w:rPr>
          <w:rFonts w:ascii="Calibri" w:hAnsi="Calibri"/>
          <w:lang w:val="en-GB"/>
        </w:rPr>
        <w:t>project</w:t>
      </w:r>
      <w:r w:rsidR="00864587" w:rsidRPr="0024604A">
        <w:rPr>
          <w:rFonts w:ascii="Calibri" w:hAnsi="Calibri"/>
          <w:lang w:val="en-GB"/>
        </w:rPr>
        <w:t>s</w:t>
      </w:r>
      <w:r w:rsidR="00153A2D" w:rsidRPr="0024604A">
        <w:rPr>
          <w:rFonts w:ascii="Calibri" w:hAnsi="Calibri"/>
          <w:lang w:val="en-GB"/>
        </w:rPr>
        <w:t>:</w:t>
      </w:r>
      <w:r w:rsidRPr="0024604A">
        <w:rPr>
          <w:rFonts w:ascii="Calibri" w:hAnsi="Calibri"/>
          <w:lang w:val="en-GB"/>
        </w:rPr>
        <w:t xml:space="preserve"> </w:t>
      </w:r>
      <w:r w:rsidR="00864587" w:rsidRPr="0024604A">
        <w:rPr>
          <w:rFonts w:ascii="Calibri" w:hAnsi="Calibri"/>
          <w:lang w:val="en-GB"/>
        </w:rPr>
        <w:t>(</w:t>
      </w:r>
      <w:proofErr w:type="spellStart"/>
      <w:r w:rsidR="00864587" w:rsidRPr="0024604A">
        <w:rPr>
          <w:rFonts w:ascii="Calibri" w:hAnsi="Calibri"/>
          <w:lang w:val="en-GB"/>
        </w:rPr>
        <w:t>i</w:t>
      </w:r>
      <w:proofErr w:type="spellEnd"/>
      <w:r w:rsidR="00864587" w:rsidRPr="0024604A">
        <w:rPr>
          <w:rFonts w:ascii="Calibri" w:hAnsi="Calibri"/>
          <w:lang w:val="en-GB"/>
        </w:rPr>
        <w:t xml:space="preserve">) </w:t>
      </w:r>
      <w:r w:rsidRPr="0024604A">
        <w:rPr>
          <w:rFonts w:ascii="Calibri" w:hAnsi="Calibri"/>
          <w:lang w:val="en-GB"/>
        </w:rPr>
        <w:t xml:space="preserve">PONa3_00395/1 “BIOSCIENZE &amp; SALUTE (B&amp;H)” </w:t>
      </w:r>
      <w:r w:rsidR="00864587" w:rsidRPr="0024604A">
        <w:rPr>
          <w:rFonts w:ascii="Calibri" w:hAnsi="Calibri"/>
          <w:lang w:val="en-GB"/>
        </w:rPr>
        <w:t xml:space="preserve">and (ii) SIR 2014, Identification and Characterization of Biomarkers for Autism Spectrum Disorder </w:t>
      </w:r>
      <w:r w:rsidRPr="0024604A">
        <w:rPr>
          <w:rFonts w:ascii="Calibri" w:hAnsi="Calibri"/>
          <w:lang w:val="en-GB"/>
        </w:rPr>
        <w:t xml:space="preserve">of </w:t>
      </w:r>
      <w:r w:rsidR="00864587" w:rsidRPr="0024604A">
        <w:rPr>
          <w:rFonts w:ascii="Calibri" w:hAnsi="Calibri"/>
          <w:lang w:val="en-GB"/>
        </w:rPr>
        <w:t>“</w:t>
      </w:r>
      <w:r w:rsidRPr="0024604A">
        <w:rPr>
          <w:rFonts w:ascii="Calibri" w:hAnsi="Calibri"/>
          <w:lang w:val="en-GB"/>
        </w:rPr>
        <w:t xml:space="preserve">Ministero per l'Istruzione, l'Università e la </w:t>
      </w:r>
      <w:proofErr w:type="spellStart"/>
      <w:r w:rsidRPr="0024604A">
        <w:rPr>
          <w:rFonts w:ascii="Calibri" w:hAnsi="Calibri"/>
          <w:lang w:val="en-GB"/>
        </w:rPr>
        <w:t>Ricerca</w:t>
      </w:r>
      <w:proofErr w:type="spellEnd"/>
      <w:r w:rsidR="00864587" w:rsidRPr="0024604A">
        <w:rPr>
          <w:rFonts w:ascii="Calibri" w:hAnsi="Calibri"/>
          <w:lang w:val="en-GB"/>
        </w:rPr>
        <w:t>”</w:t>
      </w:r>
      <w:r w:rsidRPr="0024604A">
        <w:rPr>
          <w:rFonts w:ascii="Calibri" w:hAnsi="Calibri"/>
          <w:lang w:val="en-GB"/>
        </w:rPr>
        <w:t xml:space="preserve"> (MIUR)</w:t>
      </w:r>
      <w:r w:rsidR="00864587" w:rsidRPr="0024604A">
        <w:rPr>
          <w:rFonts w:ascii="Calibri" w:hAnsi="Calibri"/>
          <w:lang w:val="en-GB"/>
        </w:rPr>
        <w:t>.</w:t>
      </w:r>
      <w:r w:rsidR="00153A2D" w:rsidRPr="0024604A">
        <w:rPr>
          <w:rFonts w:ascii="Calibri" w:hAnsi="Calibri"/>
          <w:lang w:val="en-GB"/>
        </w:rPr>
        <w:t xml:space="preserve"> </w:t>
      </w:r>
      <w:r w:rsidR="00F10217" w:rsidRPr="0024604A">
        <w:rPr>
          <w:rFonts w:ascii="Calibri" w:hAnsi="Calibri"/>
          <w:lang w:val="en-GB"/>
        </w:rPr>
        <w:t xml:space="preserve">G.V. </w:t>
      </w:r>
      <w:r w:rsidR="00314463" w:rsidRPr="0024604A">
        <w:rPr>
          <w:rFonts w:ascii="Calibri" w:hAnsi="Calibri"/>
          <w:lang w:val="en-GB"/>
        </w:rPr>
        <w:t xml:space="preserve">during his Ph.D. period abroad </w:t>
      </w:r>
      <w:r w:rsidR="00F10217" w:rsidRPr="0024604A">
        <w:rPr>
          <w:rFonts w:ascii="Calibri" w:hAnsi="Calibri"/>
          <w:lang w:val="en-GB"/>
        </w:rPr>
        <w:t xml:space="preserve">carried out part of this </w:t>
      </w:r>
      <w:r w:rsidR="00C14D80" w:rsidRPr="0024604A">
        <w:rPr>
          <w:rFonts w:ascii="Calibri" w:hAnsi="Calibri"/>
          <w:lang w:val="en-GB"/>
        </w:rPr>
        <w:t xml:space="preserve">work in Manchester </w:t>
      </w:r>
      <w:r w:rsidR="00F10217" w:rsidRPr="0024604A">
        <w:rPr>
          <w:rFonts w:ascii="Calibri" w:hAnsi="Calibri"/>
          <w:lang w:val="en-GB"/>
        </w:rPr>
        <w:t xml:space="preserve">at the </w:t>
      </w:r>
      <w:r w:rsidR="00C14D80" w:rsidRPr="0024604A">
        <w:rPr>
          <w:rFonts w:ascii="Calibri" w:hAnsi="Calibri"/>
          <w:lang w:val="en-GB"/>
        </w:rPr>
        <w:t>Institute of Biotechnology</w:t>
      </w:r>
      <w:r w:rsidR="00314463" w:rsidRPr="0024604A">
        <w:rPr>
          <w:rFonts w:ascii="Calibri" w:hAnsi="Calibri"/>
          <w:lang w:val="en-GB"/>
        </w:rPr>
        <w:t>.</w:t>
      </w:r>
    </w:p>
    <w:p w14:paraId="1EA41197" w14:textId="2C678893" w:rsidR="005444BA" w:rsidRPr="0024604A" w:rsidRDefault="005444BA" w:rsidP="008046E2">
      <w:pPr>
        <w:widowControl w:val="0"/>
        <w:tabs>
          <w:tab w:val="left" w:pos="-2127"/>
        </w:tabs>
        <w:spacing w:after="200" w:line="480" w:lineRule="auto"/>
        <w:contextualSpacing/>
        <w:jc w:val="both"/>
        <w:rPr>
          <w:rFonts w:ascii="Calibri" w:hAnsi="Calibri"/>
          <w:lang w:val="en-GB"/>
        </w:rPr>
      </w:pPr>
    </w:p>
    <w:p w14:paraId="3A1F229A" w14:textId="77777777" w:rsidR="005444BA" w:rsidRPr="0024604A" w:rsidRDefault="005444BA" w:rsidP="005444BA">
      <w:pPr>
        <w:pStyle w:val="Corpotesto"/>
        <w:spacing w:line="480" w:lineRule="auto"/>
        <w:jc w:val="both"/>
        <w:rPr>
          <w:rFonts w:ascii="Calibri" w:hAnsi="Calibri"/>
        </w:rPr>
      </w:pPr>
      <w:r w:rsidRPr="0024604A">
        <w:rPr>
          <w:rFonts w:ascii="Calibri" w:hAnsi="Calibri"/>
          <w:b/>
          <w:szCs w:val="24"/>
          <w:lang w:val="en-GB"/>
        </w:rPr>
        <w:t>Conflict-of-interest</w:t>
      </w:r>
    </w:p>
    <w:p w14:paraId="1AEF3709" w14:textId="577F3FD7" w:rsidR="005444BA" w:rsidRPr="0024604A" w:rsidRDefault="005444BA" w:rsidP="005444BA">
      <w:pPr>
        <w:widowControl w:val="0"/>
        <w:tabs>
          <w:tab w:val="left" w:pos="-2127"/>
        </w:tabs>
        <w:spacing w:after="200" w:line="480" w:lineRule="auto"/>
        <w:contextualSpacing/>
        <w:jc w:val="both"/>
        <w:rPr>
          <w:rFonts w:ascii="Calibri" w:hAnsi="Calibri"/>
          <w:lang w:val="en-US"/>
        </w:rPr>
      </w:pPr>
      <w:r w:rsidRPr="0024604A">
        <w:rPr>
          <w:rFonts w:ascii="Calibri" w:hAnsi="Calibri"/>
          <w:lang w:val="en-US"/>
        </w:rPr>
        <w:t xml:space="preserve">The authors declare no </w:t>
      </w:r>
      <w:bookmarkStart w:id="23" w:name="_Hlk2687978"/>
      <w:r w:rsidRPr="0024604A">
        <w:rPr>
          <w:rFonts w:ascii="Calibri" w:hAnsi="Calibri"/>
          <w:lang w:val="en-US"/>
        </w:rPr>
        <w:t>conflict-of-interest</w:t>
      </w:r>
      <w:bookmarkEnd w:id="23"/>
      <w:r w:rsidRPr="0024604A">
        <w:rPr>
          <w:rFonts w:ascii="Calibri" w:hAnsi="Calibri"/>
          <w:lang w:val="en-US"/>
        </w:rPr>
        <w:t>.</w:t>
      </w:r>
    </w:p>
    <w:p w14:paraId="2F3F67C0" w14:textId="77777777" w:rsidR="00864587" w:rsidRPr="0024604A" w:rsidRDefault="00864587">
      <w:pPr>
        <w:rPr>
          <w:rFonts w:ascii="Calibri" w:hAnsi="Calibri"/>
          <w:b/>
          <w:lang w:val="en-GB"/>
        </w:rPr>
      </w:pPr>
      <w:r w:rsidRPr="0024604A">
        <w:rPr>
          <w:rFonts w:ascii="Calibri" w:hAnsi="Calibri"/>
          <w:b/>
          <w:lang w:val="en-GB"/>
        </w:rPr>
        <w:br w:type="page"/>
      </w:r>
    </w:p>
    <w:p w14:paraId="709D6EC8" w14:textId="7E4EC744" w:rsidR="00A127C5" w:rsidRPr="0024604A" w:rsidRDefault="00A127C5" w:rsidP="0034446E">
      <w:pPr>
        <w:spacing w:line="360" w:lineRule="auto"/>
        <w:rPr>
          <w:rFonts w:ascii="Calibri" w:hAnsi="Calibri"/>
          <w:b/>
          <w:lang w:val="en-GB"/>
        </w:rPr>
      </w:pPr>
      <w:r w:rsidRPr="0024604A">
        <w:rPr>
          <w:rFonts w:ascii="Calibri" w:hAnsi="Calibri"/>
          <w:b/>
          <w:lang w:val="en-GB"/>
        </w:rPr>
        <w:lastRenderedPageBreak/>
        <w:t xml:space="preserve">REFERENCES </w:t>
      </w:r>
    </w:p>
    <w:p w14:paraId="21DFF2FE" w14:textId="7314EC15" w:rsidR="00DF72B3" w:rsidRPr="0024604A" w:rsidRDefault="006B5F99"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sz w:val="22"/>
          <w:szCs w:val="22"/>
          <w:lang w:val="en-GB"/>
        </w:rPr>
        <w:fldChar w:fldCharType="begin" w:fldLock="1"/>
      </w:r>
      <w:r w:rsidRPr="0024604A">
        <w:rPr>
          <w:rFonts w:ascii="Calibri" w:hAnsi="Calibri"/>
          <w:sz w:val="22"/>
          <w:szCs w:val="22"/>
          <w:lang w:val="en-GB"/>
        </w:rPr>
        <w:instrText xml:space="preserve">ADDIN Mendeley Bibliography CSL_BIBLIOGRAPHY </w:instrText>
      </w:r>
      <w:r w:rsidRPr="0024604A">
        <w:rPr>
          <w:rFonts w:ascii="Calibri" w:hAnsi="Calibri"/>
          <w:sz w:val="22"/>
          <w:szCs w:val="22"/>
          <w:lang w:val="en-GB"/>
        </w:rPr>
        <w:fldChar w:fldCharType="separate"/>
      </w:r>
      <w:r w:rsidR="00DF72B3" w:rsidRPr="0024604A">
        <w:rPr>
          <w:rFonts w:ascii="Calibri" w:hAnsi="Calibri" w:cs="Calibri"/>
          <w:noProof/>
          <w:sz w:val="22"/>
          <w:lang w:val="en-GB"/>
        </w:rPr>
        <w:t xml:space="preserve">1. </w:t>
      </w:r>
      <w:r w:rsidR="00DF72B3" w:rsidRPr="0024604A">
        <w:rPr>
          <w:rFonts w:ascii="Calibri" w:hAnsi="Calibri" w:cs="Calibri"/>
          <w:noProof/>
          <w:sz w:val="22"/>
          <w:lang w:val="en-GB"/>
        </w:rPr>
        <w:tab/>
        <w:t>American Psychiatric Association (2013) Neurodevelopmental Disorders. Diagnostic Stat Man Ment Disord. doi: 10.1176/appi.books.9780890425596.dsm01</w:t>
      </w:r>
    </w:p>
    <w:p w14:paraId="2779B492"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2. </w:t>
      </w:r>
      <w:r w:rsidRPr="0024604A">
        <w:rPr>
          <w:rFonts w:ascii="Calibri" w:hAnsi="Calibri" w:cs="Calibri"/>
          <w:noProof/>
          <w:sz w:val="22"/>
          <w:lang w:val="en-GB"/>
        </w:rPr>
        <w:tab/>
        <w:t>Fombonne É (2003) Epidemiological surveys of autism and other pervasive developmental disorders: an update. J Autism Dev Disord 33:365–382. doi: 10.1023/A:1025054610557</w:t>
      </w:r>
    </w:p>
    <w:p w14:paraId="031104A8"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3. </w:t>
      </w:r>
      <w:r w:rsidRPr="0024604A">
        <w:rPr>
          <w:rFonts w:ascii="Calibri" w:hAnsi="Calibri" w:cs="Calibri"/>
          <w:noProof/>
          <w:sz w:val="22"/>
          <w:lang w:val="en-GB"/>
        </w:rPr>
        <w:tab/>
        <w:t>Daniels AM, Mandell DS (2014) Explaining differences in age at autism spectrum disorder diagnosis: A critical review. Autism 18:583–597. doi: 10.1177/1362361313480277</w:t>
      </w:r>
    </w:p>
    <w:p w14:paraId="3EEC5CAD"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4. </w:t>
      </w:r>
      <w:r w:rsidRPr="0024604A">
        <w:rPr>
          <w:rFonts w:ascii="Calibri" w:hAnsi="Calibri" w:cs="Calibri"/>
          <w:noProof/>
          <w:sz w:val="22"/>
          <w:lang w:val="en-GB"/>
        </w:rPr>
        <w:tab/>
        <w:t>Charman T (2015) Variability in neurodevelopmental disorders: Evidence from autism spectrum disorders. In: Neurodev. Disord. Res. challenges Solut. Psychology Press, pp 117–140</w:t>
      </w:r>
    </w:p>
    <w:p w14:paraId="0CAC22CF"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5. </w:t>
      </w:r>
      <w:r w:rsidRPr="0024604A">
        <w:rPr>
          <w:rFonts w:ascii="Calibri" w:hAnsi="Calibri" w:cs="Calibri"/>
          <w:noProof/>
          <w:sz w:val="22"/>
          <w:lang w:val="en-GB"/>
        </w:rPr>
        <w:tab/>
        <w:t>Shen L, Liu XK, Zhang H, Lin J, Feng C, Iqbal J (2020) Biomarkers in autism spectrum disorders: Current progress. Clin Chim Acta 502:41–54. doi: 10.1016/j.cca.2019.12.009</w:t>
      </w:r>
    </w:p>
    <w:p w14:paraId="42C00E08"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6. </w:t>
      </w:r>
      <w:r w:rsidRPr="0024604A">
        <w:rPr>
          <w:rFonts w:ascii="Calibri" w:hAnsi="Calibri" w:cs="Calibri"/>
          <w:noProof/>
          <w:sz w:val="22"/>
          <w:lang w:val="en-GB"/>
        </w:rPr>
        <w:tab/>
        <w:t>Nguyen RL, Medvedeva Y V., Ayyagari TE, Schmunk G, Gargus JJ (2018) Intracellular calcium dysregulation in autism spectrum disorder: An analysis of converging organelle signaling pathways. Biochim Biophys Acta - Mol Cell Res 1865:1718–1732. doi: 10.1016/j.bbamcr.2018.08.003</w:t>
      </w:r>
    </w:p>
    <w:p w14:paraId="5CE71089"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7. </w:t>
      </w:r>
      <w:r w:rsidRPr="0024604A">
        <w:rPr>
          <w:rFonts w:ascii="Calibri" w:hAnsi="Calibri" w:cs="Calibri"/>
          <w:noProof/>
          <w:sz w:val="22"/>
          <w:lang w:val="en-GB"/>
        </w:rPr>
        <w:tab/>
        <w:t>Palmieri L, Papaleo V, Porcelli V, Scarcia P, Gaita L, Sacco R, Hager J, Rousseau F, Curatolo P, Manzi B, Militerni R, Bravaccio C, Trillo S, Schneider C, Melmed R, Elia M, Lenti C, Saccani M, Pascucci T, Puglisi-Allegra S, Reichelt K-L, Persico AM (2010) Altered calcium homeostasis in autism-spectrum disorders: evidence from biochemical and genetic studies of the mitochondrial aspartate/glutamate carrier AGC1. Mol Psychiatry 15:38–52. doi: 10.1038/mp.2008.63</w:t>
      </w:r>
    </w:p>
    <w:p w14:paraId="27724A7D"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8. </w:t>
      </w:r>
      <w:r w:rsidRPr="0024604A">
        <w:rPr>
          <w:rFonts w:ascii="Calibri" w:hAnsi="Calibri" w:cs="Calibri"/>
          <w:noProof/>
          <w:sz w:val="22"/>
          <w:lang w:val="en-GB"/>
        </w:rPr>
        <w:tab/>
        <w:t>Palmieri L, Persico AM (2010) Mitochondrial dysfunction in autism spectrum disorders: Cause or effect? Biochim Biophys Acta - Bioenerg 1797:1130–1137. doi: 10.1016/j.bbabio.2010.04.018</w:t>
      </w:r>
    </w:p>
    <w:p w14:paraId="66A05468"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9. </w:t>
      </w:r>
      <w:r w:rsidRPr="0024604A">
        <w:rPr>
          <w:rFonts w:ascii="Calibri" w:hAnsi="Calibri" w:cs="Calibri"/>
          <w:noProof/>
          <w:sz w:val="22"/>
          <w:lang w:val="en-GB"/>
        </w:rPr>
        <w:tab/>
        <w:t>Rose S, Niyazov DM, Rossignol DA, Goldenthal M, Kahler SG, Frye RE (2018) Clinical and Molecular Characteristics of Mitochondrial Dysfunction in Autism Spectrum Disorder. Mol Diagnosis Ther 22:571–593. doi: 10.1007/s40291-018-0352-x</w:t>
      </w:r>
    </w:p>
    <w:p w14:paraId="2FD3000F"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10. </w:t>
      </w:r>
      <w:r w:rsidRPr="0024604A">
        <w:rPr>
          <w:rFonts w:ascii="Calibri" w:hAnsi="Calibri" w:cs="Calibri"/>
          <w:noProof/>
          <w:sz w:val="22"/>
          <w:lang w:val="en-GB"/>
        </w:rPr>
        <w:tab/>
        <w:t>Ashwood P, Wills S, Van de Water J (2006) The immune response in autism: a new frontier for autism research. J Leukoc Biol 80:1–15. doi: 10.1189/jlb.1205707</w:t>
      </w:r>
    </w:p>
    <w:p w14:paraId="4CB616F7"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11. </w:t>
      </w:r>
      <w:r w:rsidRPr="0024604A">
        <w:rPr>
          <w:rFonts w:ascii="Calibri" w:hAnsi="Calibri" w:cs="Calibri"/>
          <w:noProof/>
          <w:sz w:val="22"/>
          <w:lang w:val="en-GB"/>
        </w:rPr>
        <w:tab/>
        <w:t>Napolioni V, Persico AM, Porcelli V, Palmieri L (2011) The mitochondrial aspartate/glutamate carrier AGC1 and calcium homeostasis: Physiological links and abnormalities in autism. Mol Neurobiol 44:83–92. doi: 10.1007/s12035-011-8192-2</w:t>
      </w:r>
    </w:p>
    <w:p w14:paraId="009BE191"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12. </w:t>
      </w:r>
      <w:r w:rsidRPr="0024604A">
        <w:rPr>
          <w:rFonts w:ascii="Calibri" w:hAnsi="Calibri" w:cs="Calibri"/>
          <w:noProof/>
          <w:sz w:val="22"/>
          <w:lang w:val="en-GB"/>
        </w:rPr>
        <w:tab/>
        <w:t>Sahin M, Sur M (2015) Genes, circuits, and precision therapies for autism and related neurodevelopmental disorders. Science 350:aab3897–aab3905. doi: 10.1126/science.aab3897</w:t>
      </w:r>
    </w:p>
    <w:p w14:paraId="7729375D"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13. </w:t>
      </w:r>
      <w:r w:rsidRPr="0024604A">
        <w:rPr>
          <w:rFonts w:ascii="Calibri" w:hAnsi="Calibri" w:cs="Calibri"/>
          <w:noProof/>
          <w:sz w:val="22"/>
          <w:lang w:val="en-GB"/>
        </w:rPr>
        <w:tab/>
        <w:t>Gładysz D, Krzywdzińska A, Hozyasz KK (2018) Immune Abnormalities in Autism Spectrum Disorder—Could They Hold Promise for Causative Treatment? Mol Neurobiol 55:6387–6435. doi: 10.1007/s12035-017-0822-x</w:t>
      </w:r>
    </w:p>
    <w:p w14:paraId="033DD3C4"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14. </w:t>
      </w:r>
      <w:r w:rsidRPr="0024604A">
        <w:rPr>
          <w:rFonts w:ascii="Calibri" w:hAnsi="Calibri" w:cs="Calibri"/>
          <w:noProof/>
          <w:sz w:val="22"/>
          <w:lang w:val="en-GB"/>
        </w:rPr>
        <w:tab/>
        <w:t>Mead J, Ashwood P (2015) Evidence supporting an altered immune response in ASD. Immunol Lett 163:49–55. doi: 10.1016/j.imlet.2014.11.006</w:t>
      </w:r>
    </w:p>
    <w:p w14:paraId="75F1B149"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15. </w:t>
      </w:r>
      <w:r w:rsidRPr="0024604A">
        <w:rPr>
          <w:rFonts w:ascii="Calibri" w:hAnsi="Calibri" w:cs="Calibri"/>
          <w:noProof/>
          <w:sz w:val="22"/>
          <w:lang w:val="en-GB"/>
        </w:rPr>
        <w:tab/>
        <w:t>Warren RP, Margaretten NC, Pace NC, Foster A (1986) Immune abnormalities in patients with autism. J Autism Dev Disord 16:189–197. doi: 10.1007/BF01531729</w:t>
      </w:r>
    </w:p>
    <w:p w14:paraId="542B285E"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16. </w:t>
      </w:r>
      <w:r w:rsidRPr="0024604A">
        <w:rPr>
          <w:rFonts w:ascii="Calibri" w:hAnsi="Calibri" w:cs="Calibri"/>
          <w:noProof/>
          <w:sz w:val="22"/>
          <w:lang w:val="en-GB"/>
        </w:rPr>
        <w:tab/>
        <w:t>Glatt SJ, Tsuang MT, Winn M, Chandler SD, Collins M, Lopez L, Weinfeld M, Carter C, Schork N, Pierce K, Courchesne E (2012) Blood-based gene expression signatures of infants and toddlers with autism. J Am Acad Child Adolesc Psychiatry 51:934. doi: 10.1016/j.jaac.2012.07.007</w:t>
      </w:r>
    </w:p>
    <w:p w14:paraId="16B88FD1" w14:textId="77777777" w:rsidR="00DF72B3" w:rsidRPr="0024604A" w:rsidRDefault="00DF72B3" w:rsidP="00DF72B3">
      <w:pPr>
        <w:widowControl w:val="0"/>
        <w:autoSpaceDE w:val="0"/>
        <w:autoSpaceDN w:val="0"/>
        <w:adjustRightInd w:val="0"/>
        <w:ind w:left="640" w:hanging="640"/>
        <w:rPr>
          <w:rFonts w:ascii="Calibri" w:hAnsi="Calibri" w:cs="Calibri"/>
          <w:noProof/>
          <w:sz w:val="22"/>
        </w:rPr>
      </w:pPr>
      <w:r w:rsidRPr="0024604A">
        <w:rPr>
          <w:rFonts w:ascii="Calibri" w:hAnsi="Calibri" w:cs="Calibri"/>
          <w:noProof/>
          <w:sz w:val="22"/>
          <w:lang w:val="en-GB"/>
        </w:rPr>
        <w:t xml:space="preserve">17. </w:t>
      </w:r>
      <w:r w:rsidRPr="0024604A">
        <w:rPr>
          <w:rFonts w:ascii="Calibri" w:hAnsi="Calibri" w:cs="Calibri"/>
          <w:noProof/>
          <w:sz w:val="22"/>
          <w:lang w:val="en-GB"/>
        </w:rPr>
        <w:tab/>
        <w:t xml:space="preserve">Shen L, Feng C, Zhang K, Chen Y, Gao Y, Ke J, Chen X, Lin J, Li C, Iqbal J, Zhao Y, Wang W (2019) Proteomics study of peripheral blood mononuclear cells (PBMCs) in autistic children. </w:t>
      </w:r>
      <w:r w:rsidRPr="0024604A">
        <w:rPr>
          <w:rFonts w:ascii="Calibri" w:hAnsi="Calibri" w:cs="Calibri"/>
          <w:noProof/>
          <w:sz w:val="22"/>
        </w:rPr>
        <w:t>Front Cell Neurosci 13:105. doi: 10.3389/fncel.2019.00105</w:t>
      </w:r>
    </w:p>
    <w:p w14:paraId="41720D75"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rPr>
        <w:t xml:space="preserve">18. </w:t>
      </w:r>
      <w:r w:rsidRPr="0024604A">
        <w:rPr>
          <w:rFonts w:ascii="Calibri" w:hAnsi="Calibri" w:cs="Calibri"/>
          <w:noProof/>
          <w:sz w:val="22"/>
        </w:rPr>
        <w:tab/>
        <w:t xml:space="preserve">Losito I, Patruno R, Conte E, Cataldi TRI, Megli FM, Palmisano F (2013) Phospholipidomics of human blood microparticles. </w:t>
      </w:r>
      <w:r w:rsidRPr="0024604A">
        <w:rPr>
          <w:rFonts w:ascii="Calibri" w:hAnsi="Calibri" w:cs="Calibri"/>
          <w:noProof/>
          <w:sz w:val="22"/>
          <w:lang w:val="en-GB"/>
        </w:rPr>
        <w:t>Anal Chem 85:6405–6413. doi: 10.1021/ac400829r</w:t>
      </w:r>
    </w:p>
    <w:p w14:paraId="4F7B14C0"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19. </w:t>
      </w:r>
      <w:r w:rsidRPr="0024604A">
        <w:rPr>
          <w:rFonts w:ascii="Calibri" w:hAnsi="Calibri" w:cs="Calibri"/>
          <w:noProof/>
          <w:sz w:val="22"/>
          <w:lang w:val="en-GB"/>
        </w:rPr>
        <w:tab/>
        <w:t xml:space="preserve">Cífková E, Holčapek M, Lísa M (2013) Nontargeted lipidomic characterization of porcine </w:t>
      </w:r>
      <w:r w:rsidRPr="0024604A">
        <w:rPr>
          <w:rFonts w:ascii="Calibri" w:hAnsi="Calibri" w:cs="Calibri"/>
          <w:noProof/>
          <w:sz w:val="22"/>
          <w:lang w:val="en-GB"/>
        </w:rPr>
        <w:lastRenderedPageBreak/>
        <w:t>organs using hydrophilic interaction liquid chromatography and off-line two-dimensional liquid chromatography-electrospray ionization mass spectrometry. Lipids 48:915–928. doi: 10.1007/s11745-013-3820-4</w:t>
      </w:r>
    </w:p>
    <w:p w14:paraId="3FD7DC06"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20. </w:t>
      </w:r>
      <w:r w:rsidRPr="0024604A">
        <w:rPr>
          <w:rFonts w:ascii="Calibri" w:hAnsi="Calibri" w:cs="Calibri"/>
          <w:noProof/>
          <w:sz w:val="22"/>
          <w:lang w:val="en-GB"/>
        </w:rPr>
        <w:tab/>
        <w:t>Ventura G, Bianco M, Calvano CD, Losito I, Cataldi TRI (2020) HILIC-ESI-FTMS with All Ion Fragmentation (AIF) Scans as a Tool for Fast Lipidome Investigations. Molecules 25:2310. doi: 10.3390/molecules25102310</w:t>
      </w:r>
    </w:p>
    <w:p w14:paraId="57209697"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21. </w:t>
      </w:r>
      <w:r w:rsidRPr="0024604A">
        <w:rPr>
          <w:rFonts w:ascii="Calibri" w:hAnsi="Calibri" w:cs="Calibri"/>
          <w:noProof/>
          <w:sz w:val="22"/>
          <w:lang w:val="en-GB"/>
        </w:rPr>
        <w:tab/>
        <w:t>Tsugawa H, Ikeda K, Arita M (2017) The importance of bioinformatics for connecting data-driven lipidomics and biological insights. Biochim Biophys Acta - Mol Cell Biol Lipids 1862:762–765. doi: 10.1016/j.bbalip.2017.05.006</w:t>
      </w:r>
    </w:p>
    <w:p w14:paraId="183DF27A"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22. </w:t>
      </w:r>
      <w:r w:rsidRPr="0024604A">
        <w:rPr>
          <w:rFonts w:ascii="Calibri" w:hAnsi="Calibri" w:cs="Calibri"/>
          <w:noProof/>
          <w:sz w:val="22"/>
          <w:lang w:val="en-GB"/>
        </w:rPr>
        <w:tab/>
        <w:t>Forsberg EM, Huan T, Rinehart D, Benton HP, Warth B, Hilmers B, Siuzdak G (2018) Data processing, multi-omic pathway mapping, and metabolite activity analysis using XCMS Online. Nat Protoc 13:633–651. doi: 10.1038/nprot.2017.151</w:t>
      </w:r>
    </w:p>
    <w:p w14:paraId="1B8C0113"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23. </w:t>
      </w:r>
      <w:r w:rsidRPr="0024604A">
        <w:rPr>
          <w:rFonts w:ascii="Calibri" w:hAnsi="Calibri" w:cs="Calibri"/>
          <w:noProof/>
          <w:sz w:val="22"/>
          <w:lang w:val="en-GB"/>
        </w:rPr>
        <w:tab/>
        <w:t>Husen P, Tarasov K, Katafiasz M, Sokol E, Vogt J, Baumgart J, Nitsch R, Ekroos K, Ejsing CS (2013) Analysis of lipid experiments (ALEX): A software framework for analysis of high-resolution shotgun lipidomics data. PLoS One 8:e79736. doi: 10.1371/journal.pone.0079736</w:t>
      </w:r>
    </w:p>
    <w:p w14:paraId="6511E5B4"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24. </w:t>
      </w:r>
      <w:r w:rsidRPr="0024604A">
        <w:rPr>
          <w:rFonts w:ascii="Calibri" w:hAnsi="Calibri" w:cs="Calibri"/>
          <w:noProof/>
          <w:sz w:val="22"/>
          <w:lang w:val="en-GB"/>
        </w:rPr>
        <w:tab/>
        <w:t>Ellis SR, Paine MRL, Eijkel GB, Pauling JK, Husen P, Jervelund MW, Hermansson M, Ejsing CS, Heeren RMA (2018) Automated, parallel mass spectrometry imaging and structural identification of lipids. Nat Methods 15:515–518. doi: 10.1038/s41592-018-0010-6</w:t>
      </w:r>
    </w:p>
    <w:p w14:paraId="7AA6263E"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25. </w:t>
      </w:r>
      <w:r w:rsidRPr="0024604A">
        <w:rPr>
          <w:rFonts w:ascii="Calibri" w:hAnsi="Calibri" w:cs="Calibri"/>
          <w:noProof/>
          <w:sz w:val="22"/>
          <w:lang w:val="en-GB"/>
        </w:rPr>
        <w:tab/>
        <w:t>Liebisch G, Vizcaíno JA, Köfeler H, Trötzmüller M, Griffiths WJ, Schmitz G, Spener F, Wakelam MJO, Vizcaino JA, Kofeler H, Trotzmuller M, Griffiths WJ, Schmitz G, Spener F, Wakelam MJO (2013) Shorthand notation for lipid structures derived from mass spectrometry. J Lipid Res 54:1523–1530. doi: 10.1194/jlr.M033506</w:t>
      </w:r>
    </w:p>
    <w:p w14:paraId="53162264"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26. </w:t>
      </w:r>
      <w:r w:rsidRPr="0024604A">
        <w:rPr>
          <w:rFonts w:ascii="Calibri" w:hAnsi="Calibri" w:cs="Calibri"/>
          <w:noProof/>
          <w:sz w:val="22"/>
          <w:lang w:val="en-GB"/>
        </w:rPr>
        <w:tab/>
        <w:t>Liebisch G, Ekroos K, Hermansson M, Ejsing CS (2017) Reporting of lipidomics data should be standardized. Biochim Biophys Acta - Mol Cell Biol Lipids 1862:747–751. doi: 10.1016/j.bbalip.2017.02.013</w:t>
      </w:r>
    </w:p>
    <w:p w14:paraId="13323890"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27. </w:t>
      </w:r>
      <w:r w:rsidRPr="0024604A">
        <w:rPr>
          <w:rFonts w:ascii="Calibri" w:hAnsi="Calibri" w:cs="Calibri"/>
          <w:noProof/>
          <w:sz w:val="22"/>
          <w:lang w:val="en-GB"/>
        </w:rPr>
        <w:tab/>
        <w:t>Bligh EG, Dyer WJ (1959) A rapid method of total lipid extraction and purification. Can J Biochem Physiol 37:911–917. doi: 10.1139/o59-099</w:t>
      </w:r>
    </w:p>
    <w:p w14:paraId="08B0A4D0"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28. </w:t>
      </w:r>
      <w:r w:rsidRPr="0024604A">
        <w:rPr>
          <w:rFonts w:ascii="Calibri" w:hAnsi="Calibri" w:cs="Calibri"/>
          <w:noProof/>
          <w:sz w:val="22"/>
          <w:lang w:val="en-GB"/>
        </w:rPr>
        <w:tab/>
        <w:t>Dunn WB, Broadhurst D, Begley P, Zelena E, Francis-Mcintyre S, Anderson N, Brown M, Knowles JD, Halsall A, Haselden JN, Nicholls AW, Wilson ID, Kell DB, Goodacre R (2011) Procedures for large-scale metabolic profiling of serum and plasma using gas chromatography and liquid chromatography coupled to mass spectrometry. Nat Protoc 6:1060–1083. doi: 10.1038/nprot.2011.335</w:t>
      </w:r>
    </w:p>
    <w:p w14:paraId="7BAF7163"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29. </w:t>
      </w:r>
      <w:r w:rsidRPr="0024604A">
        <w:rPr>
          <w:rFonts w:ascii="Calibri" w:hAnsi="Calibri" w:cs="Calibri"/>
          <w:noProof/>
          <w:sz w:val="22"/>
          <w:lang w:val="en-GB"/>
        </w:rPr>
        <w:tab/>
        <w:t>Kamleh MA, Ebbels TMD, Spagou K, Masson P, Want EJ (2012) Optimizing the use of quality control samples for signal drift correction in large-scale urine metabolic profiling studies. Anal Chem 84:2670–2677. doi: 10.1021/ac202733q</w:t>
      </w:r>
    </w:p>
    <w:p w14:paraId="149DDB27"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30. </w:t>
      </w:r>
      <w:r w:rsidRPr="0024604A">
        <w:rPr>
          <w:rFonts w:ascii="Calibri" w:hAnsi="Calibri" w:cs="Calibri"/>
          <w:noProof/>
          <w:sz w:val="22"/>
          <w:lang w:val="en-GB"/>
        </w:rPr>
        <w:tab/>
        <w:t>Benjamini Y, Hochberg Y (1995) Controlling the False Discovery Rate: A Practical and Powerful Approach to Multiple Testing. J R Stat Soc Ser B 57:289–300. doi: 10.1111/j.2517-6161.1995.tb02031.x</w:t>
      </w:r>
    </w:p>
    <w:p w14:paraId="06ED2822"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31. </w:t>
      </w:r>
      <w:r w:rsidRPr="0024604A">
        <w:rPr>
          <w:rFonts w:ascii="Calibri" w:hAnsi="Calibri" w:cs="Calibri"/>
          <w:noProof/>
          <w:sz w:val="22"/>
          <w:lang w:val="en-GB"/>
        </w:rPr>
        <w:tab/>
        <w:t>Granafei S, Azzone P, Spinelli VAVA, Losito I, Palmisano F, Cataldi TRITRI (2016) Hydrophilic interaction and reversed phase mixed-mode liquid chromatography coupled to high resolution tandem mass spectrometry for polar lipids analysis. J Chromatogr A 1477:47–55. doi: 10.1016/j.chroma.2016.11.048</w:t>
      </w:r>
    </w:p>
    <w:p w14:paraId="53296655"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32. </w:t>
      </w:r>
      <w:r w:rsidRPr="0024604A">
        <w:rPr>
          <w:rFonts w:ascii="Calibri" w:hAnsi="Calibri" w:cs="Calibri"/>
          <w:noProof/>
          <w:sz w:val="22"/>
          <w:lang w:val="en-GB"/>
        </w:rPr>
        <w:tab/>
        <w:t>Granafei S, Losito I, Palmisano F, Cataldi TRI (2015) Identification of isobaric lyso-phosphatidylcholines in lipid extracts of gilthead sea bream (Sparus aurata) fillets by hydrophilic interaction liquid chromatography coupled to high-resolution Fourier-transform mass spectrometry. Anal Bioanal Chem 407:6391–6404. doi: 10.1007/s00216-015-8671-9</w:t>
      </w:r>
    </w:p>
    <w:p w14:paraId="7647BDBE"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33. </w:t>
      </w:r>
      <w:r w:rsidRPr="0024604A">
        <w:rPr>
          <w:rFonts w:ascii="Calibri" w:hAnsi="Calibri" w:cs="Calibri"/>
          <w:noProof/>
          <w:sz w:val="22"/>
          <w:lang w:val="en-GB"/>
        </w:rPr>
        <w:tab/>
        <w:t>Calvano CD, Sardanelli AM, Ventura G, Glaciale M, Savino L, Losito I, Palmisano F, Cataldi TRI (2018) Development and use of advanced mass spectrometry techniques for the characterization of cellular and mitochondrial lipidomic profiling in control fibroblasts and Parkinson ’ s disease patients. Trends Pharm Biomed Anal 1:1–10. doi: 10.15761/TPBA.1000102</w:t>
      </w:r>
    </w:p>
    <w:p w14:paraId="39470D52"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34. </w:t>
      </w:r>
      <w:r w:rsidRPr="0024604A">
        <w:rPr>
          <w:rFonts w:ascii="Calibri" w:hAnsi="Calibri" w:cs="Calibri"/>
          <w:noProof/>
          <w:sz w:val="22"/>
          <w:lang w:val="en-GB"/>
        </w:rPr>
        <w:tab/>
        <w:t xml:space="preserve">Calvano CD, Ventura G, Sardanelli AM, Savino L, Losito I, De Michele G, Palmisano F, Cataldi </w:t>
      </w:r>
      <w:r w:rsidRPr="0024604A">
        <w:rPr>
          <w:rFonts w:ascii="Calibri" w:hAnsi="Calibri" w:cs="Calibri"/>
          <w:noProof/>
          <w:sz w:val="22"/>
          <w:lang w:val="en-GB"/>
        </w:rPr>
        <w:lastRenderedPageBreak/>
        <w:t>TRI, De Michele G, Palmisano F (2019) Searching for potential lipid biomarkers of parkinson’s disease in parkin-mutant human skin fibroblasts by HILIC-ESI-MS/MS: Preliminary findings. Int J Mol Sci 20:3341. doi: 10.3390/ijms20133341</w:t>
      </w:r>
    </w:p>
    <w:p w14:paraId="75D6E0D2"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35. </w:t>
      </w:r>
      <w:r w:rsidRPr="0024604A">
        <w:rPr>
          <w:rFonts w:ascii="Calibri" w:hAnsi="Calibri" w:cs="Calibri"/>
          <w:noProof/>
          <w:sz w:val="22"/>
          <w:lang w:val="en-GB"/>
        </w:rPr>
        <w:tab/>
        <w:t>Patti GJ, Tautenhahn R, Siuzdak G (2012) Meta-analysis of untargeted metabolomic data from multiple profiling experiments. Nat Protoc 7:508–516. doi: 10.1038/nprot.2011.454</w:t>
      </w:r>
    </w:p>
    <w:p w14:paraId="4F7BD6EB"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36. </w:t>
      </w:r>
      <w:r w:rsidRPr="0024604A">
        <w:rPr>
          <w:rFonts w:ascii="Calibri" w:hAnsi="Calibri" w:cs="Calibri"/>
          <w:noProof/>
          <w:sz w:val="22"/>
          <w:lang w:val="en-GB"/>
        </w:rPr>
        <w:tab/>
        <w:t>Libiseller G, Dvorzak M, Kleb U, Gander E, Eisenberg T, Madeo F, Neumann S, Trausinger G, Sinner F, Pieber T, Magnes C (2015) IPO: A tool for automated optimization of XCMS parameters. BMC Bioinformatics 16:1–10. doi: 10.1186/s12859-015-0562-8</w:t>
      </w:r>
    </w:p>
    <w:p w14:paraId="5CF0CE4F"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37. </w:t>
      </w:r>
      <w:r w:rsidRPr="0024604A">
        <w:rPr>
          <w:rFonts w:ascii="Calibri" w:hAnsi="Calibri" w:cs="Calibri"/>
          <w:noProof/>
          <w:sz w:val="22"/>
          <w:lang w:val="en-GB"/>
        </w:rPr>
        <w:tab/>
        <w:t>Albóniga OE, González O, Alonso RM, Xu Y, Goodacre R (2020) Optimization of XCMS parameters for LC–MS metabolomics: an assessment of automated versus manual tuning and its effect on the final results. Metabolomics 16:14. doi: 10.1007/s11306-020-1636-9</w:t>
      </w:r>
    </w:p>
    <w:p w14:paraId="1D279DD8"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38. </w:t>
      </w:r>
      <w:r w:rsidRPr="0024604A">
        <w:rPr>
          <w:rFonts w:ascii="Calibri" w:hAnsi="Calibri" w:cs="Calibri"/>
          <w:noProof/>
          <w:sz w:val="22"/>
          <w:lang w:val="en-GB"/>
        </w:rPr>
        <w:tab/>
        <w:t>Kuhl C, Tautenhahn R, Böttcher C, Larson TR, Neumann S (2012) CAMERA: An Integrated Strategy for Compound Spectra Extraction and Annotation of Liquid Chromatography/Mass Spectrometry Data Sets. Anal Chem 84:283–289. doi: 10.1021/ac202450g</w:t>
      </w:r>
    </w:p>
    <w:p w14:paraId="13DF2596"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39. </w:t>
      </w:r>
      <w:r w:rsidRPr="0024604A">
        <w:rPr>
          <w:rFonts w:ascii="Calibri" w:hAnsi="Calibri" w:cs="Calibri"/>
          <w:noProof/>
          <w:sz w:val="22"/>
          <w:lang w:val="en-GB"/>
        </w:rPr>
        <w:tab/>
        <w:t>Han X (2016) Factors Affecting Accurate Quantification of Lipids. In: Wiley (ed) Lipidomics Compr. Mass Spectrom. Lipids. John Wiley &amp; Sons, Inc, Hoboken, NJ, USA, pp 335–352</w:t>
      </w:r>
    </w:p>
    <w:p w14:paraId="72B1B538"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40. </w:t>
      </w:r>
      <w:r w:rsidRPr="0024604A">
        <w:rPr>
          <w:rFonts w:ascii="Calibri" w:hAnsi="Calibri" w:cs="Calibri"/>
          <w:noProof/>
          <w:sz w:val="22"/>
          <w:lang w:val="en-GB"/>
        </w:rPr>
        <w:tab/>
        <w:t>Dunn WB, Wilson ID, Nicholls AW, Broadhurst D (2012) The importance of experimental design and QC samples in large-scale and MS-driven untargeted metabolomic studies of humans. Bioanalysis 4:2249–2264. doi: 10.4155/bio.12.204</w:t>
      </w:r>
    </w:p>
    <w:p w14:paraId="26821B5C"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41. </w:t>
      </w:r>
      <w:r w:rsidRPr="0024604A">
        <w:rPr>
          <w:rFonts w:ascii="Calibri" w:hAnsi="Calibri" w:cs="Calibri"/>
          <w:noProof/>
          <w:sz w:val="22"/>
          <w:lang w:val="en-GB"/>
        </w:rPr>
        <w:tab/>
        <w:t>Broadhurst D, Goodacre R, Reinke SN, Kuligowski J, Wilson ID, Lewis MR, Dunn WB (2018) Guidelines and considerations for the use of system suitability and quality control samples in mass spectrometry assays applied in untargeted clinical metabolomic studies. Metabolomics 14:0. doi: 10.1007/s11306-018-1367-3</w:t>
      </w:r>
    </w:p>
    <w:p w14:paraId="68604F31"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42. </w:t>
      </w:r>
      <w:r w:rsidRPr="0024604A">
        <w:rPr>
          <w:rFonts w:ascii="Calibri" w:hAnsi="Calibri" w:cs="Calibri"/>
          <w:noProof/>
          <w:sz w:val="22"/>
          <w:lang w:val="en-GB"/>
        </w:rPr>
        <w:tab/>
        <w:t>Bartel J, Krumsiek J, Theis FJ (2013) Statistical methods for the analysis of high-throughput metabolomics data. Comput Struct Biotechnol J 4:e201301009. doi: 10.5936/csbj.201301009</w:t>
      </w:r>
    </w:p>
    <w:p w14:paraId="51CB0289"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43. </w:t>
      </w:r>
      <w:r w:rsidRPr="0024604A">
        <w:rPr>
          <w:rFonts w:ascii="Calibri" w:hAnsi="Calibri" w:cs="Calibri"/>
          <w:noProof/>
          <w:sz w:val="22"/>
          <w:lang w:val="en-GB"/>
        </w:rPr>
        <w:tab/>
        <w:t>Brereton RG (2003) Chemometrics. doi: 10.1002/0470863242</w:t>
      </w:r>
    </w:p>
    <w:p w14:paraId="742D25A5"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44. </w:t>
      </w:r>
      <w:r w:rsidRPr="0024604A">
        <w:rPr>
          <w:rFonts w:ascii="Calibri" w:hAnsi="Calibri" w:cs="Calibri"/>
          <w:noProof/>
          <w:sz w:val="22"/>
          <w:lang w:val="en-GB"/>
        </w:rPr>
        <w:tab/>
        <w:t>Bohm H V., Stewart MG (2009) Brief report: On the concordance percentages for autistic spectrum disorder of Twins. J Autism Dev Disord 39:806–808. doi: 10.1007/s10803-008-0683-2</w:t>
      </w:r>
    </w:p>
    <w:p w14:paraId="030A3005"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45. </w:t>
      </w:r>
      <w:r w:rsidRPr="0024604A">
        <w:rPr>
          <w:rFonts w:ascii="Calibri" w:hAnsi="Calibri" w:cs="Calibri"/>
          <w:noProof/>
          <w:sz w:val="22"/>
          <w:lang w:val="en-GB"/>
        </w:rPr>
        <w:tab/>
        <w:t>Gromski PS, Muhamadali H, Ellis DI, Xu Y, Correa E, Turner ML, Goodacre R (2015) A tutorial review: Metabolomics and partial least squares-discriminant analysis - a marriage of convenience or a shotgun wedding. Anal Chim Acta 879:10–23. doi: 10.1016/j.aca.2015.02.012</w:t>
      </w:r>
    </w:p>
    <w:p w14:paraId="38E0D3B5"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46. </w:t>
      </w:r>
      <w:r w:rsidRPr="0024604A">
        <w:rPr>
          <w:rFonts w:ascii="Calibri" w:hAnsi="Calibri" w:cs="Calibri"/>
          <w:noProof/>
          <w:sz w:val="22"/>
          <w:lang w:val="en-GB"/>
        </w:rPr>
        <w:tab/>
        <w:t>Chauhan V, Chauhan A, Cohen IL, Brown WT, Sheikh A (2004) Alteration in amino-glycerophospholipids levels in the plasma of children with autism: A potential biochemical diagnostic marker. Life Sci 74:1635–1643. doi: 10.1016/j.lfs.2003.08.024</w:t>
      </w:r>
    </w:p>
    <w:p w14:paraId="2426A0D2"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47. </w:t>
      </w:r>
      <w:r w:rsidRPr="0024604A">
        <w:rPr>
          <w:rFonts w:ascii="Calibri" w:hAnsi="Calibri" w:cs="Calibri"/>
          <w:noProof/>
          <w:sz w:val="22"/>
          <w:lang w:val="en-GB"/>
        </w:rPr>
        <w:tab/>
        <w:t xml:space="preserve">Murphy R (2015) Tandem Mass Spectrometry of Lipids. </w:t>
      </w:r>
    </w:p>
    <w:p w14:paraId="78F46F81"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48. </w:t>
      </w:r>
      <w:r w:rsidRPr="0024604A">
        <w:rPr>
          <w:rFonts w:ascii="Calibri" w:hAnsi="Calibri" w:cs="Calibri"/>
          <w:noProof/>
          <w:sz w:val="22"/>
          <w:lang w:val="en-GB"/>
        </w:rPr>
        <w:tab/>
        <w:t>Sumner LW, Amberg A, Barrett D, Beale MH, Beger R, Daykin CA, Fan TW-M, Fiehn O, Goodacre R, Griffin JL, Hankemeier T, Hardy N, Harnly J, Higashi R, Kopka J, Lane AN, Lindon JC, Marriott P, Nicholls AW, Reily MD, Thaden JJ, Viant MR (2007) Proposed minimum reporting standards for chemical analysis. Metabolomics 3:211–221. doi: 10.1007/s11306-007-0082-2</w:t>
      </w:r>
    </w:p>
    <w:p w14:paraId="54669230"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49. </w:t>
      </w:r>
      <w:r w:rsidRPr="0024604A">
        <w:rPr>
          <w:rFonts w:ascii="Calibri" w:hAnsi="Calibri" w:cs="Calibri"/>
          <w:noProof/>
          <w:sz w:val="22"/>
          <w:lang w:val="en-GB"/>
        </w:rPr>
        <w:tab/>
        <w:t>Storey JD (2002) A direct approach to false discovery rates. J R Stat Soc Ser B (Statistical Methodol 64:479–498. doi: 10.1111/1467-9868.00346</w:t>
      </w:r>
    </w:p>
    <w:p w14:paraId="7E030BAF"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50. </w:t>
      </w:r>
      <w:r w:rsidRPr="0024604A">
        <w:rPr>
          <w:rFonts w:ascii="Calibri" w:hAnsi="Calibri" w:cs="Calibri"/>
          <w:noProof/>
          <w:sz w:val="22"/>
          <w:lang w:val="en-GB"/>
        </w:rPr>
        <w:tab/>
        <w:t>Wenk MR (2005) The emerging field of lipidomics. Nat Rev Drug Discov 4:594–610. doi: 10.1038/nrd1776</w:t>
      </w:r>
    </w:p>
    <w:p w14:paraId="55E42704"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51. </w:t>
      </w:r>
      <w:r w:rsidRPr="0024604A">
        <w:rPr>
          <w:rFonts w:ascii="Calibri" w:hAnsi="Calibri" w:cs="Calibri"/>
          <w:noProof/>
          <w:sz w:val="22"/>
          <w:lang w:val="en-GB"/>
        </w:rPr>
        <w:tab/>
        <w:t>Harayama T, Riezman H (2018) Understanding the diversity of membrane lipid composition. Nat Rev Mol Cell Biol 19:281–296. doi: 10.1038/nrm.2017.138</w:t>
      </w:r>
    </w:p>
    <w:p w14:paraId="2CB9BAC4"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52. </w:t>
      </w:r>
      <w:r w:rsidRPr="0024604A">
        <w:rPr>
          <w:rFonts w:ascii="Calibri" w:hAnsi="Calibri" w:cs="Calibri"/>
          <w:noProof/>
          <w:sz w:val="22"/>
          <w:lang w:val="en-GB"/>
        </w:rPr>
        <w:tab/>
        <w:t>Han X (2016) Lipids and Lipidomics. In: Lipidomics. John Wiley &amp; Sons, Inc, Hoboken, NJ, USA, pp 1–20</w:t>
      </w:r>
    </w:p>
    <w:p w14:paraId="6C3EC3C6"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53. </w:t>
      </w:r>
      <w:r w:rsidRPr="0024604A">
        <w:rPr>
          <w:rFonts w:ascii="Calibri" w:hAnsi="Calibri" w:cs="Calibri"/>
          <w:noProof/>
          <w:sz w:val="22"/>
          <w:lang w:val="en-GB"/>
        </w:rPr>
        <w:tab/>
        <w:t>Calvano CD, Palmisano F, Cataldi TRI (2018) Understanding neurodegenerative disorders by MS-based lipidomics. Bioanalysis 10:787–790. doi: 10.4155/bio-2018-0023</w:t>
      </w:r>
    </w:p>
    <w:p w14:paraId="3EE96337"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lastRenderedPageBreak/>
        <w:t xml:space="preserve">54. </w:t>
      </w:r>
      <w:r w:rsidRPr="0024604A">
        <w:rPr>
          <w:rFonts w:ascii="Calibri" w:hAnsi="Calibri" w:cs="Calibri"/>
          <w:noProof/>
          <w:sz w:val="22"/>
          <w:lang w:val="en-GB"/>
        </w:rPr>
        <w:tab/>
        <w:t>Yang K, Han X (2011) Accurate quantification of lipid species by electrospray ionization mass spectrometry - Meets a key challenge in lipidomics. Metabolites 1:21–40. doi: 10.3390/metabo1010021</w:t>
      </w:r>
    </w:p>
    <w:p w14:paraId="1A8FF832"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55. </w:t>
      </w:r>
      <w:r w:rsidRPr="0024604A">
        <w:rPr>
          <w:rFonts w:ascii="Calibri" w:hAnsi="Calibri" w:cs="Calibri"/>
          <w:noProof/>
          <w:sz w:val="22"/>
          <w:lang w:val="en-GB"/>
        </w:rPr>
        <w:tab/>
        <w:t>Wiest MM, German JB, Harvey DJ, Watkins SM, Hertz-Picciotto I (2009) Plasma fatty acid profiles in autism: A case-control study. Prostaglandins Leukot Essent Fat Acids 80:221–227. doi: 10.1016/j.plefa.2009.01.007</w:t>
      </w:r>
    </w:p>
    <w:p w14:paraId="20314705"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56. </w:t>
      </w:r>
      <w:r w:rsidRPr="0024604A">
        <w:rPr>
          <w:rFonts w:ascii="Calibri" w:hAnsi="Calibri" w:cs="Calibri"/>
          <w:noProof/>
          <w:sz w:val="22"/>
          <w:lang w:val="en-GB"/>
        </w:rPr>
        <w:tab/>
        <w:t>Brigandi SA, Shao H, Qian SY, Shen Y, Wu BL, Kang JX (2015) Autistic children exhibit decreased levels of essential fatty acids in red blood cells. Int J Mol Sci 16:10061–10076. doi: 10.3390/ijms160510061</w:t>
      </w:r>
    </w:p>
    <w:p w14:paraId="1D7E4EC7"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57. </w:t>
      </w:r>
      <w:r w:rsidRPr="0024604A">
        <w:rPr>
          <w:rFonts w:ascii="Calibri" w:hAnsi="Calibri" w:cs="Calibri"/>
          <w:noProof/>
          <w:sz w:val="22"/>
          <w:lang w:val="en-GB"/>
        </w:rPr>
        <w:tab/>
        <w:t>Richardson AJ, Ross MA (2000) Fatty acid metabolism in neurodevelopmental disorder: a new perspective on associations between attention-deficit/hyperactivity disorder, dyslexia, dyspraxia and the autistic spectrum. Prostaglandins, Leukot Essent Fat Acids 63:1–9. doi: 10.1054/plef.2000.0184</w:t>
      </w:r>
    </w:p>
    <w:p w14:paraId="11A0F878"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58. </w:t>
      </w:r>
      <w:r w:rsidRPr="0024604A">
        <w:rPr>
          <w:rFonts w:ascii="Calibri" w:hAnsi="Calibri" w:cs="Calibri"/>
          <w:noProof/>
          <w:sz w:val="22"/>
          <w:lang w:val="en-GB"/>
        </w:rPr>
        <w:tab/>
        <w:t>El-Ansary A, Chirumbolo S, Bhat RS, Dadar M, Ibrahim EM, Bjørklund G (2020) The Role of Lipidomics in Autism Spectrum Disorder. Mol Diagnosis Ther 24:31–48. doi: 10.1007/s40291-019-00430-0</w:t>
      </w:r>
    </w:p>
    <w:p w14:paraId="6768D4B4"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59. </w:t>
      </w:r>
      <w:r w:rsidRPr="0024604A">
        <w:rPr>
          <w:rFonts w:ascii="Calibri" w:hAnsi="Calibri" w:cs="Calibri"/>
          <w:noProof/>
          <w:sz w:val="22"/>
          <w:lang w:val="en-GB"/>
        </w:rPr>
        <w:tab/>
        <w:t>Vancassel S, Durand G, Barthélémy C, Lejeune B, Martineau J, Guilloteau D, Andrès C, Chalon S (2001) Plasma fatty acid levels in autistic children. Prostaglandins, Leukot Essent Fat Acids 65:1–7. doi: 10.1054/plef.2001.0281</w:t>
      </w:r>
    </w:p>
    <w:p w14:paraId="3BB4F7AD"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60. </w:t>
      </w:r>
      <w:r w:rsidRPr="0024604A">
        <w:rPr>
          <w:rFonts w:ascii="Calibri" w:hAnsi="Calibri" w:cs="Calibri"/>
          <w:noProof/>
          <w:sz w:val="22"/>
          <w:lang w:val="en-GB"/>
        </w:rPr>
        <w:tab/>
        <w:t>Bell JG, MacKinlay EE, Dick JR, MacDonald DJ, Boyle RM, Glen ACA (2004) Essential fatty acids and phospholipase A2 in autistic spectrum disorders. In: Prostaglandins Leukot. Essent. Fat. Acids. pp 201–204</w:t>
      </w:r>
    </w:p>
    <w:p w14:paraId="288E6C1C"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61. </w:t>
      </w:r>
      <w:r w:rsidRPr="0024604A">
        <w:rPr>
          <w:rFonts w:ascii="Calibri" w:hAnsi="Calibri" w:cs="Calibri"/>
          <w:noProof/>
          <w:sz w:val="22"/>
          <w:lang w:val="en-GB"/>
        </w:rPr>
        <w:tab/>
        <w:t>Bell JG, Miller D, MacDonald DJ, MacKinlay EE, Dick JR, Cheseldine S, Boyle RM, Graham C, O’Hare AE (2010) The fatty acid compositions of erythrocyte and plasma polar lipids in children with autism, developmental delay or typically developing controls and the effect of fish oil intake. Br J Nutr 103:1160–1167. doi: 10.1017/S0007114509992881</w:t>
      </w:r>
    </w:p>
    <w:p w14:paraId="7AD633DA"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62. </w:t>
      </w:r>
      <w:r w:rsidRPr="0024604A">
        <w:rPr>
          <w:rFonts w:ascii="Calibri" w:hAnsi="Calibri" w:cs="Calibri"/>
          <w:noProof/>
          <w:sz w:val="22"/>
          <w:lang w:val="en-GB"/>
        </w:rPr>
        <w:tab/>
        <w:t>Bu B, Ashwood P, Harvey D, King IB, Water J Van de, Jin LW (2006) Fatty acid compositions of red blood cell phospholipids in children with autism. Prostaglandins Leukot Essent Fat Acids 74:215–221. doi: 10.1016/j.plefa.2006.02.001</w:t>
      </w:r>
    </w:p>
    <w:p w14:paraId="06902F8E"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63. </w:t>
      </w:r>
      <w:r w:rsidRPr="0024604A">
        <w:rPr>
          <w:rFonts w:ascii="Calibri" w:hAnsi="Calibri" w:cs="Calibri"/>
          <w:noProof/>
          <w:sz w:val="22"/>
          <w:lang w:val="en-GB"/>
        </w:rPr>
        <w:tab/>
        <w:t>El-Ansary AK, Ben Bacha AG, Al- Ayahdi LY (2011) Plasma fatty acids as diagnostic markers in autistic patients from Saudi Arabia. Lipids Health Dis 10:62. doi: 10.1186/1476-511X-10-62</w:t>
      </w:r>
    </w:p>
    <w:p w14:paraId="647D09B7"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64. </w:t>
      </w:r>
      <w:r w:rsidRPr="0024604A">
        <w:rPr>
          <w:rFonts w:ascii="Calibri" w:hAnsi="Calibri" w:cs="Calibri"/>
          <w:noProof/>
          <w:sz w:val="22"/>
          <w:lang w:val="en-GB"/>
        </w:rPr>
        <w:tab/>
        <w:t>Howsmon DP, Adams JB, Kruger U, Geis E, Gehn E, Hahn J (2018) Erythrocyte fatty acid profiles in children are not predictive of autism spectrum disorder status: A case control study. Biomark Res 6:12. doi: 10.1186/s40364-018-0125-z</w:t>
      </w:r>
    </w:p>
    <w:p w14:paraId="2BEA94FD"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65. </w:t>
      </w:r>
      <w:r w:rsidRPr="0024604A">
        <w:rPr>
          <w:rFonts w:ascii="Calibri" w:hAnsi="Calibri" w:cs="Calibri"/>
          <w:noProof/>
          <w:sz w:val="22"/>
          <w:lang w:val="en-GB"/>
        </w:rPr>
        <w:tab/>
        <w:t>Neubronner J, Schuchardt JP, Kressel G, Merkel M, Von Schacky C, Hahn A (2011) Enhanced increase of omega-3 index in response to long-term n-3 fatty acid supplementation from triacylglycerides versus ethyl esters. Eur J Clin Nutr 65:247–254. doi: 10.1038/ejcn.2010.239</w:t>
      </w:r>
    </w:p>
    <w:p w14:paraId="616269C7"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66. </w:t>
      </w:r>
      <w:r w:rsidRPr="0024604A">
        <w:rPr>
          <w:rFonts w:ascii="Calibri" w:hAnsi="Calibri" w:cs="Calibri"/>
          <w:noProof/>
          <w:sz w:val="22"/>
          <w:lang w:val="en-GB"/>
        </w:rPr>
        <w:tab/>
        <w:t>Al-Farsi YM, Waly MI, Deth RC, Al-Sharbati MM, Al-Shafaee M, Al-Farsi O, Al-Khaduri MM, Al-Adawi S, Hodgson NW, Gupta I, Ouhtit A (2013) Impact of nutrition on serum levels of docosahexaenoic acid among Omani children with autism. Nutrition 29:1142–1146. doi: 10.1016/j.nut.2013.03.009</w:t>
      </w:r>
    </w:p>
    <w:p w14:paraId="1780D628"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67. </w:t>
      </w:r>
      <w:r w:rsidRPr="0024604A">
        <w:rPr>
          <w:rFonts w:ascii="Calibri" w:hAnsi="Calibri" w:cs="Calibri"/>
          <w:noProof/>
          <w:sz w:val="22"/>
          <w:lang w:val="en-GB"/>
        </w:rPr>
        <w:tab/>
        <w:t>De Rubeis S, Buxbaum JD (2015) Genetics and genomics of autism spectrum disorder: Embracing complexity. Hum Mol Genet 24:R24–R31. doi: 10.1093/hmg/ddv273</w:t>
      </w:r>
    </w:p>
    <w:p w14:paraId="44A46E5C"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68. </w:t>
      </w:r>
      <w:r w:rsidRPr="0024604A">
        <w:rPr>
          <w:rFonts w:ascii="Calibri" w:hAnsi="Calibri" w:cs="Calibri"/>
          <w:noProof/>
          <w:sz w:val="22"/>
          <w:lang w:val="en-GB"/>
        </w:rPr>
        <w:tab/>
        <w:t>Sandin S, Lichtenstein P, Kuja-Halkola R, Larsson H, Hultman CM, Reichenberg A (2014) The Familial Risk of Autism. JAMA 311:1770. doi: 10.1001/jama.2014.4144</w:t>
      </w:r>
    </w:p>
    <w:p w14:paraId="732A913E"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69. </w:t>
      </w:r>
      <w:r w:rsidRPr="0024604A">
        <w:rPr>
          <w:rFonts w:ascii="Calibri" w:hAnsi="Calibri" w:cs="Calibri"/>
          <w:noProof/>
          <w:sz w:val="22"/>
          <w:lang w:val="en-GB"/>
        </w:rPr>
        <w:tab/>
        <w:t>Ng M, de Montigny JG, Ofner M, Do M (2017) Environmental factors associated with autism spectrum disorder: a scoping review for the years 2003–2013. Heal Promot Chronic Dis Prev Canada 37:1–23. doi: 10.24095/hpcdp.37.1.01</w:t>
      </w:r>
    </w:p>
    <w:p w14:paraId="4312DEDA" w14:textId="77777777" w:rsidR="00DF72B3" w:rsidRPr="0024604A" w:rsidRDefault="00DF72B3" w:rsidP="00DF72B3">
      <w:pPr>
        <w:widowControl w:val="0"/>
        <w:autoSpaceDE w:val="0"/>
        <w:autoSpaceDN w:val="0"/>
        <w:adjustRightInd w:val="0"/>
        <w:ind w:left="640" w:hanging="640"/>
        <w:rPr>
          <w:rFonts w:ascii="Calibri" w:hAnsi="Calibri" w:cs="Calibri"/>
          <w:noProof/>
          <w:sz w:val="22"/>
          <w:lang w:val="en-GB"/>
        </w:rPr>
      </w:pPr>
      <w:r w:rsidRPr="0024604A">
        <w:rPr>
          <w:rFonts w:ascii="Calibri" w:hAnsi="Calibri" w:cs="Calibri"/>
          <w:noProof/>
          <w:sz w:val="22"/>
          <w:lang w:val="en-GB"/>
        </w:rPr>
        <w:t xml:space="preserve">70. </w:t>
      </w:r>
      <w:r w:rsidRPr="0024604A">
        <w:rPr>
          <w:rFonts w:ascii="Calibri" w:hAnsi="Calibri" w:cs="Calibri"/>
          <w:noProof/>
          <w:sz w:val="22"/>
          <w:lang w:val="en-GB"/>
        </w:rPr>
        <w:tab/>
        <w:t>Calder PC (2008) The relationship between the fatty acid composition of immune cells and their function. Prostaglandins Leukot Essent Fat Acids 79:101–108. doi: 10.1016/j.plefa.2008.09.016</w:t>
      </w:r>
    </w:p>
    <w:p w14:paraId="13213BB1" w14:textId="3A9EE5CE" w:rsidR="00144507" w:rsidRPr="0024604A" w:rsidRDefault="006B5F99" w:rsidP="006C1BC5">
      <w:pPr>
        <w:widowControl w:val="0"/>
        <w:autoSpaceDE w:val="0"/>
        <w:autoSpaceDN w:val="0"/>
        <w:adjustRightInd w:val="0"/>
        <w:spacing w:line="360" w:lineRule="auto"/>
        <w:ind w:left="640" w:hanging="640"/>
        <w:rPr>
          <w:rFonts w:ascii="Calibri" w:hAnsi="Calibri"/>
          <w:sz w:val="22"/>
          <w:szCs w:val="22"/>
          <w:lang w:val="en-GB"/>
        </w:rPr>
      </w:pPr>
      <w:r w:rsidRPr="0024604A">
        <w:rPr>
          <w:rFonts w:ascii="Calibri" w:hAnsi="Calibri"/>
          <w:sz w:val="22"/>
          <w:szCs w:val="22"/>
          <w:lang w:val="en-GB"/>
        </w:rPr>
        <w:fldChar w:fldCharType="end"/>
      </w:r>
      <w:r w:rsidR="00144507" w:rsidRPr="0024604A">
        <w:rPr>
          <w:rFonts w:ascii="Calibri" w:hAnsi="Calibri"/>
          <w:sz w:val="22"/>
          <w:szCs w:val="22"/>
          <w:lang w:val="en-GB"/>
        </w:rPr>
        <w:br w:type="page"/>
      </w:r>
    </w:p>
    <w:p w14:paraId="7D1C1324" w14:textId="06BC8CC4" w:rsidR="00F00A30" w:rsidRPr="0024604A" w:rsidRDefault="00830469" w:rsidP="00F00A30">
      <w:pPr>
        <w:widowControl w:val="0"/>
        <w:autoSpaceDE w:val="0"/>
        <w:autoSpaceDN w:val="0"/>
        <w:adjustRightInd w:val="0"/>
        <w:ind w:left="1302" w:right="1134"/>
        <w:jc w:val="both"/>
        <w:rPr>
          <w:rFonts w:ascii="Calibri" w:eastAsia="SimSun" w:hAnsi="Calibri"/>
          <w:sz w:val="20"/>
          <w:lang w:val="en-GB" w:eastAsia="zh-CN"/>
        </w:rPr>
      </w:pPr>
      <w:r w:rsidRPr="0024604A">
        <w:rPr>
          <w:rFonts w:ascii="Calibri" w:eastAsia="SimSun" w:hAnsi="Calibri"/>
          <w:b/>
          <w:sz w:val="20"/>
          <w:lang w:val="en-GB" w:eastAsia="zh-CN"/>
        </w:rPr>
        <w:lastRenderedPageBreak/>
        <w:t>Table 1.</w:t>
      </w:r>
      <w:r w:rsidRPr="0024604A">
        <w:rPr>
          <w:rFonts w:ascii="Calibri" w:eastAsia="SimSun" w:hAnsi="Calibri"/>
          <w:sz w:val="20"/>
          <w:lang w:val="en-GB" w:eastAsia="zh-CN"/>
        </w:rPr>
        <w:t xml:space="preserve"> </w:t>
      </w:r>
      <w:r w:rsidR="00B6571C" w:rsidRPr="0024604A">
        <w:rPr>
          <w:rFonts w:ascii="Calibri" w:eastAsia="SimSun" w:hAnsi="Calibri"/>
          <w:sz w:val="20"/>
          <w:lang w:val="en-GB" w:eastAsia="zh-CN"/>
        </w:rPr>
        <w:t>Summary information of patients</w:t>
      </w:r>
      <w:r w:rsidR="0008746B" w:rsidRPr="0024604A">
        <w:rPr>
          <w:rFonts w:ascii="Calibri" w:eastAsia="SimSun" w:hAnsi="Calibri"/>
          <w:sz w:val="20"/>
          <w:lang w:val="en-GB" w:eastAsia="zh-CN"/>
        </w:rPr>
        <w:t xml:space="preserve"> and healthy siblings</w:t>
      </w:r>
      <w:r w:rsidR="00B6571C" w:rsidRPr="0024604A">
        <w:rPr>
          <w:rFonts w:ascii="Calibri" w:eastAsia="SimSun" w:hAnsi="Calibri"/>
          <w:sz w:val="20"/>
          <w:lang w:val="en-GB" w:eastAsia="zh-CN"/>
        </w:rPr>
        <w:t xml:space="preserve"> involved in the present study.</w:t>
      </w:r>
      <w:r w:rsidR="0008746B" w:rsidRPr="0024604A">
        <w:rPr>
          <w:rFonts w:ascii="Calibri" w:eastAsia="SimSun" w:hAnsi="Calibri"/>
          <w:sz w:val="20"/>
          <w:lang w:val="en-GB" w:eastAsia="zh-CN"/>
        </w:rPr>
        <w:t xml:space="preserve"> In the table, each row represent</w:t>
      </w:r>
      <w:r w:rsidR="00DB1016" w:rsidRPr="0024604A">
        <w:rPr>
          <w:rFonts w:ascii="Calibri" w:eastAsia="SimSun" w:hAnsi="Calibri"/>
          <w:sz w:val="20"/>
          <w:lang w:val="en-GB" w:eastAsia="zh-CN"/>
        </w:rPr>
        <w:t>s</w:t>
      </w:r>
      <w:r w:rsidR="0008746B" w:rsidRPr="0024604A">
        <w:rPr>
          <w:rFonts w:ascii="Calibri" w:eastAsia="SimSun" w:hAnsi="Calibri"/>
          <w:sz w:val="20"/>
          <w:lang w:val="en-GB" w:eastAsia="zh-CN"/>
        </w:rPr>
        <w:t xml:space="preserve"> </w:t>
      </w:r>
      <w:r w:rsidR="00F00A30" w:rsidRPr="0024604A">
        <w:rPr>
          <w:rFonts w:ascii="Calibri" w:eastAsia="SimSun" w:hAnsi="Calibri"/>
          <w:sz w:val="20"/>
          <w:lang w:val="en-GB" w:eastAsia="zh-CN"/>
        </w:rPr>
        <w:t>healthy sibling/patient</w:t>
      </w:r>
      <w:r w:rsidR="0008746B" w:rsidRPr="0024604A">
        <w:rPr>
          <w:rFonts w:ascii="Calibri" w:eastAsia="SimSun" w:hAnsi="Calibri"/>
          <w:sz w:val="20"/>
          <w:lang w:val="en-GB" w:eastAsia="zh-CN"/>
        </w:rPr>
        <w:t xml:space="preserve"> of the same family; age and sex </w:t>
      </w:r>
      <w:r w:rsidR="00B6571C" w:rsidRPr="0024604A">
        <w:rPr>
          <w:rFonts w:ascii="Calibri" w:eastAsia="SimSun" w:hAnsi="Calibri"/>
          <w:sz w:val="20"/>
          <w:lang w:val="en-GB" w:eastAsia="zh-CN"/>
        </w:rPr>
        <w:t>(F=female, M=</w:t>
      </w:r>
      <w:r w:rsidR="00BC4A07" w:rsidRPr="0024604A">
        <w:rPr>
          <w:rFonts w:ascii="Calibri" w:eastAsia="SimSun" w:hAnsi="Calibri"/>
          <w:sz w:val="20"/>
          <w:lang w:val="en-GB" w:eastAsia="zh-CN"/>
        </w:rPr>
        <w:t>male</w:t>
      </w:r>
      <w:r w:rsidR="00B6571C" w:rsidRPr="0024604A">
        <w:rPr>
          <w:rFonts w:ascii="Calibri" w:eastAsia="SimSun" w:hAnsi="Calibri"/>
          <w:sz w:val="20"/>
          <w:lang w:val="en-GB" w:eastAsia="zh-CN"/>
        </w:rPr>
        <w:t>)</w:t>
      </w:r>
      <w:r w:rsidR="0008746B" w:rsidRPr="0024604A">
        <w:rPr>
          <w:rFonts w:ascii="Calibri" w:eastAsia="SimSun" w:hAnsi="Calibri"/>
          <w:sz w:val="20"/>
          <w:lang w:val="en-GB" w:eastAsia="zh-CN"/>
        </w:rPr>
        <w:t xml:space="preserve"> </w:t>
      </w:r>
      <w:r w:rsidR="0012239B" w:rsidRPr="0024604A">
        <w:rPr>
          <w:rFonts w:ascii="Calibri" w:eastAsia="SimSun" w:hAnsi="Calibri"/>
          <w:sz w:val="20"/>
          <w:lang w:val="en-GB" w:eastAsia="zh-CN"/>
        </w:rPr>
        <w:t>together with the</w:t>
      </w:r>
      <w:r w:rsidR="00B6571C" w:rsidRPr="0024604A">
        <w:rPr>
          <w:rFonts w:ascii="Calibri" w:eastAsia="SimSun" w:hAnsi="Calibri"/>
          <w:sz w:val="20"/>
          <w:lang w:val="en-GB" w:eastAsia="zh-CN"/>
        </w:rPr>
        <w:t xml:space="preserve"> </w:t>
      </w:r>
      <w:r w:rsidR="0012239B" w:rsidRPr="0024604A">
        <w:rPr>
          <w:rFonts w:ascii="Calibri" w:eastAsia="SimSun" w:hAnsi="Calibri"/>
          <w:sz w:val="20"/>
          <w:lang w:val="en-GB" w:eastAsia="zh-CN"/>
        </w:rPr>
        <w:t>degree of severity established a</w:t>
      </w:r>
      <w:r w:rsidR="00B6571C" w:rsidRPr="0024604A">
        <w:rPr>
          <w:rFonts w:ascii="Calibri" w:eastAsia="SimSun" w:hAnsi="Calibri"/>
          <w:sz w:val="20"/>
          <w:lang w:val="en-GB" w:eastAsia="zh-CN"/>
        </w:rPr>
        <w:t xml:space="preserve">ccording to Diagnostic and Statistical Manual of Mental Disorders (DSM-5) </w:t>
      </w:r>
      <w:r w:rsidR="0012239B" w:rsidRPr="0024604A">
        <w:rPr>
          <w:rFonts w:ascii="Calibri" w:eastAsia="SimSun" w:hAnsi="Calibri"/>
          <w:sz w:val="20"/>
          <w:lang w:val="en-GB" w:eastAsia="zh-CN"/>
        </w:rPr>
        <w:t xml:space="preserve">are </w:t>
      </w:r>
      <w:r w:rsidR="00B6571C" w:rsidRPr="0024604A">
        <w:rPr>
          <w:rFonts w:ascii="Calibri" w:eastAsia="SimSun" w:hAnsi="Calibri"/>
          <w:sz w:val="20"/>
          <w:lang w:val="en-GB" w:eastAsia="zh-CN"/>
        </w:rPr>
        <w:t>reported.</w:t>
      </w:r>
    </w:p>
    <w:tbl>
      <w:tblPr>
        <w:tblStyle w:val="Tabellasemplice-2"/>
        <w:tblW w:w="6500" w:type="dxa"/>
        <w:jc w:val="center"/>
        <w:tblLook w:val="04A0" w:firstRow="1" w:lastRow="0" w:firstColumn="1" w:lastColumn="0" w:noHBand="0" w:noVBand="1"/>
      </w:tblPr>
      <w:tblGrid>
        <w:gridCol w:w="993"/>
        <w:gridCol w:w="1359"/>
        <w:gridCol w:w="1548"/>
        <w:gridCol w:w="1300"/>
        <w:gridCol w:w="1300"/>
      </w:tblGrid>
      <w:tr w:rsidR="0024604A" w:rsidRPr="0024604A" w14:paraId="5DF38A42" w14:textId="77777777" w:rsidTr="005A4B7F">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single" w:sz="4" w:space="0" w:color="7F7F7F" w:themeColor="text1" w:themeTint="80"/>
              <w:bottom w:val="single" w:sz="4" w:space="0" w:color="auto"/>
            </w:tcBorders>
            <w:noWrap/>
            <w:vAlign w:val="center"/>
            <w:hideMark/>
          </w:tcPr>
          <w:p w14:paraId="56E2A3B4" w14:textId="77777777" w:rsidR="005A4B7F" w:rsidRPr="0024604A" w:rsidRDefault="005A4B7F" w:rsidP="005A4B7F">
            <w:pPr>
              <w:jc w:val="center"/>
              <w:rPr>
                <w:rFonts w:asciiTheme="minorHAnsi" w:hAnsiTheme="minorHAnsi" w:cstheme="minorHAnsi"/>
                <w:sz w:val="20"/>
                <w:lang w:val="en-GB" w:eastAsia="zh-CN"/>
              </w:rPr>
            </w:pPr>
            <w:r w:rsidRPr="0024604A">
              <w:rPr>
                <w:rFonts w:asciiTheme="minorHAnsi" w:hAnsiTheme="minorHAnsi" w:cstheme="minorHAnsi"/>
                <w:sz w:val="20"/>
                <w:lang w:val="en-GB" w:eastAsia="zh-CN"/>
              </w:rPr>
              <w:t>Family</w:t>
            </w:r>
          </w:p>
        </w:tc>
        <w:tc>
          <w:tcPr>
            <w:tcW w:w="1359" w:type="dxa"/>
            <w:tcBorders>
              <w:top w:val="single" w:sz="4" w:space="0" w:color="7F7F7F" w:themeColor="text1" w:themeTint="80"/>
              <w:bottom w:val="single" w:sz="4" w:space="0" w:color="auto"/>
            </w:tcBorders>
            <w:noWrap/>
            <w:vAlign w:val="center"/>
            <w:hideMark/>
          </w:tcPr>
          <w:p w14:paraId="4FAF06DB" w14:textId="77777777" w:rsidR="005A4B7F" w:rsidRPr="0024604A" w:rsidRDefault="005A4B7F" w:rsidP="005A4B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lang w:val="en-GB" w:eastAsia="zh-CN"/>
              </w:rPr>
            </w:pPr>
            <w:r w:rsidRPr="0024604A">
              <w:rPr>
                <w:rFonts w:asciiTheme="minorHAnsi" w:hAnsiTheme="minorHAnsi" w:cstheme="minorHAnsi"/>
                <w:sz w:val="20"/>
                <w:lang w:val="en-GB" w:eastAsia="zh-CN"/>
              </w:rPr>
              <w:t>Age</w:t>
            </w:r>
          </w:p>
        </w:tc>
        <w:tc>
          <w:tcPr>
            <w:tcW w:w="1548" w:type="dxa"/>
            <w:tcBorders>
              <w:top w:val="single" w:sz="4" w:space="0" w:color="7F7F7F" w:themeColor="text1" w:themeTint="80"/>
              <w:bottom w:val="single" w:sz="4" w:space="0" w:color="auto"/>
            </w:tcBorders>
            <w:noWrap/>
            <w:vAlign w:val="center"/>
            <w:hideMark/>
          </w:tcPr>
          <w:p w14:paraId="08A6F0EE" w14:textId="77777777" w:rsidR="005A4B7F" w:rsidRPr="0024604A" w:rsidRDefault="005A4B7F" w:rsidP="005A4B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lang w:val="en-GB" w:eastAsia="zh-CN"/>
              </w:rPr>
            </w:pPr>
            <w:r w:rsidRPr="0024604A">
              <w:rPr>
                <w:rFonts w:asciiTheme="minorHAnsi" w:hAnsiTheme="minorHAnsi" w:cstheme="minorHAnsi"/>
                <w:sz w:val="20"/>
                <w:lang w:val="en-GB" w:eastAsia="zh-CN"/>
              </w:rPr>
              <w:t>Severity</w:t>
            </w:r>
          </w:p>
        </w:tc>
        <w:tc>
          <w:tcPr>
            <w:tcW w:w="1300" w:type="dxa"/>
            <w:tcBorders>
              <w:top w:val="single" w:sz="4" w:space="0" w:color="7F7F7F" w:themeColor="text1" w:themeTint="80"/>
              <w:bottom w:val="single" w:sz="4" w:space="0" w:color="auto"/>
            </w:tcBorders>
            <w:noWrap/>
            <w:vAlign w:val="center"/>
            <w:hideMark/>
          </w:tcPr>
          <w:p w14:paraId="0775871F" w14:textId="77777777" w:rsidR="005A4B7F" w:rsidRPr="0024604A" w:rsidRDefault="005A4B7F" w:rsidP="005A4B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lang w:val="en-GB" w:eastAsia="zh-CN"/>
              </w:rPr>
            </w:pPr>
            <w:r w:rsidRPr="0024604A">
              <w:rPr>
                <w:rFonts w:asciiTheme="minorHAnsi" w:hAnsiTheme="minorHAnsi" w:cstheme="minorHAnsi"/>
                <w:sz w:val="20"/>
                <w:lang w:val="en-GB" w:eastAsia="zh-CN"/>
              </w:rPr>
              <w:t>Cog. Delay</w:t>
            </w:r>
          </w:p>
        </w:tc>
        <w:tc>
          <w:tcPr>
            <w:tcW w:w="1300" w:type="dxa"/>
            <w:tcBorders>
              <w:top w:val="single" w:sz="4" w:space="0" w:color="7F7F7F" w:themeColor="text1" w:themeTint="80"/>
              <w:bottom w:val="single" w:sz="4" w:space="0" w:color="auto"/>
            </w:tcBorders>
            <w:noWrap/>
            <w:vAlign w:val="center"/>
            <w:hideMark/>
          </w:tcPr>
          <w:p w14:paraId="42CD6DA1" w14:textId="77777777" w:rsidR="005A4B7F" w:rsidRPr="0024604A" w:rsidRDefault="005A4B7F" w:rsidP="005A4B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lang w:val="en-GB" w:eastAsia="zh-CN"/>
              </w:rPr>
            </w:pPr>
            <w:r w:rsidRPr="0024604A">
              <w:rPr>
                <w:rFonts w:asciiTheme="minorHAnsi" w:hAnsiTheme="minorHAnsi" w:cstheme="minorHAnsi"/>
                <w:sz w:val="20"/>
                <w:lang w:val="en-GB" w:eastAsia="zh-CN"/>
              </w:rPr>
              <w:t>Sex</w:t>
            </w:r>
          </w:p>
        </w:tc>
      </w:tr>
      <w:tr w:rsidR="0024604A" w:rsidRPr="0024604A" w14:paraId="0E25D8C3" w14:textId="77777777" w:rsidTr="005A4B7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single" w:sz="4" w:space="0" w:color="auto"/>
              <w:left w:val="nil"/>
              <w:bottom w:val="nil"/>
            </w:tcBorders>
            <w:noWrap/>
            <w:vAlign w:val="center"/>
            <w:hideMark/>
          </w:tcPr>
          <w:p w14:paraId="630BFED6" w14:textId="77777777" w:rsidR="005A4B7F" w:rsidRPr="0024604A" w:rsidRDefault="005A4B7F" w:rsidP="005A4B7F">
            <w:pPr>
              <w:jc w:val="center"/>
              <w:rPr>
                <w:rFonts w:ascii="Calibri" w:hAnsi="Calibri"/>
                <w:b w:val="0"/>
                <w:sz w:val="20"/>
                <w:lang w:val="en-GB"/>
              </w:rPr>
            </w:pPr>
            <w:r w:rsidRPr="0024604A">
              <w:rPr>
                <w:rFonts w:ascii="Calibri" w:hAnsi="Calibri" w:cs="Calibri"/>
                <w:sz w:val="20"/>
                <w:szCs w:val="22"/>
                <w:lang w:val="en-GB"/>
              </w:rPr>
              <w:t>03</w:t>
            </w:r>
          </w:p>
        </w:tc>
        <w:tc>
          <w:tcPr>
            <w:tcW w:w="1359" w:type="dxa"/>
            <w:tcBorders>
              <w:top w:val="single" w:sz="4" w:space="0" w:color="auto"/>
              <w:bottom w:val="nil"/>
            </w:tcBorders>
            <w:noWrap/>
            <w:vAlign w:val="center"/>
            <w:hideMark/>
          </w:tcPr>
          <w:p w14:paraId="5E3C310E"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9/5</w:t>
            </w:r>
          </w:p>
        </w:tc>
        <w:tc>
          <w:tcPr>
            <w:tcW w:w="1548" w:type="dxa"/>
            <w:tcBorders>
              <w:top w:val="single" w:sz="4" w:space="0" w:color="auto"/>
              <w:bottom w:val="nil"/>
            </w:tcBorders>
            <w:noWrap/>
            <w:vAlign w:val="center"/>
            <w:hideMark/>
          </w:tcPr>
          <w:p w14:paraId="4632D3B5"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2</w:t>
            </w:r>
          </w:p>
        </w:tc>
        <w:tc>
          <w:tcPr>
            <w:tcW w:w="1300" w:type="dxa"/>
            <w:tcBorders>
              <w:top w:val="single" w:sz="4" w:space="0" w:color="auto"/>
              <w:bottom w:val="nil"/>
            </w:tcBorders>
            <w:noWrap/>
            <w:vAlign w:val="center"/>
            <w:hideMark/>
          </w:tcPr>
          <w:p w14:paraId="26F096A1"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Yes</w:t>
            </w:r>
          </w:p>
        </w:tc>
        <w:tc>
          <w:tcPr>
            <w:tcW w:w="1300" w:type="dxa"/>
            <w:tcBorders>
              <w:top w:val="single" w:sz="4" w:space="0" w:color="auto"/>
              <w:bottom w:val="nil"/>
            </w:tcBorders>
            <w:noWrap/>
            <w:vAlign w:val="center"/>
            <w:hideMark/>
          </w:tcPr>
          <w:p w14:paraId="76CF6A17"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M/M</w:t>
            </w:r>
          </w:p>
        </w:tc>
      </w:tr>
      <w:tr w:rsidR="0024604A" w:rsidRPr="0024604A" w14:paraId="0774A0E9" w14:textId="77777777" w:rsidTr="005A4B7F">
        <w:trPr>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5CF97399"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04</w:t>
            </w:r>
          </w:p>
        </w:tc>
        <w:tc>
          <w:tcPr>
            <w:tcW w:w="1359" w:type="dxa"/>
            <w:tcBorders>
              <w:top w:val="nil"/>
              <w:bottom w:val="nil"/>
            </w:tcBorders>
            <w:noWrap/>
            <w:vAlign w:val="center"/>
            <w:hideMark/>
          </w:tcPr>
          <w:p w14:paraId="68D4AEB7"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6/4</w:t>
            </w:r>
          </w:p>
        </w:tc>
        <w:tc>
          <w:tcPr>
            <w:tcW w:w="1548" w:type="dxa"/>
            <w:tcBorders>
              <w:top w:val="nil"/>
              <w:bottom w:val="nil"/>
            </w:tcBorders>
            <w:noWrap/>
            <w:vAlign w:val="center"/>
            <w:hideMark/>
          </w:tcPr>
          <w:p w14:paraId="423F7F2B"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2</w:t>
            </w:r>
          </w:p>
        </w:tc>
        <w:tc>
          <w:tcPr>
            <w:tcW w:w="1300" w:type="dxa"/>
            <w:tcBorders>
              <w:top w:val="nil"/>
              <w:bottom w:val="nil"/>
            </w:tcBorders>
            <w:noWrap/>
            <w:vAlign w:val="center"/>
            <w:hideMark/>
          </w:tcPr>
          <w:p w14:paraId="18FE628D"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72176B19"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F/M</w:t>
            </w:r>
          </w:p>
        </w:tc>
      </w:tr>
      <w:tr w:rsidR="0024604A" w:rsidRPr="0024604A" w14:paraId="73619897" w14:textId="77777777" w:rsidTr="005A4B7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204DC3D1"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06</w:t>
            </w:r>
          </w:p>
        </w:tc>
        <w:tc>
          <w:tcPr>
            <w:tcW w:w="1359" w:type="dxa"/>
            <w:tcBorders>
              <w:top w:val="nil"/>
              <w:bottom w:val="nil"/>
            </w:tcBorders>
            <w:noWrap/>
            <w:vAlign w:val="center"/>
            <w:hideMark/>
          </w:tcPr>
          <w:p w14:paraId="625DF31A"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9/13</w:t>
            </w:r>
          </w:p>
        </w:tc>
        <w:tc>
          <w:tcPr>
            <w:tcW w:w="1548" w:type="dxa"/>
            <w:tcBorders>
              <w:top w:val="nil"/>
              <w:bottom w:val="nil"/>
            </w:tcBorders>
            <w:noWrap/>
            <w:vAlign w:val="center"/>
            <w:hideMark/>
          </w:tcPr>
          <w:p w14:paraId="494425E7"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w:t>
            </w:r>
          </w:p>
        </w:tc>
        <w:tc>
          <w:tcPr>
            <w:tcW w:w="1300" w:type="dxa"/>
            <w:tcBorders>
              <w:top w:val="nil"/>
              <w:bottom w:val="nil"/>
            </w:tcBorders>
            <w:noWrap/>
            <w:vAlign w:val="center"/>
            <w:hideMark/>
          </w:tcPr>
          <w:p w14:paraId="566EF99D"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7A6AEF0C"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M/M</w:t>
            </w:r>
          </w:p>
        </w:tc>
      </w:tr>
      <w:tr w:rsidR="0024604A" w:rsidRPr="0024604A" w14:paraId="07252890" w14:textId="77777777" w:rsidTr="005A4B7F">
        <w:trPr>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0227D52A"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07</w:t>
            </w:r>
          </w:p>
        </w:tc>
        <w:tc>
          <w:tcPr>
            <w:tcW w:w="1359" w:type="dxa"/>
            <w:tcBorders>
              <w:top w:val="nil"/>
              <w:bottom w:val="nil"/>
            </w:tcBorders>
            <w:noWrap/>
            <w:vAlign w:val="center"/>
            <w:hideMark/>
          </w:tcPr>
          <w:p w14:paraId="4D296CEC"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15/17</w:t>
            </w:r>
          </w:p>
        </w:tc>
        <w:tc>
          <w:tcPr>
            <w:tcW w:w="1548" w:type="dxa"/>
            <w:tcBorders>
              <w:top w:val="nil"/>
              <w:bottom w:val="nil"/>
            </w:tcBorders>
            <w:noWrap/>
            <w:vAlign w:val="center"/>
            <w:hideMark/>
          </w:tcPr>
          <w:p w14:paraId="49446A36"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w:t>
            </w:r>
          </w:p>
        </w:tc>
        <w:tc>
          <w:tcPr>
            <w:tcW w:w="1300" w:type="dxa"/>
            <w:tcBorders>
              <w:top w:val="nil"/>
              <w:bottom w:val="nil"/>
            </w:tcBorders>
            <w:noWrap/>
            <w:vAlign w:val="center"/>
            <w:hideMark/>
          </w:tcPr>
          <w:p w14:paraId="60AB673E"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2AA49642"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F/F</w:t>
            </w:r>
          </w:p>
        </w:tc>
      </w:tr>
      <w:tr w:rsidR="0024604A" w:rsidRPr="0024604A" w14:paraId="1D1631DA" w14:textId="77777777" w:rsidTr="005A4B7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3791D3D6"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08</w:t>
            </w:r>
          </w:p>
        </w:tc>
        <w:tc>
          <w:tcPr>
            <w:tcW w:w="1359" w:type="dxa"/>
            <w:tcBorders>
              <w:top w:val="nil"/>
              <w:bottom w:val="nil"/>
            </w:tcBorders>
            <w:noWrap/>
            <w:vAlign w:val="center"/>
            <w:hideMark/>
          </w:tcPr>
          <w:p w14:paraId="70788312"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15/10</w:t>
            </w:r>
          </w:p>
        </w:tc>
        <w:tc>
          <w:tcPr>
            <w:tcW w:w="1548" w:type="dxa"/>
            <w:tcBorders>
              <w:top w:val="nil"/>
              <w:bottom w:val="nil"/>
            </w:tcBorders>
            <w:noWrap/>
            <w:vAlign w:val="center"/>
            <w:hideMark/>
          </w:tcPr>
          <w:p w14:paraId="5A492A92"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w:t>
            </w:r>
          </w:p>
        </w:tc>
        <w:tc>
          <w:tcPr>
            <w:tcW w:w="1300" w:type="dxa"/>
            <w:tcBorders>
              <w:top w:val="nil"/>
              <w:bottom w:val="nil"/>
            </w:tcBorders>
            <w:noWrap/>
            <w:vAlign w:val="center"/>
            <w:hideMark/>
          </w:tcPr>
          <w:p w14:paraId="43F30592"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5D298668"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M/M</w:t>
            </w:r>
          </w:p>
        </w:tc>
      </w:tr>
      <w:tr w:rsidR="0024604A" w:rsidRPr="0024604A" w14:paraId="69493300" w14:textId="77777777" w:rsidTr="005A4B7F">
        <w:trPr>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77834B83"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09</w:t>
            </w:r>
          </w:p>
        </w:tc>
        <w:tc>
          <w:tcPr>
            <w:tcW w:w="1359" w:type="dxa"/>
            <w:tcBorders>
              <w:top w:val="nil"/>
              <w:bottom w:val="nil"/>
            </w:tcBorders>
            <w:noWrap/>
            <w:vAlign w:val="center"/>
            <w:hideMark/>
          </w:tcPr>
          <w:p w14:paraId="02F4E032"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3/6</w:t>
            </w:r>
          </w:p>
        </w:tc>
        <w:tc>
          <w:tcPr>
            <w:tcW w:w="1548" w:type="dxa"/>
            <w:tcBorders>
              <w:top w:val="nil"/>
              <w:bottom w:val="nil"/>
            </w:tcBorders>
            <w:noWrap/>
            <w:vAlign w:val="center"/>
            <w:hideMark/>
          </w:tcPr>
          <w:p w14:paraId="07499E88"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w:t>
            </w:r>
          </w:p>
        </w:tc>
        <w:tc>
          <w:tcPr>
            <w:tcW w:w="1300" w:type="dxa"/>
            <w:tcBorders>
              <w:top w:val="nil"/>
              <w:bottom w:val="nil"/>
            </w:tcBorders>
            <w:noWrap/>
            <w:vAlign w:val="center"/>
            <w:hideMark/>
          </w:tcPr>
          <w:p w14:paraId="2E537C02"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53C936D4"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M/M</w:t>
            </w:r>
          </w:p>
        </w:tc>
      </w:tr>
      <w:tr w:rsidR="0024604A" w:rsidRPr="0024604A" w14:paraId="39D713DE" w14:textId="77777777" w:rsidTr="005A4B7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38367033"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10</w:t>
            </w:r>
          </w:p>
        </w:tc>
        <w:tc>
          <w:tcPr>
            <w:tcW w:w="1359" w:type="dxa"/>
            <w:tcBorders>
              <w:top w:val="nil"/>
              <w:bottom w:val="nil"/>
            </w:tcBorders>
            <w:noWrap/>
            <w:vAlign w:val="center"/>
            <w:hideMark/>
          </w:tcPr>
          <w:p w14:paraId="1B7B2F45"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15/7</w:t>
            </w:r>
          </w:p>
        </w:tc>
        <w:tc>
          <w:tcPr>
            <w:tcW w:w="1548" w:type="dxa"/>
            <w:tcBorders>
              <w:top w:val="nil"/>
              <w:bottom w:val="nil"/>
            </w:tcBorders>
            <w:noWrap/>
            <w:vAlign w:val="center"/>
            <w:hideMark/>
          </w:tcPr>
          <w:p w14:paraId="5FD11C44"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w:t>
            </w:r>
          </w:p>
        </w:tc>
        <w:tc>
          <w:tcPr>
            <w:tcW w:w="1300" w:type="dxa"/>
            <w:tcBorders>
              <w:top w:val="nil"/>
              <w:bottom w:val="nil"/>
            </w:tcBorders>
            <w:noWrap/>
            <w:vAlign w:val="center"/>
            <w:hideMark/>
          </w:tcPr>
          <w:p w14:paraId="7436515D"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62DC55DE"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M/M</w:t>
            </w:r>
          </w:p>
        </w:tc>
      </w:tr>
      <w:tr w:rsidR="0024604A" w:rsidRPr="0024604A" w14:paraId="1F64B578" w14:textId="77777777" w:rsidTr="005A4B7F">
        <w:trPr>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0B220CE9"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11</w:t>
            </w:r>
          </w:p>
        </w:tc>
        <w:tc>
          <w:tcPr>
            <w:tcW w:w="1359" w:type="dxa"/>
            <w:tcBorders>
              <w:top w:val="nil"/>
              <w:bottom w:val="nil"/>
            </w:tcBorders>
            <w:noWrap/>
            <w:vAlign w:val="center"/>
            <w:hideMark/>
          </w:tcPr>
          <w:p w14:paraId="3455F148"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11/8</w:t>
            </w:r>
          </w:p>
        </w:tc>
        <w:tc>
          <w:tcPr>
            <w:tcW w:w="1548" w:type="dxa"/>
            <w:tcBorders>
              <w:top w:val="nil"/>
              <w:bottom w:val="nil"/>
            </w:tcBorders>
            <w:noWrap/>
            <w:vAlign w:val="center"/>
            <w:hideMark/>
          </w:tcPr>
          <w:p w14:paraId="60161831"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2</w:t>
            </w:r>
          </w:p>
        </w:tc>
        <w:tc>
          <w:tcPr>
            <w:tcW w:w="1300" w:type="dxa"/>
            <w:tcBorders>
              <w:top w:val="nil"/>
              <w:bottom w:val="nil"/>
            </w:tcBorders>
            <w:noWrap/>
            <w:vAlign w:val="center"/>
            <w:hideMark/>
          </w:tcPr>
          <w:p w14:paraId="4AAB031D"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Yes</w:t>
            </w:r>
          </w:p>
        </w:tc>
        <w:tc>
          <w:tcPr>
            <w:tcW w:w="1300" w:type="dxa"/>
            <w:tcBorders>
              <w:top w:val="nil"/>
              <w:bottom w:val="nil"/>
            </w:tcBorders>
            <w:noWrap/>
            <w:vAlign w:val="center"/>
            <w:hideMark/>
          </w:tcPr>
          <w:p w14:paraId="1DA35E48"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F/M</w:t>
            </w:r>
          </w:p>
        </w:tc>
      </w:tr>
      <w:tr w:rsidR="0024604A" w:rsidRPr="0024604A" w14:paraId="0D5B9808" w14:textId="77777777" w:rsidTr="005A4B7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759270BE"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12</w:t>
            </w:r>
          </w:p>
        </w:tc>
        <w:tc>
          <w:tcPr>
            <w:tcW w:w="1359" w:type="dxa"/>
            <w:tcBorders>
              <w:top w:val="nil"/>
              <w:bottom w:val="nil"/>
            </w:tcBorders>
            <w:noWrap/>
            <w:vAlign w:val="center"/>
            <w:hideMark/>
          </w:tcPr>
          <w:p w14:paraId="0DFC130D"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3/8</w:t>
            </w:r>
          </w:p>
        </w:tc>
        <w:tc>
          <w:tcPr>
            <w:tcW w:w="1548" w:type="dxa"/>
            <w:tcBorders>
              <w:top w:val="nil"/>
              <w:bottom w:val="nil"/>
            </w:tcBorders>
            <w:noWrap/>
            <w:vAlign w:val="center"/>
            <w:hideMark/>
          </w:tcPr>
          <w:p w14:paraId="1A738E1A"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2</w:t>
            </w:r>
          </w:p>
        </w:tc>
        <w:tc>
          <w:tcPr>
            <w:tcW w:w="1300" w:type="dxa"/>
            <w:tcBorders>
              <w:top w:val="nil"/>
              <w:bottom w:val="nil"/>
            </w:tcBorders>
            <w:noWrap/>
            <w:vAlign w:val="center"/>
            <w:hideMark/>
          </w:tcPr>
          <w:p w14:paraId="5E1F2DA5"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Yes</w:t>
            </w:r>
          </w:p>
        </w:tc>
        <w:tc>
          <w:tcPr>
            <w:tcW w:w="1300" w:type="dxa"/>
            <w:tcBorders>
              <w:top w:val="nil"/>
              <w:bottom w:val="nil"/>
            </w:tcBorders>
            <w:noWrap/>
            <w:vAlign w:val="center"/>
            <w:hideMark/>
          </w:tcPr>
          <w:p w14:paraId="6D27079A"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M/M</w:t>
            </w:r>
          </w:p>
        </w:tc>
      </w:tr>
      <w:tr w:rsidR="0024604A" w:rsidRPr="0024604A" w14:paraId="351F245C" w14:textId="77777777" w:rsidTr="005A4B7F">
        <w:trPr>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0DE432C4"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13</w:t>
            </w:r>
          </w:p>
        </w:tc>
        <w:tc>
          <w:tcPr>
            <w:tcW w:w="1359" w:type="dxa"/>
            <w:tcBorders>
              <w:top w:val="nil"/>
              <w:bottom w:val="nil"/>
            </w:tcBorders>
            <w:noWrap/>
            <w:vAlign w:val="center"/>
            <w:hideMark/>
          </w:tcPr>
          <w:p w14:paraId="067C441A"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9/15</w:t>
            </w:r>
          </w:p>
        </w:tc>
        <w:tc>
          <w:tcPr>
            <w:tcW w:w="1548" w:type="dxa"/>
            <w:tcBorders>
              <w:top w:val="nil"/>
              <w:bottom w:val="nil"/>
            </w:tcBorders>
            <w:noWrap/>
            <w:vAlign w:val="center"/>
            <w:hideMark/>
          </w:tcPr>
          <w:p w14:paraId="684D4414"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w:t>
            </w:r>
          </w:p>
        </w:tc>
        <w:tc>
          <w:tcPr>
            <w:tcW w:w="1300" w:type="dxa"/>
            <w:tcBorders>
              <w:top w:val="nil"/>
              <w:bottom w:val="nil"/>
            </w:tcBorders>
            <w:noWrap/>
            <w:vAlign w:val="center"/>
            <w:hideMark/>
          </w:tcPr>
          <w:p w14:paraId="77399AAA"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Yes</w:t>
            </w:r>
          </w:p>
        </w:tc>
        <w:tc>
          <w:tcPr>
            <w:tcW w:w="1300" w:type="dxa"/>
            <w:tcBorders>
              <w:top w:val="nil"/>
              <w:bottom w:val="nil"/>
            </w:tcBorders>
            <w:noWrap/>
            <w:vAlign w:val="center"/>
            <w:hideMark/>
          </w:tcPr>
          <w:p w14:paraId="77EF5F12"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M/M</w:t>
            </w:r>
          </w:p>
        </w:tc>
      </w:tr>
      <w:tr w:rsidR="0024604A" w:rsidRPr="0024604A" w14:paraId="371E30C4" w14:textId="77777777" w:rsidTr="005A4B7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06C2A9C7"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14</w:t>
            </w:r>
          </w:p>
        </w:tc>
        <w:tc>
          <w:tcPr>
            <w:tcW w:w="1359" w:type="dxa"/>
            <w:tcBorders>
              <w:top w:val="nil"/>
              <w:bottom w:val="nil"/>
            </w:tcBorders>
            <w:noWrap/>
            <w:vAlign w:val="center"/>
            <w:hideMark/>
          </w:tcPr>
          <w:p w14:paraId="74F7EE4A"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3/7</w:t>
            </w:r>
          </w:p>
        </w:tc>
        <w:tc>
          <w:tcPr>
            <w:tcW w:w="1548" w:type="dxa"/>
            <w:tcBorders>
              <w:top w:val="nil"/>
              <w:bottom w:val="nil"/>
            </w:tcBorders>
            <w:noWrap/>
            <w:vAlign w:val="center"/>
            <w:hideMark/>
          </w:tcPr>
          <w:p w14:paraId="667D7328"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w:t>
            </w:r>
          </w:p>
        </w:tc>
        <w:tc>
          <w:tcPr>
            <w:tcW w:w="1300" w:type="dxa"/>
            <w:tcBorders>
              <w:top w:val="nil"/>
              <w:bottom w:val="nil"/>
            </w:tcBorders>
            <w:noWrap/>
            <w:vAlign w:val="center"/>
            <w:hideMark/>
          </w:tcPr>
          <w:p w14:paraId="75B7C37C"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25D352DA"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M/M</w:t>
            </w:r>
          </w:p>
        </w:tc>
      </w:tr>
      <w:tr w:rsidR="0024604A" w:rsidRPr="0024604A" w14:paraId="2CF0B199" w14:textId="77777777" w:rsidTr="005A4B7F">
        <w:trPr>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1C419231"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15</w:t>
            </w:r>
          </w:p>
        </w:tc>
        <w:tc>
          <w:tcPr>
            <w:tcW w:w="1359" w:type="dxa"/>
            <w:tcBorders>
              <w:top w:val="nil"/>
              <w:bottom w:val="nil"/>
            </w:tcBorders>
            <w:noWrap/>
            <w:vAlign w:val="center"/>
            <w:hideMark/>
          </w:tcPr>
          <w:p w14:paraId="1A92241D"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10/5</w:t>
            </w:r>
          </w:p>
        </w:tc>
        <w:tc>
          <w:tcPr>
            <w:tcW w:w="1548" w:type="dxa"/>
            <w:tcBorders>
              <w:top w:val="nil"/>
              <w:bottom w:val="nil"/>
            </w:tcBorders>
            <w:noWrap/>
            <w:vAlign w:val="center"/>
            <w:hideMark/>
          </w:tcPr>
          <w:p w14:paraId="73803CDB"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2</w:t>
            </w:r>
          </w:p>
        </w:tc>
        <w:tc>
          <w:tcPr>
            <w:tcW w:w="1300" w:type="dxa"/>
            <w:tcBorders>
              <w:top w:val="nil"/>
              <w:bottom w:val="nil"/>
            </w:tcBorders>
            <w:noWrap/>
            <w:vAlign w:val="center"/>
            <w:hideMark/>
          </w:tcPr>
          <w:p w14:paraId="19AB92F9"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66322635"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F/F</w:t>
            </w:r>
          </w:p>
        </w:tc>
      </w:tr>
      <w:tr w:rsidR="0024604A" w:rsidRPr="0024604A" w14:paraId="6CAEEE18" w14:textId="77777777" w:rsidTr="005A4B7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28D9F51A"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16</w:t>
            </w:r>
          </w:p>
        </w:tc>
        <w:tc>
          <w:tcPr>
            <w:tcW w:w="1359" w:type="dxa"/>
            <w:tcBorders>
              <w:top w:val="nil"/>
              <w:bottom w:val="nil"/>
            </w:tcBorders>
            <w:noWrap/>
            <w:vAlign w:val="center"/>
            <w:hideMark/>
          </w:tcPr>
          <w:p w14:paraId="4C9CBAF7"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7/3</w:t>
            </w:r>
          </w:p>
        </w:tc>
        <w:tc>
          <w:tcPr>
            <w:tcW w:w="1548" w:type="dxa"/>
            <w:tcBorders>
              <w:top w:val="nil"/>
              <w:bottom w:val="nil"/>
            </w:tcBorders>
            <w:noWrap/>
            <w:vAlign w:val="center"/>
            <w:hideMark/>
          </w:tcPr>
          <w:p w14:paraId="33BD6B60"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2</w:t>
            </w:r>
          </w:p>
        </w:tc>
        <w:tc>
          <w:tcPr>
            <w:tcW w:w="1300" w:type="dxa"/>
            <w:tcBorders>
              <w:top w:val="nil"/>
              <w:bottom w:val="nil"/>
            </w:tcBorders>
            <w:noWrap/>
            <w:vAlign w:val="center"/>
            <w:hideMark/>
          </w:tcPr>
          <w:p w14:paraId="04CD0CF5"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4976C6A1"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F/M</w:t>
            </w:r>
          </w:p>
        </w:tc>
      </w:tr>
      <w:tr w:rsidR="0024604A" w:rsidRPr="0024604A" w14:paraId="71BB6F7D" w14:textId="77777777" w:rsidTr="005A4B7F">
        <w:trPr>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0DF1063C"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17</w:t>
            </w:r>
          </w:p>
        </w:tc>
        <w:tc>
          <w:tcPr>
            <w:tcW w:w="1359" w:type="dxa"/>
            <w:tcBorders>
              <w:top w:val="nil"/>
              <w:bottom w:val="nil"/>
            </w:tcBorders>
            <w:noWrap/>
            <w:vAlign w:val="center"/>
            <w:hideMark/>
          </w:tcPr>
          <w:p w14:paraId="7288D47B"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9/7</w:t>
            </w:r>
          </w:p>
        </w:tc>
        <w:tc>
          <w:tcPr>
            <w:tcW w:w="1548" w:type="dxa"/>
            <w:tcBorders>
              <w:top w:val="nil"/>
              <w:bottom w:val="nil"/>
            </w:tcBorders>
            <w:noWrap/>
            <w:vAlign w:val="center"/>
            <w:hideMark/>
          </w:tcPr>
          <w:p w14:paraId="064C64BA"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2</w:t>
            </w:r>
          </w:p>
        </w:tc>
        <w:tc>
          <w:tcPr>
            <w:tcW w:w="1300" w:type="dxa"/>
            <w:tcBorders>
              <w:top w:val="nil"/>
              <w:bottom w:val="nil"/>
            </w:tcBorders>
            <w:noWrap/>
            <w:vAlign w:val="center"/>
            <w:hideMark/>
          </w:tcPr>
          <w:p w14:paraId="3BC0F8BB"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7512EA82"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M/F</w:t>
            </w:r>
          </w:p>
        </w:tc>
      </w:tr>
      <w:tr w:rsidR="0024604A" w:rsidRPr="0024604A" w14:paraId="51252589" w14:textId="77777777" w:rsidTr="005A4B7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3EB10EC3"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18</w:t>
            </w:r>
          </w:p>
        </w:tc>
        <w:tc>
          <w:tcPr>
            <w:tcW w:w="1359" w:type="dxa"/>
            <w:tcBorders>
              <w:top w:val="nil"/>
              <w:bottom w:val="nil"/>
            </w:tcBorders>
            <w:noWrap/>
            <w:vAlign w:val="center"/>
            <w:hideMark/>
          </w:tcPr>
          <w:p w14:paraId="29902E86"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10/8</w:t>
            </w:r>
          </w:p>
        </w:tc>
        <w:tc>
          <w:tcPr>
            <w:tcW w:w="1548" w:type="dxa"/>
            <w:tcBorders>
              <w:top w:val="nil"/>
              <w:bottom w:val="nil"/>
            </w:tcBorders>
            <w:noWrap/>
            <w:vAlign w:val="center"/>
            <w:hideMark/>
          </w:tcPr>
          <w:p w14:paraId="1B55A2CC"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2</w:t>
            </w:r>
          </w:p>
        </w:tc>
        <w:tc>
          <w:tcPr>
            <w:tcW w:w="1300" w:type="dxa"/>
            <w:tcBorders>
              <w:top w:val="nil"/>
              <w:bottom w:val="nil"/>
            </w:tcBorders>
            <w:noWrap/>
            <w:vAlign w:val="center"/>
            <w:hideMark/>
          </w:tcPr>
          <w:p w14:paraId="3F5336F7"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Yes</w:t>
            </w:r>
          </w:p>
        </w:tc>
        <w:tc>
          <w:tcPr>
            <w:tcW w:w="1300" w:type="dxa"/>
            <w:tcBorders>
              <w:top w:val="nil"/>
              <w:bottom w:val="nil"/>
            </w:tcBorders>
            <w:noWrap/>
            <w:vAlign w:val="center"/>
            <w:hideMark/>
          </w:tcPr>
          <w:p w14:paraId="767066D0"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M/M</w:t>
            </w:r>
          </w:p>
        </w:tc>
      </w:tr>
      <w:tr w:rsidR="0024604A" w:rsidRPr="0024604A" w14:paraId="02BC8598" w14:textId="77777777" w:rsidTr="005A4B7F">
        <w:trPr>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191DC8DF"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19</w:t>
            </w:r>
          </w:p>
        </w:tc>
        <w:tc>
          <w:tcPr>
            <w:tcW w:w="1359" w:type="dxa"/>
            <w:tcBorders>
              <w:top w:val="nil"/>
              <w:bottom w:val="nil"/>
            </w:tcBorders>
            <w:noWrap/>
            <w:vAlign w:val="center"/>
            <w:hideMark/>
          </w:tcPr>
          <w:p w14:paraId="26AFCD28"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sz w:val="20"/>
                <w:lang w:val="en-GB"/>
              </w:rPr>
              <w:t>5/3</w:t>
            </w:r>
          </w:p>
        </w:tc>
        <w:tc>
          <w:tcPr>
            <w:tcW w:w="1548" w:type="dxa"/>
            <w:tcBorders>
              <w:top w:val="nil"/>
              <w:bottom w:val="nil"/>
            </w:tcBorders>
            <w:noWrap/>
            <w:vAlign w:val="center"/>
            <w:hideMark/>
          </w:tcPr>
          <w:p w14:paraId="415E4F92"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3</w:t>
            </w:r>
          </w:p>
        </w:tc>
        <w:tc>
          <w:tcPr>
            <w:tcW w:w="1300" w:type="dxa"/>
            <w:tcBorders>
              <w:top w:val="nil"/>
              <w:bottom w:val="nil"/>
            </w:tcBorders>
            <w:noWrap/>
            <w:vAlign w:val="center"/>
            <w:hideMark/>
          </w:tcPr>
          <w:p w14:paraId="5A1F7E49"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Yes</w:t>
            </w:r>
          </w:p>
        </w:tc>
        <w:tc>
          <w:tcPr>
            <w:tcW w:w="1300" w:type="dxa"/>
            <w:tcBorders>
              <w:top w:val="nil"/>
              <w:bottom w:val="nil"/>
            </w:tcBorders>
            <w:noWrap/>
            <w:vAlign w:val="center"/>
            <w:hideMark/>
          </w:tcPr>
          <w:p w14:paraId="053CA617"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F/M</w:t>
            </w:r>
          </w:p>
        </w:tc>
      </w:tr>
      <w:tr w:rsidR="0024604A" w:rsidRPr="0024604A" w14:paraId="5EBA7AE7" w14:textId="77777777" w:rsidTr="005A4B7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155DC567"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20</w:t>
            </w:r>
          </w:p>
        </w:tc>
        <w:tc>
          <w:tcPr>
            <w:tcW w:w="1359" w:type="dxa"/>
            <w:tcBorders>
              <w:top w:val="nil"/>
              <w:bottom w:val="nil"/>
            </w:tcBorders>
            <w:noWrap/>
            <w:vAlign w:val="center"/>
            <w:hideMark/>
          </w:tcPr>
          <w:p w14:paraId="496AC834"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10/4</w:t>
            </w:r>
          </w:p>
        </w:tc>
        <w:tc>
          <w:tcPr>
            <w:tcW w:w="1548" w:type="dxa"/>
            <w:tcBorders>
              <w:top w:val="nil"/>
              <w:bottom w:val="nil"/>
            </w:tcBorders>
            <w:noWrap/>
            <w:vAlign w:val="center"/>
            <w:hideMark/>
          </w:tcPr>
          <w:p w14:paraId="208F3DD2"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2</w:t>
            </w:r>
          </w:p>
        </w:tc>
        <w:tc>
          <w:tcPr>
            <w:tcW w:w="1300" w:type="dxa"/>
            <w:tcBorders>
              <w:top w:val="nil"/>
              <w:bottom w:val="nil"/>
            </w:tcBorders>
            <w:noWrap/>
            <w:vAlign w:val="center"/>
            <w:hideMark/>
          </w:tcPr>
          <w:p w14:paraId="32436D58"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5FC68A74"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M/M</w:t>
            </w:r>
          </w:p>
        </w:tc>
      </w:tr>
      <w:tr w:rsidR="0024604A" w:rsidRPr="0024604A" w14:paraId="4515C140" w14:textId="77777777" w:rsidTr="005A4B7F">
        <w:trPr>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3309C5F0"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21</w:t>
            </w:r>
          </w:p>
        </w:tc>
        <w:tc>
          <w:tcPr>
            <w:tcW w:w="1359" w:type="dxa"/>
            <w:tcBorders>
              <w:top w:val="nil"/>
              <w:bottom w:val="nil"/>
            </w:tcBorders>
            <w:noWrap/>
            <w:vAlign w:val="center"/>
            <w:hideMark/>
          </w:tcPr>
          <w:p w14:paraId="18FB4FBF"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sz w:val="20"/>
                <w:lang w:val="en-GB"/>
              </w:rPr>
              <w:t>5/3</w:t>
            </w:r>
          </w:p>
        </w:tc>
        <w:tc>
          <w:tcPr>
            <w:tcW w:w="1548" w:type="dxa"/>
            <w:tcBorders>
              <w:top w:val="nil"/>
              <w:bottom w:val="nil"/>
            </w:tcBorders>
            <w:noWrap/>
            <w:vAlign w:val="center"/>
            <w:hideMark/>
          </w:tcPr>
          <w:p w14:paraId="7C2F17C4"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3</w:t>
            </w:r>
          </w:p>
        </w:tc>
        <w:tc>
          <w:tcPr>
            <w:tcW w:w="1300" w:type="dxa"/>
            <w:tcBorders>
              <w:top w:val="nil"/>
              <w:bottom w:val="nil"/>
            </w:tcBorders>
            <w:noWrap/>
            <w:vAlign w:val="center"/>
            <w:hideMark/>
          </w:tcPr>
          <w:p w14:paraId="35AFC20D"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Yes</w:t>
            </w:r>
          </w:p>
        </w:tc>
        <w:tc>
          <w:tcPr>
            <w:tcW w:w="1300" w:type="dxa"/>
            <w:tcBorders>
              <w:top w:val="nil"/>
              <w:bottom w:val="nil"/>
            </w:tcBorders>
            <w:noWrap/>
            <w:vAlign w:val="center"/>
            <w:hideMark/>
          </w:tcPr>
          <w:p w14:paraId="32B42C57"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M/M</w:t>
            </w:r>
          </w:p>
        </w:tc>
      </w:tr>
      <w:tr w:rsidR="0024604A" w:rsidRPr="0024604A" w14:paraId="63AA9C89" w14:textId="77777777" w:rsidTr="005A4B7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6EA37E34"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25</w:t>
            </w:r>
          </w:p>
        </w:tc>
        <w:tc>
          <w:tcPr>
            <w:tcW w:w="1359" w:type="dxa"/>
            <w:tcBorders>
              <w:top w:val="nil"/>
              <w:bottom w:val="nil"/>
            </w:tcBorders>
            <w:noWrap/>
            <w:vAlign w:val="center"/>
            <w:hideMark/>
          </w:tcPr>
          <w:p w14:paraId="112D7573" w14:textId="03F247C6"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12/5</w:t>
            </w:r>
            <w:r w:rsidR="00EC5EC8" w:rsidRPr="0024604A">
              <w:rPr>
                <w:rFonts w:ascii="Calibri" w:hAnsi="Calibri" w:cs="Calibri"/>
                <w:sz w:val="20"/>
                <w:szCs w:val="22"/>
                <w:lang w:val="en-GB"/>
              </w:rPr>
              <w:t>+8</w:t>
            </w:r>
          </w:p>
        </w:tc>
        <w:tc>
          <w:tcPr>
            <w:tcW w:w="1548" w:type="dxa"/>
            <w:tcBorders>
              <w:top w:val="nil"/>
              <w:bottom w:val="nil"/>
            </w:tcBorders>
            <w:noWrap/>
            <w:vAlign w:val="center"/>
            <w:hideMark/>
          </w:tcPr>
          <w:p w14:paraId="17FF6744" w14:textId="343429F9"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2</w:t>
            </w:r>
            <w:r w:rsidR="00EC5EC8" w:rsidRPr="0024604A">
              <w:rPr>
                <w:rFonts w:ascii="Calibri" w:hAnsi="Calibri" w:cs="Calibri"/>
                <w:sz w:val="20"/>
                <w:szCs w:val="22"/>
                <w:lang w:val="en-GB"/>
              </w:rPr>
              <w:t>+3</w:t>
            </w:r>
          </w:p>
        </w:tc>
        <w:tc>
          <w:tcPr>
            <w:tcW w:w="1300" w:type="dxa"/>
            <w:tcBorders>
              <w:top w:val="nil"/>
              <w:bottom w:val="nil"/>
            </w:tcBorders>
            <w:noWrap/>
            <w:vAlign w:val="center"/>
            <w:hideMark/>
          </w:tcPr>
          <w:p w14:paraId="3C294ECE" w14:textId="7A190E91"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proofErr w:type="spellStart"/>
            <w:r w:rsidRPr="0024604A">
              <w:rPr>
                <w:rFonts w:ascii="Calibri" w:hAnsi="Calibri" w:cs="Calibri"/>
                <w:sz w:val="20"/>
                <w:szCs w:val="22"/>
                <w:lang w:val="en-GB"/>
              </w:rPr>
              <w:t>No</w:t>
            </w:r>
            <w:r w:rsidR="0014043D" w:rsidRPr="0024604A">
              <w:rPr>
                <w:rFonts w:ascii="Calibri" w:hAnsi="Calibri" w:cs="Calibri"/>
                <w:sz w:val="20"/>
                <w:szCs w:val="22"/>
                <w:lang w:val="en-GB"/>
              </w:rPr>
              <w:t>+Yes</w:t>
            </w:r>
            <w:proofErr w:type="spellEnd"/>
          </w:p>
        </w:tc>
        <w:tc>
          <w:tcPr>
            <w:tcW w:w="1300" w:type="dxa"/>
            <w:tcBorders>
              <w:top w:val="nil"/>
              <w:bottom w:val="nil"/>
            </w:tcBorders>
            <w:noWrap/>
            <w:vAlign w:val="center"/>
            <w:hideMark/>
          </w:tcPr>
          <w:p w14:paraId="17C10A08" w14:textId="7F4D99F0"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F/M</w:t>
            </w:r>
            <w:r w:rsidR="00EC5EC8" w:rsidRPr="0024604A">
              <w:rPr>
                <w:rFonts w:ascii="Calibri" w:hAnsi="Calibri" w:cs="Calibri"/>
                <w:sz w:val="20"/>
                <w:szCs w:val="22"/>
                <w:lang w:val="en-GB"/>
              </w:rPr>
              <w:t>+M</w:t>
            </w:r>
          </w:p>
        </w:tc>
      </w:tr>
      <w:tr w:rsidR="0024604A" w:rsidRPr="0024604A" w14:paraId="6D5ED462" w14:textId="77777777" w:rsidTr="005A4B7F">
        <w:trPr>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697F2FA1"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26</w:t>
            </w:r>
          </w:p>
        </w:tc>
        <w:tc>
          <w:tcPr>
            <w:tcW w:w="1359" w:type="dxa"/>
            <w:tcBorders>
              <w:top w:val="nil"/>
              <w:bottom w:val="nil"/>
            </w:tcBorders>
            <w:noWrap/>
            <w:vAlign w:val="center"/>
            <w:hideMark/>
          </w:tcPr>
          <w:p w14:paraId="4F531B90"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3/5</w:t>
            </w:r>
          </w:p>
        </w:tc>
        <w:tc>
          <w:tcPr>
            <w:tcW w:w="1548" w:type="dxa"/>
            <w:tcBorders>
              <w:top w:val="nil"/>
              <w:bottom w:val="nil"/>
            </w:tcBorders>
            <w:noWrap/>
            <w:vAlign w:val="center"/>
            <w:hideMark/>
          </w:tcPr>
          <w:p w14:paraId="4255489E"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2</w:t>
            </w:r>
          </w:p>
        </w:tc>
        <w:tc>
          <w:tcPr>
            <w:tcW w:w="1300" w:type="dxa"/>
            <w:tcBorders>
              <w:top w:val="nil"/>
              <w:bottom w:val="nil"/>
            </w:tcBorders>
            <w:noWrap/>
            <w:vAlign w:val="center"/>
            <w:hideMark/>
          </w:tcPr>
          <w:p w14:paraId="5CCF9F0D"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2415A4C5"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F/M</w:t>
            </w:r>
          </w:p>
        </w:tc>
      </w:tr>
      <w:tr w:rsidR="0024604A" w:rsidRPr="0024604A" w14:paraId="49568D75" w14:textId="77777777" w:rsidTr="005A4B7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6A06A3FE"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27</w:t>
            </w:r>
          </w:p>
        </w:tc>
        <w:tc>
          <w:tcPr>
            <w:tcW w:w="1359" w:type="dxa"/>
            <w:tcBorders>
              <w:top w:val="nil"/>
              <w:bottom w:val="nil"/>
            </w:tcBorders>
            <w:noWrap/>
            <w:vAlign w:val="center"/>
            <w:hideMark/>
          </w:tcPr>
          <w:p w14:paraId="1BCE32CC"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4/3</w:t>
            </w:r>
          </w:p>
        </w:tc>
        <w:tc>
          <w:tcPr>
            <w:tcW w:w="1548" w:type="dxa"/>
            <w:tcBorders>
              <w:top w:val="nil"/>
              <w:bottom w:val="nil"/>
            </w:tcBorders>
            <w:noWrap/>
            <w:vAlign w:val="center"/>
            <w:hideMark/>
          </w:tcPr>
          <w:p w14:paraId="507F88AF"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3</w:t>
            </w:r>
          </w:p>
        </w:tc>
        <w:tc>
          <w:tcPr>
            <w:tcW w:w="1300" w:type="dxa"/>
            <w:tcBorders>
              <w:top w:val="nil"/>
              <w:bottom w:val="nil"/>
            </w:tcBorders>
            <w:noWrap/>
            <w:vAlign w:val="center"/>
            <w:hideMark/>
          </w:tcPr>
          <w:p w14:paraId="47AB93D7"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Yes</w:t>
            </w:r>
          </w:p>
        </w:tc>
        <w:tc>
          <w:tcPr>
            <w:tcW w:w="1300" w:type="dxa"/>
            <w:tcBorders>
              <w:top w:val="nil"/>
              <w:bottom w:val="nil"/>
            </w:tcBorders>
            <w:noWrap/>
            <w:vAlign w:val="center"/>
            <w:hideMark/>
          </w:tcPr>
          <w:p w14:paraId="1C537906"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M/F</w:t>
            </w:r>
          </w:p>
        </w:tc>
      </w:tr>
      <w:tr w:rsidR="0024604A" w:rsidRPr="0024604A" w14:paraId="752B742D" w14:textId="77777777" w:rsidTr="005A4B7F">
        <w:trPr>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187D96C6"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28</w:t>
            </w:r>
          </w:p>
        </w:tc>
        <w:tc>
          <w:tcPr>
            <w:tcW w:w="1359" w:type="dxa"/>
            <w:tcBorders>
              <w:top w:val="nil"/>
              <w:bottom w:val="nil"/>
            </w:tcBorders>
            <w:noWrap/>
            <w:vAlign w:val="center"/>
            <w:hideMark/>
          </w:tcPr>
          <w:p w14:paraId="250DF888"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15/11</w:t>
            </w:r>
          </w:p>
        </w:tc>
        <w:tc>
          <w:tcPr>
            <w:tcW w:w="1548" w:type="dxa"/>
            <w:tcBorders>
              <w:top w:val="nil"/>
              <w:bottom w:val="nil"/>
            </w:tcBorders>
            <w:noWrap/>
            <w:vAlign w:val="center"/>
            <w:hideMark/>
          </w:tcPr>
          <w:p w14:paraId="240441A4"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2</w:t>
            </w:r>
          </w:p>
        </w:tc>
        <w:tc>
          <w:tcPr>
            <w:tcW w:w="1300" w:type="dxa"/>
            <w:tcBorders>
              <w:top w:val="nil"/>
              <w:bottom w:val="nil"/>
            </w:tcBorders>
            <w:noWrap/>
            <w:vAlign w:val="center"/>
            <w:hideMark/>
          </w:tcPr>
          <w:p w14:paraId="5256E7F3"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Yes</w:t>
            </w:r>
          </w:p>
        </w:tc>
        <w:tc>
          <w:tcPr>
            <w:tcW w:w="1300" w:type="dxa"/>
            <w:tcBorders>
              <w:top w:val="nil"/>
              <w:bottom w:val="nil"/>
            </w:tcBorders>
            <w:noWrap/>
            <w:vAlign w:val="center"/>
            <w:hideMark/>
          </w:tcPr>
          <w:p w14:paraId="6B0D3808"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M/M</w:t>
            </w:r>
          </w:p>
        </w:tc>
      </w:tr>
      <w:tr w:rsidR="0024604A" w:rsidRPr="0024604A" w14:paraId="4599051A" w14:textId="77777777" w:rsidTr="005A4B7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1F14EA7F"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29</w:t>
            </w:r>
          </w:p>
        </w:tc>
        <w:tc>
          <w:tcPr>
            <w:tcW w:w="1359" w:type="dxa"/>
            <w:tcBorders>
              <w:top w:val="nil"/>
              <w:bottom w:val="nil"/>
            </w:tcBorders>
            <w:noWrap/>
            <w:vAlign w:val="center"/>
            <w:hideMark/>
          </w:tcPr>
          <w:p w14:paraId="0074BF44"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9/6</w:t>
            </w:r>
          </w:p>
        </w:tc>
        <w:tc>
          <w:tcPr>
            <w:tcW w:w="1548" w:type="dxa"/>
            <w:tcBorders>
              <w:top w:val="nil"/>
              <w:bottom w:val="nil"/>
            </w:tcBorders>
            <w:noWrap/>
            <w:vAlign w:val="center"/>
            <w:hideMark/>
          </w:tcPr>
          <w:p w14:paraId="19DA3EDD"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2</w:t>
            </w:r>
          </w:p>
        </w:tc>
        <w:tc>
          <w:tcPr>
            <w:tcW w:w="1300" w:type="dxa"/>
            <w:tcBorders>
              <w:top w:val="nil"/>
              <w:bottom w:val="nil"/>
            </w:tcBorders>
            <w:noWrap/>
            <w:vAlign w:val="center"/>
            <w:hideMark/>
          </w:tcPr>
          <w:p w14:paraId="64AA6FBD"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Yes</w:t>
            </w:r>
          </w:p>
        </w:tc>
        <w:tc>
          <w:tcPr>
            <w:tcW w:w="1300" w:type="dxa"/>
            <w:tcBorders>
              <w:top w:val="nil"/>
              <w:bottom w:val="nil"/>
            </w:tcBorders>
            <w:noWrap/>
            <w:vAlign w:val="center"/>
            <w:hideMark/>
          </w:tcPr>
          <w:p w14:paraId="798D87A0"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F/M</w:t>
            </w:r>
          </w:p>
        </w:tc>
      </w:tr>
      <w:tr w:rsidR="0024604A" w:rsidRPr="0024604A" w14:paraId="0F7E8CFD" w14:textId="77777777" w:rsidTr="005A4B7F">
        <w:trPr>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1A659994"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30</w:t>
            </w:r>
          </w:p>
        </w:tc>
        <w:tc>
          <w:tcPr>
            <w:tcW w:w="1359" w:type="dxa"/>
            <w:tcBorders>
              <w:top w:val="nil"/>
              <w:bottom w:val="nil"/>
            </w:tcBorders>
            <w:noWrap/>
            <w:vAlign w:val="center"/>
            <w:hideMark/>
          </w:tcPr>
          <w:p w14:paraId="46C18228"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6/3</w:t>
            </w:r>
          </w:p>
        </w:tc>
        <w:tc>
          <w:tcPr>
            <w:tcW w:w="1548" w:type="dxa"/>
            <w:tcBorders>
              <w:top w:val="nil"/>
              <w:bottom w:val="nil"/>
            </w:tcBorders>
            <w:noWrap/>
            <w:vAlign w:val="center"/>
            <w:hideMark/>
          </w:tcPr>
          <w:p w14:paraId="08AB05A3"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w:t>
            </w:r>
          </w:p>
        </w:tc>
        <w:tc>
          <w:tcPr>
            <w:tcW w:w="1300" w:type="dxa"/>
            <w:tcBorders>
              <w:top w:val="nil"/>
              <w:bottom w:val="nil"/>
            </w:tcBorders>
            <w:noWrap/>
            <w:vAlign w:val="center"/>
            <w:hideMark/>
          </w:tcPr>
          <w:p w14:paraId="2403EE2C"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45D4CB0D"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M/M</w:t>
            </w:r>
          </w:p>
        </w:tc>
      </w:tr>
      <w:tr w:rsidR="0024604A" w:rsidRPr="0024604A" w14:paraId="64EDEC3E" w14:textId="77777777" w:rsidTr="005A4B7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04F38288"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31</w:t>
            </w:r>
          </w:p>
        </w:tc>
        <w:tc>
          <w:tcPr>
            <w:tcW w:w="1359" w:type="dxa"/>
            <w:tcBorders>
              <w:top w:val="nil"/>
              <w:bottom w:val="nil"/>
            </w:tcBorders>
            <w:noWrap/>
            <w:vAlign w:val="center"/>
            <w:hideMark/>
          </w:tcPr>
          <w:p w14:paraId="0CE34CDD"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12/6</w:t>
            </w:r>
          </w:p>
        </w:tc>
        <w:tc>
          <w:tcPr>
            <w:tcW w:w="1548" w:type="dxa"/>
            <w:tcBorders>
              <w:top w:val="nil"/>
              <w:bottom w:val="nil"/>
            </w:tcBorders>
            <w:noWrap/>
            <w:vAlign w:val="center"/>
            <w:hideMark/>
          </w:tcPr>
          <w:p w14:paraId="07086945"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w:t>
            </w:r>
          </w:p>
        </w:tc>
        <w:tc>
          <w:tcPr>
            <w:tcW w:w="1300" w:type="dxa"/>
            <w:tcBorders>
              <w:top w:val="nil"/>
              <w:bottom w:val="nil"/>
            </w:tcBorders>
            <w:noWrap/>
            <w:vAlign w:val="center"/>
            <w:hideMark/>
          </w:tcPr>
          <w:p w14:paraId="68BB2B45"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6F77E089"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F/M</w:t>
            </w:r>
          </w:p>
        </w:tc>
      </w:tr>
      <w:tr w:rsidR="0024604A" w:rsidRPr="0024604A" w14:paraId="2B84C85E" w14:textId="77777777" w:rsidTr="005A4B7F">
        <w:trPr>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168CE5C3"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32</w:t>
            </w:r>
          </w:p>
        </w:tc>
        <w:tc>
          <w:tcPr>
            <w:tcW w:w="1359" w:type="dxa"/>
            <w:tcBorders>
              <w:top w:val="nil"/>
              <w:bottom w:val="nil"/>
            </w:tcBorders>
            <w:noWrap/>
            <w:vAlign w:val="center"/>
            <w:hideMark/>
          </w:tcPr>
          <w:p w14:paraId="36571825"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10/5</w:t>
            </w:r>
          </w:p>
        </w:tc>
        <w:tc>
          <w:tcPr>
            <w:tcW w:w="1548" w:type="dxa"/>
            <w:tcBorders>
              <w:top w:val="nil"/>
              <w:bottom w:val="nil"/>
            </w:tcBorders>
            <w:noWrap/>
            <w:vAlign w:val="center"/>
            <w:hideMark/>
          </w:tcPr>
          <w:p w14:paraId="46462705"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w:t>
            </w:r>
          </w:p>
        </w:tc>
        <w:tc>
          <w:tcPr>
            <w:tcW w:w="1300" w:type="dxa"/>
            <w:tcBorders>
              <w:top w:val="nil"/>
              <w:bottom w:val="nil"/>
            </w:tcBorders>
            <w:noWrap/>
            <w:vAlign w:val="center"/>
            <w:hideMark/>
          </w:tcPr>
          <w:p w14:paraId="0C53D405"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06F97832"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M/M</w:t>
            </w:r>
          </w:p>
        </w:tc>
      </w:tr>
      <w:tr w:rsidR="0024604A" w:rsidRPr="0024604A" w14:paraId="157336A3" w14:textId="77777777" w:rsidTr="005A4B7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20078C73"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33</w:t>
            </w:r>
          </w:p>
        </w:tc>
        <w:tc>
          <w:tcPr>
            <w:tcW w:w="1359" w:type="dxa"/>
            <w:tcBorders>
              <w:top w:val="nil"/>
              <w:bottom w:val="nil"/>
            </w:tcBorders>
            <w:noWrap/>
            <w:vAlign w:val="center"/>
            <w:hideMark/>
          </w:tcPr>
          <w:p w14:paraId="5CA3EA7F"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4/3</w:t>
            </w:r>
          </w:p>
        </w:tc>
        <w:tc>
          <w:tcPr>
            <w:tcW w:w="1548" w:type="dxa"/>
            <w:tcBorders>
              <w:top w:val="nil"/>
              <w:bottom w:val="nil"/>
            </w:tcBorders>
            <w:noWrap/>
            <w:vAlign w:val="center"/>
            <w:hideMark/>
          </w:tcPr>
          <w:p w14:paraId="1767F85C"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2</w:t>
            </w:r>
          </w:p>
        </w:tc>
        <w:tc>
          <w:tcPr>
            <w:tcW w:w="1300" w:type="dxa"/>
            <w:tcBorders>
              <w:top w:val="nil"/>
              <w:bottom w:val="nil"/>
            </w:tcBorders>
            <w:noWrap/>
            <w:vAlign w:val="center"/>
            <w:hideMark/>
          </w:tcPr>
          <w:p w14:paraId="0AAF9C52"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0E0CA06D"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F/M</w:t>
            </w:r>
          </w:p>
        </w:tc>
      </w:tr>
      <w:tr w:rsidR="0024604A" w:rsidRPr="0024604A" w14:paraId="4FBD17D2" w14:textId="77777777" w:rsidTr="005A4B7F">
        <w:trPr>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0003D82C"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34</w:t>
            </w:r>
          </w:p>
        </w:tc>
        <w:tc>
          <w:tcPr>
            <w:tcW w:w="1359" w:type="dxa"/>
            <w:tcBorders>
              <w:top w:val="nil"/>
              <w:bottom w:val="nil"/>
            </w:tcBorders>
            <w:noWrap/>
            <w:vAlign w:val="center"/>
            <w:hideMark/>
          </w:tcPr>
          <w:p w14:paraId="2E88B201"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10/9</w:t>
            </w:r>
          </w:p>
        </w:tc>
        <w:tc>
          <w:tcPr>
            <w:tcW w:w="1548" w:type="dxa"/>
            <w:tcBorders>
              <w:top w:val="nil"/>
              <w:bottom w:val="nil"/>
            </w:tcBorders>
            <w:noWrap/>
            <w:vAlign w:val="center"/>
            <w:hideMark/>
          </w:tcPr>
          <w:p w14:paraId="4D2195AC"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w:t>
            </w:r>
          </w:p>
        </w:tc>
        <w:tc>
          <w:tcPr>
            <w:tcW w:w="1300" w:type="dxa"/>
            <w:tcBorders>
              <w:top w:val="nil"/>
              <w:bottom w:val="nil"/>
            </w:tcBorders>
            <w:noWrap/>
            <w:vAlign w:val="center"/>
            <w:hideMark/>
          </w:tcPr>
          <w:p w14:paraId="1C77CFD3"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3B6C95D6"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F/M</w:t>
            </w:r>
          </w:p>
        </w:tc>
      </w:tr>
      <w:tr w:rsidR="0024604A" w:rsidRPr="0024604A" w14:paraId="4FA0BDBF" w14:textId="77777777" w:rsidTr="005A4B7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2447AE67"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35</w:t>
            </w:r>
          </w:p>
        </w:tc>
        <w:tc>
          <w:tcPr>
            <w:tcW w:w="1359" w:type="dxa"/>
            <w:tcBorders>
              <w:top w:val="nil"/>
              <w:bottom w:val="nil"/>
            </w:tcBorders>
            <w:noWrap/>
            <w:vAlign w:val="center"/>
            <w:hideMark/>
          </w:tcPr>
          <w:p w14:paraId="6CFA7A76"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12/5</w:t>
            </w:r>
          </w:p>
        </w:tc>
        <w:tc>
          <w:tcPr>
            <w:tcW w:w="1548" w:type="dxa"/>
            <w:tcBorders>
              <w:top w:val="nil"/>
              <w:bottom w:val="nil"/>
            </w:tcBorders>
            <w:noWrap/>
            <w:vAlign w:val="center"/>
            <w:hideMark/>
          </w:tcPr>
          <w:p w14:paraId="6038E0EC"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w:t>
            </w:r>
          </w:p>
        </w:tc>
        <w:tc>
          <w:tcPr>
            <w:tcW w:w="1300" w:type="dxa"/>
            <w:tcBorders>
              <w:top w:val="nil"/>
              <w:bottom w:val="nil"/>
            </w:tcBorders>
            <w:noWrap/>
            <w:vAlign w:val="center"/>
            <w:hideMark/>
          </w:tcPr>
          <w:p w14:paraId="0119B8D9"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52D4FAA7"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M/M</w:t>
            </w:r>
          </w:p>
        </w:tc>
      </w:tr>
      <w:tr w:rsidR="0024604A" w:rsidRPr="0024604A" w14:paraId="3C646A89" w14:textId="77777777" w:rsidTr="005A4B7F">
        <w:trPr>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649C2EF6"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36</w:t>
            </w:r>
          </w:p>
        </w:tc>
        <w:tc>
          <w:tcPr>
            <w:tcW w:w="1359" w:type="dxa"/>
            <w:tcBorders>
              <w:top w:val="nil"/>
              <w:bottom w:val="nil"/>
            </w:tcBorders>
            <w:noWrap/>
            <w:vAlign w:val="center"/>
            <w:hideMark/>
          </w:tcPr>
          <w:p w14:paraId="56C286C1"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3/5</w:t>
            </w:r>
          </w:p>
        </w:tc>
        <w:tc>
          <w:tcPr>
            <w:tcW w:w="1548" w:type="dxa"/>
            <w:tcBorders>
              <w:top w:val="nil"/>
              <w:bottom w:val="nil"/>
            </w:tcBorders>
            <w:noWrap/>
            <w:vAlign w:val="center"/>
            <w:hideMark/>
          </w:tcPr>
          <w:p w14:paraId="7FB88FD2"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3</w:t>
            </w:r>
          </w:p>
        </w:tc>
        <w:tc>
          <w:tcPr>
            <w:tcW w:w="1300" w:type="dxa"/>
            <w:tcBorders>
              <w:top w:val="nil"/>
              <w:bottom w:val="nil"/>
            </w:tcBorders>
            <w:noWrap/>
            <w:vAlign w:val="center"/>
            <w:hideMark/>
          </w:tcPr>
          <w:p w14:paraId="66727934"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Yes</w:t>
            </w:r>
          </w:p>
        </w:tc>
        <w:tc>
          <w:tcPr>
            <w:tcW w:w="1300" w:type="dxa"/>
            <w:tcBorders>
              <w:top w:val="nil"/>
              <w:bottom w:val="nil"/>
            </w:tcBorders>
            <w:noWrap/>
            <w:vAlign w:val="center"/>
            <w:hideMark/>
          </w:tcPr>
          <w:p w14:paraId="50A09AEE"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F/M</w:t>
            </w:r>
          </w:p>
        </w:tc>
      </w:tr>
      <w:tr w:rsidR="0024604A" w:rsidRPr="0024604A" w14:paraId="08084D98" w14:textId="77777777" w:rsidTr="005A4B7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7357EDF2"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37</w:t>
            </w:r>
          </w:p>
        </w:tc>
        <w:tc>
          <w:tcPr>
            <w:tcW w:w="1359" w:type="dxa"/>
            <w:tcBorders>
              <w:top w:val="nil"/>
              <w:bottom w:val="nil"/>
            </w:tcBorders>
            <w:noWrap/>
            <w:vAlign w:val="center"/>
            <w:hideMark/>
          </w:tcPr>
          <w:p w14:paraId="0F505780"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8/4</w:t>
            </w:r>
          </w:p>
        </w:tc>
        <w:tc>
          <w:tcPr>
            <w:tcW w:w="1548" w:type="dxa"/>
            <w:tcBorders>
              <w:top w:val="nil"/>
              <w:bottom w:val="nil"/>
            </w:tcBorders>
            <w:noWrap/>
            <w:vAlign w:val="center"/>
            <w:hideMark/>
          </w:tcPr>
          <w:p w14:paraId="18398346"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w:t>
            </w:r>
          </w:p>
        </w:tc>
        <w:tc>
          <w:tcPr>
            <w:tcW w:w="1300" w:type="dxa"/>
            <w:tcBorders>
              <w:top w:val="nil"/>
              <w:bottom w:val="nil"/>
            </w:tcBorders>
            <w:noWrap/>
            <w:vAlign w:val="center"/>
            <w:hideMark/>
          </w:tcPr>
          <w:p w14:paraId="716DC9A0"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1BDCFDFB"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F/M</w:t>
            </w:r>
          </w:p>
        </w:tc>
      </w:tr>
      <w:tr w:rsidR="0024604A" w:rsidRPr="0024604A" w14:paraId="27D6A2D6" w14:textId="77777777" w:rsidTr="005A4B7F">
        <w:trPr>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419577AA"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38</w:t>
            </w:r>
          </w:p>
        </w:tc>
        <w:tc>
          <w:tcPr>
            <w:tcW w:w="1359" w:type="dxa"/>
            <w:tcBorders>
              <w:top w:val="nil"/>
              <w:bottom w:val="nil"/>
            </w:tcBorders>
            <w:noWrap/>
            <w:vAlign w:val="center"/>
            <w:hideMark/>
          </w:tcPr>
          <w:p w14:paraId="1E1C9E7C"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10/12</w:t>
            </w:r>
          </w:p>
        </w:tc>
        <w:tc>
          <w:tcPr>
            <w:tcW w:w="1548" w:type="dxa"/>
            <w:tcBorders>
              <w:top w:val="nil"/>
              <w:bottom w:val="nil"/>
            </w:tcBorders>
            <w:noWrap/>
            <w:vAlign w:val="center"/>
            <w:hideMark/>
          </w:tcPr>
          <w:p w14:paraId="4AF8B9D6"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2</w:t>
            </w:r>
          </w:p>
        </w:tc>
        <w:tc>
          <w:tcPr>
            <w:tcW w:w="1300" w:type="dxa"/>
            <w:tcBorders>
              <w:top w:val="nil"/>
              <w:bottom w:val="nil"/>
            </w:tcBorders>
            <w:noWrap/>
            <w:vAlign w:val="center"/>
            <w:hideMark/>
          </w:tcPr>
          <w:p w14:paraId="42FE28D3"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2B70F794"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M/M</w:t>
            </w:r>
          </w:p>
        </w:tc>
      </w:tr>
      <w:tr w:rsidR="0024604A" w:rsidRPr="0024604A" w14:paraId="555F0818" w14:textId="77777777" w:rsidTr="005A4B7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7031BCD0"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39</w:t>
            </w:r>
          </w:p>
        </w:tc>
        <w:tc>
          <w:tcPr>
            <w:tcW w:w="1359" w:type="dxa"/>
            <w:tcBorders>
              <w:top w:val="nil"/>
              <w:bottom w:val="nil"/>
            </w:tcBorders>
            <w:noWrap/>
            <w:vAlign w:val="center"/>
            <w:hideMark/>
          </w:tcPr>
          <w:p w14:paraId="3F2565EF"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5/7</w:t>
            </w:r>
          </w:p>
        </w:tc>
        <w:tc>
          <w:tcPr>
            <w:tcW w:w="1548" w:type="dxa"/>
            <w:tcBorders>
              <w:top w:val="nil"/>
              <w:bottom w:val="nil"/>
            </w:tcBorders>
            <w:noWrap/>
            <w:vAlign w:val="center"/>
            <w:hideMark/>
          </w:tcPr>
          <w:p w14:paraId="18C44ABB"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3</w:t>
            </w:r>
          </w:p>
        </w:tc>
        <w:tc>
          <w:tcPr>
            <w:tcW w:w="1300" w:type="dxa"/>
            <w:tcBorders>
              <w:top w:val="nil"/>
              <w:bottom w:val="nil"/>
            </w:tcBorders>
            <w:noWrap/>
            <w:vAlign w:val="center"/>
            <w:hideMark/>
          </w:tcPr>
          <w:p w14:paraId="3D73B7A8"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Yes</w:t>
            </w:r>
          </w:p>
        </w:tc>
        <w:tc>
          <w:tcPr>
            <w:tcW w:w="1300" w:type="dxa"/>
            <w:tcBorders>
              <w:top w:val="nil"/>
              <w:bottom w:val="nil"/>
            </w:tcBorders>
            <w:noWrap/>
            <w:vAlign w:val="center"/>
            <w:hideMark/>
          </w:tcPr>
          <w:p w14:paraId="1B598C10"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M/M</w:t>
            </w:r>
          </w:p>
        </w:tc>
      </w:tr>
      <w:tr w:rsidR="0024604A" w:rsidRPr="0024604A" w14:paraId="3E2F833E" w14:textId="77777777" w:rsidTr="005A4B7F">
        <w:trPr>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39C66918"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40</w:t>
            </w:r>
          </w:p>
        </w:tc>
        <w:tc>
          <w:tcPr>
            <w:tcW w:w="1359" w:type="dxa"/>
            <w:tcBorders>
              <w:top w:val="nil"/>
              <w:bottom w:val="nil"/>
            </w:tcBorders>
            <w:noWrap/>
            <w:vAlign w:val="center"/>
            <w:hideMark/>
          </w:tcPr>
          <w:p w14:paraId="0BBA9889"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rPr>
              <w:t>5/7</w:t>
            </w:r>
          </w:p>
        </w:tc>
        <w:tc>
          <w:tcPr>
            <w:tcW w:w="1548" w:type="dxa"/>
            <w:tcBorders>
              <w:top w:val="nil"/>
              <w:bottom w:val="nil"/>
            </w:tcBorders>
            <w:noWrap/>
            <w:vAlign w:val="center"/>
            <w:hideMark/>
          </w:tcPr>
          <w:p w14:paraId="107A78F1"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rPr>
              <w:t>1</w:t>
            </w:r>
          </w:p>
        </w:tc>
        <w:tc>
          <w:tcPr>
            <w:tcW w:w="1300" w:type="dxa"/>
            <w:tcBorders>
              <w:top w:val="nil"/>
              <w:bottom w:val="nil"/>
            </w:tcBorders>
            <w:noWrap/>
            <w:vAlign w:val="center"/>
            <w:hideMark/>
          </w:tcPr>
          <w:p w14:paraId="457E7FBB"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20F6FC08"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rPr>
              <w:t>F/M</w:t>
            </w:r>
          </w:p>
        </w:tc>
      </w:tr>
      <w:tr w:rsidR="0024604A" w:rsidRPr="0024604A" w14:paraId="7D8BB6A4" w14:textId="77777777" w:rsidTr="005A4B7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left w:val="nil"/>
              <w:bottom w:val="nil"/>
            </w:tcBorders>
            <w:noWrap/>
            <w:vAlign w:val="center"/>
            <w:hideMark/>
          </w:tcPr>
          <w:p w14:paraId="3FCAAE2D"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41</w:t>
            </w:r>
          </w:p>
        </w:tc>
        <w:tc>
          <w:tcPr>
            <w:tcW w:w="1359" w:type="dxa"/>
            <w:tcBorders>
              <w:top w:val="nil"/>
              <w:bottom w:val="nil"/>
            </w:tcBorders>
            <w:noWrap/>
            <w:vAlign w:val="center"/>
            <w:hideMark/>
          </w:tcPr>
          <w:p w14:paraId="5D88C738"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rPr>
              <w:t>3/8</w:t>
            </w:r>
          </w:p>
        </w:tc>
        <w:tc>
          <w:tcPr>
            <w:tcW w:w="1548" w:type="dxa"/>
            <w:tcBorders>
              <w:top w:val="nil"/>
              <w:bottom w:val="nil"/>
            </w:tcBorders>
            <w:noWrap/>
            <w:vAlign w:val="center"/>
            <w:hideMark/>
          </w:tcPr>
          <w:p w14:paraId="634F8523"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rPr>
              <w:t>1</w:t>
            </w:r>
          </w:p>
        </w:tc>
        <w:tc>
          <w:tcPr>
            <w:tcW w:w="1300" w:type="dxa"/>
            <w:tcBorders>
              <w:top w:val="nil"/>
              <w:bottom w:val="nil"/>
            </w:tcBorders>
            <w:noWrap/>
            <w:vAlign w:val="center"/>
            <w:hideMark/>
          </w:tcPr>
          <w:p w14:paraId="7CB368BA"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bottom w:val="nil"/>
            </w:tcBorders>
            <w:noWrap/>
            <w:vAlign w:val="center"/>
            <w:hideMark/>
          </w:tcPr>
          <w:p w14:paraId="09C59FAF"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rPr>
              <w:t>M/M</w:t>
            </w:r>
          </w:p>
        </w:tc>
      </w:tr>
      <w:tr w:rsidR="0024604A" w:rsidRPr="0024604A" w14:paraId="1FF2D60D" w14:textId="77777777" w:rsidTr="005A4B7F">
        <w:trPr>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bottom w:val="nil"/>
            </w:tcBorders>
            <w:noWrap/>
            <w:vAlign w:val="center"/>
          </w:tcPr>
          <w:p w14:paraId="73EAA903"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42</w:t>
            </w:r>
          </w:p>
        </w:tc>
        <w:tc>
          <w:tcPr>
            <w:tcW w:w="1359" w:type="dxa"/>
            <w:tcBorders>
              <w:top w:val="nil"/>
              <w:bottom w:val="nil"/>
            </w:tcBorders>
            <w:noWrap/>
            <w:vAlign w:val="center"/>
          </w:tcPr>
          <w:p w14:paraId="0C62C69D" w14:textId="07A496AE"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rPr>
              <w:t>9</w:t>
            </w:r>
            <w:r w:rsidR="00EC5EC8" w:rsidRPr="0024604A">
              <w:rPr>
                <w:rFonts w:ascii="Calibri" w:hAnsi="Calibri" w:cs="Calibri"/>
                <w:sz w:val="20"/>
                <w:szCs w:val="22"/>
              </w:rPr>
              <w:t>+8*</w:t>
            </w:r>
            <w:r w:rsidRPr="0024604A">
              <w:rPr>
                <w:rFonts w:ascii="Calibri" w:hAnsi="Calibri" w:cs="Calibri"/>
                <w:sz w:val="20"/>
                <w:szCs w:val="22"/>
              </w:rPr>
              <w:t>/8</w:t>
            </w:r>
          </w:p>
        </w:tc>
        <w:tc>
          <w:tcPr>
            <w:tcW w:w="1548" w:type="dxa"/>
            <w:tcBorders>
              <w:top w:val="nil"/>
              <w:bottom w:val="nil"/>
            </w:tcBorders>
            <w:noWrap/>
            <w:vAlign w:val="center"/>
          </w:tcPr>
          <w:p w14:paraId="446A2584"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rPr>
              <w:t>3</w:t>
            </w:r>
          </w:p>
        </w:tc>
        <w:tc>
          <w:tcPr>
            <w:tcW w:w="1300" w:type="dxa"/>
            <w:tcBorders>
              <w:top w:val="nil"/>
              <w:bottom w:val="nil"/>
            </w:tcBorders>
            <w:noWrap/>
            <w:vAlign w:val="center"/>
          </w:tcPr>
          <w:p w14:paraId="372E0070" w14:textId="77777777"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Yes</w:t>
            </w:r>
          </w:p>
        </w:tc>
        <w:tc>
          <w:tcPr>
            <w:tcW w:w="1300" w:type="dxa"/>
            <w:tcBorders>
              <w:top w:val="nil"/>
              <w:bottom w:val="nil"/>
            </w:tcBorders>
            <w:noWrap/>
            <w:vAlign w:val="center"/>
          </w:tcPr>
          <w:p w14:paraId="7AD38719" w14:textId="1552E2FB" w:rsidR="005A4B7F" w:rsidRPr="0024604A" w:rsidRDefault="005A4B7F" w:rsidP="005A4B7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rPr>
              <w:t>M</w:t>
            </w:r>
            <w:r w:rsidR="00EC5EC8" w:rsidRPr="0024604A">
              <w:rPr>
                <w:rFonts w:ascii="Calibri" w:hAnsi="Calibri" w:cs="Calibri"/>
                <w:sz w:val="20"/>
                <w:szCs w:val="22"/>
              </w:rPr>
              <w:t>+F</w:t>
            </w:r>
            <w:r w:rsidRPr="0024604A">
              <w:rPr>
                <w:rFonts w:ascii="Calibri" w:hAnsi="Calibri" w:cs="Calibri"/>
                <w:sz w:val="20"/>
                <w:szCs w:val="22"/>
              </w:rPr>
              <w:t>/F</w:t>
            </w:r>
          </w:p>
        </w:tc>
      </w:tr>
      <w:tr w:rsidR="0024604A" w:rsidRPr="0024604A" w14:paraId="2CE8DF1C" w14:textId="77777777" w:rsidTr="005A4B7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93" w:type="dxa"/>
            <w:tcBorders>
              <w:top w:val="nil"/>
            </w:tcBorders>
            <w:noWrap/>
            <w:vAlign w:val="center"/>
            <w:hideMark/>
          </w:tcPr>
          <w:p w14:paraId="43645952" w14:textId="77777777" w:rsidR="005A4B7F" w:rsidRPr="0024604A" w:rsidRDefault="005A4B7F" w:rsidP="005A4B7F">
            <w:pPr>
              <w:jc w:val="center"/>
              <w:rPr>
                <w:rFonts w:ascii="Calibri" w:hAnsi="Calibri" w:cs="Calibri"/>
                <w:sz w:val="20"/>
                <w:szCs w:val="22"/>
                <w:lang w:val="en-GB"/>
              </w:rPr>
            </w:pPr>
            <w:r w:rsidRPr="0024604A">
              <w:rPr>
                <w:rFonts w:ascii="Calibri" w:hAnsi="Calibri" w:cs="Calibri"/>
                <w:sz w:val="20"/>
                <w:szCs w:val="22"/>
                <w:lang w:val="en-GB"/>
              </w:rPr>
              <w:t>43</w:t>
            </w:r>
          </w:p>
        </w:tc>
        <w:tc>
          <w:tcPr>
            <w:tcW w:w="1359" w:type="dxa"/>
            <w:tcBorders>
              <w:top w:val="nil"/>
            </w:tcBorders>
            <w:noWrap/>
            <w:vAlign w:val="center"/>
            <w:hideMark/>
          </w:tcPr>
          <w:p w14:paraId="7BC38297"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rPr>
              <w:t>4/16</w:t>
            </w:r>
          </w:p>
        </w:tc>
        <w:tc>
          <w:tcPr>
            <w:tcW w:w="1548" w:type="dxa"/>
            <w:tcBorders>
              <w:top w:val="nil"/>
            </w:tcBorders>
            <w:noWrap/>
            <w:vAlign w:val="center"/>
            <w:hideMark/>
          </w:tcPr>
          <w:p w14:paraId="1675D8F6"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rPr>
              <w:t>1</w:t>
            </w:r>
          </w:p>
        </w:tc>
        <w:tc>
          <w:tcPr>
            <w:tcW w:w="1300" w:type="dxa"/>
            <w:tcBorders>
              <w:top w:val="nil"/>
            </w:tcBorders>
            <w:noWrap/>
            <w:vAlign w:val="center"/>
            <w:hideMark/>
          </w:tcPr>
          <w:p w14:paraId="421123D1"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lang w:val="en-GB"/>
              </w:rPr>
              <w:t>No</w:t>
            </w:r>
          </w:p>
        </w:tc>
        <w:tc>
          <w:tcPr>
            <w:tcW w:w="1300" w:type="dxa"/>
            <w:tcBorders>
              <w:top w:val="nil"/>
            </w:tcBorders>
            <w:noWrap/>
            <w:vAlign w:val="center"/>
            <w:hideMark/>
          </w:tcPr>
          <w:p w14:paraId="2697E996" w14:textId="77777777" w:rsidR="005A4B7F" w:rsidRPr="0024604A" w:rsidRDefault="005A4B7F" w:rsidP="005A4B7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2"/>
                <w:lang w:val="en-GB"/>
              </w:rPr>
            </w:pPr>
            <w:r w:rsidRPr="0024604A">
              <w:rPr>
                <w:rFonts w:ascii="Calibri" w:hAnsi="Calibri" w:cs="Calibri"/>
                <w:sz w:val="20"/>
                <w:szCs w:val="22"/>
              </w:rPr>
              <w:t>M/M</w:t>
            </w:r>
          </w:p>
        </w:tc>
      </w:tr>
    </w:tbl>
    <w:p w14:paraId="3D23F5F7" w14:textId="493C94F6" w:rsidR="00F00A30" w:rsidRPr="0024604A" w:rsidRDefault="005A4B7F" w:rsidP="00F00A30">
      <w:pPr>
        <w:widowControl w:val="0"/>
        <w:autoSpaceDE w:val="0"/>
        <w:autoSpaceDN w:val="0"/>
        <w:adjustRightInd w:val="0"/>
        <w:ind w:left="1302" w:right="1134"/>
        <w:jc w:val="both"/>
        <w:rPr>
          <w:rFonts w:ascii="Calibri" w:hAnsi="Calibri"/>
          <w:sz w:val="21"/>
          <w:szCs w:val="21"/>
        </w:rPr>
      </w:pPr>
      <w:r w:rsidRPr="0024604A">
        <w:rPr>
          <w:rFonts w:ascii="Calibri" w:hAnsi="Calibri"/>
          <w:sz w:val="21"/>
          <w:szCs w:val="21"/>
        </w:rPr>
        <w:t xml:space="preserve">* </w:t>
      </w:r>
      <w:proofErr w:type="spellStart"/>
      <w:r w:rsidRPr="0024604A">
        <w:rPr>
          <w:rFonts w:ascii="Calibri" w:hAnsi="Calibri"/>
          <w:sz w:val="21"/>
          <w:szCs w:val="21"/>
        </w:rPr>
        <w:t>Monozygotic</w:t>
      </w:r>
      <w:proofErr w:type="spellEnd"/>
      <w:r w:rsidRPr="0024604A">
        <w:rPr>
          <w:rFonts w:ascii="Calibri" w:hAnsi="Calibri"/>
          <w:sz w:val="21"/>
          <w:szCs w:val="21"/>
        </w:rPr>
        <w:t xml:space="preserve"> twin </w:t>
      </w:r>
      <w:proofErr w:type="spellStart"/>
      <w:r w:rsidRPr="0024604A">
        <w:rPr>
          <w:rFonts w:ascii="Calibri" w:hAnsi="Calibri"/>
          <w:sz w:val="21"/>
          <w:szCs w:val="21"/>
        </w:rPr>
        <w:t>sister</w:t>
      </w:r>
      <w:proofErr w:type="spellEnd"/>
      <w:r w:rsidR="00F00A30" w:rsidRPr="0024604A">
        <w:rPr>
          <w:rFonts w:ascii="Calibri" w:hAnsi="Calibri"/>
          <w:sz w:val="21"/>
          <w:szCs w:val="21"/>
        </w:rPr>
        <w:t>.</w:t>
      </w:r>
    </w:p>
    <w:p w14:paraId="17D6D1B5" w14:textId="42FC0775" w:rsidR="00D163F6" w:rsidRPr="0024604A" w:rsidRDefault="00D163F6">
      <w:pPr>
        <w:rPr>
          <w:rFonts w:ascii="Calibri" w:hAnsi="Calibri"/>
          <w:b/>
          <w:bCs/>
        </w:rPr>
      </w:pPr>
    </w:p>
    <w:p w14:paraId="59B6DC8F" w14:textId="4BF0EAA1" w:rsidR="00EC5EC8" w:rsidRPr="0024604A" w:rsidRDefault="00EC5EC8">
      <w:pPr>
        <w:rPr>
          <w:rFonts w:ascii="Calibri" w:hAnsi="Calibri"/>
          <w:b/>
          <w:bCs/>
        </w:rPr>
      </w:pPr>
    </w:p>
    <w:p w14:paraId="746600F8" w14:textId="77777777" w:rsidR="00EC5EC8" w:rsidRPr="0024604A" w:rsidRDefault="00EC5EC8">
      <w:pPr>
        <w:rPr>
          <w:rFonts w:ascii="Calibri" w:hAnsi="Calibri"/>
          <w:b/>
          <w:bCs/>
        </w:rPr>
      </w:pPr>
    </w:p>
    <w:p w14:paraId="2737DD27" w14:textId="00F4596B" w:rsidR="00B6571C" w:rsidRPr="0024604A" w:rsidRDefault="00D574D1" w:rsidP="004E0B2B">
      <w:pPr>
        <w:autoSpaceDE w:val="0"/>
        <w:autoSpaceDN w:val="0"/>
        <w:adjustRightInd w:val="0"/>
        <w:spacing w:before="40" w:after="40"/>
        <w:ind w:left="142" w:right="-798"/>
        <w:jc w:val="both"/>
        <w:rPr>
          <w:rFonts w:ascii="Calibri" w:hAnsi="Calibri"/>
          <w:bCs/>
          <w:lang w:val="en-GB"/>
        </w:rPr>
      </w:pPr>
      <w:r w:rsidRPr="0024604A">
        <w:rPr>
          <w:rFonts w:ascii="Calibri" w:hAnsi="Calibri"/>
          <w:b/>
          <w:bCs/>
          <w:lang w:val="en-GB"/>
        </w:rPr>
        <w:lastRenderedPageBreak/>
        <w:t>Table 2.</w:t>
      </w:r>
      <w:r w:rsidRPr="0024604A">
        <w:rPr>
          <w:rFonts w:ascii="Calibri" w:hAnsi="Calibri"/>
          <w:bCs/>
          <w:lang w:val="en-GB"/>
        </w:rPr>
        <w:t xml:space="preserve"> Average confusion matrices obtained upon PLSD-DA using 1000 iterations of bootstrapping resampling o</w:t>
      </w:r>
      <w:r w:rsidR="00B17BA7" w:rsidRPr="0024604A">
        <w:rPr>
          <w:rFonts w:ascii="Calibri" w:hAnsi="Calibri"/>
          <w:bCs/>
          <w:lang w:val="en-GB"/>
        </w:rPr>
        <w:t>f</w:t>
      </w:r>
      <w:r w:rsidRPr="0024604A">
        <w:rPr>
          <w:rFonts w:ascii="Calibri" w:hAnsi="Calibri"/>
          <w:bCs/>
          <w:lang w:val="en-GB"/>
        </w:rPr>
        <w:t xml:space="preserve"> </w:t>
      </w:r>
      <w:r w:rsidR="0066638C" w:rsidRPr="0024604A">
        <w:rPr>
          <w:rFonts w:ascii="Calibri" w:hAnsi="Calibri"/>
          <w:bCs/>
          <w:lang w:val="en-GB"/>
        </w:rPr>
        <w:t>full</w:t>
      </w:r>
      <w:r w:rsidR="00B17BA7" w:rsidRPr="0024604A">
        <w:rPr>
          <w:rFonts w:ascii="Calibri" w:hAnsi="Calibri"/>
          <w:bCs/>
          <w:lang w:val="en-GB"/>
        </w:rPr>
        <w:t>,</w:t>
      </w:r>
      <w:r w:rsidR="0066638C" w:rsidRPr="0024604A">
        <w:rPr>
          <w:rFonts w:ascii="Calibri" w:hAnsi="Calibri"/>
          <w:bCs/>
          <w:lang w:val="en-GB"/>
        </w:rPr>
        <w:t xml:space="preserve"> AIF Alex</w:t>
      </w:r>
      <w:r w:rsidR="0066638C" w:rsidRPr="0024604A">
        <w:rPr>
          <w:rFonts w:ascii="Calibri" w:hAnsi="Calibri"/>
          <w:bCs/>
          <w:vertAlign w:val="superscript"/>
          <w:lang w:val="en-GB"/>
        </w:rPr>
        <w:t>123</w:t>
      </w:r>
      <w:r w:rsidRPr="0024604A">
        <w:rPr>
          <w:rFonts w:ascii="Calibri" w:hAnsi="Calibri"/>
          <w:bCs/>
          <w:lang w:val="en-GB"/>
        </w:rPr>
        <w:t xml:space="preserve"> and XCMS data using (</w:t>
      </w:r>
      <w:r w:rsidR="00B00A21" w:rsidRPr="0024604A">
        <w:rPr>
          <w:rFonts w:ascii="Calibri" w:hAnsi="Calibri"/>
          <w:bCs/>
          <w:i/>
          <w:iCs/>
          <w:lang w:val="en-GB"/>
        </w:rPr>
        <w:t>a</w:t>
      </w:r>
      <w:r w:rsidRPr="0024604A">
        <w:rPr>
          <w:rFonts w:ascii="Calibri" w:hAnsi="Calibri"/>
          <w:bCs/>
          <w:lang w:val="en-GB"/>
        </w:rPr>
        <w:t>) the incidence of pathology or (</w:t>
      </w:r>
      <w:r w:rsidR="00B00A21" w:rsidRPr="0024604A">
        <w:rPr>
          <w:rFonts w:ascii="Calibri" w:hAnsi="Calibri"/>
          <w:bCs/>
          <w:i/>
          <w:iCs/>
          <w:lang w:val="en-GB"/>
        </w:rPr>
        <w:t>b</w:t>
      </w:r>
      <w:r w:rsidRPr="0024604A">
        <w:rPr>
          <w:rFonts w:ascii="Calibri" w:hAnsi="Calibri"/>
          <w:bCs/>
          <w:lang w:val="en-GB"/>
        </w:rPr>
        <w:t>) the degree of pathology as discriminant variable. No discriminatory power was obtained.</w:t>
      </w:r>
    </w:p>
    <w:tbl>
      <w:tblPr>
        <w:tblStyle w:val="Tabellasemplice5"/>
        <w:tblW w:w="9634" w:type="dxa"/>
        <w:tblInd w:w="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3"/>
        <w:gridCol w:w="291"/>
        <w:gridCol w:w="715"/>
        <w:gridCol w:w="244"/>
        <w:gridCol w:w="471"/>
        <w:gridCol w:w="715"/>
        <w:gridCol w:w="715"/>
        <w:gridCol w:w="715"/>
        <w:gridCol w:w="244"/>
        <w:gridCol w:w="471"/>
        <w:gridCol w:w="715"/>
        <w:gridCol w:w="715"/>
        <w:gridCol w:w="715"/>
        <w:gridCol w:w="715"/>
        <w:gridCol w:w="715"/>
        <w:gridCol w:w="715"/>
      </w:tblGrid>
      <w:tr w:rsidR="0024604A" w:rsidRPr="0024604A" w14:paraId="3E94B84C" w14:textId="19E5486C" w:rsidTr="006B0AB3">
        <w:trPr>
          <w:cnfStyle w:val="100000000000" w:firstRow="1" w:lastRow="0" w:firstColumn="0" w:lastColumn="0" w:oddVBand="0" w:evenVBand="0" w:oddHBand="0" w:evenHBand="0" w:firstRowFirstColumn="0" w:firstRowLastColumn="0" w:lastRowFirstColumn="0" w:lastRowLastColumn="0"/>
          <w:trHeight w:val="460"/>
        </w:trPr>
        <w:tc>
          <w:tcPr>
            <w:cnfStyle w:val="001000000100" w:firstRow="0" w:lastRow="0" w:firstColumn="1" w:lastColumn="0" w:oddVBand="0" w:evenVBand="0" w:oddHBand="0" w:evenHBand="0" w:firstRowFirstColumn="1" w:firstRowLastColumn="0" w:lastRowFirstColumn="0" w:lastRowLastColumn="0"/>
            <w:tcW w:w="1054" w:type="dxa"/>
            <w:gridSpan w:val="2"/>
            <w:vMerge w:val="restart"/>
            <w:tcBorders>
              <w:top w:val="single" w:sz="4" w:space="0" w:color="auto"/>
              <w:left w:val="nil"/>
              <w:bottom w:val="nil"/>
            </w:tcBorders>
          </w:tcPr>
          <w:p w14:paraId="252BF730" w14:textId="77777777" w:rsidR="0066638C" w:rsidRPr="0024604A" w:rsidRDefault="0066638C" w:rsidP="005C7791">
            <w:pPr>
              <w:spacing w:after="160" w:line="259" w:lineRule="auto"/>
              <w:jc w:val="center"/>
              <w:rPr>
                <w:rFonts w:asciiTheme="minorHAnsi" w:hAnsiTheme="minorHAnsi" w:cstheme="minorHAnsi"/>
                <w:lang w:val="en-GB"/>
              </w:rPr>
            </w:pPr>
          </w:p>
        </w:tc>
        <w:tc>
          <w:tcPr>
            <w:tcW w:w="2860" w:type="dxa"/>
            <w:gridSpan w:val="5"/>
            <w:tcBorders>
              <w:top w:val="single" w:sz="4" w:space="0" w:color="auto"/>
              <w:left w:val="nil"/>
              <w:bottom w:val="single" w:sz="4" w:space="0" w:color="auto"/>
              <w:right w:val="nil"/>
            </w:tcBorders>
            <w:vAlign w:val="center"/>
          </w:tcPr>
          <w:p w14:paraId="3812C2BE" w14:textId="1C78B8C4" w:rsidR="0066638C" w:rsidRPr="0024604A" w:rsidRDefault="0066638C" w:rsidP="006B0AB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Cs w:val="0"/>
                <w:lang w:val="en-GB"/>
              </w:rPr>
            </w:pPr>
            <w:r w:rsidRPr="0024604A">
              <w:rPr>
                <w:rFonts w:asciiTheme="minorHAnsi" w:hAnsiTheme="minorHAnsi" w:cstheme="minorHAnsi"/>
                <w:b/>
                <w:i w:val="0"/>
                <w:lang w:val="en-GB"/>
              </w:rPr>
              <w:t>Alex</w:t>
            </w:r>
            <w:r w:rsidRPr="0024604A">
              <w:rPr>
                <w:rFonts w:asciiTheme="minorHAnsi" w:hAnsiTheme="minorHAnsi" w:cstheme="minorHAnsi"/>
                <w:b/>
                <w:i w:val="0"/>
                <w:vertAlign w:val="superscript"/>
                <w:lang w:val="en-GB"/>
              </w:rPr>
              <w:t>123</w:t>
            </w:r>
          </w:p>
          <w:p w14:paraId="22B6B3FF" w14:textId="64C354A2" w:rsidR="0066638C" w:rsidRPr="0024604A" w:rsidRDefault="0066638C" w:rsidP="006B0AB3">
            <w:pPr>
              <w:spacing w:after="16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lang w:val="en-GB"/>
              </w:rPr>
            </w:pPr>
            <w:r w:rsidRPr="0024604A">
              <w:rPr>
                <w:rFonts w:asciiTheme="minorHAnsi" w:hAnsiTheme="minorHAnsi" w:cstheme="minorHAnsi"/>
                <w:b/>
                <w:i w:val="0"/>
                <w:lang w:val="en-GB"/>
              </w:rPr>
              <w:t>FULL MS DATA</w:t>
            </w:r>
          </w:p>
        </w:tc>
        <w:tc>
          <w:tcPr>
            <w:tcW w:w="2860" w:type="dxa"/>
            <w:gridSpan w:val="5"/>
            <w:tcBorders>
              <w:top w:val="single" w:sz="4" w:space="0" w:color="auto"/>
              <w:left w:val="nil"/>
              <w:bottom w:val="single" w:sz="4" w:space="0" w:color="auto"/>
              <w:right w:val="nil"/>
            </w:tcBorders>
            <w:vAlign w:val="center"/>
          </w:tcPr>
          <w:p w14:paraId="05746636" w14:textId="77777777" w:rsidR="0066638C" w:rsidRPr="0024604A" w:rsidRDefault="0066638C" w:rsidP="006B0AB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Cs w:val="0"/>
                <w:lang w:val="en-GB"/>
              </w:rPr>
            </w:pPr>
            <w:r w:rsidRPr="0024604A">
              <w:rPr>
                <w:rFonts w:asciiTheme="minorHAnsi" w:hAnsiTheme="minorHAnsi" w:cstheme="minorHAnsi"/>
                <w:b/>
                <w:i w:val="0"/>
                <w:lang w:val="en-GB"/>
              </w:rPr>
              <w:t>Alex</w:t>
            </w:r>
            <w:r w:rsidRPr="0024604A">
              <w:rPr>
                <w:rFonts w:asciiTheme="minorHAnsi" w:hAnsiTheme="minorHAnsi" w:cstheme="minorHAnsi"/>
                <w:b/>
                <w:i w:val="0"/>
                <w:vertAlign w:val="superscript"/>
                <w:lang w:val="en-GB"/>
              </w:rPr>
              <w:t>123</w:t>
            </w:r>
          </w:p>
          <w:p w14:paraId="56240305" w14:textId="42C3D0C3" w:rsidR="0066638C" w:rsidRPr="0024604A" w:rsidRDefault="0066638C" w:rsidP="006B0AB3">
            <w:pPr>
              <w:spacing w:after="16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lang w:val="en-GB"/>
              </w:rPr>
            </w:pPr>
            <w:r w:rsidRPr="0024604A">
              <w:rPr>
                <w:rFonts w:asciiTheme="minorHAnsi" w:hAnsiTheme="minorHAnsi" w:cstheme="minorHAnsi"/>
                <w:b/>
                <w:i w:val="0"/>
                <w:lang w:val="en-GB"/>
              </w:rPr>
              <w:t>AIF MS DATA</w:t>
            </w:r>
          </w:p>
        </w:tc>
        <w:tc>
          <w:tcPr>
            <w:tcW w:w="2860" w:type="dxa"/>
            <w:gridSpan w:val="4"/>
            <w:tcBorders>
              <w:top w:val="single" w:sz="4" w:space="0" w:color="auto"/>
              <w:left w:val="nil"/>
              <w:bottom w:val="single" w:sz="4" w:space="0" w:color="auto"/>
              <w:right w:val="nil"/>
            </w:tcBorders>
            <w:vAlign w:val="center"/>
          </w:tcPr>
          <w:p w14:paraId="1522AE78" w14:textId="79C77014" w:rsidR="0066638C" w:rsidRPr="0024604A" w:rsidRDefault="0066638C" w:rsidP="006B0AB3">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lang w:val="en-GB"/>
              </w:rPr>
            </w:pPr>
            <w:r w:rsidRPr="0024604A">
              <w:rPr>
                <w:rFonts w:asciiTheme="minorHAnsi" w:hAnsiTheme="minorHAnsi" w:cstheme="minorHAnsi"/>
                <w:b/>
                <w:i w:val="0"/>
                <w:lang w:val="en-GB"/>
              </w:rPr>
              <w:t>XCMS</w:t>
            </w:r>
          </w:p>
        </w:tc>
      </w:tr>
      <w:tr w:rsidR="0024604A" w:rsidRPr="0024604A" w14:paraId="03F7E391" w14:textId="6E8BE524" w:rsidTr="006B0AB3">
        <w:trPr>
          <w:cnfStyle w:val="000000100000" w:firstRow="0" w:lastRow="0" w:firstColumn="0" w:lastColumn="0" w:oddVBand="0" w:evenVBand="0" w:oddHBand="1" w:evenHBand="0" w:firstRowFirstColumn="0" w:firstRowLastColumn="0" w:lastRowFirstColumn="0" w:lastRowLastColumn="0"/>
          <w:trHeight w:val="211"/>
        </w:trPr>
        <w:tc>
          <w:tcPr>
            <w:cnfStyle w:val="001000000000" w:firstRow="0" w:lastRow="0" w:firstColumn="1" w:lastColumn="0" w:oddVBand="0" w:evenVBand="0" w:oddHBand="0" w:evenHBand="0" w:firstRowFirstColumn="0" w:firstRowLastColumn="0" w:lastRowFirstColumn="0" w:lastRowLastColumn="0"/>
            <w:tcW w:w="1054" w:type="dxa"/>
            <w:gridSpan w:val="2"/>
            <w:vMerge/>
            <w:tcBorders>
              <w:top w:val="nil"/>
              <w:left w:val="nil"/>
              <w:bottom w:val="nil"/>
              <w:right w:val="nil"/>
            </w:tcBorders>
          </w:tcPr>
          <w:p w14:paraId="6A6F2182" w14:textId="77777777" w:rsidR="0066638C" w:rsidRPr="0024604A" w:rsidRDefault="0066638C" w:rsidP="005C7791">
            <w:pPr>
              <w:spacing w:after="160" w:line="259" w:lineRule="auto"/>
              <w:jc w:val="center"/>
              <w:rPr>
                <w:rFonts w:asciiTheme="minorHAnsi" w:hAnsiTheme="minorHAnsi" w:cstheme="minorHAnsi"/>
                <w:lang w:val="en-GB"/>
              </w:rPr>
            </w:pPr>
          </w:p>
        </w:tc>
        <w:tc>
          <w:tcPr>
            <w:tcW w:w="8580" w:type="dxa"/>
            <w:gridSpan w:val="14"/>
            <w:tcBorders>
              <w:top w:val="single" w:sz="4" w:space="0" w:color="auto"/>
              <w:left w:val="nil"/>
              <w:bottom w:val="single" w:sz="4" w:space="0" w:color="auto"/>
              <w:right w:val="nil"/>
            </w:tcBorders>
          </w:tcPr>
          <w:p w14:paraId="1A7E1BFA" w14:textId="2715A467" w:rsidR="0066638C" w:rsidRPr="0024604A" w:rsidRDefault="0066638C" w:rsidP="005C7791">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
                <w:lang w:val="en-GB"/>
              </w:rPr>
            </w:pPr>
            <w:r w:rsidRPr="0024604A">
              <w:rPr>
                <w:rFonts w:asciiTheme="minorHAnsi" w:hAnsiTheme="minorHAnsi" w:cstheme="minorHAnsi"/>
                <w:b/>
                <w:i/>
                <w:lang w:val="en-GB"/>
              </w:rPr>
              <w:t>a</w:t>
            </w:r>
          </w:p>
        </w:tc>
      </w:tr>
      <w:tr w:rsidR="0024604A" w:rsidRPr="0024604A" w14:paraId="4C67CF33" w14:textId="7303F506" w:rsidTr="006B0AB3">
        <w:tc>
          <w:tcPr>
            <w:cnfStyle w:val="001000000000" w:firstRow="0" w:lastRow="0" w:firstColumn="1" w:lastColumn="0" w:oddVBand="0" w:evenVBand="0" w:oddHBand="0" w:evenHBand="0" w:firstRowFirstColumn="0" w:firstRowLastColumn="0" w:lastRowFirstColumn="0" w:lastRowLastColumn="0"/>
            <w:tcW w:w="1054" w:type="dxa"/>
            <w:gridSpan w:val="2"/>
            <w:vMerge/>
            <w:tcBorders>
              <w:top w:val="nil"/>
              <w:left w:val="nil"/>
              <w:bottom w:val="nil"/>
              <w:right w:val="nil"/>
            </w:tcBorders>
          </w:tcPr>
          <w:p w14:paraId="57E1EF7E" w14:textId="77777777" w:rsidR="0066638C" w:rsidRPr="0024604A" w:rsidRDefault="0066638C" w:rsidP="0066638C">
            <w:pPr>
              <w:spacing w:after="160" w:line="259" w:lineRule="auto"/>
              <w:jc w:val="center"/>
              <w:rPr>
                <w:rFonts w:asciiTheme="minorHAnsi" w:hAnsiTheme="minorHAnsi" w:cstheme="minorHAnsi"/>
                <w:lang w:val="en-GB"/>
              </w:rPr>
            </w:pPr>
          </w:p>
        </w:tc>
        <w:tc>
          <w:tcPr>
            <w:tcW w:w="959" w:type="dxa"/>
            <w:gridSpan w:val="2"/>
            <w:tcBorders>
              <w:top w:val="single" w:sz="4" w:space="0" w:color="auto"/>
              <w:left w:val="nil"/>
              <w:bottom w:val="nil"/>
              <w:right w:val="nil"/>
            </w:tcBorders>
          </w:tcPr>
          <w:p w14:paraId="11AD88FF" w14:textId="77777777" w:rsidR="0066638C" w:rsidRPr="0024604A" w:rsidRDefault="0066638C" w:rsidP="0066638C">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2"/>
                <w:szCs w:val="22"/>
                <w:lang w:val="en-GB"/>
              </w:rPr>
            </w:pPr>
            <w:r w:rsidRPr="0024604A">
              <w:rPr>
                <w:rFonts w:asciiTheme="minorHAnsi" w:hAnsiTheme="minorHAnsi" w:cstheme="minorHAnsi"/>
                <w:i/>
                <w:sz w:val="22"/>
                <w:szCs w:val="22"/>
                <w:lang w:val="en-GB"/>
              </w:rPr>
              <w:t>Healthy</w:t>
            </w:r>
          </w:p>
        </w:tc>
        <w:tc>
          <w:tcPr>
            <w:tcW w:w="1901" w:type="dxa"/>
            <w:gridSpan w:val="3"/>
            <w:tcBorders>
              <w:top w:val="single" w:sz="4" w:space="0" w:color="auto"/>
              <w:left w:val="nil"/>
              <w:bottom w:val="nil"/>
              <w:right w:val="nil"/>
            </w:tcBorders>
          </w:tcPr>
          <w:p w14:paraId="496D5868" w14:textId="77777777" w:rsidR="0066638C" w:rsidRPr="0024604A" w:rsidRDefault="0066638C" w:rsidP="0066638C">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2"/>
                <w:szCs w:val="22"/>
                <w:lang w:val="en-GB"/>
              </w:rPr>
            </w:pPr>
            <w:r w:rsidRPr="0024604A">
              <w:rPr>
                <w:rFonts w:asciiTheme="minorHAnsi" w:hAnsiTheme="minorHAnsi" w:cstheme="minorHAnsi"/>
                <w:i/>
                <w:sz w:val="22"/>
                <w:szCs w:val="22"/>
                <w:lang w:val="en-GB"/>
              </w:rPr>
              <w:t>Patient</w:t>
            </w:r>
          </w:p>
        </w:tc>
        <w:tc>
          <w:tcPr>
            <w:tcW w:w="959" w:type="dxa"/>
            <w:gridSpan w:val="2"/>
            <w:tcBorders>
              <w:top w:val="single" w:sz="4" w:space="0" w:color="auto"/>
              <w:left w:val="nil"/>
              <w:bottom w:val="nil"/>
              <w:right w:val="nil"/>
            </w:tcBorders>
          </w:tcPr>
          <w:p w14:paraId="02E56959" w14:textId="77777777" w:rsidR="0066638C" w:rsidRPr="0024604A" w:rsidRDefault="0066638C" w:rsidP="0066638C">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2"/>
                <w:szCs w:val="22"/>
                <w:lang w:val="en-GB"/>
              </w:rPr>
            </w:pPr>
            <w:r w:rsidRPr="0024604A">
              <w:rPr>
                <w:rFonts w:asciiTheme="minorHAnsi" w:hAnsiTheme="minorHAnsi" w:cstheme="minorHAnsi"/>
                <w:i/>
                <w:sz w:val="22"/>
                <w:szCs w:val="22"/>
                <w:lang w:val="en-GB"/>
              </w:rPr>
              <w:t>Healthy</w:t>
            </w:r>
          </w:p>
        </w:tc>
        <w:tc>
          <w:tcPr>
            <w:tcW w:w="1901" w:type="dxa"/>
            <w:gridSpan w:val="3"/>
            <w:tcBorders>
              <w:top w:val="single" w:sz="4" w:space="0" w:color="auto"/>
              <w:left w:val="nil"/>
              <w:bottom w:val="nil"/>
              <w:right w:val="nil"/>
            </w:tcBorders>
          </w:tcPr>
          <w:p w14:paraId="36072D76" w14:textId="77777777" w:rsidR="0066638C" w:rsidRPr="0024604A" w:rsidRDefault="0066638C" w:rsidP="0066638C">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2"/>
                <w:szCs w:val="22"/>
                <w:lang w:val="en-GB"/>
              </w:rPr>
            </w:pPr>
            <w:r w:rsidRPr="0024604A">
              <w:rPr>
                <w:rFonts w:asciiTheme="minorHAnsi" w:hAnsiTheme="minorHAnsi" w:cstheme="minorHAnsi"/>
                <w:i/>
                <w:sz w:val="22"/>
                <w:szCs w:val="22"/>
                <w:lang w:val="en-GB"/>
              </w:rPr>
              <w:t>Patient</w:t>
            </w:r>
          </w:p>
        </w:tc>
        <w:tc>
          <w:tcPr>
            <w:tcW w:w="1430" w:type="dxa"/>
            <w:gridSpan w:val="2"/>
            <w:tcBorders>
              <w:top w:val="single" w:sz="4" w:space="0" w:color="auto"/>
              <w:left w:val="nil"/>
              <w:bottom w:val="nil"/>
              <w:right w:val="nil"/>
            </w:tcBorders>
          </w:tcPr>
          <w:p w14:paraId="79DBD1A6" w14:textId="28BC157D" w:rsidR="0066638C" w:rsidRPr="0024604A" w:rsidRDefault="0066638C" w:rsidP="0066638C">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2"/>
                <w:szCs w:val="22"/>
                <w:lang w:val="en-GB"/>
              </w:rPr>
            </w:pPr>
            <w:r w:rsidRPr="0024604A">
              <w:rPr>
                <w:rFonts w:asciiTheme="minorHAnsi" w:hAnsiTheme="minorHAnsi" w:cstheme="minorHAnsi"/>
                <w:i/>
                <w:sz w:val="22"/>
                <w:szCs w:val="22"/>
                <w:lang w:val="en-GB"/>
              </w:rPr>
              <w:t>Healthy</w:t>
            </w:r>
          </w:p>
        </w:tc>
        <w:tc>
          <w:tcPr>
            <w:tcW w:w="1430" w:type="dxa"/>
            <w:gridSpan w:val="2"/>
            <w:tcBorders>
              <w:top w:val="single" w:sz="4" w:space="0" w:color="auto"/>
              <w:left w:val="nil"/>
              <w:bottom w:val="nil"/>
              <w:right w:val="nil"/>
            </w:tcBorders>
          </w:tcPr>
          <w:p w14:paraId="0106D1DB" w14:textId="52911A26" w:rsidR="0066638C" w:rsidRPr="0024604A" w:rsidRDefault="0066638C" w:rsidP="0066638C">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2"/>
                <w:szCs w:val="22"/>
                <w:lang w:val="en-GB"/>
              </w:rPr>
            </w:pPr>
            <w:r w:rsidRPr="0024604A">
              <w:rPr>
                <w:rFonts w:asciiTheme="minorHAnsi" w:hAnsiTheme="minorHAnsi" w:cstheme="minorHAnsi"/>
                <w:i/>
                <w:sz w:val="22"/>
                <w:szCs w:val="22"/>
                <w:lang w:val="en-GB"/>
              </w:rPr>
              <w:t>Patient</w:t>
            </w:r>
          </w:p>
        </w:tc>
      </w:tr>
      <w:tr w:rsidR="0024604A" w:rsidRPr="0024604A" w14:paraId="1A00F90D" w14:textId="7DAD7E78" w:rsidTr="006B0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4" w:type="dxa"/>
            <w:gridSpan w:val="2"/>
            <w:tcBorders>
              <w:top w:val="nil"/>
              <w:left w:val="nil"/>
              <w:bottom w:val="nil"/>
              <w:right w:val="nil"/>
            </w:tcBorders>
          </w:tcPr>
          <w:p w14:paraId="4584C55F" w14:textId="77777777" w:rsidR="0066638C" w:rsidRPr="0024604A" w:rsidRDefault="0066638C" w:rsidP="0066638C">
            <w:pPr>
              <w:spacing w:after="160" w:line="259" w:lineRule="auto"/>
              <w:jc w:val="center"/>
              <w:rPr>
                <w:rFonts w:asciiTheme="minorHAnsi" w:hAnsiTheme="minorHAnsi" w:cstheme="minorHAnsi"/>
                <w:lang w:val="en-GB"/>
              </w:rPr>
            </w:pPr>
            <w:r w:rsidRPr="0024604A">
              <w:rPr>
                <w:rFonts w:asciiTheme="minorHAnsi" w:hAnsiTheme="minorHAnsi" w:cstheme="minorHAnsi"/>
                <w:lang w:val="en-GB"/>
              </w:rPr>
              <w:t>Healthy</w:t>
            </w:r>
          </w:p>
        </w:tc>
        <w:tc>
          <w:tcPr>
            <w:tcW w:w="959" w:type="dxa"/>
            <w:gridSpan w:val="2"/>
            <w:tcBorders>
              <w:top w:val="nil"/>
              <w:left w:val="nil"/>
              <w:bottom w:val="nil"/>
              <w:right w:val="nil"/>
            </w:tcBorders>
          </w:tcPr>
          <w:p w14:paraId="1194B24B" w14:textId="77777777" w:rsidR="0066638C" w:rsidRPr="0024604A" w:rsidRDefault="0066638C" w:rsidP="0066638C">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0.48</w:t>
            </w:r>
          </w:p>
        </w:tc>
        <w:tc>
          <w:tcPr>
            <w:tcW w:w="1901" w:type="dxa"/>
            <w:gridSpan w:val="3"/>
            <w:tcBorders>
              <w:top w:val="nil"/>
              <w:left w:val="nil"/>
              <w:bottom w:val="nil"/>
              <w:right w:val="nil"/>
            </w:tcBorders>
          </w:tcPr>
          <w:p w14:paraId="1088A67D" w14:textId="77777777" w:rsidR="0066638C" w:rsidRPr="0024604A" w:rsidRDefault="0066638C" w:rsidP="0066638C">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0.52</w:t>
            </w:r>
          </w:p>
        </w:tc>
        <w:tc>
          <w:tcPr>
            <w:tcW w:w="959" w:type="dxa"/>
            <w:gridSpan w:val="2"/>
            <w:tcBorders>
              <w:top w:val="nil"/>
              <w:left w:val="nil"/>
              <w:bottom w:val="nil"/>
              <w:right w:val="nil"/>
            </w:tcBorders>
          </w:tcPr>
          <w:p w14:paraId="6567C893" w14:textId="6B2ADC57" w:rsidR="0066638C" w:rsidRPr="0024604A" w:rsidRDefault="0066638C" w:rsidP="0066638C">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hAnsi="Calibri" w:cstheme="minorHAnsi"/>
                <w:lang w:val="en-GB"/>
              </w:rPr>
            </w:pPr>
            <w:r w:rsidRPr="0024604A">
              <w:rPr>
                <w:rFonts w:ascii="Calibri" w:hAnsi="Calibri"/>
              </w:rPr>
              <w:t>0.47</w:t>
            </w:r>
          </w:p>
        </w:tc>
        <w:tc>
          <w:tcPr>
            <w:tcW w:w="1901" w:type="dxa"/>
            <w:gridSpan w:val="3"/>
            <w:tcBorders>
              <w:top w:val="nil"/>
              <w:left w:val="nil"/>
              <w:bottom w:val="nil"/>
              <w:right w:val="nil"/>
            </w:tcBorders>
          </w:tcPr>
          <w:p w14:paraId="59868DF6" w14:textId="43F254EB" w:rsidR="0066638C" w:rsidRPr="0024604A" w:rsidRDefault="0066638C" w:rsidP="0066638C">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hAnsi="Calibri" w:cstheme="minorHAnsi"/>
                <w:lang w:val="en-GB"/>
              </w:rPr>
            </w:pPr>
            <w:r w:rsidRPr="0024604A">
              <w:rPr>
                <w:rFonts w:ascii="Calibri" w:hAnsi="Calibri"/>
              </w:rPr>
              <w:t>0.53</w:t>
            </w:r>
          </w:p>
        </w:tc>
        <w:tc>
          <w:tcPr>
            <w:tcW w:w="1430" w:type="dxa"/>
            <w:gridSpan w:val="2"/>
            <w:tcBorders>
              <w:top w:val="nil"/>
              <w:left w:val="nil"/>
              <w:bottom w:val="nil"/>
              <w:right w:val="nil"/>
            </w:tcBorders>
          </w:tcPr>
          <w:p w14:paraId="03D9BF7A" w14:textId="306FF939" w:rsidR="0066638C" w:rsidRPr="0024604A" w:rsidRDefault="0066638C" w:rsidP="0066638C">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0.5</w:t>
            </w:r>
            <w:r w:rsidR="006C2D76" w:rsidRPr="0024604A">
              <w:rPr>
                <w:rFonts w:asciiTheme="minorHAnsi" w:hAnsiTheme="minorHAnsi" w:cstheme="minorHAnsi"/>
                <w:lang w:val="en-GB"/>
              </w:rPr>
              <w:t>0</w:t>
            </w:r>
          </w:p>
        </w:tc>
        <w:tc>
          <w:tcPr>
            <w:tcW w:w="1430" w:type="dxa"/>
            <w:gridSpan w:val="2"/>
            <w:tcBorders>
              <w:top w:val="nil"/>
              <w:left w:val="nil"/>
              <w:bottom w:val="nil"/>
              <w:right w:val="nil"/>
            </w:tcBorders>
          </w:tcPr>
          <w:p w14:paraId="53937054" w14:textId="52B8D367" w:rsidR="0066638C" w:rsidRPr="0024604A" w:rsidRDefault="0066638C" w:rsidP="0066638C">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0.5</w:t>
            </w:r>
            <w:r w:rsidR="006C2D76" w:rsidRPr="0024604A">
              <w:rPr>
                <w:rFonts w:asciiTheme="minorHAnsi" w:hAnsiTheme="minorHAnsi" w:cstheme="minorHAnsi"/>
                <w:lang w:val="en-GB"/>
              </w:rPr>
              <w:t>0</w:t>
            </w:r>
          </w:p>
        </w:tc>
      </w:tr>
      <w:tr w:rsidR="0024604A" w:rsidRPr="0024604A" w14:paraId="3C2F1FA6" w14:textId="5A492B85" w:rsidTr="006B0AB3">
        <w:tc>
          <w:tcPr>
            <w:cnfStyle w:val="001000000000" w:firstRow="0" w:lastRow="0" w:firstColumn="1" w:lastColumn="0" w:oddVBand="0" w:evenVBand="0" w:oddHBand="0" w:evenHBand="0" w:firstRowFirstColumn="0" w:firstRowLastColumn="0" w:lastRowFirstColumn="0" w:lastRowLastColumn="0"/>
            <w:tcW w:w="1054" w:type="dxa"/>
            <w:gridSpan w:val="2"/>
            <w:tcBorders>
              <w:top w:val="nil"/>
              <w:left w:val="nil"/>
              <w:bottom w:val="nil"/>
              <w:right w:val="nil"/>
            </w:tcBorders>
          </w:tcPr>
          <w:p w14:paraId="325F23AB" w14:textId="77777777" w:rsidR="0066638C" w:rsidRPr="0024604A" w:rsidRDefault="0066638C" w:rsidP="0066638C">
            <w:pPr>
              <w:spacing w:after="160" w:line="259" w:lineRule="auto"/>
              <w:jc w:val="center"/>
              <w:rPr>
                <w:rFonts w:asciiTheme="minorHAnsi" w:hAnsiTheme="minorHAnsi" w:cstheme="minorHAnsi"/>
                <w:lang w:val="en-GB"/>
              </w:rPr>
            </w:pPr>
            <w:r w:rsidRPr="0024604A">
              <w:rPr>
                <w:rFonts w:asciiTheme="minorHAnsi" w:hAnsiTheme="minorHAnsi" w:cstheme="minorHAnsi"/>
                <w:lang w:val="en-GB"/>
              </w:rPr>
              <w:t>Patient</w:t>
            </w:r>
          </w:p>
        </w:tc>
        <w:tc>
          <w:tcPr>
            <w:tcW w:w="959" w:type="dxa"/>
            <w:gridSpan w:val="2"/>
            <w:tcBorders>
              <w:top w:val="nil"/>
              <w:left w:val="nil"/>
              <w:bottom w:val="nil"/>
              <w:right w:val="nil"/>
            </w:tcBorders>
          </w:tcPr>
          <w:p w14:paraId="06E81697" w14:textId="77777777" w:rsidR="0066638C" w:rsidRPr="0024604A" w:rsidRDefault="0066638C" w:rsidP="0066638C">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0.48</w:t>
            </w:r>
          </w:p>
        </w:tc>
        <w:tc>
          <w:tcPr>
            <w:tcW w:w="1901" w:type="dxa"/>
            <w:gridSpan w:val="3"/>
            <w:tcBorders>
              <w:top w:val="nil"/>
              <w:left w:val="nil"/>
              <w:bottom w:val="single" w:sz="4" w:space="0" w:color="auto"/>
              <w:right w:val="nil"/>
            </w:tcBorders>
          </w:tcPr>
          <w:p w14:paraId="10B74C91" w14:textId="77777777" w:rsidR="0066638C" w:rsidRPr="0024604A" w:rsidRDefault="0066638C" w:rsidP="0066638C">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0.52</w:t>
            </w:r>
          </w:p>
        </w:tc>
        <w:tc>
          <w:tcPr>
            <w:tcW w:w="959" w:type="dxa"/>
            <w:gridSpan w:val="2"/>
            <w:tcBorders>
              <w:top w:val="nil"/>
              <w:left w:val="nil"/>
              <w:bottom w:val="single" w:sz="4" w:space="0" w:color="auto"/>
              <w:right w:val="nil"/>
            </w:tcBorders>
          </w:tcPr>
          <w:p w14:paraId="63010282" w14:textId="3E7FB292" w:rsidR="0066638C" w:rsidRPr="0024604A" w:rsidRDefault="0066638C" w:rsidP="0066638C">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lang w:val="en-GB"/>
              </w:rPr>
            </w:pPr>
            <w:r w:rsidRPr="0024604A">
              <w:rPr>
                <w:rFonts w:ascii="Calibri" w:hAnsi="Calibri"/>
              </w:rPr>
              <w:t>0.48</w:t>
            </w:r>
          </w:p>
        </w:tc>
        <w:tc>
          <w:tcPr>
            <w:tcW w:w="1901" w:type="dxa"/>
            <w:gridSpan w:val="3"/>
            <w:tcBorders>
              <w:top w:val="nil"/>
              <w:left w:val="nil"/>
              <w:bottom w:val="single" w:sz="4" w:space="0" w:color="auto"/>
              <w:right w:val="nil"/>
            </w:tcBorders>
          </w:tcPr>
          <w:p w14:paraId="38CA1908" w14:textId="42B098F5" w:rsidR="0066638C" w:rsidRPr="0024604A" w:rsidRDefault="0066638C" w:rsidP="0066638C">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hAnsi="Calibri" w:cstheme="minorHAnsi"/>
                <w:lang w:val="en-GB"/>
              </w:rPr>
            </w:pPr>
            <w:r w:rsidRPr="0024604A">
              <w:rPr>
                <w:rFonts w:ascii="Calibri" w:hAnsi="Calibri"/>
              </w:rPr>
              <w:t>0.52</w:t>
            </w:r>
          </w:p>
        </w:tc>
        <w:tc>
          <w:tcPr>
            <w:tcW w:w="1430" w:type="dxa"/>
            <w:gridSpan w:val="2"/>
            <w:tcBorders>
              <w:top w:val="nil"/>
              <w:left w:val="nil"/>
              <w:bottom w:val="single" w:sz="4" w:space="0" w:color="auto"/>
              <w:right w:val="nil"/>
            </w:tcBorders>
          </w:tcPr>
          <w:p w14:paraId="44176176" w14:textId="5BDEBEDD" w:rsidR="0066638C" w:rsidRPr="0024604A" w:rsidRDefault="0066638C" w:rsidP="0066638C">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0.55</w:t>
            </w:r>
          </w:p>
        </w:tc>
        <w:tc>
          <w:tcPr>
            <w:tcW w:w="1430" w:type="dxa"/>
            <w:gridSpan w:val="2"/>
            <w:tcBorders>
              <w:top w:val="nil"/>
              <w:left w:val="nil"/>
              <w:bottom w:val="single" w:sz="4" w:space="0" w:color="auto"/>
              <w:right w:val="nil"/>
            </w:tcBorders>
          </w:tcPr>
          <w:p w14:paraId="5002C508" w14:textId="0B4CFDAE" w:rsidR="0066638C" w:rsidRPr="0024604A" w:rsidRDefault="0066638C" w:rsidP="0066638C">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0.45</w:t>
            </w:r>
          </w:p>
        </w:tc>
      </w:tr>
      <w:tr w:rsidR="0024604A" w:rsidRPr="0024604A" w14:paraId="3D8A56BB" w14:textId="154DA398" w:rsidTr="006B0A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4" w:type="dxa"/>
            <w:gridSpan w:val="2"/>
            <w:vMerge w:val="restart"/>
          </w:tcPr>
          <w:p w14:paraId="76DDF1AD" w14:textId="77777777" w:rsidR="006B0AB3" w:rsidRPr="0024604A" w:rsidRDefault="006B0AB3" w:rsidP="004F3DE8">
            <w:pPr>
              <w:spacing w:after="160" w:line="259" w:lineRule="auto"/>
              <w:jc w:val="center"/>
              <w:rPr>
                <w:rFonts w:asciiTheme="minorHAnsi" w:hAnsiTheme="minorHAnsi" w:cstheme="minorHAnsi"/>
                <w:lang w:val="en-GB"/>
              </w:rPr>
            </w:pPr>
          </w:p>
        </w:tc>
        <w:tc>
          <w:tcPr>
            <w:tcW w:w="8580" w:type="dxa"/>
            <w:gridSpan w:val="14"/>
            <w:tcBorders>
              <w:top w:val="single" w:sz="4" w:space="0" w:color="auto"/>
              <w:bottom w:val="single" w:sz="4" w:space="0" w:color="auto"/>
            </w:tcBorders>
          </w:tcPr>
          <w:p w14:paraId="6330AE4F" w14:textId="54515AC8" w:rsidR="006B0AB3" w:rsidRPr="0024604A" w:rsidRDefault="006B0AB3" w:rsidP="004F3DE8">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
                <w:lang w:val="en-GB"/>
              </w:rPr>
            </w:pPr>
            <w:r w:rsidRPr="0024604A">
              <w:rPr>
                <w:rFonts w:asciiTheme="minorHAnsi" w:hAnsiTheme="minorHAnsi" w:cstheme="minorHAnsi"/>
                <w:b/>
                <w:i/>
                <w:lang w:val="en-GB"/>
              </w:rPr>
              <w:t>b</w:t>
            </w:r>
          </w:p>
        </w:tc>
      </w:tr>
      <w:tr w:rsidR="0024604A" w:rsidRPr="0024604A" w14:paraId="090534C8" w14:textId="5D9BF825" w:rsidTr="0051410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9"/>
        </w:trPr>
        <w:tc>
          <w:tcPr>
            <w:cnfStyle w:val="001000000000" w:firstRow="0" w:lastRow="0" w:firstColumn="1" w:lastColumn="0" w:oddVBand="0" w:evenVBand="0" w:oddHBand="0" w:evenHBand="0" w:firstRowFirstColumn="0" w:firstRowLastColumn="0" w:lastRowFirstColumn="0" w:lastRowLastColumn="0"/>
            <w:tcW w:w="1054" w:type="dxa"/>
            <w:gridSpan w:val="2"/>
            <w:vMerge/>
          </w:tcPr>
          <w:p w14:paraId="7F2E062B" w14:textId="77777777" w:rsidR="006B0AB3" w:rsidRPr="0024604A" w:rsidRDefault="006B0AB3" w:rsidP="006B0AB3">
            <w:pPr>
              <w:spacing w:after="160" w:line="259" w:lineRule="auto"/>
              <w:jc w:val="center"/>
              <w:rPr>
                <w:rFonts w:asciiTheme="minorHAnsi" w:hAnsiTheme="minorHAnsi" w:cstheme="minorHAnsi"/>
                <w:lang w:val="en-GB"/>
              </w:rPr>
            </w:pPr>
          </w:p>
        </w:tc>
        <w:tc>
          <w:tcPr>
            <w:tcW w:w="715" w:type="dxa"/>
            <w:vMerge w:val="restart"/>
            <w:tcBorders>
              <w:top w:val="single" w:sz="4" w:space="0" w:color="auto"/>
            </w:tcBorders>
            <w:textDirection w:val="btLr"/>
          </w:tcPr>
          <w:p w14:paraId="23AF8F57" w14:textId="77777777" w:rsidR="006B0AB3" w:rsidRPr="0024604A" w:rsidRDefault="006B0AB3" w:rsidP="006B0AB3">
            <w:pPr>
              <w:spacing w:after="160" w:line="259" w:lineRule="auto"/>
              <w:ind w:left="113" w:right="1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Healthy</w:t>
            </w:r>
          </w:p>
          <w:p w14:paraId="211ACFDA" w14:textId="77777777" w:rsidR="006B0AB3" w:rsidRPr="0024604A" w:rsidRDefault="006B0AB3" w:rsidP="006B0AB3">
            <w:pPr>
              <w:spacing w:after="160" w:line="259" w:lineRule="auto"/>
              <w:ind w:left="113" w:right="11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p>
        </w:tc>
        <w:tc>
          <w:tcPr>
            <w:tcW w:w="2145" w:type="dxa"/>
            <w:gridSpan w:val="4"/>
            <w:tcBorders>
              <w:top w:val="single" w:sz="4" w:space="0" w:color="auto"/>
            </w:tcBorders>
          </w:tcPr>
          <w:p w14:paraId="1CA4B078" w14:textId="64FBC9AA" w:rsidR="006B0AB3" w:rsidRPr="0024604A" w:rsidRDefault="006B0AB3" w:rsidP="006B0AB3">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lang w:val="en-GB"/>
              </w:rPr>
            </w:pPr>
            <w:r w:rsidRPr="0024604A">
              <w:rPr>
                <w:rFonts w:asciiTheme="minorHAnsi" w:hAnsiTheme="minorHAnsi" w:cstheme="minorHAnsi"/>
                <w:i/>
                <w:iCs/>
                <w:lang w:val="en-GB"/>
              </w:rPr>
              <w:t xml:space="preserve">ASD </w:t>
            </w:r>
            <w:proofErr w:type="spellStart"/>
            <w:r w:rsidRPr="0024604A">
              <w:rPr>
                <w:rFonts w:asciiTheme="minorHAnsi" w:hAnsiTheme="minorHAnsi" w:cstheme="minorHAnsi"/>
                <w:i/>
                <w:iCs/>
                <w:lang w:val="en-GB"/>
              </w:rPr>
              <w:t>D</w:t>
            </w:r>
            <w:r w:rsidR="0051410C" w:rsidRPr="0024604A">
              <w:rPr>
                <w:rFonts w:asciiTheme="minorHAnsi" w:hAnsiTheme="minorHAnsi" w:cstheme="minorHAnsi"/>
                <w:i/>
                <w:iCs/>
                <w:lang w:val="en-GB"/>
              </w:rPr>
              <w:t>oS</w:t>
            </w:r>
            <w:r w:rsidR="0051410C" w:rsidRPr="0024604A">
              <w:rPr>
                <w:rFonts w:asciiTheme="minorHAnsi" w:hAnsiTheme="minorHAnsi" w:cstheme="minorHAnsi"/>
                <w:i/>
                <w:iCs/>
                <w:vertAlign w:val="superscript"/>
                <w:lang w:val="en-GB"/>
              </w:rPr>
              <w:t>a</w:t>
            </w:r>
            <w:proofErr w:type="spellEnd"/>
          </w:p>
        </w:tc>
        <w:tc>
          <w:tcPr>
            <w:tcW w:w="715" w:type="dxa"/>
            <w:vMerge w:val="restart"/>
            <w:tcBorders>
              <w:top w:val="single" w:sz="4" w:space="0" w:color="auto"/>
            </w:tcBorders>
            <w:textDirection w:val="btLr"/>
          </w:tcPr>
          <w:p w14:paraId="7512B000" w14:textId="77777777" w:rsidR="006B0AB3" w:rsidRPr="0024604A" w:rsidRDefault="006B0AB3" w:rsidP="006B0AB3">
            <w:pPr>
              <w:spacing w:after="160" w:line="259" w:lineRule="auto"/>
              <w:ind w:left="113" w:right="1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Healthy</w:t>
            </w:r>
          </w:p>
          <w:p w14:paraId="68F6E9FB" w14:textId="77777777" w:rsidR="006B0AB3" w:rsidRPr="0024604A" w:rsidRDefault="006B0AB3" w:rsidP="006B0AB3">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p>
        </w:tc>
        <w:tc>
          <w:tcPr>
            <w:tcW w:w="2145" w:type="dxa"/>
            <w:gridSpan w:val="4"/>
            <w:tcBorders>
              <w:top w:val="single" w:sz="4" w:space="0" w:color="auto"/>
            </w:tcBorders>
          </w:tcPr>
          <w:p w14:paraId="637B374B" w14:textId="1D05F9AE" w:rsidR="006B0AB3" w:rsidRPr="0024604A" w:rsidRDefault="0051410C" w:rsidP="006B0AB3">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lang w:val="en-GB"/>
              </w:rPr>
            </w:pPr>
            <w:r w:rsidRPr="0024604A">
              <w:rPr>
                <w:rFonts w:asciiTheme="minorHAnsi" w:hAnsiTheme="minorHAnsi" w:cstheme="minorHAnsi"/>
                <w:i/>
                <w:iCs/>
                <w:lang w:val="en-GB"/>
              </w:rPr>
              <w:t>ASD DoS</w:t>
            </w:r>
          </w:p>
        </w:tc>
        <w:tc>
          <w:tcPr>
            <w:tcW w:w="715" w:type="dxa"/>
            <w:vMerge w:val="restart"/>
            <w:tcBorders>
              <w:top w:val="single" w:sz="4" w:space="0" w:color="auto"/>
            </w:tcBorders>
            <w:textDirection w:val="btLr"/>
          </w:tcPr>
          <w:p w14:paraId="63361E91" w14:textId="77777777" w:rsidR="006B0AB3" w:rsidRPr="0024604A" w:rsidRDefault="006B0AB3" w:rsidP="006B0AB3">
            <w:pPr>
              <w:spacing w:after="160" w:line="259" w:lineRule="auto"/>
              <w:ind w:left="113" w:right="1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Healthy</w:t>
            </w:r>
          </w:p>
        </w:tc>
        <w:tc>
          <w:tcPr>
            <w:tcW w:w="2145" w:type="dxa"/>
            <w:gridSpan w:val="3"/>
            <w:tcBorders>
              <w:top w:val="single" w:sz="4" w:space="0" w:color="auto"/>
            </w:tcBorders>
          </w:tcPr>
          <w:p w14:paraId="5C09A588" w14:textId="35292976" w:rsidR="006B0AB3" w:rsidRPr="0024604A" w:rsidRDefault="0051410C" w:rsidP="006B0AB3">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i/>
                <w:iCs/>
                <w:lang w:val="en-GB"/>
              </w:rPr>
              <w:t>ASD DoS</w:t>
            </w:r>
          </w:p>
        </w:tc>
      </w:tr>
      <w:tr w:rsidR="0024604A" w:rsidRPr="0024604A" w14:paraId="3CD65172" w14:textId="79202BF1" w:rsidTr="006B0A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1054" w:type="dxa"/>
            <w:gridSpan w:val="2"/>
            <w:vMerge/>
          </w:tcPr>
          <w:p w14:paraId="27C68BCA" w14:textId="77777777" w:rsidR="006B0AB3" w:rsidRPr="0024604A" w:rsidRDefault="006B0AB3" w:rsidP="006B0AB3">
            <w:pPr>
              <w:spacing w:after="160" w:line="259" w:lineRule="auto"/>
              <w:jc w:val="center"/>
              <w:rPr>
                <w:rFonts w:asciiTheme="minorHAnsi" w:hAnsiTheme="minorHAnsi" w:cstheme="minorHAnsi"/>
                <w:lang w:val="en-GB"/>
              </w:rPr>
            </w:pPr>
          </w:p>
        </w:tc>
        <w:tc>
          <w:tcPr>
            <w:tcW w:w="715" w:type="dxa"/>
            <w:vMerge/>
          </w:tcPr>
          <w:p w14:paraId="06ED8187" w14:textId="77777777" w:rsidR="006B0AB3" w:rsidRPr="0024604A" w:rsidRDefault="006B0AB3" w:rsidP="006B0AB3">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p>
        </w:tc>
        <w:tc>
          <w:tcPr>
            <w:tcW w:w="715" w:type="dxa"/>
            <w:gridSpan w:val="2"/>
          </w:tcPr>
          <w:p w14:paraId="608ED3E9" w14:textId="77777777" w:rsidR="006B0AB3" w:rsidRPr="0024604A" w:rsidRDefault="006B0AB3" w:rsidP="006B0AB3">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1</w:t>
            </w:r>
          </w:p>
        </w:tc>
        <w:tc>
          <w:tcPr>
            <w:tcW w:w="715" w:type="dxa"/>
          </w:tcPr>
          <w:p w14:paraId="62647081" w14:textId="77777777" w:rsidR="006B0AB3" w:rsidRPr="0024604A" w:rsidRDefault="006B0AB3" w:rsidP="006B0AB3">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2</w:t>
            </w:r>
          </w:p>
        </w:tc>
        <w:tc>
          <w:tcPr>
            <w:tcW w:w="715" w:type="dxa"/>
          </w:tcPr>
          <w:p w14:paraId="423CDD0E" w14:textId="77777777" w:rsidR="006B0AB3" w:rsidRPr="0024604A" w:rsidRDefault="006B0AB3" w:rsidP="006B0AB3">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3</w:t>
            </w:r>
          </w:p>
        </w:tc>
        <w:tc>
          <w:tcPr>
            <w:tcW w:w="715" w:type="dxa"/>
            <w:vMerge/>
          </w:tcPr>
          <w:p w14:paraId="33F933E9" w14:textId="77777777" w:rsidR="006B0AB3" w:rsidRPr="0024604A" w:rsidRDefault="006B0AB3" w:rsidP="006B0AB3">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p>
        </w:tc>
        <w:tc>
          <w:tcPr>
            <w:tcW w:w="715" w:type="dxa"/>
            <w:gridSpan w:val="2"/>
          </w:tcPr>
          <w:p w14:paraId="7A49329B" w14:textId="4124ED24" w:rsidR="006B0AB3" w:rsidRPr="0024604A" w:rsidRDefault="006B0AB3" w:rsidP="006B0AB3">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1</w:t>
            </w:r>
          </w:p>
        </w:tc>
        <w:tc>
          <w:tcPr>
            <w:tcW w:w="715" w:type="dxa"/>
          </w:tcPr>
          <w:p w14:paraId="652750A7" w14:textId="11B0C29C" w:rsidR="006B0AB3" w:rsidRPr="0024604A" w:rsidRDefault="006B0AB3" w:rsidP="006B0AB3">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2</w:t>
            </w:r>
          </w:p>
        </w:tc>
        <w:tc>
          <w:tcPr>
            <w:tcW w:w="715" w:type="dxa"/>
          </w:tcPr>
          <w:p w14:paraId="304E09AF" w14:textId="76CE4F71" w:rsidR="006B0AB3" w:rsidRPr="0024604A" w:rsidRDefault="006B0AB3" w:rsidP="006B0AB3">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3</w:t>
            </w:r>
          </w:p>
        </w:tc>
        <w:tc>
          <w:tcPr>
            <w:tcW w:w="715" w:type="dxa"/>
            <w:vMerge/>
          </w:tcPr>
          <w:p w14:paraId="6E6B7422" w14:textId="77777777" w:rsidR="006B0AB3" w:rsidRPr="0024604A" w:rsidRDefault="006B0AB3" w:rsidP="006B0AB3">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p>
        </w:tc>
        <w:tc>
          <w:tcPr>
            <w:tcW w:w="715" w:type="dxa"/>
          </w:tcPr>
          <w:p w14:paraId="2B533FC7" w14:textId="785378BA" w:rsidR="006B0AB3" w:rsidRPr="0024604A" w:rsidRDefault="006B0AB3" w:rsidP="006B0AB3">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1</w:t>
            </w:r>
          </w:p>
        </w:tc>
        <w:tc>
          <w:tcPr>
            <w:tcW w:w="715" w:type="dxa"/>
          </w:tcPr>
          <w:p w14:paraId="33C27FD9" w14:textId="354B766D" w:rsidR="006B0AB3" w:rsidRPr="0024604A" w:rsidRDefault="006B0AB3" w:rsidP="006B0AB3">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2</w:t>
            </w:r>
          </w:p>
        </w:tc>
        <w:tc>
          <w:tcPr>
            <w:tcW w:w="715" w:type="dxa"/>
          </w:tcPr>
          <w:p w14:paraId="35A925ED" w14:textId="2B0AFB02" w:rsidR="006B0AB3" w:rsidRPr="0024604A" w:rsidRDefault="006B0AB3" w:rsidP="006B0AB3">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3</w:t>
            </w:r>
          </w:p>
        </w:tc>
      </w:tr>
      <w:tr w:rsidR="0024604A" w:rsidRPr="0024604A" w14:paraId="3C0940A2" w14:textId="3520CFC3" w:rsidTr="006B0A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cnfStyle w:val="001000000000" w:firstRow="0" w:lastRow="0" w:firstColumn="1" w:lastColumn="0" w:oddVBand="0" w:evenVBand="0" w:oddHBand="0" w:evenHBand="0" w:firstRowFirstColumn="0" w:firstRowLastColumn="0" w:lastRowFirstColumn="0" w:lastRowLastColumn="0"/>
            <w:tcW w:w="1054" w:type="dxa"/>
            <w:gridSpan w:val="2"/>
          </w:tcPr>
          <w:p w14:paraId="04FF5836" w14:textId="77777777" w:rsidR="006C2D76" w:rsidRPr="0024604A" w:rsidRDefault="006C2D76" w:rsidP="006C2D76">
            <w:pPr>
              <w:spacing w:after="160" w:line="259" w:lineRule="auto"/>
              <w:jc w:val="center"/>
              <w:rPr>
                <w:rFonts w:asciiTheme="minorHAnsi" w:hAnsiTheme="minorHAnsi" w:cstheme="minorHAnsi"/>
                <w:lang w:val="en-GB"/>
              </w:rPr>
            </w:pPr>
            <w:r w:rsidRPr="0024604A">
              <w:rPr>
                <w:rFonts w:asciiTheme="minorHAnsi" w:hAnsiTheme="minorHAnsi" w:cstheme="minorHAnsi"/>
                <w:lang w:val="en-GB"/>
              </w:rPr>
              <w:t>Healthy</w:t>
            </w:r>
          </w:p>
        </w:tc>
        <w:tc>
          <w:tcPr>
            <w:tcW w:w="715" w:type="dxa"/>
          </w:tcPr>
          <w:p w14:paraId="52E7C245" w14:textId="77777777"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0.64</w:t>
            </w:r>
          </w:p>
        </w:tc>
        <w:tc>
          <w:tcPr>
            <w:tcW w:w="715" w:type="dxa"/>
            <w:gridSpan w:val="2"/>
          </w:tcPr>
          <w:p w14:paraId="2014A2D1" w14:textId="77777777"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0.16</w:t>
            </w:r>
          </w:p>
        </w:tc>
        <w:tc>
          <w:tcPr>
            <w:tcW w:w="715" w:type="dxa"/>
          </w:tcPr>
          <w:p w14:paraId="52B6E5EB" w14:textId="77777777"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0.19</w:t>
            </w:r>
          </w:p>
        </w:tc>
        <w:tc>
          <w:tcPr>
            <w:tcW w:w="715" w:type="dxa"/>
          </w:tcPr>
          <w:p w14:paraId="4D9F58D7" w14:textId="77777777"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0.02</w:t>
            </w:r>
          </w:p>
        </w:tc>
        <w:tc>
          <w:tcPr>
            <w:tcW w:w="715" w:type="dxa"/>
          </w:tcPr>
          <w:p w14:paraId="751FFC3B" w14:textId="7BAD40CD"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0.82</w:t>
            </w:r>
          </w:p>
        </w:tc>
        <w:tc>
          <w:tcPr>
            <w:tcW w:w="715" w:type="dxa"/>
            <w:gridSpan w:val="2"/>
          </w:tcPr>
          <w:p w14:paraId="671C5240" w14:textId="36650CE3"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0.07</w:t>
            </w:r>
          </w:p>
        </w:tc>
        <w:tc>
          <w:tcPr>
            <w:tcW w:w="715" w:type="dxa"/>
          </w:tcPr>
          <w:p w14:paraId="448C53F7" w14:textId="2101357B"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0.11</w:t>
            </w:r>
          </w:p>
        </w:tc>
        <w:tc>
          <w:tcPr>
            <w:tcW w:w="715" w:type="dxa"/>
          </w:tcPr>
          <w:p w14:paraId="567E0817" w14:textId="4182AE48"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0.01</w:t>
            </w:r>
          </w:p>
        </w:tc>
        <w:tc>
          <w:tcPr>
            <w:tcW w:w="715" w:type="dxa"/>
          </w:tcPr>
          <w:p w14:paraId="480A1498" w14:textId="5010EFF5"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0.68</w:t>
            </w:r>
          </w:p>
        </w:tc>
        <w:tc>
          <w:tcPr>
            <w:tcW w:w="715" w:type="dxa"/>
          </w:tcPr>
          <w:p w14:paraId="45C4D5FF" w14:textId="34D2747A"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0.14</w:t>
            </w:r>
          </w:p>
        </w:tc>
        <w:tc>
          <w:tcPr>
            <w:tcW w:w="715" w:type="dxa"/>
          </w:tcPr>
          <w:p w14:paraId="2B527C1E" w14:textId="08CB4A6F"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0.17</w:t>
            </w:r>
          </w:p>
        </w:tc>
        <w:tc>
          <w:tcPr>
            <w:tcW w:w="715" w:type="dxa"/>
          </w:tcPr>
          <w:p w14:paraId="1774C41D" w14:textId="79F33D31"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0.01</w:t>
            </w:r>
          </w:p>
        </w:tc>
      </w:tr>
      <w:tr w:rsidR="0024604A" w:rsidRPr="0024604A" w14:paraId="36DC2F3F" w14:textId="75943884" w:rsidTr="006B0A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3" w:type="dxa"/>
            <w:vMerge w:val="restart"/>
            <w:textDirection w:val="btLr"/>
          </w:tcPr>
          <w:p w14:paraId="4A015E5E" w14:textId="33A3FA55" w:rsidR="006C2D76" w:rsidRPr="0024604A" w:rsidRDefault="0051410C" w:rsidP="0051410C">
            <w:pPr>
              <w:spacing w:before="240"/>
              <w:ind w:left="113" w:right="113"/>
              <w:jc w:val="center"/>
              <w:rPr>
                <w:rFonts w:asciiTheme="minorHAnsi" w:hAnsiTheme="minorHAnsi" w:cstheme="minorHAnsi"/>
                <w:lang w:val="en-GB"/>
              </w:rPr>
            </w:pPr>
            <w:r w:rsidRPr="0024604A">
              <w:rPr>
                <w:rFonts w:asciiTheme="minorHAnsi" w:hAnsiTheme="minorHAnsi" w:cstheme="minorHAnsi"/>
                <w:lang w:val="en-GB"/>
              </w:rPr>
              <w:t>ASD DoS</w:t>
            </w:r>
          </w:p>
        </w:tc>
        <w:tc>
          <w:tcPr>
            <w:tcW w:w="291" w:type="dxa"/>
          </w:tcPr>
          <w:p w14:paraId="318E1BFC" w14:textId="77777777" w:rsidR="006C2D76" w:rsidRPr="0024604A" w:rsidRDefault="006C2D76" w:rsidP="006C2D76">
            <w:pPr>
              <w:spacing w:after="160" w:line="259" w:lineRule="auto"/>
              <w:ind w:left="-10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1</w:t>
            </w:r>
          </w:p>
        </w:tc>
        <w:tc>
          <w:tcPr>
            <w:tcW w:w="715" w:type="dxa"/>
          </w:tcPr>
          <w:p w14:paraId="33D4523D" w14:textId="77777777"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0.59</w:t>
            </w:r>
          </w:p>
        </w:tc>
        <w:tc>
          <w:tcPr>
            <w:tcW w:w="715" w:type="dxa"/>
            <w:gridSpan w:val="2"/>
          </w:tcPr>
          <w:p w14:paraId="7363B0C5" w14:textId="77777777"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0.18</w:t>
            </w:r>
          </w:p>
        </w:tc>
        <w:tc>
          <w:tcPr>
            <w:tcW w:w="715" w:type="dxa"/>
          </w:tcPr>
          <w:p w14:paraId="528161C3" w14:textId="77777777"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0.21</w:t>
            </w:r>
          </w:p>
        </w:tc>
        <w:tc>
          <w:tcPr>
            <w:tcW w:w="715" w:type="dxa"/>
          </w:tcPr>
          <w:p w14:paraId="48905AC5" w14:textId="4F877068"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0.67</w:t>
            </w:r>
          </w:p>
        </w:tc>
        <w:tc>
          <w:tcPr>
            <w:tcW w:w="715" w:type="dxa"/>
          </w:tcPr>
          <w:p w14:paraId="64F704BE" w14:textId="1BF5D607"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0.87</w:t>
            </w:r>
          </w:p>
        </w:tc>
        <w:tc>
          <w:tcPr>
            <w:tcW w:w="715" w:type="dxa"/>
            <w:gridSpan w:val="2"/>
          </w:tcPr>
          <w:p w14:paraId="737DCA4E" w14:textId="2FE17B11"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0.04</w:t>
            </w:r>
          </w:p>
        </w:tc>
        <w:tc>
          <w:tcPr>
            <w:tcW w:w="715" w:type="dxa"/>
          </w:tcPr>
          <w:p w14:paraId="3BC71802" w14:textId="5B85BF48"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0.08</w:t>
            </w:r>
          </w:p>
        </w:tc>
        <w:tc>
          <w:tcPr>
            <w:tcW w:w="715" w:type="dxa"/>
          </w:tcPr>
          <w:p w14:paraId="5FF0E05D" w14:textId="172C2542"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0.01</w:t>
            </w:r>
          </w:p>
        </w:tc>
        <w:tc>
          <w:tcPr>
            <w:tcW w:w="715" w:type="dxa"/>
          </w:tcPr>
          <w:p w14:paraId="6D090897" w14:textId="0E543EB2"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0.67</w:t>
            </w:r>
          </w:p>
        </w:tc>
        <w:tc>
          <w:tcPr>
            <w:tcW w:w="715" w:type="dxa"/>
          </w:tcPr>
          <w:p w14:paraId="0E9B74FB" w14:textId="07AED1A4"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0.14</w:t>
            </w:r>
          </w:p>
        </w:tc>
        <w:tc>
          <w:tcPr>
            <w:tcW w:w="715" w:type="dxa"/>
          </w:tcPr>
          <w:p w14:paraId="7CE378DA" w14:textId="4E20E1D8"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0.18</w:t>
            </w:r>
          </w:p>
        </w:tc>
        <w:tc>
          <w:tcPr>
            <w:tcW w:w="715" w:type="dxa"/>
          </w:tcPr>
          <w:p w14:paraId="5838A950" w14:textId="62375D0C"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0.01</w:t>
            </w:r>
          </w:p>
        </w:tc>
      </w:tr>
      <w:tr w:rsidR="0024604A" w:rsidRPr="0024604A" w14:paraId="4A705460" w14:textId="10C43F20" w:rsidTr="006B0A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cnfStyle w:val="001000000000" w:firstRow="0" w:lastRow="0" w:firstColumn="1" w:lastColumn="0" w:oddVBand="0" w:evenVBand="0" w:oddHBand="0" w:evenHBand="0" w:firstRowFirstColumn="0" w:firstRowLastColumn="0" w:lastRowFirstColumn="0" w:lastRowLastColumn="0"/>
            <w:tcW w:w="763" w:type="dxa"/>
            <w:vMerge/>
          </w:tcPr>
          <w:p w14:paraId="380D4719" w14:textId="77777777" w:rsidR="006C2D76" w:rsidRPr="0024604A" w:rsidRDefault="006C2D76" w:rsidP="006C2D76">
            <w:pPr>
              <w:spacing w:after="160" w:line="259" w:lineRule="auto"/>
              <w:jc w:val="center"/>
              <w:rPr>
                <w:rFonts w:asciiTheme="minorHAnsi" w:hAnsiTheme="minorHAnsi" w:cstheme="minorHAnsi"/>
                <w:lang w:val="en-GB"/>
              </w:rPr>
            </w:pPr>
          </w:p>
        </w:tc>
        <w:tc>
          <w:tcPr>
            <w:tcW w:w="291" w:type="dxa"/>
          </w:tcPr>
          <w:p w14:paraId="706D614C" w14:textId="77777777" w:rsidR="006C2D76" w:rsidRPr="0024604A" w:rsidRDefault="006C2D76" w:rsidP="006C2D76">
            <w:pPr>
              <w:spacing w:after="160" w:line="259" w:lineRule="auto"/>
              <w:ind w:left="-10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2</w:t>
            </w:r>
          </w:p>
        </w:tc>
        <w:tc>
          <w:tcPr>
            <w:tcW w:w="715" w:type="dxa"/>
          </w:tcPr>
          <w:p w14:paraId="2F3A8AEF" w14:textId="77777777"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0.65</w:t>
            </w:r>
          </w:p>
        </w:tc>
        <w:tc>
          <w:tcPr>
            <w:tcW w:w="715" w:type="dxa"/>
            <w:gridSpan w:val="2"/>
          </w:tcPr>
          <w:p w14:paraId="73F0C312" w14:textId="77777777"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0.14</w:t>
            </w:r>
          </w:p>
        </w:tc>
        <w:tc>
          <w:tcPr>
            <w:tcW w:w="715" w:type="dxa"/>
          </w:tcPr>
          <w:p w14:paraId="767877FB" w14:textId="77777777"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0.19</w:t>
            </w:r>
          </w:p>
        </w:tc>
        <w:tc>
          <w:tcPr>
            <w:tcW w:w="715" w:type="dxa"/>
          </w:tcPr>
          <w:p w14:paraId="069FCE80" w14:textId="3E6E65FC"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0.69</w:t>
            </w:r>
          </w:p>
        </w:tc>
        <w:tc>
          <w:tcPr>
            <w:tcW w:w="715" w:type="dxa"/>
          </w:tcPr>
          <w:p w14:paraId="3BC1B0C9" w14:textId="4BA43DBB"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0.91</w:t>
            </w:r>
          </w:p>
        </w:tc>
        <w:tc>
          <w:tcPr>
            <w:tcW w:w="715" w:type="dxa"/>
            <w:gridSpan w:val="2"/>
          </w:tcPr>
          <w:p w14:paraId="10A7CFE9" w14:textId="0A5AB1E4"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0.03</w:t>
            </w:r>
          </w:p>
        </w:tc>
        <w:tc>
          <w:tcPr>
            <w:tcW w:w="715" w:type="dxa"/>
          </w:tcPr>
          <w:p w14:paraId="10DFDCAA" w14:textId="2109C13D"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0.06</w:t>
            </w:r>
          </w:p>
        </w:tc>
        <w:tc>
          <w:tcPr>
            <w:tcW w:w="715" w:type="dxa"/>
          </w:tcPr>
          <w:p w14:paraId="77211004" w14:textId="253803AF"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0.00</w:t>
            </w:r>
          </w:p>
        </w:tc>
        <w:tc>
          <w:tcPr>
            <w:tcW w:w="715" w:type="dxa"/>
          </w:tcPr>
          <w:p w14:paraId="426E002B" w14:textId="0708E80B"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0.69</w:t>
            </w:r>
          </w:p>
        </w:tc>
        <w:tc>
          <w:tcPr>
            <w:tcW w:w="715" w:type="dxa"/>
          </w:tcPr>
          <w:p w14:paraId="110958A7" w14:textId="06D578B8"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0.12</w:t>
            </w:r>
          </w:p>
        </w:tc>
        <w:tc>
          <w:tcPr>
            <w:tcW w:w="715" w:type="dxa"/>
          </w:tcPr>
          <w:p w14:paraId="2E9AA8C7" w14:textId="2F0E3A80"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0.17</w:t>
            </w:r>
          </w:p>
        </w:tc>
        <w:tc>
          <w:tcPr>
            <w:tcW w:w="715" w:type="dxa"/>
          </w:tcPr>
          <w:p w14:paraId="1A4DE98C" w14:textId="00F98D2D" w:rsidR="006C2D76" w:rsidRPr="0024604A" w:rsidRDefault="006C2D76" w:rsidP="006C2D76">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0.01</w:t>
            </w:r>
          </w:p>
        </w:tc>
      </w:tr>
      <w:tr w:rsidR="0024604A" w:rsidRPr="0024604A" w14:paraId="0FB72187" w14:textId="3A0557D5" w:rsidTr="006B0A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3" w:type="dxa"/>
            <w:vMerge/>
            <w:tcBorders>
              <w:bottom w:val="single" w:sz="4" w:space="0" w:color="auto"/>
            </w:tcBorders>
          </w:tcPr>
          <w:p w14:paraId="5261C881" w14:textId="77777777" w:rsidR="006C2D76" w:rsidRPr="0024604A" w:rsidRDefault="006C2D76" w:rsidP="006C2D76">
            <w:pPr>
              <w:spacing w:after="160" w:line="259" w:lineRule="auto"/>
              <w:jc w:val="center"/>
              <w:rPr>
                <w:rFonts w:asciiTheme="minorHAnsi" w:hAnsiTheme="minorHAnsi" w:cstheme="minorHAnsi"/>
                <w:lang w:val="en-GB"/>
              </w:rPr>
            </w:pPr>
          </w:p>
        </w:tc>
        <w:tc>
          <w:tcPr>
            <w:tcW w:w="291" w:type="dxa"/>
            <w:tcBorders>
              <w:bottom w:val="single" w:sz="4" w:space="0" w:color="auto"/>
            </w:tcBorders>
          </w:tcPr>
          <w:p w14:paraId="0C55F0B5" w14:textId="77777777" w:rsidR="006C2D76" w:rsidRPr="0024604A" w:rsidRDefault="006C2D76" w:rsidP="006C2D76">
            <w:pPr>
              <w:spacing w:after="160" w:line="259" w:lineRule="auto"/>
              <w:ind w:left="-10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3</w:t>
            </w:r>
          </w:p>
        </w:tc>
        <w:tc>
          <w:tcPr>
            <w:tcW w:w="715" w:type="dxa"/>
            <w:tcBorders>
              <w:bottom w:val="single" w:sz="4" w:space="0" w:color="auto"/>
            </w:tcBorders>
          </w:tcPr>
          <w:p w14:paraId="57FFFC2F" w14:textId="77777777"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0.66</w:t>
            </w:r>
          </w:p>
        </w:tc>
        <w:tc>
          <w:tcPr>
            <w:tcW w:w="715" w:type="dxa"/>
            <w:gridSpan w:val="2"/>
            <w:tcBorders>
              <w:bottom w:val="single" w:sz="4" w:space="0" w:color="auto"/>
            </w:tcBorders>
          </w:tcPr>
          <w:p w14:paraId="127A8C44" w14:textId="77777777"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0.14</w:t>
            </w:r>
          </w:p>
        </w:tc>
        <w:tc>
          <w:tcPr>
            <w:tcW w:w="715" w:type="dxa"/>
            <w:tcBorders>
              <w:bottom w:val="single" w:sz="4" w:space="0" w:color="auto"/>
            </w:tcBorders>
          </w:tcPr>
          <w:p w14:paraId="0263C37B" w14:textId="77777777"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0.18</w:t>
            </w:r>
          </w:p>
        </w:tc>
        <w:tc>
          <w:tcPr>
            <w:tcW w:w="715" w:type="dxa"/>
            <w:tcBorders>
              <w:bottom w:val="single" w:sz="4" w:space="0" w:color="auto"/>
            </w:tcBorders>
          </w:tcPr>
          <w:p w14:paraId="484EF0B1" w14:textId="2D0462C3"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0.72</w:t>
            </w:r>
          </w:p>
        </w:tc>
        <w:tc>
          <w:tcPr>
            <w:tcW w:w="715" w:type="dxa"/>
            <w:tcBorders>
              <w:bottom w:val="single" w:sz="4" w:space="0" w:color="auto"/>
            </w:tcBorders>
          </w:tcPr>
          <w:p w14:paraId="17749A2F" w14:textId="6411E8B9"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0.89</w:t>
            </w:r>
          </w:p>
        </w:tc>
        <w:tc>
          <w:tcPr>
            <w:tcW w:w="715" w:type="dxa"/>
            <w:gridSpan w:val="2"/>
            <w:tcBorders>
              <w:bottom w:val="single" w:sz="4" w:space="0" w:color="auto"/>
            </w:tcBorders>
          </w:tcPr>
          <w:p w14:paraId="6F4BCC6C" w14:textId="17060937"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0.04</w:t>
            </w:r>
          </w:p>
        </w:tc>
        <w:tc>
          <w:tcPr>
            <w:tcW w:w="715" w:type="dxa"/>
            <w:tcBorders>
              <w:bottom w:val="single" w:sz="4" w:space="0" w:color="auto"/>
            </w:tcBorders>
          </w:tcPr>
          <w:p w14:paraId="49EE32C9" w14:textId="76BC5286"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0.07</w:t>
            </w:r>
          </w:p>
        </w:tc>
        <w:tc>
          <w:tcPr>
            <w:tcW w:w="715" w:type="dxa"/>
            <w:tcBorders>
              <w:bottom w:val="single" w:sz="4" w:space="0" w:color="auto"/>
            </w:tcBorders>
          </w:tcPr>
          <w:p w14:paraId="521F240E" w14:textId="1C29B5E0"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0.00</w:t>
            </w:r>
          </w:p>
        </w:tc>
        <w:tc>
          <w:tcPr>
            <w:tcW w:w="715" w:type="dxa"/>
            <w:tcBorders>
              <w:bottom w:val="single" w:sz="4" w:space="0" w:color="auto"/>
            </w:tcBorders>
          </w:tcPr>
          <w:p w14:paraId="35B0C6B7" w14:textId="42A06751"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0.72</w:t>
            </w:r>
          </w:p>
        </w:tc>
        <w:tc>
          <w:tcPr>
            <w:tcW w:w="715" w:type="dxa"/>
            <w:tcBorders>
              <w:bottom w:val="single" w:sz="4" w:space="0" w:color="auto"/>
            </w:tcBorders>
          </w:tcPr>
          <w:p w14:paraId="59C42E06" w14:textId="73D01042"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0.12</w:t>
            </w:r>
          </w:p>
        </w:tc>
        <w:tc>
          <w:tcPr>
            <w:tcW w:w="715" w:type="dxa"/>
            <w:tcBorders>
              <w:bottom w:val="single" w:sz="4" w:space="0" w:color="auto"/>
            </w:tcBorders>
          </w:tcPr>
          <w:p w14:paraId="56268A53" w14:textId="6DD0C575"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0.15</w:t>
            </w:r>
          </w:p>
        </w:tc>
        <w:tc>
          <w:tcPr>
            <w:tcW w:w="715" w:type="dxa"/>
            <w:tcBorders>
              <w:bottom w:val="single" w:sz="4" w:space="0" w:color="auto"/>
            </w:tcBorders>
          </w:tcPr>
          <w:p w14:paraId="06344AD7" w14:textId="00A99579" w:rsidR="006C2D76" w:rsidRPr="0024604A" w:rsidRDefault="006C2D76" w:rsidP="006C2D76">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lang w:val="en-GB"/>
              </w:rPr>
            </w:pPr>
            <w:r w:rsidRPr="0024604A">
              <w:rPr>
                <w:rFonts w:asciiTheme="minorHAnsi" w:hAnsiTheme="minorHAnsi" w:cstheme="minorHAnsi"/>
                <w:lang w:val="en-GB"/>
              </w:rPr>
              <w:t>0.01</w:t>
            </w:r>
          </w:p>
        </w:tc>
      </w:tr>
    </w:tbl>
    <w:p w14:paraId="7F8DF5DB" w14:textId="3809F7BC" w:rsidR="00DB1016" w:rsidRPr="0024604A" w:rsidRDefault="0051410C" w:rsidP="0051410C">
      <w:pPr>
        <w:spacing w:after="160" w:line="259" w:lineRule="auto"/>
        <w:ind w:left="284"/>
        <w:rPr>
          <w:lang w:val="en-GB"/>
        </w:rPr>
      </w:pPr>
      <w:r w:rsidRPr="0024604A">
        <w:rPr>
          <w:rFonts w:asciiTheme="minorHAnsi" w:hAnsiTheme="minorHAnsi" w:cstheme="minorHAnsi"/>
          <w:i/>
          <w:iCs/>
          <w:vertAlign w:val="superscript"/>
          <w:lang w:val="en-GB"/>
        </w:rPr>
        <w:t>a</w:t>
      </w:r>
      <w:r w:rsidRPr="0024604A">
        <w:rPr>
          <w:rFonts w:asciiTheme="minorHAnsi" w:hAnsiTheme="minorHAnsi" w:cstheme="minorHAnsi"/>
          <w:i/>
          <w:iCs/>
          <w:lang w:val="en-GB"/>
        </w:rPr>
        <w:t xml:space="preserve"> </w:t>
      </w:r>
      <w:r w:rsidRPr="0024604A">
        <w:rPr>
          <w:rFonts w:asciiTheme="minorHAnsi" w:hAnsiTheme="minorHAnsi" w:cstheme="minorHAnsi"/>
          <w:lang w:val="en-GB"/>
        </w:rPr>
        <w:t>Degree of severity (</w:t>
      </w:r>
      <w:r w:rsidRPr="0024604A">
        <w:rPr>
          <w:rFonts w:asciiTheme="minorHAnsi" w:hAnsiTheme="minorHAnsi" w:cstheme="minorHAnsi"/>
          <w:i/>
          <w:iCs/>
          <w:lang w:val="en-GB"/>
        </w:rPr>
        <w:t>ASD DoS</w:t>
      </w:r>
      <w:r w:rsidRPr="0024604A">
        <w:rPr>
          <w:rFonts w:asciiTheme="minorHAnsi" w:hAnsiTheme="minorHAnsi" w:cstheme="minorHAnsi"/>
          <w:lang w:val="en-GB"/>
        </w:rPr>
        <w:t>).</w:t>
      </w:r>
    </w:p>
    <w:p w14:paraId="041DCD25" w14:textId="77777777" w:rsidR="00DB1016" w:rsidRPr="0024604A" w:rsidRDefault="00DB1016">
      <w:pPr>
        <w:rPr>
          <w:lang w:val="en-GB"/>
        </w:rPr>
      </w:pPr>
      <w:r w:rsidRPr="0024604A">
        <w:rPr>
          <w:lang w:val="en-GB"/>
        </w:rPr>
        <w:br w:type="page"/>
      </w:r>
    </w:p>
    <w:p w14:paraId="55B4F92E" w14:textId="4653FD46" w:rsidR="00E66DC4" w:rsidRPr="0024604A" w:rsidRDefault="004F5436" w:rsidP="00FC2705">
      <w:pPr>
        <w:jc w:val="center"/>
        <w:rPr>
          <w:rFonts w:asciiTheme="minorHAnsi" w:hAnsiTheme="minorHAnsi" w:cstheme="minorHAnsi"/>
          <w:lang w:val="en-GB"/>
        </w:rPr>
      </w:pPr>
      <w:bookmarkStart w:id="24" w:name="Table3"/>
      <w:bookmarkStart w:id="25" w:name="IRmaldi"/>
      <w:bookmarkEnd w:id="24"/>
      <w:bookmarkEnd w:id="25"/>
      <w:r w:rsidRPr="0024604A">
        <w:rPr>
          <w:rFonts w:asciiTheme="minorHAnsi" w:hAnsiTheme="minorHAnsi" w:cstheme="minorHAnsi"/>
          <w:noProof/>
          <w:lang w:val="en-GB"/>
        </w:rPr>
        <w:lastRenderedPageBreak/>
        <w:drawing>
          <wp:inline distT="0" distB="0" distL="0" distR="0" wp14:anchorId="1F283495" wp14:editId="64E48614">
            <wp:extent cx="4118054" cy="4161555"/>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a 1-01 (1).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18054" cy="4161555"/>
                    </a:xfrm>
                    <a:prstGeom prst="rect">
                      <a:avLst/>
                    </a:prstGeom>
                  </pic:spPr>
                </pic:pic>
              </a:graphicData>
            </a:graphic>
          </wp:inline>
        </w:drawing>
      </w:r>
    </w:p>
    <w:p w14:paraId="05B21A65" w14:textId="77777777" w:rsidR="00777A41" w:rsidRPr="0024604A" w:rsidRDefault="00777A41" w:rsidP="00FC2705">
      <w:pPr>
        <w:jc w:val="center"/>
        <w:rPr>
          <w:rFonts w:asciiTheme="minorHAnsi" w:hAnsiTheme="minorHAnsi" w:cstheme="minorHAnsi"/>
          <w:lang w:val="en-GB"/>
        </w:rPr>
      </w:pPr>
    </w:p>
    <w:p w14:paraId="2153AD8D" w14:textId="68811C8F" w:rsidR="00697347" w:rsidRPr="0024604A" w:rsidRDefault="004B60F9" w:rsidP="00B00A21">
      <w:pPr>
        <w:spacing w:line="480" w:lineRule="auto"/>
        <w:jc w:val="both"/>
        <w:rPr>
          <w:rFonts w:ascii="Calibri" w:hAnsi="Calibri"/>
          <w:sz w:val="21"/>
          <w:szCs w:val="21"/>
          <w:lang w:val="en-GB"/>
        </w:rPr>
      </w:pPr>
      <w:r w:rsidRPr="0024604A">
        <w:rPr>
          <w:rFonts w:asciiTheme="minorHAnsi" w:hAnsiTheme="minorHAnsi" w:cstheme="minorHAnsi"/>
          <w:b/>
          <w:sz w:val="21"/>
          <w:szCs w:val="21"/>
          <w:lang w:val="en-GB"/>
        </w:rPr>
        <w:t>Figure</w:t>
      </w:r>
      <w:r w:rsidR="00FC2705" w:rsidRPr="0024604A">
        <w:rPr>
          <w:rFonts w:asciiTheme="minorHAnsi" w:hAnsiTheme="minorHAnsi" w:cstheme="minorHAnsi"/>
          <w:b/>
          <w:sz w:val="21"/>
          <w:szCs w:val="21"/>
          <w:lang w:val="en-GB"/>
        </w:rPr>
        <w:t xml:space="preserve"> 1</w:t>
      </w:r>
      <w:r w:rsidR="00FC2705" w:rsidRPr="0024604A">
        <w:rPr>
          <w:rFonts w:asciiTheme="minorHAnsi" w:hAnsiTheme="minorHAnsi" w:cstheme="minorHAnsi"/>
          <w:sz w:val="21"/>
          <w:szCs w:val="21"/>
          <w:lang w:val="en-GB"/>
        </w:rPr>
        <w:t>.</w:t>
      </w:r>
      <w:r w:rsidR="002F7E47" w:rsidRPr="0024604A">
        <w:rPr>
          <w:rFonts w:asciiTheme="minorHAnsi" w:hAnsiTheme="minorHAnsi" w:cstheme="minorHAnsi"/>
          <w:sz w:val="21"/>
          <w:szCs w:val="21"/>
          <w:lang w:val="en-GB"/>
        </w:rPr>
        <w:t xml:space="preserve"> </w:t>
      </w:r>
      <w:r w:rsidR="00697347" w:rsidRPr="0024604A">
        <w:rPr>
          <w:rFonts w:asciiTheme="minorHAnsi" w:hAnsiTheme="minorHAnsi" w:cstheme="minorHAnsi"/>
          <w:sz w:val="21"/>
          <w:szCs w:val="21"/>
          <w:lang w:val="en-GB"/>
        </w:rPr>
        <w:t>Adopted workflow: lipids from biological samples</w:t>
      </w:r>
      <w:r w:rsidR="004F5436" w:rsidRPr="0024604A">
        <w:rPr>
          <w:rFonts w:asciiTheme="minorHAnsi" w:hAnsiTheme="minorHAnsi" w:cstheme="minorHAnsi"/>
          <w:sz w:val="21"/>
          <w:szCs w:val="21"/>
          <w:lang w:val="en-GB"/>
        </w:rPr>
        <w:t xml:space="preserve"> of PBMC</w:t>
      </w:r>
      <w:r w:rsidR="00697347" w:rsidRPr="0024604A">
        <w:rPr>
          <w:rFonts w:asciiTheme="minorHAnsi" w:hAnsiTheme="minorHAnsi" w:cstheme="minorHAnsi"/>
          <w:sz w:val="21"/>
          <w:szCs w:val="21"/>
          <w:lang w:val="en-GB"/>
        </w:rPr>
        <w:t xml:space="preserve"> have been extracted by using the procedure described by Bligh </w:t>
      </w:r>
      <w:r w:rsidR="00206222" w:rsidRPr="0024604A">
        <w:rPr>
          <w:rFonts w:asciiTheme="minorHAnsi" w:hAnsiTheme="minorHAnsi" w:cstheme="minorHAnsi"/>
          <w:sz w:val="21"/>
          <w:szCs w:val="21"/>
          <w:lang w:val="en-GB"/>
        </w:rPr>
        <w:t xml:space="preserve">and </w:t>
      </w:r>
      <w:r w:rsidR="00697347" w:rsidRPr="0024604A">
        <w:rPr>
          <w:rFonts w:asciiTheme="minorHAnsi" w:hAnsiTheme="minorHAnsi" w:cstheme="minorHAnsi"/>
          <w:sz w:val="21"/>
          <w:szCs w:val="21"/>
          <w:lang w:val="en-GB"/>
        </w:rPr>
        <w:t>Dyer</w:t>
      </w:r>
      <w:r w:rsidR="00BC4A07" w:rsidRPr="0024604A">
        <w:rPr>
          <w:rFonts w:asciiTheme="minorHAnsi" w:hAnsiTheme="minorHAnsi" w:cstheme="minorHAnsi"/>
          <w:sz w:val="21"/>
          <w:szCs w:val="21"/>
          <w:lang w:val="en-GB"/>
        </w:rPr>
        <w:t>:</w:t>
      </w:r>
      <w:r w:rsidR="00697347" w:rsidRPr="0024604A">
        <w:rPr>
          <w:rFonts w:asciiTheme="minorHAnsi" w:hAnsiTheme="minorHAnsi" w:cstheme="minorHAnsi"/>
          <w:sz w:val="21"/>
          <w:szCs w:val="21"/>
          <w:lang w:val="en-GB"/>
        </w:rPr>
        <w:t xml:space="preserve">  a HILIC column has been used to separate lipids according to their polar head and </w:t>
      </w:r>
      <w:r w:rsidR="00BC4A07" w:rsidRPr="0024604A">
        <w:rPr>
          <w:rFonts w:asciiTheme="minorHAnsi" w:hAnsiTheme="minorHAnsi" w:cstheme="minorHAnsi"/>
          <w:sz w:val="21"/>
          <w:szCs w:val="21"/>
          <w:lang w:val="en-GB"/>
        </w:rPr>
        <w:t>h</w:t>
      </w:r>
      <w:r w:rsidR="00697347" w:rsidRPr="0024604A">
        <w:rPr>
          <w:rFonts w:asciiTheme="minorHAnsi" w:hAnsiTheme="minorHAnsi" w:cstheme="minorHAnsi"/>
          <w:sz w:val="21"/>
          <w:szCs w:val="21"/>
          <w:lang w:val="en-GB"/>
        </w:rPr>
        <w:t xml:space="preserve">igh resolution/accurate mass MS analysis </w:t>
      </w:r>
      <w:r w:rsidR="00206222" w:rsidRPr="0024604A">
        <w:rPr>
          <w:rFonts w:asciiTheme="minorHAnsi" w:hAnsiTheme="minorHAnsi" w:cstheme="minorHAnsi"/>
          <w:sz w:val="21"/>
          <w:szCs w:val="21"/>
          <w:lang w:val="en-GB"/>
        </w:rPr>
        <w:t>has carried out</w:t>
      </w:r>
      <w:r w:rsidR="00697347" w:rsidRPr="0024604A">
        <w:rPr>
          <w:rFonts w:asciiTheme="minorHAnsi" w:hAnsiTheme="minorHAnsi" w:cstheme="minorHAnsi"/>
          <w:sz w:val="21"/>
          <w:szCs w:val="21"/>
          <w:lang w:val="en-GB"/>
        </w:rPr>
        <w:t xml:space="preserve"> using an ESI-Orbitrap spectrometer. XCMS and </w:t>
      </w:r>
      <w:r w:rsidR="00906901" w:rsidRPr="0024604A">
        <w:rPr>
          <w:rFonts w:asciiTheme="minorHAnsi" w:hAnsiTheme="minorHAnsi" w:cstheme="minorHAnsi"/>
          <w:sz w:val="21"/>
          <w:szCs w:val="21"/>
          <w:lang w:val="en-GB"/>
        </w:rPr>
        <w:t>Alex</w:t>
      </w:r>
      <w:r w:rsidR="00906901" w:rsidRPr="0024604A">
        <w:rPr>
          <w:rFonts w:asciiTheme="minorHAnsi" w:hAnsiTheme="minorHAnsi" w:cstheme="minorHAnsi"/>
          <w:sz w:val="21"/>
          <w:szCs w:val="21"/>
          <w:vertAlign w:val="superscript"/>
          <w:lang w:val="en-GB"/>
        </w:rPr>
        <w:t>123</w:t>
      </w:r>
      <w:r w:rsidR="00697347" w:rsidRPr="0024604A">
        <w:rPr>
          <w:rFonts w:asciiTheme="minorHAnsi" w:hAnsiTheme="minorHAnsi" w:cstheme="minorHAnsi"/>
          <w:sz w:val="21"/>
          <w:szCs w:val="21"/>
          <w:lang w:val="en-GB"/>
        </w:rPr>
        <w:t xml:space="preserve"> have been used</w:t>
      </w:r>
      <w:r w:rsidR="00906901" w:rsidRPr="0024604A">
        <w:rPr>
          <w:rFonts w:asciiTheme="minorHAnsi" w:hAnsiTheme="minorHAnsi" w:cstheme="minorHAnsi"/>
          <w:sz w:val="21"/>
          <w:szCs w:val="21"/>
          <w:lang w:val="en-GB"/>
        </w:rPr>
        <w:t xml:space="preserve"> to obtain data </w:t>
      </w:r>
      <w:r w:rsidR="00206222" w:rsidRPr="0024604A">
        <w:rPr>
          <w:rFonts w:asciiTheme="minorHAnsi" w:hAnsiTheme="minorHAnsi" w:cstheme="minorHAnsi"/>
          <w:sz w:val="21"/>
          <w:szCs w:val="21"/>
          <w:lang w:val="en-GB"/>
        </w:rPr>
        <w:t>matrices</w:t>
      </w:r>
      <w:r w:rsidR="00697347" w:rsidRPr="0024604A">
        <w:rPr>
          <w:rFonts w:asciiTheme="minorHAnsi" w:hAnsiTheme="minorHAnsi" w:cstheme="minorHAnsi"/>
          <w:sz w:val="21"/>
          <w:szCs w:val="21"/>
          <w:lang w:val="en-GB"/>
        </w:rPr>
        <w:t xml:space="preserve">; QC </w:t>
      </w:r>
      <w:r w:rsidR="00206222" w:rsidRPr="0024604A">
        <w:rPr>
          <w:rFonts w:asciiTheme="minorHAnsi" w:hAnsiTheme="minorHAnsi" w:cstheme="minorHAnsi"/>
          <w:sz w:val="21"/>
          <w:szCs w:val="21"/>
          <w:lang w:val="en-GB"/>
        </w:rPr>
        <w:t>represent the</w:t>
      </w:r>
      <w:r w:rsidR="00697347" w:rsidRPr="0024604A">
        <w:rPr>
          <w:rFonts w:asciiTheme="minorHAnsi" w:hAnsiTheme="minorHAnsi" w:cstheme="minorHAnsi"/>
          <w:sz w:val="21"/>
          <w:szCs w:val="21"/>
          <w:lang w:val="en-GB"/>
        </w:rPr>
        <w:t xml:space="preserve"> quality control</w:t>
      </w:r>
      <w:r w:rsidR="00BC4A07" w:rsidRPr="0024604A">
        <w:rPr>
          <w:rFonts w:asciiTheme="minorHAnsi" w:hAnsiTheme="minorHAnsi" w:cstheme="minorHAnsi"/>
          <w:sz w:val="21"/>
          <w:szCs w:val="21"/>
          <w:lang w:val="en-GB"/>
        </w:rPr>
        <w:t>s</w:t>
      </w:r>
      <w:r w:rsidR="00697347" w:rsidRPr="0024604A">
        <w:rPr>
          <w:rFonts w:asciiTheme="minorHAnsi" w:hAnsiTheme="minorHAnsi" w:cstheme="minorHAnsi"/>
          <w:sz w:val="21"/>
          <w:szCs w:val="21"/>
          <w:lang w:val="en-GB"/>
        </w:rPr>
        <w:t xml:space="preserve"> and </w:t>
      </w:r>
      <w:r w:rsidR="00206222" w:rsidRPr="0024604A">
        <w:rPr>
          <w:rFonts w:asciiTheme="minorHAnsi" w:hAnsiTheme="minorHAnsi" w:cstheme="minorHAnsi"/>
          <w:sz w:val="21"/>
          <w:szCs w:val="21"/>
          <w:lang w:val="en-GB"/>
        </w:rPr>
        <w:t xml:space="preserve">are useful </w:t>
      </w:r>
      <w:r w:rsidR="00697347" w:rsidRPr="0024604A">
        <w:rPr>
          <w:rFonts w:asciiTheme="minorHAnsi" w:hAnsiTheme="minorHAnsi" w:cstheme="minorHAnsi"/>
          <w:sz w:val="21"/>
          <w:szCs w:val="21"/>
          <w:lang w:val="en-GB"/>
        </w:rPr>
        <w:t>for data reduction</w:t>
      </w:r>
      <w:r w:rsidR="00206222" w:rsidRPr="0024604A">
        <w:rPr>
          <w:rFonts w:asciiTheme="minorHAnsi" w:hAnsiTheme="minorHAnsi" w:cstheme="minorHAnsi"/>
          <w:sz w:val="21"/>
          <w:szCs w:val="21"/>
          <w:lang w:val="en-GB"/>
        </w:rPr>
        <w:t xml:space="preserve"> preceding the </w:t>
      </w:r>
      <w:r w:rsidR="00697347" w:rsidRPr="0024604A">
        <w:rPr>
          <w:rFonts w:asciiTheme="minorHAnsi" w:hAnsiTheme="minorHAnsi" w:cstheme="minorHAnsi"/>
          <w:sz w:val="21"/>
          <w:szCs w:val="21"/>
          <w:lang w:val="en-GB"/>
        </w:rPr>
        <w:t>chemometr</w:t>
      </w:r>
      <w:r w:rsidR="00B17BA7" w:rsidRPr="0024604A">
        <w:rPr>
          <w:rFonts w:asciiTheme="minorHAnsi" w:hAnsiTheme="minorHAnsi" w:cstheme="minorHAnsi"/>
          <w:sz w:val="21"/>
          <w:szCs w:val="21"/>
          <w:lang w:val="en-GB"/>
        </w:rPr>
        <w:t>ics analysis</w:t>
      </w:r>
      <w:r w:rsidR="00697347" w:rsidRPr="0024604A">
        <w:rPr>
          <w:rFonts w:asciiTheme="minorHAnsi" w:hAnsiTheme="minorHAnsi" w:cstheme="minorHAnsi"/>
          <w:sz w:val="21"/>
          <w:szCs w:val="21"/>
          <w:lang w:val="en-GB"/>
        </w:rPr>
        <w:t>.</w:t>
      </w:r>
    </w:p>
    <w:p w14:paraId="6E348639" w14:textId="32291932" w:rsidR="00B00A21" w:rsidRPr="0024604A" w:rsidRDefault="00B00A21" w:rsidP="00B00A21">
      <w:pPr>
        <w:spacing w:line="480" w:lineRule="auto"/>
        <w:rPr>
          <w:rFonts w:asciiTheme="minorHAnsi" w:hAnsiTheme="minorHAnsi"/>
          <w:lang w:val="en-GB"/>
        </w:rPr>
      </w:pPr>
      <w:r w:rsidRPr="0024604A">
        <w:rPr>
          <w:rFonts w:asciiTheme="minorHAnsi" w:hAnsiTheme="minorHAnsi"/>
          <w:lang w:val="en-GB"/>
        </w:rPr>
        <w:br w:type="page"/>
      </w:r>
    </w:p>
    <w:p w14:paraId="6DB85818" w14:textId="77777777" w:rsidR="00D45D4E" w:rsidRPr="0024604A" w:rsidRDefault="00D45D4E" w:rsidP="0099540C">
      <w:pPr>
        <w:rPr>
          <w:rFonts w:asciiTheme="minorHAnsi" w:hAnsiTheme="minorHAnsi"/>
          <w:lang w:val="en-GB"/>
        </w:rPr>
      </w:pPr>
    </w:p>
    <w:p w14:paraId="700E1E3C" w14:textId="77777777" w:rsidR="00AE090E" w:rsidRPr="0024604A" w:rsidRDefault="00906901">
      <w:pPr>
        <w:rPr>
          <w:rFonts w:asciiTheme="minorHAnsi" w:hAnsiTheme="minorHAnsi" w:cstheme="minorHAnsi"/>
          <w:lang w:val="en-GB"/>
        </w:rPr>
      </w:pPr>
      <w:r w:rsidRPr="0024604A">
        <w:rPr>
          <w:rFonts w:asciiTheme="minorHAnsi" w:hAnsiTheme="minorHAnsi" w:cstheme="minorHAnsi"/>
          <w:noProof/>
          <w:lang w:val="en-GB"/>
        </w:rPr>
        <w:drawing>
          <wp:inline distT="0" distB="0" distL="0" distR="0" wp14:anchorId="2F0295F0" wp14:editId="2790B27F">
            <wp:extent cx="5757741" cy="3455035"/>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a 2.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7741" cy="3455035"/>
                    </a:xfrm>
                    <a:prstGeom prst="rect">
                      <a:avLst/>
                    </a:prstGeom>
                  </pic:spPr>
                </pic:pic>
              </a:graphicData>
            </a:graphic>
          </wp:inline>
        </w:drawing>
      </w:r>
    </w:p>
    <w:p w14:paraId="68AAD95B" w14:textId="1E557231" w:rsidR="00906901" w:rsidRPr="0024604A" w:rsidRDefault="00906901" w:rsidP="00B00A21">
      <w:pPr>
        <w:spacing w:line="480" w:lineRule="auto"/>
        <w:jc w:val="both"/>
        <w:rPr>
          <w:rFonts w:asciiTheme="minorHAnsi" w:hAnsiTheme="minorHAnsi" w:cstheme="minorHAnsi"/>
          <w:sz w:val="21"/>
          <w:szCs w:val="21"/>
          <w:lang w:val="en-GB"/>
        </w:rPr>
      </w:pPr>
      <w:r w:rsidRPr="0024604A">
        <w:rPr>
          <w:rFonts w:asciiTheme="minorHAnsi" w:hAnsiTheme="minorHAnsi" w:cstheme="minorHAnsi"/>
          <w:b/>
          <w:sz w:val="21"/>
          <w:szCs w:val="21"/>
          <w:lang w:val="en-GB"/>
        </w:rPr>
        <w:t>Figure 2</w:t>
      </w:r>
      <w:r w:rsidRPr="0024604A">
        <w:rPr>
          <w:rFonts w:asciiTheme="minorHAnsi" w:hAnsiTheme="minorHAnsi" w:cstheme="minorHAnsi"/>
          <w:sz w:val="21"/>
          <w:szCs w:val="21"/>
          <w:lang w:val="en-GB"/>
        </w:rPr>
        <w:t xml:space="preserve">. Superimposition of all the total ion current (TIC) chromatographic profiles obtained after XCMS alignment procedure </w:t>
      </w:r>
      <w:r w:rsidR="00BC4A07" w:rsidRPr="0024604A">
        <w:rPr>
          <w:rFonts w:asciiTheme="minorHAnsi" w:hAnsiTheme="minorHAnsi" w:cstheme="minorHAnsi"/>
          <w:sz w:val="21"/>
          <w:szCs w:val="21"/>
          <w:lang w:val="en-GB"/>
        </w:rPr>
        <w:t xml:space="preserve">(y-axis 1) </w:t>
      </w:r>
      <w:r w:rsidRPr="0024604A">
        <w:rPr>
          <w:rFonts w:asciiTheme="minorHAnsi" w:hAnsiTheme="minorHAnsi" w:cstheme="minorHAnsi"/>
          <w:sz w:val="21"/>
          <w:szCs w:val="21"/>
          <w:lang w:val="en-GB"/>
        </w:rPr>
        <w:t xml:space="preserve">along with retention time deviation </w:t>
      </w:r>
      <w:r w:rsidR="00BC4A07" w:rsidRPr="0024604A">
        <w:rPr>
          <w:rFonts w:asciiTheme="minorHAnsi" w:hAnsiTheme="minorHAnsi" w:cstheme="minorHAnsi"/>
          <w:sz w:val="21"/>
          <w:szCs w:val="21"/>
          <w:lang w:val="en-GB"/>
        </w:rPr>
        <w:t xml:space="preserve">(y-axis 2) </w:t>
      </w:r>
      <w:r w:rsidRPr="0024604A">
        <w:rPr>
          <w:rFonts w:asciiTheme="minorHAnsi" w:hAnsiTheme="minorHAnsi" w:cstheme="minorHAnsi"/>
          <w:sz w:val="21"/>
          <w:szCs w:val="21"/>
          <w:lang w:val="en-GB"/>
        </w:rPr>
        <w:t>between runs; HILIC-ESI-MS was applied for the lipid separation of 38 samples of autism spectrum disorder affected child</w:t>
      </w:r>
      <w:r w:rsidR="00206222" w:rsidRPr="0024604A">
        <w:rPr>
          <w:rFonts w:asciiTheme="minorHAnsi" w:hAnsiTheme="minorHAnsi" w:cstheme="minorHAnsi"/>
          <w:sz w:val="21"/>
          <w:szCs w:val="21"/>
          <w:lang w:val="en-GB"/>
        </w:rPr>
        <w:t>ren</w:t>
      </w:r>
      <w:r w:rsidRPr="0024604A">
        <w:rPr>
          <w:rFonts w:asciiTheme="minorHAnsi" w:hAnsiTheme="minorHAnsi" w:cstheme="minorHAnsi"/>
          <w:sz w:val="21"/>
          <w:szCs w:val="21"/>
          <w:lang w:val="en-GB"/>
        </w:rPr>
        <w:t>, 36 control sample</w:t>
      </w:r>
      <w:r w:rsidR="00206222" w:rsidRPr="0024604A">
        <w:rPr>
          <w:rFonts w:asciiTheme="minorHAnsi" w:hAnsiTheme="minorHAnsi" w:cstheme="minorHAnsi"/>
          <w:sz w:val="21"/>
          <w:szCs w:val="21"/>
          <w:lang w:val="en-GB"/>
        </w:rPr>
        <w:t>s</w:t>
      </w:r>
      <w:r w:rsidRPr="0024604A">
        <w:rPr>
          <w:rFonts w:asciiTheme="minorHAnsi" w:hAnsiTheme="minorHAnsi" w:cstheme="minorHAnsi"/>
          <w:sz w:val="21"/>
          <w:szCs w:val="21"/>
          <w:lang w:val="en-GB"/>
        </w:rPr>
        <w:t xml:space="preserve"> (unaffected siblings of studied subjects) and 21 quality control samples (QC)</w:t>
      </w:r>
      <w:r w:rsidR="008C0C83" w:rsidRPr="0024604A">
        <w:rPr>
          <w:rFonts w:asciiTheme="minorHAnsi" w:hAnsiTheme="minorHAnsi" w:cstheme="minorHAnsi"/>
          <w:sz w:val="21"/>
          <w:szCs w:val="21"/>
          <w:lang w:val="en-GB"/>
        </w:rPr>
        <w:t>.</w:t>
      </w:r>
    </w:p>
    <w:p w14:paraId="7D61781C" w14:textId="77777777" w:rsidR="00906901" w:rsidRPr="0024604A" w:rsidRDefault="00906901" w:rsidP="00B00A21">
      <w:pPr>
        <w:spacing w:line="480" w:lineRule="auto"/>
        <w:rPr>
          <w:rFonts w:asciiTheme="minorHAnsi" w:hAnsiTheme="minorHAnsi" w:cstheme="minorHAnsi"/>
          <w:lang w:val="en-GB"/>
        </w:rPr>
      </w:pPr>
    </w:p>
    <w:p w14:paraId="1F49B446" w14:textId="77777777" w:rsidR="00453A93" w:rsidRPr="0024604A" w:rsidRDefault="0058654C">
      <w:pPr>
        <w:rPr>
          <w:rFonts w:asciiTheme="minorHAnsi" w:hAnsiTheme="minorHAnsi" w:cstheme="minorHAnsi"/>
          <w:lang w:val="en-GB"/>
        </w:rPr>
      </w:pPr>
      <w:r w:rsidRPr="0024604A">
        <w:rPr>
          <w:rFonts w:asciiTheme="minorHAnsi" w:hAnsiTheme="minorHAnsi" w:cstheme="minorHAnsi"/>
          <w:noProof/>
          <w:lang w:val="en-GB"/>
        </w:rPr>
        <w:lastRenderedPageBreak/>
        <w:drawing>
          <wp:inline distT="0" distB="0" distL="0" distR="0" wp14:anchorId="36DAA816" wp14:editId="478CC4A2">
            <wp:extent cx="5646972" cy="4758684"/>
            <wp:effectExtent l="0" t="0" r="5080" b="4445"/>
            <wp:docPr id="8" name="Segnaposto contenuto 5">
              <a:extLst xmlns:a="http://schemas.openxmlformats.org/drawingml/2006/main">
                <a:ext uri="{FF2B5EF4-FFF2-40B4-BE49-F238E27FC236}">
                  <a16:creationId xmlns:a16="http://schemas.microsoft.com/office/drawing/2014/main" id="{9B2623EC-5DD8-A54C-8144-90DCA413628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Segnaposto contenuto 5">
                      <a:extLst>
                        <a:ext uri="{FF2B5EF4-FFF2-40B4-BE49-F238E27FC236}">
                          <a16:creationId xmlns:a16="http://schemas.microsoft.com/office/drawing/2014/main" id="{9B2623EC-5DD8-A54C-8144-90DCA413628C}"/>
                        </a:ext>
                      </a:extLst>
                    </pic:cNvPr>
                    <pic:cNvPicPr>
                      <a:picLocks noGrp="1"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46972" cy="4758684"/>
                    </a:xfrm>
                    <a:prstGeom prst="rect">
                      <a:avLst/>
                    </a:prstGeom>
                  </pic:spPr>
                </pic:pic>
              </a:graphicData>
            </a:graphic>
          </wp:inline>
        </w:drawing>
      </w:r>
    </w:p>
    <w:p w14:paraId="69959CB2" w14:textId="16B2E569" w:rsidR="00AE090E" w:rsidRPr="0024604A" w:rsidRDefault="00906901" w:rsidP="00B00A21">
      <w:pPr>
        <w:spacing w:line="360" w:lineRule="auto"/>
        <w:jc w:val="both"/>
        <w:rPr>
          <w:lang w:val="en-GB"/>
        </w:rPr>
      </w:pPr>
      <w:r w:rsidRPr="0024604A">
        <w:rPr>
          <w:rFonts w:asciiTheme="minorHAnsi" w:hAnsiTheme="minorHAnsi" w:cstheme="minorHAnsi"/>
          <w:b/>
          <w:sz w:val="21"/>
          <w:szCs w:val="21"/>
          <w:lang w:val="en-GB"/>
        </w:rPr>
        <w:t>Figure 3</w:t>
      </w:r>
      <w:r w:rsidRPr="0024604A">
        <w:rPr>
          <w:rFonts w:asciiTheme="minorHAnsi" w:hAnsiTheme="minorHAnsi" w:cstheme="minorHAnsi"/>
          <w:sz w:val="21"/>
          <w:szCs w:val="21"/>
          <w:lang w:val="en-GB"/>
        </w:rPr>
        <w:t xml:space="preserve">. Comparison between Two-dimensional </w:t>
      </w:r>
      <w:r w:rsidR="00BC4A07" w:rsidRPr="0024604A">
        <w:rPr>
          <w:rFonts w:asciiTheme="minorHAnsi" w:hAnsiTheme="minorHAnsi" w:cstheme="minorHAnsi"/>
          <w:sz w:val="21"/>
          <w:szCs w:val="21"/>
          <w:lang w:val="en-GB"/>
        </w:rPr>
        <w:t xml:space="preserve">ordination </w:t>
      </w:r>
      <w:r w:rsidRPr="0024604A">
        <w:rPr>
          <w:rFonts w:asciiTheme="minorHAnsi" w:hAnsiTheme="minorHAnsi" w:cstheme="minorHAnsi"/>
          <w:sz w:val="21"/>
          <w:szCs w:val="21"/>
          <w:lang w:val="en-GB"/>
        </w:rPr>
        <w:t>plot</w:t>
      </w:r>
      <w:r w:rsidR="00BC4A07" w:rsidRPr="0024604A">
        <w:rPr>
          <w:rFonts w:asciiTheme="minorHAnsi" w:hAnsiTheme="minorHAnsi" w:cstheme="minorHAnsi"/>
          <w:sz w:val="21"/>
          <w:szCs w:val="21"/>
          <w:lang w:val="en-GB"/>
        </w:rPr>
        <w:t>s</w:t>
      </w:r>
      <w:r w:rsidRPr="0024604A">
        <w:rPr>
          <w:rFonts w:asciiTheme="minorHAnsi" w:hAnsiTheme="minorHAnsi" w:cstheme="minorHAnsi"/>
          <w:sz w:val="21"/>
          <w:szCs w:val="21"/>
          <w:lang w:val="en-GB"/>
        </w:rPr>
        <w:t xml:space="preserve"> of PC1 and PC2 </w:t>
      </w:r>
      <w:r w:rsidR="00BC4A07" w:rsidRPr="0024604A">
        <w:rPr>
          <w:rFonts w:asciiTheme="minorHAnsi" w:hAnsiTheme="minorHAnsi" w:cstheme="minorHAnsi"/>
          <w:sz w:val="21"/>
          <w:szCs w:val="21"/>
          <w:lang w:val="en-GB"/>
        </w:rPr>
        <w:t xml:space="preserve">scores </w:t>
      </w:r>
      <w:r w:rsidRPr="0024604A">
        <w:rPr>
          <w:rFonts w:asciiTheme="minorHAnsi" w:hAnsiTheme="minorHAnsi" w:cstheme="minorHAnsi"/>
          <w:sz w:val="21"/>
          <w:szCs w:val="21"/>
          <w:lang w:val="en-GB"/>
        </w:rPr>
        <w:t xml:space="preserve">from principal component analyses on data matrix obtained by using XCMS. Despite different pre-processing methods were used (i.e. </w:t>
      </w:r>
      <w:r w:rsidR="005A4B7F" w:rsidRPr="0024604A">
        <w:rPr>
          <w:rFonts w:asciiTheme="minorHAnsi" w:hAnsiTheme="minorHAnsi" w:cstheme="minorHAnsi"/>
          <w:sz w:val="21"/>
          <w:szCs w:val="21"/>
          <w:lang w:val="en-GB"/>
        </w:rPr>
        <w:t>(</w:t>
      </w:r>
      <w:r w:rsidRPr="0024604A">
        <w:rPr>
          <w:rFonts w:asciiTheme="minorHAnsi" w:hAnsiTheme="minorHAnsi" w:cstheme="minorHAnsi"/>
          <w:sz w:val="21"/>
          <w:szCs w:val="21"/>
          <w:lang w:val="en-GB"/>
        </w:rPr>
        <w:t>A</w:t>
      </w:r>
      <w:r w:rsidR="005A4B7F" w:rsidRPr="0024604A">
        <w:rPr>
          <w:rFonts w:asciiTheme="minorHAnsi" w:hAnsiTheme="minorHAnsi" w:cstheme="minorHAnsi"/>
          <w:sz w:val="21"/>
          <w:szCs w:val="21"/>
          <w:lang w:val="en-GB"/>
        </w:rPr>
        <w:t xml:space="preserve">) data </w:t>
      </w:r>
      <w:proofErr w:type="spellStart"/>
      <w:r w:rsidRPr="0024604A">
        <w:rPr>
          <w:rFonts w:asciiTheme="minorHAnsi" w:hAnsiTheme="minorHAnsi" w:cstheme="minorHAnsi"/>
          <w:sz w:val="21"/>
          <w:szCs w:val="21"/>
          <w:lang w:val="en-GB"/>
        </w:rPr>
        <w:t>centering</w:t>
      </w:r>
      <w:proofErr w:type="spellEnd"/>
      <w:r w:rsidRPr="0024604A">
        <w:rPr>
          <w:rFonts w:asciiTheme="minorHAnsi" w:hAnsiTheme="minorHAnsi" w:cstheme="minorHAnsi"/>
          <w:sz w:val="21"/>
          <w:szCs w:val="21"/>
          <w:lang w:val="en-GB"/>
        </w:rPr>
        <w:t xml:space="preserve">, </w:t>
      </w:r>
      <w:r w:rsidR="005A4B7F" w:rsidRPr="0024604A">
        <w:rPr>
          <w:rFonts w:asciiTheme="minorHAnsi" w:hAnsiTheme="minorHAnsi" w:cstheme="minorHAnsi"/>
          <w:sz w:val="21"/>
          <w:szCs w:val="21"/>
          <w:lang w:val="en-GB"/>
        </w:rPr>
        <w:t>(B)</w:t>
      </w:r>
      <w:r w:rsidRPr="0024604A">
        <w:rPr>
          <w:rFonts w:asciiTheme="minorHAnsi" w:hAnsiTheme="minorHAnsi" w:cstheme="minorHAnsi"/>
          <w:sz w:val="21"/>
          <w:szCs w:val="21"/>
          <w:lang w:val="en-GB"/>
        </w:rPr>
        <w:t xml:space="preserve"> </w:t>
      </w:r>
      <w:r w:rsidR="005A4B7F" w:rsidRPr="0024604A">
        <w:rPr>
          <w:rFonts w:asciiTheme="minorHAnsi" w:hAnsiTheme="minorHAnsi" w:cstheme="minorHAnsi"/>
          <w:sz w:val="21"/>
          <w:szCs w:val="21"/>
          <w:lang w:val="en-GB"/>
        </w:rPr>
        <w:t>autoscaling</w:t>
      </w:r>
      <w:r w:rsidRPr="0024604A">
        <w:rPr>
          <w:rFonts w:asciiTheme="minorHAnsi" w:hAnsiTheme="minorHAnsi" w:cstheme="minorHAnsi"/>
          <w:sz w:val="21"/>
          <w:szCs w:val="21"/>
          <w:lang w:val="en-GB"/>
        </w:rPr>
        <w:t xml:space="preserve">, </w:t>
      </w:r>
      <w:r w:rsidR="005A4B7F" w:rsidRPr="0024604A">
        <w:rPr>
          <w:rFonts w:asciiTheme="minorHAnsi" w:hAnsiTheme="minorHAnsi" w:cstheme="minorHAnsi"/>
          <w:sz w:val="21"/>
          <w:szCs w:val="21"/>
          <w:lang w:val="en-GB"/>
        </w:rPr>
        <w:t>(C)</w:t>
      </w:r>
      <w:r w:rsidRPr="0024604A">
        <w:rPr>
          <w:rFonts w:asciiTheme="minorHAnsi" w:hAnsiTheme="minorHAnsi" w:cstheme="minorHAnsi"/>
          <w:sz w:val="21"/>
          <w:szCs w:val="21"/>
          <w:lang w:val="en-GB"/>
        </w:rPr>
        <w:t xml:space="preserve"> </w:t>
      </w:r>
      <w:r w:rsidR="005A4B7F" w:rsidRPr="0024604A">
        <w:rPr>
          <w:rFonts w:asciiTheme="minorHAnsi" w:hAnsiTheme="minorHAnsi" w:cstheme="minorHAnsi"/>
          <w:sz w:val="21"/>
          <w:szCs w:val="21"/>
          <w:lang w:val="en-GB"/>
        </w:rPr>
        <w:t xml:space="preserve">level </w:t>
      </w:r>
      <w:r w:rsidRPr="0024604A">
        <w:rPr>
          <w:rFonts w:asciiTheme="minorHAnsi" w:hAnsiTheme="minorHAnsi" w:cstheme="minorHAnsi"/>
          <w:sz w:val="21"/>
          <w:szCs w:val="21"/>
          <w:lang w:val="en-GB"/>
        </w:rPr>
        <w:t xml:space="preserve">scaling, </w:t>
      </w:r>
      <w:r w:rsidR="005A4B7F" w:rsidRPr="0024604A">
        <w:rPr>
          <w:rFonts w:asciiTheme="minorHAnsi" w:hAnsiTheme="minorHAnsi" w:cstheme="minorHAnsi"/>
          <w:sz w:val="21"/>
          <w:szCs w:val="21"/>
          <w:lang w:val="en-GB"/>
        </w:rPr>
        <w:t>(</w:t>
      </w:r>
      <w:r w:rsidRPr="0024604A">
        <w:rPr>
          <w:rFonts w:asciiTheme="minorHAnsi" w:hAnsiTheme="minorHAnsi" w:cstheme="minorHAnsi"/>
          <w:sz w:val="21"/>
          <w:szCs w:val="21"/>
          <w:lang w:val="en-GB"/>
        </w:rPr>
        <w:t>D</w:t>
      </w:r>
      <w:r w:rsidR="005A4B7F" w:rsidRPr="0024604A">
        <w:rPr>
          <w:rFonts w:asciiTheme="minorHAnsi" w:hAnsiTheme="minorHAnsi" w:cstheme="minorHAnsi"/>
          <w:sz w:val="21"/>
          <w:szCs w:val="21"/>
          <w:lang w:val="en-GB"/>
        </w:rPr>
        <w:t xml:space="preserve">) </w:t>
      </w:r>
      <w:r w:rsidR="005A4B7F" w:rsidRPr="0024604A">
        <w:rPr>
          <w:rFonts w:ascii="Calibri" w:hAnsi="Calibri"/>
          <w:lang w:val="en-GB"/>
        </w:rPr>
        <w:t>log</w:t>
      </w:r>
      <w:r w:rsidR="005A4B7F" w:rsidRPr="0024604A">
        <w:rPr>
          <w:rFonts w:ascii="Calibri" w:hAnsi="Calibri"/>
          <w:vertAlign w:val="subscript"/>
          <w:lang w:val="en-GB"/>
        </w:rPr>
        <w:t>10</w:t>
      </w:r>
      <w:r w:rsidR="005A4B7F" w:rsidRPr="0024604A">
        <w:rPr>
          <w:rFonts w:ascii="Calibri" w:hAnsi="Calibri"/>
          <w:lang w:val="en-GB"/>
        </w:rPr>
        <w:t>-</w:t>
      </w:r>
      <w:r w:rsidRPr="0024604A">
        <w:rPr>
          <w:rFonts w:asciiTheme="minorHAnsi" w:hAnsiTheme="minorHAnsi" w:cstheme="minorHAnsi"/>
          <w:sz w:val="21"/>
          <w:szCs w:val="21"/>
          <w:lang w:val="en-GB"/>
        </w:rPr>
        <w:t xml:space="preserve">transformation) no </w:t>
      </w:r>
      <w:r w:rsidR="00BC4A07" w:rsidRPr="0024604A">
        <w:rPr>
          <w:rFonts w:asciiTheme="minorHAnsi" w:hAnsiTheme="minorHAnsi" w:cstheme="minorHAnsi"/>
          <w:sz w:val="21"/>
          <w:szCs w:val="21"/>
          <w:lang w:val="en-GB"/>
        </w:rPr>
        <w:t xml:space="preserve">obvious groupings/clusters or trends in the </w:t>
      </w:r>
      <w:r w:rsidR="00206222" w:rsidRPr="0024604A">
        <w:rPr>
          <w:rFonts w:asciiTheme="minorHAnsi" w:hAnsiTheme="minorHAnsi" w:cstheme="minorHAnsi"/>
          <w:sz w:val="21"/>
          <w:szCs w:val="21"/>
          <w:lang w:val="en-GB"/>
        </w:rPr>
        <w:t xml:space="preserve">data </w:t>
      </w:r>
      <w:r w:rsidR="00BC4A07" w:rsidRPr="0024604A">
        <w:rPr>
          <w:rFonts w:asciiTheme="minorHAnsi" w:hAnsiTheme="minorHAnsi" w:cstheme="minorHAnsi"/>
          <w:sz w:val="21"/>
          <w:szCs w:val="21"/>
          <w:lang w:val="en-GB"/>
        </w:rPr>
        <w:t xml:space="preserve">were </w:t>
      </w:r>
      <w:r w:rsidRPr="0024604A">
        <w:rPr>
          <w:rFonts w:asciiTheme="minorHAnsi" w:hAnsiTheme="minorHAnsi" w:cstheme="minorHAnsi"/>
          <w:sz w:val="21"/>
          <w:szCs w:val="21"/>
          <w:lang w:val="en-GB"/>
        </w:rPr>
        <w:t>obtained.</w:t>
      </w:r>
      <w:r w:rsidR="00BC4A07" w:rsidRPr="0024604A">
        <w:rPr>
          <w:rFonts w:asciiTheme="minorHAnsi" w:hAnsiTheme="minorHAnsi" w:cstheme="minorHAnsi"/>
          <w:sz w:val="21"/>
          <w:szCs w:val="21"/>
          <w:lang w:val="en-GB"/>
        </w:rPr>
        <w:t xml:space="preserve"> Note that the </w:t>
      </w:r>
      <w:r w:rsidR="008C0C83" w:rsidRPr="0024604A">
        <w:rPr>
          <w:rFonts w:asciiTheme="minorHAnsi" w:hAnsiTheme="minorHAnsi" w:cstheme="minorHAnsi"/>
          <w:sz w:val="21"/>
          <w:szCs w:val="21"/>
          <w:lang w:val="en-GB"/>
        </w:rPr>
        <w:t xml:space="preserve">cluster of </w:t>
      </w:r>
      <w:proofErr w:type="gramStart"/>
      <w:r w:rsidR="00BC4A07" w:rsidRPr="0024604A">
        <w:rPr>
          <w:rFonts w:asciiTheme="minorHAnsi" w:hAnsiTheme="minorHAnsi" w:cstheme="minorHAnsi"/>
          <w:sz w:val="21"/>
          <w:szCs w:val="21"/>
          <w:lang w:val="en-GB"/>
        </w:rPr>
        <w:t>QC</w:t>
      </w:r>
      <w:proofErr w:type="gramEnd"/>
      <w:r w:rsidR="00BC4A07" w:rsidRPr="0024604A">
        <w:rPr>
          <w:rFonts w:asciiTheme="minorHAnsi" w:hAnsiTheme="minorHAnsi" w:cstheme="minorHAnsi"/>
          <w:sz w:val="21"/>
          <w:szCs w:val="21"/>
          <w:lang w:val="en-GB"/>
        </w:rPr>
        <w:t xml:space="preserve"> </w:t>
      </w:r>
      <w:r w:rsidR="008C0C83" w:rsidRPr="0024604A">
        <w:rPr>
          <w:rFonts w:asciiTheme="minorHAnsi" w:hAnsiTheme="minorHAnsi" w:cstheme="minorHAnsi"/>
          <w:sz w:val="21"/>
          <w:szCs w:val="21"/>
          <w:lang w:val="en-GB"/>
        </w:rPr>
        <w:t xml:space="preserve">is </w:t>
      </w:r>
      <w:r w:rsidR="00BC4A07" w:rsidRPr="0024604A">
        <w:rPr>
          <w:rFonts w:asciiTheme="minorHAnsi" w:hAnsiTheme="minorHAnsi" w:cstheme="minorHAnsi"/>
          <w:sz w:val="21"/>
          <w:szCs w:val="21"/>
          <w:lang w:val="en-GB"/>
        </w:rPr>
        <w:t>tightly together showing that the analytical pipeline is robust.</w:t>
      </w:r>
    </w:p>
    <w:p w14:paraId="2BA94C81" w14:textId="77777777" w:rsidR="00151AAD" w:rsidRPr="0024604A" w:rsidRDefault="00151AAD" w:rsidP="00151AAD">
      <w:pPr>
        <w:keepNext/>
        <w:contextualSpacing/>
        <w:jc w:val="center"/>
        <w:rPr>
          <w:lang w:val="en-GB"/>
        </w:rPr>
      </w:pPr>
    </w:p>
    <w:p w14:paraId="18E8C3A9" w14:textId="77777777" w:rsidR="00CD11FD" w:rsidRPr="0024604A" w:rsidRDefault="00CD11FD" w:rsidP="00CD11FD">
      <w:pPr>
        <w:rPr>
          <w:rFonts w:ascii="Calibri" w:hAnsi="Calibri"/>
          <w:lang w:val="en-GB"/>
        </w:rPr>
      </w:pPr>
      <w:r w:rsidRPr="0024604A">
        <w:rPr>
          <w:rFonts w:ascii="Calibri" w:hAnsi="Calibri"/>
          <w:noProof/>
          <w:lang w:val="en-GB" w:eastAsia="zh-CN"/>
        </w:rPr>
        <w:drawing>
          <wp:inline distT="0" distB="0" distL="0" distR="0" wp14:anchorId="2C8EBDF1" wp14:editId="243D13E0">
            <wp:extent cx="5561991" cy="4683290"/>
            <wp:effectExtent l="0" t="0" r="635" b="3175"/>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2_to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61991" cy="4683290"/>
                    </a:xfrm>
                    <a:prstGeom prst="rect">
                      <a:avLst/>
                    </a:prstGeom>
                  </pic:spPr>
                </pic:pic>
              </a:graphicData>
            </a:graphic>
          </wp:inline>
        </w:drawing>
      </w:r>
    </w:p>
    <w:p w14:paraId="34A6F938" w14:textId="0C490CE7" w:rsidR="00CD11FD" w:rsidRPr="0024604A" w:rsidRDefault="00CD11FD" w:rsidP="00B00A21">
      <w:pPr>
        <w:spacing w:line="360" w:lineRule="auto"/>
        <w:jc w:val="both"/>
        <w:rPr>
          <w:rFonts w:asciiTheme="minorHAnsi" w:hAnsiTheme="minorHAnsi" w:cstheme="minorHAnsi"/>
          <w:sz w:val="21"/>
          <w:szCs w:val="21"/>
          <w:lang w:val="en-GB"/>
        </w:rPr>
      </w:pPr>
      <w:r w:rsidRPr="0024604A">
        <w:rPr>
          <w:rFonts w:ascii="Calibri" w:hAnsi="Calibri"/>
          <w:b/>
          <w:bCs/>
          <w:lang w:val="en-GB"/>
        </w:rPr>
        <w:t>Figure 4.</w:t>
      </w:r>
      <w:r w:rsidRPr="0024604A">
        <w:rPr>
          <w:rFonts w:ascii="Calibri" w:hAnsi="Calibri"/>
          <w:bCs/>
          <w:lang w:val="en-GB"/>
        </w:rPr>
        <w:t xml:space="preserve"> </w:t>
      </w:r>
      <w:r w:rsidRPr="0024604A">
        <w:rPr>
          <w:rFonts w:asciiTheme="minorHAnsi" w:hAnsiTheme="minorHAnsi" w:cstheme="minorHAnsi"/>
          <w:sz w:val="21"/>
          <w:szCs w:val="21"/>
          <w:lang w:val="en-GB"/>
        </w:rPr>
        <w:t xml:space="preserve">PLS-DA on XCMS data matrix using pathology (yes </w:t>
      </w:r>
      <w:r w:rsidR="00BC4A07" w:rsidRPr="0024604A">
        <w:rPr>
          <w:rFonts w:asciiTheme="minorHAnsi" w:hAnsiTheme="minorHAnsi" w:cstheme="minorHAnsi"/>
          <w:sz w:val="21"/>
          <w:szCs w:val="21"/>
          <w:lang w:val="en-GB"/>
        </w:rPr>
        <w:t xml:space="preserve">(coded as ‘1’) </w:t>
      </w:r>
      <w:r w:rsidRPr="0024604A">
        <w:rPr>
          <w:rFonts w:asciiTheme="minorHAnsi" w:hAnsiTheme="minorHAnsi" w:cstheme="minorHAnsi"/>
          <w:sz w:val="21"/>
          <w:szCs w:val="21"/>
          <w:lang w:val="en-GB"/>
        </w:rPr>
        <w:t>or not</w:t>
      </w:r>
      <w:r w:rsidR="00BC4A07" w:rsidRPr="0024604A">
        <w:rPr>
          <w:rFonts w:asciiTheme="minorHAnsi" w:hAnsiTheme="minorHAnsi" w:cstheme="minorHAnsi"/>
          <w:sz w:val="21"/>
          <w:szCs w:val="21"/>
          <w:lang w:val="en-GB"/>
        </w:rPr>
        <w:t xml:space="preserve"> (‘0’)</w:t>
      </w:r>
      <w:r w:rsidRPr="0024604A">
        <w:rPr>
          <w:rFonts w:asciiTheme="minorHAnsi" w:hAnsiTheme="minorHAnsi" w:cstheme="minorHAnsi"/>
          <w:sz w:val="21"/>
          <w:szCs w:val="21"/>
          <w:lang w:val="en-GB"/>
        </w:rPr>
        <w:t xml:space="preserve">) as </w:t>
      </w:r>
      <w:r w:rsidR="00BC4A07" w:rsidRPr="0024604A">
        <w:rPr>
          <w:rFonts w:asciiTheme="minorHAnsi" w:hAnsiTheme="minorHAnsi" w:cstheme="minorHAnsi"/>
          <w:sz w:val="21"/>
          <w:szCs w:val="21"/>
          <w:lang w:val="en-GB"/>
        </w:rPr>
        <w:t>the Y-</w:t>
      </w:r>
      <w:r w:rsidRPr="0024604A">
        <w:rPr>
          <w:rFonts w:asciiTheme="minorHAnsi" w:hAnsiTheme="minorHAnsi" w:cstheme="minorHAnsi"/>
          <w:sz w:val="21"/>
          <w:szCs w:val="21"/>
          <w:lang w:val="en-GB"/>
        </w:rPr>
        <w:t xml:space="preserve">target variable. Despite different pre-processing methods were used (i.e. </w:t>
      </w:r>
      <w:r w:rsidR="005A4B7F" w:rsidRPr="0024604A">
        <w:rPr>
          <w:rFonts w:asciiTheme="minorHAnsi" w:hAnsiTheme="minorHAnsi" w:cstheme="minorHAnsi"/>
          <w:sz w:val="21"/>
          <w:szCs w:val="21"/>
          <w:lang w:val="en-GB"/>
        </w:rPr>
        <w:t>(</w:t>
      </w:r>
      <w:r w:rsidRPr="0024604A">
        <w:rPr>
          <w:rFonts w:asciiTheme="minorHAnsi" w:hAnsiTheme="minorHAnsi" w:cstheme="minorHAnsi"/>
          <w:sz w:val="21"/>
          <w:szCs w:val="21"/>
          <w:lang w:val="en-GB"/>
        </w:rPr>
        <w:t>A</w:t>
      </w:r>
      <w:r w:rsidR="005A4B7F" w:rsidRPr="0024604A">
        <w:rPr>
          <w:rFonts w:asciiTheme="minorHAnsi" w:hAnsiTheme="minorHAnsi" w:cstheme="minorHAnsi"/>
          <w:sz w:val="21"/>
          <w:szCs w:val="21"/>
          <w:lang w:val="en-GB"/>
        </w:rPr>
        <w:t xml:space="preserve">) data </w:t>
      </w:r>
      <w:proofErr w:type="spellStart"/>
      <w:r w:rsidRPr="0024604A">
        <w:rPr>
          <w:rFonts w:asciiTheme="minorHAnsi" w:hAnsiTheme="minorHAnsi" w:cstheme="minorHAnsi"/>
          <w:sz w:val="21"/>
          <w:szCs w:val="21"/>
          <w:lang w:val="en-GB"/>
        </w:rPr>
        <w:t>centering</w:t>
      </w:r>
      <w:proofErr w:type="spellEnd"/>
      <w:r w:rsidRPr="0024604A">
        <w:rPr>
          <w:rFonts w:asciiTheme="minorHAnsi" w:hAnsiTheme="minorHAnsi" w:cstheme="minorHAnsi"/>
          <w:sz w:val="21"/>
          <w:szCs w:val="21"/>
          <w:lang w:val="en-GB"/>
        </w:rPr>
        <w:t xml:space="preserve">, </w:t>
      </w:r>
      <w:r w:rsidR="005A4B7F" w:rsidRPr="0024604A">
        <w:rPr>
          <w:rFonts w:asciiTheme="minorHAnsi" w:hAnsiTheme="minorHAnsi" w:cstheme="minorHAnsi"/>
          <w:sz w:val="21"/>
          <w:szCs w:val="21"/>
          <w:lang w:val="en-GB"/>
        </w:rPr>
        <w:t>(</w:t>
      </w:r>
      <w:r w:rsidRPr="0024604A">
        <w:rPr>
          <w:rFonts w:asciiTheme="minorHAnsi" w:hAnsiTheme="minorHAnsi" w:cstheme="minorHAnsi"/>
          <w:sz w:val="21"/>
          <w:szCs w:val="21"/>
          <w:lang w:val="en-GB"/>
        </w:rPr>
        <w:t>B</w:t>
      </w:r>
      <w:r w:rsidR="005A4B7F" w:rsidRPr="0024604A">
        <w:rPr>
          <w:rFonts w:asciiTheme="minorHAnsi" w:hAnsiTheme="minorHAnsi" w:cstheme="minorHAnsi"/>
          <w:sz w:val="21"/>
          <w:szCs w:val="21"/>
          <w:lang w:val="en-GB"/>
        </w:rPr>
        <w:t>) autoscaling</w:t>
      </w:r>
      <w:r w:rsidRPr="0024604A">
        <w:rPr>
          <w:rFonts w:asciiTheme="minorHAnsi" w:hAnsiTheme="minorHAnsi" w:cstheme="minorHAnsi"/>
          <w:sz w:val="21"/>
          <w:szCs w:val="21"/>
          <w:lang w:val="en-GB"/>
        </w:rPr>
        <w:t xml:space="preserve">, </w:t>
      </w:r>
      <w:r w:rsidR="005A4B7F" w:rsidRPr="0024604A">
        <w:rPr>
          <w:rFonts w:asciiTheme="minorHAnsi" w:hAnsiTheme="minorHAnsi" w:cstheme="minorHAnsi"/>
          <w:sz w:val="21"/>
          <w:szCs w:val="21"/>
          <w:lang w:val="en-GB"/>
        </w:rPr>
        <w:t>(</w:t>
      </w:r>
      <w:r w:rsidRPr="0024604A">
        <w:rPr>
          <w:rFonts w:asciiTheme="minorHAnsi" w:hAnsiTheme="minorHAnsi" w:cstheme="minorHAnsi"/>
          <w:sz w:val="21"/>
          <w:szCs w:val="21"/>
          <w:lang w:val="en-GB"/>
        </w:rPr>
        <w:t>C</w:t>
      </w:r>
      <w:r w:rsidR="005A4B7F" w:rsidRPr="0024604A">
        <w:rPr>
          <w:rFonts w:asciiTheme="minorHAnsi" w:hAnsiTheme="minorHAnsi" w:cstheme="minorHAnsi"/>
          <w:sz w:val="21"/>
          <w:szCs w:val="21"/>
          <w:lang w:val="en-GB"/>
        </w:rPr>
        <w:t>)</w:t>
      </w:r>
      <w:r w:rsidRPr="0024604A">
        <w:rPr>
          <w:rFonts w:asciiTheme="minorHAnsi" w:hAnsiTheme="minorHAnsi" w:cstheme="minorHAnsi"/>
          <w:sz w:val="21"/>
          <w:szCs w:val="21"/>
          <w:lang w:val="en-GB"/>
        </w:rPr>
        <w:t xml:space="preserve"> </w:t>
      </w:r>
      <w:r w:rsidR="005A4B7F" w:rsidRPr="0024604A">
        <w:rPr>
          <w:rFonts w:asciiTheme="minorHAnsi" w:hAnsiTheme="minorHAnsi" w:cstheme="minorHAnsi"/>
          <w:sz w:val="21"/>
          <w:szCs w:val="21"/>
          <w:lang w:val="en-GB"/>
        </w:rPr>
        <w:t xml:space="preserve">level </w:t>
      </w:r>
      <w:r w:rsidRPr="0024604A">
        <w:rPr>
          <w:rFonts w:asciiTheme="minorHAnsi" w:hAnsiTheme="minorHAnsi" w:cstheme="minorHAnsi"/>
          <w:sz w:val="21"/>
          <w:szCs w:val="21"/>
          <w:lang w:val="en-GB"/>
        </w:rPr>
        <w:t xml:space="preserve">scaling, </w:t>
      </w:r>
      <w:r w:rsidR="005A4B7F" w:rsidRPr="0024604A">
        <w:rPr>
          <w:rFonts w:asciiTheme="minorHAnsi" w:hAnsiTheme="minorHAnsi" w:cstheme="minorHAnsi"/>
          <w:sz w:val="21"/>
          <w:szCs w:val="21"/>
          <w:lang w:val="en-GB"/>
        </w:rPr>
        <w:t>(</w:t>
      </w:r>
      <w:r w:rsidRPr="0024604A">
        <w:rPr>
          <w:rFonts w:asciiTheme="minorHAnsi" w:hAnsiTheme="minorHAnsi" w:cstheme="minorHAnsi"/>
          <w:sz w:val="21"/>
          <w:szCs w:val="21"/>
          <w:lang w:val="en-GB"/>
        </w:rPr>
        <w:t>D</w:t>
      </w:r>
      <w:r w:rsidR="005A4B7F" w:rsidRPr="0024604A">
        <w:rPr>
          <w:rFonts w:asciiTheme="minorHAnsi" w:hAnsiTheme="minorHAnsi" w:cstheme="minorHAnsi"/>
          <w:sz w:val="21"/>
          <w:szCs w:val="21"/>
          <w:lang w:val="en-GB"/>
        </w:rPr>
        <w:t xml:space="preserve">) </w:t>
      </w:r>
      <w:r w:rsidR="005A4B7F" w:rsidRPr="0024604A">
        <w:rPr>
          <w:rFonts w:ascii="Calibri" w:hAnsi="Calibri"/>
          <w:lang w:val="en-GB"/>
        </w:rPr>
        <w:t>log</w:t>
      </w:r>
      <w:r w:rsidR="005A4B7F" w:rsidRPr="0024604A">
        <w:rPr>
          <w:rFonts w:ascii="Calibri" w:hAnsi="Calibri"/>
          <w:vertAlign w:val="subscript"/>
          <w:lang w:val="en-GB"/>
        </w:rPr>
        <w:t>10</w:t>
      </w:r>
      <w:r w:rsidR="005A4B7F" w:rsidRPr="0024604A">
        <w:rPr>
          <w:rFonts w:ascii="Calibri" w:hAnsi="Calibri"/>
          <w:lang w:val="en-GB"/>
        </w:rPr>
        <w:t>-</w:t>
      </w:r>
      <w:r w:rsidRPr="0024604A">
        <w:rPr>
          <w:rFonts w:asciiTheme="minorHAnsi" w:hAnsiTheme="minorHAnsi" w:cstheme="minorHAnsi"/>
          <w:sz w:val="21"/>
          <w:szCs w:val="21"/>
          <w:lang w:val="en-GB"/>
        </w:rPr>
        <w:t>transformation), no statistically significant separation was obtained.</w:t>
      </w:r>
      <w:r w:rsidR="00BC4A07" w:rsidRPr="0024604A">
        <w:rPr>
          <w:rFonts w:asciiTheme="minorHAnsi" w:hAnsiTheme="minorHAnsi" w:cstheme="minorHAnsi"/>
          <w:sz w:val="21"/>
          <w:szCs w:val="21"/>
          <w:lang w:val="en-GB"/>
        </w:rPr>
        <w:t xml:space="preserve">  These results are from 1000 bootstraps (with replacement</w:t>
      </w:r>
      <w:proofErr w:type="gramStart"/>
      <w:r w:rsidR="00BC4A07" w:rsidRPr="0024604A">
        <w:rPr>
          <w:rFonts w:asciiTheme="minorHAnsi" w:hAnsiTheme="minorHAnsi" w:cstheme="minorHAnsi"/>
          <w:sz w:val="21"/>
          <w:szCs w:val="21"/>
          <w:lang w:val="en-GB"/>
        </w:rPr>
        <w:t>)</w:t>
      </w:r>
      <w:r w:rsidR="00D63F79" w:rsidRPr="0024604A">
        <w:rPr>
          <w:rFonts w:asciiTheme="minorHAnsi" w:hAnsiTheme="minorHAnsi" w:cstheme="minorHAnsi"/>
          <w:sz w:val="21"/>
          <w:szCs w:val="21"/>
          <w:lang w:val="en-GB"/>
        </w:rPr>
        <w:t>;</w:t>
      </w:r>
      <w:r w:rsidR="00BC4A07" w:rsidRPr="0024604A">
        <w:rPr>
          <w:rFonts w:asciiTheme="minorHAnsi" w:hAnsiTheme="minorHAnsi" w:cstheme="minorHAnsi"/>
          <w:sz w:val="21"/>
          <w:szCs w:val="21"/>
          <w:lang w:val="en-GB"/>
        </w:rPr>
        <w:t>blue</w:t>
      </w:r>
      <w:proofErr w:type="gramEnd"/>
      <w:r w:rsidR="00BC4A07" w:rsidRPr="0024604A">
        <w:rPr>
          <w:rFonts w:asciiTheme="minorHAnsi" w:hAnsiTheme="minorHAnsi" w:cstheme="minorHAnsi"/>
          <w:sz w:val="21"/>
          <w:szCs w:val="21"/>
          <w:lang w:val="en-GB"/>
        </w:rPr>
        <w:t xml:space="preserve"> histograms show the predictions from the 1000 test sets and red histograms the null distributions from permutation testing.</w:t>
      </w:r>
    </w:p>
    <w:p w14:paraId="04B3B67C" w14:textId="77777777" w:rsidR="00CD11FD" w:rsidRPr="0024604A" w:rsidRDefault="00CD11FD" w:rsidP="00151AAD">
      <w:pPr>
        <w:keepNext/>
        <w:contextualSpacing/>
        <w:jc w:val="center"/>
        <w:rPr>
          <w:lang w:val="en-GB"/>
        </w:rPr>
      </w:pPr>
    </w:p>
    <w:p w14:paraId="7D6C5E0D" w14:textId="77777777" w:rsidR="0041411C" w:rsidRPr="0024604A" w:rsidRDefault="0041411C" w:rsidP="0041411C">
      <w:pPr>
        <w:rPr>
          <w:lang w:val="en-GB"/>
        </w:rPr>
      </w:pPr>
    </w:p>
    <w:p w14:paraId="416122F7" w14:textId="77777777" w:rsidR="00016450" w:rsidRPr="0024604A" w:rsidRDefault="006E66BD" w:rsidP="00C62A8F">
      <w:pPr>
        <w:jc w:val="center"/>
        <w:rPr>
          <w:lang w:val="en-GB"/>
        </w:rPr>
      </w:pPr>
      <w:r w:rsidRPr="0024604A">
        <w:rPr>
          <w:noProof/>
          <w:lang w:val="en-GB"/>
        </w:rPr>
        <w:lastRenderedPageBreak/>
        <w:drawing>
          <wp:inline distT="0" distB="0" distL="0" distR="0" wp14:anchorId="1E8A4C44" wp14:editId="1A97CBD1">
            <wp:extent cx="4481965" cy="7923574"/>
            <wp:effectExtent l="0" t="0" r="1270" b="127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a 5-01.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81965" cy="7923574"/>
                    </a:xfrm>
                    <a:prstGeom prst="rect">
                      <a:avLst/>
                    </a:prstGeom>
                  </pic:spPr>
                </pic:pic>
              </a:graphicData>
            </a:graphic>
          </wp:inline>
        </w:drawing>
      </w:r>
    </w:p>
    <w:p w14:paraId="481B454A" w14:textId="5D32695B" w:rsidR="00C76FF3" w:rsidRPr="0024604A" w:rsidRDefault="004B60F9" w:rsidP="00347D4B">
      <w:pPr>
        <w:spacing w:line="360" w:lineRule="auto"/>
        <w:jc w:val="both"/>
        <w:rPr>
          <w:rFonts w:ascii="Calibri" w:hAnsi="Calibri"/>
          <w:lang w:val="en-GB"/>
        </w:rPr>
      </w:pPr>
      <w:r w:rsidRPr="0024604A">
        <w:rPr>
          <w:rFonts w:asciiTheme="minorHAnsi" w:hAnsiTheme="minorHAnsi" w:cstheme="minorHAnsi"/>
          <w:b/>
          <w:lang w:val="en-GB"/>
        </w:rPr>
        <w:t>Figure</w:t>
      </w:r>
      <w:r w:rsidR="00016450" w:rsidRPr="0024604A">
        <w:rPr>
          <w:rFonts w:asciiTheme="minorHAnsi" w:hAnsiTheme="minorHAnsi" w:cstheme="minorHAnsi"/>
          <w:b/>
          <w:lang w:val="en-GB"/>
        </w:rPr>
        <w:t xml:space="preserve"> </w:t>
      </w:r>
      <w:r w:rsidR="005065EA" w:rsidRPr="0024604A">
        <w:rPr>
          <w:rFonts w:asciiTheme="minorHAnsi" w:hAnsiTheme="minorHAnsi" w:cstheme="minorHAnsi"/>
          <w:b/>
          <w:lang w:val="en-GB"/>
        </w:rPr>
        <w:t>5</w:t>
      </w:r>
      <w:r w:rsidR="00016450" w:rsidRPr="0024604A">
        <w:rPr>
          <w:rFonts w:asciiTheme="minorHAnsi" w:hAnsiTheme="minorHAnsi" w:cstheme="minorHAnsi"/>
          <w:b/>
          <w:lang w:val="en-GB"/>
        </w:rPr>
        <w:t>.</w:t>
      </w:r>
      <w:r w:rsidR="00016450" w:rsidRPr="0024604A">
        <w:rPr>
          <w:rFonts w:asciiTheme="minorHAnsi" w:hAnsiTheme="minorHAnsi" w:cstheme="minorHAnsi"/>
          <w:lang w:val="en-GB"/>
        </w:rPr>
        <w:t xml:space="preserve"> </w:t>
      </w:r>
      <w:r w:rsidR="004F396E" w:rsidRPr="0024604A">
        <w:rPr>
          <w:rFonts w:asciiTheme="minorHAnsi" w:hAnsiTheme="minorHAnsi" w:cstheme="minorHAnsi"/>
          <w:sz w:val="21"/>
          <w:szCs w:val="21"/>
          <w:lang w:val="en-GB"/>
        </w:rPr>
        <w:t>P</w:t>
      </w:r>
      <w:r w:rsidR="00347D4B" w:rsidRPr="0024604A">
        <w:rPr>
          <w:rFonts w:asciiTheme="minorHAnsi" w:hAnsiTheme="minorHAnsi" w:cstheme="minorHAnsi"/>
          <w:sz w:val="21"/>
          <w:szCs w:val="21"/>
          <w:lang w:val="en-GB"/>
        </w:rPr>
        <w:t xml:space="preserve">rincipal component analysis biplot diagram </w:t>
      </w:r>
      <w:r w:rsidR="005348A6" w:rsidRPr="0024604A">
        <w:rPr>
          <w:rFonts w:asciiTheme="minorHAnsi" w:hAnsiTheme="minorHAnsi" w:cstheme="minorHAnsi"/>
          <w:sz w:val="21"/>
          <w:szCs w:val="21"/>
          <w:lang w:val="en-GB"/>
        </w:rPr>
        <w:t xml:space="preserve">obtained for </w:t>
      </w:r>
      <w:r w:rsidR="004F396E" w:rsidRPr="0024604A">
        <w:rPr>
          <w:rFonts w:asciiTheme="minorHAnsi" w:hAnsiTheme="minorHAnsi" w:cstheme="minorHAnsi"/>
          <w:sz w:val="21"/>
          <w:szCs w:val="21"/>
          <w:lang w:val="en-GB"/>
        </w:rPr>
        <w:t xml:space="preserve">(A) Alex Full MS data matrix </w:t>
      </w:r>
      <w:r w:rsidR="00BC4A07" w:rsidRPr="0024604A">
        <w:rPr>
          <w:rFonts w:asciiTheme="minorHAnsi" w:hAnsiTheme="minorHAnsi" w:cstheme="minorHAnsi"/>
          <w:sz w:val="21"/>
          <w:szCs w:val="21"/>
          <w:lang w:val="en-GB"/>
        </w:rPr>
        <w:t>after being mean</w:t>
      </w:r>
      <w:r w:rsidR="00D63F79" w:rsidRPr="0024604A">
        <w:rPr>
          <w:rFonts w:asciiTheme="minorHAnsi" w:hAnsiTheme="minorHAnsi" w:cstheme="minorHAnsi"/>
          <w:sz w:val="21"/>
          <w:szCs w:val="21"/>
          <w:lang w:val="en-GB"/>
        </w:rPr>
        <w:t>-</w:t>
      </w:r>
      <w:proofErr w:type="spellStart"/>
      <w:r w:rsidR="004F396E" w:rsidRPr="0024604A">
        <w:rPr>
          <w:rFonts w:asciiTheme="minorHAnsi" w:hAnsiTheme="minorHAnsi" w:cstheme="minorHAnsi"/>
          <w:sz w:val="21"/>
          <w:szCs w:val="21"/>
          <w:lang w:val="en-GB"/>
        </w:rPr>
        <w:t>centered</w:t>
      </w:r>
      <w:proofErr w:type="spellEnd"/>
      <w:r w:rsidR="004F396E" w:rsidRPr="0024604A">
        <w:rPr>
          <w:rFonts w:asciiTheme="minorHAnsi" w:hAnsiTheme="minorHAnsi" w:cstheme="minorHAnsi"/>
          <w:sz w:val="21"/>
          <w:szCs w:val="21"/>
          <w:lang w:val="en-GB"/>
        </w:rPr>
        <w:t xml:space="preserve">, (B) Alex </w:t>
      </w:r>
      <w:r w:rsidR="006E66BD" w:rsidRPr="0024604A">
        <w:rPr>
          <w:rFonts w:asciiTheme="minorHAnsi" w:hAnsiTheme="minorHAnsi" w:cstheme="minorHAnsi"/>
          <w:sz w:val="21"/>
          <w:szCs w:val="21"/>
          <w:lang w:val="en-GB"/>
        </w:rPr>
        <w:t>L</w:t>
      </w:r>
      <w:r w:rsidR="005348A6" w:rsidRPr="0024604A">
        <w:rPr>
          <w:rFonts w:asciiTheme="minorHAnsi" w:hAnsiTheme="minorHAnsi" w:cstheme="minorHAnsi"/>
          <w:sz w:val="21"/>
          <w:szCs w:val="21"/>
          <w:lang w:val="en-GB"/>
        </w:rPr>
        <w:t>PE attributions, normalized and autoscaled;</w:t>
      </w:r>
      <w:r w:rsidR="004F396E" w:rsidRPr="0024604A">
        <w:rPr>
          <w:rFonts w:asciiTheme="minorHAnsi" w:hAnsiTheme="minorHAnsi" w:cstheme="minorHAnsi"/>
          <w:sz w:val="21"/>
          <w:szCs w:val="21"/>
          <w:lang w:val="en-GB"/>
        </w:rPr>
        <w:t xml:space="preserve"> (C) Alex</w:t>
      </w:r>
      <w:r w:rsidR="00630740" w:rsidRPr="0024604A">
        <w:rPr>
          <w:rFonts w:asciiTheme="minorHAnsi" w:hAnsiTheme="minorHAnsi" w:cstheme="minorHAnsi"/>
          <w:sz w:val="21"/>
          <w:szCs w:val="21"/>
          <w:vertAlign w:val="superscript"/>
          <w:lang w:val="en-GB"/>
        </w:rPr>
        <w:t>123</w:t>
      </w:r>
      <w:r w:rsidR="004F396E" w:rsidRPr="0024604A">
        <w:rPr>
          <w:rFonts w:asciiTheme="minorHAnsi" w:hAnsiTheme="minorHAnsi" w:cstheme="minorHAnsi"/>
          <w:sz w:val="21"/>
          <w:szCs w:val="21"/>
          <w:lang w:val="en-GB"/>
        </w:rPr>
        <w:t xml:space="preserve"> AIF MS data matrix </w:t>
      </w:r>
      <w:proofErr w:type="spellStart"/>
      <w:r w:rsidR="004F396E" w:rsidRPr="0024604A">
        <w:rPr>
          <w:rFonts w:asciiTheme="minorHAnsi" w:hAnsiTheme="minorHAnsi" w:cstheme="minorHAnsi"/>
          <w:sz w:val="21"/>
          <w:szCs w:val="21"/>
          <w:lang w:val="en-GB"/>
        </w:rPr>
        <w:t>centered</w:t>
      </w:r>
      <w:proofErr w:type="spellEnd"/>
      <w:r w:rsidR="004F396E" w:rsidRPr="0024604A">
        <w:rPr>
          <w:rFonts w:asciiTheme="minorHAnsi" w:hAnsiTheme="minorHAnsi" w:cstheme="minorHAnsi"/>
          <w:sz w:val="21"/>
          <w:szCs w:val="21"/>
          <w:lang w:val="en-GB"/>
        </w:rPr>
        <w:t>, (D) Alex</w:t>
      </w:r>
      <w:r w:rsidR="00630740" w:rsidRPr="0024604A">
        <w:rPr>
          <w:rFonts w:asciiTheme="minorHAnsi" w:hAnsiTheme="minorHAnsi" w:cstheme="minorHAnsi"/>
          <w:sz w:val="21"/>
          <w:szCs w:val="21"/>
          <w:vertAlign w:val="superscript"/>
          <w:lang w:val="en-GB"/>
        </w:rPr>
        <w:t>123</w:t>
      </w:r>
      <w:r w:rsidR="004F396E" w:rsidRPr="0024604A">
        <w:rPr>
          <w:rFonts w:asciiTheme="minorHAnsi" w:hAnsiTheme="minorHAnsi" w:cstheme="minorHAnsi"/>
          <w:sz w:val="21"/>
          <w:szCs w:val="21"/>
          <w:lang w:val="en-GB"/>
        </w:rPr>
        <w:t xml:space="preserve"> AIF MS </w:t>
      </w:r>
      <w:r w:rsidR="008B5D46" w:rsidRPr="0024604A">
        <w:rPr>
          <w:rFonts w:asciiTheme="minorHAnsi" w:hAnsiTheme="minorHAnsi" w:cstheme="minorHAnsi"/>
          <w:sz w:val="21"/>
          <w:szCs w:val="21"/>
          <w:lang w:val="en-GB"/>
        </w:rPr>
        <w:t xml:space="preserve">data obtained under </w:t>
      </w:r>
      <w:r w:rsidR="004F396E" w:rsidRPr="0024604A">
        <w:rPr>
          <w:rFonts w:asciiTheme="minorHAnsi" w:hAnsiTheme="minorHAnsi" w:cstheme="minorHAnsi"/>
          <w:sz w:val="21"/>
          <w:szCs w:val="21"/>
          <w:lang w:val="en-GB"/>
        </w:rPr>
        <w:t>PC</w:t>
      </w:r>
      <w:r w:rsidR="008B5D46" w:rsidRPr="0024604A">
        <w:rPr>
          <w:rFonts w:asciiTheme="minorHAnsi" w:hAnsiTheme="minorHAnsi" w:cstheme="minorHAnsi"/>
          <w:sz w:val="21"/>
          <w:szCs w:val="21"/>
          <w:lang w:val="en-GB"/>
        </w:rPr>
        <w:t xml:space="preserve"> band</w:t>
      </w:r>
      <w:r w:rsidR="004F396E" w:rsidRPr="0024604A">
        <w:rPr>
          <w:rFonts w:asciiTheme="minorHAnsi" w:hAnsiTheme="minorHAnsi" w:cstheme="minorHAnsi"/>
          <w:sz w:val="21"/>
          <w:szCs w:val="21"/>
          <w:lang w:val="en-GB"/>
        </w:rPr>
        <w:t xml:space="preserve">. </w:t>
      </w:r>
      <w:r w:rsidR="004F5436" w:rsidRPr="0024604A">
        <w:rPr>
          <w:rFonts w:asciiTheme="minorHAnsi" w:hAnsiTheme="minorHAnsi" w:cstheme="minorHAnsi"/>
          <w:sz w:val="21"/>
          <w:szCs w:val="21"/>
          <w:lang w:val="en-GB"/>
        </w:rPr>
        <w:t>I</w:t>
      </w:r>
      <w:r w:rsidR="004F396E" w:rsidRPr="0024604A">
        <w:rPr>
          <w:rFonts w:asciiTheme="minorHAnsi" w:hAnsiTheme="minorHAnsi" w:cstheme="minorHAnsi"/>
          <w:sz w:val="21"/>
          <w:szCs w:val="21"/>
          <w:lang w:val="en-GB"/>
        </w:rPr>
        <w:t>n all cases</w:t>
      </w:r>
      <w:r w:rsidR="005348A6" w:rsidRPr="0024604A">
        <w:rPr>
          <w:rFonts w:asciiTheme="minorHAnsi" w:hAnsiTheme="minorHAnsi" w:cstheme="minorHAnsi"/>
          <w:sz w:val="21"/>
          <w:szCs w:val="21"/>
          <w:lang w:val="en-GB"/>
        </w:rPr>
        <w:t xml:space="preserve"> a mixed distribution has been obtained.</w:t>
      </w:r>
      <w:r w:rsidR="00BC4A07" w:rsidRPr="0024604A">
        <w:rPr>
          <w:rFonts w:asciiTheme="minorHAnsi" w:hAnsiTheme="minorHAnsi" w:cstheme="minorHAnsi"/>
          <w:sz w:val="21"/>
          <w:szCs w:val="21"/>
          <w:lang w:val="en-GB"/>
        </w:rPr>
        <w:t xml:space="preserve"> Note that the QC cluster tightly together showing that the analytical pipeline is robust.</w:t>
      </w:r>
    </w:p>
    <w:p w14:paraId="593E0ED5" w14:textId="77777777" w:rsidR="00C76FF3" w:rsidRPr="0024604A" w:rsidRDefault="00C76FF3" w:rsidP="00347D4B">
      <w:pPr>
        <w:spacing w:line="360" w:lineRule="auto"/>
        <w:jc w:val="both"/>
        <w:rPr>
          <w:rFonts w:ascii="Calibri" w:hAnsi="Calibri"/>
          <w:lang w:val="en-GB"/>
        </w:rPr>
      </w:pPr>
      <w:r w:rsidRPr="0024604A">
        <w:rPr>
          <w:rFonts w:ascii="Calibri" w:hAnsi="Calibri"/>
          <w:noProof/>
          <w:lang w:val="en-GB"/>
        </w:rPr>
        <w:lastRenderedPageBreak/>
        <w:drawing>
          <wp:inline distT="0" distB="0" distL="0" distR="0" wp14:anchorId="21A62E1C" wp14:editId="0E3D1E0D">
            <wp:extent cx="5760084" cy="4850087"/>
            <wp:effectExtent l="0" t="0" r="0" b="1905"/>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a s3-01.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84" cy="4850087"/>
                    </a:xfrm>
                    <a:prstGeom prst="rect">
                      <a:avLst/>
                    </a:prstGeom>
                  </pic:spPr>
                </pic:pic>
              </a:graphicData>
            </a:graphic>
          </wp:inline>
        </w:drawing>
      </w:r>
    </w:p>
    <w:p w14:paraId="3CCBF13F" w14:textId="6A911090" w:rsidR="008F0B56" w:rsidRPr="0024604A" w:rsidRDefault="008F0B56" w:rsidP="00B00A21">
      <w:pPr>
        <w:spacing w:line="360" w:lineRule="auto"/>
        <w:jc w:val="both"/>
        <w:rPr>
          <w:rFonts w:asciiTheme="minorHAnsi" w:hAnsiTheme="minorHAnsi" w:cstheme="minorHAnsi"/>
          <w:sz w:val="21"/>
          <w:szCs w:val="21"/>
          <w:lang w:val="en-GB"/>
        </w:rPr>
      </w:pPr>
      <w:r w:rsidRPr="0024604A">
        <w:rPr>
          <w:rFonts w:ascii="Calibri" w:hAnsi="Calibri"/>
          <w:b/>
          <w:bCs/>
          <w:lang w:val="en-GB"/>
        </w:rPr>
        <w:t>Figure 6.</w:t>
      </w:r>
      <w:r w:rsidRPr="0024604A">
        <w:rPr>
          <w:rFonts w:ascii="Calibri" w:hAnsi="Calibri"/>
          <w:bCs/>
          <w:lang w:val="en-GB"/>
        </w:rPr>
        <w:t xml:space="preserve"> </w:t>
      </w:r>
      <w:r w:rsidRPr="0024604A">
        <w:rPr>
          <w:rFonts w:asciiTheme="minorHAnsi" w:hAnsiTheme="minorHAnsi" w:cstheme="minorHAnsi"/>
          <w:sz w:val="21"/>
          <w:szCs w:val="21"/>
          <w:lang w:val="en-GB"/>
        </w:rPr>
        <w:t>PLS-DA using pathology (yes or not) as target variable on Alex</w:t>
      </w:r>
      <w:r w:rsidRPr="0024604A">
        <w:rPr>
          <w:rFonts w:asciiTheme="minorHAnsi" w:hAnsiTheme="minorHAnsi" w:cstheme="minorHAnsi"/>
          <w:sz w:val="21"/>
          <w:szCs w:val="21"/>
          <w:vertAlign w:val="superscript"/>
          <w:lang w:val="en-GB"/>
        </w:rPr>
        <w:t>123</w:t>
      </w:r>
      <w:r w:rsidRPr="0024604A">
        <w:rPr>
          <w:rFonts w:asciiTheme="minorHAnsi" w:hAnsiTheme="minorHAnsi" w:cstheme="minorHAnsi"/>
          <w:sz w:val="21"/>
          <w:szCs w:val="21"/>
          <w:lang w:val="en-GB"/>
        </w:rPr>
        <w:t xml:space="preserve"> data matrix obtained from (A) the Full MS spectrum (B) from the SM band MS spectrum (C) the whole AIF MS spectrum and (D)</w:t>
      </w:r>
      <w:r w:rsidR="0066638C" w:rsidRPr="0024604A">
        <w:rPr>
          <w:rFonts w:asciiTheme="minorHAnsi" w:hAnsiTheme="minorHAnsi" w:cstheme="minorHAnsi"/>
          <w:sz w:val="21"/>
          <w:szCs w:val="21"/>
          <w:lang w:val="en-GB"/>
        </w:rPr>
        <w:t xml:space="preserve"> FA signals obtained in AIF MS modality under PE and PE-O band. </w:t>
      </w:r>
      <w:r w:rsidRPr="0024604A">
        <w:rPr>
          <w:rFonts w:asciiTheme="minorHAnsi" w:hAnsiTheme="minorHAnsi" w:cstheme="minorHAnsi"/>
          <w:sz w:val="21"/>
          <w:szCs w:val="21"/>
          <w:lang w:val="en-GB"/>
        </w:rPr>
        <w:t xml:space="preserve">Despite different pre-processing methods were used (i.e. </w:t>
      </w:r>
      <w:r w:rsidR="005A4B7F" w:rsidRPr="0024604A">
        <w:rPr>
          <w:rFonts w:asciiTheme="minorHAnsi" w:hAnsiTheme="minorHAnsi" w:cstheme="minorHAnsi"/>
          <w:sz w:val="21"/>
          <w:szCs w:val="21"/>
          <w:lang w:val="en-GB"/>
        </w:rPr>
        <w:t>(</w:t>
      </w:r>
      <w:r w:rsidRPr="0024604A">
        <w:rPr>
          <w:rFonts w:asciiTheme="minorHAnsi" w:hAnsiTheme="minorHAnsi" w:cstheme="minorHAnsi"/>
          <w:sz w:val="21"/>
          <w:szCs w:val="21"/>
          <w:lang w:val="en-GB"/>
        </w:rPr>
        <w:t>A</w:t>
      </w:r>
      <w:r w:rsidR="005A4B7F" w:rsidRPr="0024604A">
        <w:rPr>
          <w:rFonts w:asciiTheme="minorHAnsi" w:hAnsiTheme="minorHAnsi" w:cstheme="minorHAnsi"/>
          <w:sz w:val="21"/>
          <w:szCs w:val="21"/>
          <w:lang w:val="en-GB"/>
        </w:rPr>
        <w:t xml:space="preserve">) </w:t>
      </w:r>
      <w:r w:rsidRPr="0024604A">
        <w:rPr>
          <w:rFonts w:asciiTheme="minorHAnsi" w:hAnsiTheme="minorHAnsi" w:cstheme="minorHAnsi"/>
          <w:sz w:val="21"/>
          <w:szCs w:val="21"/>
          <w:lang w:val="en-GB"/>
        </w:rPr>
        <w:t xml:space="preserve">Data </w:t>
      </w:r>
      <w:proofErr w:type="spellStart"/>
      <w:r w:rsidRPr="0024604A">
        <w:rPr>
          <w:rFonts w:asciiTheme="minorHAnsi" w:hAnsiTheme="minorHAnsi" w:cstheme="minorHAnsi"/>
          <w:sz w:val="21"/>
          <w:szCs w:val="21"/>
          <w:lang w:val="en-GB"/>
        </w:rPr>
        <w:t>centering</w:t>
      </w:r>
      <w:proofErr w:type="spellEnd"/>
      <w:r w:rsidRPr="0024604A">
        <w:rPr>
          <w:rFonts w:asciiTheme="minorHAnsi" w:hAnsiTheme="minorHAnsi" w:cstheme="minorHAnsi"/>
          <w:sz w:val="21"/>
          <w:szCs w:val="21"/>
          <w:lang w:val="en-GB"/>
        </w:rPr>
        <w:t xml:space="preserve">, </w:t>
      </w:r>
      <w:r w:rsidR="005A4B7F" w:rsidRPr="0024604A">
        <w:rPr>
          <w:rFonts w:asciiTheme="minorHAnsi" w:hAnsiTheme="minorHAnsi" w:cstheme="minorHAnsi"/>
          <w:sz w:val="21"/>
          <w:szCs w:val="21"/>
          <w:lang w:val="en-GB"/>
        </w:rPr>
        <w:t>(</w:t>
      </w:r>
      <w:r w:rsidRPr="0024604A">
        <w:rPr>
          <w:rFonts w:asciiTheme="minorHAnsi" w:hAnsiTheme="minorHAnsi" w:cstheme="minorHAnsi"/>
          <w:sz w:val="21"/>
          <w:szCs w:val="21"/>
          <w:lang w:val="en-GB"/>
        </w:rPr>
        <w:t>B</w:t>
      </w:r>
      <w:r w:rsidR="005A4B7F" w:rsidRPr="0024604A">
        <w:rPr>
          <w:rFonts w:asciiTheme="minorHAnsi" w:hAnsiTheme="minorHAnsi" w:cstheme="minorHAnsi"/>
          <w:sz w:val="21"/>
          <w:szCs w:val="21"/>
          <w:lang w:val="en-GB"/>
        </w:rPr>
        <w:t xml:space="preserve">) </w:t>
      </w:r>
      <w:r w:rsidRPr="0024604A">
        <w:rPr>
          <w:rFonts w:asciiTheme="minorHAnsi" w:hAnsiTheme="minorHAnsi" w:cstheme="minorHAnsi"/>
          <w:sz w:val="21"/>
          <w:szCs w:val="21"/>
          <w:lang w:val="en-GB"/>
        </w:rPr>
        <w:t xml:space="preserve">Autoscaling, </w:t>
      </w:r>
      <w:r w:rsidR="005A4B7F" w:rsidRPr="0024604A">
        <w:rPr>
          <w:rFonts w:asciiTheme="minorHAnsi" w:hAnsiTheme="minorHAnsi" w:cstheme="minorHAnsi"/>
          <w:sz w:val="21"/>
          <w:szCs w:val="21"/>
          <w:lang w:val="en-GB"/>
        </w:rPr>
        <w:t>(</w:t>
      </w:r>
      <w:r w:rsidRPr="0024604A">
        <w:rPr>
          <w:rFonts w:asciiTheme="minorHAnsi" w:hAnsiTheme="minorHAnsi" w:cstheme="minorHAnsi"/>
          <w:sz w:val="21"/>
          <w:szCs w:val="21"/>
          <w:lang w:val="en-GB"/>
        </w:rPr>
        <w:t>C</w:t>
      </w:r>
      <w:r w:rsidR="005A4B7F" w:rsidRPr="0024604A">
        <w:rPr>
          <w:rFonts w:asciiTheme="minorHAnsi" w:hAnsiTheme="minorHAnsi" w:cstheme="minorHAnsi"/>
          <w:sz w:val="21"/>
          <w:szCs w:val="21"/>
          <w:lang w:val="en-GB"/>
        </w:rPr>
        <w:t xml:space="preserve">) </w:t>
      </w:r>
      <w:r w:rsidRPr="0024604A">
        <w:rPr>
          <w:rFonts w:asciiTheme="minorHAnsi" w:hAnsiTheme="minorHAnsi" w:cstheme="minorHAnsi"/>
          <w:sz w:val="21"/>
          <w:szCs w:val="21"/>
          <w:lang w:val="en-GB"/>
        </w:rPr>
        <w:t xml:space="preserve">Level scaling, </w:t>
      </w:r>
      <w:r w:rsidR="005A4B7F" w:rsidRPr="0024604A">
        <w:rPr>
          <w:rFonts w:asciiTheme="minorHAnsi" w:hAnsiTheme="minorHAnsi" w:cstheme="minorHAnsi"/>
          <w:sz w:val="21"/>
          <w:szCs w:val="21"/>
          <w:lang w:val="en-GB"/>
        </w:rPr>
        <w:t>(</w:t>
      </w:r>
      <w:r w:rsidRPr="0024604A">
        <w:rPr>
          <w:rFonts w:asciiTheme="minorHAnsi" w:hAnsiTheme="minorHAnsi" w:cstheme="minorHAnsi"/>
          <w:sz w:val="21"/>
          <w:szCs w:val="21"/>
          <w:lang w:val="en-GB"/>
        </w:rPr>
        <w:t>D</w:t>
      </w:r>
      <w:r w:rsidR="005A4B7F" w:rsidRPr="0024604A">
        <w:rPr>
          <w:rFonts w:asciiTheme="minorHAnsi" w:hAnsiTheme="minorHAnsi" w:cstheme="minorHAnsi"/>
          <w:sz w:val="21"/>
          <w:szCs w:val="21"/>
          <w:lang w:val="en-GB"/>
        </w:rPr>
        <w:t xml:space="preserve">) </w:t>
      </w:r>
      <w:r w:rsidR="005A4B7F" w:rsidRPr="0024604A">
        <w:rPr>
          <w:rFonts w:ascii="Calibri" w:hAnsi="Calibri"/>
          <w:lang w:val="en-GB"/>
        </w:rPr>
        <w:t>log</w:t>
      </w:r>
      <w:r w:rsidR="005A4B7F" w:rsidRPr="0024604A">
        <w:rPr>
          <w:rFonts w:ascii="Calibri" w:hAnsi="Calibri"/>
          <w:vertAlign w:val="subscript"/>
          <w:lang w:val="en-GB"/>
        </w:rPr>
        <w:t>10</w:t>
      </w:r>
      <w:r w:rsidR="005A4B7F" w:rsidRPr="0024604A">
        <w:rPr>
          <w:rFonts w:ascii="Calibri" w:hAnsi="Calibri"/>
          <w:lang w:val="en-GB"/>
        </w:rPr>
        <w:t>-</w:t>
      </w:r>
      <w:r w:rsidRPr="0024604A">
        <w:rPr>
          <w:rFonts w:asciiTheme="minorHAnsi" w:hAnsiTheme="minorHAnsi" w:cstheme="minorHAnsi"/>
          <w:sz w:val="21"/>
          <w:szCs w:val="21"/>
          <w:lang w:val="en-GB"/>
        </w:rPr>
        <w:t>transformation), no statistically significant separation was obtained.</w:t>
      </w:r>
    </w:p>
    <w:p w14:paraId="76F2DEFE" w14:textId="77777777" w:rsidR="008F0B56" w:rsidRPr="0024604A" w:rsidRDefault="008F0B56" w:rsidP="00B00A21">
      <w:pPr>
        <w:spacing w:line="360" w:lineRule="auto"/>
        <w:jc w:val="both"/>
        <w:rPr>
          <w:rFonts w:ascii="Calibri" w:hAnsi="Calibri"/>
          <w:lang w:val="en-GB"/>
        </w:rPr>
      </w:pPr>
    </w:p>
    <w:p w14:paraId="5E619FB2" w14:textId="62811AA6" w:rsidR="005E5ECC" w:rsidRPr="0024604A" w:rsidRDefault="00C76FF3" w:rsidP="00016450">
      <w:pPr>
        <w:spacing w:line="360" w:lineRule="auto"/>
        <w:jc w:val="both"/>
        <w:rPr>
          <w:rFonts w:ascii="Calibri" w:hAnsi="Calibri"/>
          <w:lang w:val="en-GB"/>
        </w:rPr>
      </w:pPr>
      <w:r w:rsidRPr="0024604A">
        <w:rPr>
          <w:rFonts w:ascii="Calibri" w:hAnsi="Calibri"/>
          <w:noProof/>
          <w:lang w:val="en-GB"/>
        </w:rPr>
        <w:lastRenderedPageBreak/>
        <w:drawing>
          <wp:inline distT="0" distB="0" distL="0" distR="0" wp14:anchorId="605DB979" wp14:editId="7C202AAF">
            <wp:extent cx="5450477" cy="6924675"/>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a 7-01.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58048" cy="6934294"/>
                    </a:xfrm>
                    <a:prstGeom prst="rect">
                      <a:avLst/>
                    </a:prstGeom>
                  </pic:spPr>
                </pic:pic>
              </a:graphicData>
            </a:graphic>
          </wp:inline>
        </w:drawing>
      </w:r>
    </w:p>
    <w:p w14:paraId="0DF0DFC4" w14:textId="4925E8F9" w:rsidR="00D71BE1" w:rsidRPr="0024604A" w:rsidRDefault="004B60F9" w:rsidP="00C879F6">
      <w:pPr>
        <w:spacing w:line="360" w:lineRule="auto"/>
        <w:jc w:val="both"/>
        <w:rPr>
          <w:rFonts w:ascii="Calibri" w:hAnsi="Calibri"/>
          <w:sz w:val="21"/>
          <w:szCs w:val="21"/>
          <w:lang w:val="en-GB"/>
        </w:rPr>
      </w:pPr>
      <w:r w:rsidRPr="0024604A">
        <w:rPr>
          <w:rFonts w:asciiTheme="minorHAnsi" w:hAnsiTheme="minorHAnsi" w:cstheme="minorHAnsi"/>
          <w:b/>
          <w:sz w:val="21"/>
          <w:szCs w:val="21"/>
          <w:lang w:val="en-GB"/>
        </w:rPr>
        <w:t>Figure</w:t>
      </w:r>
      <w:r w:rsidR="0088152F" w:rsidRPr="0024604A">
        <w:rPr>
          <w:rFonts w:asciiTheme="minorHAnsi" w:hAnsiTheme="minorHAnsi" w:cstheme="minorHAnsi"/>
          <w:b/>
          <w:sz w:val="21"/>
          <w:szCs w:val="21"/>
          <w:lang w:val="en-GB"/>
        </w:rPr>
        <w:t xml:space="preserve"> </w:t>
      </w:r>
      <w:r w:rsidR="00D5656F" w:rsidRPr="0024604A">
        <w:rPr>
          <w:rFonts w:asciiTheme="minorHAnsi" w:hAnsiTheme="minorHAnsi" w:cstheme="minorHAnsi"/>
          <w:b/>
          <w:sz w:val="21"/>
          <w:szCs w:val="21"/>
          <w:lang w:val="en-GB"/>
        </w:rPr>
        <w:t>7</w:t>
      </w:r>
      <w:r w:rsidR="0088152F" w:rsidRPr="0024604A">
        <w:rPr>
          <w:rFonts w:asciiTheme="minorHAnsi" w:hAnsiTheme="minorHAnsi" w:cstheme="minorHAnsi"/>
          <w:b/>
          <w:sz w:val="21"/>
          <w:szCs w:val="21"/>
          <w:lang w:val="en-GB"/>
        </w:rPr>
        <w:t>.</w:t>
      </w:r>
      <w:r w:rsidR="0088152F" w:rsidRPr="0024604A">
        <w:rPr>
          <w:rFonts w:asciiTheme="minorHAnsi" w:hAnsiTheme="minorHAnsi" w:cstheme="minorHAnsi"/>
          <w:sz w:val="21"/>
          <w:szCs w:val="21"/>
          <w:lang w:val="en-GB"/>
        </w:rPr>
        <w:t xml:space="preserve"> </w:t>
      </w:r>
      <w:r w:rsidR="00E204FC" w:rsidRPr="0024604A">
        <w:rPr>
          <w:rFonts w:asciiTheme="minorHAnsi" w:hAnsiTheme="minorHAnsi" w:cstheme="minorHAnsi"/>
          <w:sz w:val="21"/>
          <w:szCs w:val="21"/>
          <w:lang w:val="en-GB"/>
        </w:rPr>
        <w:t xml:space="preserve">A) and B) </w:t>
      </w:r>
      <w:r w:rsidR="007B05AC" w:rsidRPr="0024604A">
        <w:rPr>
          <w:rFonts w:asciiTheme="minorHAnsi" w:hAnsiTheme="minorHAnsi" w:cstheme="minorHAnsi"/>
          <w:sz w:val="21"/>
          <w:szCs w:val="21"/>
          <w:lang w:val="en-GB"/>
        </w:rPr>
        <w:t xml:space="preserve">Example of </w:t>
      </w:r>
      <w:r w:rsidR="007B05AC" w:rsidRPr="0024604A">
        <w:rPr>
          <w:rFonts w:ascii="Calibri" w:hAnsi="Calibri"/>
          <w:sz w:val="21"/>
          <w:szCs w:val="21"/>
          <w:lang w:val="en-GB"/>
        </w:rPr>
        <w:t>b</w:t>
      </w:r>
      <w:r w:rsidR="00D5656F" w:rsidRPr="0024604A">
        <w:rPr>
          <w:rFonts w:ascii="Calibri" w:hAnsi="Calibri"/>
          <w:sz w:val="21"/>
          <w:szCs w:val="21"/>
          <w:lang w:val="en-GB"/>
        </w:rPr>
        <w:t xml:space="preserve">oxplots </w:t>
      </w:r>
      <w:r w:rsidR="00DA6DE8" w:rsidRPr="0024604A">
        <w:rPr>
          <w:rFonts w:ascii="Calibri" w:hAnsi="Calibri"/>
          <w:sz w:val="21"/>
          <w:szCs w:val="21"/>
          <w:lang w:val="en-GB"/>
        </w:rPr>
        <w:t xml:space="preserve">on </w:t>
      </w:r>
      <w:r w:rsidR="00E204FC" w:rsidRPr="0024604A">
        <w:rPr>
          <w:rFonts w:ascii="Calibri" w:hAnsi="Calibri"/>
          <w:sz w:val="21"/>
          <w:szCs w:val="21"/>
          <w:lang w:val="en-GB"/>
        </w:rPr>
        <w:t xml:space="preserve">two of the </w:t>
      </w:r>
      <w:r w:rsidR="00DA6DE8" w:rsidRPr="0024604A">
        <w:rPr>
          <w:rFonts w:ascii="Calibri" w:hAnsi="Calibri"/>
          <w:sz w:val="21"/>
          <w:szCs w:val="21"/>
          <w:lang w:val="en-GB"/>
        </w:rPr>
        <w:t>putative variables</w:t>
      </w:r>
      <w:r w:rsidR="00206222" w:rsidRPr="0024604A">
        <w:rPr>
          <w:rFonts w:ascii="Calibri" w:hAnsi="Calibri"/>
          <w:sz w:val="21"/>
          <w:szCs w:val="21"/>
          <w:lang w:val="en-GB"/>
        </w:rPr>
        <w:t xml:space="preserve"> </w:t>
      </w:r>
      <w:r w:rsidR="00C76FF3" w:rsidRPr="0024604A">
        <w:rPr>
          <w:rFonts w:ascii="Calibri" w:hAnsi="Calibri"/>
          <w:sz w:val="21"/>
          <w:szCs w:val="21"/>
          <w:lang w:val="en-GB"/>
        </w:rPr>
        <w:t xml:space="preserve">statistically different among </w:t>
      </w:r>
      <w:r w:rsidR="00206222" w:rsidRPr="0024604A">
        <w:rPr>
          <w:rFonts w:ascii="Calibri" w:hAnsi="Calibri"/>
          <w:sz w:val="21"/>
          <w:szCs w:val="21"/>
          <w:lang w:val="en-GB"/>
        </w:rPr>
        <w:t>healthy</w:t>
      </w:r>
      <w:r w:rsidR="00C76FF3" w:rsidRPr="0024604A">
        <w:rPr>
          <w:rFonts w:ascii="Calibri" w:hAnsi="Calibri"/>
          <w:sz w:val="21"/>
          <w:szCs w:val="21"/>
          <w:lang w:val="en-GB"/>
        </w:rPr>
        <w:t xml:space="preserve"> and ASD affected child</w:t>
      </w:r>
      <w:r w:rsidR="00206222" w:rsidRPr="0024604A">
        <w:rPr>
          <w:rFonts w:ascii="Calibri" w:hAnsi="Calibri"/>
          <w:sz w:val="21"/>
          <w:szCs w:val="21"/>
          <w:lang w:val="en-GB"/>
        </w:rPr>
        <w:t>ren</w:t>
      </w:r>
      <w:r w:rsidR="00C76FF3" w:rsidRPr="0024604A">
        <w:rPr>
          <w:rFonts w:ascii="Calibri" w:hAnsi="Calibri"/>
          <w:sz w:val="21"/>
          <w:szCs w:val="21"/>
          <w:lang w:val="en-GB"/>
        </w:rPr>
        <w:t xml:space="preserve"> (p value&lt;0.05)</w:t>
      </w:r>
      <w:r w:rsidR="00DA6DE8" w:rsidRPr="0024604A">
        <w:rPr>
          <w:rFonts w:ascii="Calibri" w:hAnsi="Calibri"/>
          <w:sz w:val="21"/>
          <w:szCs w:val="21"/>
          <w:lang w:val="en-GB"/>
        </w:rPr>
        <w:t xml:space="preserve"> sh</w:t>
      </w:r>
      <w:r w:rsidR="004C2D0E" w:rsidRPr="0024604A">
        <w:rPr>
          <w:rFonts w:ascii="Calibri" w:hAnsi="Calibri"/>
          <w:sz w:val="21"/>
          <w:szCs w:val="21"/>
          <w:lang w:val="en-GB"/>
        </w:rPr>
        <w:t>owing a trend according to severity degree of autism</w:t>
      </w:r>
      <w:r w:rsidR="007B05AC" w:rsidRPr="0024604A">
        <w:rPr>
          <w:rFonts w:ascii="Calibri" w:hAnsi="Calibri"/>
          <w:sz w:val="21"/>
          <w:szCs w:val="21"/>
          <w:lang w:val="en-GB"/>
        </w:rPr>
        <w:t xml:space="preserve"> obtained </w:t>
      </w:r>
      <w:r w:rsidR="00DA6DE8" w:rsidRPr="0024604A">
        <w:rPr>
          <w:rFonts w:ascii="Calibri" w:hAnsi="Calibri"/>
          <w:sz w:val="21"/>
          <w:szCs w:val="21"/>
          <w:lang w:val="en-GB"/>
        </w:rPr>
        <w:t xml:space="preserve">by </w:t>
      </w:r>
      <w:r w:rsidR="007B05AC" w:rsidRPr="0024604A">
        <w:rPr>
          <w:rFonts w:ascii="Calibri" w:hAnsi="Calibri"/>
          <w:sz w:val="21"/>
          <w:szCs w:val="21"/>
          <w:lang w:val="en-GB"/>
        </w:rPr>
        <w:t>using</w:t>
      </w:r>
      <w:r w:rsidR="00D5656F" w:rsidRPr="0024604A">
        <w:rPr>
          <w:rFonts w:ascii="Calibri" w:hAnsi="Calibri"/>
          <w:sz w:val="21"/>
          <w:szCs w:val="21"/>
          <w:lang w:val="en-GB"/>
        </w:rPr>
        <w:t xml:space="preserve"> </w:t>
      </w:r>
      <w:r w:rsidR="00C76FF3" w:rsidRPr="0024604A">
        <w:rPr>
          <w:rFonts w:ascii="Calibri" w:hAnsi="Calibri"/>
          <w:sz w:val="21"/>
          <w:szCs w:val="21"/>
          <w:lang w:val="en-GB"/>
        </w:rPr>
        <w:t>Alex</w:t>
      </w:r>
      <w:r w:rsidR="00C76FF3" w:rsidRPr="0024604A">
        <w:rPr>
          <w:rFonts w:ascii="Calibri" w:hAnsi="Calibri"/>
          <w:sz w:val="21"/>
          <w:szCs w:val="21"/>
          <w:vertAlign w:val="superscript"/>
          <w:lang w:val="en-GB"/>
        </w:rPr>
        <w:t>123</w:t>
      </w:r>
      <w:r w:rsidR="00C76FF3" w:rsidRPr="0024604A">
        <w:rPr>
          <w:rFonts w:ascii="Calibri" w:hAnsi="Calibri"/>
          <w:sz w:val="21"/>
          <w:szCs w:val="21"/>
          <w:lang w:val="en-GB"/>
        </w:rPr>
        <w:t xml:space="preserve"> software both on full MS and AIF MS data</w:t>
      </w:r>
      <w:r w:rsidR="00E204FC" w:rsidRPr="0024604A">
        <w:rPr>
          <w:rFonts w:ascii="Calibri" w:hAnsi="Calibri"/>
          <w:sz w:val="21"/>
          <w:szCs w:val="21"/>
          <w:lang w:val="en-GB"/>
        </w:rPr>
        <w:t xml:space="preserve"> (</w:t>
      </w:r>
      <w:r w:rsidR="00E204FC" w:rsidRPr="0024604A">
        <w:rPr>
          <w:rFonts w:ascii="Calibri" w:hAnsi="Calibri"/>
          <w:i/>
          <w:iCs/>
          <w:sz w:val="21"/>
          <w:szCs w:val="21"/>
          <w:lang w:val="en-GB"/>
        </w:rPr>
        <w:t>i.e.</w:t>
      </w:r>
      <w:r w:rsidR="00E204FC" w:rsidRPr="0024604A">
        <w:rPr>
          <w:rFonts w:ascii="Calibri" w:hAnsi="Calibri"/>
          <w:sz w:val="21"/>
          <w:szCs w:val="21"/>
          <w:lang w:val="en-GB"/>
        </w:rPr>
        <w:t xml:space="preserve"> PI 38:4 and FA 20:4 generated from PI)</w:t>
      </w:r>
      <w:r w:rsidR="004C2D0E" w:rsidRPr="0024604A">
        <w:rPr>
          <w:rFonts w:ascii="Calibri" w:hAnsi="Calibri"/>
          <w:sz w:val="21"/>
          <w:szCs w:val="21"/>
          <w:lang w:val="en-GB"/>
        </w:rPr>
        <w:t xml:space="preserve">. </w:t>
      </w:r>
      <w:r w:rsidR="00E204FC" w:rsidRPr="0024604A">
        <w:rPr>
          <w:rFonts w:ascii="Calibri" w:hAnsi="Calibri"/>
          <w:sz w:val="21"/>
          <w:szCs w:val="21"/>
          <w:lang w:val="en-GB"/>
        </w:rPr>
        <w:t xml:space="preserve">C) and D) Comparison among siblings of the considered intact lipid and the corresponding FA obtained through AIF MS analysis. </w:t>
      </w:r>
      <w:r w:rsidR="004F5436" w:rsidRPr="0024604A">
        <w:rPr>
          <w:rFonts w:ascii="Calibri" w:hAnsi="Calibri"/>
          <w:sz w:val="21"/>
          <w:szCs w:val="21"/>
          <w:lang w:val="en-GB"/>
        </w:rPr>
        <w:t>I</w:t>
      </w:r>
      <w:r w:rsidR="00C76FF3" w:rsidRPr="0024604A">
        <w:rPr>
          <w:rFonts w:ascii="Calibri" w:hAnsi="Calibri"/>
          <w:sz w:val="21"/>
          <w:szCs w:val="21"/>
          <w:lang w:val="en-GB"/>
        </w:rPr>
        <w:t>ntrasubject</w:t>
      </w:r>
      <w:r w:rsidR="004C2D0E" w:rsidRPr="0024604A">
        <w:rPr>
          <w:rFonts w:ascii="Calibri" w:hAnsi="Calibri"/>
          <w:sz w:val="21"/>
          <w:szCs w:val="21"/>
          <w:lang w:val="en-GB"/>
        </w:rPr>
        <w:t xml:space="preserve"> variability is too large to find putative biomarkers</w:t>
      </w:r>
      <w:r w:rsidR="00BC4A07" w:rsidRPr="0024604A">
        <w:rPr>
          <w:rFonts w:ascii="Calibri" w:hAnsi="Calibri"/>
          <w:sz w:val="21"/>
          <w:szCs w:val="21"/>
          <w:lang w:val="en-GB"/>
        </w:rPr>
        <w:t xml:space="preserve"> that correlate/associate with autism</w:t>
      </w:r>
      <w:r w:rsidR="004C2D0E" w:rsidRPr="0024604A">
        <w:rPr>
          <w:rFonts w:ascii="Calibri" w:hAnsi="Calibri"/>
          <w:sz w:val="21"/>
          <w:szCs w:val="21"/>
          <w:lang w:val="en-GB"/>
        </w:rPr>
        <w:t>.</w:t>
      </w:r>
      <w:bookmarkEnd w:id="2"/>
    </w:p>
    <w:sectPr w:rsidR="00D71BE1" w:rsidRPr="0024604A" w:rsidSect="004954AE">
      <w:headerReference w:type="default" r:id="rId15"/>
      <w:footerReference w:type="default" r:id="rId16"/>
      <w:pgSz w:w="11907" w:h="16840" w:code="9"/>
      <w:pgMar w:top="1418" w:right="1418" w:bottom="1418" w:left="1418"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C67CA7" w14:textId="77777777" w:rsidR="00C47A6B" w:rsidRDefault="00C47A6B">
      <w:pPr>
        <w:rPr>
          <w:sz w:val="19"/>
        </w:rPr>
      </w:pPr>
      <w:r>
        <w:rPr>
          <w:sz w:val="19"/>
        </w:rPr>
        <w:separator/>
      </w:r>
    </w:p>
  </w:endnote>
  <w:endnote w:type="continuationSeparator" w:id="0">
    <w:p w14:paraId="3460AA95" w14:textId="77777777" w:rsidR="00C47A6B" w:rsidRDefault="00C47A6B">
      <w:pPr>
        <w:rPr>
          <w:sz w:val="19"/>
        </w:rPr>
      </w:pPr>
      <w:r>
        <w:rPr>
          <w:sz w:val="19"/>
        </w:rPr>
        <w:continuationSeparator/>
      </w:r>
    </w:p>
  </w:endnote>
  <w:endnote w:type="continuationNotice" w:id="1">
    <w:p w14:paraId="7F855780" w14:textId="77777777" w:rsidR="00C47A6B" w:rsidRDefault="00C47A6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4000ACFF" w:usb2="00000001"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auto"/>
    <w:pitch w:val="variable"/>
    <w:sig w:usb0="E00002FF" w:usb1="5000785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yriadPro-Light">
    <w:altName w:val="Calibri"/>
    <w:panose1 w:val="00000000000000000000"/>
    <w:charset w:val="00"/>
    <w:family w:val="swiss"/>
    <w:notTrueType/>
    <w:pitch w:val="variable"/>
    <w:sig w:usb0="A00002AF" w:usb1="5000204B"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36938357"/>
      <w:docPartObj>
        <w:docPartGallery w:val="Page Numbers (Bottom of Page)"/>
        <w:docPartUnique/>
      </w:docPartObj>
    </w:sdtPr>
    <w:sdtEndPr/>
    <w:sdtContent>
      <w:p w14:paraId="0979C020" w14:textId="1A41F547" w:rsidR="00D96E78" w:rsidRDefault="00D96E78">
        <w:pPr>
          <w:pStyle w:val="Pidipagina"/>
          <w:jc w:val="right"/>
        </w:pPr>
        <w:r>
          <w:fldChar w:fldCharType="begin"/>
        </w:r>
        <w:r>
          <w:instrText>PAGE   \* MERGEFORMAT</w:instrText>
        </w:r>
        <w:r>
          <w:fldChar w:fldCharType="separate"/>
        </w:r>
        <w:r>
          <w:rPr>
            <w:lang w:val="it-IT"/>
          </w:rPr>
          <w:t>2</w:t>
        </w:r>
        <w:r>
          <w:fldChar w:fldCharType="end"/>
        </w:r>
      </w:p>
    </w:sdtContent>
  </w:sdt>
  <w:p w14:paraId="11CA7A23" w14:textId="77777777" w:rsidR="00D96E78" w:rsidRDefault="00D96E78">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0ABE08" w14:textId="77777777" w:rsidR="00C47A6B" w:rsidRDefault="00C47A6B">
      <w:pPr>
        <w:rPr>
          <w:sz w:val="19"/>
        </w:rPr>
      </w:pPr>
      <w:r>
        <w:rPr>
          <w:sz w:val="19"/>
        </w:rPr>
        <w:separator/>
      </w:r>
    </w:p>
  </w:footnote>
  <w:footnote w:type="continuationSeparator" w:id="0">
    <w:p w14:paraId="10A9FC19" w14:textId="77777777" w:rsidR="00C47A6B" w:rsidRDefault="00C47A6B">
      <w:pPr>
        <w:rPr>
          <w:sz w:val="19"/>
        </w:rPr>
      </w:pPr>
      <w:r>
        <w:rPr>
          <w:sz w:val="19"/>
        </w:rPr>
        <w:continuationSeparator/>
      </w:r>
    </w:p>
  </w:footnote>
  <w:footnote w:type="continuationNotice" w:id="1">
    <w:p w14:paraId="78AA4FB5" w14:textId="77777777" w:rsidR="00C47A6B" w:rsidRDefault="00C47A6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E1D41A" w14:textId="19BB80C5" w:rsidR="00D96E78" w:rsidRPr="004D6784" w:rsidRDefault="00D96E78">
    <w:pPr>
      <w:pStyle w:val="Intestazione"/>
      <w:rPr>
        <w:rFonts w:ascii="Calibri" w:hAnsi="Calibri"/>
        <w:i/>
        <w:iCs/>
        <w:lang w:val="en-US"/>
      </w:rPr>
    </w:pPr>
    <w:r w:rsidRPr="00B17BA7">
      <w:rPr>
        <w:rFonts w:ascii="Calibri" w:hAnsi="Calibri"/>
        <w:lang w:val="en-US"/>
      </w:rPr>
      <w:t>Running title</w:t>
    </w:r>
    <w:r>
      <w:rPr>
        <w:rFonts w:ascii="Calibri" w:hAnsi="Calibri"/>
        <w:lang w:val="en-US"/>
      </w:rPr>
      <w:t xml:space="preserve">: </w:t>
    </w:r>
    <w:r w:rsidRPr="004D6784">
      <w:rPr>
        <w:rFonts w:ascii="Calibri" w:hAnsi="Calibri"/>
        <w:i/>
        <w:iCs/>
        <w:lang w:val="en-US"/>
      </w:rPr>
      <w:t>Phosphol</w:t>
    </w:r>
    <w:r w:rsidRPr="00B17BA7">
      <w:rPr>
        <w:rFonts w:ascii="Calibri" w:hAnsi="Calibri"/>
        <w:i/>
        <w:iCs/>
        <w:lang w:val="en-US"/>
      </w:rPr>
      <w:t>ipidomics of children affected by ASD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50B94"/>
    <w:multiLevelType w:val="hybridMultilevel"/>
    <w:tmpl w:val="27DEC454"/>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088A3B53"/>
    <w:multiLevelType w:val="multilevel"/>
    <w:tmpl w:val="25942862"/>
    <w:lvl w:ilvl="0">
      <w:start w:val="2"/>
      <w:numFmt w:val="decimal"/>
      <w:lvlText w:val="%1"/>
      <w:lvlJc w:val="left"/>
      <w:pPr>
        <w:tabs>
          <w:tab w:val="num" w:pos="571"/>
        </w:tabs>
        <w:ind w:left="571" w:hanging="571"/>
      </w:pPr>
      <w:rPr>
        <w:rFonts w:cs="Times New Roman" w:hint="default"/>
      </w:rPr>
    </w:lvl>
    <w:lvl w:ilvl="1">
      <w:start w:val="2"/>
      <w:numFmt w:val="decimal"/>
      <w:lvlText w:val="%1.%2"/>
      <w:lvlJc w:val="left"/>
      <w:pPr>
        <w:tabs>
          <w:tab w:val="num" w:pos="661"/>
        </w:tabs>
        <w:ind w:left="661" w:hanging="571"/>
      </w:pPr>
      <w:rPr>
        <w:rFonts w:cs="Times New Roman" w:hint="default"/>
        <w:b/>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 w15:restartNumberingAfterBreak="0">
    <w:nsid w:val="09041AE6"/>
    <w:multiLevelType w:val="multilevel"/>
    <w:tmpl w:val="29888DE8"/>
    <w:lvl w:ilvl="0">
      <w:start w:val="3"/>
      <w:numFmt w:val="decimal"/>
      <w:lvlText w:val="%1"/>
      <w:lvlJc w:val="left"/>
      <w:pPr>
        <w:tabs>
          <w:tab w:val="num" w:pos="705"/>
        </w:tabs>
        <w:ind w:left="705" w:hanging="705"/>
      </w:pPr>
      <w:rPr>
        <w:rFonts w:cs="Times New Roman" w:hint="default"/>
        <w:b/>
      </w:rPr>
    </w:lvl>
    <w:lvl w:ilvl="1">
      <w:start w:val="2"/>
      <w:numFmt w:val="decimal"/>
      <w:lvlText w:val="%1.%2"/>
      <w:lvlJc w:val="left"/>
      <w:pPr>
        <w:tabs>
          <w:tab w:val="num" w:pos="720"/>
        </w:tabs>
        <w:ind w:left="720" w:hanging="720"/>
      </w:pPr>
      <w:rPr>
        <w:rFonts w:cs="Times New Roman" w:hint="default"/>
        <w:b/>
      </w:rPr>
    </w:lvl>
    <w:lvl w:ilvl="2">
      <w:start w:val="1"/>
      <w:numFmt w:val="decimal"/>
      <w:lvlText w:val="%1.%2.%3"/>
      <w:lvlJc w:val="left"/>
      <w:pPr>
        <w:tabs>
          <w:tab w:val="num" w:pos="720"/>
        </w:tabs>
        <w:ind w:left="720" w:hanging="720"/>
      </w:pPr>
      <w:rPr>
        <w:rFonts w:cs="Times New Roman" w:hint="default"/>
        <w:b/>
      </w:rPr>
    </w:lvl>
    <w:lvl w:ilvl="3">
      <w:start w:val="1"/>
      <w:numFmt w:val="decimal"/>
      <w:lvlText w:val="%1.%2.%3.%4"/>
      <w:lvlJc w:val="left"/>
      <w:pPr>
        <w:tabs>
          <w:tab w:val="num" w:pos="1080"/>
        </w:tabs>
        <w:ind w:left="1080" w:hanging="1080"/>
      </w:pPr>
      <w:rPr>
        <w:rFonts w:cs="Times New Roman" w:hint="default"/>
        <w:b/>
      </w:rPr>
    </w:lvl>
    <w:lvl w:ilvl="4">
      <w:start w:val="1"/>
      <w:numFmt w:val="decimal"/>
      <w:lvlText w:val="%1.%2.%3.%4.%5"/>
      <w:lvlJc w:val="left"/>
      <w:pPr>
        <w:tabs>
          <w:tab w:val="num" w:pos="1080"/>
        </w:tabs>
        <w:ind w:left="1080" w:hanging="1080"/>
      </w:pPr>
      <w:rPr>
        <w:rFonts w:cs="Times New Roman" w:hint="default"/>
        <w:b/>
      </w:rPr>
    </w:lvl>
    <w:lvl w:ilvl="5">
      <w:start w:val="1"/>
      <w:numFmt w:val="decimal"/>
      <w:lvlText w:val="%1.%2.%3.%4.%5.%6"/>
      <w:lvlJc w:val="left"/>
      <w:pPr>
        <w:tabs>
          <w:tab w:val="num" w:pos="1440"/>
        </w:tabs>
        <w:ind w:left="1440" w:hanging="1440"/>
      </w:pPr>
      <w:rPr>
        <w:rFonts w:cs="Times New Roman" w:hint="default"/>
        <w:b/>
      </w:rPr>
    </w:lvl>
    <w:lvl w:ilvl="6">
      <w:start w:val="1"/>
      <w:numFmt w:val="decimal"/>
      <w:lvlText w:val="%1.%2.%3.%4.%5.%6.%7"/>
      <w:lvlJc w:val="left"/>
      <w:pPr>
        <w:tabs>
          <w:tab w:val="num" w:pos="1440"/>
        </w:tabs>
        <w:ind w:left="1440" w:hanging="1440"/>
      </w:pPr>
      <w:rPr>
        <w:rFonts w:cs="Times New Roman" w:hint="default"/>
        <w:b/>
      </w:rPr>
    </w:lvl>
    <w:lvl w:ilvl="7">
      <w:start w:val="1"/>
      <w:numFmt w:val="decimal"/>
      <w:lvlText w:val="%1.%2.%3.%4.%5.%6.%7.%8"/>
      <w:lvlJc w:val="left"/>
      <w:pPr>
        <w:tabs>
          <w:tab w:val="num" w:pos="1800"/>
        </w:tabs>
        <w:ind w:left="1800" w:hanging="1800"/>
      </w:pPr>
      <w:rPr>
        <w:rFonts w:cs="Times New Roman" w:hint="default"/>
        <w:b/>
      </w:rPr>
    </w:lvl>
    <w:lvl w:ilvl="8">
      <w:start w:val="1"/>
      <w:numFmt w:val="decimal"/>
      <w:lvlText w:val="%1.%2.%3.%4.%5.%6.%7.%8.%9"/>
      <w:lvlJc w:val="left"/>
      <w:pPr>
        <w:tabs>
          <w:tab w:val="num" w:pos="2160"/>
        </w:tabs>
        <w:ind w:left="2160" w:hanging="2160"/>
      </w:pPr>
      <w:rPr>
        <w:rFonts w:cs="Times New Roman" w:hint="default"/>
        <w:b/>
      </w:rPr>
    </w:lvl>
  </w:abstractNum>
  <w:abstractNum w:abstractNumId="3" w15:restartNumberingAfterBreak="0">
    <w:nsid w:val="194A6C6B"/>
    <w:multiLevelType w:val="multilevel"/>
    <w:tmpl w:val="13760BB4"/>
    <w:lvl w:ilvl="0">
      <w:start w:val="2"/>
      <w:numFmt w:val="decimal"/>
      <w:lvlText w:val="%1"/>
      <w:lvlJc w:val="left"/>
      <w:pPr>
        <w:tabs>
          <w:tab w:val="num" w:pos="360"/>
        </w:tabs>
        <w:ind w:left="360" w:hanging="360"/>
      </w:pPr>
      <w:rPr>
        <w:rFonts w:cs="Times New Roman" w:hint="default"/>
        <w:b/>
      </w:rPr>
    </w:lvl>
    <w:lvl w:ilvl="1">
      <w:start w:val="4"/>
      <w:numFmt w:val="decimal"/>
      <w:lvlText w:val="%1.%2"/>
      <w:lvlJc w:val="left"/>
      <w:pPr>
        <w:tabs>
          <w:tab w:val="num" w:pos="360"/>
        </w:tabs>
        <w:ind w:left="360" w:hanging="360"/>
      </w:pPr>
      <w:rPr>
        <w:rFonts w:cs="Times New Roman" w:hint="default"/>
        <w:b/>
      </w:rPr>
    </w:lvl>
    <w:lvl w:ilvl="2">
      <w:start w:val="1"/>
      <w:numFmt w:val="decimal"/>
      <w:lvlText w:val="%1.%2.%3"/>
      <w:lvlJc w:val="left"/>
      <w:pPr>
        <w:tabs>
          <w:tab w:val="num" w:pos="720"/>
        </w:tabs>
        <w:ind w:left="720" w:hanging="720"/>
      </w:pPr>
      <w:rPr>
        <w:rFonts w:cs="Times New Roman" w:hint="default"/>
        <w:b/>
      </w:rPr>
    </w:lvl>
    <w:lvl w:ilvl="3">
      <w:start w:val="1"/>
      <w:numFmt w:val="decimal"/>
      <w:lvlText w:val="%1.%2.%3.%4"/>
      <w:lvlJc w:val="left"/>
      <w:pPr>
        <w:tabs>
          <w:tab w:val="num" w:pos="720"/>
        </w:tabs>
        <w:ind w:left="720" w:hanging="720"/>
      </w:pPr>
      <w:rPr>
        <w:rFonts w:cs="Times New Roman" w:hint="default"/>
        <w:b/>
      </w:rPr>
    </w:lvl>
    <w:lvl w:ilvl="4">
      <w:start w:val="1"/>
      <w:numFmt w:val="decimal"/>
      <w:lvlText w:val="%1.%2.%3.%4.%5"/>
      <w:lvlJc w:val="left"/>
      <w:pPr>
        <w:tabs>
          <w:tab w:val="num" w:pos="1080"/>
        </w:tabs>
        <w:ind w:left="1080" w:hanging="1080"/>
      </w:pPr>
      <w:rPr>
        <w:rFonts w:cs="Times New Roman" w:hint="default"/>
        <w:b/>
      </w:rPr>
    </w:lvl>
    <w:lvl w:ilvl="5">
      <w:start w:val="1"/>
      <w:numFmt w:val="decimal"/>
      <w:lvlText w:val="%1.%2.%3.%4.%5.%6"/>
      <w:lvlJc w:val="left"/>
      <w:pPr>
        <w:tabs>
          <w:tab w:val="num" w:pos="1080"/>
        </w:tabs>
        <w:ind w:left="1080" w:hanging="1080"/>
      </w:pPr>
      <w:rPr>
        <w:rFonts w:cs="Times New Roman" w:hint="default"/>
        <w:b/>
      </w:rPr>
    </w:lvl>
    <w:lvl w:ilvl="6">
      <w:start w:val="1"/>
      <w:numFmt w:val="decimal"/>
      <w:lvlText w:val="%1.%2.%3.%4.%5.%6.%7"/>
      <w:lvlJc w:val="left"/>
      <w:pPr>
        <w:tabs>
          <w:tab w:val="num" w:pos="1440"/>
        </w:tabs>
        <w:ind w:left="1440" w:hanging="1440"/>
      </w:pPr>
      <w:rPr>
        <w:rFonts w:cs="Times New Roman" w:hint="default"/>
        <w:b/>
      </w:rPr>
    </w:lvl>
    <w:lvl w:ilvl="7">
      <w:start w:val="1"/>
      <w:numFmt w:val="decimal"/>
      <w:lvlText w:val="%1.%2.%3.%4.%5.%6.%7.%8"/>
      <w:lvlJc w:val="left"/>
      <w:pPr>
        <w:tabs>
          <w:tab w:val="num" w:pos="1440"/>
        </w:tabs>
        <w:ind w:left="1440" w:hanging="1440"/>
      </w:pPr>
      <w:rPr>
        <w:rFonts w:cs="Times New Roman" w:hint="default"/>
        <w:b/>
      </w:rPr>
    </w:lvl>
    <w:lvl w:ilvl="8">
      <w:start w:val="1"/>
      <w:numFmt w:val="decimal"/>
      <w:lvlText w:val="%1.%2.%3.%4.%5.%6.%7.%8.%9"/>
      <w:lvlJc w:val="left"/>
      <w:pPr>
        <w:tabs>
          <w:tab w:val="num" w:pos="1800"/>
        </w:tabs>
        <w:ind w:left="1800" w:hanging="1800"/>
      </w:pPr>
      <w:rPr>
        <w:rFonts w:cs="Times New Roman" w:hint="default"/>
        <w:b/>
      </w:rPr>
    </w:lvl>
  </w:abstractNum>
  <w:abstractNum w:abstractNumId="4" w15:restartNumberingAfterBreak="0">
    <w:nsid w:val="19D40B23"/>
    <w:multiLevelType w:val="multilevel"/>
    <w:tmpl w:val="CD4C550A"/>
    <w:lvl w:ilvl="0">
      <w:start w:val="3"/>
      <w:numFmt w:val="decimal"/>
      <w:lvlText w:val="%1"/>
      <w:lvlJc w:val="left"/>
      <w:pPr>
        <w:tabs>
          <w:tab w:val="num" w:pos="705"/>
        </w:tabs>
        <w:ind w:left="705" w:hanging="705"/>
      </w:pPr>
      <w:rPr>
        <w:rFonts w:cs="Times New Roman" w:hint="default"/>
        <w:b/>
      </w:rPr>
    </w:lvl>
    <w:lvl w:ilvl="1">
      <w:start w:val="5"/>
      <w:numFmt w:val="decimal"/>
      <w:lvlText w:val="%1.%2"/>
      <w:lvlJc w:val="left"/>
      <w:pPr>
        <w:tabs>
          <w:tab w:val="num" w:pos="720"/>
        </w:tabs>
        <w:ind w:left="720" w:hanging="720"/>
      </w:pPr>
      <w:rPr>
        <w:rFonts w:cs="Times New Roman" w:hint="default"/>
        <w:b/>
      </w:rPr>
    </w:lvl>
    <w:lvl w:ilvl="2">
      <w:start w:val="1"/>
      <w:numFmt w:val="decimal"/>
      <w:lvlText w:val="%1.%2.%3"/>
      <w:lvlJc w:val="left"/>
      <w:pPr>
        <w:tabs>
          <w:tab w:val="num" w:pos="720"/>
        </w:tabs>
        <w:ind w:left="720" w:hanging="720"/>
      </w:pPr>
      <w:rPr>
        <w:rFonts w:cs="Times New Roman" w:hint="default"/>
        <w:b/>
      </w:rPr>
    </w:lvl>
    <w:lvl w:ilvl="3">
      <w:start w:val="1"/>
      <w:numFmt w:val="decimal"/>
      <w:lvlText w:val="%1.%2.%3.%4"/>
      <w:lvlJc w:val="left"/>
      <w:pPr>
        <w:tabs>
          <w:tab w:val="num" w:pos="1080"/>
        </w:tabs>
        <w:ind w:left="1080" w:hanging="1080"/>
      </w:pPr>
      <w:rPr>
        <w:rFonts w:cs="Times New Roman" w:hint="default"/>
        <w:b/>
      </w:rPr>
    </w:lvl>
    <w:lvl w:ilvl="4">
      <w:start w:val="1"/>
      <w:numFmt w:val="decimal"/>
      <w:lvlText w:val="%1.%2.%3.%4.%5"/>
      <w:lvlJc w:val="left"/>
      <w:pPr>
        <w:tabs>
          <w:tab w:val="num" w:pos="1080"/>
        </w:tabs>
        <w:ind w:left="1080" w:hanging="1080"/>
      </w:pPr>
      <w:rPr>
        <w:rFonts w:cs="Times New Roman" w:hint="default"/>
        <w:b/>
      </w:rPr>
    </w:lvl>
    <w:lvl w:ilvl="5">
      <w:start w:val="1"/>
      <w:numFmt w:val="decimal"/>
      <w:lvlText w:val="%1.%2.%3.%4.%5.%6"/>
      <w:lvlJc w:val="left"/>
      <w:pPr>
        <w:tabs>
          <w:tab w:val="num" w:pos="1440"/>
        </w:tabs>
        <w:ind w:left="1440" w:hanging="1440"/>
      </w:pPr>
      <w:rPr>
        <w:rFonts w:cs="Times New Roman" w:hint="default"/>
        <w:b/>
      </w:rPr>
    </w:lvl>
    <w:lvl w:ilvl="6">
      <w:start w:val="1"/>
      <w:numFmt w:val="decimal"/>
      <w:lvlText w:val="%1.%2.%3.%4.%5.%6.%7"/>
      <w:lvlJc w:val="left"/>
      <w:pPr>
        <w:tabs>
          <w:tab w:val="num" w:pos="1440"/>
        </w:tabs>
        <w:ind w:left="1440" w:hanging="1440"/>
      </w:pPr>
      <w:rPr>
        <w:rFonts w:cs="Times New Roman" w:hint="default"/>
        <w:b/>
      </w:rPr>
    </w:lvl>
    <w:lvl w:ilvl="7">
      <w:start w:val="1"/>
      <w:numFmt w:val="decimal"/>
      <w:lvlText w:val="%1.%2.%3.%4.%5.%6.%7.%8"/>
      <w:lvlJc w:val="left"/>
      <w:pPr>
        <w:tabs>
          <w:tab w:val="num" w:pos="1800"/>
        </w:tabs>
        <w:ind w:left="1800" w:hanging="1800"/>
      </w:pPr>
      <w:rPr>
        <w:rFonts w:cs="Times New Roman" w:hint="default"/>
        <w:b/>
      </w:rPr>
    </w:lvl>
    <w:lvl w:ilvl="8">
      <w:start w:val="1"/>
      <w:numFmt w:val="decimal"/>
      <w:lvlText w:val="%1.%2.%3.%4.%5.%6.%7.%8.%9"/>
      <w:lvlJc w:val="left"/>
      <w:pPr>
        <w:tabs>
          <w:tab w:val="num" w:pos="2160"/>
        </w:tabs>
        <w:ind w:left="2160" w:hanging="2160"/>
      </w:pPr>
      <w:rPr>
        <w:rFonts w:cs="Times New Roman" w:hint="default"/>
        <w:b/>
      </w:rPr>
    </w:lvl>
  </w:abstractNum>
  <w:abstractNum w:abstractNumId="5" w15:restartNumberingAfterBreak="0">
    <w:nsid w:val="1B7474AD"/>
    <w:multiLevelType w:val="multilevel"/>
    <w:tmpl w:val="BB505E48"/>
    <w:lvl w:ilvl="0">
      <w:start w:val="3"/>
      <w:numFmt w:val="decimal"/>
      <w:lvlText w:val="%1"/>
      <w:lvlJc w:val="left"/>
      <w:pPr>
        <w:tabs>
          <w:tab w:val="num" w:pos="706"/>
        </w:tabs>
        <w:ind w:left="706" w:hanging="706"/>
      </w:pPr>
      <w:rPr>
        <w:rFonts w:eastAsia="Batang" w:cs="Times New Roman" w:hint="default"/>
        <w:b/>
      </w:rPr>
    </w:lvl>
    <w:lvl w:ilvl="1">
      <w:start w:val="2"/>
      <w:numFmt w:val="decimal"/>
      <w:lvlText w:val="%1.%2"/>
      <w:lvlJc w:val="left"/>
      <w:pPr>
        <w:tabs>
          <w:tab w:val="num" w:pos="706"/>
        </w:tabs>
        <w:ind w:left="706" w:hanging="706"/>
      </w:pPr>
      <w:rPr>
        <w:rFonts w:eastAsia="Batang" w:cs="Times New Roman" w:hint="default"/>
        <w:b/>
      </w:rPr>
    </w:lvl>
    <w:lvl w:ilvl="2">
      <w:start w:val="1"/>
      <w:numFmt w:val="decimal"/>
      <w:lvlText w:val="%1.%2.%3"/>
      <w:lvlJc w:val="left"/>
      <w:pPr>
        <w:tabs>
          <w:tab w:val="num" w:pos="720"/>
        </w:tabs>
        <w:ind w:left="720" w:hanging="720"/>
      </w:pPr>
      <w:rPr>
        <w:rFonts w:eastAsia="Batang" w:cs="Times New Roman" w:hint="default"/>
        <w:b/>
      </w:rPr>
    </w:lvl>
    <w:lvl w:ilvl="3">
      <w:start w:val="1"/>
      <w:numFmt w:val="decimal"/>
      <w:lvlText w:val="%1.%2.%3.%4"/>
      <w:lvlJc w:val="left"/>
      <w:pPr>
        <w:tabs>
          <w:tab w:val="num" w:pos="720"/>
        </w:tabs>
        <w:ind w:left="720" w:hanging="720"/>
      </w:pPr>
      <w:rPr>
        <w:rFonts w:eastAsia="Batang" w:cs="Times New Roman" w:hint="default"/>
        <w:b/>
      </w:rPr>
    </w:lvl>
    <w:lvl w:ilvl="4">
      <w:start w:val="1"/>
      <w:numFmt w:val="decimal"/>
      <w:lvlText w:val="%1.%2.%3.%4.%5"/>
      <w:lvlJc w:val="left"/>
      <w:pPr>
        <w:tabs>
          <w:tab w:val="num" w:pos="1080"/>
        </w:tabs>
        <w:ind w:left="1080" w:hanging="1080"/>
      </w:pPr>
      <w:rPr>
        <w:rFonts w:eastAsia="Batang" w:cs="Times New Roman" w:hint="default"/>
        <w:b/>
      </w:rPr>
    </w:lvl>
    <w:lvl w:ilvl="5">
      <w:start w:val="1"/>
      <w:numFmt w:val="decimal"/>
      <w:lvlText w:val="%1.%2.%3.%4.%5.%6"/>
      <w:lvlJc w:val="left"/>
      <w:pPr>
        <w:tabs>
          <w:tab w:val="num" w:pos="1080"/>
        </w:tabs>
        <w:ind w:left="1080" w:hanging="1080"/>
      </w:pPr>
      <w:rPr>
        <w:rFonts w:eastAsia="Batang" w:cs="Times New Roman" w:hint="default"/>
        <w:b/>
      </w:rPr>
    </w:lvl>
    <w:lvl w:ilvl="6">
      <w:start w:val="1"/>
      <w:numFmt w:val="decimal"/>
      <w:lvlText w:val="%1.%2.%3.%4.%5.%6.%7"/>
      <w:lvlJc w:val="left"/>
      <w:pPr>
        <w:tabs>
          <w:tab w:val="num" w:pos="1440"/>
        </w:tabs>
        <w:ind w:left="1440" w:hanging="1440"/>
      </w:pPr>
      <w:rPr>
        <w:rFonts w:eastAsia="Batang" w:cs="Times New Roman" w:hint="default"/>
        <w:b/>
      </w:rPr>
    </w:lvl>
    <w:lvl w:ilvl="7">
      <w:start w:val="1"/>
      <w:numFmt w:val="decimal"/>
      <w:lvlText w:val="%1.%2.%3.%4.%5.%6.%7.%8"/>
      <w:lvlJc w:val="left"/>
      <w:pPr>
        <w:tabs>
          <w:tab w:val="num" w:pos="1440"/>
        </w:tabs>
        <w:ind w:left="1440" w:hanging="1440"/>
      </w:pPr>
      <w:rPr>
        <w:rFonts w:eastAsia="Batang" w:cs="Times New Roman" w:hint="default"/>
        <w:b/>
      </w:rPr>
    </w:lvl>
    <w:lvl w:ilvl="8">
      <w:start w:val="1"/>
      <w:numFmt w:val="decimal"/>
      <w:lvlText w:val="%1.%2.%3.%4.%5.%6.%7.%8.%9"/>
      <w:lvlJc w:val="left"/>
      <w:pPr>
        <w:tabs>
          <w:tab w:val="num" w:pos="1800"/>
        </w:tabs>
        <w:ind w:left="1800" w:hanging="1800"/>
      </w:pPr>
      <w:rPr>
        <w:rFonts w:eastAsia="Batang" w:cs="Times New Roman" w:hint="default"/>
        <w:b/>
      </w:rPr>
    </w:lvl>
  </w:abstractNum>
  <w:abstractNum w:abstractNumId="6" w15:restartNumberingAfterBreak="0">
    <w:nsid w:val="1CD83980"/>
    <w:multiLevelType w:val="singleLevel"/>
    <w:tmpl w:val="0410000F"/>
    <w:lvl w:ilvl="0">
      <w:start w:val="1"/>
      <w:numFmt w:val="decimal"/>
      <w:lvlText w:val="%1."/>
      <w:lvlJc w:val="left"/>
      <w:pPr>
        <w:tabs>
          <w:tab w:val="num" w:pos="786"/>
        </w:tabs>
        <w:ind w:left="786" w:hanging="360"/>
      </w:pPr>
      <w:rPr>
        <w:rFonts w:cs="Times New Roman"/>
      </w:rPr>
    </w:lvl>
  </w:abstractNum>
  <w:abstractNum w:abstractNumId="7" w15:restartNumberingAfterBreak="0">
    <w:nsid w:val="204F2640"/>
    <w:multiLevelType w:val="multilevel"/>
    <w:tmpl w:val="60F040DC"/>
    <w:lvl w:ilvl="0">
      <w:start w:val="3"/>
      <w:numFmt w:val="decimal"/>
      <w:lvlText w:val="%1"/>
      <w:lvlJc w:val="left"/>
      <w:pPr>
        <w:tabs>
          <w:tab w:val="num" w:pos="360"/>
        </w:tabs>
        <w:ind w:left="360" w:hanging="360"/>
      </w:pPr>
      <w:rPr>
        <w:rFonts w:cs="Times New Roman" w:hint="default"/>
        <w:b/>
      </w:rPr>
    </w:lvl>
    <w:lvl w:ilvl="1">
      <w:start w:val="3"/>
      <w:numFmt w:val="decimal"/>
      <w:lvlText w:val="%1.%2"/>
      <w:lvlJc w:val="left"/>
      <w:pPr>
        <w:tabs>
          <w:tab w:val="num" w:pos="360"/>
        </w:tabs>
        <w:ind w:left="360" w:hanging="360"/>
      </w:pPr>
      <w:rPr>
        <w:rFonts w:cs="Times New Roman" w:hint="default"/>
        <w:b/>
      </w:rPr>
    </w:lvl>
    <w:lvl w:ilvl="2">
      <w:start w:val="1"/>
      <w:numFmt w:val="decimal"/>
      <w:lvlText w:val="%1.%2.%3"/>
      <w:lvlJc w:val="left"/>
      <w:pPr>
        <w:tabs>
          <w:tab w:val="num" w:pos="720"/>
        </w:tabs>
        <w:ind w:left="720" w:hanging="720"/>
      </w:pPr>
      <w:rPr>
        <w:rFonts w:cs="Times New Roman" w:hint="default"/>
        <w:b/>
      </w:rPr>
    </w:lvl>
    <w:lvl w:ilvl="3">
      <w:start w:val="1"/>
      <w:numFmt w:val="decimal"/>
      <w:lvlText w:val="%1.%2.%3.%4"/>
      <w:lvlJc w:val="left"/>
      <w:pPr>
        <w:tabs>
          <w:tab w:val="num" w:pos="720"/>
        </w:tabs>
        <w:ind w:left="720" w:hanging="720"/>
      </w:pPr>
      <w:rPr>
        <w:rFonts w:cs="Times New Roman" w:hint="default"/>
        <w:b/>
      </w:rPr>
    </w:lvl>
    <w:lvl w:ilvl="4">
      <w:start w:val="1"/>
      <w:numFmt w:val="decimal"/>
      <w:lvlText w:val="%1.%2.%3.%4.%5"/>
      <w:lvlJc w:val="left"/>
      <w:pPr>
        <w:tabs>
          <w:tab w:val="num" w:pos="1080"/>
        </w:tabs>
        <w:ind w:left="1080" w:hanging="1080"/>
      </w:pPr>
      <w:rPr>
        <w:rFonts w:cs="Times New Roman" w:hint="default"/>
        <w:b/>
      </w:rPr>
    </w:lvl>
    <w:lvl w:ilvl="5">
      <w:start w:val="1"/>
      <w:numFmt w:val="decimal"/>
      <w:lvlText w:val="%1.%2.%3.%4.%5.%6"/>
      <w:lvlJc w:val="left"/>
      <w:pPr>
        <w:tabs>
          <w:tab w:val="num" w:pos="1080"/>
        </w:tabs>
        <w:ind w:left="1080" w:hanging="1080"/>
      </w:pPr>
      <w:rPr>
        <w:rFonts w:cs="Times New Roman" w:hint="default"/>
        <w:b/>
      </w:rPr>
    </w:lvl>
    <w:lvl w:ilvl="6">
      <w:start w:val="1"/>
      <w:numFmt w:val="decimal"/>
      <w:lvlText w:val="%1.%2.%3.%4.%5.%6.%7"/>
      <w:lvlJc w:val="left"/>
      <w:pPr>
        <w:tabs>
          <w:tab w:val="num" w:pos="1440"/>
        </w:tabs>
        <w:ind w:left="1440" w:hanging="1440"/>
      </w:pPr>
      <w:rPr>
        <w:rFonts w:cs="Times New Roman" w:hint="default"/>
        <w:b/>
      </w:rPr>
    </w:lvl>
    <w:lvl w:ilvl="7">
      <w:start w:val="1"/>
      <w:numFmt w:val="decimal"/>
      <w:lvlText w:val="%1.%2.%3.%4.%5.%6.%7.%8"/>
      <w:lvlJc w:val="left"/>
      <w:pPr>
        <w:tabs>
          <w:tab w:val="num" w:pos="1440"/>
        </w:tabs>
        <w:ind w:left="1440" w:hanging="1440"/>
      </w:pPr>
      <w:rPr>
        <w:rFonts w:cs="Times New Roman" w:hint="default"/>
        <w:b/>
      </w:rPr>
    </w:lvl>
    <w:lvl w:ilvl="8">
      <w:start w:val="1"/>
      <w:numFmt w:val="decimal"/>
      <w:lvlText w:val="%1.%2.%3.%4.%5.%6.%7.%8.%9"/>
      <w:lvlJc w:val="left"/>
      <w:pPr>
        <w:tabs>
          <w:tab w:val="num" w:pos="1800"/>
        </w:tabs>
        <w:ind w:left="1800" w:hanging="1800"/>
      </w:pPr>
      <w:rPr>
        <w:rFonts w:cs="Times New Roman" w:hint="default"/>
        <w:b/>
      </w:rPr>
    </w:lvl>
  </w:abstractNum>
  <w:abstractNum w:abstractNumId="8" w15:restartNumberingAfterBreak="0">
    <w:nsid w:val="24B32897"/>
    <w:multiLevelType w:val="hybridMultilevel"/>
    <w:tmpl w:val="B2A03548"/>
    <w:lvl w:ilvl="0" w:tplc="23302BD8">
      <w:start w:val="1"/>
      <w:numFmt w:val="decimal"/>
      <w:lvlText w:val="%1."/>
      <w:lvlJc w:val="left"/>
      <w:pPr>
        <w:tabs>
          <w:tab w:val="num" w:pos="720"/>
        </w:tabs>
        <w:ind w:left="720" w:hanging="360"/>
      </w:pPr>
      <w:rPr>
        <w:rFonts w:cs="Times New Roman"/>
      </w:rPr>
    </w:lvl>
    <w:lvl w:ilvl="1" w:tplc="6722E62A" w:tentative="1">
      <w:start w:val="1"/>
      <w:numFmt w:val="lowerLetter"/>
      <w:lvlText w:val="%2."/>
      <w:lvlJc w:val="left"/>
      <w:pPr>
        <w:tabs>
          <w:tab w:val="num" w:pos="1440"/>
        </w:tabs>
        <w:ind w:left="1440" w:hanging="360"/>
      </w:pPr>
      <w:rPr>
        <w:rFonts w:cs="Times New Roman"/>
      </w:rPr>
    </w:lvl>
    <w:lvl w:ilvl="2" w:tplc="68922AB0" w:tentative="1">
      <w:start w:val="1"/>
      <w:numFmt w:val="lowerRoman"/>
      <w:lvlText w:val="%3."/>
      <w:lvlJc w:val="right"/>
      <w:pPr>
        <w:tabs>
          <w:tab w:val="num" w:pos="2160"/>
        </w:tabs>
        <w:ind w:left="2160" w:hanging="180"/>
      </w:pPr>
      <w:rPr>
        <w:rFonts w:cs="Times New Roman"/>
      </w:rPr>
    </w:lvl>
    <w:lvl w:ilvl="3" w:tplc="09BEFD54" w:tentative="1">
      <w:start w:val="1"/>
      <w:numFmt w:val="decimal"/>
      <w:lvlText w:val="%4."/>
      <w:lvlJc w:val="left"/>
      <w:pPr>
        <w:tabs>
          <w:tab w:val="num" w:pos="2880"/>
        </w:tabs>
        <w:ind w:left="2880" w:hanging="360"/>
      </w:pPr>
      <w:rPr>
        <w:rFonts w:cs="Times New Roman"/>
      </w:rPr>
    </w:lvl>
    <w:lvl w:ilvl="4" w:tplc="15666BC6" w:tentative="1">
      <w:start w:val="1"/>
      <w:numFmt w:val="lowerLetter"/>
      <w:lvlText w:val="%5."/>
      <w:lvlJc w:val="left"/>
      <w:pPr>
        <w:tabs>
          <w:tab w:val="num" w:pos="3600"/>
        </w:tabs>
        <w:ind w:left="3600" w:hanging="360"/>
      </w:pPr>
      <w:rPr>
        <w:rFonts w:cs="Times New Roman"/>
      </w:rPr>
    </w:lvl>
    <w:lvl w:ilvl="5" w:tplc="EDD80954" w:tentative="1">
      <w:start w:val="1"/>
      <w:numFmt w:val="lowerRoman"/>
      <w:lvlText w:val="%6."/>
      <w:lvlJc w:val="right"/>
      <w:pPr>
        <w:tabs>
          <w:tab w:val="num" w:pos="4320"/>
        </w:tabs>
        <w:ind w:left="4320" w:hanging="180"/>
      </w:pPr>
      <w:rPr>
        <w:rFonts w:cs="Times New Roman"/>
      </w:rPr>
    </w:lvl>
    <w:lvl w:ilvl="6" w:tplc="2D9629BC" w:tentative="1">
      <w:start w:val="1"/>
      <w:numFmt w:val="decimal"/>
      <w:lvlText w:val="%7."/>
      <w:lvlJc w:val="left"/>
      <w:pPr>
        <w:tabs>
          <w:tab w:val="num" w:pos="5040"/>
        </w:tabs>
        <w:ind w:left="5040" w:hanging="360"/>
      </w:pPr>
      <w:rPr>
        <w:rFonts w:cs="Times New Roman"/>
      </w:rPr>
    </w:lvl>
    <w:lvl w:ilvl="7" w:tplc="73A056FA" w:tentative="1">
      <w:start w:val="1"/>
      <w:numFmt w:val="lowerLetter"/>
      <w:lvlText w:val="%8."/>
      <w:lvlJc w:val="left"/>
      <w:pPr>
        <w:tabs>
          <w:tab w:val="num" w:pos="5760"/>
        </w:tabs>
        <w:ind w:left="5760" w:hanging="360"/>
      </w:pPr>
      <w:rPr>
        <w:rFonts w:cs="Times New Roman"/>
      </w:rPr>
    </w:lvl>
    <w:lvl w:ilvl="8" w:tplc="3F424D04" w:tentative="1">
      <w:start w:val="1"/>
      <w:numFmt w:val="lowerRoman"/>
      <w:lvlText w:val="%9."/>
      <w:lvlJc w:val="right"/>
      <w:pPr>
        <w:tabs>
          <w:tab w:val="num" w:pos="6480"/>
        </w:tabs>
        <w:ind w:left="6480" w:hanging="180"/>
      </w:pPr>
      <w:rPr>
        <w:rFonts w:cs="Times New Roman"/>
      </w:rPr>
    </w:lvl>
  </w:abstractNum>
  <w:abstractNum w:abstractNumId="9" w15:restartNumberingAfterBreak="0">
    <w:nsid w:val="25473C9A"/>
    <w:multiLevelType w:val="multilevel"/>
    <w:tmpl w:val="371CA06E"/>
    <w:lvl w:ilvl="0">
      <w:start w:val="3"/>
      <w:numFmt w:val="decimal"/>
      <w:lvlText w:val="%1"/>
      <w:lvlJc w:val="left"/>
      <w:pPr>
        <w:tabs>
          <w:tab w:val="num" w:pos="360"/>
        </w:tabs>
        <w:ind w:left="360" w:hanging="360"/>
      </w:pPr>
      <w:rPr>
        <w:rFonts w:cs="Times New Roman" w:hint="default"/>
        <w:b/>
      </w:rPr>
    </w:lvl>
    <w:lvl w:ilvl="1">
      <w:start w:val="3"/>
      <w:numFmt w:val="decimal"/>
      <w:lvlText w:val="%1.%2"/>
      <w:lvlJc w:val="left"/>
      <w:pPr>
        <w:tabs>
          <w:tab w:val="num" w:pos="360"/>
        </w:tabs>
        <w:ind w:left="360" w:hanging="360"/>
      </w:pPr>
      <w:rPr>
        <w:rFonts w:cs="Times New Roman" w:hint="default"/>
        <w:b/>
      </w:rPr>
    </w:lvl>
    <w:lvl w:ilvl="2">
      <w:start w:val="1"/>
      <w:numFmt w:val="decimal"/>
      <w:lvlText w:val="%1.%2.%3"/>
      <w:lvlJc w:val="left"/>
      <w:pPr>
        <w:tabs>
          <w:tab w:val="num" w:pos="720"/>
        </w:tabs>
        <w:ind w:left="720" w:hanging="720"/>
      </w:pPr>
      <w:rPr>
        <w:rFonts w:cs="Times New Roman" w:hint="default"/>
        <w:b/>
      </w:rPr>
    </w:lvl>
    <w:lvl w:ilvl="3">
      <w:start w:val="1"/>
      <w:numFmt w:val="decimal"/>
      <w:lvlText w:val="%1.%2.%3.%4"/>
      <w:lvlJc w:val="left"/>
      <w:pPr>
        <w:tabs>
          <w:tab w:val="num" w:pos="720"/>
        </w:tabs>
        <w:ind w:left="720" w:hanging="720"/>
      </w:pPr>
      <w:rPr>
        <w:rFonts w:cs="Times New Roman" w:hint="default"/>
        <w:b/>
      </w:rPr>
    </w:lvl>
    <w:lvl w:ilvl="4">
      <w:start w:val="1"/>
      <w:numFmt w:val="decimal"/>
      <w:lvlText w:val="%1.%2.%3.%4.%5"/>
      <w:lvlJc w:val="left"/>
      <w:pPr>
        <w:tabs>
          <w:tab w:val="num" w:pos="1080"/>
        </w:tabs>
        <w:ind w:left="1080" w:hanging="1080"/>
      </w:pPr>
      <w:rPr>
        <w:rFonts w:cs="Times New Roman" w:hint="default"/>
        <w:b/>
      </w:rPr>
    </w:lvl>
    <w:lvl w:ilvl="5">
      <w:start w:val="1"/>
      <w:numFmt w:val="decimal"/>
      <w:lvlText w:val="%1.%2.%3.%4.%5.%6"/>
      <w:lvlJc w:val="left"/>
      <w:pPr>
        <w:tabs>
          <w:tab w:val="num" w:pos="1080"/>
        </w:tabs>
        <w:ind w:left="1080" w:hanging="1080"/>
      </w:pPr>
      <w:rPr>
        <w:rFonts w:cs="Times New Roman" w:hint="default"/>
        <w:b/>
      </w:rPr>
    </w:lvl>
    <w:lvl w:ilvl="6">
      <w:start w:val="1"/>
      <w:numFmt w:val="decimal"/>
      <w:lvlText w:val="%1.%2.%3.%4.%5.%6.%7"/>
      <w:lvlJc w:val="left"/>
      <w:pPr>
        <w:tabs>
          <w:tab w:val="num" w:pos="1440"/>
        </w:tabs>
        <w:ind w:left="1440" w:hanging="1440"/>
      </w:pPr>
      <w:rPr>
        <w:rFonts w:cs="Times New Roman" w:hint="default"/>
        <w:b/>
      </w:rPr>
    </w:lvl>
    <w:lvl w:ilvl="7">
      <w:start w:val="1"/>
      <w:numFmt w:val="decimal"/>
      <w:lvlText w:val="%1.%2.%3.%4.%5.%6.%7.%8"/>
      <w:lvlJc w:val="left"/>
      <w:pPr>
        <w:tabs>
          <w:tab w:val="num" w:pos="1440"/>
        </w:tabs>
        <w:ind w:left="1440" w:hanging="1440"/>
      </w:pPr>
      <w:rPr>
        <w:rFonts w:cs="Times New Roman" w:hint="default"/>
        <w:b/>
      </w:rPr>
    </w:lvl>
    <w:lvl w:ilvl="8">
      <w:start w:val="1"/>
      <w:numFmt w:val="decimal"/>
      <w:lvlText w:val="%1.%2.%3.%4.%5.%6.%7.%8.%9"/>
      <w:lvlJc w:val="left"/>
      <w:pPr>
        <w:tabs>
          <w:tab w:val="num" w:pos="1800"/>
        </w:tabs>
        <w:ind w:left="1800" w:hanging="1800"/>
      </w:pPr>
      <w:rPr>
        <w:rFonts w:cs="Times New Roman" w:hint="default"/>
        <w:b/>
      </w:rPr>
    </w:lvl>
  </w:abstractNum>
  <w:abstractNum w:abstractNumId="10" w15:restartNumberingAfterBreak="0">
    <w:nsid w:val="27B34271"/>
    <w:multiLevelType w:val="hybridMultilevel"/>
    <w:tmpl w:val="0D282B52"/>
    <w:lvl w:ilvl="0" w:tplc="FFFFFFFF">
      <w:start w:val="1"/>
      <w:numFmt w:val="decimal"/>
      <w:lvlText w:val="%1."/>
      <w:lvlJc w:val="left"/>
      <w:pPr>
        <w:tabs>
          <w:tab w:val="num" w:pos="720"/>
        </w:tabs>
        <w:ind w:left="720" w:hanging="360"/>
      </w:pPr>
      <w:rPr>
        <w:rFonts w:cs="Times New Roman"/>
      </w:rPr>
    </w:lvl>
    <w:lvl w:ilvl="1" w:tplc="0410000F">
      <w:start w:val="1"/>
      <w:numFmt w:val="decimal"/>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1" w15:restartNumberingAfterBreak="0">
    <w:nsid w:val="2C2657C0"/>
    <w:multiLevelType w:val="singleLevel"/>
    <w:tmpl w:val="0410000F"/>
    <w:lvl w:ilvl="0">
      <w:start w:val="1"/>
      <w:numFmt w:val="decimal"/>
      <w:lvlText w:val="%1."/>
      <w:lvlJc w:val="left"/>
      <w:pPr>
        <w:tabs>
          <w:tab w:val="num" w:pos="360"/>
        </w:tabs>
        <w:ind w:left="360" w:hanging="360"/>
      </w:pPr>
      <w:rPr>
        <w:rFonts w:cs="Times New Roman"/>
      </w:rPr>
    </w:lvl>
  </w:abstractNum>
  <w:abstractNum w:abstractNumId="12" w15:restartNumberingAfterBreak="0">
    <w:nsid w:val="2CF8694C"/>
    <w:multiLevelType w:val="hybridMultilevel"/>
    <w:tmpl w:val="76340CA4"/>
    <w:lvl w:ilvl="0" w:tplc="26829F7E">
      <w:start w:val="1"/>
      <w:numFmt w:val="decimal"/>
      <w:lvlText w:val="%1)"/>
      <w:lvlJc w:val="left"/>
      <w:pPr>
        <w:tabs>
          <w:tab w:val="num" w:pos="720"/>
        </w:tabs>
        <w:ind w:left="720" w:hanging="360"/>
      </w:pPr>
      <w:rPr>
        <w:rFonts w:cs="Times New Roman" w:hint="default"/>
      </w:rPr>
    </w:lvl>
    <w:lvl w:ilvl="1" w:tplc="04100019" w:tentative="1">
      <w:start w:val="1"/>
      <w:numFmt w:val="lowerLetter"/>
      <w:lvlText w:val="%2."/>
      <w:lvlJc w:val="left"/>
      <w:pPr>
        <w:tabs>
          <w:tab w:val="num" w:pos="1440"/>
        </w:tabs>
        <w:ind w:left="1440" w:hanging="360"/>
      </w:pPr>
      <w:rPr>
        <w:rFonts w:cs="Times New Roman"/>
      </w:rPr>
    </w:lvl>
    <w:lvl w:ilvl="2" w:tplc="0410001B" w:tentative="1">
      <w:start w:val="1"/>
      <w:numFmt w:val="lowerRoman"/>
      <w:lvlText w:val="%3."/>
      <w:lvlJc w:val="right"/>
      <w:pPr>
        <w:tabs>
          <w:tab w:val="num" w:pos="2160"/>
        </w:tabs>
        <w:ind w:left="2160" w:hanging="180"/>
      </w:pPr>
      <w:rPr>
        <w:rFonts w:cs="Times New Roman"/>
      </w:rPr>
    </w:lvl>
    <w:lvl w:ilvl="3" w:tplc="0410000F" w:tentative="1">
      <w:start w:val="1"/>
      <w:numFmt w:val="decimal"/>
      <w:lvlText w:val="%4."/>
      <w:lvlJc w:val="left"/>
      <w:pPr>
        <w:tabs>
          <w:tab w:val="num" w:pos="2880"/>
        </w:tabs>
        <w:ind w:left="2880" w:hanging="360"/>
      </w:pPr>
      <w:rPr>
        <w:rFonts w:cs="Times New Roman"/>
      </w:rPr>
    </w:lvl>
    <w:lvl w:ilvl="4" w:tplc="04100019" w:tentative="1">
      <w:start w:val="1"/>
      <w:numFmt w:val="lowerLetter"/>
      <w:lvlText w:val="%5."/>
      <w:lvlJc w:val="left"/>
      <w:pPr>
        <w:tabs>
          <w:tab w:val="num" w:pos="3600"/>
        </w:tabs>
        <w:ind w:left="3600" w:hanging="360"/>
      </w:pPr>
      <w:rPr>
        <w:rFonts w:cs="Times New Roman"/>
      </w:rPr>
    </w:lvl>
    <w:lvl w:ilvl="5" w:tplc="0410001B" w:tentative="1">
      <w:start w:val="1"/>
      <w:numFmt w:val="lowerRoman"/>
      <w:lvlText w:val="%6."/>
      <w:lvlJc w:val="right"/>
      <w:pPr>
        <w:tabs>
          <w:tab w:val="num" w:pos="4320"/>
        </w:tabs>
        <w:ind w:left="4320" w:hanging="180"/>
      </w:pPr>
      <w:rPr>
        <w:rFonts w:cs="Times New Roman"/>
      </w:rPr>
    </w:lvl>
    <w:lvl w:ilvl="6" w:tplc="0410000F" w:tentative="1">
      <w:start w:val="1"/>
      <w:numFmt w:val="decimal"/>
      <w:lvlText w:val="%7."/>
      <w:lvlJc w:val="left"/>
      <w:pPr>
        <w:tabs>
          <w:tab w:val="num" w:pos="5040"/>
        </w:tabs>
        <w:ind w:left="5040" w:hanging="360"/>
      </w:pPr>
      <w:rPr>
        <w:rFonts w:cs="Times New Roman"/>
      </w:rPr>
    </w:lvl>
    <w:lvl w:ilvl="7" w:tplc="04100019" w:tentative="1">
      <w:start w:val="1"/>
      <w:numFmt w:val="lowerLetter"/>
      <w:lvlText w:val="%8."/>
      <w:lvlJc w:val="left"/>
      <w:pPr>
        <w:tabs>
          <w:tab w:val="num" w:pos="5760"/>
        </w:tabs>
        <w:ind w:left="5760" w:hanging="360"/>
      </w:pPr>
      <w:rPr>
        <w:rFonts w:cs="Times New Roman"/>
      </w:rPr>
    </w:lvl>
    <w:lvl w:ilvl="8" w:tplc="0410001B" w:tentative="1">
      <w:start w:val="1"/>
      <w:numFmt w:val="lowerRoman"/>
      <w:lvlText w:val="%9."/>
      <w:lvlJc w:val="right"/>
      <w:pPr>
        <w:tabs>
          <w:tab w:val="num" w:pos="6480"/>
        </w:tabs>
        <w:ind w:left="6480" w:hanging="180"/>
      </w:pPr>
      <w:rPr>
        <w:rFonts w:cs="Times New Roman"/>
      </w:rPr>
    </w:lvl>
  </w:abstractNum>
  <w:abstractNum w:abstractNumId="13" w15:restartNumberingAfterBreak="0">
    <w:nsid w:val="2F3543EE"/>
    <w:multiLevelType w:val="singleLevel"/>
    <w:tmpl w:val="0410000F"/>
    <w:lvl w:ilvl="0">
      <w:start w:val="1"/>
      <w:numFmt w:val="decimal"/>
      <w:lvlText w:val="%1."/>
      <w:lvlJc w:val="left"/>
      <w:pPr>
        <w:tabs>
          <w:tab w:val="num" w:pos="360"/>
        </w:tabs>
        <w:ind w:left="360" w:hanging="360"/>
      </w:pPr>
      <w:rPr>
        <w:rFonts w:cs="Times New Roman"/>
      </w:rPr>
    </w:lvl>
  </w:abstractNum>
  <w:abstractNum w:abstractNumId="14" w15:restartNumberingAfterBreak="0">
    <w:nsid w:val="30881842"/>
    <w:multiLevelType w:val="multilevel"/>
    <w:tmpl w:val="9A10D3E6"/>
    <w:lvl w:ilvl="0">
      <w:start w:val="2"/>
      <w:numFmt w:val="decimal"/>
      <w:lvlText w:val="%1"/>
      <w:lvlJc w:val="left"/>
      <w:pPr>
        <w:ind w:left="360" w:hanging="360"/>
      </w:pPr>
      <w:rPr>
        <w:rFonts w:cs="Times New Roman" w:hint="default"/>
        <w:b/>
      </w:rPr>
    </w:lvl>
    <w:lvl w:ilvl="1">
      <w:start w:val="1"/>
      <w:numFmt w:val="decimal"/>
      <w:lvlText w:val="%1.%2"/>
      <w:lvlJc w:val="left"/>
      <w:pPr>
        <w:ind w:left="360" w:hanging="360"/>
      </w:pPr>
      <w:rPr>
        <w:rFonts w:cs="Times New Roman" w:hint="default"/>
        <w:b/>
      </w:rPr>
    </w:lvl>
    <w:lvl w:ilvl="2">
      <w:start w:val="1"/>
      <w:numFmt w:val="decimal"/>
      <w:lvlText w:val="%1.%2.%3"/>
      <w:lvlJc w:val="left"/>
      <w:pPr>
        <w:ind w:left="720" w:hanging="720"/>
      </w:pPr>
      <w:rPr>
        <w:rFonts w:cs="Times New Roman" w:hint="default"/>
        <w:b/>
      </w:rPr>
    </w:lvl>
    <w:lvl w:ilvl="3">
      <w:start w:val="1"/>
      <w:numFmt w:val="decimal"/>
      <w:lvlText w:val="%1.%2.%3.%4"/>
      <w:lvlJc w:val="left"/>
      <w:pPr>
        <w:ind w:left="720" w:hanging="720"/>
      </w:pPr>
      <w:rPr>
        <w:rFonts w:cs="Times New Roman" w:hint="default"/>
        <w:b/>
      </w:rPr>
    </w:lvl>
    <w:lvl w:ilvl="4">
      <w:start w:val="1"/>
      <w:numFmt w:val="decimal"/>
      <w:lvlText w:val="%1.%2.%3.%4.%5"/>
      <w:lvlJc w:val="left"/>
      <w:pPr>
        <w:ind w:left="1080" w:hanging="1080"/>
      </w:pPr>
      <w:rPr>
        <w:rFonts w:cs="Times New Roman" w:hint="default"/>
        <w:b/>
      </w:rPr>
    </w:lvl>
    <w:lvl w:ilvl="5">
      <w:start w:val="1"/>
      <w:numFmt w:val="decimal"/>
      <w:lvlText w:val="%1.%2.%3.%4.%5.%6"/>
      <w:lvlJc w:val="left"/>
      <w:pPr>
        <w:ind w:left="1080" w:hanging="1080"/>
      </w:pPr>
      <w:rPr>
        <w:rFonts w:cs="Times New Roman" w:hint="default"/>
        <w:b/>
      </w:rPr>
    </w:lvl>
    <w:lvl w:ilvl="6">
      <w:start w:val="1"/>
      <w:numFmt w:val="decimal"/>
      <w:lvlText w:val="%1.%2.%3.%4.%5.%6.%7"/>
      <w:lvlJc w:val="left"/>
      <w:pPr>
        <w:ind w:left="1440" w:hanging="1440"/>
      </w:pPr>
      <w:rPr>
        <w:rFonts w:cs="Times New Roman" w:hint="default"/>
        <w:b/>
      </w:rPr>
    </w:lvl>
    <w:lvl w:ilvl="7">
      <w:start w:val="1"/>
      <w:numFmt w:val="decimal"/>
      <w:lvlText w:val="%1.%2.%3.%4.%5.%6.%7.%8"/>
      <w:lvlJc w:val="left"/>
      <w:pPr>
        <w:ind w:left="1440" w:hanging="1440"/>
      </w:pPr>
      <w:rPr>
        <w:rFonts w:cs="Times New Roman" w:hint="default"/>
        <w:b/>
      </w:rPr>
    </w:lvl>
    <w:lvl w:ilvl="8">
      <w:start w:val="1"/>
      <w:numFmt w:val="decimal"/>
      <w:lvlText w:val="%1.%2.%3.%4.%5.%6.%7.%8.%9"/>
      <w:lvlJc w:val="left"/>
      <w:pPr>
        <w:ind w:left="1800" w:hanging="1800"/>
      </w:pPr>
      <w:rPr>
        <w:rFonts w:cs="Times New Roman" w:hint="default"/>
        <w:b/>
      </w:rPr>
    </w:lvl>
  </w:abstractNum>
  <w:abstractNum w:abstractNumId="15" w15:restartNumberingAfterBreak="0">
    <w:nsid w:val="30E8614D"/>
    <w:multiLevelType w:val="singleLevel"/>
    <w:tmpl w:val="35461054"/>
    <w:lvl w:ilvl="0">
      <w:start w:val="1"/>
      <w:numFmt w:val="decimal"/>
      <w:lvlText w:val="%1."/>
      <w:legacy w:legacy="1" w:legacySpace="0" w:legacyIndent="284"/>
      <w:lvlJc w:val="left"/>
      <w:pPr>
        <w:ind w:left="284" w:hanging="284"/>
      </w:pPr>
      <w:rPr>
        <w:rFonts w:cs="Times New Roman"/>
      </w:rPr>
    </w:lvl>
  </w:abstractNum>
  <w:abstractNum w:abstractNumId="16" w15:restartNumberingAfterBreak="0">
    <w:nsid w:val="315E27C2"/>
    <w:multiLevelType w:val="multilevel"/>
    <w:tmpl w:val="E6FA9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C72163C"/>
    <w:multiLevelType w:val="singleLevel"/>
    <w:tmpl w:val="0410000F"/>
    <w:lvl w:ilvl="0">
      <w:start w:val="1"/>
      <w:numFmt w:val="decimal"/>
      <w:lvlText w:val="%1."/>
      <w:lvlJc w:val="left"/>
      <w:pPr>
        <w:tabs>
          <w:tab w:val="num" w:pos="360"/>
        </w:tabs>
        <w:ind w:left="360" w:hanging="360"/>
      </w:pPr>
      <w:rPr>
        <w:rFonts w:cs="Times New Roman"/>
      </w:rPr>
    </w:lvl>
  </w:abstractNum>
  <w:abstractNum w:abstractNumId="18" w15:restartNumberingAfterBreak="0">
    <w:nsid w:val="404D161A"/>
    <w:multiLevelType w:val="multilevel"/>
    <w:tmpl w:val="3A121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EB468B"/>
    <w:multiLevelType w:val="multilevel"/>
    <w:tmpl w:val="0922BBDC"/>
    <w:lvl w:ilvl="0">
      <w:start w:val="2"/>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0" w15:restartNumberingAfterBreak="0">
    <w:nsid w:val="44664CB8"/>
    <w:multiLevelType w:val="hybridMultilevel"/>
    <w:tmpl w:val="5D94752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44E82B01"/>
    <w:multiLevelType w:val="multilevel"/>
    <w:tmpl w:val="F880E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58968A8"/>
    <w:multiLevelType w:val="multilevel"/>
    <w:tmpl w:val="6F2C4932"/>
    <w:lvl w:ilvl="0">
      <w:start w:val="3"/>
      <w:numFmt w:val="decimal"/>
      <w:lvlText w:val="%1"/>
      <w:lvlJc w:val="left"/>
      <w:pPr>
        <w:tabs>
          <w:tab w:val="num" w:pos="360"/>
        </w:tabs>
        <w:ind w:left="360" w:hanging="360"/>
      </w:pPr>
      <w:rPr>
        <w:rFonts w:cs="Times New Roman" w:hint="default"/>
        <w:b/>
      </w:rPr>
    </w:lvl>
    <w:lvl w:ilvl="1">
      <w:start w:val="3"/>
      <w:numFmt w:val="decimal"/>
      <w:lvlText w:val="%1.%2"/>
      <w:lvlJc w:val="left"/>
      <w:pPr>
        <w:tabs>
          <w:tab w:val="num" w:pos="360"/>
        </w:tabs>
        <w:ind w:left="360" w:hanging="360"/>
      </w:pPr>
      <w:rPr>
        <w:rFonts w:cs="Times New Roman" w:hint="default"/>
        <w:b/>
      </w:rPr>
    </w:lvl>
    <w:lvl w:ilvl="2">
      <w:start w:val="1"/>
      <w:numFmt w:val="decimal"/>
      <w:lvlText w:val="%1.%2.%3"/>
      <w:lvlJc w:val="left"/>
      <w:pPr>
        <w:tabs>
          <w:tab w:val="num" w:pos="720"/>
        </w:tabs>
        <w:ind w:left="720" w:hanging="720"/>
      </w:pPr>
      <w:rPr>
        <w:rFonts w:cs="Times New Roman" w:hint="default"/>
        <w:b/>
      </w:rPr>
    </w:lvl>
    <w:lvl w:ilvl="3">
      <w:start w:val="1"/>
      <w:numFmt w:val="decimal"/>
      <w:lvlText w:val="%1.%2.%3.%4"/>
      <w:lvlJc w:val="left"/>
      <w:pPr>
        <w:tabs>
          <w:tab w:val="num" w:pos="720"/>
        </w:tabs>
        <w:ind w:left="720" w:hanging="720"/>
      </w:pPr>
      <w:rPr>
        <w:rFonts w:cs="Times New Roman" w:hint="default"/>
        <w:b/>
      </w:rPr>
    </w:lvl>
    <w:lvl w:ilvl="4">
      <w:start w:val="1"/>
      <w:numFmt w:val="decimal"/>
      <w:lvlText w:val="%1.%2.%3.%4.%5"/>
      <w:lvlJc w:val="left"/>
      <w:pPr>
        <w:tabs>
          <w:tab w:val="num" w:pos="1080"/>
        </w:tabs>
        <w:ind w:left="1080" w:hanging="1080"/>
      </w:pPr>
      <w:rPr>
        <w:rFonts w:cs="Times New Roman" w:hint="default"/>
        <w:b/>
      </w:rPr>
    </w:lvl>
    <w:lvl w:ilvl="5">
      <w:start w:val="1"/>
      <w:numFmt w:val="decimal"/>
      <w:lvlText w:val="%1.%2.%3.%4.%5.%6"/>
      <w:lvlJc w:val="left"/>
      <w:pPr>
        <w:tabs>
          <w:tab w:val="num" w:pos="1080"/>
        </w:tabs>
        <w:ind w:left="1080" w:hanging="1080"/>
      </w:pPr>
      <w:rPr>
        <w:rFonts w:cs="Times New Roman" w:hint="default"/>
        <w:b/>
      </w:rPr>
    </w:lvl>
    <w:lvl w:ilvl="6">
      <w:start w:val="1"/>
      <w:numFmt w:val="decimal"/>
      <w:lvlText w:val="%1.%2.%3.%4.%5.%6.%7"/>
      <w:lvlJc w:val="left"/>
      <w:pPr>
        <w:tabs>
          <w:tab w:val="num" w:pos="1440"/>
        </w:tabs>
        <w:ind w:left="1440" w:hanging="1440"/>
      </w:pPr>
      <w:rPr>
        <w:rFonts w:cs="Times New Roman" w:hint="default"/>
        <w:b/>
      </w:rPr>
    </w:lvl>
    <w:lvl w:ilvl="7">
      <w:start w:val="1"/>
      <w:numFmt w:val="decimal"/>
      <w:lvlText w:val="%1.%2.%3.%4.%5.%6.%7.%8"/>
      <w:lvlJc w:val="left"/>
      <w:pPr>
        <w:tabs>
          <w:tab w:val="num" w:pos="1440"/>
        </w:tabs>
        <w:ind w:left="1440" w:hanging="1440"/>
      </w:pPr>
      <w:rPr>
        <w:rFonts w:cs="Times New Roman" w:hint="default"/>
        <w:b/>
      </w:rPr>
    </w:lvl>
    <w:lvl w:ilvl="8">
      <w:start w:val="1"/>
      <w:numFmt w:val="decimal"/>
      <w:lvlText w:val="%1.%2.%3.%4.%5.%6.%7.%8.%9"/>
      <w:lvlJc w:val="left"/>
      <w:pPr>
        <w:tabs>
          <w:tab w:val="num" w:pos="1800"/>
        </w:tabs>
        <w:ind w:left="1800" w:hanging="1800"/>
      </w:pPr>
      <w:rPr>
        <w:rFonts w:cs="Times New Roman" w:hint="default"/>
        <w:b/>
      </w:rPr>
    </w:lvl>
  </w:abstractNum>
  <w:abstractNum w:abstractNumId="23" w15:restartNumberingAfterBreak="0">
    <w:nsid w:val="4B485281"/>
    <w:multiLevelType w:val="singleLevel"/>
    <w:tmpl w:val="B14052B4"/>
    <w:lvl w:ilvl="0">
      <w:start w:val="1"/>
      <w:numFmt w:val="decimal"/>
      <w:lvlText w:val="%1."/>
      <w:legacy w:legacy="1" w:legacySpace="0" w:legacyIndent="284"/>
      <w:lvlJc w:val="left"/>
      <w:pPr>
        <w:ind w:left="284" w:hanging="284"/>
      </w:pPr>
      <w:rPr>
        <w:rFonts w:cs="Times New Roman"/>
      </w:rPr>
    </w:lvl>
  </w:abstractNum>
  <w:abstractNum w:abstractNumId="24" w15:restartNumberingAfterBreak="0">
    <w:nsid w:val="4BCC1503"/>
    <w:multiLevelType w:val="multilevel"/>
    <w:tmpl w:val="9438B9C4"/>
    <w:lvl w:ilvl="0">
      <w:start w:val="3"/>
      <w:numFmt w:val="decimal"/>
      <w:lvlText w:val="%1"/>
      <w:lvlJc w:val="left"/>
      <w:pPr>
        <w:tabs>
          <w:tab w:val="num" w:pos="706"/>
        </w:tabs>
        <w:ind w:left="706" w:hanging="706"/>
      </w:pPr>
      <w:rPr>
        <w:rFonts w:cs="Times New Roman" w:hint="default"/>
        <w:b/>
      </w:rPr>
    </w:lvl>
    <w:lvl w:ilvl="1">
      <w:start w:val="2"/>
      <w:numFmt w:val="decimal"/>
      <w:lvlText w:val="%1.%2"/>
      <w:lvlJc w:val="left"/>
      <w:pPr>
        <w:tabs>
          <w:tab w:val="num" w:pos="706"/>
        </w:tabs>
        <w:ind w:left="706" w:hanging="706"/>
      </w:pPr>
      <w:rPr>
        <w:rFonts w:cs="Times New Roman" w:hint="default"/>
        <w:b/>
      </w:rPr>
    </w:lvl>
    <w:lvl w:ilvl="2">
      <w:start w:val="1"/>
      <w:numFmt w:val="decimal"/>
      <w:lvlText w:val="%1.%2.%3"/>
      <w:lvlJc w:val="left"/>
      <w:pPr>
        <w:tabs>
          <w:tab w:val="num" w:pos="720"/>
        </w:tabs>
        <w:ind w:left="720" w:hanging="720"/>
      </w:pPr>
      <w:rPr>
        <w:rFonts w:cs="Times New Roman" w:hint="default"/>
        <w:b/>
      </w:rPr>
    </w:lvl>
    <w:lvl w:ilvl="3">
      <w:start w:val="1"/>
      <w:numFmt w:val="decimal"/>
      <w:lvlText w:val="%1.%2.%3.%4"/>
      <w:lvlJc w:val="left"/>
      <w:pPr>
        <w:tabs>
          <w:tab w:val="num" w:pos="720"/>
        </w:tabs>
        <w:ind w:left="720" w:hanging="720"/>
      </w:pPr>
      <w:rPr>
        <w:rFonts w:cs="Times New Roman" w:hint="default"/>
        <w:b/>
      </w:rPr>
    </w:lvl>
    <w:lvl w:ilvl="4">
      <w:start w:val="1"/>
      <w:numFmt w:val="decimal"/>
      <w:lvlText w:val="%1.%2.%3.%4.%5"/>
      <w:lvlJc w:val="left"/>
      <w:pPr>
        <w:tabs>
          <w:tab w:val="num" w:pos="1080"/>
        </w:tabs>
        <w:ind w:left="1080" w:hanging="1080"/>
      </w:pPr>
      <w:rPr>
        <w:rFonts w:cs="Times New Roman" w:hint="default"/>
        <w:b/>
      </w:rPr>
    </w:lvl>
    <w:lvl w:ilvl="5">
      <w:start w:val="1"/>
      <w:numFmt w:val="decimal"/>
      <w:lvlText w:val="%1.%2.%3.%4.%5.%6"/>
      <w:lvlJc w:val="left"/>
      <w:pPr>
        <w:tabs>
          <w:tab w:val="num" w:pos="1080"/>
        </w:tabs>
        <w:ind w:left="1080" w:hanging="1080"/>
      </w:pPr>
      <w:rPr>
        <w:rFonts w:cs="Times New Roman" w:hint="default"/>
        <w:b/>
      </w:rPr>
    </w:lvl>
    <w:lvl w:ilvl="6">
      <w:start w:val="1"/>
      <w:numFmt w:val="decimal"/>
      <w:lvlText w:val="%1.%2.%3.%4.%5.%6.%7"/>
      <w:lvlJc w:val="left"/>
      <w:pPr>
        <w:tabs>
          <w:tab w:val="num" w:pos="1440"/>
        </w:tabs>
        <w:ind w:left="1440" w:hanging="1440"/>
      </w:pPr>
      <w:rPr>
        <w:rFonts w:cs="Times New Roman" w:hint="default"/>
        <w:b/>
      </w:rPr>
    </w:lvl>
    <w:lvl w:ilvl="7">
      <w:start w:val="1"/>
      <w:numFmt w:val="decimal"/>
      <w:lvlText w:val="%1.%2.%3.%4.%5.%6.%7.%8"/>
      <w:lvlJc w:val="left"/>
      <w:pPr>
        <w:tabs>
          <w:tab w:val="num" w:pos="1440"/>
        </w:tabs>
        <w:ind w:left="1440" w:hanging="1440"/>
      </w:pPr>
      <w:rPr>
        <w:rFonts w:cs="Times New Roman" w:hint="default"/>
        <w:b/>
      </w:rPr>
    </w:lvl>
    <w:lvl w:ilvl="8">
      <w:start w:val="1"/>
      <w:numFmt w:val="decimal"/>
      <w:lvlText w:val="%1.%2.%3.%4.%5.%6.%7.%8.%9"/>
      <w:lvlJc w:val="left"/>
      <w:pPr>
        <w:tabs>
          <w:tab w:val="num" w:pos="1800"/>
        </w:tabs>
        <w:ind w:left="1800" w:hanging="1800"/>
      </w:pPr>
      <w:rPr>
        <w:rFonts w:cs="Times New Roman" w:hint="default"/>
        <w:b/>
      </w:rPr>
    </w:lvl>
  </w:abstractNum>
  <w:abstractNum w:abstractNumId="25" w15:restartNumberingAfterBreak="0">
    <w:nsid w:val="4F095F50"/>
    <w:multiLevelType w:val="multilevel"/>
    <w:tmpl w:val="9438B9C4"/>
    <w:lvl w:ilvl="0">
      <w:start w:val="3"/>
      <w:numFmt w:val="decimal"/>
      <w:lvlText w:val="%1"/>
      <w:lvlJc w:val="left"/>
      <w:pPr>
        <w:tabs>
          <w:tab w:val="num" w:pos="706"/>
        </w:tabs>
        <w:ind w:left="706" w:hanging="706"/>
      </w:pPr>
      <w:rPr>
        <w:rFonts w:cs="Times New Roman" w:hint="default"/>
        <w:b/>
      </w:rPr>
    </w:lvl>
    <w:lvl w:ilvl="1">
      <w:start w:val="2"/>
      <w:numFmt w:val="decimal"/>
      <w:lvlText w:val="%1.%2"/>
      <w:lvlJc w:val="left"/>
      <w:pPr>
        <w:tabs>
          <w:tab w:val="num" w:pos="706"/>
        </w:tabs>
        <w:ind w:left="706" w:hanging="706"/>
      </w:pPr>
      <w:rPr>
        <w:rFonts w:cs="Times New Roman" w:hint="default"/>
        <w:b/>
      </w:rPr>
    </w:lvl>
    <w:lvl w:ilvl="2">
      <w:start w:val="1"/>
      <w:numFmt w:val="decimal"/>
      <w:lvlText w:val="%1.%2.%3"/>
      <w:lvlJc w:val="left"/>
      <w:pPr>
        <w:tabs>
          <w:tab w:val="num" w:pos="720"/>
        </w:tabs>
        <w:ind w:left="720" w:hanging="720"/>
      </w:pPr>
      <w:rPr>
        <w:rFonts w:cs="Times New Roman" w:hint="default"/>
        <w:b/>
      </w:rPr>
    </w:lvl>
    <w:lvl w:ilvl="3">
      <w:start w:val="1"/>
      <w:numFmt w:val="decimal"/>
      <w:lvlText w:val="%1.%2.%3.%4"/>
      <w:lvlJc w:val="left"/>
      <w:pPr>
        <w:tabs>
          <w:tab w:val="num" w:pos="720"/>
        </w:tabs>
        <w:ind w:left="720" w:hanging="720"/>
      </w:pPr>
      <w:rPr>
        <w:rFonts w:cs="Times New Roman" w:hint="default"/>
        <w:b/>
      </w:rPr>
    </w:lvl>
    <w:lvl w:ilvl="4">
      <w:start w:val="1"/>
      <w:numFmt w:val="decimal"/>
      <w:lvlText w:val="%1.%2.%3.%4.%5"/>
      <w:lvlJc w:val="left"/>
      <w:pPr>
        <w:tabs>
          <w:tab w:val="num" w:pos="1080"/>
        </w:tabs>
        <w:ind w:left="1080" w:hanging="1080"/>
      </w:pPr>
      <w:rPr>
        <w:rFonts w:cs="Times New Roman" w:hint="default"/>
        <w:b/>
      </w:rPr>
    </w:lvl>
    <w:lvl w:ilvl="5">
      <w:start w:val="1"/>
      <w:numFmt w:val="decimal"/>
      <w:lvlText w:val="%1.%2.%3.%4.%5.%6"/>
      <w:lvlJc w:val="left"/>
      <w:pPr>
        <w:tabs>
          <w:tab w:val="num" w:pos="1080"/>
        </w:tabs>
        <w:ind w:left="1080" w:hanging="1080"/>
      </w:pPr>
      <w:rPr>
        <w:rFonts w:cs="Times New Roman" w:hint="default"/>
        <w:b/>
      </w:rPr>
    </w:lvl>
    <w:lvl w:ilvl="6">
      <w:start w:val="1"/>
      <w:numFmt w:val="decimal"/>
      <w:lvlText w:val="%1.%2.%3.%4.%5.%6.%7"/>
      <w:lvlJc w:val="left"/>
      <w:pPr>
        <w:tabs>
          <w:tab w:val="num" w:pos="1440"/>
        </w:tabs>
        <w:ind w:left="1440" w:hanging="1440"/>
      </w:pPr>
      <w:rPr>
        <w:rFonts w:cs="Times New Roman" w:hint="default"/>
        <w:b/>
      </w:rPr>
    </w:lvl>
    <w:lvl w:ilvl="7">
      <w:start w:val="1"/>
      <w:numFmt w:val="decimal"/>
      <w:lvlText w:val="%1.%2.%3.%4.%5.%6.%7.%8"/>
      <w:lvlJc w:val="left"/>
      <w:pPr>
        <w:tabs>
          <w:tab w:val="num" w:pos="1440"/>
        </w:tabs>
        <w:ind w:left="1440" w:hanging="1440"/>
      </w:pPr>
      <w:rPr>
        <w:rFonts w:cs="Times New Roman" w:hint="default"/>
        <w:b/>
      </w:rPr>
    </w:lvl>
    <w:lvl w:ilvl="8">
      <w:start w:val="1"/>
      <w:numFmt w:val="decimal"/>
      <w:lvlText w:val="%1.%2.%3.%4.%5.%6.%7.%8.%9"/>
      <w:lvlJc w:val="left"/>
      <w:pPr>
        <w:tabs>
          <w:tab w:val="num" w:pos="1800"/>
        </w:tabs>
        <w:ind w:left="1800" w:hanging="1800"/>
      </w:pPr>
      <w:rPr>
        <w:rFonts w:cs="Times New Roman" w:hint="default"/>
        <w:b/>
      </w:rPr>
    </w:lvl>
  </w:abstractNum>
  <w:abstractNum w:abstractNumId="26" w15:restartNumberingAfterBreak="0">
    <w:nsid w:val="56C20CAA"/>
    <w:multiLevelType w:val="hybridMultilevel"/>
    <w:tmpl w:val="AF7A61B8"/>
    <w:lvl w:ilvl="0" w:tplc="408A399E">
      <w:start w:val="1"/>
      <w:numFmt w:val="decimal"/>
      <w:lvlText w:val="%1)"/>
      <w:lvlJc w:val="left"/>
      <w:pPr>
        <w:tabs>
          <w:tab w:val="num" w:pos="720"/>
        </w:tabs>
        <w:ind w:left="720" w:hanging="360"/>
      </w:pPr>
      <w:rPr>
        <w:rFonts w:cs="Times New Roman" w:hint="default"/>
      </w:rPr>
    </w:lvl>
    <w:lvl w:ilvl="1" w:tplc="04100019" w:tentative="1">
      <w:start w:val="1"/>
      <w:numFmt w:val="lowerLetter"/>
      <w:lvlText w:val="%2."/>
      <w:lvlJc w:val="left"/>
      <w:pPr>
        <w:tabs>
          <w:tab w:val="num" w:pos="1440"/>
        </w:tabs>
        <w:ind w:left="1440" w:hanging="360"/>
      </w:pPr>
      <w:rPr>
        <w:rFonts w:cs="Times New Roman"/>
      </w:rPr>
    </w:lvl>
    <w:lvl w:ilvl="2" w:tplc="0410001B" w:tentative="1">
      <w:start w:val="1"/>
      <w:numFmt w:val="lowerRoman"/>
      <w:lvlText w:val="%3."/>
      <w:lvlJc w:val="right"/>
      <w:pPr>
        <w:tabs>
          <w:tab w:val="num" w:pos="2160"/>
        </w:tabs>
        <w:ind w:left="2160" w:hanging="180"/>
      </w:pPr>
      <w:rPr>
        <w:rFonts w:cs="Times New Roman"/>
      </w:rPr>
    </w:lvl>
    <w:lvl w:ilvl="3" w:tplc="0410000F" w:tentative="1">
      <w:start w:val="1"/>
      <w:numFmt w:val="decimal"/>
      <w:lvlText w:val="%4."/>
      <w:lvlJc w:val="left"/>
      <w:pPr>
        <w:tabs>
          <w:tab w:val="num" w:pos="2880"/>
        </w:tabs>
        <w:ind w:left="2880" w:hanging="360"/>
      </w:pPr>
      <w:rPr>
        <w:rFonts w:cs="Times New Roman"/>
      </w:rPr>
    </w:lvl>
    <w:lvl w:ilvl="4" w:tplc="04100019" w:tentative="1">
      <w:start w:val="1"/>
      <w:numFmt w:val="lowerLetter"/>
      <w:lvlText w:val="%5."/>
      <w:lvlJc w:val="left"/>
      <w:pPr>
        <w:tabs>
          <w:tab w:val="num" w:pos="3600"/>
        </w:tabs>
        <w:ind w:left="3600" w:hanging="360"/>
      </w:pPr>
      <w:rPr>
        <w:rFonts w:cs="Times New Roman"/>
      </w:rPr>
    </w:lvl>
    <w:lvl w:ilvl="5" w:tplc="0410001B" w:tentative="1">
      <w:start w:val="1"/>
      <w:numFmt w:val="lowerRoman"/>
      <w:lvlText w:val="%6."/>
      <w:lvlJc w:val="right"/>
      <w:pPr>
        <w:tabs>
          <w:tab w:val="num" w:pos="4320"/>
        </w:tabs>
        <w:ind w:left="4320" w:hanging="180"/>
      </w:pPr>
      <w:rPr>
        <w:rFonts w:cs="Times New Roman"/>
      </w:rPr>
    </w:lvl>
    <w:lvl w:ilvl="6" w:tplc="0410000F" w:tentative="1">
      <w:start w:val="1"/>
      <w:numFmt w:val="decimal"/>
      <w:lvlText w:val="%7."/>
      <w:lvlJc w:val="left"/>
      <w:pPr>
        <w:tabs>
          <w:tab w:val="num" w:pos="5040"/>
        </w:tabs>
        <w:ind w:left="5040" w:hanging="360"/>
      </w:pPr>
      <w:rPr>
        <w:rFonts w:cs="Times New Roman"/>
      </w:rPr>
    </w:lvl>
    <w:lvl w:ilvl="7" w:tplc="04100019" w:tentative="1">
      <w:start w:val="1"/>
      <w:numFmt w:val="lowerLetter"/>
      <w:lvlText w:val="%8."/>
      <w:lvlJc w:val="left"/>
      <w:pPr>
        <w:tabs>
          <w:tab w:val="num" w:pos="5760"/>
        </w:tabs>
        <w:ind w:left="5760" w:hanging="360"/>
      </w:pPr>
      <w:rPr>
        <w:rFonts w:cs="Times New Roman"/>
      </w:rPr>
    </w:lvl>
    <w:lvl w:ilvl="8" w:tplc="0410001B" w:tentative="1">
      <w:start w:val="1"/>
      <w:numFmt w:val="lowerRoman"/>
      <w:lvlText w:val="%9."/>
      <w:lvlJc w:val="right"/>
      <w:pPr>
        <w:tabs>
          <w:tab w:val="num" w:pos="6480"/>
        </w:tabs>
        <w:ind w:left="6480" w:hanging="180"/>
      </w:pPr>
      <w:rPr>
        <w:rFonts w:cs="Times New Roman"/>
      </w:rPr>
    </w:lvl>
  </w:abstractNum>
  <w:abstractNum w:abstractNumId="27" w15:restartNumberingAfterBreak="0">
    <w:nsid w:val="577C6F01"/>
    <w:multiLevelType w:val="multilevel"/>
    <w:tmpl w:val="7190378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8" w15:restartNumberingAfterBreak="0">
    <w:nsid w:val="5BB87CBB"/>
    <w:multiLevelType w:val="multilevel"/>
    <w:tmpl w:val="A7026A62"/>
    <w:lvl w:ilvl="0">
      <w:start w:val="3"/>
      <w:numFmt w:val="decimal"/>
      <w:lvlText w:val="%1"/>
      <w:lvlJc w:val="left"/>
      <w:pPr>
        <w:tabs>
          <w:tab w:val="num" w:pos="360"/>
        </w:tabs>
        <w:ind w:left="360" w:hanging="360"/>
      </w:pPr>
      <w:rPr>
        <w:rFonts w:cs="Times New Roman" w:hint="default"/>
        <w:b/>
      </w:rPr>
    </w:lvl>
    <w:lvl w:ilvl="1">
      <w:start w:val="3"/>
      <w:numFmt w:val="decimal"/>
      <w:lvlText w:val="%1.%2"/>
      <w:lvlJc w:val="left"/>
      <w:pPr>
        <w:tabs>
          <w:tab w:val="num" w:pos="360"/>
        </w:tabs>
        <w:ind w:left="360" w:hanging="360"/>
      </w:pPr>
      <w:rPr>
        <w:rFonts w:cs="Times New Roman" w:hint="default"/>
        <w:b/>
      </w:rPr>
    </w:lvl>
    <w:lvl w:ilvl="2">
      <w:start w:val="1"/>
      <w:numFmt w:val="decimal"/>
      <w:lvlText w:val="%1.%2.%3"/>
      <w:lvlJc w:val="left"/>
      <w:pPr>
        <w:tabs>
          <w:tab w:val="num" w:pos="720"/>
        </w:tabs>
        <w:ind w:left="720" w:hanging="720"/>
      </w:pPr>
      <w:rPr>
        <w:rFonts w:cs="Times New Roman" w:hint="default"/>
        <w:b/>
      </w:rPr>
    </w:lvl>
    <w:lvl w:ilvl="3">
      <w:start w:val="1"/>
      <w:numFmt w:val="decimal"/>
      <w:lvlText w:val="%1.%2.%3.%4"/>
      <w:lvlJc w:val="left"/>
      <w:pPr>
        <w:tabs>
          <w:tab w:val="num" w:pos="720"/>
        </w:tabs>
        <w:ind w:left="720" w:hanging="720"/>
      </w:pPr>
      <w:rPr>
        <w:rFonts w:cs="Times New Roman" w:hint="default"/>
        <w:b/>
      </w:rPr>
    </w:lvl>
    <w:lvl w:ilvl="4">
      <w:start w:val="1"/>
      <w:numFmt w:val="decimal"/>
      <w:lvlText w:val="%1.%2.%3.%4.%5"/>
      <w:lvlJc w:val="left"/>
      <w:pPr>
        <w:tabs>
          <w:tab w:val="num" w:pos="1080"/>
        </w:tabs>
        <w:ind w:left="1080" w:hanging="1080"/>
      </w:pPr>
      <w:rPr>
        <w:rFonts w:cs="Times New Roman" w:hint="default"/>
        <w:b/>
      </w:rPr>
    </w:lvl>
    <w:lvl w:ilvl="5">
      <w:start w:val="1"/>
      <w:numFmt w:val="decimal"/>
      <w:lvlText w:val="%1.%2.%3.%4.%5.%6"/>
      <w:lvlJc w:val="left"/>
      <w:pPr>
        <w:tabs>
          <w:tab w:val="num" w:pos="1080"/>
        </w:tabs>
        <w:ind w:left="1080" w:hanging="1080"/>
      </w:pPr>
      <w:rPr>
        <w:rFonts w:cs="Times New Roman" w:hint="default"/>
        <w:b/>
      </w:rPr>
    </w:lvl>
    <w:lvl w:ilvl="6">
      <w:start w:val="1"/>
      <w:numFmt w:val="decimal"/>
      <w:lvlText w:val="%1.%2.%3.%4.%5.%6.%7"/>
      <w:lvlJc w:val="left"/>
      <w:pPr>
        <w:tabs>
          <w:tab w:val="num" w:pos="1440"/>
        </w:tabs>
        <w:ind w:left="1440" w:hanging="1440"/>
      </w:pPr>
      <w:rPr>
        <w:rFonts w:cs="Times New Roman" w:hint="default"/>
        <w:b/>
      </w:rPr>
    </w:lvl>
    <w:lvl w:ilvl="7">
      <w:start w:val="1"/>
      <w:numFmt w:val="decimal"/>
      <w:lvlText w:val="%1.%2.%3.%4.%5.%6.%7.%8"/>
      <w:lvlJc w:val="left"/>
      <w:pPr>
        <w:tabs>
          <w:tab w:val="num" w:pos="1440"/>
        </w:tabs>
        <w:ind w:left="1440" w:hanging="1440"/>
      </w:pPr>
      <w:rPr>
        <w:rFonts w:cs="Times New Roman" w:hint="default"/>
        <w:b/>
      </w:rPr>
    </w:lvl>
    <w:lvl w:ilvl="8">
      <w:start w:val="1"/>
      <w:numFmt w:val="decimal"/>
      <w:lvlText w:val="%1.%2.%3.%4.%5.%6.%7.%8.%9"/>
      <w:lvlJc w:val="left"/>
      <w:pPr>
        <w:tabs>
          <w:tab w:val="num" w:pos="1800"/>
        </w:tabs>
        <w:ind w:left="1800" w:hanging="1800"/>
      </w:pPr>
      <w:rPr>
        <w:rFonts w:cs="Times New Roman" w:hint="default"/>
        <w:b/>
      </w:rPr>
    </w:lvl>
  </w:abstractNum>
  <w:abstractNum w:abstractNumId="29" w15:restartNumberingAfterBreak="0">
    <w:nsid w:val="655B0F29"/>
    <w:multiLevelType w:val="multilevel"/>
    <w:tmpl w:val="4D3A0C8E"/>
    <w:lvl w:ilvl="0">
      <w:start w:val="2"/>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0" w15:restartNumberingAfterBreak="0">
    <w:nsid w:val="67E33A88"/>
    <w:multiLevelType w:val="hybridMultilevel"/>
    <w:tmpl w:val="ED98661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1" w15:restartNumberingAfterBreak="0">
    <w:nsid w:val="6B624BC3"/>
    <w:multiLevelType w:val="multilevel"/>
    <w:tmpl w:val="6ADC0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14A6DDD"/>
    <w:multiLevelType w:val="multilevel"/>
    <w:tmpl w:val="F59E6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50A6280"/>
    <w:multiLevelType w:val="multilevel"/>
    <w:tmpl w:val="4B148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5C840F9"/>
    <w:multiLevelType w:val="hybridMultilevel"/>
    <w:tmpl w:val="C240A516"/>
    <w:lvl w:ilvl="0" w:tplc="7B340B3C">
      <w:start w:val="1"/>
      <w:numFmt w:val="decimal"/>
      <w:lvlText w:val="%1."/>
      <w:lvlJc w:val="left"/>
      <w:pPr>
        <w:tabs>
          <w:tab w:val="num" w:pos="720"/>
        </w:tabs>
        <w:ind w:left="720" w:hanging="360"/>
      </w:pPr>
      <w:rPr>
        <w:rFonts w:cs="Times New Roman"/>
      </w:rPr>
    </w:lvl>
    <w:lvl w:ilvl="1" w:tplc="7AA69664" w:tentative="1">
      <w:start w:val="1"/>
      <w:numFmt w:val="lowerLetter"/>
      <w:lvlText w:val="%2."/>
      <w:lvlJc w:val="left"/>
      <w:pPr>
        <w:tabs>
          <w:tab w:val="num" w:pos="1440"/>
        </w:tabs>
        <w:ind w:left="1440" w:hanging="360"/>
      </w:pPr>
      <w:rPr>
        <w:rFonts w:cs="Times New Roman"/>
      </w:rPr>
    </w:lvl>
    <w:lvl w:ilvl="2" w:tplc="099AC0CA" w:tentative="1">
      <w:start w:val="1"/>
      <w:numFmt w:val="lowerRoman"/>
      <w:lvlText w:val="%3."/>
      <w:lvlJc w:val="right"/>
      <w:pPr>
        <w:tabs>
          <w:tab w:val="num" w:pos="2160"/>
        </w:tabs>
        <w:ind w:left="2160" w:hanging="180"/>
      </w:pPr>
      <w:rPr>
        <w:rFonts w:cs="Times New Roman"/>
      </w:rPr>
    </w:lvl>
    <w:lvl w:ilvl="3" w:tplc="7D546CCE" w:tentative="1">
      <w:start w:val="1"/>
      <w:numFmt w:val="decimal"/>
      <w:lvlText w:val="%4."/>
      <w:lvlJc w:val="left"/>
      <w:pPr>
        <w:tabs>
          <w:tab w:val="num" w:pos="2880"/>
        </w:tabs>
        <w:ind w:left="2880" w:hanging="360"/>
      </w:pPr>
      <w:rPr>
        <w:rFonts w:cs="Times New Roman"/>
      </w:rPr>
    </w:lvl>
    <w:lvl w:ilvl="4" w:tplc="B5425B96" w:tentative="1">
      <w:start w:val="1"/>
      <w:numFmt w:val="lowerLetter"/>
      <w:lvlText w:val="%5."/>
      <w:lvlJc w:val="left"/>
      <w:pPr>
        <w:tabs>
          <w:tab w:val="num" w:pos="3600"/>
        </w:tabs>
        <w:ind w:left="3600" w:hanging="360"/>
      </w:pPr>
      <w:rPr>
        <w:rFonts w:cs="Times New Roman"/>
      </w:rPr>
    </w:lvl>
    <w:lvl w:ilvl="5" w:tplc="ECF04506" w:tentative="1">
      <w:start w:val="1"/>
      <w:numFmt w:val="lowerRoman"/>
      <w:lvlText w:val="%6."/>
      <w:lvlJc w:val="right"/>
      <w:pPr>
        <w:tabs>
          <w:tab w:val="num" w:pos="4320"/>
        </w:tabs>
        <w:ind w:left="4320" w:hanging="180"/>
      </w:pPr>
      <w:rPr>
        <w:rFonts w:cs="Times New Roman"/>
      </w:rPr>
    </w:lvl>
    <w:lvl w:ilvl="6" w:tplc="79CCE3F0" w:tentative="1">
      <w:start w:val="1"/>
      <w:numFmt w:val="decimal"/>
      <w:lvlText w:val="%7."/>
      <w:lvlJc w:val="left"/>
      <w:pPr>
        <w:tabs>
          <w:tab w:val="num" w:pos="5040"/>
        </w:tabs>
        <w:ind w:left="5040" w:hanging="360"/>
      </w:pPr>
      <w:rPr>
        <w:rFonts w:cs="Times New Roman"/>
      </w:rPr>
    </w:lvl>
    <w:lvl w:ilvl="7" w:tplc="F82C4D0A" w:tentative="1">
      <w:start w:val="1"/>
      <w:numFmt w:val="lowerLetter"/>
      <w:lvlText w:val="%8."/>
      <w:lvlJc w:val="left"/>
      <w:pPr>
        <w:tabs>
          <w:tab w:val="num" w:pos="5760"/>
        </w:tabs>
        <w:ind w:left="5760" w:hanging="360"/>
      </w:pPr>
      <w:rPr>
        <w:rFonts w:cs="Times New Roman"/>
      </w:rPr>
    </w:lvl>
    <w:lvl w:ilvl="8" w:tplc="EAFC4F62" w:tentative="1">
      <w:start w:val="1"/>
      <w:numFmt w:val="lowerRoman"/>
      <w:lvlText w:val="%9."/>
      <w:lvlJc w:val="right"/>
      <w:pPr>
        <w:tabs>
          <w:tab w:val="num" w:pos="6480"/>
        </w:tabs>
        <w:ind w:left="6480" w:hanging="180"/>
      </w:pPr>
      <w:rPr>
        <w:rFonts w:cs="Times New Roman"/>
      </w:rPr>
    </w:lvl>
  </w:abstractNum>
  <w:abstractNum w:abstractNumId="35" w15:restartNumberingAfterBreak="0">
    <w:nsid w:val="75D40665"/>
    <w:multiLevelType w:val="hybridMultilevel"/>
    <w:tmpl w:val="E830235E"/>
    <w:lvl w:ilvl="0" w:tplc="0410000F">
      <w:start w:val="1"/>
      <w:numFmt w:val="decimal"/>
      <w:lvlText w:val="%1."/>
      <w:lvlJc w:val="left"/>
      <w:pPr>
        <w:ind w:left="720" w:hanging="360"/>
      </w:pPr>
      <w:rPr>
        <w:rFonts w:cs="Times New Roman" w:hint="default"/>
      </w:rPr>
    </w:lvl>
    <w:lvl w:ilvl="1" w:tplc="04100019" w:tentative="1">
      <w:start w:val="1"/>
      <w:numFmt w:val="lowerLetter"/>
      <w:lvlText w:val="%2."/>
      <w:lvlJc w:val="left"/>
      <w:pPr>
        <w:ind w:left="1440" w:hanging="360"/>
      </w:pPr>
      <w:rPr>
        <w:rFonts w:cs="Times New Roman"/>
      </w:rPr>
    </w:lvl>
    <w:lvl w:ilvl="2" w:tplc="0410001B" w:tentative="1">
      <w:start w:val="1"/>
      <w:numFmt w:val="lowerRoman"/>
      <w:lvlText w:val="%3."/>
      <w:lvlJc w:val="right"/>
      <w:pPr>
        <w:ind w:left="2160" w:hanging="180"/>
      </w:pPr>
      <w:rPr>
        <w:rFonts w:cs="Times New Roman"/>
      </w:rPr>
    </w:lvl>
    <w:lvl w:ilvl="3" w:tplc="0410000F" w:tentative="1">
      <w:start w:val="1"/>
      <w:numFmt w:val="decimal"/>
      <w:lvlText w:val="%4."/>
      <w:lvlJc w:val="left"/>
      <w:pPr>
        <w:ind w:left="2880" w:hanging="360"/>
      </w:pPr>
      <w:rPr>
        <w:rFonts w:cs="Times New Roman"/>
      </w:rPr>
    </w:lvl>
    <w:lvl w:ilvl="4" w:tplc="04100019" w:tentative="1">
      <w:start w:val="1"/>
      <w:numFmt w:val="lowerLetter"/>
      <w:lvlText w:val="%5."/>
      <w:lvlJc w:val="left"/>
      <w:pPr>
        <w:ind w:left="3600" w:hanging="360"/>
      </w:pPr>
      <w:rPr>
        <w:rFonts w:cs="Times New Roman"/>
      </w:rPr>
    </w:lvl>
    <w:lvl w:ilvl="5" w:tplc="0410001B" w:tentative="1">
      <w:start w:val="1"/>
      <w:numFmt w:val="lowerRoman"/>
      <w:lvlText w:val="%6."/>
      <w:lvlJc w:val="right"/>
      <w:pPr>
        <w:ind w:left="4320" w:hanging="180"/>
      </w:pPr>
      <w:rPr>
        <w:rFonts w:cs="Times New Roman"/>
      </w:rPr>
    </w:lvl>
    <w:lvl w:ilvl="6" w:tplc="0410000F" w:tentative="1">
      <w:start w:val="1"/>
      <w:numFmt w:val="decimal"/>
      <w:lvlText w:val="%7."/>
      <w:lvlJc w:val="left"/>
      <w:pPr>
        <w:ind w:left="5040" w:hanging="360"/>
      </w:pPr>
      <w:rPr>
        <w:rFonts w:cs="Times New Roman"/>
      </w:rPr>
    </w:lvl>
    <w:lvl w:ilvl="7" w:tplc="04100019" w:tentative="1">
      <w:start w:val="1"/>
      <w:numFmt w:val="lowerLetter"/>
      <w:lvlText w:val="%8."/>
      <w:lvlJc w:val="left"/>
      <w:pPr>
        <w:ind w:left="5760" w:hanging="360"/>
      </w:pPr>
      <w:rPr>
        <w:rFonts w:cs="Times New Roman"/>
      </w:rPr>
    </w:lvl>
    <w:lvl w:ilvl="8" w:tplc="0410001B" w:tentative="1">
      <w:start w:val="1"/>
      <w:numFmt w:val="lowerRoman"/>
      <w:lvlText w:val="%9."/>
      <w:lvlJc w:val="right"/>
      <w:pPr>
        <w:ind w:left="6480" w:hanging="180"/>
      </w:pPr>
      <w:rPr>
        <w:rFonts w:cs="Times New Roman"/>
      </w:rPr>
    </w:lvl>
  </w:abstractNum>
  <w:abstractNum w:abstractNumId="36" w15:restartNumberingAfterBreak="0">
    <w:nsid w:val="78EA7BE5"/>
    <w:multiLevelType w:val="hybridMultilevel"/>
    <w:tmpl w:val="FE7A3E4C"/>
    <w:lvl w:ilvl="0" w:tplc="04100011">
      <w:start w:val="1"/>
      <w:numFmt w:val="decimal"/>
      <w:lvlText w:val="%1)"/>
      <w:lvlJc w:val="left"/>
      <w:pPr>
        <w:tabs>
          <w:tab w:val="num" w:pos="720"/>
        </w:tabs>
        <w:ind w:left="720" w:hanging="360"/>
      </w:pPr>
      <w:rPr>
        <w:rFonts w:cs="Times New Roman" w:hint="default"/>
      </w:rPr>
    </w:lvl>
    <w:lvl w:ilvl="1" w:tplc="04100019" w:tentative="1">
      <w:start w:val="1"/>
      <w:numFmt w:val="lowerLetter"/>
      <w:lvlText w:val="%2."/>
      <w:lvlJc w:val="left"/>
      <w:pPr>
        <w:tabs>
          <w:tab w:val="num" w:pos="1440"/>
        </w:tabs>
        <w:ind w:left="1440" w:hanging="360"/>
      </w:pPr>
      <w:rPr>
        <w:rFonts w:cs="Times New Roman"/>
      </w:rPr>
    </w:lvl>
    <w:lvl w:ilvl="2" w:tplc="0410001B" w:tentative="1">
      <w:start w:val="1"/>
      <w:numFmt w:val="lowerRoman"/>
      <w:lvlText w:val="%3."/>
      <w:lvlJc w:val="right"/>
      <w:pPr>
        <w:tabs>
          <w:tab w:val="num" w:pos="2160"/>
        </w:tabs>
        <w:ind w:left="2160" w:hanging="180"/>
      </w:pPr>
      <w:rPr>
        <w:rFonts w:cs="Times New Roman"/>
      </w:rPr>
    </w:lvl>
    <w:lvl w:ilvl="3" w:tplc="0410000F" w:tentative="1">
      <w:start w:val="1"/>
      <w:numFmt w:val="decimal"/>
      <w:lvlText w:val="%4."/>
      <w:lvlJc w:val="left"/>
      <w:pPr>
        <w:tabs>
          <w:tab w:val="num" w:pos="2880"/>
        </w:tabs>
        <w:ind w:left="2880" w:hanging="360"/>
      </w:pPr>
      <w:rPr>
        <w:rFonts w:cs="Times New Roman"/>
      </w:rPr>
    </w:lvl>
    <w:lvl w:ilvl="4" w:tplc="04100019" w:tentative="1">
      <w:start w:val="1"/>
      <w:numFmt w:val="lowerLetter"/>
      <w:lvlText w:val="%5."/>
      <w:lvlJc w:val="left"/>
      <w:pPr>
        <w:tabs>
          <w:tab w:val="num" w:pos="3600"/>
        </w:tabs>
        <w:ind w:left="3600" w:hanging="360"/>
      </w:pPr>
      <w:rPr>
        <w:rFonts w:cs="Times New Roman"/>
      </w:rPr>
    </w:lvl>
    <w:lvl w:ilvl="5" w:tplc="0410001B" w:tentative="1">
      <w:start w:val="1"/>
      <w:numFmt w:val="lowerRoman"/>
      <w:lvlText w:val="%6."/>
      <w:lvlJc w:val="right"/>
      <w:pPr>
        <w:tabs>
          <w:tab w:val="num" w:pos="4320"/>
        </w:tabs>
        <w:ind w:left="4320" w:hanging="180"/>
      </w:pPr>
      <w:rPr>
        <w:rFonts w:cs="Times New Roman"/>
      </w:rPr>
    </w:lvl>
    <w:lvl w:ilvl="6" w:tplc="0410000F" w:tentative="1">
      <w:start w:val="1"/>
      <w:numFmt w:val="decimal"/>
      <w:lvlText w:val="%7."/>
      <w:lvlJc w:val="left"/>
      <w:pPr>
        <w:tabs>
          <w:tab w:val="num" w:pos="5040"/>
        </w:tabs>
        <w:ind w:left="5040" w:hanging="360"/>
      </w:pPr>
      <w:rPr>
        <w:rFonts w:cs="Times New Roman"/>
      </w:rPr>
    </w:lvl>
    <w:lvl w:ilvl="7" w:tplc="04100019" w:tentative="1">
      <w:start w:val="1"/>
      <w:numFmt w:val="lowerLetter"/>
      <w:lvlText w:val="%8."/>
      <w:lvlJc w:val="left"/>
      <w:pPr>
        <w:tabs>
          <w:tab w:val="num" w:pos="5760"/>
        </w:tabs>
        <w:ind w:left="5760" w:hanging="360"/>
      </w:pPr>
      <w:rPr>
        <w:rFonts w:cs="Times New Roman"/>
      </w:rPr>
    </w:lvl>
    <w:lvl w:ilvl="8" w:tplc="0410001B" w:tentative="1">
      <w:start w:val="1"/>
      <w:numFmt w:val="lowerRoman"/>
      <w:lvlText w:val="%9."/>
      <w:lvlJc w:val="right"/>
      <w:pPr>
        <w:tabs>
          <w:tab w:val="num" w:pos="6480"/>
        </w:tabs>
        <w:ind w:left="6480" w:hanging="180"/>
      </w:pPr>
      <w:rPr>
        <w:rFonts w:cs="Times New Roman"/>
      </w:rPr>
    </w:lvl>
  </w:abstractNum>
  <w:num w:numId="1">
    <w:abstractNumId w:val="15"/>
  </w:num>
  <w:num w:numId="2">
    <w:abstractNumId w:val="15"/>
    <w:lvlOverride w:ilvl="0">
      <w:lvl w:ilvl="0">
        <w:start w:val="1"/>
        <w:numFmt w:val="decimal"/>
        <w:lvlText w:val="%1."/>
        <w:legacy w:legacy="1" w:legacySpace="0" w:legacyIndent="283"/>
        <w:lvlJc w:val="left"/>
        <w:pPr>
          <w:ind w:left="283" w:hanging="283"/>
        </w:pPr>
        <w:rPr>
          <w:rFonts w:cs="Times New Roman"/>
        </w:rPr>
      </w:lvl>
    </w:lvlOverride>
  </w:num>
  <w:num w:numId="3">
    <w:abstractNumId w:val="15"/>
    <w:lvlOverride w:ilvl="0">
      <w:lvl w:ilvl="0">
        <w:start w:val="1"/>
        <w:numFmt w:val="decimal"/>
        <w:lvlText w:val="%1."/>
        <w:legacy w:legacy="1" w:legacySpace="0" w:legacyIndent="283"/>
        <w:lvlJc w:val="left"/>
        <w:pPr>
          <w:ind w:left="283" w:hanging="283"/>
        </w:pPr>
        <w:rPr>
          <w:rFonts w:cs="Times New Roman"/>
        </w:rPr>
      </w:lvl>
    </w:lvlOverride>
  </w:num>
  <w:num w:numId="4">
    <w:abstractNumId w:val="17"/>
  </w:num>
  <w:num w:numId="5">
    <w:abstractNumId w:val="11"/>
  </w:num>
  <w:num w:numId="6">
    <w:abstractNumId w:val="13"/>
  </w:num>
  <w:num w:numId="7">
    <w:abstractNumId w:val="23"/>
  </w:num>
  <w:num w:numId="8">
    <w:abstractNumId w:val="6"/>
  </w:num>
  <w:num w:numId="9">
    <w:abstractNumId w:val="8"/>
  </w:num>
  <w:num w:numId="10">
    <w:abstractNumId w:val="10"/>
  </w:num>
  <w:num w:numId="11">
    <w:abstractNumId w:val="34"/>
  </w:num>
  <w:num w:numId="12">
    <w:abstractNumId w:val="4"/>
  </w:num>
  <w:num w:numId="13">
    <w:abstractNumId w:val="2"/>
  </w:num>
  <w:num w:numId="14">
    <w:abstractNumId w:val="32"/>
  </w:num>
  <w:num w:numId="15">
    <w:abstractNumId w:val="16"/>
  </w:num>
  <w:num w:numId="16">
    <w:abstractNumId w:val="12"/>
  </w:num>
  <w:num w:numId="17">
    <w:abstractNumId w:val="18"/>
  </w:num>
  <w:num w:numId="18">
    <w:abstractNumId w:val="21"/>
  </w:num>
  <w:num w:numId="19">
    <w:abstractNumId w:val="24"/>
  </w:num>
  <w:num w:numId="20">
    <w:abstractNumId w:val="25"/>
  </w:num>
  <w:num w:numId="21">
    <w:abstractNumId w:val="28"/>
  </w:num>
  <w:num w:numId="22">
    <w:abstractNumId w:val="22"/>
  </w:num>
  <w:num w:numId="23">
    <w:abstractNumId w:val="36"/>
  </w:num>
  <w:num w:numId="24">
    <w:abstractNumId w:val="5"/>
  </w:num>
  <w:num w:numId="25">
    <w:abstractNumId w:val="9"/>
  </w:num>
  <w:num w:numId="26">
    <w:abstractNumId w:val="7"/>
  </w:num>
  <w:num w:numId="27">
    <w:abstractNumId w:val="1"/>
  </w:num>
  <w:num w:numId="28">
    <w:abstractNumId w:val="26"/>
  </w:num>
  <w:num w:numId="29">
    <w:abstractNumId w:val="35"/>
  </w:num>
  <w:num w:numId="30">
    <w:abstractNumId w:val="20"/>
  </w:num>
  <w:num w:numId="31">
    <w:abstractNumId w:val="3"/>
  </w:num>
  <w:num w:numId="32">
    <w:abstractNumId w:val="31"/>
  </w:num>
  <w:num w:numId="33">
    <w:abstractNumId w:val="33"/>
  </w:num>
  <w:num w:numId="34">
    <w:abstractNumId w:val="27"/>
  </w:num>
  <w:num w:numId="35">
    <w:abstractNumId w:val="14"/>
  </w:num>
  <w:num w:numId="36">
    <w:abstractNumId w:val="19"/>
  </w:num>
  <w:num w:numId="37">
    <w:abstractNumId w:val="29"/>
  </w:num>
  <w:num w:numId="38">
    <w:abstractNumId w:val="0"/>
  </w:num>
  <w:num w:numId="39">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SystemFonts/>
  <w:mirrorMargin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283"/>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2C27"/>
    <w:rsid w:val="000000F2"/>
    <w:rsid w:val="00000254"/>
    <w:rsid w:val="000014FD"/>
    <w:rsid w:val="00001A4E"/>
    <w:rsid w:val="0000263C"/>
    <w:rsid w:val="00002A57"/>
    <w:rsid w:val="00002C28"/>
    <w:rsid w:val="000035DA"/>
    <w:rsid w:val="00003716"/>
    <w:rsid w:val="00003DA9"/>
    <w:rsid w:val="000041D0"/>
    <w:rsid w:val="000043F5"/>
    <w:rsid w:val="000045A8"/>
    <w:rsid w:val="0000504E"/>
    <w:rsid w:val="0000534E"/>
    <w:rsid w:val="000055F0"/>
    <w:rsid w:val="00005CFC"/>
    <w:rsid w:val="00006145"/>
    <w:rsid w:val="00006402"/>
    <w:rsid w:val="00006974"/>
    <w:rsid w:val="0000698C"/>
    <w:rsid w:val="00007417"/>
    <w:rsid w:val="00007490"/>
    <w:rsid w:val="00007581"/>
    <w:rsid w:val="00007C9D"/>
    <w:rsid w:val="00010280"/>
    <w:rsid w:val="000110DE"/>
    <w:rsid w:val="000117E2"/>
    <w:rsid w:val="00011962"/>
    <w:rsid w:val="00011E21"/>
    <w:rsid w:val="00011F68"/>
    <w:rsid w:val="0001208B"/>
    <w:rsid w:val="000126CE"/>
    <w:rsid w:val="000130C6"/>
    <w:rsid w:val="0001314E"/>
    <w:rsid w:val="0001369E"/>
    <w:rsid w:val="00013811"/>
    <w:rsid w:val="00014666"/>
    <w:rsid w:val="00014A80"/>
    <w:rsid w:val="00014AEC"/>
    <w:rsid w:val="00015357"/>
    <w:rsid w:val="0001568E"/>
    <w:rsid w:val="00015C01"/>
    <w:rsid w:val="00015CC0"/>
    <w:rsid w:val="00016450"/>
    <w:rsid w:val="00016574"/>
    <w:rsid w:val="00016CA9"/>
    <w:rsid w:val="000172F6"/>
    <w:rsid w:val="00017F2F"/>
    <w:rsid w:val="0002039F"/>
    <w:rsid w:val="000204ED"/>
    <w:rsid w:val="00021166"/>
    <w:rsid w:val="00021535"/>
    <w:rsid w:val="00021776"/>
    <w:rsid w:val="00021AAE"/>
    <w:rsid w:val="00021F8D"/>
    <w:rsid w:val="0002204E"/>
    <w:rsid w:val="0002261D"/>
    <w:rsid w:val="00022783"/>
    <w:rsid w:val="00022E50"/>
    <w:rsid w:val="000232C9"/>
    <w:rsid w:val="00023417"/>
    <w:rsid w:val="00023652"/>
    <w:rsid w:val="00023CEC"/>
    <w:rsid w:val="00023F62"/>
    <w:rsid w:val="0002438B"/>
    <w:rsid w:val="000253CA"/>
    <w:rsid w:val="000254C7"/>
    <w:rsid w:val="00025F76"/>
    <w:rsid w:val="00026310"/>
    <w:rsid w:val="00026401"/>
    <w:rsid w:val="000266E7"/>
    <w:rsid w:val="000268B2"/>
    <w:rsid w:val="00026FDB"/>
    <w:rsid w:val="000275BB"/>
    <w:rsid w:val="00027C6E"/>
    <w:rsid w:val="00027F51"/>
    <w:rsid w:val="000300A3"/>
    <w:rsid w:val="0003030B"/>
    <w:rsid w:val="0003040C"/>
    <w:rsid w:val="000304E9"/>
    <w:rsid w:val="00030B77"/>
    <w:rsid w:val="00030DB3"/>
    <w:rsid w:val="0003172B"/>
    <w:rsid w:val="00031B91"/>
    <w:rsid w:val="00032312"/>
    <w:rsid w:val="00032458"/>
    <w:rsid w:val="00032A15"/>
    <w:rsid w:val="0003385C"/>
    <w:rsid w:val="0003418E"/>
    <w:rsid w:val="000343D1"/>
    <w:rsid w:val="00035277"/>
    <w:rsid w:val="00035646"/>
    <w:rsid w:val="00035EC1"/>
    <w:rsid w:val="000366DB"/>
    <w:rsid w:val="00036FB6"/>
    <w:rsid w:val="00037399"/>
    <w:rsid w:val="000379E7"/>
    <w:rsid w:val="00037A11"/>
    <w:rsid w:val="0004020D"/>
    <w:rsid w:val="0004028A"/>
    <w:rsid w:val="0004044F"/>
    <w:rsid w:val="000409EA"/>
    <w:rsid w:val="00040AF5"/>
    <w:rsid w:val="00040C23"/>
    <w:rsid w:val="00040C84"/>
    <w:rsid w:val="00040F00"/>
    <w:rsid w:val="00041189"/>
    <w:rsid w:val="0004142A"/>
    <w:rsid w:val="000419F9"/>
    <w:rsid w:val="00041A69"/>
    <w:rsid w:val="00041A9B"/>
    <w:rsid w:val="00041BD7"/>
    <w:rsid w:val="0004201A"/>
    <w:rsid w:val="0004273B"/>
    <w:rsid w:val="000429A1"/>
    <w:rsid w:val="00042F64"/>
    <w:rsid w:val="00043142"/>
    <w:rsid w:val="000432DD"/>
    <w:rsid w:val="0004340B"/>
    <w:rsid w:val="0004360A"/>
    <w:rsid w:val="000437C2"/>
    <w:rsid w:val="000439A3"/>
    <w:rsid w:val="00043A82"/>
    <w:rsid w:val="00043E11"/>
    <w:rsid w:val="000441B0"/>
    <w:rsid w:val="000443A4"/>
    <w:rsid w:val="00044C56"/>
    <w:rsid w:val="000452ED"/>
    <w:rsid w:val="00045F3E"/>
    <w:rsid w:val="00045F5D"/>
    <w:rsid w:val="00046BF6"/>
    <w:rsid w:val="000473C6"/>
    <w:rsid w:val="000473CE"/>
    <w:rsid w:val="000477DB"/>
    <w:rsid w:val="00050424"/>
    <w:rsid w:val="000507B2"/>
    <w:rsid w:val="000508ED"/>
    <w:rsid w:val="00050A58"/>
    <w:rsid w:val="00050ADC"/>
    <w:rsid w:val="00050BB8"/>
    <w:rsid w:val="000510DA"/>
    <w:rsid w:val="0005127A"/>
    <w:rsid w:val="00051899"/>
    <w:rsid w:val="0005199E"/>
    <w:rsid w:val="00051CED"/>
    <w:rsid w:val="00051DF3"/>
    <w:rsid w:val="000526BD"/>
    <w:rsid w:val="000533B3"/>
    <w:rsid w:val="00053795"/>
    <w:rsid w:val="00053F8E"/>
    <w:rsid w:val="000540B0"/>
    <w:rsid w:val="000546BF"/>
    <w:rsid w:val="00054E0A"/>
    <w:rsid w:val="00054EDB"/>
    <w:rsid w:val="00055DE2"/>
    <w:rsid w:val="00055E92"/>
    <w:rsid w:val="00055FA9"/>
    <w:rsid w:val="0005634B"/>
    <w:rsid w:val="000563D9"/>
    <w:rsid w:val="0005688B"/>
    <w:rsid w:val="00056C0C"/>
    <w:rsid w:val="000602CD"/>
    <w:rsid w:val="000603AF"/>
    <w:rsid w:val="000609F9"/>
    <w:rsid w:val="000616C5"/>
    <w:rsid w:val="00061BE0"/>
    <w:rsid w:val="0006209A"/>
    <w:rsid w:val="00062130"/>
    <w:rsid w:val="000623FF"/>
    <w:rsid w:val="000632EB"/>
    <w:rsid w:val="00063522"/>
    <w:rsid w:val="000638BF"/>
    <w:rsid w:val="00063FC3"/>
    <w:rsid w:val="00064003"/>
    <w:rsid w:val="000640A8"/>
    <w:rsid w:val="00064138"/>
    <w:rsid w:val="0006464D"/>
    <w:rsid w:val="00064821"/>
    <w:rsid w:val="00064F94"/>
    <w:rsid w:val="00065428"/>
    <w:rsid w:val="00065515"/>
    <w:rsid w:val="00065527"/>
    <w:rsid w:val="00066425"/>
    <w:rsid w:val="000664D2"/>
    <w:rsid w:val="00067123"/>
    <w:rsid w:val="00067270"/>
    <w:rsid w:val="00067A00"/>
    <w:rsid w:val="00067B91"/>
    <w:rsid w:val="00067FB5"/>
    <w:rsid w:val="00070B32"/>
    <w:rsid w:val="00070B56"/>
    <w:rsid w:val="00070C08"/>
    <w:rsid w:val="00070C87"/>
    <w:rsid w:val="00071872"/>
    <w:rsid w:val="0007219B"/>
    <w:rsid w:val="00072405"/>
    <w:rsid w:val="00072678"/>
    <w:rsid w:val="00073011"/>
    <w:rsid w:val="00073600"/>
    <w:rsid w:val="00073632"/>
    <w:rsid w:val="000738E0"/>
    <w:rsid w:val="000741B9"/>
    <w:rsid w:val="00074270"/>
    <w:rsid w:val="000743C7"/>
    <w:rsid w:val="000744FF"/>
    <w:rsid w:val="00074BDC"/>
    <w:rsid w:val="00074D8F"/>
    <w:rsid w:val="00075B1A"/>
    <w:rsid w:val="00076990"/>
    <w:rsid w:val="00076B01"/>
    <w:rsid w:val="00076C76"/>
    <w:rsid w:val="0007762F"/>
    <w:rsid w:val="00077E53"/>
    <w:rsid w:val="0008054C"/>
    <w:rsid w:val="00080578"/>
    <w:rsid w:val="00080C7A"/>
    <w:rsid w:val="00081A7E"/>
    <w:rsid w:val="00081AC7"/>
    <w:rsid w:val="00081B0B"/>
    <w:rsid w:val="00081E97"/>
    <w:rsid w:val="0008217B"/>
    <w:rsid w:val="0008245E"/>
    <w:rsid w:val="00082A01"/>
    <w:rsid w:val="00083233"/>
    <w:rsid w:val="0008369A"/>
    <w:rsid w:val="000846F6"/>
    <w:rsid w:val="000848BB"/>
    <w:rsid w:val="00084CAD"/>
    <w:rsid w:val="00085137"/>
    <w:rsid w:val="000851E0"/>
    <w:rsid w:val="0008542E"/>
    <w:rsid w:val="00085D78"/>
    <w:rsid w:val="00086374"/>
    <w:rsid w:val="00086516"/>
    <w:rsid w:val="00086681"/>
    <w:rsid w:val="0008746B"/>
    <w:rsid w:val="00087AD6"/>
    <w:rsid w:val="00087B5C"/>
    <w:rsid w:val="00087D74"/>
    <w:rsid w:val="00087E4A"/>
    <w:rsid w:val="000901C8"/>
    <w:rsid w:val="0009021C"/>
    <w:rsid w:val="000903E9"/>
    <w:rsid w:val="0009054C"/>
    <w:rsid w:val="000907C7"/>
    <w:rsid w:val="00090ACF"/>
    <w:rsid w:val="00090B35"/>
    <w:rsid w:val="00090B4A"/>
    <w:rsid w:val="00091243"/>
    <w:rsid w:val="000913A7"/>
    <w:rsid w:val="00091875"/>
    <w:rsid w:val="00091A4B"/>
    <w:rsid w:val="00091BA8"/>
    <w:rsid w:val="00091CF5"/>
    <w:rsid w:val="00092202"/>
    <w:rsid w:val="000926C7"/>
    <w:rsid w:val="00092F62"/>
    <w:rsid w:val="00093092"/>
    <w:rsid w:val="00093F8D"/>
    <w:rsid w:val="00094203"/>
    <w:rsid w:val="000944BE"/>
    <w:rsid w:val="000944E3"/>
    <w:rsid w:val="000949D3"/>
    <w:rsid w:val="000954E9"/>
    <w:rsid w:val="00095541"/>
    <w:rsid w:val="00095C33"/>
    <w:rsid w:val="0009603D"/>
    <w:rsid w:val="0009616E"/>
    <w:rsid w:val="00096183"/>
    <w:rsid w:val="00096220"/>
    <w:rsid w:val="0009635C"/>
    <w:rsid w:val="000963E4"/>
    <w:rsid w:val="00096A09"/>
    <w:rsid w:val="000971F4"/>
    <w:rsid w:val="00097C3C"/>
    <w:rsid w:val="00097D57"/>
    <w:rsid w:val="000A004D"/>
    <w:rsid w:val="000A022E"/>
    <w:rsid w:val="000A086F"/>
    <w:rsid w:val="000A0871"/>
    <w:rsid w:val="000A08F7"/>
    <w:rsid w:val="000A0D30"/>
    <w:rsid w:val="000A127C"/>
    <w:rsid w:val="000A12B9"/>
    <w:rsid w:val="000A1B6B"/>
    <w:rsid w:val="000A1D5C"/>
    <w:rsid w:val="000A1D73"/>
    <w:rsid w:val="000A221F"/>
    <w:rsid w:val="000A225A"/>
    <w:rsid w:val="000A246A"/>
    <w:rsid w:val="000A2515"/>
    <w:rsid w:val="000A3342"/>
    <w:rsid w:val="000A39C7"/>
    <w:rsid w:val="000A3C94"/>
    <w:rsid w:val="000A44E2"/>
    <w:rsid w:val="000A4926"/>
    <w:rsid w:val="000A4972"/>
    <w:rsid w:val="000A4F5C"/>
    <w:rsid w:val="000A50E1"/>
    <w:rsid w:val="000A5257"/>
    <w:rsid w:val="000A5624"/>
    <w:rsid w:val="000A5791"/>
    <w:rsid w:val="000A590B"/>
    <w:rsid w:val="000A5A34"/>
    <w:rsid w:val="000A5C6E"/>
    <w:rsid w:val="000A607C"/>
    <w:rsid w:val="000A609B"/>
    <w:rsid w:val="000A65CF"/>
    <w:rsid w:val="000A662E"/>
    <w:rsid w:val="000A6CD9"/>
    <w:rsid w:val="000A6F21"/>
    <w:rsid w:val="000A6F98"/>
    <w:rsid w:val="000A7076"/>
    <w:rsid w:val="000A70D4"/>
    <w:rsid w:val="000A7310"/>
    <w:rsid w:val="000A7C55"/>
    <w:rsid w:val="000A7F0E"/>
    <w:rsid w:val="000B06BE"/>
    <w:rsid w:val="000B0B89"/>
    <w:rsid w:val="000B0F34"/>
    <w:rsid w:val="000B1196"/>
    <w:rsid w:val="000B2041"/>
    <w:rsid w:val="000B28DA"/>
    <w:rsid w:val="000B292B"/>
    <w:rsid w:val="000B2D06"/>
    <w:rsid w:val="000B2F66"/>
    <w:rsid w:val="000B33EE"/>
    <w:rsid w:val="000B3EF1"/>
    <w:rsid w:val="000B4F6A"/>
    <w:rsid w:val="000B5219"/>
    <w:rsid w:val="000B567C"/>
    <w:rsid w:val="000B57BA"/>
    <w:rsid w:val="000B5983"/>
    <w:rsid w:val="000B5E36"/>
    <w:rsid w:val="000B6302"/>
    <w:rsid w:val="000B689F"/>
    <w:rsid w:val="000B6B57"/>
    <w:rsid w:val="000B6C65"/>
    <w:rsid w:val="000B73D1"/>
    <w:rsid w:val="000B73DA"/>
    <w:rsid w:val="000B798C"/>
    <w:rsid w:val="000B79B3"/>
    <w:rsid w:val="000C005F"/>
    <w:rsid w:val="000C055A"/>
    <w:rsid w:val="000C0F7C"/>
    <w:rsid w:val="000C18CD"/>
    <w:rsid w:val="000C201B"/>
    <w:rsid w:val="000C21AE"/>
    <w:rsid w:val="000C2C8B"/>
    <w:rsid w:val="000C303A"/>
    <w:rsid w:val="000C31B3"/>
    <w:rsid w:val="000C341D"/>
    <w:rsid w:val="000C3F70"/>
    <w:rsid w:val="000C40C8"/>
    <w:rsid w:val="000C42C0"/>
    <w:rsid w:val="000C4E15"/>
    <w:rsid w:val="000C52D9"/>
    <w:rsid w:val="000C5487"/>
    <w:rsid w:val="000C5510"/>
    <w:rsid w:val="000C561C"/>
    <w:rsid w:val="000C5950"/>
    <w:rsid w:val="000C5BD7"/>
    <w:rsid w:val="000C5F4D"/>
    <w:rsid w:val="000C645E"/>
    <w:rsid w:val="000C6628"/>
    <w:rsid w:val="000C6753"/>
    <w:rsid w:val="000C68D6"/>
    <w:rsid w:val="000C6A61"/>
    <w:rsid w:val="000C6CDD"/>
    <w:rsid w:val="000C6F10"/>
    <w:rsid w:val="000C7132"/>
    <w:rsid w:val="000C7585"/>
    <w:rsid w:val="000C7A35"/>
    <w:rsid w:val="000C7A87"/>
    <w:rsid w:val="000C7DBF"/>
    <w:rsid w:val="000C7FB5"/>
    <w:rsid w:val="000D0A4C"/>
    <w:rsid w:val="000D0D25"/>
    <w:rsid w:val="000D0E3F"/>
    <w:rsid w:val="000D106B"/>
    <w:rsid w:val="000D12F3"/>
    <w:rsid w:val="000D145B"/>
    <w:rsid w:val="000D162C"/>
    <w:rsid w:val="000D1C9C"/>
    <w:rsid w:val="000D2A96"/>
    <w:rsid w:val="000D3507"/>
    <w:rsid w:val="000D3A21"/>
    <w:rsid w:val="000D3EDD"/>
    <w:rsid w:val="000D4180"/>
    <w:rsid w:val="000D433E"/>
    <w:rsid w:val="000D46E7"/>
    <w:rsid w:val="000D4B2A"/>
    <w:rsid w:val="000D56AB"/>
    <w:rsid w:val="000D5854"/>
    <w:rsid w:val="000D5D97"/>
    <w:rsid w:val="000D63C4"/>
    <w:rsid w:val="000D6464"/>
    <w:rsid w:val="000D6798"/>
    <w:rsid w:val="000D708B"/>
    <w:rsid w:val="000D7586"/>
    <w:rsid w:val="000D7A83"/>
    <w:rsid w:val="000D7CEF"/>
    <w:rsid w:val="000D7F9F"/>
    <w:rsid w:val="000E0310"/>
    <w:rsid w:val="000E050B"/>
    <w:rsid w:val="000E0869"/>
    <w:rsid w:val="000E124A"/>
    <w:rsid w:val="000E1841"/>
    <w:rsid w:val="000E1D32"/>
    <w:rsid w:val="000E229F"/>
    <w:rsid w:val="000E2420"/>
    <w:rsid w:val="000E2C4B"/>
    <w:rsid w:val="000E2ED1"/>
    <w:rsid w:val="000E2FD0"/>
    <w:rsid w:val="000E36B9"/>
    <w:rsid w:val="000E3711"/>
    <w:rsid w:val="000E4769"/>
    <w:rsid w:val="000E5044"/>
    <w:rsid w:val="000E50EE"/>
    <w:rsid w:val="000E511F"/>
    <w:rsid w:val="000E51C8"/>
    <w:rsid w:val="000E5633"/>
    <w:rsid w:val="000E567C"/>
    <w:rsid w:val="000E61EE"/>
    <w:rsid w:val="000E62FC"/>
    <w:rsid w:val="000E6325"/>
    <w:rsid w:val="000E6417"/>
    <w:rsid w:val="000E67F2"/>
    <w:rsid w:val="000E6FED"/>
    <w:rsid w:val="000E701C"/>
    <w:rsid w:val="000E70ED"/>
    <w:rsid w:val="000E7A12"/>
    <w:rsid w:val="000E7CB7"/>
    <w:rsid w:val="000E7EDA"/>
    <w:rsid w:val="000E7F43"/>
    <w:rsid w:val="000F035B"/>
    <w:rsid w:val="000F0A7C"/>
    <w:rsid w:val="000F0CB1"/>
    <w:rsid w:val="000F106A"/>
    <w:rsid w:val="000F15D2"/>
    <w:rsid w:val="000F194F"/>
    <w:rsid w:val="000F266F"/>
    <w:rsid w:val="000F2677"/>
    <w:rsid w:val="000F2C65"/>
    <w:rsid w:val="000F2C87"/>
    <w:rsid w:val="000F2D22"/>
    <w:rsid w:val="000F2D94"/>
    <w:rsid w:val="000F3053"/>
    <w:rsid w:val="000F35C4"/>
    <w:rsid w:val="000F3686"/>
    <w:rsid w:val="000F370A"/>
    <w:rsid w:val="000F381A"/>
    <w:rsid w:val="000F3A0C"/>
    <w:rsid w:val="000F4376"/>
    <w:rsid w:val="000F496B"/>
    <w:rsid w:val="000F4AEF"/>
    <w:rsid w:val="000F5F96"/>
    <w:rsid w:val="000F6240"/>
    <w:rsid w:val="000F70E2"/>
    <w:rsid w:val="000F76C0"/>
    <w:rsid w:val="000F7874"/>
    <w:rsid w:val="000F7893"/>
    <w:rsid w:val="000F7C3F"/>
    <w:rsid w:val="000F7E53"/>
    <w:rsid w:val="00100260"/>
    <w:rsid w:val="00100301"/>
    <w:rsid w:val="001009B0"/>
    <w:rsid w:val="00100A2B"/>
    <w:rsid w:val="00101708"/>
    <w:rsid w:val="00101994"/>
    <w:rsid w:val="00101A70"/>
    <w:rsid w:val="00102B81"/>
    <w:rsid w:val="001036DC"/>
    <w:rsid w:val="00103C94"/>
    <w:rsid w:val="00104523"/>
    <w:rsid w:val="001045AF"/>
    <w:rsid w:val="00104745"/>
    <w:rsid w:val="001047CC"/>
    <w:rsid w:val="0010489D"/>
    <w:rsid w:val="00104D96"/>
    <w:rsid w:val="00104EE9"/>
    <w:rsid w:val="001052EA"/>
    <w:rsid w:val="00105EBB"/>
    <w:rsid w:val="0010605F"/>
    <w:rsid w:val="00106060"/>
    <w:rsid w:val="001061EB"/>
    <w:rsid w:val="00106352"/>
    <w:rsid w:val="00106463"/>
    <w:rsid w:val="001064EB"/>
    <w:rsid w:val="001066B7"/>
    <w:rsid w:val="001068A9"/>
    <w:rsid w:val="00106CF7"/>
    <w:rsid w:val="0010714F"/>
    <w:rsid w:val="00107490"/>
    <w:rsid w:val="001074B7"/>
    <w:rsid w:val="0011009E"/>
    <w:rsid w:val="00110433"/>
    <w:rsid w:val="001107FE"/>
    <w:rsid w:val="00110F30"/>
    <w:rsid w:val="0011103F"/>
    <w:rsid w:val="00111464"/>
    <w:rsid w:val="00111B33"/>
    <w:rsid w:val="00111E5E"/>
    <w:rsid w:val="001122E3"/>
    <w:rsid w:val="001122F1"/>
    <w:rsid w:val="001126F1"/>
    <w:rsid w:val="00112A34"/>
    <w:rsid w:val="00112D0E"/>
    <w:rsid w:val="00112D6D"/>
    <w:rsid w:val="00113C86"/>
    <w:rsid w:val="00113E48"/>
    <w:rsid w:val="00113F85"/>
    <w:rsid w:val="0011477F"/>
    <w:rsid w:val="001149AB"/>
    <w:rsid w:val="00114FF7"/>
    <w:rsid w:val="0011569E"/>
    <w:rsid w:val="001162CD"/>
    <w:rsid w:val="00116344"/>
    <w:rsid w:val="00116B4F"/>
    <w:rsid w:val="00116E19"/>
    <w:rsid w:val="00116E27"/>
    <w:rsid w:val="0011776D"/>
    <w:rsid w:val="001179F1"/>
    <w:rsid w:val="001214EA"/>
    <w:rsid w:val="001218BA"/>
    <w:rsid w:val="00121E5F"/>
    <w:rsid w:val="00121FFA"/>
    <w:rsid w:val="00122177"/>
    <w:rsid w:val="0012239B"/>
    <w:rsid w:val="00122813"/>
    <w:rsid w:val="00122AD7"/>
    <w:rsid w:val="00123065"/>
    <w:rsid w:val="00123804"/>
    <w:rsid w:val="0012397B"/>
    <w:rsid w:val="00123D0A"/>
    <w:rsid w:val="00124B1A"/>
    <w:rsid w:val="00125087"/>
    <w:rsid w:val="00125271"/>
    <w:rsid w:val="001257A7"/>
    <w:rsid w:val="001258B1"/>
    <w:rsid w:val="00125BFB"/>
    <w:rsid w:val="00125EEC"/>
    <w:rsid w:val="00125FEB"/>
    <w:rsid w:val="0012683A"/>
    <w:rsid w:val="00126A31"/>
    <w:rsid w:val="00126CBE"/>
    <w:rsid w:val="00126DB9"/>
    <w:rsid w:val="00126F83"/>
    <w:rsid w:val="00127041"/>
    <w:rsid w:val="001273B3"/>
    <w:rsid w:val="001277F7"/>
    <w:rsid w:val="00127872"/>
    <w:rsid w:val="0012787A"/>
    <w:rsid w:val="001279AE"/>
    <w:rsid w:val="00127CDC"/>
    <w:rsid w:val="001301B0"/>
    <w:rsid w:val="001301FB"/>
    <w:rsid w:val="0013032E"/>
    <w:rsid w:val="0013085E"/>
    <w:rsid w:val="00130F94"/>
    <w:rsid w:val="00131522"/>
    <w:rsid w:val="00131555"/>
    <w:rsid w:val="001318B4"/>
    <w:rsid w:val="00131DD4"/>
    <w:rsid w:val="00132924"/>
    <w:rsid w:val="001329B6"/>
    <w:rsid w:val="00132A3F"/>
    <w:rsid w:val="00132E6A"/>
    <w:rsid w:val="0013338B"/>
    <w:rsid w:val="00133556"/>
    <w:rsid w:val="00133D91"/>
    <w:rsid w:val="00134D14"/>
    <w:rsid w:val="0013540F"/>
    <w:rsid w:val="001354D3"/>
    <w:rsid w:val="00135818"/>
    <w:rsid w:val="00135EEB"/>
    <w:rsid w:val="001368C3"/>
    <w:rsid w:val="001368CC"/>
    <w:rsid w:val="00136B10"/>
    <w:rsid w:val="0013718D"/>
    <w:rsid w:val="00137B96"/>
    <w:rsid w:val="00137C66"/>
    <w:rsid w:val="00137CF8"/>
    <w:rsid w:val="00137F4D"/>
    <w:rsid w:val="001400EE"/>
    <w:rsid w:val="0014043D"/>
    <w:rsid w:val="00140501"/>
    <w:rsid w:val="001408A5"/>
    <w:rsid w:val="00140F2B"/>
    <w:rsid w:val="0014100B"/>
    <w:rsid w:val="00141509"/>
    <w:rsid w:val="00141B66"/>
    <w:rsid w:val="00141C56"/>
    <w:rsid w:val="00141D82"/>
    <w:rsid w:val="00141F3F"/>
    <w:rsid w:val="001421EF"/>
    <w:rsid w:val="001422E0"/>
    <w:rsid w:val="00142400"/>
    <w:rsid w:val="001428A6"/>
    <w:rsid w:val="00142F2B"/>
    <w:rsid w:val="0014368E"/>
    <w:rsid w:val="00143891"/>
    <w:rsid w:val="001438AA"/>
    <w:rsid w:val="00143B18"/>
    <w:rsid w:val="00143EB4"/>
    <w:rsid w:val="00144507"/>
    <w:rsid w:val="001446EE"/>
    <w:rsid w:val="00144998"/>
    <w:rsid w:val="00144A9F"/>
    <w:rsid w:val="00144BD1"/>
    <w:rsid w:val="00144C06"/>
    <w:rsid w:val="00144C67"/>
    <w:rsid w:val="00144FEA"/>
    <w:rsid w:val="00145590"/>
    <w:rsid w:val="00145C85"/>
    <w:rsid w:val="00145CD9"/>
    <w:rsid w:val="001460CC"/>
    <w:rsid w:val="0014616A"/>
    <w:rsid w:val="00146286"/>
    <w:rsid w:val="001468E7"/>
    <w:rsid w:val="00146C68"/>
    <w:rsid w:val="001470B6"/>
    <w:rsid w:val="00147149"/>
    <w:rsid w:val="001471F7"/>
    <w:rsid w:val="001473A7"/>
    <w:rsid w:val="001475E5"/>
    <w:rsid w:val="00147908"/>
    <w:rsid w:val="00150205"/>
    <w:rsid w:val="0015043F"/>
    <w:rsid w:val="001513BA"/>
    <w:rsid w:val="001515F8"/>
    <w:rsid w:val="00151AAD"/>
    <w:rsid w:val="00151D58"/>
    <w:rsid w:val="00151FD0"/>
    <w:rsid w:val="001520AE"/>
    <w:rsid w:val="001521C6"/>
    <w:rsid w:val="001528EE"/>
    <w:rsid w:val="00153329"/>
    <w:rsid w:val="0015335F"/>
    <w:rsid w:val="0015336A"/>
    <w:rsid w:val="001536BC"/>
    <w:rsid w:val="00153A2D"/>
    <w:rsid w:val="00154CA4"/>
    <w:rsid w:val="00154E58"/>
    <w:rsid w:val="00154FCF"/>
    <w:rsid w:val="00155473"/>
    <w:rsid w:val="00155D10"/>
    <w:rsid w:val="001561F8"/>
    <w:rsid w:val="00156719"/>
    <w:rsid w:val="00156744"/>
    <w:rsid w:val="001568B9"/>
    <w:rsid w:val="00156CEC"/>
    <w:rsid w:val="001572FD"/>
    <w:rsid w:val="0015734D"/>
    <w:rsid w:val="00157FD5"/>
    <w:rsid w:val="00160192"/>
    <w:rsid w:val="00160F99"/>
    <w:rsid w:val="00161053"/>
    <w:rsid w:val="001610D0"/>
    <w:rsid w:val="00161191"/>
    <w:rsid w:val="0016128D"/>
    <w:rsid w:val="00161467"/>
    <w:rsid w:val="00162411"/>
    <w:rsid w:val="0016284C"/>
    <w:rsid w:val="00163134"/>
    <w:rsid w:val="00163289"/>
    <w:rsid w:val="00163675"/>
    <w:rsid w:val="0016392E"/>
    <w:rsid w:val="00163958"/>
    <w:rsid w:val="001639DF"/>
    <w:rsid w:val="00163C54"/>
    <w:rsid w:val="00164024"/>
    <w:rsid w:val="0016426C"/>
    <w:rsid w:val="00164780"/>
    <w:rsid w:val="00164897"/>
    <w:rsid w:val="0016496C"/>
    <w:rsid w:val="00164B4C"/>
    <w:rsid w:val="0016506A"/>
    <w:rsid w:val="00165376"/>
    <w:rsid w:val="001653F3"/>
    <w:rsid w:val="00165AE0"/>
    <w:rsid w:val="00165FA0"/>
    <w:rsid w:val="00166421"/>
    <w:rsid w:val="0016688C"/>
    <w:rsid w:val="0016694D"/>
    <w:rsid w:val="0016708C"/>
    <w:rsid w:val="00167EA8"/>
    <w:rsid w:val="00167F6A"/>
    <w:rsid w:val="00170ECC"/>
    <w:rsid w:val="0017130E"/>
    <w:rsid w:val="00171B10"/>
    <w:rsid w:val="00171E0B"/>
    <w:rsid w:val="001722CC"/>
    <w:rsid w:val="001729D8"/>
    <w:rsid w:val="00172CEF"/>
    <w:rsid w:val="001734C0"/>
    <w:rsid w:val="001735C3"/>
    <w:rsid w:val="00173924"/>
    <w:rsid w:val="00173B8A"/>
    <w:rsid w:val="00173F09"/>
    <w:rsid w:val="0017439C"/>
    <w:rsid w:val="00174908"/>
    <w:rsid w:val="00174AB5"/>
    <w:rsid w:val="00175136"/>
    <w:rsid w:val="00176228"/>
    <w:rsid w:val="00176271"/>
    <w:rsid w:val="001765D8"/>
    <w:rsid w:val="00176637"/>
    <w:rsid w:val="00176F53"/>
    <w:rsid w:val="001771BD"/>
    <w:rsid w:val="001772CB"/>
    <w:rsid w:val="001774C2"/>
    <w:rsid w:val="00177936"/>
    <w:rsid w:val="00180C80"/>
    <w:rsid w:val="00180D03"/>
    <w:rsid w:val="00180F01"/>
    <w:rsid w:val="00180F49"/>
    <w:rsid w:val="00181869"/>
    <w:rsid w:val="00181A2C"/>
    <w:rsid w:val="00181DE5"/>
    <w:rsid w:val="00182234"/>
    <w:rsid w:val="0018281E"/>
    <w:rsid w:val="00183634"/>
    <w:rsid w:val="00183E38"/>
    <w:rsid w:val="00183EC8"/>
    <w:rsid w:val="00183F10"/>
    <w:rsid w:val="00183F59"/>
    <w:rsid w:val="00185056"/>
    <w:rsid w:val="001853E1"/>
    <w:rsid w:val="0018595E"/>
    <w:rsid w:val="001859AA"/>
    <w:rsid w:val="00185E96"/>
    <w:rsid w:val="001866B3"/>
    <w:rsid w:val="00186CE4"/>
    <w:rsid w:val="001870AD"/>
    <w:rsid w:val="0019045B"/>
    <w:rsid w:val="00190898"/>
    <w:rsid w:val="00190B6F"/>
    <w:rsid w:val="00190C0B"/>
    <w:rsid w:val="00190D34"/>
    <w:rsid w:val="0019138F"/>
    <w:rsid w:val="00192216"/>
    <w:rsid w:val="0019262C"/>
    <w:rsid w:val="00192E8A"/>
    <w:rsid w:val="00193094"/>
    <w:rsid w:val="00193518"/>
    <w:rsid w:val="0019356A"/>
    <w:rsid w:val="00194706"/>
    <w:rsid w:val="001949D1"/>
    <w:rsid w:val="00194A0F"/>
    <w:rsid w:val="00194D0F"/>
    <w:rsid w:val="00194F6A"/>
    <w:rsid w:val="001951E7"/>
    <w:rsid w:val="001955B1"/>
    <w:rsid w:val="00195942"/>
    <w:rsid w:val="001959A1"/>
    <w:rsid w:val="00196136"/>
    <w:rsid w:val="001963E5"/>
    <w:rsid w:val="0019645B"/>
    <w:rsid w:val="00196BB0"/>
    <w:rsid w:val="001971EA"/>
    <w:rsid w:val="00197212"/>
    <w:rsid w:val="0019731E"/>
    <w:rsid w:val="001977D5"/>
    <w:rsid w:val="00197C15"/>
    <w:rsid w:val="00197D37"/>
    <w:rsid w:val="001A0F01"/>
    <w:rsid w:val="001A101C"/>
    <w:rsid w:val="001A106E"/>
    <w:rsid w:val="001A119F"/>
    <w:rsid w:val="001A13FE"/>
    <w:rsid w:val="001A16AB"/>
    <w:rsid w:val="001A18D3"/>
    <w:rsid w:val="001A199D"/>
    <w:rsid w:val="001A1BB8"/>
    <w:rsid w:val="001A1DBA"/>
    <w:rsid w:val="001A1E2A"/>
    <w:rsid w:val="001A2022"/>
    <w:rsid w:val="001A2BD0"/>
    <w:rsid w:val="001A2D71"/>
    <w:rsid w:val="001A2F28"/>
    <w:rsid w:val="001A2F75"/>
    <w:rsid w:val="001A2FE3"/>
    <w:rsid w:val="001A3558"/>
    <w:rsid w:val="001A3600"/>
    <w:rsid w:val="001A3683"/>
    <w:rsid w:val="001A398C"/>
    <w:rsid w:val="001A3BB1"/>
    <w:rsid w:val="001A3C16"/>
    <w:rsid w:val="001A4047"/>
    <w:rsid w:val="001A407A"/>
    <w:rsid w:val="001A452B"/>
    <w:rsid w:val="001A461E"/>
    <w:rsid w:val="001A4743"/>
    <w:rsid w:val="001A4A83"/>
    <w:rsid w:val="001A527F"/>
    <w:rsid w:val="001A54F2"/>
    <w:rsid w:val="001A5551"/>
    <w:rsid w:val="001A5ABB"/>
    <w:rsid w:val="001A5B28"/>
    <w:rsid w:val="001A5D81"/>
    <w:rsid w:val="001A6253"/>
    <w:rsid w:val="001A6768"/>
    <w:rsid w:val="001A67BF"/>
    <w:rsid w:val="001A7476"/>
    <w:rsid w:val="001A7776"/>
    <w:rsid w:val="001A7A8F"/>
    <w:rsid w:val="001A7C29"/>
    <w:rsid w:val="001A7CFB"/>
    <w:rsid w:val="001A7D44"/>
    <w:rsid w:val="001A7D6D"/>
    <w:rsid w:val="001B005A"/>
    <w:rsid w:val="001B0256"/>
    <w:rsid w:val="001B0647"/>
    <w:rsid w:val="001B06AF"/>
    <w:rsid w:val="001B0978"/>
    <w:rsid w:val="001B15C4"/>
    <w:rsid w:val="001B1C5D"/>
    <w:rsid w:val="001B269D"/>
    <w:rsid w:val="001B29B6"/>
    <w:rsid w:val="001B29C8"/>
    <w:rsid w:val="001B316D"/>
    <w:rsid w:val="001B3204"/>
    <w:rsid w:val="001B3357"/>
    <w:rsid w:val="001B3E9B"/>
    <w:rsid w:val="001B4C3E"/>
    <w:rsid w:val="001B5119"/>
    <w:rsid w:val="001B55D9"/>
    <w:rsid w:val="001B5BDF"/>
    <w:rsid w:val="001B5C61"/>
    <w:rsid w:val="001B5D4B"/>
    <w:rsid w:val="001B5ED9"/>
    <w:rsid w:val="001B60E5"/>
    <w:rsid w:val="001B6128"/>
    <w:rsid w:val="001B6305"/>
    <w:rsid w:val="001B6570"/>
    <w:rsid w:val="001B6639"/>
    <w:rsid w:val="001B6678"/>
    <w:rsid w:val="001B6E81"/>
    <w:rsid w:val="001B6F10"/>
    <w:rsid w:val="001B75CF"/>
    <w:rsid w:val="001B7D5B"/>
    <w:rsid w:val="001B7FBE"/>
    <w:rsid w:val="001C00DB"/>
    <w:rsid w:val="001C078E"/>
    <w:rsid w:val="001C0D57"/>
    <w:rsid w:val="001C185D"/>
    <w:rsid w:val="001C2AE3"/>
    <w:rsid w:val="001C2C7F"/>
    <w:rsid w:val="001C2D8E"/>
    <w:rsid w:val="001C302C"/>
    <w:rsid w:val="001C31C4"/>
    <w:rsid w:val="001C33DD"/>
    <w:rsid w:val="001C3549"/>
    <w:rsid w:val="001C3611"/>
    <w:rsid w:val="001C3B51"/>
    <w:rsid w:val="001C3E9A"/>
    <w:rsid w:val="001C40D9"/>
    <w:rsid w:val="001C411D"/>
    <w:rsid w:val="001C4256"/>
    <w:rsid w:val="001C43E9"/>
    <w:rsid w:val="001C45C1"/>
    <w:rsid w:val="001C4CE3"/>
    <w:rsid w:val="001C50BD"/>
    <w:rsid w:val="001C5455"/>
    <w:rsid w:val="001C5CF1"/>
    <w:rsid w:val="001C692C"/>
    <w:rsid w:val="001C70A9"/>
    <w:rsid w:val="001C71A0"/>
    <w:rsid w:val="001C7D70"/>
    <w:rsid w:val="001D056C"/>
    <w:rsid w:val="001D0849"/>
    <w:rsid w:val="001D08F3"/>
    <w:rsid w:val="001D0A78"/>
    <w:rsid w:val="001D1B0D"/>
    <w:rsid w:val="001D1BA4"/>
    <w:rsid w:val="001D1BC9"/>
    <w:rsid w:val="001D2187"/>
    <w:rsid w:val="001D29AB"/>
    <w:rsid w:val="001D2F00"/>
    <w:rsid w:val="001D32D0"/>
    <w:rsid w:val="001D35A8"/>
    <w:rsid w:val="001D3D6C"/>
    <w:rsid w:val="001D3F3C"/>
    <w:rsid w:val="001D3FF1"/>
    <w:rsid w:val="001D43CA"/>
    <w:rsid w:val="001D4692"/>
    <w:rsid w:val="001D4856"/>
    <w:rsid w:val="001D4E1D"/>
    <w:rsid w:val="001D533B"/>
    <w:rsid w:val="001D53F9"/>
    <w:rsid w:val="001D5E81"/>
    <w:rsid w:val="001D685C"/>
    <w:rsid w:val="001D6BAA"/>
    <w:rsid w:val="001D6C4B"/>
    <w:rsid w:val="001D6F0B"/>
    <w:rsid w:val="001D72C3"/>
    <w:rsid w:val="001D7439"/>
    <w:rsid w:val="001D79C9"/>
    <w:rsid w:val="001D7F44"/>
    <w:rsid w:val="001E033C"/>
    <w:rsid w:val="001E09F5"/>
    <w:rsid w:val="001E0B9A"/>
    <w:rsid w:val="001E12FC"/>
    <w:rsid w:val="001E1C38"/>
    <w:rsid w:val="001E2164"/>
    <w:rsid w:val="001E2372"/>
    <w:rsid w:val="001E3366"/>
    <w:rsid w:val="001E35E5"/>
    <w:rsid w:val="001E38BA"/>
    <w:rsid w:val="001E3921"/>
    <w:rsid w:val="001E3B39"/>
    <w:rsid w:val="001E3BA7"/>
    <w:rsid w:val="001E49EF"/>
    <w:rsid w:val="001E4B02"/>
    <w:rsid w:val="001E4B50"/>
    <w:rsid w:val="001E4C33"/>
    <w:rsid w:val="001E4E6B"/>
    <w:rsid w:val="001E520E"/>
    <w:rsid w:val="001E5442"/>
    <w:rsid w:val="001E5455"/>
    <w:rsid w:val="001E5485"/>
    <w:rsid w:val="001E5507"/>
    <w:rsid w:val="001E6FE2"/>
    <w:rsid w:val="001E7147"/>
    <w:rsid w:val="001E737E"/>
    <w:rsid w:val="001E77B6"/>
    <w:rsid w:val="001E7916"/>
    <w:rsid w:val="001F020F"/>
    <w:rsid w:val="001F02C5"/>
    <w:rsid w:val="001F0C17"/>
    <w:rsid w:val="001F0D81"/>
    <w:rsid w:val="001F1593"/>
    <w:rsid w:val="001F164F"/>
    <w:rsid w:val="001F1657"/>
    <w:rsid w:val="001F1C96"/>
    <w:rsid w:val="001F2546"/>
    <w:rsid w:val="001F2ACB"/>
    <w:rsid w:val="001F2D67"/>
    <w:rsid w:val="001F2F62"/>
    <w:rsid w:val="001F2FDE"/>
    <w:rsid w:val="001F41BC"/>
    <w:rsid w:val="001F427F"/>
    <w:rsid w:val="001F43E4"/>
    <w:rsid w:val="001F442C"/>
    <w:rsid w:val="001F45A4"/>
    <w:rsid w:val="001F4FC6"/>
    <w:rsid w:val="001F5530"/>
    <w:rsid w:val="001F5A8B"/>
    <w:rsid w:val="001F5E13"/>
    <w:rsid w:val="001F5E35"/>
    <w:rsid w:val="001F5EA2"/>
    <w:rsid w:val="001F5FE9"/>
    <w:rsid w:val="001F635F"/>
    <w:rsid w:val="001F68C0"/>
    <w:rsid w:val="001F696C"/>
    <w:rsid w:val="001F7394"/>
    <w:rsid w:val="001F749B"/>
    <w:rsid w:val="0020051B"/>
    <w:rsid w:val="0020175A"/>
    <w:rsid w:val="002019D1"/>
    <w:rsid w:val="00201DD5"/>
    <w:rsid w:val="00201FFA"/>
    <w:rsid w:val="002023FD"/>
    <w:rsid w:val="00202550"/>
    <w:rsid w:val="002025D4"/>
    <w:rsid w:val="00202885"/>
    <w:rsid w:val="00202EA0"/>
    <w:rsid w:val="00203346"/>
    <w:rsid w:val="00203C20"/>
    <w:rsid w:val="00203DC7"/>
    <w:rsid w:val="00203F14"/>
    <w:rsid w:val="0020424D"/>
    <w:rsid w:val="0020457E"/>
    <w:rsid w:val="00204708"/>
    <w:rsid w:val="00204D0F"/>
    <w:rsid w:val="00205206"/>
    <w:rsid w:val="002056A7"/>
    <w:rsid w:val="002056F9"/>
    <w:rsid w:val="00206222"/>
    <w:rsid w:val="00207377"/>
    <w:rsid w:val="0020752C"/>
    <w:rsid w:val="00207D68"/>
    <w:rsid w:val="002101AA"/>
    <w:rsid w:val="002101FF"/>
    <w:rsid w:val="0021069E"/>
    <w:rsid w:val="00210807"/>
    <w:rsid w:val="00210968"/>
    <w:rsid w:val="00210AB3"/>
    <w:rsid w:val="0021112C"/>
    <w:rsid w:val="002115D0"/>
    <w:rsid w:val="0021187F"/>
    <w:rsid w:val="002119CF"/>
    <w:rsid w:val="0021262E"/>
    <w:rsid w:val="00212689"/>
    <w:rsid w:val="00212953"/>
    <w:rsid w:val="0021347F"/>
    <w:rsid w:val="00213BB5"/>
    <w:rsid w:val="0021411A"/>
    <w:rsid w:val="00214A1A"/>
    <w:rsid w:val="00214C51"/>
    <w:rsid w:val="002152D3"/>
    <w:rsid w:val="002156F4"/>
    <w:rsid w:val="002158F8"/>
    <w:rsid w:val="0021591D"/>
    <w:rsid w:val="00215A3C"/>
    <w:rsid w:val="00216209"/>
    <w:rsid w:val="00216254"/>
    <w:rsid w:val="0021632A"/>
    <w:rsid w:val="00216C19"/>
    <w:rsid w:val="00216F4E"/>
    <w:rsid w:val="00216FC3"/>
    <w:rsid w:val="0021726D"/>
    <w:rsid w:val="0021752A"/>
    <w:rsid w:val="00217797"/>
    <w:rsid w:val="0021783A"/>
    <w:rsid w:val="00217B2E"/>
    <w:rsid w:val="00220068"/>
    <w:rsid w:val="00220357"/>
    <w:rsid w:val="002205C8"/>
    <w:rsid w:val="002207A5"/>
    <w:rsid w:val="002209CA"/>
    <w:rsid w:val="00220F34"/>
    <w:rsid w:val="00221428"/>
    <w:rsid w:val="00221F6C"/>
    <w:rsid w:val="002234C6"/>
    <w:rsid w:val="002238DE"/>
    <w:rsid w:val="00223B3F"/>
    <w:rsid w:val="0022466B"/>
    <w:rsid w:val="00224824"/>
    <w:rsid w:val="002250FD"/>
    <w:rsid w:val="0022539C"/>
    <w:rsid w:val="002258B0"/>
    <w:rsid w:val="00225A77"/>
    <w:rsid w:val="002264B5"/>
    <w:rsid w:val="00226AC9"/>
    <w:rsid w:val="0022700B"/>
    <w:rsid w:val="0023044B"/>
    <w:rsid w:val="0023051C"/>
    <w:rsid w:val="00230924"/>
    <w:rsid w:val="0023178C"/>
    <w:rsid w:val="002319A8"/>
    <w:rsid w:val="002319C1"/>
    <w:rsid w:val="00231FA0"/>
    <w:rsid w:val="0023240B"/>
    <w:rsid w:val="00232410"/>
    <w:rsid w:val="00233365"/>
    <w:rsid w:val="0023348B"/>
    <w:rsid w:val="00233606"/>
    <w:rsid w:val="00233D97"/>
    <w:rsid w:val="002345B9"/>
    <w:rsid w:val="00234F40"/>
    <w:rsid w:val="0023531F"/>
    <w:rsid w:val="002358D6"/>
    <w:rsid w:val="00235B35"/>
    <w:rsid w:val="00236235"/>
    <w:rsid w:val="002362B2"/>
    <w:rsid w:val="00236662"/>
    <w:rsid w:val="00236F2B"/>
    <w:rsid w:val="00236F65"/>
    <w:rsid w:val="0023722D"/>
    <w:rsid w:val="00237B6F"/>
    <w:rsid w:val="00237D2E"/>
    <w:rsid w:val="00240572"/>
    <w:rsid w:val="00240685"/>
    <w:rsid w:val="002406DD"/>
    <w:rsid w:val="0024154F"/>
    <w:rsid w:val="00241775"/>
    <w:rsid w:val="00241805"/>
    <w:rsid w:val="00241F20"/>
    <w:rsid w:val="002421C1"/>
    <w:rsid w:val="00242419"/>
    <w:rsid w:val="0024274C"/>
    <w:rsid w:val="002428EB"/>
    <w:rsid w:val="002430F7"/>
    <w:rsid w:val="0024347E"/>
    <w:rsid w:val="002437BA"/>
    <w:rsid w:val="002442BB"/>
    <w:rsid w:val="0024436C"/>
    <w:rsid w:val="00245241"/>
    <w:rsid w:val="0024593E"/>
    <w:rsid w:val="0024604A"/>
    <w:rsid w:val="002463F2"/>
    <w:rsid w:val="00246B5E"/>
    <w:rsid w:val="00246CE2"/>
    <w:rsid w:val="00246FD0"/>
    <w:rsid w:val="00247794"/>
    <w:rsid w:val="00250DC4"/>
    <w:rsid w:val="002512ED"/>
    <w:rsid w:val="00251676"/>
    <w:rsid w:val="00251D40"/>
    <w:rsid w:val="00251FE5"/>
    <w:rsid w:val="00252195"/>
    <w:rsid w:val="00252A06"/>
    <w:rsid w:val="00252B57"/>
    <w:rsid w:val="002531A0"/>
    <w:rsid w:val="00253668"/>
    <w:rsid w:val="00253CD8"/>
    <w:rsid w:val="00253E58"/>
    <w:rsid w:val="002543FD"/>
    <w:rsid w:val="00254557"/>
    <w:rsid w:val="0025498F"/>
    <w:rsid w:val="00254B52"/>
    <w:rsid w:val="00254C4C"/>
    <w:rsid w:val="00254E0C"/>
    <w:rsid w:val="00255143"/>
    <w:rsid w:val="00255A10"/>
    <w:rsid w:val="00255A44"/>
    <w:rsid w:val="00255BD6"/>
    <w:rsid w:val="0025623D"/>
    <w:rsid w:val="002571DE"/>
    <w:rsid w:val="00260ABF"/>
    <w:rsid w:val="00261552"/>
    <w:rsid w:val="002623CE"/>
    <w:rsid w:val="002626D8"/>
    <w:rsid w:val="0026280A"/>
    <w:rsid w:val="00263232"/>
    <w:rsid w:val="0026363D"/>
    <w:rsid w:val="00263D7C"/>
    <w:rsid w:val="00263E6A"/>
    <w:rsid w:val="00264979"/>
    <w:rsid w:val="00264CAA"/>
    <w:rsid w:val="00265103"/>
    <w:rsid w:val="00265679"/>
    <w:rsid w:val="00265A66"/>
    <w:rsid w:val="00265C81"/>
    <w:rsid w:val="00265E29"/>
    <w:rsid w:val="002667D1"/>
    <w:rsid w:val="00266BA9"/>
    <w:rsid w:val="00266D55"/>
    <w:rsid w:val="00267834"/>
    <w:rsid w:val="00267C71"/>
    <w:rsid w:val="002701C5"/>
    <w:rsid w:val="00270758"/>
    <w:rsid w:val="00270A3C"/>
    <w:rsid w:val="00270E58"/>
    <w:rsid w:val="0027211D"/>
    <w:rsid w:val="00272848"/>
    <w:rsid w:val="00272C4E"/>
    <w:rsid w:val="00272CBE"/>
    <w:rsid w:val="002733BE"/>
    <w:rsid w:val="002741C3"/>
    <w:rsid w:val="00274EC0"/>
    <w:rsid w:val="00275737"/>
    <w:rsid w:val="00275D67"/>
    <w:rsid w:val="0027611F"/>
    <w:rsid w:val="00276187"/>
    <w:rsid w:val="002761E5"/>
    <w:rsid w:val="00276702"/>
    <w:rsid w:val="00276FBE"/>
    <w:rsid w:val="0027711F"/>
    <w:rsid w:val="00277548"/>
    <w:rsid w:val="00277586"/>
    <w:rsid w:val="002775AB"/>
    <w:rsid w:val="00277E42"/>
    <w:rsid w:val="00280002"/>
    <w:rsid w:val="002805D8"/>
    <w:rsid w:val="00280CED"/>
    <w:rsid w:val="00280E12"/>
    <w:rsid w:val="0028144E"/>
    <w:rsid w:val="00281752"/>
    <w:rsid w:val="00281A19"/>
    <w:rsid w:val="00283445"/>
    <w:rsid w:val="0028368B"/>
    <w:rsid w:val="002838EA"/>
    <w:rsid w:val="002842FA"/>
    <w:rsid w:val="00284350"/>
    <w:rsid w:val="00284666"/>
    <w:rsid w:val="00284811"/>
    <w:rsid w:val="0028531E"/>
    <w:rsid w:val="0028543A"/>
    <w:rsid w:val="00285729"/>
    <w:rsid w:val="00285D56"/>
    <w:rsid w:val="002861B0"/>
    <w:rsid w:val="00286345"/>
    <w:rsid w:val="00286DE9"/>
    <w:rsid w:val="00287298"/>
    <w:rsid w:val="002876F6"/>
    <w:rsid w:val="002878FB"/>
    <w:rsid w:val="00287A81"/>
    <w:rsid w:val="00287F28"/>
    <w:rsid w:val="00290D11"/>
    <w:rsid w:val="00290D80"/>
    <w:rsid w:val="0029181B"/>
    <w:rsid w:val="002922E8"/>
    <w:rsid w:val="002927DA"/>
    <w:rsid w:val="00292C7D"/>
    <w:rsid w:val="00293B41"/>
    <w:rsid w:val="00293FDA"/>
    <w:rsid w:val="00294562"/>
    <w:rsid w:val="00294AEB"/>
    <w:rsid w:val="00294B74"/>
    <w:rsid w:val="00294BF2"/>
    <w:rsid w:val="00295034"/>
    <w:rsid w:val="0029514D"/>
    <w:rsid w:val="00295587"/>
    <w:rsid w:val="002955F8"/>
    <w:rsid w:val="00295864"/>
    <w:rsid w:val="00295B2C"/>
    <w:rsid w:val="00295CC3"/>
    <w:rsid w:val="00295EDF"/>
    <w:rsid w:val="00296119"/>
    <w:rsid w:val="00296160"/>
    <w:rsid w:val="002963EA"/>
    <w:rsid w:val="0029651E"/>
    <w:rsid w:val="002968C1"/>
    <w:rsid w:val="002971EE"/>
    <w:rsid w:val="0029750A"/>
    <w:rsid w:val="0029773F"/>
    <w:rsid w:val="00297AA7"/>
    <w:rsid w:val="00297DD8"/>
    <w:rsid w:val="002A0551"/>
    <w:rsid w:val="002A083D"/>
    <w:rsid w:val="002A0901"/>
    <w:rsid w:val="002A0ADE"/>
    <w:rsid w:val="002A0B75"/>
    <w:rsid w:val="002A101C"/>
    <w:rsid w:val="002A1245"/>
    <w:rsid w:val="002A14FE"/>
    <w:rsid w:val="002A1872"/>
    <w:rsid w:val="002A272F"/>
    <w:rsid w:val="002A31A8"/>
    <w:rsid w:val="002A388F"/>
    <w:rsid w:val="002A3BDE"/>
    <w:rsid w:val="002A4757"/>
    <w:rsid w:val="002A4DD7"/>
    <w:rsid w:val="002A5079"/>
    <w:rsid w:val="002A50B9"/>
    <w:rsid w:val="002A5240"/>
    <w:rsid w:val="002A5497"/>
    <w:rsid w:val="002A5820"/>
    <w:rsid w:val="002A5BA0"/>
    <w:rsid w:val="002A5EDD"/>
    <w:rsid w:val="002A5F9E"/>
    <w:rsid w:val="002A663C"/>
    <w:rsid w:val="002A686A"/>
    <w:rsid w:val="002A68DE"/>
    <w:rsid w:val="002A6A4C"/>
    <w:rsid w:val="002A6C82"/>
    <w:rsid w:val="002A6F7E"/>
    <w:rsid w:val="002A743E"/>
    <w:rsid w:val="002A7449"/>
    <w:rsid w:val="002A7507"/>
    <w:rsid w:val="002A7753"/>
    <w:rsid w:val="002A795B"/>
    <w:rsid w:val="002A7FC2"/>
    <w:rsid w:val="002B0325"/>
    <w:rsid w:val="002B0497"/>
    <w:rsid w:val="002B0B7C"/>
    <w:rsid w:val="002B1088"/>
    <w:rsid w:val="002B111E"/>
    <w:rsid w:val="002B14AC"/>
    <w:rsid w:val="002B1FA3"/>
    <w:rsid w:val="002B2920"/>
    <w:rsid w:val="002B2DBC"/>
    <w:rsid w:val="002B2FE9"/>
    <w:rsid w:val="002B4297"/>
    <w:rsid w:val="002B50A9"/>
    <w:rsid w:val="002B5564"/>
    <w:rsid w:val="002B6203"/>
    <w:rsid w:val="002B65D2"/>
    <w:rsid w:val="002B6847"/>
    <w:rsid w:val="002B7AF7"/>
    <w:rsid w:val="002C0289"/>
    <w:rsid w:val="002C0692"/>
    <w:rsid w:val="002C0A08"/>
    <w:rsid w:val="002C0B5B"/>
    <w:rsid w:val="002C0BEF"/>
    <w:rsid w:val="002C10B0"/>
    <w:rsid w:val="002C1296"/>
    <w:rsid w:val="002C14B2"/>
    <w:rsid w:val="002C1590"/>
    <w:rsid w:val="002C161D"/>
    <w:rsid w:val="002C1E1A"/>
    <w:rsid w:val="002C1FA6"/>
    <w:rsid w:val="002C2544"/>
    <w:rsid w:val="002C2C38"/>
    <w:rsid w:val="002C2CD1"/>
    <w:rsid w:val="002C35DD"/>
    <w:rsid w:val="002C35E2"/>
    <w:rsid w:val="002C381C"/>
    <w:rsid w:val="002C5255"/>
    <w:rsid w:val="002C5256"/>
    <w:rsid w:val="002C59F2"/>
    <w:rsid w:val="002C5C5C"/>
    <w:rsid w:val="002C5C7E"/>
    <w:rsid w:val="002C5E00"/>
    <w:rsid w:val="002C5EF4"/>
    <w:rsid w:val="002C6317"/>
    <w:rsid w:val="002C6E51"/>
    <w:rsid w:val="002C752A"/>
    <w:rsid w:val="002C7837"/>
    <w:rsid w:val="002C7851"/>
    <w:rsid w:val="002C7AE1"/>
    <w:rsid w:val="002D07A9"/>
    <w:rsid w:val="002D0EA7"/>
    <w:rsid w:val="002D120B"/>
    <w:rsid w:val="002D1D48"/>
    <w:rsid w:val="002D205F"/>
    <w:rsid w:val="002D33BB"/>
    <w:rsid w:val="002D3418"/>
    <w:rsid w:val="002D3451"/>
    <w:rsid w:val="002D3743"/>
    <w:rsid w:val="002D3E50"/>
    <w:rsid w:val="002D4059"/>
    <w:rsid w:val="002D4384"/>
    <w:rsid w:val="002D4F43"/>
    <w:rsid w:val="002D507F"/>
    <w:rsid w:val="002D555B"/>
    <w:rsid w:val="002D5623"/>
    <w:rsid w:val="002D5E12"/>
    <w:rsid w:val="002D63FD"/>
    <w:rsid w:val="002D692B"/>
    <w:rsid w:val="002D76A6"/>
    <w:rsid w:val="002D771F"/>
    <w:rsid w:val="002E0B46"/>
    <w:rsid w:val="002E0F97"/>
    <w:rsid w:val="002E13F0"/>
    <w:rsid w:val="002E1A48"/>
    <w:rsid w:val="002E1A99"/>
    <w:rsid w:val="002E28F3"/>
    <w:rsid w:val="002E3757"/>
    <w:rsid w:val="002E3C4C"/>
    <w:rsid w:val="002E3F21"/>
    <w:rsid w:val="002E418E"/>
    <w:rsid w:val="002E4298"/>
    <w:rsid w:val="002E4698"/>
    <w:rsid w:val="002E498D"/>
    <w:rsid w:val="002E521E"/>
    <w:rsid w:val="002E558A"/>
    <w:rsid w:val="002E57C6"/>
    <w:rsid w:val="002E6C62"/>
    <w:rsid w:val="002E6D09"/>
    <w:rsid w:val="002E6F29"/>
    <w:rsid w:val="002E70DE"/>
    <w:rsid w:val="002E7DA0"/>
    <w:rsid w:val="002F027D"/>
    <w:rsid w:val="002F060F"/>
    <w:rsid w:val="002F0625"/>
    <w:rsid w:val="002F0D3D"/>
    <w:rsid w:val="002F129A"/>
    <w:rsid w:val="002F13AC"/>
    <w:rsid w:val="002F15E2"/>
    <w:rsid w:val="002F28AE"/>
    <w:rsid w:val="002F2950"/>
    <w:rsid w:val="002F3541"/>
    <w:rsid w:val="002F36FA"/>
    <w:rsid w:val="002F3C34"/>
    <w:rsid w:val="002F3E14"/>
    <w:rsid w:val="002F42CF"/>
    <w:rsid w:val="002F497B"/>
    <w:rsid w:val="002F4AFB"/>
    <w:rsid w:val="002F5677"/>
    <w:rsid w:val="002F5829"/>
    <w:rsid w:val="002F58B2"/>
    <w:rsid w:val="002F5956"/>
    <w:rsid w:val="002F59C4"/>
    <w:rsid w:val="002F5D7C"/>
    <w:rsid w:val="002F60ED"/>
    <w:rsid w:val="002F613D"/>
    <w:rsid w:val="002F6B2A"/>
    <w:rsid w:val="002F6DFB"/>
    <w:rsid w:val="002F79C9"/>
    <w:rsid w:val="002F7E47"/>
    <w:rsid w:val="00300973"/>
    <w:rsid w:val="00300F77"/>
    <w:rsid w:val="0030161C"/>
    <w:rsid w:val="00301967"/>
    <w:rsid w:val="00302303"/>
    <w:rsid w:val="0030297C"/>
    <w:rsid w:val="00303003"/>
    <w:rsid w:val="003039D9"/>
    <w:rsid w:val="00303C83"/>
    <w:rsid w:val="003041D5"/>
    <w:rsid w:val="003049C0"/>
    <w:rsid w:val="00304B6F"/>
    <w:rsid w:val="00304CE0"/>
    <w:rsid w:val="003058C4"/>
    <w:rsid w:val="00305A16"/>
    <w:rsid w:val="00305A75"/>
    <w:rsid w:val="00305C69"/>
    <w:rsid w:val="003066E8"/>
    <w:rsid w:val="0030698D"/>
    <w:rsid w:val="00306E3F"/>
    <w:rsid w:val="00306EE9"/>
    <w:rsid w:val="00306EF7"/>
    <w:rsid w:val="0030701A"/>
    <w:rsid w:val="00307742"/>
    <w:rsid w:val="00307BD1"/>
    <w:rsid w:val="00307FFD"/>
    <w:rsid w:val="003106CF"/>
    <w:rsid w:val="0031092F"/>
    <w:rsid w:val="00310980"/>
    <w:rsid w:val="00310E35"/>
    <w:rsid w:val="0031104F"/>
    <w:rsid w:val="003110EA"/>
    <w:rsid w:val="0031121C"/>
    <w:rsid w:val="0031123D"/>
    <w:rsid w:val="00312048"/>
    <w:rsid w:val="00312C1B"/>
    <w:rsid w:val="00312D6B"/>
    <w:rsid w:val="00312D92"/>
    <w:rsid w:val="00313337"/>
    <w:rsid w:val="0031360D"/>
    <w:rsid w:val="00313671"/>
    <w:rsid w:val="00314099"/>
    <w:rsid w:val="0031410D"/>
    <w:rsid w:val="00314463"/>
    <w:rsid w:val="00314825"/>
    <w:rsid w:val="00314A2A"/>
    <w:rsid w:val="0031589A"/>
    <w:rsid w:val="00315FFF"/>
    <w:rsid w:val="003161B1"/>
    <w:rsid w:val="00316CB3"/>
    <w:rsid w:val="00317BAA"/>
    <w:rsid w:val="00320B01"/>
    <w:rsid w:val="00320B7B"/>
    <w:rsid w:val="003215CB"/>
    <w:rsid w:val="00321D6D"/>
    <w:rsid w:val="00321DC1"/>
    <w:rsid w:val="003221FB"/>
    <w:rsid w:val="003222FE"/>
    <w:rsid w:val="00322676"/>
    <w:rsid w:val="0032269F"/>
    <w:rsid w:val="00322C54"/>
    <w:rsid w:val="003233C4"/>
    <w:rsid w:val="003233FD"/>
    <w:rsid w:val="00323986"/>
    <w:rsid w:val="00323A31"/>
    <w:rsid w:val="00324861"/>
    <w:rsid w:val="00324EE1"/>
    <w:rsid w:val="00324F7D"/>
    <w:rsid w:val="00325149"/>
    <w:rsid w:val="0032537F"/>
    <w:rsid w:val="00325AC8"/>
    <w:rsid w:val="00325B5B"/>
    <w:rsid w:val="00325DF0"/>
    <w:rsid w:val="00326287"/>
    <w:rsid w:val="0032644E"/>
    <w:rsid w:val="0032657F"/>
    <w:rsid w:val="00326B0E"/>
    <w:rsid w:val="00327181"/>
    <w:rsid w:val="00327212"/>
    <w:rsid w:val="00327487"/>
    <w:rsid w:val="0032754A"/>
    <w:rsid w:val="003277D5"/>
    <w:rsid w:val="003278B6"/>
    <w:rsid w:val="00330444"/>
    <w:rsid w:val="003313C9"/>
    <w:rsid w:val="00331A6E"/>
    <w:rsid w:val="00331E7C"/>
    <w:rsid w:val="00332111"/>
    <w:rsid w:val="0033231F"/>
    <w:rsid w:val="003330DF"/>
    <w:rsid w:val="00333FCE"/>
    <w:rsid w:val="00334940"/>
    <w:rsid w:val="00334EDA"/>
    <w:rsid w:val="00335184"/>
    <w:rsid w:val="00335486"/>
    <w:rsid w:val="003356E5"/>
    <w:rsid w:val="00335782"/>
    <w:rsid w:val="00335DEE"/>
    <w:rsid w:val="00336153"/>
    <w:rsid w:val="003363BF"/>
    <w:rsid w:val="00336E8F"/>
    <w:rsid w:val="0033704F"/>
    <w:rsid w:val="00337320"/>
    <w:rsid w:val="00337CBC"/>
    <w:rsid w:val="0034061C"/>
    <w:rsid w:val="00340B65"/>
    <w:rsid w:val="00340C13"/>
    <w:rsid w:val="0034142A"/>
    <w:rsid w:val="00341EC0"/>
    <w:rsid w:val="003420C5"/>
    <w:rsid w:val="00342287"/>
    <w:rsid w:val="00342501"/>
    <w:rsid w:val="0034334D"/>
    <w:rsid w:val="00343788"/>
    <w:rsid w:val="00343D68"/>
    <w:rsid w:val="00344041"/>
    <w:rsid w:val="0034446E"/>
    <w:rsid w:val="003449DE"/>
    <w:rsid w:val="0034586C"/>
    <w:rsid w:val="00345DE7"/>
    <w:rsid w:val="003465D6"/>
    <w:rsid w:val="00346650"/>
    <w:rsid w:val="00346674"/>
    <w:rsid w:val="00346895"/>
    <w:rsid w:val="0034700A"/>
    <w:rsid w:val="00347D4B"/>
    <w:rsid w:val="003500BB"/>
    <w:rsid w:val="0035011F"/>
    <w:rsid w:val="003506C6"/>
    <w:rsid w:val="00351658"/>
    <w:rsid w:val="003519DB"/>
    <w:rsid w:val="003521FD"/>
    <w:rsid w:val="003529B2"/>
    <w:rsid w:val="00352E05"/>
    <w:rsid w:val="00353217"/>
    <w:rsid w:val="00353875"/>
    <w:rsid w:val="003542A7"/>
    <w:rsid w:val="0035460F"/>
    <w:rsid w:val="003549FD"/>
    <w:rsid w:val="00354A72"/>
    <w:rsid w:val="00355136"/>
    <w:rsid w:val="003553A9"/>
    <w:rsid w:val="003557C2"/>
    <w:rsid w:val="00355AF0"/>
    <w:rsid w:val="00355DEB"/>
    <w:rsid w:val="0035615B"/>
    <w:rsid w:val="00356A2C"/>
    <w:rsid w:val="00356C3C"/>
    <w:rsid w:val="003573AA"/>
    <w:rsid w:val="003575BF"/>
    <w:rsid w:val="0035771E"/>
    <w:rsid w:val="003578C8"/>
    <w:rsid w:val="00357967"/>
    <w:rsid w:val="00357B09"/>
    <w:rsid w:val="00357D86"/>
    <w:rsid w:val="003605F3"/>
    <w:rsid w:val="0036066A"/>
    <w:rsid w:val="0036180E"/>
    <w:rsid w:val="00361A2B"/>
    <w:rsid w:val="00361D64"/>
    <w:rsid w:val="003625F1"/>
    <w:rsid w:val="00362C75"/>
    <w:rsid w:val="00362E5F"/>
    <w:rsid w:val="003633DF"/>
    <w:rsid w:val="00363B3F"/>
    <w:rsid w:val="00363F72"/>
    <w:rsid w:val="003640A8"/>
    <w:rsid w:val="00364E60"/>
    <w:rsid w:val="00365076"/>
    <w:rsid w:val="003659E2"/>
    <w:rsid w:val="00365A68"/>
    <w:rsid w:val="00365C1F"/>
    <w:rsid w:val="00365C75"/>
    <w:rsid w:val="0036601C"/>
    <w:rsid w:val="00366217"/>
    <w:rsid w:val="0036661D"/>
    <w:rsid w:val="00366961"/>
    <w:rsid w:val="00366BF9"/>
    <w:rsid w:val="00366D2B"/>
    <w:rsid w:val="003672A9"/>
    <w:rsid w:val="003673D7"/>
    <w:rsid w:val="003675AB"/>
    <w:rsid w:val="00367E39"/>
    <w:rsid w:val="00370624"/>
    <w:rsid w:val="00370739"/>
    <w:rsid w:val="00370BBA"/>
    <w:rsid w:val="00370F5B"/>
    <w:rsid w:val="0037167A"/>
    <w:rsid w:val="0037200C"/>
    <w:rsid w:val="003721E4"/>
    <w:rsid w:val="00372296"/>
    <w:rsid w:val="00372CE5"/>
    <w:rsid w:val="00372D81"/>
    <w:rsid w:val="00372F4F"/>
    <w:rsid w:val="0037340A"/>
    <w:rsid w:val="0037342C"/>
    <w:rsid w:val="003736E1"/>
    <w:rsid w:val="00373BA9"/>
    <w:rsid w:val="003740E7"/>
    <w:rsid w:val="00374776"/>
    <w:rsid w:val="003748E5"/>
    <w:rsid w:val="0037500E"/>
    <w:rsid w:val="003753D7"/>
    <w:rsid w:val="00375679"/>
    <w:rsid w:val="00375AAC"/>
    <w:rsid w:val="00375AD4"/>
    <w:rsid w:val="00375CA7"/>
    <w:rsid w:val="00375CED"/>
    <w:rsid w:val="00375E4C"/>
    <w:rsid w:val="00376AB7"/>
    <w:rsid w:val="00376B80"/>
    <w:rsid w:val="003775C8"/>
    <w:rsid w:val="0038019B"/>
    <w:rsid w:val="00380245"/>
    <w:rsid w:val="0038070B"/>
    <w:rsid w:val="00380D05"/>
    <w:rsid w:val="003810AE"/>
    <w:rsid w:val="003814C5"/>
    <w:rsid w:val="00381803"/>
    <w:rsid w:val="00382285"/>
    <w:rsid w:val="003824A4"/>
    <w:rsid w:val="00382597"/>
    <w:rsid w:val="003826EA"/>
    <w:rsid w:val="003829BC"/>
    <w:rsid w:val="00382E31"/>
    <w:rsid w:val="003832D1"/>
    <w:rsid w:val="003836D8"/>
    <w:rsid w:val="00383A23"/>
    <w:rsid w:val="00383FED"/>
    <w:rsid w:val="003840C2"/>
    <w:rsid w:val="00384685"/>
    <w:rsid w:val="0038474B"/>
    <w:rsid w:val="00384805"/>
    <w:rsid w:val="00384CF1"/>
    <w:rsid w:val="00384E90"/>
    <w:rsid w:val="0038505B"/>
    <w:rsid w:val="00385798"/>
    <w:rsid w:val="00385934"/>
    <w:rsid w:val="00385966"/>
    <w:rsid w:val="00385BBA"/>
    <w:rsid w:val="00386372"/>
    <w:rsid w:val="00386603"/>
    <w:rsid w:val="0038676E"/>
    <w:rsid w:val="00386882"/>
    <w:rsid w:val="003870E2"/>
    <w:rsid w:val="0038736C"/>
    <w:rsid w:val="00387D3C"/>
    <w:rsid w:val="00390153"/>
    <w:rsid w:val="00390606"/>
    <w:rsid w:val="00390745"/>
    <w:rsid w:val="00390CE8"/>
    <w:rsid w:val="00390DD6"/>
    <w:rsid w:val="0039140E"/>
    <w:rsid w:val="003915D6"/>
    <w:rsid w:val="00391FA8"/>
    <w:rsid w:val="00392148"/>
    <w:rsid w:val="003922EE"/>
    <w:rsid w:val="00392458"/>
    <w:rsid w:val="003926C5"/>
    <w:rsid w:val="0039319B"/>
    <w:rsid w:val="00393361"/>
    <w:rsid w:val="00393556"/>
    <w:rsid w:val="003935F1"/>
    <w:rsid w:val="003938DF"/>
    <w:rsid w:val="00393A3B"/>
    <w:rsid w:val="0039417C"/>
    <w:rsid w:val="003946E6"/>
    <w:rsid w:val="00394C23"/>
    <w:rsid w:val="00394DF3"/>
    <w:rsid w:val="00395CFB"/>
    <w:rsid w:val="00395F13"/>
    <w:rsid w:val="00396829"/>
    <w:rsid w:val="00396D86"/>
    <w:rsid w:val="0039710E"/>
    <w:rsid w:val="003973D2"/>
    <w:rsid w:val="003A0048"/>
    <w:rsid w:val="003A00A2"/>
    <w:rsid w:val="003A01AC"/>
    <w:rsid w:val="003A05AE"/>
    <w:rsid w:val="003A063C"/>
    <w:rsid w:val="003A095A"/>
    <w:rsid w:val="003A1078"/>
    <w:rsid w:val="003A10E8"/>
    <w:rsid w:val="003A177B"/>
    <w:rsid w:val="003A1C20"/>
    <w:rsid w:val="003A1D4D"/>
    <w:rsid w:val="003A1FA5"/>
    <w:rsid w:val="003A2027"/>
    <w:rsid w:val="003A2395"/>
    <w:rsid w:val="003A2513"/>
    <w:rsid w:val="003A2877"/>
    <w:rsid w:val="003A2C8D"/>
    <w:rsid w:val="003A3557"/>
    <w:rsid w:val="003A371D"/>
    <w:rsid w:val="003A38BD"/>
    <w:rsid w:val="003A4019"/>
    <w:rsid w:val="003A476E"/>
    <w:rsid w:val="003A499D"/>
    <w:rsid w:val="003A4E16"/>
    <w:rsid w:val="003A5728"/>
    <w:rsid w:val="003A5E40"/>
    <w:rsid w:val="003A5E5C"/>
    <w:rsid w:val="003A5F60"/>
    <w:rsid w:val="003A6058"/>
    <w:rsid w:val="003A60F5"/>
    <w:rsid w:val="003A6A05"/>
    <w:rsid w:val="003A6E21"/>
    <w:rsid w:val="003A74A6"/>
    <w:rsid w:val="003A7EAF"/>
    <w:rsid w:val="003B0121"/>
    <w:rsid w:val="003B03C4"/>
    <w:rsid w:val="003B0966"/>
    <w:rsid w:val="003B0DF3"/>
    <w:rsid w:val="003B0EF7"/>
    <w:rsid w:val="003B143D"/>
    <w:rsid w:val="003B1E09"/>
    <w:rsid w:val="003B215C"/>
    <w:rsid w:val="003B25D8"/>
    <w:rsid w:val="003B27FB"/>
    <w:rsid w:val="003B30E5"/>
    <w:rsid w:val="003B3A53"/>
    <w:rsid w:val="003B42AD"/>
    <w:rsid w:val="003B4655"/>
    <w:rsid w:val="003B4E0E"/>
    <w:rsid w:val="003B504A"/>
    <w:rsid w:val="003B52C3"/>
    <w:rsid w:val="003B5472"/>
    <w:rsid w:val="003B5502"/>
    <w:rsid w:val="003B5E16"/>
    <w:rsid w:val="003B68DE"/>
    <w:rsid w:val="003B6A6D"/>
    <w:rsid w:val="003B6DE3"/>
    <w:rsid w:val="003B74E5"/>
    <w:rsid w:val="003B7B55"/>
    <w:rsid w:val="003C0087"/>
    <w:rsid w:val="003C092F"/>
    <w:rsid w:val="003C0C11"/>
    <w:rsid w:val="003C0E75"/>
    <w:rsid w:val="003C11D8"/>
    <w:rsid w:val="003C2693"/>
    <w:rsid w:val="003C28D0"/>
    <w:rsid w:val="003C292F"/>
    <w:rsid w:val="003C3812"/>
    <w:rsid w:val="003C3888"/>
    <w:rsid w:val="003C3A54"/>
    <w:rsid w:val="003C4546"/>
    <w:rsid w:val="003C4DF6"/>
    <w:rsid w:val="003C51FA"/>
    <w:rsid w:val="003C5647"/>
    <w:rsid w:val="003C595E"/>
    <w:rsid w:val="003C598C"/>
    <w:rsid w:val="003C5B54"/>
    <w:rsid w:val="003C5C75"/>
    <w:rsid w:val="003C612D"/>
    <w:rsid w:val="003C616E"/>
    <w:rsid w:val="003C6D0E"/>
    <w:rsid w:val="003C6FD2"/>
    <w:rsid w:val="003C6FE8"/>
    <w:rsid w:val="003C717E"/>
    <w:rsid w:val="003D017A"/>
    <w:rsid w:val="003D0394"/>
    <w:rsid w:val="003D03F1"/>
    <w:rsid w:val="003D09B5"/>
    <w:rsid w:val="003D0B01"/>
    <w:rsid w:val="003D1466"/>
    <w:rsid w:val="003D194B"/>
    <w:rsid w:val="003D1CE1"/>
    <w:rsid w:val="003D1D22"/>
    <w:rsid w:val="003D222F"/>
    <w:rsid w:val="003D2403"/>
    <w:rsid w:val="003D25AA"/>
    <w:rsid w:val="003D2C24"/>
    <w:rsid w:val="003D36C5"/>
    <w:rsid w:val="003D3D0B"/>
    <w:rsid w:val="003D3DE3"/>
    <w:rsid w:val="003D3F6D"/>
    <w:rsid w:val="003D47A7"/>
    <w:rsid w:val="003D48E4"/>
    <w:rsid w:val="003D5C1E"/>
    <w:rsid w:val="003D6411"/>
    <w:rsid w:val="003D6B36"/>
    <w:rsid w:val="003D6B94"/>
    <w:rsid w:val="003D6D2F"/>
    <w:rsid w:val="003D7740"/>
    <w:rsid w:val="003D7873"/>
    <w:rsid w:val="003D7B52"/>
    <w:rsid w:val="003D7B84"/>
    <w:rsid w:val="003D7C0C"/>
    <w:rsid w:val="003D7DA6"/>
    <w:rsid w:val="003E069A"/>
    <w:rsid w:val="003E11AB"/>
    <w:rsid w:val="003E1921"/>
    <w:rsid w:val="003E1F34"/>
    <w:rsid w:val="003E2409"/>
    <w:rsid w:val="003E29AF"/>
    <w:rsid w:val="003E2D3E"/>
    <w:rsid w:val="003E2E13"/>
    <w:rsid w:val="003E4267"/>
    <w:rsid w:val="003E43D6"/>
    <w:rsid w:val="003E49BF"/>
    <w:rsid w:val="003E50F1"/>
    <w:rsid w:val="003E55A9"/>
    <w:rsid w:val="003E5FEE"/>
    <w:rsid w:val="003E61F5"/>
    <w:rsid w:val="003E66BA"/>
    <w:rsid w:val="003E6BBB"/>
    <w:rsid w:val="003E6D28"/>
    <w:rsid w:val="003E6DED"/>
    <w:rsid w:val="003E7162"/>
    <w:rsid w:val="003E754D"/>
    <w:rsid w:val="003F05C8"/>
    <w:rsid w:val="003F094F"/>
    <w:rsid w:val="003F0C45"/>
    <w:rsid w:val="003F0D06"/>
    <w:rsid w:val="003F0E1A"/>
    <w:rsid w:val="003F0EE6"/>
    <w:rsid w:val="003F10D0"/>
    <w:rsid w:val="003F1380"/>
    <w:rsid w:val="003F1A06"/>
    <w:rsid w:val="003F271E"/>
    <w:rsid w:val="003F2A59"/>
    <w:rsid w:val="003F2B3B"/>
    <w:rsid w:val="003F2B43"/>
    <w:rsid w:val="003F2C73"/>
    <w:rsid w:val="003F2F85"/>
    <w:rsid w:val="003F3211"/>
    <w:rsid w:val="003F356B"/>
    <w:rsid w:val="003F396B"/>
    <w:rsid w:val="003F42C0"/>
    <w:rsid w:val="003F44C1"/>
    <w:rsid w:val="003F4B66"/>
    <w:rsid w:val="003F4DAA"/>
    <w:rsid w:val="003F565D"/>
    <w:rsid w:val="003F5FAF"/>
    <w:rsid w:val="003F618D"/>
    <w:rsid w:val="003F6236"/>
    <w:rsid w:val="003F67BF"/>
    <w:rsid w:val="003F6E6A"/>
    <w:rsid w:val="003F6F10"/>
    <w:rsid w:val="003F79C4"/>
    <w:rsid w:val="003F7A32"/>
    <w:rsid w:val="004008BC"/>
    <w:rsid w:val="00400CA4"/>
    <w:rsid w:val="0040100C"/>
    <w:rsid w:val="004015A6"/>
    <w:rsid w:val="004016F7"/>
    <w:rsid w:val="00401DBD"/>
    <w:rsid w:val="0040201E"/>
    <w:rsid w:val="0040228E"/>
    <w:rsid w:val="00402636"/>
    <w:rsid w:val="0040283C"/>
    <w:rsid w:val="0040369E"/>
    <w:rsid w:val="004036BE"/>
    <w:rsid w:val="0040397C"/>
    <w:rsid w:val="004039E0"/>
    <w:rsid w:val="0040429A"/>
    <w:rsid w:val="004043A2"/>
    <w:rsid w:val="004043FC"/>
    <w:rsid w:val="00404501"/>
    <w:rsid w:val="00404951"/>
    <w:rsid w:val="00404F7F"/>
    <w:rsid w:val="0040508A"/>
    <w:rsid w:val="004052B7"/>
    <w:rsid w:val="00405858"/>
    <w:rsid w:val="00405CE3"/>
    <w:rsid w:val="00405E7C"/>
    <w:rsid w:val="00405ED9"/>
    <w:rsid w:val="00406093"/>
    <w:rsid w:val="00406690"/>
    <w:rsid w:val="00406CFA"/>
    <w:rsid w:val="00406D72"/>
    <w:rsid w:val="0040708B"/>
    <w:rsid w:val="0040732A"/>
    <w:rsid w:val="00407403"/>
    <w:rsid w:val="004074A1"/>
    <w:rsid w:val="00407981"/>
    <w:rsid w:val="00410103"/>
    <w:rsid w:val="00410251"/>
    <w:rsid w:val="004105FC"/>
    <w:rsid w:val="00410B5A"/>
    <w:rsid w:val="0041128F"/>
    <w:rsid w:val="0041212E"/>
    <w:rsid w:val="00412230"/>
    <w:rsid w:val="0041240B"/>
    <w:rsid w:val="0041261F"/>
    <w:rsid w:val="00412973"/>
    <w:rsid w:val="0041344F"/>
    <w:rsid w:val="004134F4"/>
    <w:rsid w:val="00413A98"/>
    <w:rsid w:val="00413D4F"/>
    <w:rsid w:val="0041411C"/>
    <w:rsid w:val="00414256"/>
    <w:rsid w:val="004143CB"/>
    <w:rsid w:val="00414496"/>
    <w:rsid w:val="00414DDA"/>
    <w:rsid w:val="0041527B"/>
    <w:rsid w:val="00416208"/>
    <w:rsid w:val="004165F4"/>
    <w:rsid w:val="00417005"/>
    <w:rsid w:val="00417492"/>
    <w:rsid w:val="004178ED"/>
    <w:rsid w:val="00417C23"/>
    <w:rsid w:val="00421F61"/>
    <w:rsid w:val="0042213D"/>
    <w:rsid w:val="004221D1"/>
    <w:rsid w:val="004229FB"/>
    <w:rsid w:val="00422FE0"/>
    <w:rsid w:val="004236BE"/>
    <w:rsid w:val="00423C2E"/>
    <w:rsid w:val="00423E7A"/>
    <w:rsid w:val="004242C3"/>
    <w:rsid w:val="004248A8"/>
    <w:rsid w:val="00424C0B"/>
    <w:rsid w:val="00425B80"/>
    <w:rsid w:val="00426221"/>
    <w:rsid w:val="004262EB"/>
    <w:rsid w:val="00426706"/>
    <w:rsid w:val="00426B49"/>
    <w:rsid w:val="00426C1E"/>
    <w:rsid w:val="004275A3"/>
    <w:rsid w:val="004277FB"/>
    <w:rsid w:val="00427950"/>
    <w:rsid w:val="00427BC7"/>
    <w:rsid w:val="0043021F"/>
    <w:rsid w:val="00430668"/>
    <w:rsid w:val="004311EC"/>
    <w:rsid w:val="004313F8"/>
    <w:rsid w:val="004316EB"/>
    <w:rsid w:val="0043198B"/>
    <w:rsid w:val="00431A4F"/>
    <w:rsid w:val="00431F1B"/>
    <w:rsid w:val="00431F49"/>
    <w:rsid w:val="00432CEE"/>
    <w:rsid w:val="00432D73"/>
    <w:rsid w:val="00432E88"/>
    <w:rsid w:val="0043308B"/>
    <w:rsid w:val="004332CE"/>
    <w:rsid w:val="00433B78"/>
    <w:rsid w:val="00433EF3"/>
    <w:rsid w:val="00434395"/>
    <w:rsid w:val="00434906"/>
    <w:rsid w:val="00434FAE"/>
    <w:rsid w:val="00435285"/>
    <w:rsid w:val="00436056"/>
    <w:rsid w:val="004360C8"/>
    <w:rsid w:val="004361D0"/>
    <w:rsid w:val="0043623F"/>
    <w:rsid w:val="00436A9B"/>
    <w:rsid w:val="00436BFA"/>
    <w:rsid w:val="0043710C"/>
    <w:rsid w:val="00437594"/>
    <w:rsid w:val="00437609"/>
    <w:rsid w:val="00437722"/>
    <w:rsid w:val="00437EEA"/>
    <w:rsid w:val="00440186"/>
    <w:rsid w:val="004408CB"/>
    <w:rsid w:val="00440AEC"/>
    <w:rsid w:val="00440C39"/>
    <w:rsid w:val="0044106B"/>
    <w:rsid w:val="004411A2"/>
    <w:rsid w:val="00441683"/>
    <w:rsid w:val="0044187D"/>
    <w:rsid w:val="00441C5A"/>
    <w:rsid w:val="004425F3"/>
    <w:rsid w:val="00443244"/>
    <w:rsid w:val="004433B2"/>
    <w:rsid w:val="00443440"/>
    <w:rsid w:val="004441B7"/>
    <w:rsid w:val="0044466C"/>
    <w:rsid w:val="00444757"/>
    <w:rsid w:val="00444A56"/>
    <w:rsid w:val="00445706"/>
    <w:rsid w:val="00445B47"/>
    <w:rsid w:val="0044602C"/>
    <w:rsid w:val="004463CE"/>
    <w:rsid w:val="004471F7"/>
    <w:rsid w:val="00447539"/>
    <w:rsid w:val="004501F0"/>
    <w:rsid w:val="0045023A"/>
    <w:rsid w:val="00450935"/>
    <w:rsid w:val="004509FD"/>
    <w:rsid w:val="00450C65"/>
    <w:rsid w:val="00451329"/>
    <w:rsid w:val="00451491"/>
    <w:rsid w:val="0045189F"/>
    <w:rsid w:val="004523D7"/>
    <w:rsid w:val="00452B6B"/>
    <w:rsid w:val="00452FC8"/>
    <w:rsid w:val="004530B1"/>
    <w:rsid w:val="00453A93"/>
    <w:rsid w:val="00453B28"/>
    <w:rsid w:val="00453D62"/>
    <w:rsid w:val="00453F65"/>
    <w:rsid w:val="0045429A"/>
    <w:rsid w:val="00454A2A"/>
    <w:rsid w:val="00454A8E"/>
    <w:rsid w:val="0045512D"/>
    <w:rsid w:val="00455784"/>
    <w:rsid w:val="00455A7B"/>
    <w:rsid w:val="00456862"/>
    <w:rsid w:val="00456DF8"/>
    <w:rsid w:val="004607B7"/>
    <w:rsid w:val="00460C20"/>
    <w:rsid w:val="00460C43"/>
    <w:rsid w:val="00460DF5"/>
    <w:rsid w:val="00460E02"/>
    <w:rsid w:val="00461532"/>
    <w:rsid w:val="004615AA"/>
    <w:rsid w:val="00461619"/>
    <w:rsid w:val="0046166F"/>
    <w:rsid w:val="004617BB"/>
    <w:rsid w:val="00461839"/>
    <w:rsid w:val="00461865"/>
    <w:rsid w:val="004618A8"/>
    <w:rsid w:val="004619C8"/>
    <w:rsid w:val="00461B92"/>
    <w:rsid w:val="00461E10"/>
    <w:rsid w:val="00461F24"/>
    <w:rsid w:val="004629DA"/>
    <w:rsid w:val="00462A48"/>
    <w:rsid w:val="00462C13"/>
    <w:rsid w:val="00462D11"/>
    <w:rsid w:val="00462F87"/>
    <w:rsid w:val="00462FD3"/>
    <w:rsid w:val="004631FD"/>
    <w:rsid w:val="004637A6"/>
    <w:rsid w:val="00463984"/>
    <w:rsid w:val="00464260"/>
    <w:rsid w:val="0046450C"/>
    <w:rsid w:val="004653B0"/>
    <w:rsid w:val="0046543E"/>
    <w:rsid w:val="004658E5"/>
    <w:rsid w:val="004660C5"/>
    <w:rsid w:val="004665E0"/>
    <w:rsid w:val="0046662A"/>
    <w:rsid w:val="00466A78"/>
    <w:rsid w:val="00466C79"/>
    <w:rsid w:val="00466E3A"/>
    <w:rsid w:val="004674C5"/>
    <w:rsid w:val="004677C7"/>
    <w:rsid w:val="004678F6"/>
    <w:rsid w:val="00467FCB"/>
    <w:rsid w:val="0047096D"/>
    <w:rsid w:val="004709A0"/>
    <w:rsid w:val="004710B1"/>
    <w:rsid w:val="004710C9"/>
    <w:rsid w:val="004711AE"/>
    <w:rsid w:val="004715A9"/>
    <w:rsid w:val="004716FF"/>
    <w:rsid w:val="00471899"/>
    <w:rsid w:val="00471B40"/>
    <w:rsid w:val="00471E73"/>
    <w:rsid w:val="004720AE"/>
    <w:rsid w:val="004724DE"/>
    <w:rsid w:val="004727DB"/>
    <w:rsid w:val="004728CE"/>
    <w:rsid w:val="00472D8E"/>
    <w:rsid w:val="00472F32"/>
    <w:rsid w:val="0047309C"/>
    <w:rsid w:val="0047394B"/>
    <w:rsid w:val="00473EF0"/>
    <w:rsid w:val="00474552"/>
    <w:rsid w:val="00474A7E"/>
    <w:rsid w:val="00474D7D"/>
    <w:rsid w:val="0047506B"/>
    <w:rsid w:val="0047527B"/>
    <w:rsid w:val="00476313"/>
    <w:rsid w:val="004766E7"/>
    <w:rsid w:val="00476E64"/>
    <w:rsid w:val="00477369"/>
    <w:rsid w:val="004773A5"/>
    <w:rsid w:val="004773BD"/>
    <w:rsid w:val="00477598"/>
    <w:rsid w:val="0047777D"/>
    <w:rsid w:val="004809CC"/>
    <w:rsid w:val="00480E93"/>
    <w:rsid w:val="004815F5"/>
    <w:rsid w:val="004820E2"/>
    <w:rsid w:val="004822B0"/>
    <w:rsid w:val="00482913"/>
    <w:rsid w:val="00482C1D"/>
    <w:rsid w:val="00482D31"/>
    <w:rsid w:val="00482E7B"/>
    <w:rsid w:val="0048326B"/>
    <w:rsid w:val="0048332C"/>
    <w:rsid w:val="0048335B"/>
    <w:rsid w:val="00483BBF"/>
    <w:rsid w:val="004841E8"/>
    <w:rsid w:val="00484205"/>
    <w:rsid w:val="004846EF"/>
    <w:rsid w:val="004849C5"/>
    <w:rsid w:val="00484ACD"/>
    <w:rsid w:val="00484B28"/>
    <w:rsid w:val="00484BD4"/>
    <w:rsid w:val="00484E29"/>
    <w:rsid w:val="00485234"/>
    <w:rsid w:val="00485DA1"/>
    <w:rsid w:val="004862F1"/>
    <w:rsid w:val="004872EE"/>
    <w:rsid w:val="00487518"/>
    <w:rsid w:val="0048767F"/>
    <w:rsid w:val="00487B78"/>
    <w:rsid w:val="004900D5"/>
    <w:rsid w:val="004904D3"/>
    <w:rsid w:val="0049153D"/>
    <w:rsid w:val="004915E8"/>
    <w:rsid w:val="00491BE9"/>
    <w:rsid w:val="00492830"/>
    <w:rsid w:val="00492DE7"/>
    <w:rsid w:val="004930C9"/>
    <w:rsid w:val="0049321C"/>
    <w:rsid w:val="0049349F"/>
    <w:rsid w:val="0049358D"/>
    <w:rsid w:val="0049361F"/>
    <w:rsid w:val="0049382A"/>
    <w:rsid w:val="004938ED"/>
    <w:rsid w:val="00493EAE"/>
    <w:rsid w:val="00493F4F"/>
    <w:rsid w:val="00494EC6"/>
    <w:rsid w:val="004954AE"/>
    <w:rsid w:val="00495AEB"/>
    <w:rsid w:val="00495DAB"/>
    <w:rsid w:val="00495DC7"/>
    <w:rsid w:val="0049601B"/>
    <w:rsid w:val="0049625F"/>
    <w:rsid w:val="00497411"/>
    <w:rsid w:val="00497A5E"/>
    <w:rsid w:val="00497F5F"/>
    <w:rsid w:val="004A04A3"/>
    <w:rsid w:val="004A06F2"/>
    <w:rsid w:val="004A14A9"/>
    <w:rsid w:val="004A15AA"/>
    <w:rsid w:val="004A1C75"/>
    <w:rsid w:val="004A1DBE"/>
    <w:rsid w:val="004A1F8B"/>
    <w:rsid w:val="004A27FE"/>
    <w:rsid w:val="004A2CE8"/>
    <w:rsid w:val="004A30C6"/>
    <w:rsid w:val="004A3202"/>
    <w:rsid w:val="004A37BC"/>
    <w:rsid w:val="004A401A"/>
    <w:rsid w:val="004A404B"/>
    <w:rsid w:val="004A4177"/>
    <w:rsid w:val="004A44D7"/>
    <w:rsid w:val="004A4595"/>
    <w:rsid w:val="004A4670"/>
    <w:rsid w:val="004A4A13"/>
    <w:rsid w:val="004A4A3B"/>
    <w:rsid w:val="004A4E51"/>
    <w:rsid w:val="004A5809"/>
    <w:rsid w:val="004A5B39"/>
    <w:rsid w:val="004A5DB6"/>
    <w:rsid w:val="004A65FB"/>
    <w:rsid w:val="004A6929"/>
    <w:rsid w:val="004A6B88"/>
    <w:rsid w:val="004A74EE"/>
    <w:rsid w:val="004A7787"/>
    <w:rsid w:val="004A7F71"/>
    <w:rsid w:val="004B00D7"/>
    <w:rsid w:val="004B03CF"/>
    <w:rsid w:val="004B09E7"/>
    <w:rsid w:val="004B0A1A"/>
    <w:rsid w:val="004B0A6D"/>
    <w:rsid w:val="004B0D6D"/>
    <w:rsid w:val="004B0FED"/>
    <w:rsid w:val="004B1384"/>
    <w:rsid w:val="004B176F"/>
    <w:rsid w:val="004B1B53"/>
    <w:rsid w:val="004B1BE0"/>
    <w:rsid w:val="004B20CC"/>
    <w:rsid w:val="004B241F"/>
    <w:rsid w:val="004B27DA"/>
    <w:rsid w:val="004B2E92"/>
    <w:rsid w:val="004B303D"/>
    <w:rsid w:val="004B312A"/>
    <w:rsid w:val="004B326D"/>
    <w:rsid w:val="004B36F5"/>
    <w:rsid w:val="004B388E"/>
    <w:rsid w:val="004B3E35"/>
    <w:rsid w:val="004B3F5A"/>
    <w:rsid w:val="004B3F62"/>
    <w:rsid w:val="004B412D"/>
    <w:rsid w:val="004B46D2"/>
    <w:rsid w:val="004B486B"/>
    <w:rsid w:val="004B498A"/>
    <w:rsid w:val="004B4ADA"/>
    <w:rsid w:val="004B4D96"/>
    <w:rsid w:val="004B558E"/>
    <w:rsid w:val="004B5DC2"/>
    <w:rsid w:val="004B5F29"/>
    <w:rsid w:val="004B60F9"/>
    <w:rsid w:val="004B6287"/>
    <w:rsid w:val="004B67C9"/>
    <w:rsid w:val="004B6ACF"/>
    <w:rsid w:val="004C0375"/>
    <w:rsid w:val="004C053D"/>
    <w:rsid w:val="004C0C97"/>
    <w:rsid w:val="004C1476"/>
    <w:rsid w:val="004C20EF"/>
    <w:rsid w:val="004C2AD8"/>
    <w:rsid w:val="004C2D0E"/>
    <w:rsid w:val="004C2F37"/>
    <w:rsid w:val="004C368A"/>
    <w:rsid w:val="004C439D"/>
    <w:rsid w:val="004C4546"/>
    <w:rsid w:val="004C4AE4"/>
    <w:rsid w:val="004C4BC0"/>
    <w:rsid w:val="004C5B7C"/>
    <w:rsid w:val="004C5EE4"/>
    <w:rsid w:val="004C60E3"/>
    <w:rsid w:val="004C63E5"/>
    <w:rsid w:val="004C6892"/>
    <w:rsid w:val="004C7283"/>
    <w:rsid w:val="004C73CE"/>
    <w:rsid w:val="004C7657"/>
    <w:rsid w:val="004C76A6"/>
    <w:rsid w:val="004D0297"/>
    <w:rsid w:val="004D02A8"/>
    <w:rsid w:val="004D0609"/>
    <w:rsid w:val="004D0645"/>
    <w:rsid w:val="004D08EE"/>
    <w:rsid w:val="004D09DA"/>
    <w:rsid w:val="004D0CB2"/>
    <w:rsid w:val="004D1338"/>
    <w:rsid w:val="004D166D"/>
    <w:rsid w:val="004D1A00"/>
    <w:rsid w:val="004D1C08"/>
    <w:rsid w:val="004D1CFE"/>
    <w:rsid w:val="004D1E07"/>
    <w:rsid w:val="004D2004"/>
    <w:rsid w:val="004D2921"/>
    <w:rsid w:val="004D2FAC"/>
    <w:rsid w:val="004D324A"/>
    <w:rsid w:val="004D375D"/>
    <w:rsid w:val="004D4060"/>
    <w:rsid w:val="004D41A9"/>
    <w:rsid w:val="004D4915"/>
    <w:rsid w:val="004D4E8A"/>
    <w:rsid w:val="004D5137"/>
    <w:rsid w:val="004D589F"/>
    <w:rsid w:val="004D5A21"/>
    <w:rsid w:val="004D63D8"/>
    <w:rsid w:val="004D66B2"/>
    <w:rsid w:val="004D6784"/>
    <w:rsid w:val="004D6BEF"/>
    <w:rsid w:val="004D6E1F"/>
    <w:rsid w:val="004D7131"/>
    <w:rsid w:val="004D7232"/>
    <w:rsid w:val="004D7A34"/>
    <w:rsid w:val="004D7B65"/>
    <w:rsid w:val="004E09B8"/>
    <w:rsid w:val="004E0AC1"/>
    <w:rsid w:val="004E0AD7"/>
    <w:rsid w:val="004E0B2B"/>
    <w:rsid w:val="004E0D89"/>
    <w:rsid w:val="004E0F1F"/>
    <w:rsid w:val="004E1AE0"/>
    <w:rsid w:val="004E1FB4"/>
    <w:rsid w:val="004E23A0"/>
    <w:rsid w:val="004E2DEC"/>
    <w:rsid w:val="004E3163"/>
    <w:rsid w:val="004E3A59"/>
    <w:rsid w:val="004E3B5D"/>
    <w:rsid w:val="004E3CCB"/>
    <w:rsid w:val="004E4030"/>
    <w:rsid w:val="004E4046"/>
    <w:rsid w:val="004E43A1"/>
    <w:rsid w:val="004E4678"/>
    <w:rsid w:val="004E4718"/>
    <w:rsid w:val="004E4731"/>
    <w:rsid w:val="004E4CA2"/>
    <w:rsid w:val="004E4EF6"/>
    <w:rsid w:val="004E51AC"/>
    <w:rsid w:val="004E5238"/>
    <w:rsid w:val="004E55D8"/>
    <w:rsid w:val="004E570A"/>
    <w:rsid w:val="004E5B73"/>
    <w:rsid w:val="004E5E1E"/>
    <w:rsid w:val="004E5E70"/>
    <w:rsid w:val="004E5EF4"/>
    <w:rsid w:val="004E6035"/>
    <w:rsid w:val="004E620A"/>
    <w:rsid w:val="004E6328"/>
    <w:rsid w:val="004E6759"/>
    <w:rsid w:val="004E719D"/>
    <w:rsid w:val="004E71C4"/>
    <w:rsid w:val="004E7322"/>
    <w:rsid w:val="004E7524"/>
    <w:rsid w:val="004E7527"/>
    <w:rsid w:val="004E7541"/>
    <w:rsid w:val="004E7A64"/>
    <w:rsid w:val="004E7B4E"/>
    <w:rsid w:val="004E7BC1"/>
    <w:rsid w:val="004F11BF"/>
    <w:rsid w:val="004F12BA"/>
    <w:rsid w:val="004F17D1"/>
    <w:rsid w:val="004F18A7"/>
    <w:rsid w:val="004F18CF"/>
    <w:rsid w:val="004F1A10"/>
    <w:rsid w:val="004F1CE5"/>
    <w:rsid w:val="004F1CFA"/>
    <w:rsid w:val="004F1EB2"/>
    <w:rsid w:val="004F1F15"/>
    <w:rsid w:val="004F246A"/>
    <w:rsid w:val="004F2928"/>
    <w:rsid w:val="004F2FC9"/>
    <w:rsid w:val="004F3416"/>
    <w:rsid w:val="004F3544"/>
    <w:rsid w:val="004F396E"/>
    <w:rsid w:val="004F3DE8"/>
    <w:rsid w:val="004F3E8C"/>
    <w:rsid w:val="004F488A"/>
    <w:rsid w:val="004F48B5"/>
    <w:rsid w:val="004F4A60"/>
    <w:rsid w:val="004F5432"/>
    <w:rsid w:val="004F5436"/>
    <w:rsid w:val="004F54FA"/>
    <w:rsid w:val="004F562B"/>
    <w:rsid w:val="004F7212"/>
    <w:rsid w:val="004F7378"/>
    <w:rsid w:val="004F7470"/>
    <w:rsid w:val="004F74BD"/>
    <w:rsid w:val="004F75A1"/>
    <w:rsid w:val="004F7631"/>
    <w:rsid w:val="004F78B3"/>
    <w:rsid w:val="004F7B03"/>
    <w:rsid w:val="00500414"/>
    <w:rsid w:val="00500F4D"/>
    <w:rsid w:val="0050110B"/>
    <w:rsid w:val="005013D3"/>
    <w:rsid w:val="00502105"/>
    <w:rsid w:val="00502380"/>
    <w:rsid w:val="005024BC"/>
    <w:rsid w:val="00502596"/>
    <w:rsid w:val="00502B88"/>
    <w:rsid w:val="00502C1B"/>
    <w:rsid w:val="00502E17"/>
    <w:rsid w:val="00502ED6"/>
    <w:rsid w:val="00503940"/>
    <w:rsid w:val="005039E9"/>
    <w:rsid w:val="005044A0"/>
    <w:rsid w:val="005045B6"/>
    <w:rsid w:val="00504A1D"/>
    <w:rsid w:val="00504B5F"/>
    <w:rsid w:val="00505013"/>
    <w:rsid w:val="005056B9"/>
    <w:rsid w:val="00505AF4"/>
    <w:rsid w:val="005063C1"/>
    <w:rsid w:val="005064DA"/>
    <w:rsid w:val="005065EA"/>
    <w:rsid w:val="00506A2D"/>
    <w:rsid w:val="00506ABE"/>
    <w:rsid w:val="00506FCF"/>
    <w:rsid w:val="00506FED"/>
    <w:rsid w:val="00507024"/>
    <w:rsid w:val="00507542"/>
    <w:rsid w:val="00507B4D"/>
    <w:rsid w:val="00507DFE"/>
    <w:rsid w:val="0051083C"/>
    <w:rsid w:val="00510C54"/>
    <w:rsid w:val="00510CD6"/>
    <w:rsid w:val="0051171A"/>
    <w:rsid w:val="00511734"/>
    <w:rsid w:val="00512157"/>
    <w:rsid w:val="00512851"/>
    <w:rsid w:val="00512AB3"/>
    <w:rsid w:val="00512BAA"/>
    <w:rsid w:val="00512EA9"/>
    <w:rsid w:val="0051317E"/>
    <w:rsid w:val="005131A1"/>
    <w:rsid w:val="005131A2"/>
    <w:rsid w:val="00513E5D"/>
    <w:rsid w:val="0051410C"/>
    <w:rsid w:val="005144B1"/>
    <w:rsid w:val="00514CFB"/>
    <w:rsid w:val="00514D9C"/>
    <w:rsid w:val="00515536"/>
    <w:rsid w:val="0051585C"/>
    <w:rsid w:val="00515D32"/>
    <w:rsid w:val="0051600E"/>
    <w:rsid w:val="005161A1"/>
    <w:rsid w:val="005169CB"/>
    <w:rsid w:val="00516A83"/>
    <w:rsid w:val="0051747C"/>
    <w:rsid w:val="00517C42"/>
    <w:rsid w:val="00517C5B"/>
    <w:rsid w:val="00520260"/>
    <w:rsid w:val="005204B7"/>
    <w:rsid w:val="005204CC"/>
    <w:rsid w:val="005209EB"/>
    <w:rsid w:val="00520CFB"/>
    <w:rsid w:val="00521699"/>
    <w:rsid w:val="00521FBA"/>
    <w:rsid w:val="005221BD"/>
    <w:rsid w:val="005228F0"/>
    <w:rsid w:val="00522A19"/>
    <w:rsid w:val="0052320A"/>
    <w:rsid w:val="00524657"/>
    <w:rsid w:val="00524778"/>
    <w:rsid w:val="00524A69"/>
    <w:rsid w:val="00525876"/>
    <w:rsid w:val="00525E18"/>
    <w:rsid w:val="00525F24"/>
    <w:rsid w:val="00526284"/>
    <w:rsid w:val="00526DE1"/>
    <w:rsid w:val="005277AE"/>
    <w:rsid w:val="005277E4"/>
    <w:rsid w:val="00530352"/>
    <w:rsid w:val="005308D4"/>
    <w:rsid w:val="00530AE3"/>
    <w:rsid w:val="00530AE7"/>
    <w:rsid w:val="005317C2"/>
    <w:rsid w:val="00531CE5"/>
    <w:rsid w:val="0053264E"/>
    <w:rsid w:val="00532F79"/>
    <w:rsid w:val="005331A7"/>
    <w:rsid w:val="00533AA7"/>
    <w:rsid w:val="00534610"/>
    <w:rsid w:val="005348A6"/>
    <w:rsid w:val="00534B6C"/>
    <w:rsid w:val="005350C7"/>
    <w:rsid w:val="00535101"/>
    <w:rsid w:val="00535360"/>
    <w:rsid w:val="0053536C"/>
    <w:rsid w:val="00535553"/>
    <w:rsid w:val="005361D9"/>
    <w:rsid w:val="005362B5"/>
    <w:rsid w:val="00536931"/>
    <w:rsid w:val="005370A5"/>
    <w:rsid w:val="00540241"/>
    <w:rsid w:val="005402AD"/>
    <w:rsid w:val="005409F5"/>
    <w:rsid w:val="00540C4F"/>
    <w:rsid w:val="0054184F"/>
    <w:rsid w:val="0054242F"/>
    <w:rsid w:val="005428A6"/>
    <w:rsid w:val="00542CD2"/>
    <w:rsid w:val="00542F6B"/>
    <w:rsid w:val="005431B4"/>
    <w:rsid w:val="00543613"/>
    <w:rsid w:val="005444BA"/>
    <w:rsid w:val="00545740"/>
    <w:rsid w:val="00546847"/>
    <w:rsid w:val="00546D41"/>
    <w:rsid w:val="0054702D"/>
    <w:rsid w:val="005476C9"/>
    <w:rsid w:val="00547CF7"/>
    <w:rsid w:val="005503BF"/>
    <w:rsid w:val="0055084F"/>
    <w:rsid w:val="005509AF"/>
    <w:rsid w:val="00550C42"/>
    <w:rsid w:val="00550C56"/>
    <w:rsid w:val="00551356"/>
    <w:rsid w:val="005515CB"/>
    <w:rsid w:val="005515D1"/>
    <w:rsid w:val="00551633"/>
    <w:rsid w:val="005519AD"/>
    <w:rsid w:val="00551BE1"/>
    <w:rsid w:val="00552580"/>
    <w:rsid w:val="00552918"/>
    <w:rsid w:val="00552EFF"/>
    <w:rsid w:val="005533E9"/>
    <w:rsid w:val="00553927"/>
    <w:rsid w:val="00553A03"/>
    <w:rsid w:val="00553C63"/>
    <w:rsid w:val="0055407D"/>
    <w:rsid w:val="00554DAA"/>
    <w:rsid w:val="00554F36"/>
    <w:rsid w:val="0055522C"/>
    <w:rsid w:val="00555B5D"/>
    <w:rsid w:val="00555D41"/>
    <w:rsid w:val="005561A1"/>
    <w:rsid w:val="005566B7"/>
    <w:rsid w:val="00556751"/>
    <w:rsid w:val="00556CE0"/>
    <w:rsid w:val="0055738A"/>
    <w:rsid w:val="0055793D"/>
    <w:rsid w:val="00557D4D"/>
    <w:rsid w:val="005600D4"/>
    <w:rsid w:val="0056078B"/>
    <w:rsid w:val="005608BF"/>
    <w:rsid w:val="00561027"/>
    <w:rsid w:val="00561509"/>
    <w:rsid w:val="00561777"/>
    <w:rsid w:val="00561D52"/>
    <w:rsid w:val="00561E89"/>
    <w:rsid w:val="00561FD3"/>
    <w:rsid w:val="005623CF"/>
    <w:rsid w:val="0056252A"/>
    <w:rsid w:val="005627C5"/>
    <w:rsid w:val="005643DA"/>
    <w:rsid w:val="005644F1"/>
    <w:rsid w:val="00564B70"/>
    <w:rsid w:val="00564DCC"/>
    <w:rsid w:val="00565064"/>
    <w:rsid w:val="0056597E"/>
    <w:rsid w:val="00565FE1"/>
    <w:rsid w:val="00565FEC"/>
    <w:rsid w:val="00566104"/>
    <w:rsid w:val="0056632E"/>
    <w:rsid w:val="00566508"/>
    <w:rsid w:val="00566874"/>
    <w:rsid w:val="005672E9"/>
    <w:rsid w:val="005675CE"/>
    <w:rsid w:val="005676EC"/>
    <w:rsid w:val="00567E17"/>
    <w:rsid w:val="00570512"/>
    <w:rsid w:val="005705E7"/>
    <w:rsid w:val="00570C94"/>
    <w:rsid w:val="00570C98"/>
    <w:rsid w:val="00570CA2"/>
    <w:rsid w:val="00570EC8"/>
    <w:rsid w:val="005710F5"/>
    <w:rsid w:val="0057177A"/>
    <w:rsid w:val="005717C0"/>
    <w:rsid w:val="00572221"/>
    <w:rsid w:val="00572601"/>
    <w:rsid w:val="00572DD3"/>
    <w:rsid w:val="0057350B"/>
    <w:rsid w:val="00573513"/>
    <w:rsid w:val="00573C06"/>
    <w:rsid w:val="00573D5A"/>
    <w:rsid w:val="0057404D"/>
    <w:rsid w:val="00574075"/>
    <w:rsid w:val="00574124"/>
    <w:rsid w:val="0057437D"/>
    <w:rsid w:val="00574C0B"/>
    <w:rsid w:val="005762BB"/>
    <w:rsid w:val="0057640A"/>
    <w:rsid w:val="00576731"/>
    <w:rsid w:val="00577E78"/>
    <w:rsid w:val="00577EE9"/>
    <w:rsid w:val="005804DD"/>
    <w:rsid w:val="00580DFC"/>
    <w:rsid w:val="005811A6"/>
    <w:rsid w:val="00581237"/>
    <w:rsid w:val="005816A0"/>
    <w:rsid w:val="0058184A"/>
    <w:rsid w:val="00581A99"/>
    <w:rsid w:val="00581D4B"/>
    <w:rsid w:val="00581E59"/>
    <w:rsid w:val="0058218C"/>
    <w:rsid w:val="00582939"/>
    <w:rsid w:val="00582A41"/>
    <w:rsid w:val="00582E02"/>
    <w:rsid w:val="005846E3"/>
    <w:rsid w:val="0058485B"/>
    <w:rsid w:val="00584C7B"/>
    <w:rsid w:val="00584F37"/>
    <w:rsid w:val="0058558F"/>
    <w:rsid w:val="00585622"/>
    <w:rsid w:val="00585843"/>
    <w:rsid w:val="005859B7"/>
    <w:rsid w:val="00585C6D"/>
    <w:rsid w:val="00586121"/>
    <w:rsid w:val="00586195"/>
    <w:rsid w:val="0058654C"/>
    <w:rsid w:val="00586E1A"/>
    <w:rsid w:val="005871C3"/>
    <w:rsid w:val="00587940"/>
    <w:rsid w:val="00587B8A"/>
    <w:rsid w:val="00587CA2"/>
    <w:rsid w:val="00587EC1"/>
    <w:rsid w:val="0059066F"/>
    <w:rsid w:val="00590A3C"/>
    <w:rsid w:val="00590A96"/>
    <w:rsid w:val="00590BC4"/>
    <w:rsid w:val="00590CC4"/>
    <w:rsid w:val="005917D9"/>
    <w:rsid w:val="00591B8F"/>
    <w:rsid w:val="00592198"/>
    <w:rsid w:val="005928CC"/>
    <w:rsid w:val="00592CFF"/>
    <w:rsid w:val="00593148"/>
    <w:rsid w:val="0059322C"/>
    <w:rsid w:val="00593D05"/>
    <w:rsid w:val="0059436A"/>
    <w:rsid w:val="005945F3"/>
    <w:rsid w:val="00594DED"/>
    <w:rsid w:val="00594F0A"/>
    <w:rsid w:val="0059500A"/>
    <w:rsid w:val="0059572A"/>
    <w:rsid w:val="00595F08"/>
    <w:rsid w:val="0059643A"/>
    <w:rsid w:val="005968F8"/>
    <w:rsid w:val="005969AA"/>
    <w:rsid w:val="00596EA8"/>
    <w:rsid w:val="00596F9C"/>
    <w:rsid w:val="0059745D"/>
    <w:rsid w:val="00597AA1"/>
    <w:rsid w:val="00597F83"/>
    <w:rsid w:val="00597F88"/>
    <w:rsid w:val="005A00D8"/>
    <w:rsid w:val="005A01E7"/>
    <w:rsid w:val="005A050F"/>
    <w:rsid w:val="005A0CD3"/>
    <w:rsid w:val="005A13D2"/>
    <w:rsid w:val="005A1413"/>
    <w:rsid w:val="005A2390"/>
    <w:rsid w:val="005A2671"/>
    <w:rsid w:val="005A2718"/>
    <w:rsid w:val="005A2A40"/>
    <w:rsid w:val="005A2DC6"/>
    <w:rsid w:val="005A2F95"/>
    <w:rsid w:val="005A31A9"/>
    <w:rsid w:val="005A3905"/>
    <w:rsid w:val="005A3991"/>
    <w:rsid w:val="005A3C58"/>
    <w:rsid w:val="005A4177"/>
    <w:rsid w:val="005A4375"/>
    <w:rsid w:val="005A45BB"/>
    <w:rsid w:val="005A4B7F"/>
    <w:rsid w:val="005A4C10"/>
    <w:rsid w:val="005A4F63"/>
    <w:rsid w:val="005A501D"/>
    <w:rsid w:val="005A5339"/>
    <w:rsid w:val="005A564C"/>
    <w:rsid w:val="005A5769"/>
    <w:rsid w:val="005A59BE"/>
    <w:rsid w:val="005A5A3C"/>
    <w:rsid w:val="005A5C27"/>
    <w:rsid w:val="005A5E37"/>
    <w:rsid w:val="005A5FFC"/>
    <w:rsid w:val="005A6135"/>
    <w:rsid w:val="005A61B0"/>
    <w:rsid w:val="005A6413"/>
    <w:rsid w:val="005A6643"/>
    <w:rsid w:val="005A66E6"/>
    <w:rsid w:val="005A6B43"/>
    <w:rsid w:val="005A71CE"/>
    <w:rsid w:val="005A75AB"/>
    <w:rsid w:val="005A7751"/>
    <w:rsid w:val="005A788D"/>
    <w:rsid w:val="005A7C1F"/>
    <w:rsid w:val="005A7E53"/>
    <w:rsid w:val="005A7F65"/>
    <w:rsid w:val="005B0307"/>
    <w:rsid w:val="005B0527"/>
    <w:rsid w:val="005B1B05"/>
    <w:rsid w:val="005B1B4D"/>
    <w:rsid w:val="005B1D49"/>
    <w:rsid w:val="005B2291"/>
    <w:rsid w:val="005B23F9"/>
    <w:rsid w:val="005B250E"/>
    <w:rsid w:val="005B27A8"/>
    <w:rsid w:val="005B28F2"/>
    <w:rsid w:val="005B3417"/>
    <w:rsid w:val="005B36A6"/>
    <w:rsid w:val="005B380A"/>
    <w:rsid w:val="005B3D83"/>
    <w:rsid w:val="005B3EC1"/>
    <w:rsid w:val="005B41BB"/>
    <w:rsid w:val="005B449D"/>
    <w:rsid w:val="005B4634"/>
    <w:rsid w:val="005B470D"/>
    <w:rsid w:val="005B4801"/>
    <w:rsid w:val="005B4C66"/>
    <w:rsid w:val="005B4E7B"/>
    <w:rsid w:val="005B5107"/>
    <w:rsid w:val="005B5982"/>
    <w:rsid w:val="005B5DDD"/>
    <w:rsid w:val="005B6582"/>
    <w:rsid w:val="005B6876"/>
    <w:rsid w:val="005B68C8"/>
    <w:rsid w:val="005B6B5A"/>
    <w:rsid w:val="005B6CA5"/>
    <w:rsid w:val="005B71F0"/>
    <w:rsid w:val="005B736A"/>
    <w:rsid w:val="005B7C23"/>
    <w:rsid w:val="005B7C36"/>
    <w:rsid w:val="005C051D"/>
    <w:rsid w:val="005C052D"/>
    <w:rsid w:val="005C0ADB"/>
    <w:rsid w:val="005C0F4C"/>
    <w:rsid w:val="005C17EF"/>
    <w:rsid w:val="005C22E6"/>
    <w:rsid w:val="005C25A6"/>
    <w:rsid w:val="005C307C"/>
    <w:rsid w:val="005C309F"/>
    <w:rsid w:val="005C3574"/>
    <w:rsid w:val="005C3F0D"/>
    <w:rsid w:val="005C4884"/>
    <w:rsid w:val="005C4EDA"/>
    <w:rsid w:val="005C4F4A"/>
    <w:rsid w:val="005C50F3"/>
    <w:rsid w:val="005C5225"/>
    <w:rsid w:val="005C5347"/>
    <w:rsid w:val="005C58EE"/>
    <w:rsid w:val="005C59A9"/>
    <w:rsid w:val="005C5CB6"/>
    <w:rsid w:val="005C6211"/>
    <w:rsid w:val="005C66C1"/>
    <w:rsid w:val="005C66E8"/>
    <w:rsid w:val="005C6877"/>
    <w:rsid w:val="005C70BA"/>
    <w:rsid w:val="005C7791"/>
    <w:rsid w:val="005C7C7A"/>
    <w:rsid w:val="005C7ED6"/>
    <w:rsid w:val="005D0150"/>
    <w:rsid w:val="005D05EA"/>
    <w:rsid w:val="005D14E0"/>
    <w:rsid w:val="005D15BF"/>
    <w:rsid w:val="005D19C7"/>
    <w:rsid w:val="005D19CA"/>
    <w:rsid w:val="005D19EF"/>
    <w:rsid w:val="005D1CED"/>
    <w:rsid w:val="005D1D4B"/>
    <w:rsid w:val="005D1DCC"/>
    <w:rsid w:val="005D2A87"/>
    <w:rsid w:val="005D36C0"/>
    <w:rsid w:val="005D3843"/>
    <w:rsid w:val="005D39E7"/>
    <w:rsid w:val="005D3D41"/>
    <w:rsid w:val="005D41AB"/>
    <w:rsid w:val="005D42E0"/>
    <w:rsid w:val="005D454D"/>
    <w:rsid w:val="005D459A"/>
    <w:rsid w:val="005D45DF"/>
    <w:rsid w:val="005D4C90"/>
    <w:rsid w:val="005D50F2"/>
    <w:rsid w:val="005D523C"/>
    <w:rsid w:val="005D536D"/>
    <w:rsid w:val="005D5613"/>
    <w:rsid w:val="005D5CD7"/>
    <w:rsid w:val="005D5D68"/>
    <w:rsid w:val="005D634D"/>
    <w:rsid w:val="005D643B"/>
    <w:rsid w:val="005D6494"/>
    <w:rsid w:val="005D6740"/>
    <w:rsid w:val="005D6799"/>
    <w:rsid w:val="005D6DA8"/>
    <w:rsid w:val="005D7083"/>
    <w:rsid w:val="005D73D0"/>
    <w:rsid w:val="005D7C9F"/>
    <w:rsid w:val="005D7D8A"/>
    <w:rsid w:val="005D7DB0"/>
    <w:rsid w:val="005E0441"/>
    <w:rsid w:val="005E06F4"/>
    <w:rsid w:val="005E0A66"/>
    <w:rsid w:val="005E0D16"/>
    <w:rsid w:val="005E0E16"/>
    <w:rsid w:val="005E1178"/>
    <w:rsid w:val="005E1666"/>
    <w:rsid w:val="005E1A28"/>
    <w:rsid w:val="005E1BAF"/>
    <w:rsid w:val="005E2155"/>
    <w:rsid w:val="005E2307"/>
    <w:rsid w:val="005E2F15"/>
    <w:rsid w:val="005E36B8"/>
    <w:rsid w:val="005E39C6"/>
    <w:rsid w:val="005E3D6F"/>
    <w:rsid w:val="005E48DB"/>
    <w:rsid w:val="005E51D7"/>
    <w:rsid w:val="005E56BF"/>
    <w:rsid w:val="005E5ECC"/>
    <w:rsid w:val="005E6157"/>
    <w:rsid w:val="005E631B"/>
    <w:rsid w:val="005E6BB3"/>
    <w:rsid w:val="005E7283"/>
    <w:rsid w:val="005E75DD"/>
    <w:rsid w:val="005E7646"/>
    <w:rsid w:val="005E7DAD"/>
    <w:rsid w:val="005E7F86"/>
    <w:rsid w:val="005F04A1"/>
    <w:rsid w:val="005F04D9"/>
    <w:rsid w:val="005F056B"/>
    <w:rsid w:val="005F0DD2"/>
    <w:rsid w:val="005F0F2B"/>
    <w:rsid w:val="005F12EE"/>
    <w:rsid w:val="005F19C2"/>
    <w:rsid w:val="005F2583"/>
    <w:rsid w:val="005F275F"/>
    <w:rsid w:val="005F321F"/>
    <w:rsid w:val="005F32FA"/>
    <w:rsid w:val="005F364F"/>
    <w:rsid w:val="005F37C1"/>
    <w:rsid w:val="005F3AFF"/>
    <w:rsid w:val="005F4EC4"/>
    <w:rsid w:val="005F5475"/>
    <w:rsid w:val="005F6427"/>
    <w:rsid w:val="005F64CF"/>
    <w:rsid w:val="005F65F4"/>
    <w:rsid w:val="005F6638"/>
    <w:rsid w:val="005F67BD"/>
    <w:rsid w:val="005F6B1B"/>
    <w:rsid w:val="005F6D82"/>
    <w:rsid w:val="005F7350"/>
    <w:rsid w:val="005F76F7"/>
    <w:rsid w:val="005F7B54"/>
    <w:rsid w:val="005F7EEE"/>
    <w:rsid w:val="00600129"/>
    <w:rsid w:val="006009A4"/>
    <w:rsid w:val="00600B1C"/>
    <w:rsid w:val="00600B9F"/>
    <w:rsid w:val="00600FA3"/>
    <w:rsid w:val="0060124E"/>
    <w:rsid w:val="00601CDC"/>
    <w:rsid w:val="0060229B"/>
    <w:rsid w:val="006026E3"/>
    <w:rsid w:val="00602A94"/>
    <w:rsid w:val="00602C0C"/>
    <w:rsid w:val="00602E5F"/>
    <w:rsid w:val="00602E7B"/>
    <w:rsid w:val="006033B5"/>
    <w:rsid w:val="006034DC"/>
    <w:rsid w:val="006038AB"/>
    <w:rsid w:val="00603B98"/>
    <w:rsid w:val="00603F87"/>
    <w:rsid w:val="00604073"/>
    <w:rsid w:val="00604245"/>
    <w:rsid w:val="006046BF"/>
    <w:rsid w:val="00604772"/>
    <w:rsid w:val="00604846"/>
    <w:rsid w:val="006051EE"/>
    <w:rsid w:val="00605261"/>
    <w:rsid w:val="006056FC"/>
    <w:rsid w:val="0060595A"/>
    <w:rsid w:val="00605A8E"/>
    <w:rsid w:val="00605CB1"/>
    <w:rsid w:val="006060EA"/>
    <w:rsid w:val="00606937"/>
    <w:rsid w:val="00606C68"/>
    <w:rsid w:val="00606CFC"/>
    <w:rsid w:val="00606CFF"/>
    <w:rsid w:val="00606DEA"/>
    <w:rsid w:val="00606E8D"/>
    <w:rsid w:val="00606F9A"/>
    <w:rsid w:val="006075EB"/>
    <w:rsid w:val="00607800"/>
    <w:rsid w:val="00607B09"/>
    <w:rsid w:val="006109D6"/>
    <w:rsid w:val="0061174E"/>
    <w:rsid w:val="006119B3"/>
    <w:rsid w:val="00611A21"/>
    <w:rsid w:val="00611B24"/>
    <w:rsid w:val="00611BB1"/>
    <w:rsid w:val="006126E3"/>
    <w:rsid w:val="006128C6"/>
    <w:rsid w:val="00612CDD"/>
    <w:rsid w:val="00613421"/>
    <w:rsid w:val="0061357B"/>
    <w:rsid w:val="006135EF"/>
    <w:rsid w:val="00613C36"/>
    <w:rsid w:val="00613C54"/>
    <w:rsid w:val="00614982"/>
    <w:rsid w:val="00614B48"/>
    <w:rsid w:val="00614F48"/>
    <w:rsid w:val="006155C0"/>
    <w:rsid w:val="006159FA"/>
    <w:rsid w:val="00615ABE"/>
    <w:rsid w:val="00616B92"/>
    <w:rsid w:val="00616F32"/>
    <w:rsid w:val="00617566"/>
    <w:rsid w:val="006177C6"/>
    <w:rsid w:val="00617A62"/>
    <w:rsid w:val="00617BAB"/>
    <w:rsid w:val="00617E39"/>
    <w:rsid w:val="00617EAF"/>
    <w:rsid w:val="00620466"/>
    <w:rsid w:val="006205FA"/>
    <w:rsid w:val="006206B2"/>
    <w:rsid w:val="0062132C"/>
    <w:rsid w:val="006214AB"/>
    <w:rsid w:val="00621640"/>
    <w:rsid w:val="00621840"/>
    <w:rsid w:val="00622013"/>
    <w:rsid w:val="00622448"/>
    <w:rsid w:val="00622960"/>
    <w:rsid w:val="006229CE"/>
    <w:rsid w:val="0062324B"/>
    <w:rsid w:val="00623834"/>
    <w:rsid w:val="006244C0"/>
    <w:rsid w:val="006249E5"/>
    <w:rsid w:val="00624F45"/>
    <w:rsid w:val="00624F6D"/>
    <w:rsid w:val="00624FB6"/>
    <w:rsid w:val="00625612"/>
    <w:rsid w:val="00625BDE"/>
    <w:rsid w:val="00625CFB"/>
    <w:rsid w:val="00626262"/>
    <w:rsid w:val="0062628C"/>
    <w:rsid w:val="00626455"/>
    <w:rsid w:val="006267AB"/>
    <w:rsid w:val="00626C44"/>
    <w:rsid w:val="0062746E"/>
    <w:rsid w:val="006275DD"/>
    <w:rsid w:val="00627CCB"/>
    <w:rsid w:val="00627DA9"/>
    <w:rsid w:val="00627F8E"/>
    <w:rsid w:val="00630740"/>
    <w:rsid w:val="00630D2C"/>
    <w:rsid w:val="00631382"/>
    <w:rsid w:val="00631597"/>
    <w:rsid w:val="0063168D"/>
    <w:rsid w:val="00632B4B"/>
    <w:rsid w:val="00633B8B"/>
    <w:rsid w:val="00633B92"/>
    <w:rsid w:val="00633C51"/>
    <w:rsid w:val="00635223"/>
    <w:rsid w:val="006359C5"/>
    <w:rsid w:val="00635B2B"/>
    <w:rsid w:val="00635E1F"/>
    <w:rsid w:val="00636FD9"/>
    <w:rsid w:val="00637375"/>
    <w:rsid w:val="00637499"/>
    <w:rsid w:val="006374F6"/>
    <w:rsid w:val="00637679"/>
    <w:rsid w:val="00637869"/>
    <w:rsid w:val="00637996"/>
    <w:rsid w:val="00637EC7"/>
    <w:rsid w:val="00640133"/>
    <w:rsid w:val="00640874"/>
    <w:rsid w:val="00640BE5"/>
    <w:rsid w:val="00641050"/>
    <w:rsid w:val="00641123"/>
    <w:rsid w:val="0064275C"/>
    <w:rsid w:val="00643B08"/>
    <w:rsid w:val="006440ED"/>
    <w:rsid w:val="0064458C"/>
    <w:rsid w:val="00644A52"/>
    <w:rsid w:val="00644AE4"/>
    <w:rsid w:val="00644FD4"/>
    <w:rsid w:val="0064548D"/>
    <w:rsid w:val="00645571"/>
    <w:rsid w:val="00645757"/>
    <w:rsid w:val="0064637E"/>
    <w:rsid w:val="006463B3"/>
    <w:rsid w:val="00647016"/>
    <w:rsid w:val="006478C8"/>
    <w:rsid w:val="00647ADE"/>
    <w:rsid w:val="00647FD2"/>
    <w:rsid w:val="0065000D"/>
    <w:rsid w:val="006502E8"/>
    <w:rsid w:val="0065070C"/>
    <w:rsid w:val="00650CF0"/>
    <w:rsid w:val="00650FEA"/>
    <w:rsid w:val="00651615"/>
    <w:rsid w:val="006519ED"/>
    <w:rsid w:val="00651CCC"/>
    <w:rsid w:val="00651D33"/>
    <w:rsid w:val="00651E13"/>
    <w:rsid w:val="00652382"/>
    <w:rsid w:val="00652895"/>
    <w:rsid w:val="00652962"/>
    <w:rsid w:val="00652D4D"/>
    <w:rsid w:val="00652FAC"/>
    <w:rsid w:val="00653CD5"/>
    <w:rsid w:val="00654001"/>
    <w:rsid w:val="006540DF"/>
    <w:rsid w:val="00654628"/>
    <w:rsid w:val="006549A6"/>
    <w:rsid w:val="00655120"/>
    <w:rsid w:val="006551DB"/>
    <w:rsid w:val="0065543B"/>
    <w:rsid w:val="006555A7"/>
    <w:rsid w:val="0065585C"/>
    <w:rsid w:val="00655A65"/>
    <w:rsid w:val="00655D3E"/>
    <w:rsid w:val="00656375"/>
    <w:rsid w:val="00656814"/>
    <w:rsid w:val="00656AF6"/>
    <w:rsid w:val="0065742B"/>
    <w:rsid w:val="00657653"/>
    <w:rsid w:val="006576C8"/>
    <w:rsid w:val="00657817"/>
    <w:rsid w:val="00660032"/>
    <w:rsid w:val="006602E0"/>
    <w:rsid w:val="006605C7"/>
    <w:rsid w:val="00660BC3"/>
    <w:rsid w:val="00660E6E"/>
    <w:rsid w:val="0066115F"/>
    <w:rsid w:val="0066139C"/>
    <w:rsid w:val="006614E0"/>
    <w:rsid w:val="00661BE7"/>
    <w:rsid w:val="00662404"/>
    <w:rsid w:val="00662764"/>
    <w:rsid w:val="00662985"/>
    <w:rsid w:val="00662B27"/>
    <w:rsid w:val="00662C33"/>
    <w:rsid w:val="006633A6"/>
    <w:rsid w:val="00663484"/>
    <w:rsid w:val="0066378E"/>
    <w:rsid w:val="00663F9C"/>
    <w:rsid w:val="006641F2"/>
    <w:rsid w:val="00664624"/>
    <w:rsid w:val="006646F4"/>
    <w:rsid w:val="0066497E"/>
    <w:rsid w:val="0066542C"/>
    <w:rsid w:val="00665ACD"/>
    <w:rsid w:val="0066638C"/>
    <w:rsid w:val="00666B70"/>
    <w:rsid w:val="0066753C"/>
    <w:rsid w:val="00667B00"/>
    <w:rsid w:val="00667CC0"/>
    <w:rsid w:val="006702AE"/>
    <w:rsid w:val="0067090F"/>
    <w:rsid w:val="0067103D"/>
    <w:rsid w:val="006710D1"/>
    <w:rsid w:val="00671C2A"/>
    <w:rsid w:val="00671F6A"/>
    <w:rsid w:val="00672403"/>
    <w:rsid w:val="00672675"/>
    <w:rsid w:val="0067297F"/>
    <w:rsid w:val="00672A1F"/>
    <w:rsid w:val="00673B36"/>
    <w:rsid w:val="006744CD"/>
    <w:rsid w:val="0067457D"/>
    <w:rsid w:val="00674940"/>
    <w:rsid w:val="00674C0E"/>
    <w:rsid w:val="006751AF"/>
    <w:rsid w:val="00675833"/>
    <w:rsid w:val="006758BF"/>
    <w:rsid w:val="00675F36"/>
    <w:rsid w:val="0067643B"/>
    <w:rsid w:val="00676AF9"/>
    <w:rsid w:val="00676CFC"/>
    <w:rsid w:val="00676E45"/>
    <w:rsid w:val="006776EA"/>
    <w:rsid w:val="00677CC1"/>
    <w:rsid w:val="00677E44"/>
    <w:rsid w:val="00680573"/>
    <w:rsid w:val="00680EF8"/>
    <w:rsid w:val="00681667"/>
    <w:rsid w:val="00681AD5"/>
    <w:rsid w:val="00681BA4"/>
    <w:rsid w:val="00682442"/>
    <w:rsid w:val="00682A8C"/>
    <w:rsid w:val="00682CD0"/>
    <w:rsid w:val="00683E4E"/>
    <w:rsid w:val="00685D8A"/>
    <w:rsid w:val="006861AD"/>
    <w:rsid w:val="006863A6"/>
    <w:rsid w:val="0068665A"/>
    <w:rsid w:val="00686B91"/>
    <w:rsid w:val="006872C5"/>
    <w:rsid w:val="00687BA5"/>
    <w:rsid w:val="00687E77"/>
    <w:rsid w:val="0069010A"/>
    <w:rsid w:val="0069050E"/>
    <w:rsid w:val="006908E9"/>
    <w:rsid w:val="00691171"/>
    <w:rsid w:val="00691208"/>
    <w:rsid w:val="0069181C"/>
    <w:rsid w:val="00691B2F"/>
    <w:rsid w:val="00691B97"/>
    <w:rsid w:val="00691CAC"/>
    <w:rsid w:val="00691EA5"/>
    <w:rsid w:val="0069233C"/>
    <w:rsid w:val="0069270F"/>
    <w:rsid w:val="006927C9"/>
    <w:rsid w:val="006929DA"/>
    <w:rsid w:val="00692A26"/>
    <w:rsid w:val="00693020"/>
    <w:rsid w:val="006934D5"/>
    <w:rsid w:val="00693D1D"/>
    <w:rsid w:val="006942AE"/>
    <w:rsid w:val="006946F0"/>
    <w:rsid w:val="00694711"/>
    <w:rsid w:val="00694F2B"/>
    <w:rsid w:val="00695027"/>
    <w:rsid w:val="0069537D"/>
    <w:rsid w:val="00695577"/>
    <w:rsid w:val="006958BE"/>
    <w:rsid w:val="0069590F"/>
    <w:rsid w:val="00695D2F"/>
    <w:rsid w:val="006961BE"/>
    <w:rsid w:val="0069650A"/>
    <w:rsid w:val="006965E1"/>
    <w:rsid w:val="00696B6B"/>
    <w:rsid w:val="00697347"/>
    <w:rsid w:val="006973D4"/>
    <w:rsid w:val="00697743"/>
    <w:rsid w:val="00697D49"/>
    <w:rsid w:val="00697F82"/>
    <w:rsid w:val="006A0A51"/>
    <w:rsid w:val="006A14F7"/>
    <w:rsid w:val="006A2873"/>
    <w:rsid w:val="006A2B27"/>
    <w:rsid w:val="006A38C9"/>
    <w:rsid w:val="006A3B52"/>
    <w:rsid w:val="006A3D96"/>
    <w:rsid w:val="006A40EB"/>
    <w:rsid w:val="006A4BED"/>
    <w:rsid w:val="006A4E2E"/>
    <w:rsid w:val="006A50F0"/>
    <w:rsid w:val="006A5533"/>
    <w:rsid w:val="006A565E"/>
    <w:rsid w:val="006A59CD"/>
    <w:rsid w:val="006A5D17"/>
    <w:rsid w:val="006A5E8C"/>
    <w:rsid w:val="006A5EE6"/>
    <w:rsid w:val="006A675C"/>
    <w:rsid w:val="006A6FEE"/>
    <w:rsid w:val="006A7501"/>
    <w:rsid w:val="006A7B48"/>
    <w:rsid w:val="006B0039"/>
    <w:rsid w:val="006B00D8"/>
    <w:rsid w:val="006B07EB"/>
    <w:rsid w:val="006B0AB3"/>
    <w:rsid w:val="006B0C57"/>
    <w:rsid w:val="006B1309"/>
    <w:rsid w:val="006B16A3"/>
    <w:rsid w:val="006B190C"/>
    <w:rsid w:val="006B1DA9"/>
    <w:rsid w:val="006B24E4"/>
    <w:rsid w:val="006B2D78"/>
    <w:rsid w:val="006B31FD"/>
    <w:rsid w:val="006B353A"/>
    <w:rsid w:val="006B3C68"/>
    <w:rsid w:val="006B4331"/>
    <w:rsid w:val="006B4A52"/>
    <w:rsid w:val="006B4DA1"/>
    <w:rsid w:val="006B5680"/>
    <w:rsid w:val="006B5F99"/>
    <w:rsid w:val="006B60FE"/>
    <w:rsid w:val="006B63CE"/>
    <w:rsid w:val="006B65B8"/>
    <w:rsid w:val="006B66D9"/>
    <w:rsid w:val="006B70EB"/>
    <w:rsid w:val="006B7444"/>
    <w:rsid w:val="006B7822"/>
    <w:rsid w:val="006B7AB9"/>
    <w:rsid w:val="006B7CBF"/>
    <w:rsid w:val="006C009F"/>
    <w:rsid w:val="006C026A"/>
    <w:rsid w:val="006C091A"/>
    <w:rsid w:val="006C1364"/>
    <w:rsid w:val="006C16F7"/>
    <w:rsid w:val="006C1BC5"/>
    <w:rsid w:val="006C1BFC"/>
    <w:rsid w:val="006C1F99"/>
    <w:rsid w:val="006C202A"/>
    <w:rsid w:val="006C27FE"/>
    <w:rsid w:val="006C28F5"/>
    <w:rsid w:val="006C2A01"/>
    <w:rsid w:val="006C2AB2"/>
    <w:rsid w:val="006C2D76"/>
    <w:rsid w:val="006C3CF6"/>
    <w:rsid w:val="006C3D03"/>
    <w:rsid w:val="006C44E1"/>
    <w:rsid w:val="006C4ED2"/>
    <w:rsid w:val="006C519D"/>
    <w:rsid w:val="006C59F8"/>
    <w:rsid w:val="006C5AFC"/>
    <w:rsid w:val="006C5E10"/>
    <w:rsid w:val="006C691F"/>
    <w:rsid w:val="006C70E6"/>
    <w:rsid w:val="006C79F5"/>
    <w:rsid w:val="006C7C88"/>
    <w:rsid w:val="006D06F0"/>
    <w:rsid w:val="006D0743"/>
    <w:rsid w:val="006D07D7"/>
    <w:rsid w:val="006D0E3F"/>
    <w:rsid w:val="006D1298"/>
    <w:rsid w:val="006D1CF9"/>
    <w:rsid w:val="006D2409"/>
    <w:rsid w:val="006D2437"/>
    <w:rsid w:val="006D2786"/>
    <w:rsid w:val="006D292C"/>
    <w:rsid w:val="006D29F7"/>
    <w:rsid w:val="006D2AEF"/>
    <w:rsid w:val="006D313D"/>
    <w:rsid w:val="006D325E"/>
    <w:rsid w:val="006D3496"/>
    <w:rsid w:val="006D42B5"/>
    <w:rsid w:val="006D4428"/>
    <w:rsid w:val="006D4757"/>
    <w:rsid w:val="006D49F5"/>
    <w:rsid w:val="006D4AA7"/>
    <w:rsid w:val="006D5A59"/>
    <w:rsid w:val="006D5CD3"/>
    <w:rsid w:val="006D637E"/>
    <w:rsid w:val="006D6512"/>
    <w:rsid w:val="006D651B"/>
    <w:rsid w:val="006D6BC4"/>
    <w:rsid w:val="006D74E2"/>
    <w:rsid w:val="006D7F90"/>
    <w:rsid w:val="006E012A"/>
    <w:rsid w:val="006E05A7"/>
    <w:rsid w:val="006E0C2E"/>
    <w:rsid w:val="006E124D"/>
    <w:rsid w:val="006E1312"/>
    <w:rsid w:val="006E1645"/>
    <w:rsid w:val="006E212C"/>
    <w:rsid w:val="006E2404"/>
    <w:rsid w:val="006E28C3"/>
    <w:rsid w:val="006E2969"/>
    <w:rsid w:val="006E2A0C"/>
    <w:rsid w:val="006E2CFE"/>
    <w:rsid w:val="006E3141"/>
    <w:rsid w:val="006E31AC"/>
    <w:rsid w:val="006E3F8E"/>
    <w:rsid w:val="006E469C"/>
    <w:rsid w:val="006E4D06"/>
    <w:rsid w:val="006E4D7C"/>
    <w:rsid w:val="006E5013"/>
    <w:rsid w:val="006E5242"/>
    <w:rsid w:val="006E5293"/>
    <w:rsid w:val="006E5615"/>
    <w:rsid w:val="006E5D9B"/>
    <w:rsid w:val="006E61C3"/>
    <w:rsid w:val="006E61D4"/>
    <w:rsid w:val="006E669E"/>
    <w:rsid w:val="006E66BD"/>
    <w:rsid w:val="006E67A0"/>
    <w:rsid w:val="006E6831"/>
    <w:rsid w:val="006E6A56"/>
    <w:rsid w:val="006E6D7A"/>
    <w:rsid w:val="006E6EA1"/>
    <w:rsid w:val="006E7447"/>
    <w:rsid w:val="006E74B9"/>
    <w:rsid w:val="006E7C47"/>
    <w:rsid w:val="006F0383"/>
    <w:rsid w:val="006F07D6"/>
    <w:rsid w:val="006F08D9"/>
    <w:rsid w:val="006F0D80"/>
    <w:rsid w:val="006F0EAE"/>
    <w:rsid w:val="006F129E"/>
    <w:rsid w:val="006F1408"/>
    <w:rsid w:val="006F17DE"/>
    <w:rsid w:val="006F1E34"/>
    <w:rsid w:val="006F266A"/>
    <w:rsid w:val="006F273D"/>
    <w:rsid w:val="006F28EE"/>
    <w:rsid w:val="006F315E"/>
    <w:rsid w:val="006F322B"/>
    <w:rsid w:val="006F360E"/>
    <w:rsid w:val="006F3868"/>
    <w:rsid w:val="006F3E42"/>
    <w:rsid w:val="006F46D8"/>
    <w:rsid w:val="006F4A94"/>
    <w:rsid w:val="006F6E9F"/>
    <w:rsid w:val="006F6FB8"/>
    <w:rsid w:val="006F7368"/>
    <w:rsid w:val="006F7738"/>
    <w:rsid w:val="006F7788"/>
    <w:rsid w:val="006F77B7"/>
    <w:rsid w:val="006F7C96"/>
    <w:rsid w:val="0070023D"/>
    <w:rsid w:val="0070118E"/>
    <w:rsid w:val="00702DAE"/>
    <w:rsid w:val="00703105"/>
    <w:rsid w:val="00703359"/>
    <w:rsid w:val="00703C8F"/>
    <w:rsid w:val="007040DF"/>
    <w:rsid w:val="0070430D"/>
    <w:rsid w:val="00704895"/>
    <w:rsid w:val="00704C08"/>
    <w:rsid w:val="00704D63"/>
    <w:rsid w:val="0070500A"/>
    <w:rsid w:val="007053EC"/>
    <w:rsid w:val="00705A2C"/>
    <w:rsid w:val="0070620F"/>
    <w:rsid w:val="00706529"/>
    <w:rsid w:val="007065D3"/>
    <w:rsid w:val="00706E20"/>
    <w:rsid w:val="007072A4"/>
    <w:rsid w:val="007076FF"/>
    <w:rsid w:val="00707EE9"/>
    <w:rsid w:val="00707F2A"/>
    <w:rsid w:val="007103BC"/>
    <w:rsid w:val="0071041D"/>
    <w:rsid w:val="00710664"/>
    <w:rsid w:val="00711DEB"/>
    <w:rsid w:val="00711FB6"/>
    <w:rsid w:val="00711FC3"/>
    <w:rsid w:val="0071255B"/>
    <w:rsid w:val="00712864"/>
    <w:rsid w:val="007137FB"/>
    <w:rsid w:val="00714229"/>
    <w:rsid w:val="007146F8"/>
    <w:rsid w:val="0071479E"/>
    <w:rsid w:val="00714F86"/>
    <w:rsid w:val="0071503F"/>
    <w:rsid w:val="00715299"/>
    <w:rsid w:val="00715913"/>
    <w:rsid w:val="0071622A"/>
    <w:rsid w:val="0071624A"/>
    <w:rsid w:val="0071665D"/>
    <w:rsid w:val="007167E4"/>
    <w:rsid w:val="00716BE2"/>
    <w:rsid w:val="00717E6D"/>
    <w:rsid w:val="007204A2"/>
    <w:rsid w:val="007211D4"/>
    <w:rsid w:val="007214CB"/>
    <w:rsid w:val="007216CA"/>
    <w:rsid w:val="0072183F"/>
    <w:rsid w:val="00721A1E"/>
    <w:rsid w:val="00721D11"/>
    <w:rsid w:val="0072221A"/>
    <w:rsid w:val="00722603"/>
    <w:rsid w:val="00722CC5"/>
    <w:rsid w:val="00723597"/>
    <w:rsid w:val="00723972"/>
    <w:rsid w:val="00723E3F"/>
    <w:rsid w:val="00724712"/>
    <w:rsid w:val="00724C54"/>
    <w:rsid w:val="00724DD0"/>
    <w:rsid w:val="007256BA"/>
    <w:rsid w:val="00725F51"/>
    <w:rsid w:val="007260D8"/>
    <w:rsid w:val="00727768"/>
    <w:rsid w:val="00727A44"/>
    <w:rsid w:val="00727A4C"/>
    <w:rsid w:val="0073147E"/>
    <w:rsid w:val="007317E6"/>
    <w:rsid w:val="007319DC"/>
    <w:rsid w:val="00731E46"/>
    <w:rsid w:val="00732029"/>
    <w:rsid w:val="00732126"/>
    <w:rsid w:val="007329BA"/>
    <w:rsid w:val="00732F71"/>
    <w:rsid w:val="007330B9"/>
    <w:rsid w:val="007332C6"/>
    <w:rsid w:val="0073376A"/>
    <w:rsid w:val="007339D4"/>
    <w:rsid w:val="007349F2"/>
    <w:rsid w:val="00734C08"/>
    <w:rsid w:val="00734F07"/>
    <w:rsid w:val="0073518A"/>
    <w:rsid w:val="007354C6"/>
    <w:rsid w:val="007354D1"/>
    <w:rsid w:val="00735C6F"/>
    <w:rsid w:val="007366F9"/>
    <w:rsid w:val="00736C23"/>
    <w:rsid w:val="00736F96"/>
    <w:rsid w:val="00737269"/>
    <w:rsid w:val="00737BC1"/>
    <w:rsid w:val="00737CE6"/>
    <w:rsid w:val="00740053"/>
    <w:rsid w:val="0074066E"/>
    <w:rsid w:val="00740A00"/>
    <w:rsid w:val="00740CF9"/>
    <w:rsid w:val="0074141D"/>
    <w:rsid w:val="007415D7"/>
    <w:rsid w:val="00741652"/>
    <w:rsid w:val="00741B40"/>
    <w:rsid w:val="00741FBA"/>
    <w:rsid w:val="0074206A"/>
    <w:rsid w:val="007427CE"/>
    <w:rsid w:val="00742A17"/>
    <w:rsid w:val="00742F20"/>
    <w:rsid w:val="007435AC"/>
    <w:rsid w:val="0074362C"/>
    <w:rsid w:val="007438A7"/>
    <w:rsid w:val="007439E5"/>
    <w:rsid w:val="00743A67"/>
    <w:rsid w:val="00744034"/>
    <w:rsid w:val="00744191"/>
    <w:rsid w:val="007444B3"/>
    <w:rsid w:val="00744929"/>
    <w:rsid w:val="00744D86"/>
    <w:rsid w:val="0074502E"/>
    <w:rsid w:val="007453DB"/>
    <w:rsid w:val="007461B1"/>
    <w:rsid w:val="00746519"/>
    <w:rsid w:val="00746728"/>
    <w:rsid w:val="00746B06"/>
    <w:rsid w:val="00746C86"/>
    <w:rsid w:val="00746E8D"/>
    <w:rsid w:val="0074700D"/>
    <w:rsid w:val="0074702D"/>
    <w:rsid w:val="00747704"/>
    <w:rsid w:val="007509FC"/>
    <w:rsid w:val="00750D3F"/>
    <w:rsid w:val="00750E5A"/>
    <w:rsid w:val="00750F23"/>
    <w:rsid w:val="00751146"/>
    <w:rsid w:val="007515A2"/>
    <w:rsid w:val="007518F2"/>
    <w:rsid w:val="00751935"/>
    <w:rsid w:val="007520CB"/>
    <w:rsid w:val="0075218D"/>
    <w:rsid w:val="007522F9"/>
    <w:rsid w:val="00752E6B"/>
    <w:rsid w:val="0075326D"/>
    <w:rsid w:val="007532E9"/>
    <w:rsid w:val="00754572"/>
    <w:rsid w:val="007548B3"/>
    <w:rsid w:val="007548F3"/>
    <w:rsid w:val="00754F32"/>
    <w:rsid w:val="00754FAD"/>
    <w:rsid w:val="007552C1"/>
    <w:rsid w:val="007554C4"/>
    <w:rsid w:val="00755F28"/>
    <w:rsid w:val="007568EC"/>
    <w:rsid w:val="00756FCE"/>
    <w:rsid w:val="0075755B"/>
    <w:rsid w:val="007575E7"/>
    <w:rsid w:val="00757958"/>
    <w:rsid w:val="00757B4E"/>
    <w:rsid w:val="007600C7"/>
    <w:rsid w:val="007605ED"/>
    <w:rsid w:val="007606CC"/>
    <w:rsid w:val="007609F1"/>
    <w:rsid w:val="00760C8F"/>
    <w:rsid w:val="00761408"/>
    <w:rsid w:val="007615D2"/>
    <w:rsid w:val="00761D49"/>
    <w:rsid w:val="00761E96"/>
    <w:rsid w:val="00762102"/>
    <w:rsid w:val="007621B0"/>
    <w:rsid w:val="00762A20"/>
    <w:rsid w:val="00762E78"/>
    <w:rsid w:val="00763797"/>
    <w:rsid w:val="00763B3D"/>
    <w:rsid w:val="00763C5F"/>
    <w:rsid w:val="007640D2"/>
    <w:rsid w:val="00764365"/>
    <w:rsid w:val="0076446F"/>
    <w:rsid w:val="00764988"/>
    <w:rsid w:val="00764A32"/>
    <w:rsid w:val="00764AF0"/>
    <w:rsid w:val="00764D20"/>
    <w:rsid w:val="00765A8B"/>
    <w:rsid w:val="00765B9E"/>
    <w:rsid w:val="00765E7B"/>
    <w:rsid w:val="007667C4"/>
    <w:rsid w:val="00766DEE"/>
    <w:rsid w:val="00767C18"/>
    <w:rsid w:val="00767E21"/>
    <w:rsid w:val="00767FFE"/>
    <w:rsid w:val="00770596"/>
    <w:rsid w:val="00770731"/>
    <w:rsid w:val="00770DA0"/>
    <w:rsid w:val="007711D7"/>
    <w:rsid w:val="007713B7"/>
    <w:rsid w:val="0077195A"/>
    <w:rsid w:val="00771A34"/>
    <w:rsid w:val="00771A73"/>
    <w:rsid w:val="00771E0A"/>
    <w:rsid w:val="00771EC0"/>
    <w:rsid w:val="007725A3"/>
    <w:rsid w:val="00773213"/>
    <w:rsid w:val="00773DBF"/>
    <w:rsid w:val="007740D9"/>
    <w:rsid w:val="00774589"/>
    <w:rsid w:val="0077486F"/>
    <w:rsid w:val="00774D9B"/>
    <w:rsid w:val="007758A6"/>
    <w:rsid w:val="007759EF"/>
    <w:rsid w:val="00775D37"/>
    <w:rsid w:val="0077626C"/>
    <w:rsid w:val="00776624"/>
    <w:rsid w:val="00776683"/>
    <w:rsid w:val="00776EB9"/>
    <w:rsid w:val="007771FE"/>
    <w:rsid w:val="007777E9"/>
    <w:rsid w:val="007777F9"/>
    <w:rsid w:val="00777987"/>
    <w:rsid w:val="00777A41"/>
    <w:rsid w:val="00777C3F"/>
    <w:rsid w:val="00777F23"/>
    <w:rsid w:val="0078023A"/>
    <w:rsid w:val="00780487"/>
    <w:rsid w:val="007809CE"/>
    <w:rsid w:val="00780B30"/>
    <w:rsid w:val="00780FAB"/>
    <w:rsid w:val="00781479"/>
    <w:rsid w:val="00782027"/>
    <w:rsid w:val="00782029"/>
    <w:rsid w:val="00782643"/>
    <w:rsid w:val="00782782"/>
    <w:rsid w:val="007828A8"/>
    <w:rsid w:val="007828F9"/>
    <w:rsid w:val="007829C2"/>
    <w:rsid w:val="00782E9F"/>
    <w:rsid w:val="00783587"/>
    <w:rsid w:val="0078377F"/>
    <w:rsid w:val="00783851"/>
    <w:rsid w:val="00783C37"/>
    <w:rsid w:val="00783F9C"/>
    <w:rsid w:val="00784246"/>
    <w:rsid w:val="0078499C"/>
    <w:rsid w:val="00784B48"/>
    <w:rsid w:val="007850E7"/>
    <w:rsid w:val="00785ACB"/>
    <w:rsid w:val="007861F2"/>
    <w:rsid w:val="0078700F"/>
    <w:rsid w:val="007870EC"/>
    <w:rsid w:val="0078761B"/>
    <w:rsid w:val="00787B46"/>
    <w:rsid w:val="00787B57"/>
    <w:rsid w:val="00787E25"/>
    <w:rsid w:val="00790C94"/>
    <w:rsid w:val="00790D50"/>
    <w:rsid w:val="00791779"/>
    <w:rsid w:val="007926C4"/>
    <w:rsid w:val="007930CF"/>
    <w:rsid w:val="007933C6"/>
    <w:rsid w:val="007935DD"/>
    <w:rsid w:val="0079361C"/>
    <w:rsid w:val="00793D87"/>
    <w:rsid w:val="00794616"/>
    <w:rsid w:val="007948AC"/>
    <w:rsid w:val="007951A5"/>
    <w:rsid w:val="00795F1F"/>
    <w:rsid w:val="00796638"/>
    <w:rsid w:val="007975F1"/>
    <w:rsid w:val="0079760A"/>
    <w:rsid w:val="0079788D"/>
    <w:rsid w:val="00797A71"/>
    <w:rsid w:val="00797A7F"/>
    <w:rsid w:val="007A004F"/>
    <w:rsid w:val="007A0A61"/>
    <w:rsid w:val="007A0C0A"/>
    <w:rsid w:val="007A0C45"/>
    <w:rsid w:val="007A0CA5"/>
    <w:rsid w:val="007A0E42"/>
    <w:rsid w:val="007A114B"/>
    <w:rsid w:val="007A125E"/>
    <w:rsid w:val="007A1364"/>
    <w:rsid w:val="007A1383"/>
    <w:rsid w:val="007A13D7"/>
    <w:rsid w:val="007A1607"/>
    <w:rsid w:val="007A2200"/>
    <w:rsid w:val="007A26F5"/>
    <w:rsid w:val="007A2C7D"/>
    <w:rsid w:val="007A2DDE"/>
    <w:rsid w:val="007A3C38"/>
    <w:rsid w:val="007A3C57"/>
    <w:rsid w:val="007A4188"/>
    <w:rsid w:val="007A434F"/>
    <w:rsid w:val="007A4850"/>
    <w:rsid w:val="007A507C"/>
    <w:rsid w:val="007A5AE8"/>
    <w:rsid w:val="007A5B01"/>
    <w:rsid w:val="007A5CE2"/>
    <w:rsid w:val="007A6111"/>
    <w:rsid w:val="007A623F"/>
    <w:rsid w:val="007A646E"/>
    <w:rsid w:val="007A6880"/>
    <w:rsid w:val="007A691F"/>
    <w:rsid w:val="007A7A85"/>
    <w:rsid w:val="007A7C39"/>
    <w:rsid w:val="007B0323"/>
    <w:rsid w:val="007B04E4"/>
    <w:rsid w:val="007B0590"/>
    <w:rsid w:val="007B05AC"/>
    <w:rsid w:val="007B0878"/>
    <w:rsid w:val="007B09BB"/>
    <w:rsid w:val="007B0B7B"/>
    <w:rsid w:val="007B0E67"/>
    <w:rsid w:val="007B119D"/>
    <w:rsid w:val="007B144B"/>
    <w:rsid w:val="007B15EB"/>
    <w:rsid w:val="007B1738"/>
    <w:rsid w:val="007B1E0E"/>
    <w:rsid w:val="007B2186"/>
    <w:rsid w:val="007B2271"/>
    <w:rsid w:val="007B2C18"/>
    <w:rsid w:val="007B2C4B"/>
    <w:rsid w:val="007B2E62"/>
    <w:rsid w:val="007B308E"/>
    <w:rsid w:val="007B320D"/>
    <w:rsid w:val="007B35A5"/>
    <w:rsid w:val="007B36DB"/>
    <w:rsid w:val="007B38D0"/>
    <w:rsid w:val="007B4121"/>
    <w:rsid w:val="007B4DEF"/>
    <w:rsid w:val="007B508D"/>
    <w:rsid w:val="007B522F"/>
    <w:rsid w:val="007B52EF"/>
    <w:rsid w:val="007B5795"/>
    <w:rsid w:val="007B6075"/>
    <w:rsid w:val="007B60CC"/>
    <w:rsid w:val="007B6996"/>
    <w:rsid w:val="007B6A9F"/>
    <w:rsid w:val="007B6C03"/>
    <w:rsid w:val="007B6E05"/>
    <w:rsid w:val="007B703A"/>
    <w:rsid w:val="007B70D0"/>
    <w:rsid w:val="007B71D1"/>
    <w:rsid w:val="007B752E"/>
    <w:rsid w:val="007B785A"/>
    <w:rsid w:val="007B7FCE"/>
    <w:rsid w:val="007B7FF8"/>
    <w:rsid w:val="007C05C9"/>
    <w:rsid w:val="007C105B"/>
    <w:rsid w:val="007C11CE"/>
    <w:rsid w:val="007C16E1"/>
    <w:rsid w:val="007C182F"/>
    <w:rsid w:val="007C1E0B"/>
    <w:rsid w:val="007C1EA9"/>
    <w:rsid w:val="007C217D"/>
    <w:rsid w:val="007C2300"/>
    <w:rsid w:val="007C2E48"/>
    <w:rsid w:val="007C347A"/>
    <w:rsid w:val="007C3D54"/>
    <w:rsid w:val="007C4033"/>
    <w:rsid w:val="007C44B0"/>
    <w:rsid w:val="007C47DC"/>
    <w:rsid w:val="007C4E87"/>
    <w:rsid w:val="007C51A5"/>
    <w:rsid w:val="007C5E2A"/>
    <w:rsid w:val="007C64A2"/>
    <w:rsid w:val="007C6C4A"/>
    <w:rsid w:val="007C745C"/>
    <w:rsid w:val="007D063F"/>
    <w:rsid w:val="007D0753"/>
    <w:rsid w:val="007D07E4"/>
    <w:rsid w:val="007D0C23"/>
    <w:rsid w:val="007D196A"/>
    <w:rsid w:val="007D1E4A"/>
    <w:rsid w:val="007D21C2"/>
    <w:rsid w:val="007D2629"/>
    <w:rsid w:val="007D31CE"/>
    <w:rsid w:val="007D3249"/>
    <w:rsid w:val="007D32CA"/>
    <w:rsid w:val="007D394F"/>
    <w:rsid w:val="007D3E3C"/>
    <w:rsid w:val="007D4487"/>
    <w:rsid w:val="007D527E"/>
    <w:rsid w:val="007D55B0"/>
    <w:rsid w:val="007D5783"/>
    <w:rsid w:val="007D5B75"/>
    <w:rsid w:val="007D660D"/>
    <w:rsid w:val="007D692C"/>
    <w:rsid w:val="007D6C30"/>
    <w:rsid w:val="007D7068"/>
    <w:rsid w:val="007D7711"/>
    <w:rsid w:val="007D7CB7"/>
    <w:rsid w:val="007D7D87"/>
    <w:rsid w:val="007D7DFF"/>
    <w:rsid w:val="007E00AC"/>
    <w:rsid w:val="007E01EB"/>
    <w:rsid w:val="007E0622"/>
    <w:rsid w:val="007E085B"/>
    <w:rsid w:val="007E0DDB"/>
    <w:rsid w:val="007E1584"/>
    <w:rsid w:val="007E1678"/>
    <w:rsid w:val="007E18C8"/>
    <w:rsid w:val="007E1A58"/>
    <w:rsid w:val="007E2281"/>
    <w:rsid w:val="007E27D3"/>
    <w:rsid w:val="007E2BD2"/>
    <w:rsid w:val="007E2F3C"/>
    <w:rsid w:val="007E33ED"/>
    <w:rsid w:val="007E46D6"/>
    <w:rsid w:val="007E4ECC"/>
    <w:rsid w:val="007E50AA"/>
    <w:rsid w:val="007E53ED"/>
    <w:rsid w:val="007E5B64"/>
    <w:rsid w:val="007E5B67"/>
    <w:rsid w:val="007E5BDC"/>
    <w:rsid w:val="007E5C1B"/>
    <w:rsid w:val="007E66EF"/>
    <w:rsid w:val="007E6A48"/>
    <w:rsid w:val="007E6D67"/>
    <w:rsid w:val="007E6DC2"/>
    <w:rsid w:val="007E7368"/>
    <w:rsid w:val="007E783E"/>
    <w:rsid w:val="007E7D1C"/>
    <w:rsid w:val="007E7EA9"/>
    <w:rsid w:val="007F01E4"/>
    <w:rsid w:val="007F0D5E"/>
    <w:rsid w:val="007F1723"/>
    <w:rsid w:val="007F220F"/>
    <w:rsid w:val="007F293F"/>
    <w:rsid w:val="007F32F6"/>
    <w:rsid w:val="007F3582"/>
    <w:rsid w:val="007F36E3"/>
    <w:rsid w:val="007F448A"/>
    <w:rsid w:val="007F453E"/>
    <w:rsid w:val="007F5105"/>
    <w:rsid w:val="007F5D7B"/>
    <w:rsid w:val="007F6876"/>
    <w:rsid w:val="007F6BC5"/>
    <w:rsid w:val="007F6E68"/>
    <w:rsid w:val="007F6E9F"/>
    <w:rsid w:val="007F7AB6"/>
    <w:rsid w:val="007F7E40"/>
    <w:rsid w:val="008003B0"/>
    <w:rsid w:val="008003CD"/>
    <w:rsid w:val="008004B1"/>
    <w:rsid w:val="00800DEE"/>
    <w:rsid w:val="00801A2F"/>
    <w:rsid w:val="00801AC2"/>
    <w:rsid w:val="00801B2D"/>
    <w:rsid w:val="00801E09"/>
    <w:rsid w:val="00802AC7"/>
    <w:rsid w:val="00802F6B"/>
    <w:rsid w:val="0080322E"/>
    <w:rsid w:val="0080362B"/>
    <w:rsid w:val="008036AD"/>
    <w:rsid w:val="00803BB6"/>
    <w:rsid w:val="00803CDB"/>
    <w:rsid w:val="008046E2"/>
    <w:rsid w:val="00804E0E"/>
    <w:rsid w:val="0080534E"/>
    <w:rsid w:val="0080540E"/>
    <w:rsid w:val="0080556A"/>
    <w:rsid w:val="00805618"/>
    <w:rsid w:val="0080584C"/>
    <w:rsid w:val="00805959"/>
    <w:rsid w:val="00805C1E"/>
    <w:rsid w:val="00805D76"/>
    <w:rsid w:val="0080640A"/>
    <w:rsid w:val="00806671"/>
    <w:rsid w:val="008067A1"/>
    <w:rsid w:val="008067C4"/>
    <w:rsid w:val="0080682B"/>
    <w:rsid w:val="008076B7"/>
    <w:rsid w:val="00807985"/>
    <w:rsid w:val="00807FC5"/>
    <w:rsid w:val="0081039D"/>
    <w:rsid w:val="00810A84"/>
    <w:rsid w:val="00810ED9"/>
    <w:rsid w:val="00811512"/>
    <w:rsid w:val="00811662"/>
    <w:rsid w:val="0081167C"/>
    <w:rsid w:val="00811A9D"/>
    <w:rsid w:val="00811C61"/>
    <w:rsid w:val="00811D0E"/>
    <w:rsid w:val="00812274"/>
    <w:rsid w:val="008123DA"/>
    <w:rsid w:val="00812416"/>
    <w:rsid w:val="008127C9"/>
    <w:rsid w:val="00812DF9"/>
    <w:rsid w:val="0081349E"/>
    <w:rsid w:val="00813F86"/>
    <w:rsid w:val="008141B6"/>
    <w:rsid w:val="00814986"/>
    <w:rsid w:val="00814A1F"/>
    <w:rsid w:val="00814D66"/>
    <w:rsid w:val="00814EF5"/>
    <w:rsid w:val="00814F30"/>
    <w:rsid w:val="00815A49"/>
    <w:rsid w:val="00815DDA"/>
    <w:rsid w:val="00816019"/>
    <w:rsid w:val="008166F1"/>
    <w:rsid w:val="00816BFA"/>
    <w:rsid w:val="00817054"/>
    <w:rsid w:val="00817337"/>
    <w:rsid w:val="0081769D"/>
    <w:rsid w:val="00817834"/>
    <w:rsid w:val="00817C10"/>
    <w:rsid w:val="00817E59"/>
    <w:rsid w:val="00817ECB"/>
    <w:rsid w:val="00820D2F"/>
    <w:rsid w:val="00821069"/>
    <w:rsid w:val="00821886"/>
    <w:rsid w:val="008219C6"/>
    <w:rsid w:val="00821ADD"/>
    <w:rsid w:val="00822185"/>
    <w:rsid w:val="00822EAF"/>
    <w:rsid w:val="00823240"/>
    <w:rsid w:val="00823B35"/>
    <w:rsid w:val="00823E82"/>
    <w:rsid w:val="00823F59"/>
    <w:rsid w:val="0082431E"/>
    <w:rsid w:val="00824E77"/>
    <w:rsid w:val="0082502A"/>
    <w:rsid w:val="00825394"/>
    <w:rsid w:val="00825AF6"/>
    <w:rsid w:val="00825DFF"/>
    <w:rsid w:val="00825E5C"/>
    <w:rsid w:val="008265F3"/>
    <w:rsid w:val="00826BA7"/>
    <w:rsid w:val="0082706C"/>
    <w:rsid w:val="008270D0"/>
    <w:rsid w:val="008278C7"/>
    <w:rsid w:val="00827BD0"/>
    <w:rsid w:val="00830451"/>
    <w:rsid w:val="00830469"/>
    <w:rsid w:val="00830C9C"/>
    <w:rsid w:val="0083162A"/>
    <w:rsid w:val="0083171E"/>
    <w:rsid w:val="00831769"/>
    <w:rsid w:val="00831C94"/>
    <w:rsid w:val="00831D79"/>
    <w:rsid w:val="00831F8A"/>
    <w:rsid w:val="0083246B"/>
    <w:rsid w:val="008325F7"/>
    <w:rsid w:val="008326A0"/>
    <w:rsid w:val="00833720"/>
    <w:rsid w:val="00833B9A"/>
    <w:rsid w:val="00833DB1"/>
    <w:rsid w:val="0083464E"/>
    <w:rsid w:val="00835076"/>
    <w:rsid w:val="00835BEB"/>
    <w:rsid w:val="0083632E"/>
    <w:rsid w:val="00836E06"/>
    <w:rsid w:val="00836EF1"/>
    <w:rsid w:val="00837008"/>
    <w:rsid w:val="0083743C"/>
    <w:rsid w:val="00837AE2"/>
    <w:rsid w:val="00837B2F"/>
    <w:rsid w:val="00837E5E"/>
    <w:rsid w:val="008404B2"/>
    <w:rsid w:val="00841AF4"/>
    <w:rsid w:val="00841B8A"/>
    <w:rsid w:val="00841DAA"/>
    <w:rsid w:val="008425D5"/>
    <w:rsid w:val="00842BE7"/>
    <w:rsid w:val="00843435"/>
    <w:rsid w:val="00843B82"/>
    <w:rsid w:val="008442E9"/>
    <w:rsid w:val="00844779"/>
    <w:rsid w:val="008459DF"/>
    <w:rsid w:val="00845AA4"/>
    <w:rsid w:val="00845FCE"/>
    <w:rsid w:val="0084630C"/>
    <w:rsid w:val="008466BF"/>
    <w:rsid w:val="00846DEB"/>
    <w:rsid w:val="008470C5"/>
    <w:rsid w:val="00847288"/>
    <w:rsid w:val="0084759E"/>
    <w:rsid w:val="0084783C"/>
    <w:rsid w:val="00847AE1"/>
    <w:rsid w:val="00847AF5"/>
    <w:rsid w:val="00850DB1"/>
    <w:rsid w:val="00851428"/>
    <w:rsid w:val="00851D8B"/>
    <w:rsid w:val="0085245B"/>
    <w:rsid w:val="00852C74"/>
    <w:rsid w:val="00852D54"/>
    <w:rsid w:val="00852F94"/>
    <w:rsid w:val="0085361B"/>
    <w:rsid w:val="00853745"/>
    <w:rsid w:val="00853CD0"/>
    <w:rsid w:val="00853D6A"/>
    <w:rsid w:val="00853DE1"/>
    <w:rsid w:val="00854178"/>
    <w:rsid w:val="00854737"/>
    <w:rsid w:val="0085554F"/>
    <w:rsid w:val="00855565"/>
    <w:rsid w:val="00856199"/>
    <w:rsid w:val="008563E5"/>
    <w:rsid w:val="008566AE"/>
    <w:rsid w:val="00856F91"/>
    <w:rsid w:val="0085707C"/>
    <w:rsid w:val="0085797F"/>
    <w:rsid w:val="008602A4"/>
    <w:rsid w:val="008604D9"/>
    <w:rsid w:val="0086063A"/>
    <w:rsid w:val="00860965"/>
    <w:rsid w:val="008610A5"/>
    <w:rsid w:val="00861340"/>
    <w:rsid w:val="0086188A"/>
    <w:rsid w:val="00861E2B"/>
    <w:rsid w:val="00861E52"/>
    <w:rsid w:val="0086201A"/>
    <w:rsid w:val="00862077"/>
    <w:rsid w:val="0086213A"/>
    <w:rsid w:val="00862D73"/>
    <w:rsid w:val="0086397D"/>
    <w:rsid w:val="00863D86"/>
    <w:rsid w:val="00864144"/>
    <w:rsid w:val="0086441D"/>
    <w:rsid w:val="0086444B"/>
    <w:rsid w:val="00864587"/>
    <w:rsid w:val="00864E14"/>
    <w:rsid w:val="00864F24"/>
    <w:rsid w:val="0086519F"/>
    <w:rsid w:val="008656DD"/>
    <w:rsid w:val="00865EEB"/>
    <w:rsid w:val="008663D3"/>
    <w:rsid w:val="008666DF"/>
    <w:rsid w:val="00866D4F"/>
    <w:rsid w:val="0086716C"/>
    <w:rsid w:val="00871055"/>
    <w:rsid w:val="0087147A"/>
    <w:rsid w:val="00871D69"/>
    <w:rsid w:val="00872419"/>
    <w:rsid w:val="00872683"/>
    <w:rsid w:val="00872E21"/>
    <w:rsid w:val="00873082"/>
    <w:rsid w:val="0087336D"/>
    <w:rsid w:val="00873C07"/>
    <w:rsid w:val="00873CB1"/>
    <w:rsid w:val="00873E09"/>
    <w:rsid w:val="008741A5"/>
    <w:rsid w:val="00874238"/>
    <w:rsid w:val="008746E4"/>
    <w:rsid w:val="00874C39"/>
    <w:rsid w:val="00874C45"/>
    <w:rsid w:val="008751F5"/>
    <w:rsid w:val="00875526"/>
    <w:rsid w:val="00875958"/>
    <w:rsid w:val="008766B2"/>
    <w:rsid w:val="00876846"/>
    <w:rsid w:val="00876FEA"/>
    <w:rsid w:val="00877801"/>
    <w:rsid w:val="00877BC1"/>
    <w:rsid w:val="00877C98"/>
    <w:rsid w:val="008800F1"/>
    <w:rsid w:val="00880100"/>
    <w:rsid w:val="0088080A"/>
    <w:rsid w:val="00880A44"/>
    <w:rsid w:val="00880D65"/>
    <w:rsid w:val="008813FB"/>
    <w:rsid w:val="0088152F"/>
    <w:rsid w:val="0088210C"/>
    <w:rsid w:val="0088240F"/>
    <w:rsid w:val="0088273D"/>
    <w:rsid w:val="0088284E"/>
    <w:rsid w:val="008846DA"/>
    <w:rsid w:val="00884D1F"/>
    <w:rsid w:val="00885014"/>
    <w:rsid w:val="0088537B"/>
    <w:rsid w:val="0088582C"/>
    <w:rsid w:val="0088673B"/>
    <w:rsid w:val="0088673D"/>
    <w:rsid w:val="00887243"/>
    <w:rsid w:val="00887509"/>
    <w:rsid w:val="00887F3F"/>
    <w:rsid w:val="008900A4"/>
    <w:rsid w:val="00890120"/>
    <w:rsid w:val="00890928"/>
    <w:rsid w:val="00890D43"/>
    <w:rsid w:val="00891605"/>
    <w:rsid w:val="0089161F"/>
    <w:rsid w:val="008916F2"/>
    <w:rsid w:val="0089225B"/>
    <w:rsid w:val="00892392"/>
    <w:rsid w:val="008936AE"/>
    <w:rsid w:val="00893917"/>
    <w:rsid w:val="00894243"/>
    <w:rsid w:val="00894378"/>
    <w:rsid w:val="00894911"/>
    <w:rsid w:val="00894977"/>
    <w:rsid w:val="0089517F"/>
    <w:rsid w:val="0089585F"/>
    <w:rsid w:val="00895A3C"/>
    <w:rsid w:val="00895C12"/>
    <w:rsid w:val="0089669B"/>
    <w:rsid w:val="008968E3"/>
    <w:rsid w:val="0089693E"/>
    <w:rsid w:val="00897071"/>
    <w:rsid w:val="008970D8"/>
    <w:rsid w:val="00897745"/>
    <w:rsid w:val="00897D84"/>
    <w:rsid w:val="008A0283"/>
    <w:rsid w:val="008A039F"/>
    <w:rsid w:val="008A058E"/>
    <w:rsid w:val="008A0AE7"/>
    <w:rsid w:val="008A0F8C"/>
    <w:rsid w:val="008A1258"/>
    <w:rsid w:val="008A17DC"/>
    <w:rsid w:val="008A1DB2"/>
    <w:rsid w:val="008A1E75"/>
    <w:rsid w:val="008A1E79"/>
    <w:rsid w:val="008A23BF"/>
    <w:rsid w:val="008A254C"/>
    <w:rsid w:val="008A2752"/>
    <w:rsid w:val="008A277A"/>
    <w:rsid w:val="008A2F21"/>
    <w:rsid w:val="008A304A"/>
    <w:rsid w:val="008A3775"/>
    <w:rsid w:val="008A434F"/>
    <w:rsid w:val="008A5486"/>
    <w:rsid w:val="008A67FA"/>
    <w:rsid w:val="008A6823"/>
    <w:rsid w:val="008A6A0C"/>
    <w:rsid w:val="008A740E"/>
    <w:rsid w:val="008A75E4"/>
    <w:rsid w:val="008A7638"/>
    <w:rsid w:val="008A7F03"/>
    <w:rsid w:val="008B08B9"/>
    <w:rsid w:val="008B0F89"/>
    <w:rsid w:val="008B0F8D"/>
    <w:rsid w:val="008B0FD8"/>
    <w:rsid w:val="008B11CD"/>
    <w:rsid w:val="008B16AA"/>
    <w:rsid w:val="008B1866"/>
    <w:rsid w:val="008B26E0"/>
    <w:rsid w:val="008B350A"/>
    <w:rsid w:val="008B3DAB"/>
    <w:rsid w:val="008B3EFE"/>
    <w:rsid w:val="008B4412"/>
    <w:rsid w:val="008B4657"/>
    <w:rsid w:val="008B46F4"/>
    <w:rsid w:val="008B4953"/>
    <w:rsid w:val="008B4E5F"/>
    <w:rsid w:val="008B4EF2"/>
    <w:rsid w:val="008B4F9F"/>
    <w:rsid w:val="008B568F"/>
    <w:rsid w:val="008B58B8"/>
    <w:rsid w:val="008B5979"/>
    <w:rsid w:val="008B5A32"/>
    <w:rsid w:val="008B5D46"/>
    <w:rsid w:val="008B6187"/>
    <w:rsid w:val="008B6448"/>
    <w:rsid w:val="008B6690"/>
    <w:rsid w:val="008B6850"/>
    <w:rsid w:val="008B693A"/>
    <w:rsid w:val="008B6BA2"/>
    <w:rsid w:val="008B6C71"/>
    <w:rsid w:val="008B70AF"/>
    <w:rsid w:val="008B7403"/>
    <w:rsid w:val="008B781C"/>
    <w:rsid w:val="008B7D3A"/>
    <w:rsid w:val="008C08C0"/>
    <w:rsid w:val="008C09AC"/>
    <w:rsid w:val="008C0C83"/>
    <w:rsid w:val="008C0CC4"/>
    <w:rsid w:val="008C15CF"/>
    <w:rsid w:val="008C1B73"/>
    <w:rsid w:val="008C2304"/>
    <w:rsid w:val="008C2FF2"/>
    <w:rsid w:val="008C358F"/>
    <w:rsid w:val="008C39DA"/>
    <w:rsid w:val="008C3B9F"/>
    <w:rsid w:val="008C4481"/>
    <w:rsid w:val="008C4702"/>
    <w:rsid w:val="008C47AB"/>
    <w:rsid w:val="008C4C99"/>
    <w:rsid w:val="008C50BC"/>
    <w:rsid w:val="008C5A25"/>
    <w:rsid w:val="008C5A57"/>
    <w:rsid w:val="008C5F3E"/>
    <w:rsid w:val="008C6353"/>
    <w:rsid w:val="008C65A9"/>
    <w:rsid w:val="008C6B0A"/>
    <w:rsid w:val="008C717A"/>
    <w:rsid w:val="008C72C5"/>
    <w:rsid w:val="008C75B8"/>
    <w:rsid w:val="008C7B16"/>
    <w:rsid w:val="008D04F8"/>
    <w:rsid w:val="008D0757"/>
    <w:rsid w:val="008D0DAA"/>
    <w:rsid w:val="008D0DFE"/>
    <w:rsid w:val="008D0F30"/>
    <w:rsid w:val="008D14CD"/>
    <w:rsid w:val="008D15A9"/>
    <w:rsid w:val="008D18FD"/>
    <w:rsid w:val="008D1CEC"/>
    <w:rsid w:val="008D2671"/>
    <w:rsid w:val="008D2E55"/>
    <w:rsid w:val="008D3119"/>
    <w:rsid w:val="008D3D34"/>
    <w:rsid w:val="008D461D"/>
    <w:rsid w:val="008D49E7"/>
    <w:rsid w:val="008D4DD3"/>
    <w:rsid w:val="008D4F07"/>
    <w:rsid w:val="008D4FD0"/>
    <w:rsid w:val="008D514B"/>
    <w:rsid w:val="008D5595"/>
    <w:rsid w:val="008D5842"/>
    <w:rsid w:val="008D6700"/>
    <w:rsid w:val="008D7140"/>
    <w:rsid w:val="008D793A"/>
    <w:rsid w:val="008E036A"/>
    <w:rsid w:val="008E0F1B"/>
    <w:rsid w:val="008E1096"/>
    <w:rsid w:val="008E1626"/>
    <w:rsid w:val="008E1883"/>
    <w:rsid w:val="008E18F6"/>
    <w:rsid w:val="008E29BF"/>
    <w:rsid w:val="008E37EA"/>
    <w:rsid w:val="008E394B"/>
    <w:rsid w:val="008E3BFE"/>
    <w:rsid w:val="008E4521"/>
    <w:rsid w:val="008E48AA"/>
    <w:rsid w:val="008E496D"/>
    <w:rsid w:val="008E49D1"/>
    <w:rsid w:val="008E4AA4"/>
    <w:rsid w:val="008E4E1A"/>
    <w:rsid w:val="008E4FB8"/>
    <w:rsid w:val="008E5E29"/>
    <w:rsid w:val="008E71FE"/>
    <w:rsid w:val="008E74DF"/>
    <w:rsid w:val="008F0681"/>
    <w:rsid w:val="008F0B56"/>
    <w:rsid w:val="008F0B80"/>
    <w:rsid w:val="008F0F88"/>
    <w:rsid w:val="008F137C"/>
    <w:rsid w:val="008F1643"/>
    <w:rsid w:val="008F1AE7"/>
    <w:rsid w:val="008F21C9"/>
    <w:rsid w:val="008F24B9"/>
    <w:rsid w:val="008F2620"/>
    <w:rsid w:val="008F2CDB"/>
    <w:rsid w:val="008F320A"/>
    <w:rsid w:val="008F35EA"/>
    <w:rsid w:val="008F3FB1"/>
    <w:rsid w:val="008F4600"/>
    <w:rsid w:val="008F4D54"/>
    <w:rsid w:val="008F51A7"/>
    <w:rsid w:val="008F5BA9"/>
    <w:rsid w:val="008F5D33"/>
    <w:rsid w:val="008F783E"/>
    <w:rsid w:val="008F78C4"/>
    <w:rsid w:val="008F7C1B"/>
    <w:rsid w:val="008F7EC2"/>
    <w:rsid w:val="009005F0"/>
    <w:rsid w:val="00900ED5"/>
    <w:rsid w:val="00900EDD"/>
    <w:rsid w:val="009012BC"/>
    <w:rsid w:val="009014D4"/>
    <w:rsid w:val="00901824"/>
    <w:rsid w:val="00901AB1"/>
    <w:rsid w:val="00901AD4"/>
    <w:rsid w:val="0090236C"/>
    <w:rsid w:val="009024E8"/>
    <w:rsid w:val="00902C3F"/>
    <w:rsid w:val="0090322C"/>
    <w:rsid w:val="00904210"/>
    <w:rsid w:val="00904307"/>
    <w:rsid w:val="009048A6"/>
    <w:rsid w:val="00904CDC"/>
    <w:rsid w:val="0090514F"/>
    <w:rsid w:val="009055AE"/>
    <w:rsid w:val="009055E2"/>
    <w:rsid w:val="009057C2"/>
    <w:rsid w:val="00905D52"/>
    <w:rsid w:val="00905F9C"/>
    <w:rsid w:val="00906743"/>
    <w:rsid w:val="00906901"/>
    <w:rsid w:val="009071F5"/>
    <w:rsid w:val="009078D3"/>
    <w:rsid w:val="00907EF0"/>
    <w:rsid w:val="00907F0F"/>
    <w:rsid w:val="0091025F"/>
    <w:rsid w:val="0091065E"/>
    <w:rsid w:val="0091145D"/>
    <w:rsid w:val="00911544"/>
    <w:rsid w:val="00911C05"/>
    <w:rsid w:val="009127B4"/>
    <w:rsid w:val="009127C2"/>
    <w:rsid w:val="00912809"/>
    <w:rsid w:val="00913B7B"/>
    <w:rsid w:val="00913CAD"/>
    <w:rsid w:val="00913D79"/>
    <w:rsid w:val="00914C7C"/>
    <w:rsid w:val="00914E90"/>
    <w:rsid w:val="009150F6"/>
    <w:rsid w:val="0091572F"/>
    <w:rsid w:val="00916DA4"/>
    <w:rsid w:val="00917A89"/>
    <w:rsid w:val="00920230"/>
    <w:rsid w:val="00920AE5"/>
    <w:rsid w:val="00920E4D"/>
    <w:rsid w:val="0092105D"/>
    <w:rsid w:val="0092144D"/>
    <w:rsid w:val="00921648"/>
    <w:rsid w:val="00921A33"/>
    <w:rsid w:val="00921C2A"/>
    <w:rsid w:val="00921FE8"/>
    <w:rsid w:val="00922364"/>
    <w:rsid w:val="00922925"/>
    <w:rsid w:val="00922A79"/>
    <w:rsid w:val="009231A0"/>
    <w:rsid w:val="00923B85"/>
    <w:rsid w:val="00923E25"/>
    <w:rsid w:val="00923EBB"/>
    <w:rsid w:val="009242BC"/>
    <w:rsid w:val="0092478D"/>
    <w:rsid w:val="009248D1"/>
    <w:rsid w:val="00924906"/>
    <w:rsid w:val="00925098"/>
    <w:rsid w:val="00925199"/>
    <w:rsid w:val="00925A14"/>
    <w:rsid w:val="00926219"/>
    <w:rsid w:val="00926995"/>
    <w:rsid w:val="00926BC6"/>
    <w:rsid w:val="0092705F"/>
    <w:rsid w:val="00927600"/>
    <w:rsid w:val="00927792"/>
    <w:rsid w:val="00927AC3"/>
    <w:rsid w:val="00927BF7"/>
    <w:rsid w:val="00927C95"/>
    <w:rsid w:val="00930361"/>
    <w:rsid w:val="0093037B"/>
    <w:rsid w:val="009306EF"/>
    <w:rsid w:val="00930844"/>
    <w:rsid w:val="009310AE"/>
    <w:rsid w:val="009310EC"/>
    <w:rsid w:val="00931E57"/>
    <w:rsid w:val="00932295"/>
    <w:rsid w:val="009323D5"/>
    <w:rsid w:val="00932643"/>
    <w:rsid w:val="00932C90"/>
    <w:rsid w:val="00933787"/>
    <w:rsid w:val="00933DC8"/>
    <w:rsid w:val="00933ECF"/>
    <w:rsid w:val="009348DE"/>
    <w:rsid w:val="009355A4"/>
    <w:rsid w:val="00935887"/>
    <w:rsid w:val="0093602E"/>
    <w:rsid w:val="00936904"/>
    <w:rsid w:val="00936B2A"/>
    <w:rsid w:val="0093704B"/>
    <w:rsid w:val="00937437"/>
    <w:rsid w:val="00937829"/>
    <w:rsid w:val="00937C72"/>
    <w:rsid w:val="00937CD5"/>
    <w:rsid w:val="00940072"/>
    <w:rsid w:val="009400A3"/>
    <w:rsid w:val="00940384"/>
    <w:rsid w:val="0094051D"/>
    <w:rsid w:val="00940626"/>
    <w:rsid w:val="00940DD5"/>
    <w:rsid w:val="00941278"/>
    <w:rsid w:val="00941328"/>
    <w:rsid w:val="00941792"/>
    <w:rsid w:val="0094195B"/>
    <w:rsid w:val="00941966"/>
    <w:rsid w:val="00941C8A"/>
    <w:rsid w:val="00942239"/>
    <w:rsid w:val="009423E6"/>
    <w:rsid w:val="00942D16"/>
    <w:rsid w:val="00942E44"/>
    <w:rsid w:val="009432CE"/>
    <w:rsid w:val="0094386A"/>
    <w:rsid w:val="00943ADC"/>
    <w:rsid w:val="00943AE4"/>
    <w:rsid w:val="00943B04"/>
    <w:rsid w:val="00943DD8"/>
    <w:rsid w:val="00944221"/>
    <w:rsid w:val="00944A15"/>
    <w:rsid w:val="00945018"/>
    <w:rsid w:val="009450A2"/>
    <w:rsid w:val="00945807"/>
    <w:rsid w:val="00945866"/>
    <w:rsid w:val="00945A1D"/>
    <w:rsid w:val="00945AC5"/>
    <w:rsid w:val="00945B7A"/>
    <w:rsid w:val="00946061"/>
    <w:rsid w:val="009460C9"/>
    <w:rsid w:val="0094615F"/>
    <w:rsid w:val="0094628A"/>
    <w:rsid w:val="00946734"/>
    <w:rsid w:val="00947AD4"/>
    <w:rsid w:val="00947E01"/>
    <w:rsid w:val="00947FE1"/>
    <w:rsid w:val="00950131"/>
    <w:rsid w:val="00950CE4"/>
    <w:rsid w:val="00951E54"/>
    <w:rsid w:val="00952373"/>
    <w:rsid w:val="00952943"/>
    <w:rsid w:val="0095325A"/>
    <w:rsid w:val="00953CB4"/>
    <w:rsid w:val="00954137"/>
    <w:rsid w:val="00954279"/>
    <w:rsid w:val="00955219"/>
    <w:rsid w:val="00955303"/>
    <w:rsid w:val="00955337"/>
    <w:rsid w:val="009555BB"/>
    <w:rsid w:val="00955796"/>
    <w:rsid w:val="009559E3"/>
    <w:rsid w:val="00955CE6"/>
    <w:rsid w:val="00955D79"/>
    <w:rsid w:val="009567E0"/>
    <w:rsid w:val="00957EDC"/>
    <w:rsid w:val="0096018A"/>
    <w:rsid w:val="0096055F"/>
    <w:rsid w:val="009606CB"/>
    <w:rsid w:val="00960883"/>
    <w:rsid w:val="00960E68"/>
    <w:rsid w:val="0096122B"/>
    <w:rsid w:val="0096135E"/>
    <w:rsid w:val="00961632"/>
    <w:rsid w:val="00961F43"/>
    <w:rsid w:val="00962309"/>
    <w:rsid w:val="009624D4"/>
    <w:rsid w:val="00962B27"/>
    <w:rsid w:val="00962BCB"/>
    <w:rsid w:val="00962C93"/>
    <w:rsid w:val="009634FC"/>
    <w:rsid w:val="00963810"/>
    <w:rsid w:val="00963F7F"/>
    <w:rsid w:val="009643E6"/>
    <w:rsid w:val="009646BD"/>
    <w:rsid w:val="009648CD"/>
    <w:rsid w:val="00964CB0"/>
    <w:rsid w:val="00965A44"/>
    <w:rsid w:val="00965CD8"/>
    <w:rsid w:val="00965D44"/>
    <w:rsid w:val="009662BE"/>
    <w:rsid w:val="00966561"/>
    <w:rsid w:val="009668D2"/>
    <w:rsid w:val="00966BBD"/>
    <w:rsid w:val="00967721"/>
    <w:rsid w:val="00967DA9"/>
    <w:rsid w:val="009709AD"/>
    <w:rsid w:val="00971196"/>
    <w:rsid w:val="00971268"/>
    <w:rsid w:val="00971891"/>
    <w:rsid w:val="00971FD8"/>
    <w:rsid w:val="00972301"/>
    <w:rsid w:val="009723A3"/>
    <w:rsid w:val="00972439"/>
    <w:rsid w:val="00972761"/>
    <w:rsid w:val="00972B93"/>
    <w:rsid w:val="00972BD5"/>
    <w:rsid w:val="009733F1"/>
    <w:rsid w:val="009739C4"/>
    <w:rsid w:val="009739F2"/>
    <w:rsid w:val="00974CA8"/>
    <w:rsid w:val="0097523E"/>
    <w:rsid w:val="00975304"/>
    <w:rsid w:val="0097542C"/>
    <w:rsid w:val="0097556C"/>
    <w:rsid w:val="009757BC"/>
    <w:rsid w:val="00976279"/>
    <w:rsid w:val="00976B4C"/>
    <w:rsid w:val="009771D8"/>
    <w:rsid w:val="009772B3"/>
    <w:rsid w:val="009774D3"/>
    <w:rsid w:val="00977633"/>
    <w:rsid w:val="00977A2E"/>
    <w:rsid w:val="00977C58"/>
    <w:rsid w:val="00977CDF"/>
    <w:rsid w:val="00980090"/>
    <w:rsid w:val="0098028A"/>
    <w:rsid w:val="0098045F"/>
    <w:rsid w:val="009805C8"/>
    <w:rsid w:val="00980A9F"/>
    <w:rsid w:val="0098170E"/>
    <w:rsid w:val="00981962"/>
    <w:rsid w:val="00981D98"/>
    <w:rsid w:val="00981FD8"/>
    <w:rsid w:val="00982A72"/>
    <w:rsid w:val="00983213"/>
    <w:rsid w:val="00984B9A"/>
    <w:rsid w:val="00984D3E"/>
    <w:rsid w:val="0098520F"/>
    <w:rsid w:val="00985833"/>
    <w:rsid w:val="00985FED"/>
    <w:rsid w:val="009863C3"/>
    <w:rsid w:val="009864D7"/>
    <w:rsid w:val="009865E3"/>
    <w:rsid w:val="00986C49"/>
    <w:rsid w:val="00987018"/>
    <w:rsid w:val="00987073"/>
    <w:rsid w:val="009876C8"/>
    <w:rsid w:val="009878CB"/>
    <w:rsid w:val="009879EA"/>
    <w:rsid w:val="00987E21"/>
    <w:rsid w:val="00990222"/>
    <w:rsid w:val="00990983"/>
    <w:rsid w:val="00991013"/>
    <w:rsid w:val="0099156D"/>
    <w:rsid w:val="0099158E"/>
    <w:rsid w:val="009915DA"/>
    <w:rsid w:val="00991C75"/>
    <w:rsid w:val="00991EE9"/>
    <w:rsid w:val="00991FBF"/>
    <w:rsid w:val="009927D2"/>
    <w:rsid w:val="009930FC"/>
    <w:rsid w:val="00993220"/>
    <w:rsid w:val="0099392A"/>
    <w:rsid w:val="00993A62"/>
    <w:rsid w:val="00993AE4"/>
    <w:rsid w:val="009940FE"/>
    <w:rsid w:val="0099424A"/>
    <w:rsid w:val="00994511"/>
    <w:rsid w:val="009949BD"/>
    <w:rsid w:val="00994CEC"/>
    <w:rsid w:val="00994F0E"/>
    <w:rsid w:val="00994F6B"/>
    <w:rsid w:val="00995391"/>
    <w:rsid w:val="0099540C"/>
    <w:rsid w:val="0099564D"/>
    <w:rsid w:val="0099568B"/>
    <w:rsid w:val="00995B29"/>
    <w:rsid w:val="00996195"/>
    <w:rsid w:val="00996384"/>
    <w:rsid w:val="009963D0"/>
    <w:rsid w:val="00996483"/>
    <w:rsid w:val="00996C76"/>
    <w:rsid w:val="00996FFB"/>
    <w:rsid w:val="00997359"/>
    <w:rsid w:val="009978FA"/>
    <w:rsid w:val="00997A4B"/>
    <w:rsid w:val="00997B6C"/>
    <w:rsid w:val="00997D5A"/>
    <w:rsid w:val="009A0471"/>
    <w:rsid w:val="009A06A7"/>
    <w:rsid w:val="009A0847"/>
    <w:rsid w:val="009A1783"/>
    <w:rsid w:val="009A18E9"/>
    <w:rsid w:val="009A192E"/>
    <w:rsid w:val="009A212E"/>
    <w:rsid w:val="009A26DC"/>
    <w:rsid w:val="009A2960"/>
    <w:rsid w:val="009A2B7C"/>
    <w:rsid w:val="009A2C14"/>
    <w:rsid w:val="009A3EFA"/>
    <w:rsid w:val="009A4164"/>
    <w:rsid w:val="009A43F6"/>
    <w:rsid w:val="009A4C47"/>
    <w:rsid w:val="009A55FE"/>
    <w:rsid w:val="009A5F4A"/>
    <w:rsid w:val="009A62B9"/>
    <w:rsid w:val="009A6E58"/>
    <w:rsid w:val="009A7560"/>
    <w:rsid w:val="009A7B94"/>
    <w:rsid w:val="009B0067"/>
    <w:rsid w:val="009B06AD"/>
    <w:rsid w:val="009B07DA"/>
    <w:rsid w:val="009B0D3B"/>
    <w:rsid w:val="009B0E4F"/>
    <w:rsid w:val="009B119E"/>
    <w:rsid w:val="009B1F00"/>
    <w:rsid w:val="009B21CE"/>
    <w:rsid w:val="009B232A"/>
    <w:rsid w:val="009B269B"/>
    <w:rsid w:val="009B2BB3"/>
    <w:rsid w:val="009B3286"/>
    <w:rsid w:val="009B3CAD"/>
    <w:rsid w:val="009B3E0A"/>
    <w:rsid w:val="009B502F"/>
    <w:rsid w:val="009B50EB"/>
    <w:rsid w:val="009B533E"/>
    <w:rsid w:val="009B545C"/>
    <w:rsid w:val="009B59E5"/>
    <w:rsid w:val="009B5BE4"/>
    <w:rsid w:val="009B637D"/>
    <w:rsid w:val="009B66E9"/>
    <w:rsid w:val="009B6BCC"/>
    <w:rsid w:val="009B72C2"/>
    <w:rsid w:val="009B7389"/>
    <w:rsid w:val="009B79C0"/>
    <w:rsid w:val="009B7FAE"/>
    <w:rsid w:val="009C0170"/>
    <w:rsid w:val="009C02D2"/>
    <w:rsid w:val="009C063C"/>
    <w:rsid w:val="009C07BB"/>
    <w:rsid w:val="009C1170"/>
    <w:rsid w:val="009C1227"/>
    <w:rsid w:val="009C1C3F"/>
    <w:rsid w:val="009C1CE3"/>
    <w:rsid w:val="009C1FB8"/>
    <w:rsid w:val="009C2202"/>
    <w:rsid w:val="009C396A"/>
    <w:rsid w:val="009C3B4C"/>
    <w:rsid w:val="009C3EFF"/>
    <w:rsid w:val="009C450A"/>
    <w:rsid w:val="009C4512"/>
    <w:rsid w:val="009C4613"/>
    <w:rsid w:val="009C484F"/>
    <w:rsid w:val="009C49D3"/>
    <w:rsid w:val="009C4B41"/>
    <w:rsid w:val="009C57FE"/>
    <w:rsid w:val="009C5B9B"/>
    <w:rsid w:val="009C5C96"/>
    <w:rsid w:val="009C5D76"/>
    <w:rsid w:val="009C6621"/>
    <w:rsid w:val="009C7285"/>
    <w:rsid w:val="009C7A7E"/>
    <w:rsid w:val="009C7B5C"/>
    <w:rsid w:val="009D001E"/>
    <w:rsid w:val="009D02DC"/>
    <w:rsid w:val="009D04D7"/>
    <w:rsid w:val="009D0CC0"/>
    <w:rsid w:val="009D0DE4"/>
    <w:rsid w:val="009D0E8D"/>
    <w:rsid w:val="009D11C2"/>
    <w:rsid w:val="009D19E1"/>
    <w:rsid w:val="009D230C"/>
    <w:rsid w:val="009D2455"/>
    <w:rsid w:val="009D262E"/>
    <w:rsid w:val="009D2815"/>
    <w:rsid w:val="009D30F8"/>
    <w:rsid w:val="009D34BB"/>
    <w:rsid w:val="009D3A0D"/>
    <w:rsid w:val="009D3EDB"/>
    <w:rsid w:val="009D3F4F"/>
    <w:rsid w:val="009D445F"/>
    <w:rsid w:val="009D4ACC"/>
    <w:rsid w:val="009D4C83"/>
    <w:rsid w:val="009D4D3D"/>
    <w:rsid w:val="009D4D92"/>
    <w:rsid w:val="009D5B65"/>
    <w:rsid w:val="009D6030"/>
    <w:rsid w:val="009D6A11"/>
    <w:rsid w:val="009D6B28"/>
    <w:rsid w:val="009D6F11"/>
    <w:rsid w:val="009D716E"/>
    <w:rsid w:val="009D7993"/>
    <w:rsid w:val="009D7A25"/>
    <w:rsid w:val="009D7B11"/>
    <w:rsid w:val="009E048B"/>
    <w:rsid w:val="009E0E81"/>
    <w:rsid w:val="009E13FC"/>
    <w:rsid w:val="009E1A47"/>
    <w:rsid w:val="009E1AD2"/>
    <w:rsid w:val="009E1D70"/>
    <w:rsid w:val="009E294C"/>
    <w:rsid w:val="009E485C"/>
    <w:rsid w:val="009E4995"/>
    <w:rsid w:val="009E4B50"/>
    <w:rsid w:val="009E54AD"/>
    <w:rsid w:val="009E57BC"/>
    <w:rsid w:val="009E6605"/>
    <w:rsid w:val="009E6B2F"/>
    <w:rsid w:val="009E6EAE"/>
    <w:rsid w:val="009E73DF"/>
    <w:rsid w:val="009E78F2"/>
    <w:rsid w:val="009E7C97"/>
    <w:rsid w:val="009E7F23"/>
    <w:rsid w:val="009F0080"/>
    <w:rsid w:val="009F06E4"/>
    <w:rsid w:val="009F0A73"/>
    <w:rsid w:val="009F0AF7"/>
    <w:rsid w:val="009F1193"/>
    <w:rsid w:val="009F168A"/>
    <w:rsid w:val="009F2182"/>
    <w:rsid w:val="009F23EF"/>
    <w:rsid w:val="009F276E"/>
    <w:rsid w:val="009F2D23"/>
    <w:rsid w:val="009F4895"/>
    <w:rsid w:val="009F5076"/>
    <w:rsid w:val="009F5192"/>
    <w:rsid w:val="009F51BC"/>
    <w:rsid w:val="009F5913"/>
    <w:rsid w:val="009F59B7"/>
    <w:rsid w:val="009F5DC8"/>
    <w:rsid w:val="009F6023"/>
    <w:rsid w:val="009F6030"/>
    <w:rsid w:val="009F6334"/>
    <w:rsid w:val="009F6E9F"/>
    <w:rsid w:val="009F7898"/>
    <w:rsid w:val="009F7A15"/>
    <w:rsid w:val="00A002C2"/>
    <w:rsid w:val="00A003BB"/>
    <w:rsid w:val="00A007A1"/>
    <w:rsid w:val="00A00FB5"/>
    <w:rsid w:val="00A0149D"/>
    <w:rsid w:val="00A0175C"/>
    <w:rsid w:val="00A017E3"/>
    <w:rsid w:val="00A01835"/>
    <w:rsid w:val="00A02004"/>
    <w:rsid w:val="00A02067"/>
    <w:rsid w:val="00A023A9"/>
    <w:rsid w:val="00A02671"/>
    <w:rsid w:val="00A0268D"/>
    <w:rsid w:val="00A027C6"/>
    <w:rsid w:val="00A028B1"/>
    <w:rsid w:val="00A029F9"/>
    <w:rsid w:val="00A02C9E"/>
    <w:rsid w:val="00A02F64"/>
    <w:rsid w:val="00A03BFF"/>
    <w:rsid w:val="00A03EAC"/>
    <w:rsid w:val="00A040AD"/>
    <w:rsid w:val="00A0437D"/>
    <w:rsid w:val="00A0512C"/>
    <w:rsid w:val="00A063C2"/>
    <w:rsid w:val="00A06536"/>
    <w:rsid w:val="00A066F8"/>
    <w:rsid w:val="00A06739"/>
    <w:rsid w:val="00A0759C"/>
    <w:rsid w:val="00A076C8"/>
    <w:rsid w:val="00A07742"/>
    <w:rsid w:val="00A0794E"/>
    <w:rsid w:val="00A07D3C"/>
    <w:rsid w:val="00A07E48"/>
    <w:rsid w:val="00A07F16"/>
    <w:rsid w:val="00A10283"/>
    <w:rsid w:val="00A106C1"/>
    <w:rsid w:val="00A10AE1"/>
    <w:rsid w:val="00A10CF2"/>
    <w:rsid w:val="00A11526"/>
    <w:rsid w:val="00A127C5"/>
    <w:rsid w:val="00A13AE7"/>
    <w:rsid w:val="00A13C8A"/>
    <w:rsid w:val="00A140DB"/>
    <w:rsid w:val="00A1414C"/>
    <w:rsid w:val="00A14BBD"/>
    <w:rsid w:val="00A15007"/>
    <w:rsid w:val="00A15463"/>
    <w:rsid w:val="00A155A8"/>
    <w:rsid w:val="00A15636"/>
    <w:rsid w:val="00A15E05"/>
    <w:rsid w:val="00A15E42"/>
    <w:rsid w:val="00A15EF6"/>
    <w:rsid w:val="00A1609A"/>
    <w:rsid w:val="00A1628B"/>
    <w:rsid w:val="00A1702D"/>
    <w:rsid w:val="00A1710F"/>
    <w:rsid w:val="00A171D6"/>
    <w:rsid w:val="00A1774F"/>
    <w:rsid w:val="00A17FA6"/>
    <w:rsid w:val="00A2018D"/>
    <w:rsid w:val="00A202FC"/>
    <w:rsid w:val="00A20360"/>
    <w:rsid w:val="00A203AF"/>
    <w:rsid w:val="00A205B5"/>
    <w:rsid w:val="00A20A03"/>
    <w:rsid w:val="00A20D80"/>
    <w:rsid w:val="00A213A0"/>
    <w:rsid w:val="00A2180F"/>
    <w:rsid w:val="00A21AFA"/>
    <w:rsid w:val="00A21E2E"/>
    <w:rsid w:val="00A22A8F"/>
    <w:rsid w:val="00A23E5B"/>
    <w:rsid w:val="00A24249"/>
    <w:rsid w:val="00A242D2"/>
    <w:rsid w:val="00A24A6E"/>
    <w:rsid w:val="00A24BF0"/>
    <w:rsid w:val="00A24ED6"/>
    <w:rsid w:val="00A2537A"/>
    <w:rsid w:val="00A25B9C"/>
    <w:rsid w:val="00A26AE8"/>
    <w:rsid w:val="00A27734"/>
    <w:rsid w:val="00A2783C"/>
    <w:rsid w:val="00A27B9E"/>
    <w:rsid w:val="00A27CE1"/>
    <w:rsid w:val="00A27D23"/>
    <w:rsid w:val="00A3049A"/>
    <w:rsid w:val="00A31516"/>
    <w:rsid w:val="00A31C2B"/>
    <w:rsid w:val="00A31D9F"/>
    <w:rsid w:val="00A31DBD"/>
    <w:rsid w:val="00A31F99"/>
    <w:rsid w:val="00A32A9A"/>
    <w:rsid w:val="00A330C8"/>
    <w:rsid w:val="00A339AC"/>
    <w:rsid w:val="00A33E5C"/>
    <w:rsid w:val="00A34198"/>
    <w:rsid w:val="00A342CF"/>
    <w:rsid w:val="00A34396"/>
    <w:rsid w:val="00A3441C"/>
    <w:rsid w:val="00A34862"/>
    <w:rsid w:val="00A34DC1"/>
    <w:rsid w:val="00A34F22"/>
    <w:rsid w:val="00A35459"/>
    <w:rsid w:val="00A35838"/>
    <w:rsid w:val="00A35A25"/>
    <w:rsid w:val="00A35AB3"/>
    <w:rsid w:val="00A35C43"/>
    <w:rsid w:val="00A3604E"/>
    <w:rsid w:val="00A3674C"/>
    <w:rsid w:val="00A36EF6"/>
    <w:rsid w:val="00A40687"/>
    <w:rsid w:val="00A40F00"/>
    <w:rsid w:val="00A40FFC"/>
    <w:rsid w:val="00A411F8"/>
    <w:rsid w:val="00A4166D"/>
    <w:rsid w:val="00A417A7"/>
    <w:rsid w:val="00A42EA2"/>
    <w:rsid w:val="00A438C7"/>
    <w:rsid w:val="00A43B19"/>
    <w:rsid w:val="00A43C06"/>
    <w:rsid w:val="00A43D56"/>
    <w:rsid w:val="00A444ED"/>
    <w:rsid w:val="00A447E1"/>
    <w:rsid w:val="00A4491D"/>
    <w:rsid w:val="00A4496E"/>
    <w:rsid w:val="00A44D26"/>
    <w:rsid w:val="00A4522F"/>
    <w:rsid w:val="00A4667B"/>
    <w:rsid w:val="00A46EE4"/>
    <w:rsid w:val="00A47175"/>
    <w:rsid w:val="00A4767A"/>
    <w:rsid w:val="00A478AE"/>
    <w:rsid w:val="00A50B90"/>
    <w:rsid w:val="00A50E34"/>
    <w:rsid w:val="00A510AF"/>
    <w:rsid w:val="00A51E47"/>
    <w:rsid w:val="00A52044"/>
    <w:rsid w:val="00A52A73"/>
    <w:rsid w:val="00A52B0F"/>
    <w:rsid w:val="00A52BB4"/>
    <w:rsid w:val="00A52C12"/>
    <w:rsid w:val="00A52E9B"/>
    <w:rsid w:val="00A53313"/>
    <w:rsid w:val="00A5345F"/>
    <w:rsid w:val="00A5371E"/>
    <w:rsid w:val="00A5428B"/>
    <w:rsid w:val="00A54C4C"/>
    <w:rsid w:val="00A55196"/>
    <w:rsid w:val="00A557F2"/>
    <w:rsid w:val="00A55B8E"/>
    <w:rsid w:val="00A5668B"/>
    <w:rsid w:val="00A56EE2"/>
    <w:rsid w:val="00A57601"/>
    <w:rsid w:val="00A577A9"/>
    <w:rsid w:val="00A57901"/>
    <w:rsid w:val="00A57BCB"/>
    <w:rsid w:val="00A602EC"/>
    <w:rsid w:val="00A6077A"/>
    <w:rsid w:val="00A60D6C"/>
    <w:rsid w:val="00A60D83"/>
    <w:rsid w:val="00A617F6"/>
    <w:rsid w:val="00A61877"/>
    <w:rsid w:val="00A61EEE"/>
    <w:rsid w:val="00A620E5"/>
    <w:rsid w:val="00A624FF"/>
    <w:rsid w:val="00A6298C"/>
    <w:rsid w:val="00A63B0E"/>
    <w:rsid w:val="00A63BE3"/>
    <w:rsid w:val="00A64411"/>
    <w:rsid w:val="00A6479D"/>
    <w:rsid w:val="00A64960"/>
    <w:rsid w:val="00A64F10"/>
    <w:rsid w:val="00A650E6"/>
    <w:rsid w:val="00A65576"/>
    <w:rsid w:val="00A6564C"/>
    <w:rsid w:val="00A65970"/>
    <w:rsid w:val="00A659DD"/>
    <w:rsid w:val="00A65EA8"/>
    <w:rsid w:val="00A660BD"/>
    <w:rsid w:val="00A6645D"/>
    <w:rsid w:val="00A66657"/>
    <w:rsid w:val="00A669DA"/>
    <w:rsid w:val="00A66E00"/>
    <w:rsid w:val="00A66E81"/>
    <w:rsid w:val="00A673AB"/>
    <w:rsid w:val="00A678FD"/>
    <w:rsid w:val="00A67A00"/>
    <w:rsid w:val="00A67FEF"/>
    <w:rsid w:val="00A70340"/>
    <w:rsid w:val="00A7039D"/>
    <w:rsid w:val="00A70544"/>
    <w:rsid w:val="00A7063E"/>
    <w:rsid w:val="00A70A72"/>
    <w:rsid w:val="00A70B49"/>
    <w:rsid w:val="00A712A6"/>
    <w:rsid w:val="00A712EE"/>
    <w:rsid w:val="00A713B3"/>
    <w:rsid w:val="00A7181B"/>
    <w:rsid w:val="00A729CA"/>
    <w:rsid w:val="00A72BFD"/>
    <w:rsid w:val="00A72D2D"/>
    <w:rsid w:val="00A72FE8"/>
    <w:rsid w:val="00A73452"/>
    <w:rsid w:val="00A73997"/>
    <w:rsid w:val="00A73C0C"/>
    <w:rsid w:val="00A73EDC"/>
    <w:rsid w:val="00A741A9"/>
    <w:rsid w:val="00A742C1"/>
    <w:rsid w:val="00A743F5"/>
    <w:rsid w:val="00A745DB"/>
    <w:rsid w:val="00A74F9F"/>
    <w:rsid w:val="00A7537C"/>
    <w:rsid w:val="00A75849"/>
    <w:rsid w:val="00A76007"/>
    <w:rsid w:val="00A76342"/>
    <w:rsid w:val="00A76A08"/>
    <w:rsid w:val="00A76C20"/>
    <w:rsid w:val="00A76FA1"/>
    <w:rsid w:val="00A77803"/>
    <w:rsid w:val="00A7781B"/>
    <w:rsid w:val="00A77947"/>
    <w:rsid w:val="00A8010A"/>
    <w:rsid w:val="00A80207"/>
    <w:rsid w:val="00A80758"/>
    <w:rsid w:val="00A80975"/>
    <w:rsid w:val="00A811FD"/>
    <w:rsid w:val="00A81E8F"/>
    <w:rsid w:val="00A820B0"/>
    <w:rsid w:val="00A823D6"/>
    <w:rsid w:val="00A8254D"/>
    <w:rsid w:val="00A82867"/>
    <w:rsid w:val="00A8297C"/>
    <w:rsid w:val="00A82BE7"/>
    <w:rsid w:val="00A82EFA"/>
    <w:rsid w:val="00A833FC"/>
    <w:rsid w:val="00A838E6"/>
    <w:rsid w:val="00A83B8D"/>
    <w:rsid w:val="00A841D9"/>
    <w:rsid w:val="00A84343"/>
    <w:rsid w:val="00A852F6"/>
    <w:rsid w:val="00A8539C"/>
    <w:rsid w:val="00A85484"/>
    <w:rsid w:val="00A856D8"/>
    <w:rsid w:val="00A85825"/>
    <w:rsid w:val="00A85DB9"/>
    <w:rsid w:val="00A85FDA"/>
    <w:rsid w:val="00A86238"/>
    <w:rsid w:val="00A866D0"/>
    <w:rsid w:val="00A870E8"/>
    <w:rsid w:val="00A875E8"/>
    <w:rsid w:val="00A87A2A"/>
    <w:rsid w:val="00A87F70"/>
    <w:rsid w:val="00A906CB"/>
    <w:rsid w:val="00A90C7F"/>
    <w:rsid w:val="00A91256"/>
    <w:rsid w:val="00A915B3"/>
    <w:rsid w:val="00A91688"/>
    <w:rsid w:val="00A918FA"/>
    <w:rsid w:val="00A91987"/>
    <w:rsid w:val="00A92287"/>
    <w:rsid w:val="00A92356"/>
    <w:rsid w:val="00A9243E"/>
    <w:rsid w:val="00A929BD"/>
    <w:rsid w:val="00A93041"/>
    <w:rsid w:val="00A93C46"/>
    <w:rsid w:val="00A93C80"/>
    <w:rsid w:val="00A94252"/>
    <w:rsid w:val="00A9476A"/>
    <w:rsid w:val="00A94C34"/>
    <w:rsid w:val="00A9505D"/>
    <w:rsid w:val="00A96540"/>
    <w:rsid w:val="00A967C8"/>
    <w:rsid w:val="00A96E23"/>
    <w:rsid w:val="00A9799C"/>
    <w:rsid w:val="00A97A0A"/>
    <w:rsid w:val="00A97B33"/>
    <w:rsid w:val="00AA0AF7"/>
    <w:rsid w:val="00AA0EFA"/>
    <w:rsid w:val="00AA12B9"/>
    <w:rsid w:val="00AA1406"/>
    <w:rsid w:val="00AA1605"/>
    <w:rsid w:val="00AA1C89"/>
    <w:rsid w:val="00AA1EF4"/>
    <w:rsid w:val="00AA279A"/>
    <w:rsid w:val="00AA2B2D"/>
    <w:rsid w:val="00AA2B99"/>
    <w:rsid w:val="00AA2FD1"/>
    <w:rsid w:val="00AA320C"/>
    <w:rsid w:val="00AA3271"/>
    <w:rsid w:val="00AA34A8"/>
    <w:rsid w:val="00AA350C"/>
    <w:rsid w:val="00AA3746"/>
    <w:rsid w:val="00AA3C91"/>
    <w:rsid w:val="00AA3DEB"/>
    <w:rsid w:val="00AA3F65"/>
    <w:rsid w:val="00AA45B1"/>
    <w:rsid w:val="00AA4D2C"/>
    <w:rsid w:val="00AA532A"/>
    <w:rsid w:val="00AA5BD0"/>
    <w:rsid w:val="00AA6100"/>
    <w:rsid w:val="00AA6447"/>
    <w:rsid w:val="00AA697C"/>
    <w:rsid w:val="00AA71D9"/>
    <w:rsid w:val="00AA725A"/>
    <w:rsid w:val="00AA726F"/>
    <w:rsid w:val="00AA790B"/>
    <w:rsid w:val="00AA7C7B"/>
    <w:rsid w:val="00AA7EEE"/>
    <w:rsid w:val="00AB0443"/>
    <w:rsid w:val="00AB0B25"/>
    <w:rsid w:val="00AB12D0"/>
    <w:rsid w:val="00AB161E"/>
    <w:rsid w:val="00AB18AC"/>
    <w:rsid w:val="00AB1F64"/>
    <w:rsid w:val="00AB2443"/>
    <w:rsid w:val="00AB2B4A"/>
    <w:rsid w:val="00AB347C"/>
    <w:rsid w:val="00AB371A"/>
    <w:rsid w:val="00AB396F"/>
    <w:rsid w:val="00AB3C3A"/>
    <w:rsid w:val="00AB40A5"/>
    <w:rsid w:val="00AB4464"/>
    <w:rsid w:val="00AB4D6B"/>
    <w:rsid w:val="00AB568A"/>
    <w:rsid w:val="00AB602D"/>
    <w:rsid w:val="00AB62AE"/>
    <w:rsid w:val="00AB6878"/>
    <w:rsid w:val="00AB6B4F"/>
    <w:rsid w:val="00AB6E8E"/>
    <w:rsid w:val="00AB6F49"/>
    <w:rsid w:val="00AB70C3"/>
    <w:rsid w:val="00AB79C1"/>
    <w:rsid w:val="00AC0121"/>
    <w:rsid w:val="00AC0645"/>
    <w:rsid w:val="00AC1926"/>
    <w:rsid w:val="00AC19F9"/>
    <w:rsid w:val="00AC1C95"/>
    <w:rsid w:val="00AC21E7"/>
    <w:rsid w:val="00AC221D"/>
    <w:rsid w:val="00AC25A4"/>
    <w:rsid w:val="00AC28B9"/>
    <w:rsid w:val="00AC34F4"/>
    <w:rsid w:val="00AC38CF"/>
    <w:rsid w:val="00AC396A"/>
    <w:rsid w:val="00AC3C9E"/>
    <w:rsid w:val="00AC4655"/>
    <w:rsid w:val="00AC4FE4"/>
    <w:rsid w:val="00AC5061"/>
    <w:rsid w:val="00AC54DA"/>
    <w:rsid w:val="00AC5AB2"/>
    <w:rsid w:val="00AC5BC6"/>
    <w:rsid w:val="00AC5DEE"/>
    <w:rsid w:val="00AC64BB"/>
    <w:rsid w:val="00AC65D6"/>
    <w:rsid w:val="00AC71F5"/>
    <w:rsid w:val="00AC751E"/>
    <w:rsid w:val="00AC7833"/>
    <w:rsid w:val="00AC7A48"/>
    <w:rsid w:val="00AD01C4"/>
    <w:rsid w:val="00AD0650"/>
    <w:rsid w:val="00AD0AED"/>
    <w:rsid w:val="00AD0D3E"/>
    <w:rsid w:val="00AD0D42"/>
    <w:rsid w:val="00AD1297"/>
    <w:rsid w:val="00AD1371"/>
    <w:rsid w:val="00AD1B27"/>
    <w:rsid w:val="00AD1CDB"/>
    <w:rsid w:val="00AD22CE"/>
    <w:rsid w:val="00AD23C0"/>
    <w:rsid w:val="00AD27DC"/>
    <w:rsid w:val="00AD2BEA"/>
    <w:rsid w:val="00AD3170"/>
    <w:rsid w:val="00AD3622"/>
    <w:rsid w:val="00AD43F2"/>
    <w:rsid w:val="00AD460D"/>
    <w:rsid w:val="00AD49D9"/>
    <w:rsid w:val="00AD4D36"/>
    <w:rsid w:val="00AD4E64"/>
    <w:rsid w:val="00AD512D"/>
    <w:rsid w:val="00AD52C3"/>
    <w:rsid w:val="00AD5856"/>
    <w:rsid w:val="00AD5E7B"/>
    <w:rsid w:val="00AD5FAB"/>
    <w:rsid w:val="00AD61E1"/>
    <w:rsid w:val="00AD632C"/>
    <w:rsid w:val="00AD6839"/>
    <w:rsid w:val="00AD7414"/>
    <w:rsid w:val="00AD7499"/>
    <w:rsid w:val="00AD79E1"/>
    <w:rsid w:val="00AE00B0"/>
    <w:rsid w:val="00AE02C5"/>
    <w:rsid w:val="00AE0326"/>
    <w:rsid w:val="00AE076C"/>
    <w:rsid w:val="00AE090E"/>
    <w:rsid w:val="00AE0D91"/>
    <w:rsid w:val="00AE2033"/>
    <w:rsid w:val="00AE2455"/>
    <w:rsid w:val="00AE279C"/>
    <w:rsid w:val="00AE2D84"/>
    <w:rsid w:val="00AE3297"/>
    <w:rsid w:val="00AE486C"/>
    <w:rsid w:val="00AE48B2"/>
    <w:rsid w:val="00AE4CFD"/>
    <w:rsid w:val="00AE4EAA"/>
    <w:rsid w:val="00AE546E"/>
    <w:rsid w:val="00AE56C9"/>
    <w:rsid w:val="00AE594F"/>
    <w:rsid w:val="00AE5ECC"/>
    <w:rsid w:val="00AE6495"/>
    <w:rsid w:val="00AE6E47"/>
    <w:rsid w:val="00AE70A9"/>
    <w:rsid w:val="00AE7188"/>
    <w:rsid w:val="00AE730B"/>
    <w:rsid w:val="00AF0072"/>
    <w:rsid w:val="00AF0DF6"/>
    <w:rsid w:val="00AF2486"/>
    <w:rsid w:val="00AF24E2"/>
    <w:rsid w:val="00AF2E21"/>
    <w:rsid w:val="00AF30BB"/>
    <w:rsid w:val="00AF31FA"/>
    <w:rsid w:val="00AF362B"/>
    <w:rsid w:val="00AF363C"/>
    <w:rsid w:val="00AF36CA"/>
    <w:rsid w:val="00AF3A0E"/>
    <w:rsid w:val="00AF3BE1"/>
    <w:rsid w:val="00AF3DEC"/>
    <w:rsid w:val="00AF4216"/>
    <w:rsid w:val="00AF473E"/>
    <w:rsid w:val="00AF48CD"/>
    <w:rsid w:val="00AF4CD4"/>
    <w:rsid w:val="00AF4F62"/>
    <w:rsid w:val="00AF539E"/>
    <w:rsid w:val="00AF60E0"/>
    <w:rsid w:val="00AF6241"/>
    <w:rsid w:val="00AF65CA"/>
    <w:rsid w:val="00AF6AA4"/>
    <w:rsid w:val="00AF6D11"/>
    <w:rsid w:val="00AF7003"/>
    <w:rsid w:val="00AF7314"/>
    <w:rsid w:val="00AF73E7"/>
    <w:rsid w:val="00AF781C"/>
    <w:rsid w:val="00AF782E"/>
    <w:rsid w:val="00B00129"/>
    <w:rsid w:val="00B0029D"/>
    <w:rsid w:val="00B002BB"/>
    <w:rsid w:val="00B002EE"/>
    <w:rsid w:val="00B003F4"/>
    <w:rsid w:val="00B0043F"/>
    <w:rsid w:val="00B00480"/>
    <w:rsid w:val="00B00A21"/>
    <w:rsid w:val="00B00A99"/>
    <w:rsid w:val="00B0113D"/>
    <w:rsid w:val="00B01C6D"/>
    <w:rsid w:val="00B01E8A"/>
    <w:rsid w:val="00B0246B"/>
    <w:rsid w:val="00B0292A"/>
    <w:rsid w:val="00B033E6"/>
    <w:rsid w:val="00B03778"/>
    <w:rsid w:val="00B03AF4"/>
    <w:rsid w:val="00B0402C"/>
    <w:rsid w:val="00B04473"/>
    <w:rsid w:val="00B04548"/>
    <w:rsid w:val="00B0471D"/>
    <w:rsid w:val="00B04888"/>
    <w:rsid w:val="00B0518B"/>
    <w:rsid w:val="00B052D2"/>
    <w:rsid w:val="00B05387"/>
    <w:rsid w:val="00B056E0"/>
    <w:rsid w:val="00B057BE"/>
    <w:rsid w:val="00B06286"/>
    <w:rsid w:val="00B063FB"/>
    <w:rsid w:val="00B06486"/>
    <w:rsid w:val="00B06AAF"/>
    <w:rsid w:val="00B06E01"/>
    <w:rsid w:val="00B07450"/>
    <w:rsid w:val="00B0770C"/>
    <w:rsid w:val="00B07AF3"/>
    <w:rsid w:val="00B108DA"/>
    <w:rsid w:val="00B1120C"/>
    <w:rsid w:val="00B1144A"/>
    <w:rsid w:val="00B11726"/>
    <w:rsid w:val="00B119E2"/>
    <w:rsid w:val="00B127A3"/>
    <w:rsid w:val="00B12C22"/>
    <w:rsid w:val="00B12EE3"/>
    <w:rsid w:val="00B132D9"/>
    <w:rsid w:val="00B134D0"/>
    <w:rsid w:val="00B13636"/>
    <w:rsid w:val="00B1380E"/>
    <w:rsid w:val="00B138C4"/>
    <w:rsid w:val="00B13AC2"/>
    <w:rsid w:val="00B13E0E"/>
    <w:rsid w:val="00B14277"/>
    <w:rsid w:val="00B1475B"/>
    <w:rsid w:val="00B14914"/>
    <w:rsid w:val="00B14E57"/>
    <w:rsid w:val="00B14F09"/>
    <w:rsid w:val="00B14F83"/>
    <w:rsid w:val="00B15884"/>
    <w:rsid w:val="00B15A7E"/>
    <w:rsid w:val="00B15C19"/>
    <w:rsid w:val="00B161A8"/>
    <w:rsid w:val="00B1697E"/>
    <w:rsid w:val="00B16B9D"/>
    <w:rsid w:val="00B16BB9"/>
    <w:rsid w:val="00B16C40"/>
    <w:rsid w:val="00B17791"/>
    <w:rsid w:val="00B17B6A"/>
    <w:rsid w:val="00B17BA7"/>
    <w:rsid w:val="00B17C19"/>
    <w:rsid w:val="00B17DB1"/>
    <w:rsid w:val="00B17DD0"/>
    <w:rsid w:val="00B20445"/>
    <w:rsid w:val="00B20559"/>
    <w:rsid w:val="00B2060F"/>
    <w:rsid w:val="00B20E0F"/>
    <w:rsid w:val="00B21642"/>
    <w:rsid w:val="00B21660"/>
    <w:rsid w:val="00B218E6"/>
    <w:rsid w:val="00B21A1D"/>
    <w:rsid w:val="00B21C56"/>
    <w:rsid w:val="00B21DAF"/>
    <w:rsid w:val="00B22640"/>
    <w:rsid w:val="00B22BF7"/>
    <w:rsid w:val="00B23133"/>
    <w:rsid w:val="00B2327F"/>
    <w:rsid w:val="00B2343A"/>
    <w:rsid w:val="00B238D5"/>
    <w:rsid w:val="00B23DA4"/>
    <w:rsid w:val="00B24355"/>
    <w:rsid w:val="00B24726"/>
    <w:rsid w:val="00B252BE"/>
    <w:rsid w:val="00B262B4"/>
    <w:rsid w:val="00B263D9"/>
    <w:rsid w:val="00B2664E"/>
    <w:rsid w:val="00B26805"/>
    <w:rsid w:val="00B26C15"/>
    <w:rsid w:val="00B27369"/>
    <w:rsid w:val="00B27C89"/>
    <w:rsid w:val="00B3008D"/>
    <w:rsid w:val="00B30449"/>
    <w:rsid w:val="00B30D98"/>
    <w:rsid w:val="00B30E31"/>
    <w:rsid w:val="00B317B2"/>
    <w:rsid w:val="00B32DBC"/>
    <w:rsid w:val="00B32DDF"/>
    <w:rsid w:val="00B33A0D"/>
    <w:rsid w:val="00B33BDB"/>
    <w:rsid w:val="00B33DBB"/>
    <w:rsid w:val="00B33E3B"/>
    <w:rsid w:val="00B342EC"/>
    <w:rsid w:val="00B34512"/>
    <w:rsid w:val="00B34670"/>
    <w:rsid w:val="00B34BEC"/>
    <w:rsid w:val="00B34C35"/>
    <w:rsid w:val="00B351D1"/>
    <w:rsid w:val="00B354DD"/>
    <w:rsid w:val="00B357B8"/>
    <w:rsid w:val="00B36B62"/>
    <w:rsid w:val="00B36B6E"/>
    <w:rsid w:val="00B36FEE"/>
    <w:rsid w:val="00B36FFA"/>
    <w:rsid w:val="00B3728C"/>
    <w:rsid w:val="00B377D1"/>
    <w:rsid w:val="00B37874"/>
    <w:rsid w:val="00B37A30"/>
    <w:rsid w:val="00B37A5F"/>
    <w:rsid w:val="00B37C56"/>
    <w:rsid w:val="00B40074"/>
    <w:rsid w:val="00B42543"/>
    <w:rsid w:val="00B425E6"/>
    <w:rsid w:val="00B42892"/>
    <w:rsid w:val="00B43A33"/>
    <w:rsid w:val="00B43AE0"/>
    <w:rsid w:val="00B43C0A"/>
    <w:rsid w:val="00B43CA5"/>
    <w:rsid w:val="00B44061"/>
    <w:rsid w:val="00B44370"/>
    <w:rsid w:val="00B44776"/>
    <w:rsid w:val="00B44B72"/>
    <w:rsid w:val="00B452D5"/>
    <w:rsid w:val="00B455EC"/>
    <w:rsid w:val="00B45B09"/>
    <w:rsid w:val="00B45FE1"/>
    <w:rsid w:val="00B463B6"/>
    <w:rsid w:val="00B46F5D"/>
    <w:rsid w:val="00B47100"/>
    <w:rsid w:val="00B478CC"/>
    <w:rsid w:val="00B47C30"/>
    <w:rsid w:val="00B47E5A"/>
    <w:rsid w:val="00B47ED2"/>
    <w:rsid w:val="00B5035B"/>
    <w:rsid w:val="00B5075E"/>
    <w:rsid w:val="00B50BC0"/>
    <w:rsid w:val="00B50FAC"/>
    <w:rsid w:val="00B5107D"/>
    <w:rsid w:val="00B515B1"/>
    <w:rsid w:val="00B5198D"/>
    <w:rsid w:val="00B51A1F"/>
    <w:rsid w:val="00B51F24"/>
    <w:rsid w:val="00B51F78"/>
    <w:rsid w:val="00B5233F"/>
    <w:rsid w:val="00B525B4"/>
    <w:rsid w:val="00B52852"/>
    <w:rsid w:val="00B52991"/>
    <w:rsid w:val="00B529EE"/>
    <w:rsid w:val="00B5359A"/>
    <w:rsid w:val="00B538B8"/>
    <w:rsid w:val="00B539D6"/>
    <w:rsid w:val="00B53C26"/>
    <w:rsid w:val="00B5451B"/>
    <w:rsid w:val="00B54540"/>
    <w:rsid w:val="00B550F9"/>
    <w:rsid w:val="00B55343"/>
    <w:rsid w:val="00B554D5"/>
    <w:rsid w:val="00B55E4C"/>
    <w:rsid w:val="00B560E0"/>
    <w:rsid w:val="00B56383"/>
    <w:rsid w:val="00B566B8"/>
    <w:rsid w:val="00B56F3A"/>
    <w:rsid w:val="00B57205"/>
    <w:rsid w:val="00B5798E"/>
    <w:rsid w:val="00B57C09"/>
    <w:rsid w:val="00B57C6B"/>
    <w:rsid w:val="00B60034"/>
    <w:rsid w:val="00B60341"/>
    <w:rsid w:val="00B60EA5"/>
    <w:rsid w:val="00B60EAA"/>
    <w:rsid w:val="00B61636"/>
    <w:rsid w:val="00B61847"/>
    <w:rsid w:val="00B61C43"/>
    <w:rsid w:val="00B61F6A"/>
    <w:rsid w:val="00B62331"/>
    <w:rsid w:val="00B62AC3"/>
    <w:rsid w:val="00B62B7D"/>
    <w:rsid w:val="00B62C8A"/>
    <w:rsid w:val="00B6306D"/>
    <w:rsid w:val="00B63203"/>
    <w:rsid w:val="00B63B37"/>
    <w:rsid w:val="00B6446E"/>
    <w:rsid w:val="00B6571C"/>
    <w:rsid w:val="00B65947"/>
    <w:rsid w:val="00B65CB0"/>
    <w:rsid w:val="00B65D25"/>
    <w:rsid w:val="00B6651C"/>
    <w:rsid w:val="00B668C0"/>
    <w:rsid w:val="00B66F02"/>
    <w:rsid w:val="00B66F70"/>
    <w:rsid w:val="00B671BE"/>
    <w:rsid w:val="00B6724B"/>
    <w:rsid w:val="00B679C2"/>
    <w:rsid w:val="00B7020F"/>
    <w:rsid w:val="00B70566"/>
    <w:rsid w:val="00B70BDF"/>
    <w:rsid w:val="00B70D13"/>
    <w:rsid w:val="00B714A3"/>
    <w:rsid w:val="00B715A6"/>
    <w:rsid w:val="00B71C27"/>
    <w:rsid w:val="00B71E92"/>
    <w:rsid w:val="00B72207"/>
    <w:rsid w:val="00B7238B"/>
    <w:rsid w:val="00B729F7"/>
    <w:rsid w:val="00B731D6"/>
    <w:rsid w:val="00B73414"/>
    <w:rsid w:val="00B736F1"/>
    <w:rsid w:val="00B7396D"/>
    <w:rsid w:val="00B739B7"/>
    <w:rsid w:val="00B74064"/>
    <w:rsid w:val="00B744C7"/>
    <w:rsid w:val="00B74D96"/>
    <w:rsid w:val="00B750F5"/>
    <w:rsid w:val="00B7519D"/>
    <w:rsid w:val="00B751A5"/>
    <w:rsid w:val="00B755B1"/>
    <w:rsid w:val="00B77464"/>
    <w:rsid w:val="00B77EAD"/>
    <w:rsid w:val="00B77FA9"/>
    <w:rsid w:val="00B80146"/>
    <w:rsid w:val="00B807E1"/>
    <w:rsid w:val="00B80D09"/>
    <w:rsid w:val="00B8163B"/>
    <w:rsid w:val="00B81E72"/>
    <w:rsid w:val="00B8358D"/>
    <w:rsid w:val="00B835C5"/>
    <w:rsid w:val="00B836ED"/>
    <w:rsid w:val="00B840D4"/>
    <w:rsid w:val="00B841BC"/>
    <w:rsid w:val="00B84430"/>
    <w:rsid w:val="00B8495F"/>
    <w:rsid w:val="00B853E1"/>
    <w:rsid w:val="00B857D7"/>
    <w:rsid w:val="00B8589E"/>
    <w:rsid w:val="00B85B7B"/>
    <w:rsid w:val="00B86038"/>
    <w:rsid w:val="00B86139"/>
    <w:rsid w:val="00B867D8"/>
    <w:rsid w:val="00B86AEB"/>
    <w:rsid w:val="00B8721E"/>
    <w:rsid w:val="00B878E7"/>
    <w:rsid w:val="00B87A2B"/>
    <w:rsid w:val="00B87C13"/>
    <w:rsid w:val="00B87C60"/>
    <w:rsid w:val="00B90276"/>
    <w:rsid w:val="00B9052C"/>
    <w:rsid w:val="00B90A77"/>
    <w:rsid w:val="00B90C13"/>
    <w:rsid w:val="00B913D2"/>
    <w:rsid w:val="00B91B59"/>
    <w:rsid w:val="00B9213B"/>
    <w:rsid w:val="00B924A4"/>
    <w:rsid w:val="00B928A9"/>
    <w:rsid w:val="00B92B12"/>
    <w:rsid w:val="00B932CC"/>
    <w:rsid w:val="00B93390"/>
    <w:rsid w:val="00B93E32"/>
    <w:rsid w:val="00B93EA1"/>
    <w:rsid w:val="00B93FDE"/>
    <w:rsid w:val="00B94375"/>
    <w:rsid w:val="00B9446C"/>
    <w:rsid w:val="00B94C89"/>
    <w:rsid w:val="00B94CE8"/>
    <w:rsid w:val="00B94D22"/>
    <w:rsid w:val="00B958BE"/>
    <w:rsid w:val="00B95919"/>
    <w:rsid w:val="00B96194"/>
    <w:rsid w:val="00B96AA7"/>
    <w:rsid w:val="00B96BC0"/>
    <w:rsid w:val="00B96E89"/>
    <w:rsid w:val="00B96EB0"/>
    <w:rsid w:val="00B96F1C"/>
    <w:rsid w:val="00B97011"/>
    <w:rsid w:val="00B97645"/>
    <w:rsid w:val="00B97CA7"/>
    <w:rsid w:val="00BA0A6F"/>
    <w:rsid w:val="00BA0BC2"/>
    <w:rsid w:val="00BA0DF3"/>
    <w:rsid w:val="00BA1437"/>
    <w:rsid w:val="00BA188F"/>
    <w:rsid w:val="00BA1C89"/>
    <w:rsid w:val="00BA230D"/>
    <w:rsid w:val="00BA2425"/>
    <w:rsid w:val="00BA2574"/>
    <w:rsid w:val="00BA292B"/>
    <w:rsid w:val="00BA2B72"/>
    <w:rsid w:val="00BA32BA"/>
    <w:rsid w:val="00BA34DB"/>
    <w:rsid w:val="00BA36A8"/>
    <w:rsid w:val="00BA3F50"/>
    <w:rsid w:val="00BA3FEA"/>
    <w:rsid w:val="00BA49AB"/>
    <w:rsid w:val="00BA4E3C"/>
    <w:rsid w:val="00BA5152"/>
    <w:rsid w:val="00BA5D76"/>
    <w:rsid w:val="00BA5DFF"/>
    <w:rsid w:val="00BA6A87"/>
    <w:rsid w:val="00BA6B16"/>
    <w:rsid w:val="00BA6BBE"/>
    <w:rsid w:val="00BA718A"/>
    <w:rsid w:val="00BB01B1"/>
    <w:rsid w:val="00BB0723"/>
    <w:rsid w:val="00BB07F5"/>
    <w:rsid w:val="00BB0AFE"/>
    <w:rsid w:val="00BB169B"/>
    <w:rsid w:val="00BB1E55"/>
    <w:rsid w:val="00BB22EB"/>
    <w:rsid w:val="00BB2503"/>
    <w:rsid w:val="00BB2760"/>
    <w:rsid w:val="00BB2BF0"/>
    <w:rsid w:val="00BB2D14"/>
    <w:rsid w:val="00BB309A"/>
    <w:rsid w:val="00BB309E"/>
    <w:rsid w:val="00BB31B2"/>
    <w:rsid w:val="00BB375B"/>
    <w:rsid w:val="00BB3B1B"/>
    <w:rsid w:val="00BB417D"/>
    <w:rsid w:val="00BB43DC"/>
    <w:rsid w:val="00BB48B6"/>
    <w:rsid w:val="00BB4FD3"/>
    <w:rsid w:val="00BB6172"/>
    <w:rsid w:val="00BB69E5"/>
    <w:rsid w:val="00BB6B7D"/>
    <w:rsid w:val="00BB6E10"/>
    <w:rsid w:val="00BB6E84"/>
    <w:rsid w:val="00BB6F58"/>
    <w:rsid w:val="00BB77EE"/>
    <w:rsid w:val="00BB7D5F"/>
    <w:rsid w:val="00BC0011"/>
    <w:rsid w:val="00BC023D"/>
    <w:rsid w:val="00BC0569"/>
    <w:rsid w:val="00BC06A7"/>
    <w:rsid w:val="00BC06C3"/>
    <w:rsid w:val="00BC1832"/>
    <w:rsid w:val="00BC1956"/>
    <w:rsid w:val="00BC1A69"/>
    <w:rsid w:val="00BC20A6"/>
    <w:rsid w:val="00BC221D"/>
    <w:rsid w:val="00BC250D"/>
    <w:rsid w:val="00BC268C"/>
    <w:rsid w:val="00BC2A94"/>
    <w:rsid w:val="00BC2AB7"/>
    <w:rsid w:val="00BC3694"/>
    <w:rsid w:val="00BC393F"/>
    <w:rsid w:val="00BC3AE7"/>
    <w:rsid w:val="00BC4224"/>
    <w:rsid w:val="00BC4234"/>
    <w:rsid w:val="00BC45BD"/>
    <w:rsid w:val="00BC4742"/>
    <w:rsid w:val="00BC4866"/>
    <w:rsid w:val="00BC49AD"/>
    <w:rsid w:val="00BC4A07"/>
    <w:rsid w:val="00BC4B83"/>
    <w:rsid w:val="00BC50A5"/>
    <w:rsid w:val="00BC52E1"/>
    <w:rsid w:val="00BC54D1"/>
    <w:rsid w:val="00BC5557"/>
    <w:rsid w:val="00BC593E"/>
    <w:rsid w:val="00BC595F"/>
    <w:rsid w:val="00BC5DC7"/>
    <w:rsid w:val="00BC5E33"/>
    <w:rsid w:val="00BC5EE2"/>
    <w:rsid w:val="00BC6DD1"/>
    <w:rsid w:val="00BC6F4F"/>
    <w:rsid w:val="00BC7334"/>
    <w:rsid w:val="00BC73EF"/>
    <w:rsid w:val="00BD057D"/>
    <w:rsid w:val="00BD0B7C"/>
    <w:rsid w:val="00BD10CC"/>
    <w:rsid w:val="00BD1412"/>
    <w:rsid w:val="00BD1653"/>
    <w:rsid w:val="00BD1759"/>
    <w:rsid w:val="00BD1DCE"/>
    <w:rsid w:val="00BD1EF6"/>
    <w:rsid w:val="00BD20DF"/>
    <w:rsid w:val="00BD349F"/>
    <w:rsid w:val="00BD3A06"/>
    <w:rsid w:val="00BD3B18"/>
    <w:rsid w:val="00BD4076"/>
    <w:rsid w:val="00BD449E"/>
    <w:rsid w:val="00BD489F"/>
    <w:rsid w:val="00BD4E93"/>
    <w:rsid w:val="00BD5064"/>
    <w:rsid w:val="00BD5160"/>
    <w:rsid w:val="00BD5561"/>
    <w:rsid w:val="00BD5628"/>
    <w:rsid w:val="00BD586E"/>
    <w:rsid w:val="00BD5B8C"/>
    <w:rsid w:val="00BD6343"/>
    <w:rsid w:val="00BD65EE"/>
    <w:rsid w:val="00BD68F8"/>
    <w:rsid w:val="00BD6AE3"/>
    <w:rsid w:val="00BD6F2C"/>
    <w:rsid w:val="00BD7332"/>
    <w:rsid w:val="00BD76E0"/>
    <w:rsid w:val="00BD7742"/>
    <w:rsid w:val="00BD7D69"/>
    <w:rsid w:val="00BE029D"/>
    <w:rsid w:val="00BE0841"/>
    <w:rsid w:val="00BE0CA0"/>
    <w:rsid w:val="00BE1173"/>
    <w:rsid w:val="00BE1C64"/>
    <w:rsid w:val="00BE22B4"/>
    <w:rsid w:val="00BE2C27"/>
    <w:rsid w:val="00BE33F5"/>
    <w:rsid w:val="00BE3421"/>
    <w:rsid w:val="00BE3D49"/>
    <w:rsid w:val="00BE3F54"/>
    <w:rsid w:val="00BE4B38"/>
    <w:rsid w:val="00BE6D46"/>
    <w:rsid w:val="00BE7081"/>
    <w:rsid w:val="00BE73EE"/>
    <w:rsid w:val="00BE7746"/>
    <w:rsid w:val="00BF0DE9"/>
    <w:rsid w:val="00BF1238"/>
    <w:rsid w:val="00BF146F"/>
    <w:rsid w:val="00BF19D2"/>
    <w:rsid w:val="00BF1BDD"/>
    <w:rsid w:val="00BF2737"/>
    <w:rsid w:val="00BF2BAB"/>
    <w:rsid w:val="00BF2EE9"/>
    <w:rsid w:val="00BF3141"/>
    <w:rsid w:val="00BF33AD"/>
    <w:rsid w:val="00BF3848"/>
    <w:rsid w:val="00BF3C5A"/>
    <w:rsid w:val="00BF3E24"/>
    <w:rsid w:val="00BF3E81"/>
    <w:rsid w:val="00BF3F99"/>
    <w:rsid w:val="00BF4365"/>
    <w:rsid w:val="00BF446F"/>
    <w:rsid w:val="00BF4B1C"/>
    <w:rsid w:val="00BF4B24"/>
    <w:rsid w:val="00BF4CD6"/>
    <w:rsid w:val="00BF4E24"/>
    <w:rsid w:val="00BF4EDB"/>
    <w:rsid w:val="00BF54A2"/>
    <w:rsid w:val="00BF5610"/>
    <w:rsid w:val="00BF5E58"/>
    <w:rsid w:val="00BF6021"/>
    <w:rsid w:val="00BF6058"/>
    <w:rsid w:val="00BF6067"/>
    <w:rsid w:val="00BF641A"/>
    <w:rsid w:val="00BF6E71"/>
    <w:rsid w:val="00BF7A70"/>
    <w:rsid w:val="00BF7D5B"/>
    <w:rsid w:val="00C00169"/>
    <w:rsid w:val="00C007A9"/>
    <w:rsid w:val="00C00A27"/>
    <w:rsid w:val="00C011B0"/>
    <w:rsid w:val="00C0136C"/>
    <w:rsid w:val="00C0136D"/>
    <w:rsid w:val="00C01DD8"/>
    <w:rsid w:val="00C01F24"/>
    <w:rsid w:val="00C01F6C"/>
    <w:rsid w:val="00C02346"/>
    <w:rsid w:val="00C029C3"/>
    <w:rsid w:val="00C02A7F"/>
    <w:rsid w:val="00C035F6"/>
    <w:rsid w:val="00C03737"/>
    <w:rsid w:val="00C044A0"/>
    <w:rsid w:val="00C046C0"/>
    <w:rsid w:val="00C047CC"/>
    <w:rsid w:val="00C04B64"/>
    <w:rsid w:val="00C052B5"/>
    <w:rsid w:val="00C0541A"/>
    <w:rsid w:val="00C05A0B"/>
    <w:rsid w:val="00C06C49"/>
    <w:rsid w:val="00C06F34"/>
    <w:rsid w:val="00C070F3"/>
    <w:rsid w:val="00C07209"/>
    <w:rsid w:val="00C07AD6"/>
    <w:rsid w:val="00C10262"/>
    <w:rsid w:val="00C10401"/>
    <w:rsid w:val="00C105F8"/>
    <w:rsid w:val="00C10D89"/>
    <w:rsid w:val="00C10DD9"/>
    <w:rsid w:val="00C10DE3"/>
    <w:rsid w:val="00C10E40"/>
    <w:rsid w:val="00C1125B"/>
    <w:rsid w:val="00C117B6"/>
    <w:rsid w:val="00C117B8"/>
    <w:rsid w:val="00C11A95"/>
    <w:rsid w:val="00C11AB9"/>
    <w:rsid w:val="00C12457"/>
    <w:rsid w:val="00C125EF"/>
    <w:rsid w:val="00C12A0D"/>
    <w:rsid w:val="00C1337A"/>
    <w:rsid w:val="00C13997"/>
    <w:rsid w:val="00C13EF7"/>
    <w:rsid w:val="00C14563"/>
    <w:rsid w:val="00C14D80"/>
    <w:rsid w:val="00C14F15"/>
    <w:rsid w:val="00C152E0"/>
    <w:rsid w:val="00C1530D"/>
    <w:rsid w:val="00C15725"/>
    <w:rsid w:val="00C15EB2"/>
    <w:rsid w:val="00C163CF"/>
    <w:rsid w:val="00C174BB"/>
    <w:rsid w:val="00C17DF7"/>
    <w:rsid w:val="00C17EC7"/>
    <w:rsid w:val="00C20989"/>
    <w:rsid w:val="00C20D35"/>
    <w:rsid w:val="00C219C2"/>
    <w:rsid w:val="00C21B77"/>
    <w:rsid w:val="00C21E17"/>
    <w:rsid w:val="00C2203A"/>
    <w:rsid w:val="00C22148"/>
    <w:rsid w:val="00C22514"/>
    <w:rsid w:val="00C22756"/>
    <w:rsid w:val="00C232A2"/>
    <w:rsid w:val="00C237AC"/>
    <w:rsid w:val="00C23951"/>
    <w:rsid w:val="00C242AD"/>
    <w:rsid w:val="00C246E7"/>
    <w:rsid w:val="00C25273"/>
    <w:rsid w:val="00C25444"/>
    <w:rsid w:val="00C26180"/>
    <w:rsid w:val="00C262CB"/>
    <w:rsid w:val="00C2647A"/>
    <w:rsid w:val="00C26A90"/>
    <w:rsid w:val="00C27092"/>
    <w:rsid w:val="00C2767E"/>
    <w:rsid w:val="00C277BB"/>
    <w:rsid w:val="00C27F60"/>
    <w:rsid w:val="00C27FBA"/>
    <w:rsid w:val="00C302BA"/>
    <w:rsid w:val="00C304E5"/>
    <w:rsid w:val="00C3068D"/>
    <w:rsid w:val="00C30A3E"/>
    <w:rsid w:val="00C3192E"/>
    <w:rsid w:val="00C3199F"/>
    <w:rsid w:val="00C31C01"/>
    <w:rsid w:val="00C3214E"/>
    <w:rsid w:val="00C322DA"/>
    <w:rsid w:val="00C33A43"/>
    <w:rsid w:val="00C34BB8"/>
    <w:rsid w:val="00C350BD"/>
    <w:rsid w:val="00C357BC"/>
    <w:rsid w:val="00C35C64"/>
    <w:rsid w:val="00C367E6"/>
    <w:rsid w:val="00C36A72"/>
    <w:rsid w:val="00C3718A"/>
    <w:rsid w:val="00C37A0B"/>
    <w:rsid w:val="00C37A2D"/>
    <w:rsid w:val="00C40137"/>
    <w:rsid w:val="00C40341"/>
    <w:rsid w:val="00C410E6"/>
    <w:rsid w:val="00C41402"/>
    <w:rsid w:val="00C415DF"/>
    <w:rsid w:val="00C41B3B"/>
    <w:rsid w:val="00C424A7"/>
    <w:rsid w:val="00C42A8B"/>
    <w:rsid w:val="00C42C27"/>
    <w:rsid w:val="00C42FAA"/>
    <w:rsid w:val="00C44E4D"/>
    <w:rsid w:val="00C44FB7"/>
    <w:rsid w:val="00C45015"/>
    <w:rsid w:val="00C450D8"/>
    <w:rsid w:val="00C4578F"/>
    <w:rsid w:val="00C459B0"/>
    <w:rsid w:val="00C45D35"/>
    <w:rsid w:val="00C45F26"/>
    <w:rsid w:val="00C460C7"/>
    <w:rsid w:val="00C47A3D"/>
    <w:rsid w:val="00C47A6B"/>
    <w:rsid w:val="00C5098B"/>
    <w:rsid w:val="00C50F41"/>
    <w:rsid w:val="00C50F99"/>
    <w:rsid w:val="00C5110F"/>
    <w:rsid w:val="00C51437"/>
    <w:rsid w:val="00C5188B"/>
    <w:rsid w:val="00C51944"/>
    <w:rsid w:val="00C51D4D"/>
    <w:rsid w:val="00C51F11"/>
    <w:rsid w:val="00C523AB"/>
    <w:rsid w:val="00C53975"/>
    <w:rsid w:val="00C5398D"/>
    <w:rsid w:val="00C53E42"/>
    <w:rsid w:val="00C53E44"/>
    <w:rsid w:val="00C5494D"/>
    <w:rsid w:val="00C54D0E"/>
    <w:rsid w:val="00C55470"/>
    <w:rsid w:val="00C555BF"/>
    <w:rsid w:val="00C556BD"/>
    <w:rsid w:val="00C55A42"/>
    <w:rsid w:val="00C55F61"/>
    <w:rsid w:val="00C5606A"/>
    <w:rsid w:val="00C56458"/>
    <w:rsid w:val="00C56DDA"/>
    <w:rsid w:val="00C57091"/>
    <w:rsid w:val="00C5766C"/>
    <w:rsid w:val="00C57726"/>
    <w:rsid w:val="00C57C81"/>
    <w:rsid w:val="00C57F1A"/>
    <w:rsid w:val="00C57F54"/>
    <w:rsid w:val="00C6028D"/>
    <w:rsid w:val="00C605C7"/>
    <w:rsid w:val="00C6060C"/>
    <w:rsid w:val="00C60896"/>
    <w:rsid w:val="00C609F0"/>
    <w:rsid w:val="00C61569"/>
    <w:rsid w:val="00C6194A"/>
    <w:rsid w:val="00C61CBF"/>
    <w:rsid w:val="00C61ED7"/>
    <w:rsid w:val="00C61EEA"/>
    <w:rsid w:val="00C62260"/>
    <w:rsid w:val="00C623D9"/>
    <w:rsid w:val="00C62594"/>
    <w:rsid w:val="00C626CA"/>
    <w:rsid w:val="00C62A8F"/>
    <w:rsid w:val="00C62C49"/>
    <w:rsid w:val="00C62EA8"/>
    <w:rsid w:val="00C63108"/>
    <w:rsid w:val="00C633BB"/>
    <w:rsid w:val="00C633BC"/>
    <w:rsid w:val="00C63610"/>
    <w:rsid w:val="00C63930"/>
    <w:rsid w:val="00C63B39"/>
    <w:rsid w:val="00C64174"/>
    <w:rsid w:val="00C64423"/>
    <w:rsid w:val="00C64583"/>
    <w:rsid w:val="00C646BC"/>
    <w:rsid w:val="00C6482E"/>
    <w:rsid w:val="00C64AB1"/>
    <w:rsid w:val="00C64AF9"/>
    <w:rsid w:val="00C64B8E"/>
    <w:rsid w:val="00C64D48"/>
    <w:rsid w:val="00C64EBF"/>
    <w:rsid w:val="00C65CBE"/>
    <w:rsid w:val="00C66038"/>
    <w:rsid w:val="00C661BB"/>
    <w:rsid w:val="00C6657C"/>
    <w:rsid w:val="00C66C28"/>
    <w:rsid w:val="00C66EEC"/>
    <w:rsid w:val="00C67130"/>
    <w:rsid w:val="00C70098"/>
    <w:rsid w:val="00C70357"/>
    <w:rsid w:val="00C7131D"/>
    <w:rsid w:val="00C71569"/>
    <w:rsid w:val="00C718A5"/>
    <w:rsid w:val="00C71B68"/>
    <w:rsid w:val="00C721E4"/>
    <w:rsid w:val="00C72420"/>
    <w:rsid w:val="00C72A78"/>
    <w:rsid w:val="00C72E9B"/>
    <w:rsid w:val="00C7301A"/>
    <w:rsid w:val="00C732B5"/>
    <w:rsid w:val="00C735FF"/>
    <w:rsid w:val="00C7370C"/>
    <w:rsid w:val="00C737B3"/>
    <w:rsid w:val="00C73A6A"/>
    <w:rsid w:val="00C73D00"/>
    <w:rsid w:val="00C74227"/>
    <w:rsid w:val="00C75134"/>
    <w:rsid w:val="00C75B4F"/>
    <w:rsid w:val="00C75B9B"/>
    <w:rsid w:val="00C75EC6"/>
    <w:rsid w:val="00C76274"/>
    <w:rsid w:val="00C76491"/>
    <w:rsid w:val="00C766F5"/>
    <w:rsid w:val="00C768DA"/>
    <w:rsid w:val="00C76FF3"/>
    <w:rsid w:val="00C772D9"/>
    <w:rsid w:val="00C77447"/>
    <w:rsid w:val="00C776FF"/>
    <w:rsid w:val="00C77A03"/>
    <w:rsid w:val="00C77AA9"/>
    <w:rsid w:val="00C77CF7"/>
    <w:rsid w:val="00C80BC4"/>
    <w:rsid w:val="00C80EA6"/>
    <w:rsid w:val="00C810BF"/>
    <w:rsid w:val="00C812FB"/>
    <w:rsid w:val="00C81873"/>
    <w:rsid w:val="00C8213E"/>
    <w:rsid w:val="00C8233F"/>
    <w:rsid w:val="00C826CD"/>
    <w:rsid w:val="00C82816"/>
    <w:rsid w:val="00C82B0E"/>
    <w:rsid w:val="00C82C83"/>
    <w:rsid w:val="00C837F5"/>
    <w:rsid w:val="00C8396D"/>
    <w:rsid w:val="00C839C9"/>
    <w:rsid w:val="00C83C25"/>
    <w:rsid w:val="00C83D34"/>
    <w:rsid w:val="00C842C4"/>
    <w:rsid w:val="00C84C0B"/>
    <w:rsid w:val="00C84C4B"/>
    <w:rsid w:val="00C8529E"/>
    <w:rsid w:val="00C85351"/>
    <w:rsid w:val="00C85450"/>
    <w:rsid w:val="00C857E8"/>
    <w:rsid w:val="00C85C9F"/>
    <w:rsid w:val="00C85CE7"/>
    <w:rsid w:val="00C85E3A"/>
    <w:rsid w:val="00C863BB"/>
    <w:rsid w:val="00C869B0"/>
    <w:rsid w:val="00C86EB3"/>
    <w:rsid w:val="00C8758D"/>
    <w:rsid w:val="00C879F6"/>
    <w:rsid w:val="00C87F7D"/>
    <w:rsid w:val="00C90537"/>
    <w:rsid w:val="00C90E2F"/>
    <w:rsid w:val="00C9118E"/>
    <w:rsid w:val="00C912F4"/>
    <w:rsid w:val="00C91513"/>
    <w:rsid w:val="00C924DF"/>
    <w:rsid w:val="00C92ACD"/>
    <w:rsid w:val="00C92C11"/>
    <w:rsid w:val="00C93398"/>
    <w:rsid w:val="00C933E0"/>
    <w:rsid w:val="00C937E3"/>
    <w:rsid w:val="00C93E3E"/>
    <w:rsid w:val="00C94193"/>
    <w:rsid w:val="00C94A98"/>
    <w:rsid w:val="00C9539D"/>
    <w:rsid w:val="00C95547"/>
    <w:rsid w:val="00C95D72"/>
    <w:rsid w:val="00C95D86"/>
    <w:rsid w:val="00C964EE"/>
    <w:rsid w:val="00C97391"/>
    <w:rsid w:val="00C97B5C"/>
    <w:rsid w:val="00CA029A"/>
    <w:rsid w:val="00CA031F"/>
    <w:rsid w:val="00CA0395"/>
    <w:rsid w:val="00CA03EF"/>
    <w:rsid w:val="00CA098A"/>
    <w:rsid w:val="00CA0E9F"/>
    <w:rsid w:val="00CA1CA5"/>
    <w:rsid w:val="00CA1D64"/>
    <w:rsid w:val="00CA231F"/>
    <w:rsid w:val="00CA27B9"/>
    <w:rsid w:val="00CA299D"/>
    <w:rsid w:val="00CA35E4"/>
    <w:rsid w:val="00CA3B1F"/>
    <w:rsid w:val="00CA46E8"/>
    <w:rsid w:val="00CA5030"/>
    <w:rsid w:val="00CA5035"/>
    <w:rsid w:val="00CA50BF"/>
    <w:rsid w:val="00CA5388"/>
    <w:rsid w:val="00CA6DC2"/>
    <w:rsid w:val="00CA7622"/>
    <w:rsid w:val="00CA7A7C"/>
    <w:rsid w:val="00CB0214"/>
    <w:rsid w:val="00CB0293"/>
    <w:rsid w:val="00CB048C"/>
    <w:rsid w:val="00CB0D65"/>
    <w:rsid w:val="00CB0DA5"/>
    <w:rsid w:val="00CB1327"/>
    <w:rsid w:val="00CB13D9"/>
    <w:rsid w:val="00CB1487"/>
    <w:rsid w:val="00CB14F6"/>
    <w:rsid w:val="00CB1891"/>
    <w:rsid w:val="00CB1E33"/>
    <w:rsid w:val="00CB20D1"/>
    <w:rsid w:val="00CB20F1"/>
    <w:rsid w:val="00CB2106"/>
    <w:rsid w:val="00CB228F"/>
    <w:rsid w:val="00CB22D9"/>
    <w:rsid w:val="00CB2403"/>
    <w:rsid w:val="00CB2F67"/>
    <w:rsid w:val="00CB39FF"/>
    <w:rsid w:val="00CB41A4"/>
    <w:rsid w:val="00CB44B5"/>
    <w:rsid w:val="00CB491A"/>
    <w:rsid w:val="00CB52C9"/>
    <w:rsid w:val="00CB5367"/>
    <w:rsid w:val="00CB5520"/>
    <w:rsid w:val="00CB561F"/>
    <w:rsid w:val="00CB5664"/>
    <w:rsid w:val="00CB5C54"/>
    <w:rsid w:val="00CB5DC8"/>
    <w:rsid w:val="00CB62F7"/>
    <w:rsid w:val="00CB6418"/>
    <w:rsid w:val="00CB6DFF"/>
    <w:rsid w:val="00CB6E46"/>
    <w:rsid w:val="00CB7367"/>
    <w:rsid w:val="00CB79CD"/>
    <w:rsid w:val="00CB79E9"/>
    <w:rsid w:val="00CB7C5A"/>
    <w:rsid w:val="00CB7DFF"/>
    <w:rsid w:val="00CC04DA"/>
    <w:rsid w:val="00CC075C"/>
    <w:rsid w:val="00CC08FE"/>
    <w:rsid w:val="00CC101B"/>
    <w:rsid w:val="00CC104A"/>
    <w:rsid w:val="00CC164A"/>
    <w:rsid w:val="00CC17D7"/>
    <w:rsid w:val="00CC280C"/>
    <w:rsid w:val="00CC3108"/>
    <w:rsid w:val="00CC3127"/>
    <w:rsid w:val="00CC38EE"/>
    <w:rsid w:val="00CC3CA9"/>
    <w:rsid w:val="00CC3FC5"/>
    <w:rsid w:val="00CC413B"/>
    <w:rsid w:val="00CC4976"/>
    <w:rsid w:val="00CC4D19"/>
    <w:rsid w:val="00CC4D40"/>
    <w:rsid w:val="00CC4FAD"/>
    <w:rsid w:val="00CC508E"/>
    <w:rsid w:val="00CC51F5"/>
    <w:rsid w:val="00CC5A43"/>
    <w:rsid w:val="00CC5AE3"/>
    <w:rsid w:val="00CC5DED"/>
    <w:rsid w:val="00CC5DFF"/>
    <w:rsid w:val="00CC5FA2"/>
    <w:rsid w:val="00CC625B"/>
    <w:rsid w:val="00CC664E"/>
    <w:rsid w:val="00CC76FC"/>
    <w:rsid w:val="00CC793D"/>
    <w:rsid w:val="00CC7C7A"/>
    <w:rsid w:val="00CD0625"/>
    <w:rsid w:val="00CD11FD"/>
    <w:rsid w:val="00CD195F"/>
    <w:rsid w:val="00CD1D86"/>
    <w:rsid w:val="00CD1EFA"/>
    <w:rsid w:val="00CD1F30"/>
    <w:rsid w:val="00CD1FE7"/>
    <w:rsid w:val="00CD209F"/>
    <w:rsid w:val="00CD29E4"/>
    <w:rsid w:val="00CD2B4C"/>
    <w:rsid w:val="00CD2BA6"/>
    <w:rsid w:val="00CD2D27"/>
    <w:rsid w:val="00CD30D2"/>
    <w:rsid w:val="00CD3253"/>
    <w:rsid w:val="00CD32D9"/>
    <w:rsid w:val="00CD3848"/>
    <w:rsid w:val="00CD386C"/>
    <w:rsid w:val="00CD3965"/>
    <w:rsid w:val="00CD3AE7"/>
    <w:rsid w:val="00CD4088"/>
    <w:rsid w:val="00CD448C"/>
    <w:rsid w:val="00CD4F38"/>
    <w:rsid w:val="00CD5035"/>
    <w:rsid w:val="00CD54A1"/>
    <w:rsid w:val="00CD559A"/>
    <w:rsid w:val="00CD56D7"/>
    <w:rsid w:val="00CD5A1F"/>
    <w:rsid w:val="00CD5B84"/>
    <w:rsid w:val="00CD5DAF"/>
    <w:rsid w:val="00CD5FA7"/>
    <w:rsid w:val="00CD62D7"/>
    <w:rsid w:val="00CD6F93"/>
    <w:rsid w:val="00CD73E3"/>
    <w:rsid w:val="00CD766F"/>
    <w:rsid w:val="00CD7821"/>
    <w:rsid w:val="00CD7EDD"/>
    <w:rsid w:val="00CE0266"/>
    <w:rsid w:val="00CE07A8"/>
    <w:rsid w:val="00CE0FA3"/>
    <w:rsid w:val="00CE1272"/>
    <w:rsid w:val="00CE1546"/>
    <w:rsid w:val="00CE24C7"/>
    <w:rsid w:val="00CE2715"/>
    <w:rsid w:val="00CE27DD"/>
    <w:rsid w:val="00CE28AC"/>
    <w:rsid w:val="00CE2A43"/>
    <w:rsid w:val="00CE30A5"/>
    <w:rsid w:val="00CE30DC"/>
    <w:rsid w:val="00CE3419"/>
    <w:rsid w:val="00CE3791"/>
    <w:rsid w:val="00CE39A4"/>
    <w:rsid w:val="00CE3B4C"/>
    <w:rsid w:val="00CE48ED"/>
    <w:rsid w:val="00CE4902"/>
    <w:rsid w:val="00CE4E85"/>
    <w:rsid w:val="00CE547E"/>
    <w:rsid w:val="00CE553C"/>
    <w:rsid w:val="00CE5BD4"/>
    <w:rsid w:val="00CE6B01"/>
    <w:rsid w:val="00CE6B41"/>
    <w:rsid w:val="00CE6BE9"/>
    <w:rsid w:val="00CE6C55"/>
    <w:rsid w:val="00CE6DD5"/>
    <w:rsid w:val="00CE6E2B"/>
    <w:rsid w:val="00CE7257"/>
    <w:rsid w:val="00CE77B9"/>
    <w:rsid w:val="00CE791D"/>
    <w:rsid w:val="00CF0269"/>
    <w:rsid w:val="00CF02D5"/>
    <w:rsid w:val="00CF0622"/>
    <w:rsid w:val="00CF077D"/>
    <w:rsid w:val="00CF093D"/>
    <w:rsid w:val="00CF0A05"/>
    <w:rsid w:val="00CF0B05"/>
    <w:rsid w:val="00CF0F6C"/>
    <w:rsid w:val="00CF1045"/>
    <w:rsid w:val="00CF13CB"/>
    <w:rsid w:val="00CF180F"/>
    <w:rsid w:val="00CF1C2D"/>
    <w:rsid w:val="00CF257B"/>
    <w:rsid w:val="00CF2659"/>
    <w:rsid w:val="00CF323A"/>
    <w:rsid w:val="00CF3F09"/>
    <w:rsid w:val="00CF404C"/>
    <w:rsid w:val="00CF4192"/>
    <w:rsid w:val="00CF4344"/>
    <w:rsid w:val="00CF4974"/>
    <w:rsid w:val="00CF4F0C"/>
    <w:rsid w:val="00CF531E"/>
    <w:rsid w:val="00CF636F"/>
    <w:rsid w:val="00CF63A8"/>
    <w:rsid w:val="00CF63BB"/>
    <w:rsid w:val="00CF697F"/>
    <w:rsid w:val="00D001D2"/>
    <w:rsid w:val="00D006FF"/>
    <w:rsid w:val="00D00FAA"/>
    <w:rsid w:val="00D0126E"/>
    <w:rsid w:val="00D012BF"/>
    <w:rsid w:val="00D014C1"/>
    <w:rsid w:val="00D01D69"/>
    <w:rsid w:val="00D02258"/>
    <w:rsid w:val="00D0291D"/>
    <w:rsid w:val="00D02B9A"/>
    <w:rsid w:val="00D02E12"/>
    <w:rsid w:val="00D0339B"/>
    <w:rsid w:val="00D0340E"/>
    <w:rsid w:val="00D035BD"/>
    <w:rsid w:val="00D037F1"/>
    <w:rsid w:val="00D038D7"/>
    <w:rsid w:val="00D03A0F"/>
    <w:rsid w:val="00D03EEF"/>
    <w:rsid w:val="00D04A44"/>
    <w:rsid w:val="00D04AF9"/>
    <w:rsid w:val="00D04C67"/>
    <w:rsid w:val="00D0503A"/>
    <w:rsid w:val="00D05185"/>
    <w:rsid w:val="00D055F8"/>
    <w:rsid w:val="00D056FC"/>
    <w:rsid w:val="00D05B66"/>
    <w:rsid w:val="00D05CF0"/>
    <w:rsid w:val="00D065F4"/>
    <w:rsid w:val="00D0691D"/>
    <w:rsid w:val="00D06D1B"/>
    <w:rsid w:val="00D073DC"/>
    <w:rsid w:val="00D07486"/>
    <w:rsid w:val="00D07563"/>
    <w:rsid w:val="00D079F4"/>
    <w:rsid w:val="00D07DC1"/>
    <w:rsid w:val="00D10A52"/>
    <w:rsid w:val="00D10BED"/>
    <w:rsid w:val="00D10C28"/>
    <w:rsid w:val="00D10F3E"/>
    <w:rsid w:val="00D117CF"/>
    <w:rsid w:val="00D12300"/>
    <w:rsid w:val="00D12FA6"/>
    <w:rsid w:val="00D130C9"/>
    <w:rsid w:val="00D13513"/>
    <w:rsid w:val="00D13523"/>
    <w:rsid w:val="00D13F3A"/>
    <w:rsid w:val="00D144D7"/>
    <w:rsid w:val="00D14638"/>
    <w:rsid w:val="00D14AE8"/>
    <w:rsid w:val="00D14E17"/>
    <w:rsid w:val="00D150FA"/>
    <w:rsid w:val="00D1545B"/>
    <w:rsid w:val="00D15681"/>
    <w:rsid w:val="00D15AB2"/>
    <w:rsid w:val="00D15DB5"/>
    <w:rsid w:val="00D1605F"/>
    <w:rsid w:val="00D163F6"/>
    <w:rsid w:val="00D16642"/>
    <w:rsid w:val="00D176B3"/>
    <w:rsid w:val="00D179FA"/>
    <w:rsid w:val="00D17C8D"/>
    <w:rsid w:val="00D2010C"/>
    <w:rsid w:val="00D20BEA"/>
    <w:rsid w:val="00D21905"/>
    <w:rsid w:val="00D21C4B"/>
    <w:rsid w:val="00D21D49"/>
    <w:rsid w:val="00D21EAC"/>
    <w:rsid w:val="00D22695"/>
    <w:rsid w:val="00D226EF"/>
    <w:rsid w:val="00D227FF"/>
    <w:rsid w:val="00D22885"/>
    <w:rsid w:val="00D22DEB"/>
    <w:rsid w:val="00D23359"/>
    <w:rsid w:val="00D248A6"/>
    <w:rsid w:val="00D25095"/>
    <w:rsid w:val="00D2512C"/>
    <w:rsid w:val="00D25400"/>
    <w:rsid w:val="00D269D8"/>
    <w:rsid w:val="00D26A4C"/>
    <w:rsid w:val="00D27613"/>
    <w:rsid w:val="00D276D3"/>
    <w:rsid w:val="00D301BB"/>
    <w:rsid w:val="00D30203"/>
    <w:rsid w:val="00D302D9"/>
    <w:rsid w:val="00D30349"/>
    <w:rsid w:val="00D303B2"/>
    <w:rsid w:val="00D30781"/>
    <w:rsid w:val="00D30DDB"/>
    <w:rsid w:val="00D31244"/>
    <w:rsid w:val="00D315BF"/>
    <w:rsid w:val="00D31A35"/>
    <w:rsid w:val="00D31C56"/>
    <w:rsid w:val="00D32095"/>
    <w:rsid w:val="00D320A4"/>
    <w:rsid w:val="00D325F1"/>
    <w:rsid w:val="00D32A37"/>
    <w:rsid w:val="00D3312A"/>
    <w:rsid w:val="00D33203"/>
    <w:rsid w:val="00D3372D"/>
    <w:rsid w:val="00D33B87"/>
    <w:rsid w:val="00D34B73"/>
    <w:rsid w:val="00D34BC5"/>
    <w:rsid w:val="00D3530D"/>
    <w:rsid w:val="00D35C2A"/>
    <w:rsid w:val="00D35CC7"/>
    <w:rsid w:val="00D3614D"/>
    <w:rsid w:val="00D36B48"/>
    <w:rsid w:val="00D36C6C"/>
    <w:rsid w:val="00D36EDA"/>
    <w:rsid w:val="00D3730A"/>
    <w:rsid w:val="00D3776E"/>
    <w:rsid w:val="00D37D3A"/>
    <w:rsid w:val="00D37F25"/>
    <w:rsid w:val="00D37F75"/>
    <w:rsid w:val="00D40036"/>
    <w:rsid w:val="00D400D3"/>
    <w:rsid w:val="00D411D5"/>
    <w:rsid w:val="00D41378"/>
    <w:rsid w:val="00D41768"/>
    <w:rsid w:val="00D419BA"/>
    <w:rsid w:val="00D42CDF"/>
    <w:rsid w:val="00D42E56"/>
    <w:rsid w:val="00D43145"/>
    <w:rsid w:val="00D43218"/>
    <w:rsid w:val="00D436D9"/>
    <w:rsid w:val="00D43913"/>
    <w:rsid w:val="00D43D8D"/>
    <w:rsid w:val="00D43E02"/>
    <w:rsid w:val="00D444B3"/>
    <w:rsid w:val="00D44C7E"/>
    <w:rsid w:val="00D4501B"/>
    <w:rsid w:val="00D4543C"/>
    <w:rsid w:val="00D454A7"/>
    <w:rsid w:val="00D45518"/>
    <w:rsid w:val="00D45556"/>
    <w:rsid w:val="00D456CF"/>
    <w:rsid w:val="00D457D2"/>
    <w:rsid w:val="00D45D4E"/>
    <w:rsid w:val="00D46197"/>
    <w:rsid w:val="00D464D4"/>
    <w:rsid w:val="00D47569"/>
    <w:rsid w:val="00D47AEB"/>
    <w:rsid w:val="00D47CD9"/>
    <w:rsid w:val="00D47D46"/>
    <w:rsid w:val="00D50D14"/>
    <w:rsid w:val="00D5119B"/>
    <w:rsid w:val="00D5170D"/>
    <w:rsid w:val="00D51EAB"/>
    <w:rsid w:val="00D5201F"/>
    <w:rsid w:val="00D5220B"/>
    <w:rsid w:val="00D522DD"/>
    <w:rsid w:val="00D523A0"/>
    <w:rsid w:val="00D52992"/>
    <w:rsid w:val="00D52A16"/>
    <w:rsid w:val="00D53014"/>
    <w:rsid w:val="00D53032"/>
    <w:rsid w:val="00D53533"/>
    <w:rsid w:val="00D53E14"/>
    <w:rsid w:val="00D5539D"/>
    <w:rsid w:val="00D55702"/>
    <w:rsid w:val="00D55818"/>
    <w:rsid w:val="00D55B69"/>
    <w:rsid w:val="00D55EB2"/>
    <w:rsid w:val="00D5632C"/>
    <w:rsid w:val="00D5656F"/>
    <w:rsid w:val="00D56D77"/>
    <w:rsid w:val="00D5715D"/>
    <w:rsid w:val="00D574D1"/>
    <w:rsid w:val="00D57FE9"/>
    <w:rsid w:val="00D600E1"/>
    <w:rsid w:val="00D6037F"/>
    <w:rsid w:val="00D60DBC"/>
    <w:rsid w:val="00D614BE"/>
    <w:rsid w:val="00D617F8"/>
    <w:rsid w:val="00D61DB2"/>
    <w:rsid w:val="00D622D0"/>
    <w:rsid w:val="00D62C4F"/>
    <w:rsid w:val="00D63569"/>
    <w:rsid w:val="00D638E5"/>
    <w:rsid w:val="00D63B3F"/>
    <w:rsid w:val="00D63F79"/>
    <w:rsid w:val="00D64BFD"/>
    <w:rsid w:val="00D64EBC"/>
    <w:rsid w:val="00D65137"/>
    <w:rsid w:val="00D6562F"/>
    <w:rsid w:val="00D65C95"/>
    <w:rsid w:val="00D65D39"/>
    <w:rsid w:val="00D65E22"/>
    <w:rsid w:val="00D66182"/>
    <w:rsid w:val="00D66F04"/>
    <w:rsid w:val="00D6770D"/>
    <w:rsid w:val="00D67B9F"/>
    <w:rsid w:val="00D7001C"/>
    <w:rsid w:val="00D70849"/>
    <w:rsid w:val="00D715F6"/>
    <w:rsid w:val="00D71BE1"/>
    <w:rsid w:val="00D7216A"/>
    <w:rsid w:val="00D724B4"/>
    <w:rsid w:val="00D726B1"/>
    <w:rsid w:val="00D727CC"/>
    <w:rsid w:val="00D72D72"/>
    <w:rsid w:val="00D72F84"/>
    <w:rsid w:val="00D72FE5"/>
    <w:rsid w:val="00D730CA"/>
    <w:rsid w:val="00D733AA"/>
    <w:rsid w:val="00D7364F"/>
    <w:rsid w:val="00D736FA"/>
    <w:rsid w:val="00D739B6"/>
    <w:rsid w:val="00D744C2"/>
    <w:rsid w:val="00D74C42"/>
    <w:rsid w:val="00D7543F"/>
    <w:rsid w:val="00D75643"/>
    <w:rsid w:val="00D75A5B"/>
    <w:rsid w:val="00D76788"/>
    <w:rsid w:val="00D768E6"/>
    <w:rsid w:val="00D7782F"/>
    <w:rsid w:val="00D806B0"/>
    <w:rsid w:val="00D806E8"/>
    <w:rsid w:val="00D807C2"/>
    <w:rsid w:val="00D808A8"/>
    <w:rsid w:val="00D80FA3"/>
    <w:rsid w:val="00D812E7"/>
    <w:rsid w:val="00D81C2B"/>
    <w:rsid w:val="00D81D31"/>
    <w:rsid w:val="00D820E6"/>
    <w:rsid w:val="00D83003"/>
    <w:rsid w:val="00D83595"/>
    <w:rsid w:val="00D83F3D"/>
    <w:rsid w:val="00D8492C"/>
    <w:rsid w:val="00D84EF5"/>
    <w:rsid w:val="00D84F4A"/>
    <w:rsid w:val="00D8540D"/>
    <w:rsid w:val="00D86505"/>
    <w:rsid w:val="00D86709"/>
    <w:rsid w:val="00D86BFE"/>
    <w:rsid w:val="00D86D2E"/>
    <w:rsid w:val="00D87741"/>
    <w:rsid w:val="00D87A47"/>
    <w:rsid w:val="00D87F7B"/>
    <w:rsid w:val="00D9000A"/>
    <w:rsid w:val="00D903D4"/>
    <w:rsid w:val="00D9058E"/>
    <w:rsid w:val="00D90BF5"/>
    <w:rsid w:val="00D90DD3"/>
    <w:rsid w:val="00D91018"/>
    <w:rsid w:val="00D91134"/>
    <w:rsid w:val="00D91909"/>
    <w:rsid w:val="00D91A4B"/>
    <w:rsid w:val="00D91AFF"/>
    <w:rsid w:val="00D92129"/>
    <w:rsid w:val="00D92542"/>
    <w:rsid w:val="00D92995"/>
    <w:rsid w:val="00D92EC1"/>
    <w:rsid w:val="00D93379"/>
    <w:rsid w:val="00D937FE"/>
    <w:rsid w:val="00D93B90"/>
    <w:rsid w:val="00D93D76"/>
    <w:rsid w:val="00D93E87"/>
    <w:rsid w:val="00D944ED"/>
    <w:rsid w:val="00D94B35"/>
    <w:rsid w:val="00D94B6B"/>
    <w:rsid w:val="00D9536B"/>
    <w:rsid w:val="00D953ED"/>
    <w:rsid w:val="00D95609"/>
    <w:rsid w:val="00D957C7"/>
    <w:rsid w:val="00D9621E"/>
    <w:rsid w:val="00D963BC"/>
    <w:rsid w:val="00D969F1"/>
    <w:rsid w:val="00D969F5"/>
    <w:rsid w:val="00D96E78"/>
    <w:rsid w:val="00D977AC"/>
    <w:rsid w:val="00D97A03"/>
    <w:rsid w:val="00D97A15"/>
    <w:rsid w:val="00DA00E5"/>
    <w:rsid w:val="00DA026D"/>
    <w:rsid w:val="00DA056D"/>
    <w:rsid w:val="00DA0710"/>
    <w:rsid w:val="00DA0824"/>
    <w:rsid w:val="00DA0852"/>
    <w:rsid w:val="00DA0971"/>
    <w:rsid w:val="00DA0A59"/>
    <w:rsid w:val="00DA0A78"/>
    <w:rsid w:val="00DA0BEA"/>
    <w:rsid w:val="00DA0BF6"/>
    <w:rsid w:val="00DA1553"/>
    <w:rsid w:val="00DA1780"/>
    <w:rsid w:val="00DA2370"/>
    <w:rsid w:val="00DA29CF"/>
    <w:rsid w:val="00DA2B80"/>
    <w:rsid w:val="00DA337B"/>
    <w:rsid w:val="00DA356D"/>
    <w:rsid w:val="00DA3B67"/>
    <w:rsid w:val="00DA43B2"/>
    <w:rsid w:val="00DA44C1"/>
    <w:rsid w:val="00DA4574"/>
    <w:rsid w:val="00DA49D6"/>
    <w:rsid w:val="00DA4C86"/>
    <w:rsid w:val="00DA4F8B"/>
    <w:rsid w:val="00DA575C"/>
    <w:rsid w:val="00DA57AE"/>
    <w:rsid w:val="00DA5A81"/>
    <w:rsid w:val="00DA5D3F"/>
    <w:rsid w:val="00DA69E1"/>
    <w:rsid w:val="00DA6AF6"/>
    <w:rsid w:val="00DA6B43"/>
    <w:rsid w:val="00DA6DB9"/>
    <w:rsid w:val="00DA6DE8"/>
    <w:rsid w:val="00DA748C"/>
    <w:rsid w:val="00DA763E"/>
    <w:rsid w:val="00DA7739"/>
    <w:rsid w:val="00DA7A7F"/>
    <w:rsid w:val="00DB0335"/>
    <w:rsid w:val="00DB043C"/>
    <w:rsid w:val="00DB06A5"/>
    <w:rsid w:val="00DB078B"/>
    <w:rsid w:val="00DB0AEA"/>
    <w:rsid w:val="00DB1016"/>
    <w:rsid w:val="00DB1114"/>
    <w:rsid w:val="00DB12AB"/>
    <w:rsid w:val="00DB1475"/>
    <w:rsid w:val="00DB1F76"/>
    <w:rsid w:val="00DB2882"/>
    <w:rsid w:val="00DB313A"/>
    <w:rsid w:val="00DB42E3"/>
    <w:rsid w:val="00DB432E"/>
    <w:rsid w:val="00DB4955"/>
    <w:rsid w:val="00DB4D15"/>
    <w:rsid w:val="00DB4FB6"/>
    <w:rsid w:val="00DB5545"/>
    <w:rsid w:val="00DB57CE"/>
    <w:rsid w:val="00DB5D87"/>
    <w:rsid w:val="00DB5EEE"/>
    <w:rsid w:val="00DB66D2"/>
    <w:rsid w:val="00DB6773"/>
    <w:rsid w:val="00DB7942"/>
    <w:rsid w:val="00DB7A92"/>
    <w:rsid w:val="00DB7FB8"/>
    <w:rsid w:val="00DC0EAE"/>
    <w:rsid w:val="00DC0F7F"/>
    <w:rsid w:val="00DC1769"/>
    <w:rsid w:val="00DC17B9"/>
    <w:rsid w:val="00DC17FC"/>
    <w:rsid w:val="00DC29F1"/>
    <w:rsid w:val="00DC2C84"/>
    <w:rsid w:val="00DC31E1"/>
    <w:rsid w:val="00DC33BD"/>
    <w:rsid w:val="00DC36BA"/>
    <w:rsid w:val="00DC38AD"/>
    <w:rsid w:val="00DC43B2"/>
    <w:rsid w:val="00DC46DB"/>
    <w:rsid w:val="00DC490D"/>
    <w:rsid w:val="00DC4D78"/>
    <w:rsid w:val="00DC50D7"/>
    <w:rsid w:val="00DC5F83"/>
    <w:rsid w:val="00DC6039"/>
    <w:rsid w:val="00DC6214"/>
    <w:rsid w:val="00DC654A"/>
    <w:rsid w:val="00DC65C0"/>
    <w:rsid w:val="00DC66CC"/>
    <w:rsid w:val="00DC67E9"/>
    <w:rsid w:val="00DC6D2B"/>
    <w:rsid w:val="00DC6FEA"/>
    <w:rsid w:val="00DC7576"/>
    <w:rsid w:val="00DC76D7"/>
    <w:rsid w:val="00DC7C78"/>
    <w:rsid w:val="00DD0050"/>
    <w:rsid w:val="00DD00BE"/>
    <w:rsid w:val="00DD024E"/>
    <w:rsid w:val="00DD0C06"/>
    <w:rsid w:val="00DD0E93"/>
    <w:rsid w:val="00DD1384"/>
    <w:rsid w:val="00DD1FA4"/>
    <w:rsid w:val="00DD201C"/>
    <w:rsid w:val="00DD2080"/>
    <w:rsid w:val="00DD2144"/>
    <w:rsid w:val="00DD2B72"/>
    <w:rsid w:val="00DD2C54"/>
    <w:rsid w:val="00DD3008"/>
    <w:rsid w:val="00DD33FC"/>
    <w:rsid w:val="00DD3478"/>
    <w:rsid w:val="00DD3CBC"/>
    <w:rsid w:val="00DD3F3D"/>
    <w:rsid w:val="00DD4511"/>
    <w:rsid w:val="00DD4568"/>
    <w:rsid w:val="00DD49C3"/>
    <w:rsid w:val="00DD4B86"/>
    <w:rsid w:val="00DD4C65"/>
    <w:rsid w:val="00DD5B40"/>
    <w:rsid w:val="00DD5ED9"/>
    <w:rsid w:val="00DD65CD"/>
    <w:rsid w:val="00DD662C"/>
    <w:rsid w:val="00DD68CD"/>
    <w:rsid w:val="00DD69BF"/>
    <w:rsid w:val="00DD6A99"/>
    <w:rsid w:val="00DD731C"/>
    <w:rsid w:val="00DD7761"/>
    <w:rsid w:val="00DD796E"/>
    <w:rsid w:val="00DE08FC"/>
    <w:rsid w:val="00DE1034"/>
    <w:rsid w:val="00DE14EB"/>
    <w:rsid w:val="00DE26BE"/>
    <w:rsid w:val="00DE2848"/>
    <w:rsid w:val="00DE2DA2"/>
    <w:rsid w:val="00DE3083"/>
    <w:rsid w:val="00DE3192"/>
    <w:rsid w:val="00DE31F9"/>
    <w:rsid w:val="00DE3564"/>
    <w:rsid w:val="00DE37FE"/>
    <w:rsid w:val="00DE406F"/>
    <w:rsid w:val="00DE41CA"/>
    <w:rsid w:val="00DE470D"/>
    <w:rsid w:val="00DE50E4"/>
    <w:rsid w:val="00DE51CD"/>
    <w:rsid w:val="00DE56B3"/>
    <w:rsid w:val="00DE59FB"/>
    <w:rsid w:val="00DE5C0B"/>
    <w:rsid w:val="00DE5CBF"/>
    <w:rsid w:val="00DE6073"/>
    <w:rsid w:val="00DE60FF"/>
    <w:rsid w:val="00DE62AA"/>
    <w:rsid w:val="00DE64AC"/>
    <w:rsid w:val="00DE6734"/>
    <w:rsid w:val="00DE6C21"/>
    <w:rsid w:val="00DE6D60"/>
    <w:rsid w:val="00DE75C7"/>
    <w:rsid w:val="00DF0030"/>
    <w:rsid w:val="00DF08A7"/>
    <w:rsid w:val="00DF1096"/>
    <w:rsid w:val="00DF10A9"/>
    <w:rsid w:val="00DF18F4"/>
    <w:rsid w:val="00DF21EF"/>
    <w:rsid w:val="00DF22BE"/>
    <w:rsid w:val="00DF23F1"/>
    <w:rsid w:val="00DF2A87"/>
    <w:rsid w:val="00DF32C3"/>
    <w:rsid w:val="00DF3300"/>
    <w:rsid w:val="00DF35E6"/>
    <w:rsid w:val="00DF38FD"/>
    <w:rsid w:val="00DF3CF0"/>
    <w:rsid w:val="00DF4276"/>
    <w:rsid w:val="00DF4315"/>
    <w:rsid w:val="00DF4BB8"/>
    <w:rsid w:val="00DF5514"/>
    <w:rsid w:val="00DF558D"/>
    <w:rsid w:val="00DF5E57"/>
    <w:rsid w:val="00DF603F"/>
    <w:rsid w:val="00DF60E3"/>
    <w:rsid w:val="00DF61A3"/>
    <w:rsid w:val="00DF6332"/>
    <w:rsid w:val="00DF6955"/>
    <w:rsid w:val="00DF6C1C"/>
    <w:rsid w:val="00DF6F6E"/>
    <w:rsid w:val="00DF702E"/>
    <w:rsid w:val="00DF72B3"/>
    <w:rsid w:val="00DF7622"/>
    <w:rsid w:val="00E000A3"/>
    <w:rsid w:val="00E001C9"/>
    <w:rsid w:val="00E007AB"/>
    <w:rsid w:val="00E00E69"/>
    <w:rsid w:val="00E0151C"/>
    <w:rsid w:val="00E019CD"/>
    <w:rsid w:val="00E0225F"/>
    <w:rsid w:val="00E0244A"/>
    <w:rsid w:val="00E02D68"/>
    <w:rsid w:val="00E039C4"/>
    <w:rsid w:val="00E03DF2"/>
    <w:rsid w:val="00E041FF"/>
    <w:rsid w:val="00E04DA0"/>
    <w:rsid w:val="00E04DBB"/>
    <w:rsid w:val="00E04DD0"/>
    <w:rsid w:val="00E05D51"/>
    <w:rsid w:val="00E06BB9"/>
    <w:rsid w:val="00E070F6"/>
    <w:rsid w:val="00E0768C"/>
    <w:rsid w:val="00E0796B"/>
    <w:rsid w:val="00E07DB9"/>
    <w:rsid w:val="00E1005C"/>
    <w:rsid w:val="00E1008D"/>
    <w:rsid w:val="00E100C0"/>
    <w:rsid w:val="00E110DB"/>
    <w:rsid w:val="00E115B3"/>
    <w:rsid w:val="00E11B28"/>
    <w:rsid w:val="00E11B42"/>
    <w:rsid w:val="00E122AF"/>
    <w:rsid w:val="00E1258D"/>
    <w:rsid w:val="00E12721"/>
    <w:rsid w:val="00E12C64"/>
    <w:rsid w:val="00E12ECB"/>
    <w:rsid w:val="00E136D4"/>
    <w:rsid w:val="00E13B10"/>
    <w:rsid w:val="00E1450A"/>
    <w:rsid w:val="00E1492F"/>
    <w:rsid w:val="00E14FB9"/>
    <w:rsid w:val="00E1545E"/>
    <w:rsid w:val="00E15DCB"/>
    <w:rsid w:val="00E161DC"/>
    <w:rsid w:val="00E16459"/>
    <w:rsid w:val="00E164B6"/>
    <w:rsid w:val="00E167DE"/>
    <w:rsid w:val="00E1752D"/>
    <w:rsid w:val="00E20121"/>
    <w:rsid w:val="00E2021A"/>
    <w:rsid w:val="00E202A0"/>
    <w:rsid w:val="00E204FC"/>
    <w:rsid w:val="00E20BE3"/>
    <w:rsid w:val="00E22189"/>
    <w:rsid w:val="00E2251A"/>
    <w:rsid w:val="00E22B2C"/>
    <w:rsid w:val="00E22BBE"/>
    <w:rsid w:val="00E2331E"/>
    <w:rsid w:val="00E23365"/>
    <w:rsid w:val="00E23398"/>
    <w:rsid w:val="00E239D2"/>
    <w:rsid w:val="00E23E8A"/>
    <w:rsid w:val="00E24030"/>
    <w:rsid w:val="00E245CC"/>
    <w:rsid w:val="00E24ABE"/>
    <w:rsid w:val="00E24C92"/>
    <w:rsid w:val="00E25874"/>
    <w:rsid w:val="00E2591C"/>
    <w:rsid w:val="00E259A2"/>
    <w:rsid w:val="00E25BD9"/>
    <w:rsid w:val="00E26369"/>
    <w:rsid w:val="00E268A6"/>
    <w:rsid w:val="00E272AE"/>
    <w:rsid w:val="00E27BB5"/>
    <w:rsid w:val="00E30A2D"/>
    <w:rsid w:val="00E3173B"/>
    <w:rsid w:val="00E31EB6"/>
    <w:rsid w:val="00E32445"/>
    <w:rsid w:val="00E328B8"/>
    <w:rsid w:val="00E32A04"/>
    <w:rsid w:val="00E33D2E"/>
    <w:rsid w:val="00E33E27"/>
    <w:rsid w:val="00E34068"/>
    <w:rsid w:val="00E34D4C"/>
    <w:rsid w:val="00E34E3A"/>
    <w:rsid w:val="00E34FB3"/>
    <w:rsid w:val="00E3511E"/>
    <w:rsid w:val="00E35C79"/>
    <w:rsid w:val="00E360B0"/>
    <w:rsid w:val="00E362E1"/>
    <w:rsid w:val="00E366D5"/>
    <w:rsid w:val="00E37F0B"/>
    <w:rsid w:val="00E37F26"/>
    <w:rsid w:val="00E40E1D"/>
    <w:rsid w:val="00E40E4B"/>
    <w:rsid w:val="00E40E54"/>
    <w:rsid w:val="00E41E47"/>
    <w:rsid w:val="00E41FDB"/>
    <w:rsid w:val="00E4201C"/>
    <w:rsid w:val="00E425AC"/>
    <w:rsid w:val="00E425C2"/>
    <w:rsid w:val="00E4291F"/>
    <w:rsid w:val="00E42BAC"/>
    <w:rsid w:val="00E43114"/>
    <w:rsid w:val="00E4364B"/>
    <w:rsid w:val="00E438B0"/>
    <w:rsid w:val="00E43E27"/>
    <w:rsid w:val="00E44698"/>
    <w:rsid w:val="00E446D9"/>
    <w:rsid w:val="00E44D7C"/>
    <w:rsid w:val="00E44F44"/>
    <w:rsid w:val="00E450A2"/>
    <w:rsid w:val="00E45371"/>
    <w:rsid w:val="00E455C5"/>
    <w:rsid w:val="00E46070"/>
    <w:rsid w:val="00E463B9"/>
    <w:rsid w:val="00E4648A"/>
    <w:rsid w:val="00E464D5"/>
    <w:rsid w:val="00E46C43"/>
    <w:rsid w:val="00E46EDE"/>
    <w:rsid w:val="00E47559"/>
    <w:rsid w:val="00E47B8A"/>
    <w:rsid w:val="00E47C16"/>
    <w:rsid w:val="00E47E64"/>
    <w:rsid w:val="00E5039F"/>
    <w:rsid w:val="00E50623"/>
    <w:rsid w:val="00E5083C"/>
    <w:rsid w:val="00E50AE2"/>
    <w:rsid w:val="00E51232"/>
    <w:rsid w:val="00E51420"/>
    <w:rsid w:val="00E51764"/>
    <w:rsid w:val="00E51830"/>
    <w:rsid w:val="00E518CA"/>
    <w:rsid w:val="00E51C3A"/>
    <w:rsid w:val="00E51EE9"/>
    <w:rsid w:val="00E52180"/>
    <w:rsid w:val="00E52522"/>
    <w:rsid w:val="00E52CF5"/>
    <w:rsid w:val="00E53CCD"/>
    <w:rsid w:val="00E53D9B"/>
    <w:rsid w:val="00E53FA3"/>
    <w:rsid w:val="00E540BC"/>
    <w:rsid w:val="00E5449F"/>
    <w:rsid w:val="00E54770"/>
    <w:rsid w:val="00E548D7"/>
    <w:rsid w:val="00E54F44"/>
    <w:rsid w:val="00E55096"/>
    <w:rsid w:val="00E552BB"/>
    <w:rsid w:val="00E5540E"/>
    <w:rsid w:val="00E55725"/>
    <w:rsid w:val="00E55AED"/>
    <w:rsid w:val="00E55D54"/>
    <w:rsid w:val="00E55EE9"/>
    <w:rsid w:val="00E55F97"/>
    <w:rsid w:val="00E56191"/>
    <w:rsid w:val="00E56228"/>
    <w:rsid w:val="00E56B4B"/>
    <w:rsid w:val="00E575B7"/>
    <w:rsid w:val="00E57B1E"/>
    <w:rsid w:val="00E57C85"/>
    <w:rsid w:val="00E57E85"/>
    <w:rsid w:val="00E60212"/>
    <w:rsid w:val="00E60ABE"/>
    <w:rsid w:val="00E60B94"/>
    <w:rsid w:val="00E60BE9"/>
    <w:rsid w:val="00E6115C"/>
    <w:rsid w:val="00E613F3"/>
    <w:rsid w:val="00E61EAB"/>
    <w:rsid w:val="00E620C1"/>
    <w:rsid w:val="00E62352"/>
    <w:rsid w:val="00E628B8"/>
    <w:rsid w:val="00E629EA"/>
    <w:rsid w:val="00E62C22"/>
    <w:rsid w:val="00E635A7"/>
    <w:rsid w:val="00E635F9"/>
    <w:rsid w:val="00E635FE"/>
    <w:rsid w:val="00E639EC"/>
    <w:rsid w:val="00E63B0B"/>
    <w:rsid w:val="00E63F18"/>
    <w:rsid w:val="00E6401E"/>
    <w:rsid w:val="00E6412B"/>
    <w:rsid w:val="00E64404"/>
    <w:rsid w:val="00E661D6"/>
    <w:rsid w:val="00E669F7"/>
    <w:rsid w:val="00E66ADC"/>
    <w:rsid w:val="00E66BEF"/>
    <w:rsid w:val="00E66DC4"/>
    <w:rsid w:val="00E671F7"/>
    <w:rsid w:val="00E67617"/>
    <w:rsid w:val="00E67689"/>
    <w:rsid w:val="00E678D4"/>
    <w:rsid w:val="00E67943"/>
    <w:rsid w:val="00E67A2D"/>
    <w:rsid w:val="00E67A37"/>
    <w:rsid w:val="00E70094"/>
    <w:rsid w:val="00E703F5"/>
    <w:rsid w:val="00E7096A"/>
    <w:rsid w:val="00E71A0A"/>
    <w:rsid w:val="00E71AE1"/>
    <w:rsid w:val="00E71CFA"/>
    <w:rsid w:val="00E7215A"/>
    <w:rsid w:val="00E734F1"/>
    <w:rsid w:val="00E736C4"/>
    <w:rsid w:val="00E737B5"/>
    <w:rsid w:val="00E73882"/>
    <w:rsid w:val="00E73FEF"/>
    <w:rsid w:val="00E740C2"/>
    <w:rsid w:val="00E743B8"/>
    <w:rsid w:val="00E747B9"/>
    <w:rsid w:val="00E750D3"/>
    <w:rsid w:val="00E755CC"/>
    <w:rsid w:val="00E75622"/>
    <w:rsid w:val="00E7575E"/>
    <w:rsid w:val="00E758D9"/>
    <w:rsid w:val="00E7598A"/>
    <w:rsid w:val="00E75C60"/>
    <w:rsid w:val="00E75F5B"/>
    <w:rsid w:val="00E761B3"/>
    <w:rsid w:val="00E76666"/>
    <w:rsid w:val="00E76855"/>
    <w:rsid w:val="00E76C69"/>
    <w:rsid w:val="00E775AD"/>
    <w:rsid w:val="00E77664"/>
    <w:rsid w:val="00E77A68"/>
    <w:rsid w:val="00E80105"/>
    <w:rsid w:val="00E80A9F"/>
    <w:rsid w:val="00E80B6D"/>
    <w:rsid w:val="00E80C79"/>
    <w:rsid w:val="00E80ED9"/>
    <w:rsid w:val="00E80F40"/>
    <w:rsid w:val="00E81107"/>
    <w:rsid w:val="00E81284"/>
    <w:rsid w:val="00E81315"/>
    <w:rsid w:val="00E81CE6"/>
    <w:rsid w:val="00E81D08"/>
    <w:rsid w:val="00E81D33"/>
    <w:rsid w:val="00E82EDD"/>
    <w:rsid w:val="00E83056"/>
    <w:rsid w:val="00E83235"/>
    <w:rsid w:val="00E83B28"/>
    <w:rsid w:val="00E83CD8"/>
    <w:rsid w:val="00E8400C"/>
    <w:rsid w:val="00E84032"/>
    <w:rsid w:val="00E84304"/>
    <w:rsid w:val="00E84B08"/>
    <w:rsid w:val="00E84D78"/>
    <w:rsid w:val="00E84F2E"/>
    <w:rsid w:val="00E85367"/>
    <w:rsid w:val="00E85637"/>
    <w:rsid w:val="00E85933"/>
    <w:rsid w:val="00E8609C"/>
    <w:rsid w:val="00E86B57"/>
    <w:rsid w:val="00E86CB6"/>
    <w:rsid w:val="00E87118"/>
    <w:rsid w:val="00E87375"/>
    <w:rsid w:val="00E873C7"/>
    <w:rsid w:val="00E87A5E"/>
    <w:rsid w:val="00E87B27"/>
    <w:rsid w:val="00E908AB"/>
    <w:rsid w:val="00E90EDB"/>
    <w:rsid w:val="00E912A5"/>
    <w:rsid w:val="00E91D3E"/>
    <w:rsid w:val="00E929F5"/>
    <w:rsid w:val="00E92C2A"/>
    <w:rsid w:val="00E92C5B"/>
    <w:rsid w:val="00E92E39"/>
    <w:rsid w:val="00E934E0"/>
    <w:rsid w:val="00E935D6"/>
    <w:rsid w:val="00E93B69"/>
    <w:rsid w:val="00E93EB1"/>
    <w:rsid w:val="00E946D3"/>
    <w:rsid w:val="00E94DA6"/>
    <w:rsid w:val="00E94EA3"/>
    <w:rsid w:val="00E95189"/>
    <w:rsid w:val="00E95449"/>
    <w:rsid w:val="00E95497"/>
    <w:rsid w:val="00E960FA"/>
    <w:rsid w:val="00E96A18"/>
    <w:rsid w:val="00E96B71"/>
    <w:rsid w:val="00E96CEB"/>
    <w:rsid w:val="00E97118"/>
    <w:rsid w:val="00E9732B"/>
    <w:rsid w:val="00E97909"/>
    <w:rsid w:val="00E97B8A"/>
    <w:rsid w:val="00E97BC4"/>
    <w:rsid w:val="00E97DC1"/>
    <w:rsid w:val="00E97E35"/>
    <w:rsid w:val="00EA006F"/>
    <w:rsid w:val="00EA0948"/>
    <w:rsid w:val="00EA0992"/>
    <w:rsid w:val="00EA0998"/>
    <w:rsid w:val="00EA0D3E"/>
    <w:rsid w:val="00EA0DB4"/>
    <w:rsid w:val="00EA1009"/>
    <w:rsid w:val="00EA13CF"/>
    <w:rsid w:val="00EA1AA1"/>
    <w:rsid w:val="00EA1C6B"/>
    <w:rsid w:val="00EA1DFA"/>
    <w:rsid w:val="00EA2038"/>
    <w:rsid w:val="00EA2308"/>
    <w:rsid w:val="00EA26B6"/>
    <w:rsid w:val="00EA282D"/>
    <w:rsid w:val="00EA2878"/>
    <w:rsid w:val="00EA2914"/>
    <w:rsid w:val="00EA29B4"/>
    <w:rsid w:val="00EA2C4E"/>
    <w:rsid w:val="00EA3EEB"/>
    <w:rsid w:val="00EA424C"/>
    <w:rsid w:val="00EA4B57"/>
    <w:rsid w:val="00EA4FF0"/>
    <w:rsid w:val="00EA5192"/>
    <w:rsid w:val="00EA5302"/>
    <w:rsid w:val="00EA56E0"/>
    <w:rsid w:val="00EA5B7F"/>
    <w:rsid w:val="00EA5DF6"/>
    <w:rsid w:val="00EA5EA1"/>
    <w:rsid w:val="00EA641C"/>
    <w:rsid w:val="00EA64D1"/>
    <w:rsid w:val="00EA6D9B"/>
    <w:rsid w:val="00EA6E56"/>
    <w:rsid w:val="00EA7412"/>
    <w:rsid w:val="00EA7F2D"/>
    <w:rsid w:val="00EB00E6"/>
    <w:rsid w:val="00EB0112"/>
    <w:rsid w:val="00EB01AF"/>
    <w:rsid w:val="00EB0277"/>
    <w:rsid w:val="00EB0602"/>
    <w:rsid w:val="00EB081D"/>
    <w:rsid w:val="00EB0C25"/>
    <w:rsid w:val="00EB0DE3"/>
    <w:rsid w:val="00EB102B"/>
    <w:rsid w:val="00EB134E"/>
    <w:rsid w:val="00EB1397"/>
    <w:rsid w:val="00EB20AD"/>
    <w:rsid w:val="00EB227B"/>
    <w:rsid w:val="00EB22F0"/>
    <w:rsid w:val="00EB280E"/>
    <w:rsid w:val="00EB2B0A"/>
    <w:rsid w:val="00EB3230"/>
    <w:rsid w:val="00EB32EA"/>
    <w:rsid w:val="00EB3A44"/>
    <w:rsid w:val="00EB4512"/>
    <w:rsid w:val="00EB48B4"/>
    <w:rsid w:val="00EB4A97"/>
    <w:rsid w:val="00EB4B1B"/>
    <w:rsid w:val="00EB4DEA"/>
    <w:rsid w:val="00EB512E"/>
    <w:rsid w:val="00EB51C6"/>
    <w:rsid w:val="00EB569D"/>
    <w:rsid w:val="00EB5B24"/>
    <w:rsid w:val="00EB5F85"/>
    <w:rsid w:val="00EB6168"/>
    <w:rsid w:val="00EB61CB"/>
    <w:rsid w:val="00EB66F4"/>
    <w:rsid w:val="00EB6B6D"/>
    <w:rsid w:val="00EB758C"/>
    <w:rsid w:val="00EB75C1"/>
    <w:rsid w:val="00EB771B"/>
    <w:rsid w:val="00EB7D5C"/>
    <w:rsid w:val="00EB7E78"/>
    <w:rsid w:val="00EB7F3E"/>
    <w:rsid w:val="00EC0AD6"/>
    <w:rsid w:val="00EC13DF"/>
    <w:rsid w:val="00EC19A1"/>
    <w:rsid w:val="00EC24FA"/>
    <w:rsid w:val="00EC2566"/>
    <w:rsid w:val="00EC276F"/>
    <w:rsid w:val="00EC2B29"/>
    <w:rsid w:val="00EC2C65"/>
    <w:rsid w:val="00EC3424"/>
    <w:rsid w:val="00EC3486"/>
    <w:rsid w:val="00EC3A62"/>
    <w:rsid w:val="00EC3A68"/>
    <w:rsid w:val="00EC3AA2"/>
    <w:rsid w:val="00EC3CFB"/>
    <w:rsid w:val="00EC3E1F"/>
    <w:rsid w:val="00EC3ED1"/>
    <w:rsid w:val="00EC3EDC"/>
    <w:rsid w:val="00EC3FDB"/>
    <w:rsid w:val="00EC49B5"/>
    <w:rsid w:val="00EC5371"/>
    <w:rsid w:val="00EC53A6"/>
    <w:rsid w:val="00EC57E6"/>
    <w:rsid w:val="00EC5B3D"/>
    <w:rsid w:val="00EC5EC8"/>
    <w:rsid w:val="00EC6458"/>
    <w:rsid w:val="00EC66E2"/>
    <w:rsid w:val="00EC769C"/>
    <w:rsid w:val="00EC7B2A"/>
    <w:rsid w:val="00EC7C55"/>
    <w:rsid w:val="00ED0179"/>
    <w:rsid w:val="00ED038E"/>
    <w:rsid w:val="00ED0792"/>
    <w:rsid w:val="00ED0822"/>
    <w:rsid w:val="00ED120A"/>
    <w:rsid w:val="00ED12F2"/>
    <w:rsid w:val="00ED2846"/>
    <w:rsid w:val="00ED2C9C"/>
    <w:rsid w:val="00ED375B"/>
    <w:rsid w:val="00ED3CE9"/>
    <w:rsid w:val="00ED3D35"/>
    <w:rsid w:val="00ED413C"/>
    <w:rsid w:val="00ED4378"/>
    <w:rsid w:val="00ED4792"/>
    <w:rsid w:val="00ED494F"/>
    <w:rsid w:val="00ED501D"/>
    <w:rsid w:val="00ED5247"/>
    <w:rsid w:val="00ED5396"/>
    <w:rsid w:val="00ED5B25"/>
    <w:rsid w:val="00ED6002"/>
    <w:rsid w:val="00ED6A8C"/>
    <w:rsid w:val="00ED6BBB"/>
    <w:rsid w:val="00ED6C68"/>
    <w:rsid w:val="00ED72D0"/>
    <w:rsid w:val="00ED75CD"/>
    <w:rsid w:val="00ED7E62"/>
    <w:rsid w:val="00EE00AE"/>
    <w:rsid w:val="00EE0AFA"/>
    <w:rsid w:val="00EE0D35"/>
    <w:rsid w:val="00EE111D"/>
    <w:rsid w:val="00EE1386"/>
    <w:rsid w:val="00EE1EE9"/>
    <w:rsid w:val="00EE2190"/>
    <w:rsid w:val="00EE22D2"/>
    <w:rsid w:val="00EE2323"/>
    <w:rsid w:val="00EE2D23"/>
    <w:rsid w:val="00EE2D5F"/>
    <w:rsid w:val="00EE3552"/>
    <w:rsid w:val="00EE36C4"/>
    <w:rsid w:val="00EE3AC4"/>
    <w:rsid w:val="00EE3F7D"/>
    <w:rsid w:val="00EE4845"/>
    <w:rsid w:val="00EE4886"/>
    <w:rsid w:val="00EE4CBE"/>
    <w:rsid w:val="00EE5194"/>
    <w:rsid w:val="00EE5339"/>
    <w:rsid w:val="00EE58C3"/>
    <w:rsid w:val="00EE5D4D"/>
    <w:rsid w:val="00EE6160"/>
    <w:rsid w:val="00EE6515"/>
    <w:rsid w:val="00EE6571"/>
    <w:rsid w:val="00EE6CBD"/>
    <w:rsid w:val="00EE71BD"/>
    <w:rsid w:val="00EE76B5"/>
    <w:rsid w:val="00EE7FA9"/>
    <w:rsid w:val="00EF0E25"/>
    <w:rsid w:val="00EF0ED9"/>
    <w:rsid w:val="00EF175F"/>
    <w:rsid w:val="00EF1A5B"/>
    <w:rsid w:val="00EF1AE7"/>
    <w:rsid w:val="00EF1B9C"/>
    <w:rsid w:val="00EF1C06"/>
    <w:rsid w:val="00EF1DD8"/>
    <w:rsid w:val="00EF2110"/>
    <w:rsid w:val="00EF291A"/>
    <w:rsid w:val="00EF2A9B"/>
    <w:rsid w:val="00EF2DAF"/>
    <w:rsid w:val="00EF3145"/>
    <w:rsid w:val="00EF3843"/>
    <w:rsid w:val="00EF3983"/>
    <w:rsid w:val="00EF48B1"/>
    <w:rsid w:val="00EF4A75"/>
    <w:rsid w:val="00EF5435"/>
    <w:rsid w:val="00EF5E32"/>
    <w:rsid w:val="00EF64BF"/>
    <w:rsid w:val="00EF696F"/>
    <w:rsid w:val="00EF6A9A"/>
    <w:rsid w:val="00EF6BC1"/>
    <w:rsid w:val="00EF6DF1"/>
    <w:rsid w:val="00EF7050"/>
    <w:rsid w:val="00EF709C"/>
    <w:rsid w:val="00EF74A3"/>
    <w:rsid w:val="00EF759B"/>
    <w:rsid w:val="00EF76E8"/>
    <w:rsid w:val="00F0058E"/>
    <w:rsid w:val="00F00A30"/>
    <w:rsid w:val="00F00C5B"/>
    <w:rsid w:val="00F00C93"/>
    <w:rsid w:val="00F00E69"/>
    <w:rsid w:val="00F00F3D"/>
    <w:rsid w:val="00F00FBF"/>
    <w:rsid w:val="00F011D2"/>
    <w:rsid w:val="00F0125D"/>
    <w:rsid w:val="00F012D3"/>
    <w:rsid w:val="00F01D76"/>
    <w:rsid w:val="00F01E5D"/>
    <w:rsid w:val="00F0227C"/>
    <w:rsid w:val="00F02611"/>
    <w:rsid w:val="00F02EE3"/>
    <w:rsid w:val="00F03238"/>
    <w:rsid w:val="00F03583"/>
    <w:rsid w:val="00F04706"/>
    <w:rsid w:val="00F04CDC"/>
    <w:rsid w:val="00F0526A"/>
    <w:rsid w:val="00F05673"/>
    <w:rsid w:val="00F0604E"/>
    <w:rsid w:val="00F06515"/>
    <w:rsid w:val="00F065F1"/>
    <w:rsid w:val="00F07343"/>
    <w:rsid w:val="00F078B2"/>
    <w:rsid w:val="00F07EB2"/>
    <w:rsid w:val="00F10217"/>
    <w:rsid w:val="00F10CD0"/>
    <w:rsid w:val="00F116DB"/>
    <w:rsid w:val="00F11974"/>
    <w:rsid w:val="00F11DF8"/>
    <w:rsid w:val="00F11E08"/>
    <w:rsid w:val="00F11EEB"/>
    <w:rsid w:val="00F12D87"/>
    <w:rsid w:val="00F12E2B"/>
    <w:rsid w:val="00F12ED0"/>
    <w:rsid w:val="00F134C9"/>
    <w:rsid w:val="00F13502"/>
    <w:rsid w:val="00F13C9D"/>
    <w:rsid w:val="00F13D5B"/>
    <w:rsid w:val="00F13E12"/>
    <w:rsid w:val="00F13EE7"/>
    <w:rsid w:val="00F14D8D"/>
    <w:rsid w:val="00F15094"/>
    <w:rsid w:val="00F1537F"/>
    <w:rsid w:val="00F154CA"/>
    <w:rsid w:val="00F15C5E"/>
    <w:rsid w:val="00F16B77"/>
    <w:rsid w:val="00F1781B"/>
    <w:rsid w:val="00F1799E"/>
    <w:rsid w:val="00F17C7D"/>
    <w:rsid w:val="00F17FE0"/>
    <w:rsid w:val="00F20611"/>
    <w:rsid w:val="00F207E6"/>
    <w:rsid w:val="00F2094D"/>
    <w:rsid w:val="00F21876"/>
    <w:rsid w:val="00F2266A"/>
    <w:rsid w:val="00F22BCF"/>
    <w:rsid w:val="00F22F0B"/>
    <w:rsid w:val="00F232F1"/>
    <w:rsid w:val="00F23979"/>
    <w:rsid w:val="00F23C1E"/>
    <w:rsid w:val="00F2445D"/>
    <w:rsid w:val="00F24C50"/>
    <w:rsid w:val="00F24E29"/>
    <w:rsid w:val="00F24E33"/>
    <w:rsid w:val="00F24E43"/>
    <w:rsid w:val="00F25187"/>
    <w:rsid w:val="00F2598F"/>
    <w:rsid w:val="00F25BBA"/>
    <w:rsid w:val="00F25CC8"/>
    <w:rsid w:val="00F26038"/>
    <w:rsid w:val="00F260EA"/>
    <w:rsid w:val="00F2637C"/>
    <w:rsid w:val="00F2731D"/>
    <w:rsid w:val="00F27888"/>
    <w:rsid w:val="00F27AB4"/>
    <w:rsid w:val="00F27F15"/>
    <w:rsid w:val="00F30035"/>
    <w:rsid w:val="00F30066"/>
    <w:rsid w:val="00F303EA"/>
    <w:rsid w:val="00F30402"/>
    <w:rsid w:val="00F30925"/>
    <w:rsid w:val="00F30C58"/>
    <w:rsid w:val="00F31221"/>
    <w:rsid w:val="00F31684"/>
    <w:rsid w:val="00F31CA2"/>
    <w:rsid w:val="00F32494"/>
    <w:rsid w:val="00F337BA"/>
    <w:rsid w:val="00F339FE"/>
    <w:rsid w:val="00F33DCE"/>
    <w:rsid w:val="00F33E36"/>
    <w:rsid w:val="00F34E29"/>
    <w:rsid w:val="00F35772"/>
    <w:rsid w:val="00F35A5D"/>
    <w:rsid w:val="00F3606C"/>
    <w:rsid w:val="00F363B8"/>
    <w:rsid w:val="00F3677F"/>
    <w:rsid w:val="00F36AD5"/>
    <w:rsid w:val="00F36B0F"/>
    <w:rsid w:val="00F3716B"/>
    <w:rsid w:val="00F379BF"/>
    <w:rsid w:val="00F37B68"/>
    <w:rsid w:val="00F37CEF"/>
    <w:rsid w:val="00F37D02"/>
    <w:rsid w:val="00F37E6E"/>
    <w:rsid w:val="00F37F30"/>
    <w:rsid w:val="00F401BF"/>
    <w:rsid w:val="00F40746"/>
    <w:rsid w:val="00F408CD"/>
    <w:rsid w:val="00F40E25"/>
    <w:rsid w:val="00F4163E"/>
    <w:rsid w:val="00F417D1"/>
    <w:rsid w:val="00F41AE5"/>
    <w:rsid w:val="00F41D25"/>
    <w:rsid w:val="00F42573"/>
    <w:rsid w:val="00F42A49"/>
    <w:rsid w:val="00F4309F"/>
    <w:rsid w:val="00F43861"/>
    <w:rsid w:val="00F43BE6"/>
    <w:rsid w:val="00F43E88"/>
    <w:rsid w:val="00F44261"/>
    <w:rsid w:val="00F44518"/>
    <w:rsid w:val="00F445E3"/>
    <w:rsid w:val="00F44653"/>
    <w:rsid w:val="00F446E2"/>
    <w:rsid w:val="00F44A57"/>
    <w:rsid w:val="00F44DC4"/>
    <w:rsid w:val="00F455DE"/>
    <w:rsid w:val="00F45942"/>
    <w:rsid w:val="00F45993"/>
    <w:rsid w:val="00F459C7"/>
    <w:rsid w:val="00F4645E"/>
    <w:rsid w:val="00F464E4"/>
    <w:rsid w:val="00F46675"/>
    <w:rsid w:val="00F468A5"/>
    <w:rsid w:val="00F46A4F"/>
    <w:rsid w:val="00F46A81"/>
    <w:rsid w:val="00F46E3F"/>
    <w:rsid w:val="00F4782A"/>
    <w:rsid w:val="00F479DD"/>
    <w:rsid w:val="00F47DAD"/>
    <w:rsid w:val="00F50391"/>
    <w:rsid w:val="00F50C45"/>
    <w:rsid w:val="00F5165B"/>
    <w:rsid w:val="00F51840"/>
    <w:rsid w:val="00F51A58"/>
    <w:rsid w:val="00F52081"/>
    <w:rsid w:val="00F525CA"/>
    <w:rsid w:val="00F5268A"/>
    <w:rsid w:val="00F531DD"/>
    <w:rsid w:val="00F534CF"/>
    <w:rsid w:val="00F5377E"/>
    <w:rsid w:val="00F537E0"/>
    <w:rsid w:val="00F5414D"/>
    <w:rsid w:val="00F54BE4"/>
    <w:rsid w:val="00F55057"/>
    <w:rsid w:val="00F5571C"/>
    <w:rsid w:val="00F55816"/>
    <w:rsid w:val="00F5590A"/>
    <w:rsid w:val="00F55BFC"/>
    <w:rsid w:val="00F55F3A"/>
    <w:rsid w:val="00F562EB"/>
    <w:rsid w:val="00F5669F"/>
    <w:rsid w:val="00F57163"/>
    <w:rsid w:val="00F571C8"/>
    <w:rsid w:val="00F5729C"/>
    <w:rsid w:val="00F577B2"/>
    <w:rsid w:val="00F57838"/>
    <w:rsid w:val="00F57BA8"/>
    <w:rsid w:val="00F602D1"/>
    <w:rsid w:val="00F60B1E"/>
    <w:rsid w:val="00F6101B"/>
    <w:rsid w:val="00F617CB"/>
    <w:rsid w:val="00F6249D"/>
    <w:rsid w:val="00F62528"/>
    <w:rsid w:val="00F625BE"/>
    <w:rsid w:val="00F62807"/>
    <w:rsid w:val="00F629A3"/>
    <w:rsid w:val="00F62A75"/>
    <w:rsid w:val="00F62D26"/>
    <w:rsid w:val="00F62D3C"/>
    <w:rsid w:val="00F630EB"/>
    <w:rsid w:val="00F6325E"/>
    <w:rsid w:val="00F63451"/>
    <w:rsid w:val="00F63625"/>
    <w:rsid w:val="00F63C0B"/>
    <w:rsid w:val="00F63CBC"/>
    <w:rsid w:val="00F652E0"/>
    <w:rsid w:val="00F654A1"/>
    <w:rsid w:val="00F66364"/>
    <w:rsid w:val="00F66657"/>
    <w:rsid w:val="00F66981"/>
    <w:rsid w:val="00F66C1D"/>
    <w:rsid w:val="00F66C89"/>
    <w:rsid w:val="00F66E6D"/>
    <w:rsid w:val="00F6751E"/>
    <w:rsid w:val="00F67BB6"/>
    <w:rsid w:val="00F709CA"/>
    <w:rsid w:val="00F7156A"/>
    <w:rsid w:val="00F71A57"/>
    <w:rsid w:val="00F71DC6"/>
    <w:rsid w:val="00F71F63"/>
    <w:rsid w:val="00F72646"/>
    <w:rsid w:val="00F72B4C"/>
    <w:rsid w:val="00F72E2F"/>
    <w:rsid w:val="00F73206"/>
    <w:rsid w:val="00F73509"/>
    <w:rsid w:val="00F73BDE"/>
    <w:rsid w:val="00F73FA7"/>
    <w:rsid w:val="00F74B89"/>
    <w:rsid w:val="00F74E02"/>
    <w:rsid w:val="00F75064"/>
    <w:rsid w:val="00F7538E"/>
    <w:rsid w:val="00F75933"/>
    <w:rsid w:val="00F75C1E"/>
    <w:rsid w:val="00F75C24"/>
    <w:rsid w:val="00F761E6"/>
    <w:rsid w:val="00F766BD"/>
    <w:rsid w:val="00F767DA"/>
    <w:rsid w:val="00F779CD"/>
    <w:rsid w:val="00F80125"/>
    <w:rsid w:val="00F80A06"/>
    <w:rsid w:val="00F80D37"/>
    <w:rsid w:val="00F813C5"/>
    <w:rsid w:val="00F813E1"/>
    <w:rsid w:val="00F81493"/>
    <w:rsid w:val="00F815A9"/>
    <w:rsid w:val="00F81714"/>
    <w:rsid w:val="00F81841"/>
    <w:rsid w:val="00F81A9F"/>
    <w:rsid w:val="00F81D36"/>
    <w:rsid w:val="00F8201E"/>
    <w:rsid w:val="00F826AC"/>
    <w:rsid w:val="00F8299F"/>
    <w:rsid w:val="00F83A6B"/>
    <w:rsid w:val="00F83BF8"/>
    <w:rsid w:val="00F83CB5"/>
    <w:rsid w:val="00F83CC2"/>
    <w:rsid w:val="00F8401B"/>
    <w:rsid w:val="00F8421B"/>
    <w:rsid w:val="00F84806"/>
    <w:rsid w:val="00F84B6A"/>
    <w:rsid w:val="00F8559F"/>
    <w:rsid w:val="00F856FA"/>
    <w:rsid w:val="00F86557"/>
    <w:rsid w:val="00F865C7"/>
    <w:rsid w:val="00F86990"/>
    <w:rsid w:val="00F86D22"/>
    <w:rsid w:val="00F874AF"/>
    <w:rsid w:val="00F87566"/>
    <w:rsid w:val="00F90563"/>
    <w:rsid w:val="00F90754"/>
    <w:rsid w:val="00F90EEB"/>
    <w:rsid w:val="00F9136E"/>
    <w:rsid w:val="00F919A7"/>
    <w:rsid w:val="00F91CBB"/>
    <w:rsid w:val="00F92583"/>
    <w:rsid w:val="00F93CB3"/>
    <w:rsid w:val="00F9563A"/>
    <w:rsid w:val="00F95878"/>
    <w:rsid w:val="00F960EB"/>
    <w:rsid w:val="00F9626C"/>
    <w:rsid w:val="00F9692D"/>
    <w:rsid w:val="00F96BE1"/>
    <w:rsid w:val="00F971A1"/>
    <w:rsid w:val="00F97ABF"/>
    <w:rsid w:val="00FA0954"/>
    <w:rsid w:val="00FA0C4B"/>
    <w:rsid w:val="00FA1023"/>
    <w:rsid w:val="00FA1EC0"/>
    <w:rsid w:val="00FA2038"/>
    <w:rsid w:val="00FA20AB"/>
    <w:rsid w:val="00FA20FC"/>
    <w:rsid w:val="00FA2836"/>
    <w:rsid w:val="00FA2A92"/>
    <w:rsid w:val="00FA2C42"/>
    <w:rsid w:val="00FA2D95"/>
    <w:rsid w:val="00FA2E53"/>
    <w:rsid w:val="00FA2FEA"/>
    <w:rsid w:val="00FA38EF"/>
    <w:rsid w:val="00FA3928"/>
    <w:rsid w:val="00FA3DF3"/>
    <w:rsid w:val="00FA4043"/>
    <w:rsid w:val="00FA4194"/>
    <w:rsid w:val="00FA572A"/>
    <w:rsid w:val="00FA5E08"/>
    <w:rsid w:val="00FA5F69"/>
    <w:rsid w:val="00FA6231"/>
    <w:rsid w:val="00FA671B"/>
    <w:rsid w:val="00FA6B34"/>
    <w:rsid w:val="00FA6D10"/>
    <w:rsid w:val="00FA6DDE"/>
    <w:rsid w:val="00FA7456"/>
    <w:rsid w:val="00FA7F59"/>
    <w:rsid w:val="00FB01B2"/>
    <w:rsid w:val="00FB0ACB"/>
    <w:rsid w:val="00FB2C8E"/>
    <w:rsid w:val="00FB34F9"/>
    <w:rsid w:val="00FB359E"/>
    <w:rsid w:val="00FB35DA"/>
    <w:rsid w:val="00FB3D32"/>
    <w:rsid w:val="00FB3E4D"/>
    <w:rsid w:val="00FB3E97"/>
    <w:rsid w:val="00FB3F52"/>
    <w:rsid w:val="00FB4C1D"/>
    <w:rsid w:val="00FB504F"/>
    <w:rsid w:val="00FB55DC"/>
    <w:rsid w:val="00FB57EE"/>
    <w:rsid w:val="00FB614C"/>
    <w:rsid w:val="00FB6564"/>
    <w:rsid w:val="00FB6941"/>
    <w:rsid w:val="00FB6BCC"/>
    <w:rsid w:val="00FB6D30"/>
    <w:rsid w:val="00FB6FAF"/>
    <w:rsid w:val="00FB7986"/>
    <w:rsid w:val="00FB7AE3"/>
    <w:rsid w:val="00FB7BF8"/>
    <w:rsid w:val="00FB7D5B"/>
    <w:rsid w:val="00FB7EA8"/>
    <w:rsid w:val="00FC0154"/>
    <w:rsid w:val="00FC03BC"/>
    <w:rsid w:val="00FC0710"/>
    <w:rsid w:val="00FC093F"/>
    <w:rsid w:val="00FC124C"/>
    <w:rsid w:val="00FC2705"/>
    <w:rsid w:val="00FC2B2B"/>
    <w:rsid w:val="00FC2EBF"/>
    <w:rsid w:val="00FC2EF1"/>
    <w:rsid w:val="00FC301B"/>
    <w:rsid w:val="00FC3164"/>
    <w:rsid w:val="00FC3298"/>
    <w:rsid w:val="00FC3696"/>
    <w:rsid w:val="00FC41B6"/>
    <w:rsid w:val="00FC48C2"/>
    <w:rsid w:val="00FC499F"/>
    <w:rsid w:val="00FC4D06"/>
    <w:rsid w:val="00FC50C0"/>
    <w:rsid w:val="00FC512E"/>
    <w:rsid w:val="00FC569D"/>
    <w:rsid w:val="00FC581A"/>
    <w:rsid w:val="00FC6440"/>
    <w:rsid w:val="00FC646C"/>
    <w:rsid w:val="00FC6734"/>
    <w:rsid w:val="00FC6A8F"/>
    <w:rsid w:val="00FC6AEB"/>
    <w:rsid w:val="00FC754E"/>
    <w:rsid w:val="00FC7966"/>
    <w:rsid w:val="00FC7D48"/>
    <w:rsid w:val="00FD0094"/>
    <w:rsid w:val="00FD0138"/>
    <w:rsid w:val="00FD01DB"/>
    <w:rsid w:val="00FD059E"/>
    <w:rsid w:val="00FD0896"/>
    <w:rsid w:val="00FD0CE6"/>
    <w:rsid w:val="00FD1293"/>
    <w:rsid w:val="00FD12C3"/>
    <w:rsid w:val="00FD17B3"/>
    <w:rsid w:val="00FD1CDE"/>
    <w:rsid w:val="00FD1EBA"/>
    <w:rsid w:val="00FD1F2F"/>
    <w:rsid w:val="00FD22BA"/>
    <w:rsid w:val="00FD2BC8"/>
    <w:rsid w:val="00FD2D2A"/>
    <w:rsid w:val="00FD3AB5"/>
    <w:rsid w:val="00FD3C8D"/>
    <w:rsid w:val="00FD427A"/>
    <w:rsid w:val="00FD45B1"/>
    <w:rsid w:val="00FD4BB9"/>
    <w:rsid w:val="00FD5C5E"/>
    <w:rsid w:val="00FD62A7"/>
    <w:rsid w:val="00FD6364"/>
    <w:rsid w:val="00FD6671"/>
    <w:rsid w:val="00FD6BA3"/>
    <w:rsid w:val="00FD7134"/>
    <w:rsid w:val="00FD723C"/>
    <w:rsid w:val="00FD7459"/>
    <w:rsid w:val="00FD7698"/>
    <w:rsid w:val="00FE01DA"/>
    <w:rsid w:val="00FE0E6F"/>
    <w:rsid w:val="00FE0EF3"/>
    <w:rsid w:val="00FE107C"/>
    <w:rsid w:val="00FE198D"/>
    <w:rsid w:val="00FE2367"/>
    <w:rsid w:val="00FE26F5"/>
    <w:rsid w:val="00FE27B4"/>
    <w:rsid w:val="00FE2CAB"/>
    <w:rsid w:val="00FE2E24"/>
    <w:rsid w:val="00FE34A7"/>
    <w:rsid w:val="00FE362B"/>
    <w:rsid w:val="00FE36EB"/>
    <w:rsid w:val="00FE38D5"/>
    <w:rsid w:val="00FE3964"/>
    <w:rsid w:val="00FE450F"/>
    <w:rsid w:val="00FE45A6"/>
    <w:rsid w:val="00FE4C9D"/>
    <w:rsid w:val="00FE5109"/>
    <w:rsid w:val="00FE513E"/>
    <w:rsid w:val="00FE5803"/>
    <w:rsid w:val="00FE58EA"/>
    <w:rsid w:val="00FE59D5"/>
    <w:rsid w:val="00FE5A34"/>
    <w:rsid w:val="00FE60D6"/>
    <w:rsid w:val="00FE6409"/>
    <w:rsid w:val="00FE6CF7"/>
    <w:rsid w:val="00FE7077"/>
    <w:rsid w:val="00FE722A"/>
    <w:rsid w:val="00FE76D4"/>
    <w:rsid w:val="00FE7FFC"/>
    <w:rsid w:val="00FF01D1"/>
    <w:rsid w:val="00FF0208"/>
    <w:rsid w:val="00FF10C0"/>
    <w:rsid w:val="00FF19AC"/>
    <w:rsid w:val="00FF24FE"/>
    <w:rsid w:val="00FF355B"/>
    <w:rsid w:val="00FF3632"/>
    <w:rsid w:val="00FF36DA"/>
    <w:rsid w:val="00FF3AF5"/>
    <w:rsid w:val="00FF3AF7"/>
    <w:rsid w:val="00FF4654"/>
    <w:rsid w:val="00FF49E6"/>
    <w:rsid w:val="00FF50A5"/>
    <w:rsid w:val="00FF5872"/>
    <w:rsid w:val="00FF5A7E"/>
    <w:rsid w:val="00FF5F3F"/>
    <w:rsid w:val="00FF5F7D"/>
    <w:rsid w:val="00FF5FC9"/>
    <w:rsid w:val="00FF76EA"/>
    <w:rsid w:val="00FF7FEF"/>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7D9841D"/>
  <w15:docId w15:val="{551DDC69-C37A-4CBB-98AA-85E7EF41C8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GB" w:eastAsia="en-GB" w:bidi="ar-SA"/>
      </w:rPr>
    </w:rPrDefault>
    <w:pPrDefault/>
  </w:docDefaults>
  <w:latentStyles w:defLockedState="0" w:defUIPriority="99" w:defSemiHidden="0" w:defUnhideWhenUsed="0" w:defQFormat="0" w:count="377">
    <w:lsdException w:name="Normal" w:locked="1" w:uiPriority="0" w:qFormat="1"/>
    <w:lsdException w:name="heading 1" w:locked="1" w:uiPriority="9"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iPriority="42"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lock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e">
    <w:name w:val="Normal"/>
    <w:qFormat/>
    <w:rsid w:val="00B6571C"/>
    <w:rPr>
      <w:lang w:val="it-IT" w:eastAsia="it-IT"/>
    </w:rPr>
  </w:style>
  <w:style w:type="paragraph" w:styleId="Titolo1">
    <w:name w:val="heading 1"/>
    <w:basedOn w:val="Normale"/>
    <w:next w:val="Normale"/>
    <w:link w:val="Titolo1Carattere"/>
    <w:uiPriority w:val="9"/>
    <w:qFormat/>
    <w:rsid w:val="00853DE1"/>
    <w:pPr>
      <w:keepNext/>
      <w:widowControl w:val="0"/>
      <w:spacing w:before="120" w:line="360" w:lineRule="auto"/>
      <w:outlineLvl w:val="0"/>
    </w:pPr>
    <w:rPr>
      <w:rFonts w:ascii="Cambria" w:hAnsi="Cambria"/>
      <w:b/>
      <w:bCs/>
      <w:kern w:val="32"/>
      <w:sz w:val="32"/>
      <w:szCs w:val="32"/>
      <w:lang w:val="en-GB" w:eastAsia="en-US"/>
    </w:rPr>
  </w:style>
  <w:style w:type="paragraph" w:styleId="Titolo2">
    <w:name w:val="heading 2"/>
    <w:basedOn w:val="Normale"/>
    <w:next w:val="Normale"/>
    <w:link w:val="Titolo2Carattere"/>
    <w:uiPriority w:val="99"/>
    <w:qFormat/>
    <w:rsid w:val="00853DE1"/>
    <w:pPr>
      <w:keepNext/>
      <w:spacing w:before="120"/>
      <w:ind w:right="425"/>
      <w:jc w:val="center"/>
      <w:outlineLvl w:val="1"/>
    </w:pPr>
    <w:rPr>
      <w:rFonts w:ascii="Cambria" w:hAnsi="Cambria"/>
      <w:b/>
      <w:bCs/>
      <w:i/>
      <w:iCs/>
      <w:sz w:val="28"/>
      <w:szCs w:val="28"/>
      <w:lang w:val="en-GB" w:eastAsia="en-US"/>
    </w:rPr>
  </w:style>
  <w:style w:type="paragraph" w:styleId="Titolo3">
    <w:name w:val="heading 3"/>
    <w:basedOn w:val="Normale"/>
    <w:next w:val="Normale"/>
    <w:link w:val="Titolo3Carattere"/>
    <w:uiPriority w:val="99"/>
    <w:qFormat/>
    <w:rsid w:val="00853DE1"/>
    <w:pPr>
      <w:keepNext/>
      <w:spacing w:line="480" w:lineRule="auto"/>
      <w:jc w:val="right"/>
      <w:outlineLvl w:val="2"/>
    </w:pPr>
    <w:rPr>
      <w:rFonts w:ascii="Cambria" w:hAnsi="Cambria"/>
      <w:b/>
      <w:bCs/>
      <w:sz w:val="26"/>
      <w:szCs w:val="26"/>
      <w:lang w:val="en-GB" w:eastAsia="en-US"/>
    </w:rPr>
  </w:style>
  <w:style w:type="paragraph" w:styleId="Titolo4">
    <w:name w:val="heading 4"/>
    <w:basedOn w:val="Normale"/>
    <w:next w:val="Normale"/>
    <w:link w:val="Titolo4Carattere"/>
    <w:uiPriority w:val="99"/>
    <w:qFormat/>
    <w:rsid w:val="00853DE1"/>
    <w:pPr>
      <w:keepNext/>
      <w:widowControl w:val="0"/>
      <w:spacing w:line="480" w:lineRule="auto"/>
      <w:outlineLvl w:val="3"/>
    </w:pPr>
    <w:rPr>
      <w:rFonts w:ascii="Calibri" w:hAnsi="Calibri"/>
      <w:b/>
      <w:bCs/>
      <w:sz w:val="28"/>
      <w:szCs w:val="28"/>
      <w:lang w:val="en-GB" w:eastAsia="en-US"/>
    </w:rPr>
  </w:style>
  <w:style w:type="paragraph" w:styleId="Titolo5">
    <w:name w:val="heading 5"/>
    <w:basedOn w:val="Normale"/>
    <w:next w:val="Normale"/>
    <w:link w:val="Titolo5Carattere"/>
    <w:uiPriority w:val="99"/>
    <w:qFormat/>
    <w:rsid w:val="00853DE1"/>
    <w:pPr>
      <w:keepNext/>
      <w:widowControl w:val="0"/>
      <w:spacing w:line="480" w:lineRule="auto"/>
      <w:ind w:left="567" w:right="567"/>
      <w:jc w:val="center"/>
      <w:outlineLvl w:val="4"/>
    </w:pPr>
    <w:rPr>
      <w:rFonts w:ascii="Calibri" w:hAnsi="Calibri"/>
      <w:b/>
      <w:bCs/>
      <w:i/>
      <w:iCs/>
      <w:sz w:val="26"/>
      <w:szCs w:val="26"/>
      <w:lang w:val="en-GB" w:eastAsia="en-US"/>
    </w:rPr>
  </w:style>
  <w:style w:type="paragraph" w:styleId="Titolo6">
    <w:name w:val="heading 6"/>
    <w:basedOn w:val="Normale"/>
    <w:next w:val="Normale"/>
    <w:link w:val="Titolo6Carattere"/>
    <w:uiPriority w:val="99"/>
    <w:qFormat/>
    <w:rsid w:val="00853DE1"/>
    <w:pPr>
      <w:keepNext/>
      <w:widowControl w:val="0"/>
      <w:spacing w:before="240" w:line="480" w:lineRule="auto"/>
      <w:jc w:val="center"/>
      <w:outlineLvl w:val="5"/>
    </w:pPr>
    <w:rPr>
      <w:rFonts w:ascii="Calibri" w:hAnsi="Calibri"/>
      <w:b/>
      <w:bCs/>
      <w:sz w:val="20"/>
      <w:szCs w:val="20"/>
      <w:lang w:val="en-GB" w:eastAsia="en-US"/>
    </w:rPr>
  </w:style>
  <w:style w:type="paragraph" w:styleId="Titolo7">
    <w:name w:val="heading 7"/>
    <w:basedOn w:val="Normale"/>
    <w:next w:val="Normale"/>
    <w:link w:val="Titolo7Carattere"/>
    <w:uiPriority w:val="99"/>
    <w:qFormat/>
    <w:rsid w:val="00853DE1"/>
    <w:pPr>
      <w:keepNext/>
      <w:widowControl w:val="0"/>
      <w:spacing w:before="120" w:line="480" w:lineRule="auto"/>
      <w:ind w:left="-69"/>
      <w:jc w:val="center"/>
      <w:outlineLvl w:val="6"/>
    </w:pPr>
    <w:rPr>
      <w:rFonts w:ascii="Calibri" w:hAnsi="Calibri"/>
      <w:lang w:val="en-GB" w:eastAsia="en-US"/>
    </w:rPr>
  </w:style>
  <w:style w:type="paragraph" w:styleId="Titolo8">
    <w:name w:val="heading 8"/>
    <w:basedOn w:val="Normale"/>
    <w:next w:val="Normale"/>
    <w:link w:val="Titolo8Carattere"/>
    <w:uiPriority w:val="99"/>
    <w:qFormat/>
    <w:rsid w:val="00853DE1"/>
    <w:pPr>
      <w:keepNext/>
      <w:widowControl w:val="0"/>
      <w:spacing w:line="480" w:lineRule="auto"/>
      <w:jc w:val="both"/>
      <w:outlineLvl w:val="7"/>
    </w:pPr>
    <w:rPr>
      <w:rFonts w:ascii="Calibri" w:hAnsi="Calibri"/>
      <w:i/>
      <w:iCs/>
      <w:lang w:val="en-GB" w:eastAsia="en-US"/>
    </w:rPr>
  </w:style>
  <w:style w:type="paragraph" w:styleId="Titolo9">
    <w:name w:val="heading 9"/>
    <w:basedOn w:val="Normale"/>
    <w:next w:val="Normale"/>
    <w:link w:val="Titolo9Carattere"/>
    <w:uiPriority w:val="99"/>
    <w:qFormat/>
    <w:rsid w:val="00853DE1"/>
    <w:pPr>
      <w:keepNext/>
      <w:keepLines/>
      <w:spacing w:before="120" w:line="-240" w:lineRule="auto"/>
      <w:ind w:left="34" w:right="-108"/>
      <w:outlineLvl w:val="8"/>
    </w:pPr>
    <w:rPr>
      <w:rFonts w:ascii="Cambria" w:hAnsi="Cambria"/>
      <w:sz w:val="20"/>
      <w:szCs w:val="20"/>
      <w:lang w:val="en-GB" w:eastAsia="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link w:val="Titolo1"/>
    <w:uiPriority w:val="9"/>
    <w:locked/>
    <w:rsid w:val="00F44DC4"/>
    <w:rPr>
      <w:rFonts w:ascii="Cambria" w:hAnsi="Cambria" w:cs="Times New Roman"/>
      <w:b/>
      <w:bCs/>
      <w:kern w:val="32"/>
      <w:sz w:val="32"/>
      <w:szCs w:val="32"/>
      <w:lang w:val="en-GB" w:eastAsia="en-US"/>
    </w:rPr>
  </w:style>
  <w:style w:type="character" w:customStyle="1" w:styleId="Titolo2Carattere">
    <w:name w:val="Titolo 2 Carattere"/>
    <w:link w:val="Titolo2"/>
    <w:uiPriority w:val="99"/>
    <w:semiHidden/>
    <w:locked/>
    <w:rsid w:val="00F44DC4"/>
    <w:rPr>
      <w:rFonts w:ascii="Cambria" w:hAnsi="Cambria" w:cs="Times New Roman"/>
      <w:b/>
      <w:bCs/>
      <w:i/>
      <w:iCs/>
      <w:sz w:val="28"/>
      <w:szCs w:val="28"/>
      <w:lang w:val="en-GB" w:eastAsia="en-US"/>
    </w:rPr>
  </w:style>
  <w:style w:type="character" w:customStyle="1" w:styleId="Titolo3Carattere">
    <w:name w:val="Titolo 3 Carattere"/>
    <w:link w:val="Titolo3"/>
    <w:uiPriority w:val="99"/>
    <w:semiHidden/>
    <w:locked/>
    <w:rsid w:val="00F44DC4"/>
    <w:rPr>
      <w:rFonts w:ascii="Cambria" w:hAnsi="Cambria" w:cs="Times New Roman"/>
      <w:b/>
      <w:bCs/>
      <w:sz w:val="26"/>
      <w:szCs w:val="26"/>
      <w:lang w:val="en-GB" w:eastAsia="en-US"/>
    </w:rPr>
  </w:style>
  <w:style w:type="character" w:customStyle="1" w:styleId="Titolo4Carattere">
    <w:name w:val="Titolo 4 Carattere"/>
    <w:link w:val="Titolo4"/>
    <w:uiPriority w:val="99"/>
    <w:semiHidden/>
    <w:locked/>
    <w:rsid w:val="00F44DC4"/>
    <w:rPr>
      <w:rFonts w:ascii="Calibri" w:hAnsi="Calibri" w:cs="Times New Roman"/>
      <w:b/>
      <w:bCs/>
      <w:sz w:val="28"/>
      <w:szCs w:val="28"/>
      <w:lang w:val="en-GB" w:eastAsia="en-US"/>
    </w:rPr>
  </w:style>
  <w:style w:type="character" w:customStyle="1" w:styleId="Titolo5Carattere">
    <w:name w:val="Titolo 5 Carattere"/>
    <w:link w:val="Titolo5"/>
    <w:uiPriority w:val="99"/>
    <w:semiHidden/>
    <w:locked/>
    <w:rsid w:val="00F44DC4"/>
    <w:rPr>
      <w:rFonts w:ascii="Calibri" w:hAnsi="Calibri" w:cs="Times New Roman"/>
      <w:b/>
      <w:bCs/>
      <w:i/>
      <w:iCs/>
      <w:sz w:val="26"/>
      <w:szCs w:val="26"/>
      <w:lang w:val="en-GB" w:eastAsia="en-US"/>
    </w:rPr>
  </w:style>
  <w:style w:type="character" w:customStyle="1" w:styleId="Titolo6Carattere">
    <w:name w:val="Titolo 6 Carattere"/>
    <w:link w:val="Titolo6"/>
    <w:uiPriority w:val="99"/>
    <w:semiHidden/>
    <w:locked/>
    <w:rsid w:val="00F44DC4"/>
    <w:rPr>
      <w:rFonts w:ascii="Calibri" w:hAnsi="Calibri" w:cs="Times New Roman"/>
      <w:b/>
      <w:bCs/>
      <w:lang w:val="en-GB" w:eastAsia="en-US"/>
    </w:rPr>
  </w:style>
  <w:style w:type="character" w:customStyle="1" w:styleId="Titolo7Carattere">
    <w:name w:val="Titolo 7 Carattere"/>
    <w:link w:val="Titolo7"/>
    <w:uiPriority w:val="99"/>
    <w:semiHidden/>
    <w:locked/>
    <w:rsid w:val="00F44DC4"/>
    <w:rPr>
      <w:rFonts w:ascii="Calibri" w:hAnsi="Calibri" w:cs="Times New Roman"/>
      <w:sz w:val="24"/>
      <w:szCs w:val="24"/>
      <w:lang w:val="en-GB" w:eastAsia="en-US"/>
    </w:rPr>
  </w:style>
  <w:style w:type="character" w:customStyle="1" w:styleId="Titolo8Carattere">
    <w:name w:val="Titolo 8 Carattere"/>
    <w:link w:val="Titolo8"/>
    <w:uiPriority w:val="99"/>
    <w:semiHidden/>
    <w:locked/>
    <w:rsid w:val="00F44DC4"/>
    <w:rPr>
      <w:rFonts w:ascii="Calibri" w:hAnsi="Calibri" w:cs="Times New Roman"/>
      <w:i/>
      <w:iCs/>
      <w:sz w:val="24"/>
      <w:szCs w:val="24"/>
      <w:lang w:val="en-GB" w:eastAsia="en-US"/>
    </w:rPr>
  </w:style>
  <w:style w:type="character" w:customStyle="1" w:styleId="Titolo9Carattere">
    <w:name w:val="Titolo 9 Carattere"/>
    <w:link w:val="Titolo9"/>
    <w:uiPriority w:val="99"/>
    <w:semiHidden/>
    <w:locked/>
    <w:rsid w:val="00F44DC4"/>
    <w:rPr>
      <w:rFonts w:ascii="Cambria" w:hAnsi="Cambria" w:cs="Times New Roman"/>
      <w:lang w:val="en-GB" w:eastAsia="en-US"/>
    </w:rPr>
  </w:style>
  <w:style w:type="paragraph" w:customStyle="1" w:styleId="Corpodeltesto21">
    <w:name w:val="Corpo del testo 21"/>
    <w:basedOn w:val="Normale"/>
    <w:uiPriority w:val="99"/>
    <w:rsid w:val="00853DE1"/>
    <w:pPr>
      <w:widowControl w:val="0"/>
      <w:spacing w:line="480" w:lineRule="auto"/>
      <w:jc w:val="center"/>
    </w:pPr>
    <w:rPr>
      <w:b/>
      <w:sz w:val="28"/>
      <w:szCs w:val="20"/>
      <w:lang w:val="en-GB" w:eastAsia="en-US"/>
    </w:rPr>
  </w:style>
  <w:style w:type="character" w:styleId="Rimandonotaapidipagina">
    <w:name w:val="footnote reference"/>
    <w:uiPriority w:val="99"/>
    <w:semiHidden/>
    <w:rsid w:val="00853DE1"/>
    <w:rPr>
      <w:rFonts w:cs="Times New Roman"/>
      <w:vertAlign w:val="superscript"/>
    </w:rPr>
  </w:style>
  <w:style w:type="paragraph" w:styleId="Corpodeltesto2">
    <w:name w:val="Body Text 2"/>
    <w:basedOn w:val="Normale"/>
    <w:link w:val="Corpodeltesto2Carattere"/>
    <w:uiPriority w:val="99"/>
    <w:rsid w:val="00853DE1"/>
    <w:pPr>
      <w:spacing w:line="480" w:lineRule="auto"/>
      <w:jc w:val="both"/>
    </w:pPr>
    <w:rPr>
      <w:sz w:val="20"/>
      <w:szCs w:val="20"/>
      <w:lang w:val="en-GB" w:eastAsia="en-US"/>
    </w:rPr>
  </w:style>
  <w:style w:type="character" w:customStyle="1" w:styleId="Corpodeltesto2Carattere">
    <w:name w:val="Corpo del testo 2 Carattere"/>
    <w:link w:val="Corpodeltesto2"/>
    <w:uiPriority w:val="99"/>
    <w:semiHidden/>
    <w:locked/>
    <w:rsid w:val="00F44DC4"/>
    <w:rPr>
      <w:rFonts w:cs="Times New Roman"/>
      <w:sz w:val="20"/>
      <w:szCs w:val="20"/>
      <w:lang w:val="en-GB" w:eastAsia="en-US"/>
    </w:rPr>
  </w:style>
  <w:style w:type="paragraph" w:styleId="Testonotaapidipagina">
    <w:name w:val="footnote text"/>
    <w:basedOn w:val="Normale"/>
    <w:link w:val="TestonotaapidipaginaCarattere"/>
    <w:uiPriority w:val="99"/>
    <w:semiHidden/>
    <w:rsid w:val="00853DE1"/>
    <w:pPr>
      <w:widowControl w:val="0"/>
    </w:pPr>
    <w:rPr>
      <w:sz w:val="20"/>
      <w:szCs w:val="20"/>
      <w:lang w:val="en-GB" w:eastAsia="en-US"/>
    </w:rPr>
  </w:style>
  <w:style w:type="character" w:customStyle="1" w:styleId="TestonotaapidipaginaCarattere">
    <w:name w:val="Testo nota a piè di pagina Carattere"/>
    <w:link w:val="Testonotaapidipagina"/>
    <w:uiPriority w:val="99"/>
    <w:semiHidden/>
    <w:locked/>
    <w:rsid w:val="00F44DC4"/>
    <w:rPr>
      <w:rFonts w:cs="Times New Roman"/>
      <w:sz w:val="20"/>
      <w:szCs w:val="20"/>
      <w:lang w:val="en-GB" w:eastAsia="en-US"/>
    </w:rPr>
  </w:style>
  <w:style w:type="paragraph" w:styleId="Intestazione">
    <w:name w:val="header"/>
    <w:basedOn w:val="Normale"/>
    <w:link w:val="IntestazioneCarattere"/>
    <w:uiPriority w:val="99"/>
    <w:rsid w:val="00853DE1"/>
    <w:pPr>
      <w:widowControl w:val="0"/>
      <w:tabs>
        <w:tab w:val="center" w:pos="4153"/>
        <w:tab w:val="right" w:pos="8306"/>
      </w:tabs>
    </w:pPr>
    <w:rPr>
      <w:sz w:val="20"/>
      <w:szCs w:val="20"/>
      <w:lang w:val="en-GB" w:eastAsia="en-US"/>
    </w:rPr>
  </w:style>
  <w:style w:type="character" w:customStyle="1" w:styleId="IntestazioneCarattere">
    <w:name w:val="Intestazione Carattere"/>
    <w:link w:val="Intestazione"/>
    <w:uiPriority w:val="99"/>
    <w:semiHidden/>
    <w:locked/>
    <w:rsid w:val="00F44DC4"/>
    <w:rPr>
      <w:rFonts w:cs="Times New Roman"/>
      <w:sz w:val="20"/>
      <w:szCs w:val="20"/>
      <w:lang w:val="en-GB" w:eastAsia="en-US"/>
    </w:rPr>
  </w:style>
  <w:style w:type="character" w:styleId="Numeropagina">
    <w:name w:val="page number"/>
    <w:uiPriority w:val="99"/>
    <w:rsid w:val="00853DE1"/>
    <w:rPr>
      <w:rFonts w:cs="Times New Roman"/>
    </w:rPr>
  </w:style>
  <w:style w:type="paragraph" w:styleId="Pidipagina">
    <w:name w:val="footer"/>
    <w:basedOn w:val="Normale"/>
    <w:link w:val="PidipaginaCarattere"/>
    <w:uiPriority w:val="99"/>
    <w:rsid w:val="00853DE1"/>
    <w:pPr>
      <w:widowControl w:val="0"/>
      <w:tabs>
        <w:tab w:val="center" w:pos="4153"/>
        <w:tab w:val="right" w:pos="8306"/>
      </w:tabs>
    </w:pPr>
    <w:rPr>
      <w:sz w:val="20"/>
      <w:szCs w:val="20"/>
      <w:lang w:val="en-GB" w:eastAsia="en-US"/>
    </w:rPr>
  </w:style>
  <w:style w:type="character" w:customStyle="1" w:styleId="PidipaginaCarattere">
    <w:name w:val="Piè di pagina Carattere"/>
    <w:link w:val="Pidipagina"/>
    <w:uiPriority w:val="99"/>
    <w:locked/>
    <w:rsid w:val="00F44DC4"/>
    <w:rPr>
      <w:rFonts w:cs="Times New Roman"/>
      <w:sz w:val="20"/>
      <w:szCs w:val="20"/>
      <w:lang w:val="en-GB" w:eastAsia="en-US"/>
    </w:rPr>
  </w:style>
  <w:style w:type="paragraph" w:styleId="Rientrocorpodeltesto">
    <w:name w:val="Body Text Indent"/>
    <w:basedOn w:val="Normale"/>
    <w:link w:val="RientrocorpodeltestoCarattere"/>
    <w:uiPriority w:val="99"/>
    <w:rsid w:val="00853DE1"/>
    <w:pPr>
      <w:widowControl w:val="0"/>
      <w:spacing w:line="480" w:lineRule="auto"/>
      <w:ind w:firstLine="708"/>
      <w:jc w:val="both"/>
    </w:pPr>
    <w:rPr>
      <w:sz w:val="20"/>
      <w:szCs w:val="20"/>
      <w:lang w:val="en-GB" w:eastAsia="en-US"/>
    </w:rPr>
  </w:style>
  <w:style w:type="character" w:customStyle="1" w:styleId="RientrocorpodeltestoCarattere">
    <w:name w:val="Rientro corpo del testo Carattere"/>
    <w:link w:val="Rientrocorpodeltesto"/>
    <w:uiPriority w:val="99"/>
    <w:semiHidden/>
    <w:locked/>
    <w:rsid w:val="00F44DC4"/>
    <w:rPr>
      <w:rFonts w:cs="Times New Roman"/>
      <w:sz w:val="20"/>
      <w:szCs w:val="20"/>
      <w:lang w:val="en-GB" w:eastAsia="en-US"/>
    </w:rPr>
  </w:style>
  <w:style w:type="paragraph" w:styleId="Corpotesto">
    <w:name w:val="Body Text"/>
    <w:aliases w:val="Corpo del testo Carattere"/>
    <w:basedOn w:val="Normale"/>
    <w:link w:val="CorpotestoCarattere"/>
    <w:uiPriority w:val="99"/>
    <w:rsid w:val="00853DE1"/>
    <w:pPr>
      <w:spacing w:line="360" w:lineRule="auto"/>
    </w:pPr>
    <w:rPr>
      <w:szCs w:val="20"/>
      <w:lang w:val="en-US" w:eastAsia="en-US"/>
    </w:rPr>
  </w:style>
  <w:style w:type="character" w:customStyle="1" w:styleId="CorpotestoCarattere">
    <w:name w:val="Corpo testo Carattere"/>
    <w:aliases w:val="Corpo del testo Carattere Carattere"/>
    <w:link w:val="Corpotesto"/>
    <w:uiPriority w:val="99"/>
    <w:locked/>
    <w:rsid w:val="00D92995"/>
    <w:rPr>
      <w:rFonts w:cs="Times New Roman"/>
      <w:sz w:val="24"/>
      <w:lang w:val="en-US" w:eastAsia="en-US"/>
    </w:rPr>
  </w:style>
  <w:style w:type="paragraph" w:styleId="Testonotadichiusura">
    <w:name w:val="endnote text"/>
    <w:basedOn w:val="Normale"/>
    <w:link w:val="TestonotadichiusuraCarattere"/>
    <w:uiPriority w:val="99"/>
    <w:semiHidden/>
    <w:rsid w:val="00853DE1"/>
  </w:style>
  <w:style w:type="character" w:customStyle="1" w:styleId="TestonotadichiusuraCarattere">
    <w:name w:val="Testo nota di chiusura Carattere"/>
    <w:link w:val="Testonotadichiusura"/>
    <w:uiPriority w:val="99"/>
    <w:semiHidden/>
    <w:locked/>
    <w:rsid w:val="00F44DC4"/>
    <w:rPr>
      <w:rFonts w:cs="Times New Roman"/>
      <w:sz w:val="20"/>
      <w:szCs w:val="20"/>
      <w:lang w:val="en-GB" w:eastAsia="en-US"/>
    </w:rPr>
  </w:style>
  <w:style w:type="character" w:styleId="Collegamentoipertestuale">
    <w:name w:val="Hyperlink"/>
    <w:uiPriority w:val="99"/>
    <w:rsid w:val="00853DE1"/>
    <w:rPr>
      <w:rFonts w:cs="Times New Roman"/>
      <w:color w:val="993300"/>
      <w:u w:val="single"/>
    </w:rPr>
  </w:style>
  <w:style w:type="paragraph" w:styleId="NormaleWeb">
    <w:name w:val="Normal (Web)"/>
    <w:basedOn w:val="Normale"/>
    <w:uiPriority w:val="99"/>
    <w:rsid w:val="00853DE1"/>
    <w:pPr>
      <w:spacing w:before="100" w:beforeAutospacing="1" w:after="100" w:afterAutospacing="1"/>
    </w:pPr>
  </w:style>
  <w:style w:type="paragraph" w:styleId="Didascalia">
    <w:name w:val="caption"/>
    <w:basedOn w:val="Normale"/>
    <w:next w:val="Normale"/>
    <w:uiPriority w:val="99"/>
    <w:qFormat/>
    <w:rsid w:val="00AD1371"/>
    <w:pPr>
      <w:tabs>
        <w:tab w:val="left" w:pos="3930"/>
      </w:tabs>
      <w:jc w:val="both"/>
    </w:pPr>
    <w:rPr>
      <w:b/>
      <w:bCs/>
      <w:lang w:val="en-GB"/>
    </w:rPr>
  </w:style>
  <w:style w:type="paragraph" w:customStyle="1" w:styleId="testo">
    <w:name w:val="testo"/>
    <w:basedOn w:val="Normale"/>
    <w:uiPriority w:val="99"/>
    <w:rsid w:val="00AD1371"/>
    <w:pPr>
      <w:spacing w:line="360" w:lineRule="auto"/>
      <w:ind w:firstLine="709"/>
      <w:jc w:val="both"/>
    </w:pPr>
    <w:rPr>
      <w:rFonts w:ascii="Garamond" w:hAnsi="Garamond"/>
      <w:sz w:val="28"/>
    </w:rPr>
  </w:style>
  <w:style w:type="paragraph" w:styleId="Testodelblocco">
    <w:name w:val="Block Text"/>
    <w:basedOn w:val="Normale"/>
    <w:uiPriority w:val="99"/>
    <w:rsid w:val="00AD1371"/>
    <w:pPr>
      <w:widowControl w:val="0"/>
      <w:spacing w:after="240"/>
      <w:ind w:left="426" w:right="566"/>
      <w:jc w:val="both"/>
    </w:pPr>
    <w:rPr>
      <w:rFonts w:ascii="Garamond" w:hAnsi="Garamond"/>
      <w:szCs w:val="20"/>
      <w:lang w:val="en-GB" w:eastAsia="en-US"/>
    </w:rPr>
  </w:style>
  <w:style w:type="table" w:styleId="Grigliatabella">
    <w:name w:val="Table Grid"/>
    <w:basedOn w:val="Tabellanormale"/>
    <w:uiPriority w:val="99"/>
    <w:rsid w:val="002D69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uthorgroup">
    <w:name w:val="authorgroup"/>
    <w:basedOn w:val="Normale"/>
    <w:uiPriority w:val="99"/>
    <w:rsid w:val="00602E5F"/>
    <w:pPr>
      <w:spacing w:before="100" w:beforeAutospacing="1" w:after="100" w:afterAutospacing="1"/>
    </w:pPr>
    <w:rPr>
      <w:rFonts w:ascii="Arial" w:eastAsia="Batang" w:hAnsi="Arial" w:cs="Arial"/>
      <w:b/>
      <w:bCs/>
      <w:color w:val="404040"/>
      <w:sz w:val="12"/>
      <w:szCs w:val="12"/>
      <w:lang w:eastAsia="ja-JP"/>
    </w:rPr>
  </w:style>
  <w:style w:type="character" w:styleId="Enfasigrassetto">
    <w:name w:val="Strong"/>
    <w:uiPriority w:val="22"/>
    <w:qFormat/>
    <w:rsid w:val="007D2629"/>
    <w:rPr>
      <w:rFonts w:cs="Times New Roman"/>
      <w:b/>
    </w:rPr>
  </w:style>
  <w:style w:type="character" w:customStyle="1" w:styleId="textbold1">
    <w:name w:val="textbold1"/>
    <w:uiPriority w:val="99"/>
    <w:rsid w:val="00A97A0A"/>
    <w:rPr>
      <w:rFonts w:ascii="Verdana" w:hAnsi="Verdana"/>
      <w:b/>
      <w:sz w:val="9"/>
    </w:rPr>
  </w:style>
  <w:style w:type="character" w:customStyle="1" w:styleId="textsmall1">
    <w:name w:val="textsmall1"/>
    <w:uiPriority w:val="99"/>
    <w:rsid w:val="00A97A0A"/>
    <w:rPr>
      <w:rFonts w:ascii="Verdana" w:hAnsi="Verdana"/>
      <w:sz w:val="9"/>
    </w:rPr>
  </w:style>
  <w:style w:type="character" w:customStyle="1" w:styleId="productmediumclass">
    <w:name w:val="productmediumclass"/>
    <w:uiPriority w:val="99"/>
    <w:rsid w:val="0004360A"/>
    <w:rPr>
      <w:rFonts w:cs="Times New Roman"/>
    </w:rPr>
  </w:style>
  <w:style w:type="character" w:customStyle="1" w:styleId="productlargeclass">
    <w:name w:val="productlargeclass"/>
    <w:uiPriority w:val="99"/>
    <w:rsid w:val="0004360A"/>
    <w:rPr>
      <w:rFonts w:cs="Times New Roman"/>
    </w:rPr>
  </w:style>
  <w:style w:type="paragraph" w:styleId="Testonormale">
    <w:name w:val="Plain Text"/>
    <w:basedOn w:val="Normale"/>
    <w:link w:val="TestonormaleCarattere"/>
    <w:uiPriority w:val="99"/>
    <w:rsid w:val="00587940"/>
    <w:rPr>
      <w:rFonts w:ascii="Courier New" w:hAnsi="Courier New"/>
      <w:sz w:val="20"/>
      <w:szCs w:val="20"/>
      <w:lang w:val="en-GB" w:eastAsia="en-US"/>
    </w:rPr>
  </w:style>
  <w:style w:type="character" w:customStyle="1" w:styleId="TestonormaleCarattere">
    <w:name w:val="Testo normale Carattere"/>
    <w:link w:val="Testonormale"/>
    <w:uiPriority w:val="99"/>
    <w:semiHidden/>
    <w:locked/>
    <w:rsid w:val="00F44DC4"/>
    <w:rPr>
      <w:rFonts w:ascii="Courier New" w:hAnsi="Courier New" w:cs="Courier New"/>
      <w:sz w:val="20"/>
      <w:szCs w:val="20"/>
      <w:lang w:val="en-GB" w:eastAsia="en-US"/>
    </w:rPr>
  </w:style>
  <w:style w:type="character" w:customStyle="1" w:styleId="pct-rti">
    <w:name w:val="pct-rti"/>
    <w:uiPriority w:val="99"/>
    <w:rsid w:val="005B36A6"/>
    <w:rPr>
      <w:rFonts w:cs="Times New Roman"/>
    </w:rPr>
  </w:style>
  <w:style w:type="character" w:styleId="Collegamentovisitato">
    <w:name w:val="FollowedHyperlink"/>
    <w:uiPriority w:val="99"/>
    <w:rsid w:val="000563D9"/>
    <w:rPr>
      <w:rFonts w:cs="Times New Roman"/>
      <w:color w:val="800080"/>
      <w:u w:val="single"/>
    </w:rPr>
  </w:style>
  <w:style w:type="character" w:styleId="Enfasicorsivo">
    <w:name w:val="Emphasis"/>
    <w:uiPriority w:val="20"/>
    <w:qFormat/>
    <w:rsid w:val="0001314E"/>
    <w:rPr>
      <w:rFonts w:cs="Times New Roman"/>
      <w:b/>
    </w:rPr>
  </w:style>
  <w:style w:type="character" w:customStyle="1" w:styleId="article-articlebody">
    <w:name w:val="article-articlebody"/>
    <w:uiPriority w:val="99"/>
    <w:rsid w:val="00BE3F54"/>
    <w:rPr>
      <w:rFonts w:cs="Times New Roman"/>
    </w:rPr>
  </w:style>
  <w:style w:type="paragraph" w:styleId="Testofumetto">
    <w:name w:val="Balloon Text"/>
    <w:basedOn w:val="Normale"/>
    <w:link w:val="TestofumettoCarattere"/>
    <w:uiPriority w:val="99"/>
    <w:rsid w:val="00164024"/>
    <w:rPr>
      <w:rFonts w:ascii="Tahoma" w:hAnsi="Tahoma"/>
      <w:sz w:val="16"/>
      <w:szCs w:val="20"/>
      <w:lang w:val="en-GB" w:eastAsia="en-US"/>
    </w:rPr>
  </w:style>
  <w:style w:type="character" w:customStyle="1" w:styleId="TestofumettoCarattere">
    <w:name w:val="Testo fumetto Carattere"/>
    <w:link w:val="Testofumetto"/>
    <w:uiPriority w:val="99"/>
    <w:locked/>
    <w:rsid w:val="00164024"/>
    <w:rPr>
      <w:rFonts w:ascii="Tahoma" w:hAnsi="Tahoma" w:cs="Times New Roman"/>
      <w:sz w:val="16"/>
      <w:lang w:val="en-GB" w:eastAsia="en-US"/>
    </w:rPr>
  </w:style>
  <w:style w:type="paragraph" w:customStyle="1" w:styleId="Default">
    <w:name w:val="Default"/>
    <w:uiPriority w:val="99"/>
    <w:rsid w:val="007B4121"/>
    <w:pPr>
      <w:autoSpaceDE w:val="0"/>
      <w:autoSpaceDN w:val="0"/>
      <w:adjustRightInd w:val="0"/>
    </w:pPr>
    <w:rPr>
      <w:rFonts w:eastAsia="Batang"/>
      <w:color w:val="000000"/>
      <w:lang w:val="it-IT" w:eastAsia="ja-JP"/>
    </w:rPr>
  </w:style>
  <w:style w:type="character" w:customStyle="1" w:styleId="librepyear">
    <w:name w:val="librep_year"/>
    <w:uiPriority w:val="99"/>
    <w:rsid w:val="00462A48"/>
    <w:rPr>
      <w:rFonts w:cs="Times New Roman"/>
    </w:rPr>
  </w:style>
  <w:style w:type="character" w:customStyle="1" w:styleId="librepsrcj">
    <w:name w:val="librep_srcj"/>
    <w:uiPriority w:val="99"/>
    <w:rsid w:val="00462A48"/>
    <w:rPr>
      <w:rFonts w:cs="Times New Roman"/>
    </w:rPr>
  </w:style>
  <w:style w:type="character" w:customStyle="1" w:styleId="libreptitj1">
    <w:name w:val="librep_titj1"/>
    <w:uiPriority w:val="99"/>
    <w:rsid w:val="00462A48"/>
    <w:rPr>
      <w:b/>
      <w:color w:val="005151"/>
    </w:rPr>
  </w:style>
  <w:style w:type="character" w:customStyle="1" w:styleId="librepvolj1">
    <w:name w:val="librep_volj1"/>
    <w:uiPriority w:val="99"/>
    <w:rsid w:val="00462A48"/>
    <w:rPr>
      <w:b/>
      <w:color w:val="005151"/>
    </w:rPr>
  </w:style>
  <w:style w:type="character" w:customStyle="1" w:styleId="libreppgsj">
    <w:name w:val="librep_pgsj"/>
    <w:uiPriority w:val="99"/>
    <w:rsid w:val="00462A48"/>
    <w:rPr>
      <w:rFonts w:cs="Times New Roman"/>
    </w:rPr>
  </w:style>
  <w:style w:type="character" w:customStyle="1" w:styleId="addmd1">
    <w:name w:val="addmd1"/>
    <w:uiPriority w:val="99"/>
    <w:rsid w:val="00462C13"/>
    <w:rPr>
      <w:rFonts w:ascii="Arial" w:hAnsi="Arial"/>
      <w:sz w:val="20"/>
    </w:rPr>
  </w:style>
  <w:style w:type="character" w:customStyle="1" w:styleId="producttext1">
    <w:name w:val="product_text1"/>
    <w:uiPriority w:val="99"/>
    <w:rsid w:val="007A507C"/>
    <w:rPr>
      <w:rFonts w:ascii="Verdana" w:hAnsi="Verdana"/>
      <w:color w:val="000000"/>
      <w:sz w:val="14"/>
    </w:rPr>
  </w:style>
  <w:style w:type="character" w:customStyle="1" w:styleId="longtext1">
    <w:name w:val="long_text1"/>
    <w:uiPriority w:val="99"/>
    <w:rsid w:val="0057437D"/>
    <w:rPr>
      <w:sz w:val="20"/>
    </w:rPr>
  </w:style>
  <w:style w:type="paragraph" w:styleId="Paragrafoelenco">
    <w:name w:val="List Paragraph"/>
    <w:basedOn w:val="Normale"/>
    <w:uiPriority w:val="34"/>
    <w:qFormat/>
    <w:rsid w:val="0057437D"/>
    <w:pPr>
      <w:ind w:left="708"/>
    </w:pPr>
  </w:style>
  <w:style w:type="paragraph" w:customStyle="1" w:styleId="ecoparagraph">
    <w:name w:val="ecoparagraph"/>
    <w:basedOn w:val="Normale"/>
    <w:uiPriority w:val="99"/>
    <w:rsid w:val="002E57C6"/>
    <w:pPr>
      <w:spacing w:before="100" w:beforeAutospacing="1" w:after="100" w:afterAutospacing="1"/>
      <w:ind w:left="480" w:hanging="480"/>
    </w:pPr>
  </w:style>
  <w:style w:type="character" w:customStyle="1" w:styleId="shorttext1">
    <w:name w:val="short_text1"/>
    <w:uiPriority w:val="99"/>
    <w:rsid w:val="006B70EB"/>
    <w:rPr>
      <w:sz w:val="17"/>
    </w:rPr>
  </w:style>
  <w:style w:type="paragraph" w:customStyle="1" w:styleId="article-heading">
    <w:name w:val="article-heading"/>
    <w:basedOn w:val="Normale"/>
    <w:uiPriority w:val="99"/>
    <w:rsid w:val="004441B7"/>
    <w:pPr>
      <w:spacing w:after="100" w:afterAutospacing="1"/>
    </w:pPr>
  </w:style>
  <w:style w:type="paragraph" w:customStyle="1" w:styleId="citation">
    <w:name w:val="citation"/>
    <w:basedOn w:val="Normale"/>
    <w:uiPriority w:val="99"/>
    <w:rsid w:val="00196BB0"/>
    <w:pPr>
      <w:spacing w:before="100" w:beforeAutospacing="1" w:after="100" w:afterAutospacing="1"/>
    </w:pPr>
  </w:style>
  <w:style w:type="character" w:customStyle="1" w:styleId="TRIC">
    <w:name w:val="TRIC"/>
    <w:uiPriority w:val="99"/>
    <w:semiHidden/>
    <w:rsid w:val="0088582C"/>
    <w:rPr>
      <w:rFonts w:ascii="Verdana" w:hAnsi="Verdana"/>
      <w:color w:val="auto"/>
      <w:sz w:val="20"/>
      <w:u w:val="none"/>
    </w:rPr>
  </w:style>
  <w:style w:type="character" w:customStyle="1" w:styleId="bright">
    <w:name w:val="bright"/>
    <w:uiPriority w:val="99"/>
    <w:rsid w:val="001368CC"/>
    <w:rPr>
      <w:rFonts w:cs="Times New Roman"/>
    </w:rPr>
  </w:style>
  <w:style w:type="character" w:styleId="CitazioneHTML">
    <w:name w:val="HTML Cite"/>
    <w:uiPriority w:val="99"/>
    <w:rsid w:val="00F826AC"/>
    <w:rPr>
      <w:rFonts w:cs="Times New Roman"/>
      <w:i/>
    </w:rPr>
  </w:style>
  <w:style w:type="character" w:customStyle="1" w:styleId="citationyear1">
    <w:name w:val="citation_year1"/>
    <w:uiPriority w:val="99"/>
    <w:rsid w:val="00F826AC"/>
    <w:rPr>
      <w:b/>
    </w:rPr>
  </w:style>
  <w:style w:type="character" w:customStyle="1" w:styleId="citationvolume1">
    <w:name w:val="citation_volume1"/>
    <w:uiPriority w:val="99"/>
    <w:rsid w:val="00F826AC"/>
    <w:rPr>
      <w:i/>
    </w:rPr>
  </w:style>
  <w:style w:type="character" w:customStyle="1" w:styleId="filesize1">
    <w:name w:val="filesize1"/>
    <w:uiPriority w:val="99"/>
    <w:rsid w:val="0069233C"/>
    <w:rPr>
      <w:sz w:val="18"/>
    </w:rPr>
  </w:style>
  <w:style w:type="character" w:customStyle="1" w:styleId="nlmxref-aff">
    <w:name w:val="nlm_xref-aff"/>
    <w:uiPriority w:val="99"/>
    <w:rsid w:val="00831769"/>
    <w:rPr>
      <w:rFonts w:cs="Times New Roman"/>
    </w:rPr>
  </w:style>
  <w:style w:type="character" w:customStyle="1" w:styleId="st">
    <w:name w:val="st"/>
    <w:rsid w:val="005A5769"/>
    <w:rPr>
      <w:rFonts w:cs="Times New Roman"/>
    </w:rPr>
  </w:style>
  <w:style w:type="paragraph" w:styleId="Nessunaspaziatura">
    <w:name w:val="No Spacing"/>
    <w:uiPriority w:val="99"/>
    <w:qFormat/>
    <w:rsid w:val="00D92995"/>
    <w:rPr>
      <w:rFonts w:ascii="Calibri" w:hAnsi="Calibri"/>
      <w:sz w:val="22"/>
      <w:szCs w:val="22"/>
      <w:lang w:val="it-IT" w:eastAsia="en-US"/>
    </w:rPr>
  </w:style>
  <w:style w:type="table" w:customStyle="1" w:styleId="Grigliatabellachiara1">
    <w:name w:val="Griglia tabella chiara1"/>
    <w:uiPriority w:val="99"/>
    <w:rsid w:val="006C7C88"/>
    <w:rPr>
      <w:rFonts w:ascii="Calibri" w:hAnsi="Calibri"/>
      <w:sz w:val="22"/>
      <w:szCs w:val="22"/>
      <w:lang w:val="it-IT"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character" w:customStyle="1" w:styleId="apple-converted-space">
    <w:name w:val="apple-converted-space"/>
    <w:rsid w:val="00011F68"/>
  </w:style>
  <w:style w:type="table" w:customStyle="1" w:styleId="Grigliatabella1">
    <w:name w:val="Griglia tabella1"/>
    <w:basedOn w:val="Tabellanormale"/>
    <w:next w:val="Grigliatabella"/>
    <w:uiPriority w:val="59"/>
    <w:rsid w:val="000E6FED"/>
    <w:rPr>
      <w:rFonts w:ascii="Cambria" w:eastAsia="MS Mincho" w:hAnsi="Cambria"/>
      <w:lang w:val="it-IT"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2">
    <w:name w:val="Griglia tabella2"/>
    <w:basedOn w:val="Tabellanormale"/>
    <w:next w:val="Grigliatabella"/>
    <w:uiPriority w:val="59"/>
    <w:rsid w:val="000E6FED"/>
    <w:rPr>
      <w:rFonts w:ascii="Cambria" w:eastAsia="MS Mincho" w:hAnsi="Cambria"/>
      <w:lang w:val="it-IT"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basedOn w:val="Carpredefinitoparagrafo"/>
    <w:rsid w:val="005E06F4"/>
  </w:style>
  <w:style w:type="character" w:styleId="Rimandocommento">
    <w:name w:val="annotation reference"/>
    <w:basedOn w:val="Carpredefinitoparagrafo"/>
    <w:uiPriority w:val="99"/>
    <w:semiHidden/>
    <w:unhideWhenUsed/>
    <w:rsid w:val="00B04473"/>
    <w:rPr>
      <w:sz w:val="16"/>
      <w:szCs w:val="16"/>
    </w:rPr>
  </w:style>
  <w:style w:type="paragraph" w:styleId="Testocommento">
    <w:name w:val="annotation text"/>
    <w:basedOn w:val="Normale"/>
    <w:link w:val="TestocommentoCarattere"/>
    <w:uiPriority w:val="99"/>
    <w:semiHidden/>
    <w:unhideWhenUsed/>
    <w:rsid w:val="00B04473"/>
  </w:style>
  <w:style w:type="character" w:customStyle="1" w:styleId="TestocommentoCarattere">
    <w:name w:val="Testo commento Carattere"/>
    <w:basedOn w:val="Carpredefinitoparagrafo"/>
    <w:link w:val="Testocommento"/>
    <w:uiPriority w:val="99"/>
    <w:semiHidden/>
    <w:rsid w:val="00B04473"/>
    <w:rPr>
      <w:lang w:eastAsia="en-US"/>
    </w:rPr>
  </w:style>
  <w:style w:type="paragraph" w:styleId="Soggettocommento">
    <w:name w:val="annotation subject"/>
    <w:basedOn w:val="Testocommento"/>
    <w:next w:val="Testocommento"/>
    <w:link w:val="SoggettocommentoCarattere"/>
    <w:uiPriority w:val="99"/>
    <w:semiHidden/>
    <w:unhideWhenUsed/>
    <w:rsid w:val="00B04473"/>
    <w:rPr>
      <w:b/>
      <w:bCs/>
    </w:rPr>
  </w:style>
  <w:style w:type="character" w:customStyle="1" w:styleId="SoggettocommentoCarattere">
    <w:name w:val="Soggetto commento Carattere"/>
    <w:basedOn w:val="TestocommentoCarattere"/>
    <w:link w:val="Soggettocommento"/>
    <w:uiPriority w:val="99"/>
    <w:semiHidden/>
    <w:rsid w:val="00B04473"/>
    <w:rPr>
      <w:b/>
      <w:bCs/>
      <w:lang w:eastAsia="en-US"/>
    </w:rPr>
  </w:style>
  <w:style w:type="character" w:customStyle="1" w:styleId="nlmcontrib">
    <w:name w:val="nlm_contrib"/>
    <w:basedOn w:val="Carpredefinitoparagrafo"/>
    <w:rsid w:val="009646BD"/>
  </w:style>
  <w:style w:type="character" w:customStyle="1" w:styleId="nlmyear">
    <w:name w:val="nlm_year"/>
    <w:basedOn w:val="Carpredefinitoparagrafo"/>
    <w:rsid w:val="009646BD"/>
  </w:style>
  <w:style w:type="character" w:customStyle="1" w:styleId="hlfld-title">
    <w:name w:val="hlfld-title"/>
    <w:basedOn w:val="Carpredefinitoparagrafo"/>
    <w:rsid w:val="00624F45"/>
  </w:style>
  <w:style w:type="character" w:customStyle="1" w:styleId="authorlink">
    <w:name w:val="author_link"/>
    <w:basedOn w:val="Carpredefinitoparagrafo"/>
    <w:rsid w:val="009A2C14"/>
  </w:style>
  <w:style w:type="character" w:customStyle="1" w:styleId="doilink">
    <w:name w:val="doilink"/>
    <w:basedOn w:val="Carpredefinitoparagrafo"/>
    <w:rsid w:val="009A2C14"/>
  </w:style>
  <w:style w:type="table" w:customStyle="1" w:styleId="Elencochiaro-Colore11">
    <w:name w:val="Elenco chiaro - Colore 11"/>
    <w:basedOn w:val="Tabellanormale"/>
    <w:uiPriority w:val="61"/>
    <w:rsid w:val="0029773F"/>
    <w:rPr>
      <w:rFonts w:ascii="Calibri" w:eastAsia="Calibri" w:hAnsi="Calibri"/>
      <w:sz w:val="22"/>
      <w:szCs w:val="22"/>
      <w:lang w:val="it-IT"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Elencochiaro-Colore111">
    <w:name w:val="Elenco chiaro - Colore 111"/>
    <w:basedOn w:val="Tabellanormale"/>
    <w:uiPriority w:val="61"/>
    <w:rsid w:val="0029773F"/>
    <w:rPr>
      <w:rFonts w:ascii="Calibri" w:eastAsia="Calibri" w:hAnsi="Calibri"/>
      <w:sz w:val="22"/>
      <w:szCs w:val="22"/>
      <w:lang w:val="it-IT"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Enfasidelicata">
    <w:name w:val="Subtle Emphasis"/>
    <w:basedOn w:val="Carpredefinitoparagrafo"/>
    <w:uiPriority w:val="19"/>
    <w:qFormat/>
    <w:rsid w:val="00AF782E"/>
    <w:rPr>
      <w:i/>
      <w:iCs/>
      <w:color w:val="404040" w:themeColor="text1" w:themeTint="BF"/>
    </w:rPr>
  </w:style>
  <w:style w:type="character" w:customStyle="1" w:styleId="shorttext">
    <w:name w:val="short_text"/>
    <w:basedOn w:val="Carpredefinitoparagrafo"/>
    <w:rsid w:val="00833720"/>
  </w:style>
  <w:style w:type="paragraph" w:styleId="PreformattatoHTML">
    <w:name w:val="HTML Preformatted"/>
    <w:basedOn w:val="Normale"/>
    <w:link w:val="PreformattatoHTMLCarattere"/>
    <w:uiPriority w:val="99"/>
    <w:semiHidden/>
    <w:unhideWhenUsed/>
    <w:rsid w:val="00D900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PreformattatoHTMLCarattere">
    <w:name w:val="Preformattato HTML Carattere"/>
    <w:basedOn w:val="Carpredefinitoparagrafo"/>
    <w:link w:val="PreformattatoHTML"/>
    <w:uiPriority w:val="99"/>
    <w:semiHidden/>
    <w:rsid w:val="00D9000A"/>
    <w:rPr>
      <w:rFonts w:ascii="Courier New" w:hAnsi="Courier New" w:cs="Courier New"/>
      <w:lang w:val="it-IT" w:eastAsia="it-IT"/>
    </w:rPr>
  </w:style>
  <w:style w:type="paragraph" w:customStyle="1" w:styleId="synonym">
    <w:name w:val="synonym"/>
    <w:basedOn w:val="Normale"/>
    <w:rsid w:val="00C51944"/>
    <w:pPr>
      <w:spacing w:before="100" w:beforeAutospacing="1" w:after="100" w:afterAutospacing="1"/>
    </w:pPr>
  </w:style>
  <w:style w:type="table" w:styleId="Tabellasemplice2">
    <w:name w:val="Table Simple 2"/>
    <w:basedOn w:val="Tabellanormale"/>
    <w:uiPriority w:val="42"/>
    <w:rsid w:val="00727A44"/>
    <w:rPr>
      <w:rFonts w:asciiTheme="minorHAnsi" w:eastAsia="MS Mincho" w:hAnsiTheme="minorHAnsi" w:cstheme="minorBidi"/>
      <w:sz w:val="22"/>
      <w:szCs w:val="22"/>
      <w:lang w:val="en-US"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p1">
    <w:name w:val="p1"/>
    <w:basedOn w:val="Normale"/>
    <w:rsid w:val="00126F83"/>
    <w:rPr>
      <w:rFonts w:ascii="Helvetica" w:eastAsiaTheme="minorHAnsi" w:hAnsi="Helvetica"/>
      <w:sz w:val="12"/>
      <w:szCs w:val="12"/>
    </w:rPr>
  </w:style>
  <w:style w:type="character" w:customStyle="1" w:styleId="s1">
    <w:name w:val="s1"/>
    <w:basedOn w:val="Carpredefinitoparagrafo"/>
    <w:rsid w:val="00126F83"/>
    <w:rPr>
      <w:rFonts w:ascii="Helvetica" w:hAnsi="Helvetica" w:hint="default"/>
      <w:sz w:val="8"/>
      <w:szCs w:val="8"/>
    </w:rPr>
  </w:style>
  <w:style w:type="character" w:customStyle="1" w:styleId="hscoswrapper">
    <w:name w:val="hs_cos_wrapper"/>
    <w:basedOn w:val="Carpredefinitoparagrafo"/>
    <w:rsid w:val="00445B47"/>
  </w:style>
  <w:style w:type="character" w:customStyle="1" w:styleId="authorsname">
    <w:name w:val="authors__name"/>
    <w:basedOn w:val="Carpredefinitoparagrafo"/>
    <w:rsid w:val="006A2873"/>
  </w:style>
  <w:style w:type="character" w:customStyle="1" w:styleId="Menzionenonrisolta1">
    <w:name w:val="Menzione non risolta1"/>
    <w:basedOn w:val="Carpredefinitoparagrafo"/>
    <w:uiPriority w:val="99"/>
    <w:rsid w:val="00F62807"/>
    <w:rPr>
      <w:color w:val="808080"/>
      <w:shd w:val="clear" w:color="auto" w:fill="E6E6E6"/>
    </w:rPr>
  </w:style>
  <w:style w:type="paragraph" w:styleId="Revisione">
    <w:name w:val="Revision"/>
    <w:hidden/>
    <w:uiPriority w:val="99"/>
    <w:semiHidden/>
    <w:rsid w:val="001D08F3"/>
    <w:rPr>
      <w:lang w:val="it-IT" w:eastAsia="it-IT"/>
    </w:rPr>
  </w:style>
  <w:style w:type="table" w:styleId="Tabellasemplice-2">
    <w:name w:val="Plain Table 2"/>
    <w:basedOn w:val="Tabellanormale"/>
    <w:uiPriority w:val="42"/>
    <w:rsid w:val="00C633BC"/>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ellasemplice5">
    <w:name w:val="Plain Table 5"/>
    <w:basedOn w:val="Tabellanormale"/>
    <w:uiPriority w:val="45"/>
    <w:rsid w:val="005C7791"/>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Menzionenonrisolta">
    <w:name w:val="Unresolved Mention"/>
    <w:basedOn w:val="Carpredefinitoparagrafo"/>
    <w:uiPriority w:val="99"/>
    <w:semiHidden/>
    <w:unhideWhenUsed/>
    <w:rsid w:val="000A1D5C"/>
    <w:rPr>
      <w:color w:val="605E5C"/>
      <w:shd w:val="clear" w:color="auto" w:fill="E1DFDD"/>
    </w:rPr>
  </w:style>
  <w:style w:type="character" w:customStyle="1" w:styleId="tlid-translation">
    <w:name w:val="tlid-translation"/>
    <w:basedOn w:val="Carpredefinitoparagrafo"/>
    <w:rsid w:val="004E1FB4"/>
  </w:style>
  <w:style w:type="character" w:styleId="Numeroriga">
    <w:name w:val="line number"/>
    <w:basedOn w:val="Carpredefinitoparagrafo"/>
    <w:uiPriority w:val="99"/>
    <w:semiHidden/>
    <w:unhideWhenUsed/>
    <w:rsid w:val="007711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37321">
      <w:bodyDiv w:val="1"/>
      <w:marLeft w:val="0"/>
      <w:marRight w:val="0"/>
      <w:marTop w:val="0"/>
      <w:marBottom w:val="0"/>
      <w:divBdr>
        <w:top w:val="none" w:sz="0" w:space="0" w:color="auto"/>
        <w:left w:val="none" w:sz="0" w:space="0" w:color="auto"/>
        <w:bottom w:val="none" w:sz="0" w:space="0" w:color="auto"/>
        <w:right w:val="none" w:sz="0" w:space="0" w:color="auto"/>
      </w:divBdr>
      <w:divsChild>
        <w:div w:id="553547557">
          <w:marLeft w:val="0"/>
          <w:marRight w:val="0"/>
          <w:marTop w:val="0"/>
          <w:marBottom w:val="0"/>
          <w:divBdr>
            <w:top w:val="none" w:sz="0" w:space="0" w:color="auto"/>
            <w:left w:val="none" w:sz="0" w:space="0" w:color="auto"/>
            <w:bottom w:val="none" w:sz="0" w:space="0" w:color="auto"/>
            <w:right w:val="none" w:sz="0" w:space="0" w:color="auto"/>
          </w:divBdr>
        </w:div>
      </w:divsChild>
    </w:div>
    <w:div w:id="79449628">
      <w:bodyDiv w:val="1"/>
      <w:marLeft w:val="0"/>
      <w:marRight w:val="0"/>
      <w:marTop w:val="0"/>
      <w:marBottom w:val="0"/>
      <w:divBdr>
        <w:top w:val="none" w:sz="0" w:space="0" w:color="auto"/>
        <w:left w:val="none" w:sz="0" w:space="0" w:color="auto"/>
        <w:bottom w:val="none" w:sz="0" w:space="0" w:color="auto"/>
        <w:right w:val="none" w:sz="0" w:space="0" w:color="auto"/>
      </w:divBdr>
    </w:div>
    <w:div w:id="87359586">
      <w:bodyDiv w:val="1"/>
      <w:marLeft w:val="0"/>
      <w:marRight w:val="0"/>
      <w:marTop w:val="0"/>
      <w:marBottom w:val="0"/>
      <w:divBdr>
        <w:top w:val="none" w:sz="0" w:space="0" w:color="auto"/>
        <w:left w:val="none" w:sz="0" w:space="0" w:color="auto"/>
        <w:bottom w:val="none" w:sz="0" w:space="0" w:color="auto"/>
        <w:right w:val="none" w:sz="0" w:space="0" w:color="auto"/>
      </w:divBdr>
    </w:div>
    <w:div w:id="93718409">
      <w:bodyDiv w:val="1"/>
      <w:marLeft w:val="0"/>
      <w:marRight w:val="0"/>
      <w:marTop w:val="0"/>
      <w:marBottom w:val="0"/>
      <w:divBdr>
        <w:top w:val="none" w:sz="0" w:space="0" w:color="auto"/>
        <w:left w:val="none" w:sz="0" w:space="0" w:color="auto"/>
        <w:bottom w:val="none" w:sz="0" w:space="0" w:color="auto"/>
        <w:right w:val="none" w:sz="0" w:space="0" w:color="auto"/>
      </w:divBdr>
    </w:div>
    <w:div w:id="96298488">
      <w:bodyDiv w:val="1"/>
      <w:marLeft w:val="0"/>
      <w:marRight w:val="0"/>
      <w:marTop w:val="0"/>
      <w:marBottom w:val="0"/>
      <w:divBdr>
        <w:top w:val="none" w:sz="0" w:space="0" w:color="auto"/>
        <w:left w:val="none" w:sz="0" w:space="0" w:color="auto"/>
        <w:bottom w:val="none" w:sz="0" w:space="0" w:color="auto"/>
        <w:right w:val="none" w:sz="0" w:space="0" w:color="auto"/>
      </w:divBdr>
      <w:divsChild>
        <w:div w:id="1567108676">
          <w:marLeft w:val="0"/>
          <w:marRight w:val="0"/>
          <w:marTop w:val="0"/>
          <w:marBottom w:val="0"/>
          <w:divBdr>
            <w:top w:val="none" w:sz="0" w:space="0" w:color="auto"/>
            <w:left w:val="none" w:sz="0" w:space="0" w:color="auto"/>
            <w:bottom w:val="none" w:sz="0" w:space="0" w:color="auto"/>
            <w:right w:val="none" w:sz="0" w:space="0" w:color="auto"/>
          </w:divBdr>
          <w:divsChild>
            <w:div w:id="940912916">
              <w:marLeft w:val="0"/>
              <w:marRight w:val="0"/>
              <w:marTop w:val="0"/>
              <w:marBottom w:val="0"/>
              <w:divBdr>
                <w:top w:val="none" w:sz="0" w:space="0" w:color="auto"/>
                <w:left w:val="none" w:sz="0" w:space="0" w:color="auto"/>
                <w:bottom w:val="none" w:sz="0" w:space="0" w:color="auto"/>
                <w:right w:val="none" w:sz="0" w:space="0" w:color="auto"/>
              </w:divBdr>
              <w:divsChild>
                <w:div w:id="1775128416">
                  <w:marLeft w:val="0"/>
                  <w:marRight w:val="0"/>
                  <w:marTop w:val="0"/>
                  <w:marBottom w:val="0"/>
                  <w:divBdr>
                    <w:top w:val="none" w:sz="0" w:space="0" w:color="auto"/>
                    <w:left w:val="none" w:sz="0" w:space="0" w:color="auto"/>
                    <w:bottom w:val="none" w:sz="0" w:space="0" w:color="auto"/>
                    <w:right w:val="none" w:sz="0" w:space="0" w:color="auto"/>
                  </w:divBdr>
                  <w:divsChild>
                    <w:div w:id="116497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403850">
      <w:bodyDiv w:val="1"/>
      <w:marLeft w:val="0"/>
      <w:marRight w:val="0"/>
      <w:marTop w:val="0"/>
      <w:marBottom w:val="0"/>
      <w:divBdr>
        <w:top w:val="none" w:sz="0" w:space="0" w:color="auto"/>
        <w:left w:val="none" w:sz="0" w:space="0" w:color="auto"/>
        <w:bottom w:val="none" w:sz="0" w:space="0" w:color="auto"/>
        <w:right w:val="none" w:sz="0" w:space="0" w:color="auto"/>
      </w:divBdr>
    </w:div>
    <w:div w:id="113838878">
      <w:bodyDiv w:val="1"/>
      <w:marLeft w:val="0"/>
      <w:marRight w:val="0"/>
      <w:marTop w:val="0"/>
      <w:marBottom w:val="0"/>
      <w:divBdr>
        <w:top w:val="none" w:sz="0" w:space="0" w:color="auto"/>
        <w:left w:val="none" w:sz="0" w:space="0" w:color="auto"/>
        <w:bottom w:val="none" w:sz="0" w:space="0" w:color="auto"/>
        <w:right w:val="none" w:sz="0" w:space="0" w:color="auto"/>
      </w:divBdr>
    </w:div>
    <w:div w:id="150565866">
      <w:bodyDiv w:val="1"/>
      <w:marLeft w:val="0"/>
      <w:marRight w:val="0"/>
      <w:marTop w:val="0"/>
      <w:marBottom w:val="0"/>
      <w:divBdr>
        <w:top w:val="none" w:sz="0" w:space="0" w:color="auto"/>
        <w:left w:val="none" w:sz="0" w:space="0" w:color="auto"/>
        <w:bottom w:val="none" w:sz="0" w:space="0" w:color="auto"/>
        <w:right w:val="none" w:sz="0" w:space="0" w:color="auto"/>
      </w:divBdr>
    </w:div>
    <w:div w:id="154152446">
      <w:bodyDiv w:val="1"/>
      <w:marLeft w:val="0"/>
      <w:marRight w:val="0"/>
      <w:marTop w:val="0"/>
      <w:marBottom w:val="0"/>
      <w:divBdr>
        <w:top w:val="none" w:sz="0" w:space="0" w:color="auto"/>
        <w:left w:val="none" w:sz="0" w:space="0" w:color="auto"/>
        <w:bottom w:val="none" w:sz="0" w:space="0" w:color="auto"/>
        <w:right w:val="none" w:sz="0" w:space="0" w:color="auto"/>
      </w:divBdr>
    </w:div>
    <w:div w:id="162208099">
      <w:bodyDiv w:val="1"/>
      <w:marLeft w:val="0"/>
      <w:marRight w:val="0"/>
      <w:marTop w:val="0"/>
      <w:marBottom w:val="0"/>
      <w:divBdr>
        <w:top w:val="none" w:sz="0" w:space="0" w:color="auto"/>
        <w:left w:val="none" w:sz="0" w:space="0" w:color="auto"/>
        <w:bottom w:val="none" w:sz="0" w:space="0" w:color="auto"/>
        <w:right w:val="none" w:sz="0" w:space="0" w:color="auto"/>
      </w:divBdr>
      <w:divsChild>
        <w:div w:id="36123705">
          <w:marLeft w:val="0"/>
          <w:marRight w:val="0"/>
          <w:marTop w:val="0"/>
          <w:marBottom w:val="0"/>
          <w:divBdr>
            <w:top w:val="none" w:sz="0" w:space="0" w:color="auto"/>
            <w:left w:val="none" w:sz="0" w:space="0" w:color="auto"/>
            <w:bottom w:val="none" w:sz="0" w:space="0" w:color="auto"/>
            <w:right w:val="none" w:sz="0" w:space="0" w:color="auto"/>
          </w:divBdr>
          <w:divsChild>
            <w:div w:id="986518973">
              <w:marLeft w:val="0"/>
              <w:marRight w:val="0"/>
              <w:marTop w:val="0"/>
              <w:marBottom w:val="0"/>
              <w:divBdr>
                <w:top w:val="none" w:sz="0" w:space="0" w:color="auto"/>
                <w:left w:val="none" w:sz="0" w:space="0" w:color="auto"/>
                <w:bottom w:val="none" w:sz="0" w:space="0" w:color="auto"/>
                <w:right w:val="none" w:sz="0" w:space="0" w:color="auto"/>
              </w:divBdr>
              <w:divsChild>
                <w:div w:id="443351485">
                  <w:marLeft w:val="0"/>
                  <w:marRight w:val="0"/>
                  <w:marTop w:val="0"/>
                  <w:marBottom w:val="0"/>
                  <w:divBdr>
                    <w:top w:val="none" w:sz="0" w:space="0" w:color="auto"/>
                    <w:left w:val="none" w:sz="0" w:space="0" w:color="auto"/>
                    <w:bottom w:val="none" w:sz="0" w:space="0" w:color="auto"/>
                    <w:right w:val="none" w:sz="0" w:space="0" w:color="auto"/>
                  </w:divBdr>
                  <w:divsChild>
                    <w:div w:id="98894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876326">
      <w:bodyDiv w:val="1"/>
      <w:marLeft w:val="0"/>
      <w:marRight w:val="0"/>
      <w:marTop w:val="0"/>
      <w:marBottom w:val="0"/>
      <w:divBdr>
        <w:top w:val="none" w:sz="0" w:space="0" w:color="auto"/>
        <w:left w:val="none" w:sz="0" w:space="0" w:color="auto"/>
        <w:bottom w:val="none" w:sz="0" w:space="0" w:color="auto"/>
        <w:right w:val="none" w:sz="0" w:space="0" w:color="auto"/>
      </w:divBdr>
    </w:div>
    <w:div w:id="199560471">
      <w:marLeft w:val="0"/>
      <w:marRight w:val="0"/>
      <w:marTop w:val="0"/>
      <w:marBottom w:val="0"/>
      <w:divBdr>
        <w:top w:val="none" w:sz="0" w:space="0" w:color="auto"/>
        <w:left w:val="none" w:sz="0" w:space="0" w:color="auto"/>
        <w:bottom w:val="none" w:sz="0" w:space="0" w:color="auto"/>
        <w:right w:val="none" w:sz="0" w:space="0" w:color="auto"/>
      </w:divBdr>
      <w:divsChild>
        <w:div w:id="199560498">
          <w:marLeft w:val="0"/>
          <w:marRight w:val="0"/>
          <w:marTop w:val="0"/>
          <w:marBottom w:val="0"/>
          <w:divBdr>
            <w:top w:val="none" w:sz="0" w:space="0" w:color="auto"/>
            <w:left w:val="none" w:sz="0" w:space="0" w:color="auto"/>
            <w:bottom w:val="none" w:sz="0" w:space="0" w:color="auto"/>
            <w:right w:val="none" w:sz="0" w:space="0" w:color="auto"/>
          </w:divBdr>
          <w:divsChild>
            <w:div w:id="199560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60472">
      <w:marLeft w:val="0"/>
      <w:marRight w:val="0"/>
      <w:marTop w:val="0"/>
      <w:marBottom w:val="0"/>
      <w:divBdr>
        <w:top w:val="none" w:sz="0" w:space="0" w:color="auto"/>
        <w:left w:val="none" w:sz="0" w:space="0" w:color="auto"/>
        <w:bottom w:val="none" w:sz="0" w:space="0" w:color="auto"/>
        <w:right w:val="none" w:sz="0" w:space="0" w:color="auto"/>
      </w:divBdr>
      <w:divsChild>
        <w:div w:id="199560554">
          <w:marLeft w:val="547"/>
          <w:marRight w:val="0"/>
          <w:marTop w:val="134"/>
          <w:marBottom w:val="0"/>
          <w:divBdr>
            <w:top w:val="none" w:sz="0" w:space="0" w:color="auto"/>
            <w:left w:val="none" w:sz="0" w:space="0" w:color="auto"/>
            <w:bottom w:val="none" w:sz="0" w:space="0" w:color="auto"/>
            <w:right w:val="none" w:sz="0" w:space="0" w:color="auto"/>
          </w:divBdr>
        </w:div>
      </w:divsChild>
    </w:div>
    <w:div w:id="199560475">
      <w:marLeft w:val="0"/>
      <w:marRight w:val="0"/>
      <w:marTop w:val="0"/>
      <w:marBottom w:val="0"/>
      <w:divBdr>
        <w:top w:val="none" w:sz="0" w:space="0" w:color="auto"/>
        <w:left w:val="none" w:sz="0" w:space="0" w:color="auto"/>
        <w:bottom w:val="none" w:sz="0" w:space="0" w:color="auto"/>
        <w:right w:val="none" w:sz="0" w:space="0" w:color="auto"/>
      </w:divBdr>
    </w:div>
    <w:div w:id="199560480">
      <w:marLeft w:val="0"/>
      <w:marRight w:val="0"/>
      <w:marTop w:val="0"/>
      <w:marBottom w:val="0"/>
      <w:divBdr>
        <w:top w:val="none" w:sz="0" w:space="0" w:color="auto"/>
        <w:left w:val="none" w:sz="0" w:space="0" w:color="auto"/>
        <w:bottom w:val="none" w:sz="0" w:space="0" w:color="auto"/>
        <w:right w:val="none" w:sz="0" w:space="0" w:color="auto"/>
      </w:divBdr>
    </w:div>
    <w:div w:id="199560482">
      <w:marLeft w:val="0"/>
      <w:marRight w:val="0"/>
      <w:marTop w:val="0"/>
      <w:marBottom w:val="0"/>
      <w:divBdr>
        <w:top w:val="none" w:sz="0" w:space="0" w:color="auto"/>
        <w:left w:val="none" w:sz="0" w:space="0" w:color="auto"/>
        <w:bottom w:val="none" w:sz="0" w:space="0" w:color="auto"/>
        <w:right w:val="none" w:sz="0" w:space="0" w:color="auto"/>
      </w:divBdr>
      <w:divsChild>
        <w:div w:id="199560606">
          <w:marLeft w:val="0"/>
          <w:marRight w:val="0"/>
          <w:marTop w:val="0"/>
          <w:marBottom w:val="0"/>
          <w:divBdr>
            <w:top w:val="none" w:sz="0" w:space="0" w:color="auto"/>
            <w:left w:val="none" w:sz="0" w:space="0" w:color="auto"/>
            <w:bottom w:val="none" w:sz="0" w:space="0" w:color="auto"/>
            <w:right w:val="none" w:sz="0" w:space="0" w:color="auto"/>
          </w:divBdr>
          <w:divsChild>
            <w:div w:id="199560698">
              <w:marLeft w:val="0"/>
              <w:marRight w:val="0"/>
              <w:marTop w:val="0"/>
              <w:marBottom w:val="0"/>
              <w:divBdr>
                <w:top w:val="none" w:sz="0" w:space="0" w:color="auto"/>
                <w:left w:val="none" w:sz="0" w:space="0" w:color="auto"/>
                <w:bottom w:val="none" w:sz="0" w:space="0" w:color="auto"/>
                <w:right w:val="none" w:sz="0" w:space="0" w:color="auto"/>
              </w:divBdr>
              <w:divsChild>
                <w:div w:id="199560529">
                  <w:marLeft w:val="0"/>
                  <w:marRight w:val="0"/>
                  <w:marTop w:val="0"/>
                  <w:marBottom w:val="0"/>
                  <w:divBdr>
                    <w:top w:val="none" w:sz="0" w:space="0" w:color="auto"/>
                    <w:left w:val="none" w:sz="0" w:space="0" w:color="auto"/>
                    <w:bottom w:val="none" w:sz="0" w:space="0" w:color="auto"/>
                    <w:right w:val="none" w:sz="0" w:space="0" w:color="auto"/>
                  </w:divBdr>
                  <w:divsChild>
                    <w:div w:id="199560505">
                      <w:marLeft w:val="0"/>
                      <w:marRight w:val="0"/>
                      <w:marTop w:val="0"/>
                      <w:marBottom w:val="0"/>
                      <w:divBdr>
                        <w:top w:val="none" w:sz="0" w:space="0" w:color="auto"/>
                        <w:left w:val="none" w:sz="0" w:space="0" w:color="auto"/>
                        <w:bottom w:val="none" w:sz="0" w:space="0" w:color="auto"/>
                        <w:right w:val="none" w:sz="0" w:space="0" w:color="auto"/>
                      </w:divBdr>
                      <w:divsChild>
                        <w:div w:id="199560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560489">
      <w:marLeft w:val="0"/>
      <w:marRight w:val="0"/>
      <w:marTop w:val="0"/>
      <w:marBottom w:val="0"/>
      <w:divBdr>
        <w:top w:val="none" w:sz="0" w:space="0" w:color="auto"/>
        <w:left w:val="none" w:sz="0" w:space="0" w:color="auto"/>
        <w:bottom w:val="none" w:sz="0" w:space="0" w:color="auto"/>
        <w:right w:val="none" w:sz="0" w:space="0" w:color="auto"/>
      </w:divBdr>
      <w:divsChild>
        <w:div w:id="199560686">
          <w:marLeft w:val="0"/>
          <w:marRight w:val="0"/>
          <w:marTop w:val="0"/>
          <w:marBottom w:val="0"/>
          <w:divBdr>
            <w:top w:val="none" w:sz="0" w:space="0" w:color="auto"/>
            <w:left w:val="none" w:sz="0" w:space="0" w:color="auto"/>
            <w:bottom w:val="none" w:sz="0" w:space="0" w:color="auto"/>
            <w:right w:val="none" w:sz="0" w:space="0" w:color="auto"/>
          </w:divBdr>
          <w:divsChild>
            <w:div w:id="199560523">
              <w:marLeft w:val="0"/>
              <w:marRight w:val="0"/>
              <w:marTop w:val="36"/>
              <w:marBottom w:val="72"/>
              <w:divBdr>
                <w:top w:val="none" w:sz="0" w:space="0" w:color="auto"/>
                <w:left w:val="none" w:sz="0" w:space="0" w:color="auto"/>
                <w:bottom w:val="none" w:sz="0" w:space="0" w:color="auto"/>
                <w:right w:val="none" w:sz="0" w:space="0" w:color="auto"/>
              </w:divBdr>
            </w:div>
            <w:div w:id="19956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60495">
      <w:marLeft w:val="0"/>
      <w:marRight w:val="0"/>
      <w:marTop w:val="0"/>
      <w:marBottom w:val="0"/>
      <w:divBdr>
        <w:top w:val="none" w:sz="0" w:space="0" w:color="auto"/>
        <w:left w:val="none" w:sz="0" w:space="0" w:color="auto"/>
        <w:bottom w:val="none" w:sz="0" w:space="0" w:color="auto"/>
        <w:right w:val="none" w:sz="0" w:space="0" w:color="auto"/>
      </w:divBdr>
      <w:divsChild>
        <w:div w:id="199560493">
          <w:marLeft w:val="0"/>
          <w:marRight w:val="0"/>
          <w:marTop w:val="0"/>
          <w:marBottom w:val="0"/>
          <w:divBdr>
            <w:top w:val="none" w:sz="0" w:space="0" w:color="auto"/>
            <w:left w:val="none" w:sz="0" w:space="0" w:color="auto"/>
            <w:bottom w:val="none" w:sz="0" w:space="0" w:color="auto"/>
            <w:right w:val="none" w:sz="0" w:space="0" w:color="auto"/>
          </w:divBdr>
          <w:divsChild>
            <w:div w:id="199560513">
              <w:marLeft w:val="0"/>
              <w:marRight w:val="0"/>
              <w:marTop w:val="0"/>
              <w:marBottom w:val="0"/>
              <w:divBdr>
                <w:top w:val="none" w:sz="0" w:space="0" w:color="auto"/>
                <w:left w:val="none" w:sz="0" w:space="0" w:color="auto"/>
                <w:bottom w:val="none" w:sz="0" w:space="0" w:color="auto"/>
                <w:right w:val="none" w:sz="0" w:space="0" w:color="auto"/>
              </w:divBdr>
              <w:divsChild>
                <w:div w:id="199560637">
                  <w:marLeft w:val="0"/>
                  <w:marRight w:val="0"/>
                  <w:marTop w:val="0"/>
                  <w:marBottom w:val="0"/>
                  <w:divBdr>
                    <w:top w:val="none" w:sz="0" w:space="0" w:color="auto"/>
                    <w:left w:val="none" w:sz="0" w:space="0" w:color="auto"/>
                    <w:bottom w:val="none" w:sz="0" w:space="0" w:color="auto"/>
                    <w:right w:val="none" w:sz="0" w:space="0" w:color="auto"/>
                  </w:divBdr>
                  <w:divsChild>
                    <w:div w:id="199560641">
                      <w:marLeft w:val="0"/>
                      <w:marRight w:val="0"/>
                      <w:marTop w:val="0"/>
                      <w:marBottom w:val="0"/>
                      <w:divBdr>
                        <w:top w:val="none" w:sz="0" w:space="0" w:color="auto"/>
                        <w:left w:val="none" w:sz="0" w:space="0" w:color="auto"/>
                        <w:bottom w:val="none" w:sz="0" w:space="0" w:color="auto"/>
                        <w:right w:val="none" w:sz="0" w:space="0" w:color="auto"/>
                      </w:divBdr>
                      <w:divsChild>
                        <w:div w:id="199560562">
                          <w:marLeft w:val="0"/>
                          <w:marRight w:val="0"/>
                          <w:marTop w:val="0"/>
                          <w:marBottom w:val="0"/>
                          <w:divBdr>
                            <w:top w:val="none" w:sz="0" w:space="0" w:color="auto"/>
                            <w:left w:val="none" w:sz="0" w:space="0" w:color="auto"/>
                            <w:bottom w:val="none" w:sz="0" w:space="0" w:color="auto"/>
                            <w:right w:val="none" w:sz="0" w:space="0" w:color="auto"/>
                          </w:divBdr>
                        </w:div>
                        <w:div w:id="19956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560499">
      <w:marLeft w:val="0"/>
      <w:marRight w:val="0"/>
      <w:marTop w:val="0"/>
      <w:marBottom w:val="0"/>
      <w:divBdr>
        <w:top w:val="none" w:sz="0" w:space="0" w:color="auto"/>
        <w:left w:val="none" w:sz="0" w:space="0" w:color="auto"/>
        <w:bottom w:val="none" w:sz="0" w:space="0" w:color="auto"/>
        <w:right w:val="none" w:sz="0" w:space="0" w:color="auto"/>
      </w:divBdr>
      <w:divsChild>
        <w:div w:id="199560707">
          <w:marLeft w:val="0"/>
          <w:marRight w:val="0"/>
          <w:marTop w:val="197"/>
          <w:marBottom w:val="395"/>
          <w:divBdr>
            <w:top w:val="none" w:sz="0" w:space="0" w:color="auto"/>
            <w:left w:val="none" w:sz="0" w:space="0" w:color="auto"/>
            <w:bottom w:val="none" w:sz="0" w:space="0" w:color="auto"/>
            <w:right w:val="none" w:sz="0" w:space="0" w:color="auto"/>
          </w:divBdr>
          <w:divsChild>
            <w:div w:id="199560613">
              <w:marLeft w:val="0"/>
              <w:marRight w:val="0"/>
              <w:marTop w:val="0"/>
              <w:marBottom w:val="138"/>
              <w:divBdr>
                <w:top w:val="none" w:sz="0" w:space="0" w:color="auto"/>
                <w:left w:val="none" w:sz="0" w:space="0" w:color="auto"/>
                <w:bottom w:val="none" w:sz="0" w:space="0" w:color="auto"/>
                <w:right w:val="none" w:sz="0" w:space="0" w:color="auto"/>
              </w:divBdr>
              <w:divsChild>
                <w:div w:id="199560666">
                  <w:marLeft w:val="99"/>
                  <w:marRight w:val="0"/>
                  <w:marTop w:val="0"/>
                  <w:marBottom w:val="395"/>
                  <w:divBdr>
                    <w:top w:val="single" w:sz="8" w:space="0" w:color="B6B6E1"/>
                    <w:left w:val="single" w:sz="8" w:space="0" w:color="B6B6E1"/>
                    <w:bottom w:val="single" w:sz="8" w:space="0" w:color="B6B6E1"/>
                    <w:right w:val="single" w:sz="8" w:space="0" w:color="B6B6E1"/>
                  </w:divBdr>
                  <w:divsChild>
                    <w:div w:id="199560517">
                      <w:marLeft w:val="197"/>
                      <w:marRight w:val="0"/>
                      <w:marTop w:val="0"/>
                      <w:marBottom w:val="0"/>
                      <w:divBdr>
                        <w:top w:val="none" w:sz="0" w:space="0" w:color="auto"/>
                        <w:left w:val="none" w:sz="0" w:space="0" w:color="auto"/>
                        <w:bottom w:val="none" w:sz="0" w:space="0" w:color="auto"/>
                        <w:right w:val="none" w:sz="0" w:space="0" w:color="auto"/>
                      </w:divBdr>
                      <w:divsChild>
                        <w:div w:id="199560491">
                          <w:marLeft w:val="197"/>
                          <w:marRight w:val="0"/>
                          <w:marTop w:val="0"/>
                          <w:marBottom w:val="296"/>
                          <w:divBdr>
                            <w:top w:val="none" w:sz="0" w:space="0" w:color="auto"/>
                            <w:left w:val="none" w:sz="0" w:space="0" w:color="auto"/>
                            <w:bottom w:val="none" w:sz="0" w:space="0" w:color="auto"/>
                            <w:right w:val="none" w:sz="0" w:space="0" w:color="auto"/>
                          </w:divBdr>
                        </w:div>
                        <w:div w:id="199560525">
                          <w:marLeft w:val="0"/>
                          <w:marRight w:val="0"/>
                          <w:marTop w:val="0"/>
                          <w:marBottom w:val="0"/>
                          <w:divBdr>
                            <w:top w:val="none" w:sz="0" w:space="0" w:color="auto"/>
                            <w:left w:val="none" w:sz="0" w:space="0" w:color="auto"/>
                            <w:bottom w:val="none" w:sz="0" w:space="0" w:color="auto"/>
                            <w:right w:val="none" w:sz="0" w:space="0" w:color="auto"/>
                          </w:divBdr>
                          <w:divsChild>
                            <w:div w:id="199560486">
                              <w:marLeft w:val="0"/>
                              <w:marRight w:val="0"/>
                              <w:marTop w:val="0"/>
                              <w:marBottom w:val="0"/>
                              <w:divBdr>
                                <w:top w:val="none" w:sz="0" w:space="0" w:color="auto"/>
                                <w:left w:val="none" w:sz="0" w:space="0" w:color="auto"/>
                                <w:bottom w:val="none" w:sz="0" w:space="0" w:color="auto"/>
                                <w:right w:val="none" w:sz="0" w:space="0" w:color="auto"/>
                              </w:divBdr>
                            </w:div>
                            <w:div w:id="199560508">
                              <w:marLeft w:val="0"/>
                              <w:marRight w:val="0"/>
                              <w:marTop w:val="0"/>
                              <w:marBottom w:val="0"/>
                              <w:divBdr>
                                <w:top w:val="none" w:sz="0" w:space="0" w:color="auto"/>
                                <w:left w:val="none" w:sz="0" w:space="0" w:color="auto"/>
                                <w:bottom w:val="none" w:sz="0" w:space="0" w:color="auto"/>
                                <w:right w:val="none" w:sz="0" w:space="0" w:color="auto"/>
                              </w:divBdr>
                            </w:div>
                            <w:div w:id="199560552">
                              <w:marLeft w:val="0"/>
                              <w:marRight w:val="0"/>
                              <w:marTop w:val="197"/>
                              <w:marBottom w:val="0"/>
                              <w:divBdr>
                                <w:top w:val="none" w:sz="0" w:space="0" w:color="auto"/>
                                <w:left w:val="none" w:sz="0" w:space="0" w:color="auto"/>
                                <w:bottom w:val="none" w:sz="0" w:space="0" w:color="auto"/>
                                <w:right w:val="none" w:sz="0" w:space="0" w:color="auto"/>
                              </w:divBdr>
                            </w:div>
                            <w:div w:id="199560645">
                              <w:marLeft w:val="0"/>
                              <w:marRight w:val="0"/>
                              <w:marTop w:val="0"/>
                              <w:marBottom w:val="0"/>
                              <w:divBdr>
                                <w:top w:val="none" w:sz="0" w:space="0" w:color="auto"/>
                                <w:left w:val="none" w:sz="0" w:space="0" w:color="auto"/>
                                <w:bottom w:val="none" w:sz="0" w:space="0" w:color="auto"/>
                                <w:right w:val="none" w:sz="0" w:space="0" w:color="auto"/>
                              </w:divBdr>
                            </w:div>
                            <w:div w:id="199560696">
                              <w:marLeft w:val="0"/>
                              <w:marRight w:val="0"/>
                              <w:marTop w:val="0"/>
                              <w:marBottom w:val="0"/>
                              <w:divBdr>
                                <w:top w:val="none" w:sz="0" w:space="0" w:color="auto"/>
                                <w:left w:val="none" w:sz="0" w:space="0" w:color="auto"/>
                                <w:bottom w:val="none" w:sz="0" w:space="0" w:color="auto"/>
                                <w:right w:val="none" w:sz="0" w:space="0" w:color="auto"/>
                              </w:divBdr>
                              <w:divsChild>
                                <w:div w:id="199560483">
                                  <w:marLeft w:val="0"/>
                                  <w:marRight w:val="0"/>
                                  <w:marTop w:val="0"/>
                                  <w:marBottom w:val="0"/>
                                  <w:divBdr>
                                    <w:top w:val="none" w:sz="0" w:space="0" w:color="auto"/>
                                    <w:left w:val="none" w:sz="0" w:space="0" w:color="auto"/>
                                    <w:bottom w:val="none" w:sz="0" w:space="0" w:color="auto"/>
                                    <w:right w:val="none" w:sz="0" w:space="0" w:color="auto"/>
                                  </w:divBdr>
                                </w:div>
                                <w:div w:id="199560605">
                                  <w:marLeft w:val="0"/>
                                  <w:marRight w:val="0"/>
                                  <w:marTop w:val="0"/>
                                  <w:marBottom w:val="0"/>
                                  <w:divBdr>
                                    <w:top w:val="none" w:sz="0" w:space="0" w:color="auto"/>
                                    <w:left w:val="none" w:sz="0" w:space="0" w:color="auto"/>
                                    <w:bottom w:val="none" w:sz="0" w:space="0" w:color="auto"/>
                                    <w:right w:val="none" w:sz="0" w:space="0" w:color="auto"/>
                                  </w:divBdr>
                                </w:div>
                                <w:div w:id="19956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560503">
      <w:marLeft w:val="0"/>
      <w:marRight w:val="0"/>
      <w:marTop w:val="0"/>
      <w:marBottom w:val="0"/>
      <w:divBdr>
        <w:top w:val="none" w:sz="0" w:space="0" w:color="auto"/>
        <w:left w:val="none" w:sz="0" w:space="0" w:color="auto"/>
        <w:bottom w:val="none" w:sz="0" w:space="0" w:color="auto"/>
        <w:right w:val="none" w:sz="0" w:space="0" w:color="auto"/>
      </w:divBdr>
      <w:divsChild>
        <w:div w:id="199560487">
          <w:marLeft w:val="720"/>
          <w:marRight w:val="720"/>
          <w:marTop w:val="100"/>
          <w:marBottom w:val="100"/>
          <w:divBdr>
            <w:top w:val="none" w:sz="0" w:space="0" w:color="auto"/>
            <w:left w:val="none" w:sz="0" w:space="0" w:color="auto"/>
            <w:bottom w:val="none" w:sz="0" w:space="0" w:color="auto"/>
            <w:right w:val="none" w:sz="0" w:space="0" w:color="auto"/>
          </w:divBdr>
        </w:div>
      </w:divsChild>
    </w:div>
    <w:div w:id="199560510">
      <w:marLeft w:val="0"/>
      <w:marRight w:val="0"/>
      <w:marTop w:val="0"/>
      <w:marBottom w:val="0"/>
      <w:divBdr>
        <w:top w:val="none" w:sz="0" w:space="0" w:color="auto"/>
        <w:left w:val="none" w:sz="0" w:space="0" w:color="auto"/>
        <w:bottom w:val="none" w:sz="0" w:space="0" w:color="auto"/>
        <w:right w:val="none" w:sz="0" w:space="0" w:color="auto"/>
      </w:divBdr>
      <w:divsChild>
        <w:div w:id="199560672">
          <w:marLeft w:val="0"/>
          <w:marRight w:val="0"/>
          <w:marTop w:val="0"/>
          <w:marBottom w:val="0"/>
          <w:divBdr>
            <w:top w:val="none" w:sz="0" w:space="0" w:color="auto"/>
            <w:left w:val="none" w:sz="0" w:space="0" w:color="auto"/>
            <w:bottom w:val="none" w:sz="0" w:space="0" w:color="auto"/>
            <w:right w:val="none" w:sz="0" w:space="0" w:color="auto"/>
          </w:divBdr>
          <w:divsChild>
            <w:div w:id="199560621">
              <w:marLeft w:val="0"/>
              <w:marRight w:val="0"/>
              <w:marTop w:val="0"/>
              <w:marBottom w:val="0"/>
              <w:divBdr>
                <w:top w:val="none" w:sz="0" w:space="0" w:color="auto"/>
                <w:left w:val="none" w:sz="0" w:space="0" w:color="auto"/>
                <w:bottom w:val="none" w:sz="0" w:space="0" w:color="auto"/>
                <w:right w:val="none" w:sz="0" w:space="0" w:color="auto"/>
              </w:divBdr>
              <w:divsChild>
                <w:div w:id="199560541">
                  <w:marLeft w:val="2928"/>
                  <w:marRight w:val="0"/>
                  <w:marTop w:val="720"/>
                  <w:marBottom w:val="0"/>
                  <w:divBdr>
                    <w:top w:val="none" w:sz="0" w:space="0" w:color="auto"/>
                    <w:left w:val="none" w:sz="0" w:space="0" w:color="auto"/>
                    <w:bottom w:val="none" w:sz="0" w:space="0" w:color="auto"/>
                    <w:right w:val="none" w:sz="0" w:space="0" w:color="auto"/>
                  </w:divBdr>
                  <w:divsChild>
                    <w:div w:id="19956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560516">
      <w:marLeft w:val="58"/>
      <w:marRight w:val="0"/>
      <w:marTop w:val="0"/>
      <w:marBottom w:val="0"/>
      <w:divBdr>
        <w:top w:val="none" w:sz="0" w:space="0" w:color="auto"/>
        <w:left w:val="none" w:sz="0" w:space="0" w:color="auto"/>
        <w:bottom w:val="none" w:sz="0" w:space="0" w:color="auto"/>
        <w:right w:val="none" w:sz="0" w:space="0" w:color="auto"/>
      </w:divBdr>
      <w:divsChild>
        <w:div w:id="199560695">
          <w:marLeft w:val="0"/>
          <w:marRight w:val="0"/>
          <w:marTop w:val="0"/>
          <w:marBottom w:val="0"/>
          <w:divBdr>
            <w:top w:val="none" w:sz="0" w:space="0" w:color="auto"/>
            <w:left w:val="none" w:sz="0" w:space="0" w:color="auto"/>
            <w:bottom w:val="none" w:sz="0" w:space="0" w:color="auto"/>
            <w:right w:val="none" w:sz="0" w:space="0" w:color="auto"/>
          </w:divBdr>
          <w:divsChild>
            <w:div w:id="199560678">
              <w:marLeft w:val="0"/>
              <w:marRight w:val="0"/>
              <w:marTop w:val="0"/>
              <w:marBottom w:val="0"/>
              <w:divBdr>
                <w:top w:val="none" w:sz="0" w:space="0" w:color="auto"/>
                <w:left w:val="none" w:sz="0" w:space="0" w:color="auto"/>
                <w:bottom w:val="none" w:sz="0" w:space="0" w:color="auto"/>
                <w:right w:val="none" w:sz="0" w:space="0" w:color="auto"/>
              </w:divBdr>
              <w:divsChild>
                <w:div w:id="199560665">
                  <w:marLeft w:val="0"/>
                  <w:marRight w:val="0"/>
                  <w:marTop w:val="0"/>
                  <w:marBottom w:val="0"/>
                  <w:divBdr>
                    <w:top w:val="none" w:sz="0" w:space="0" w:color="auto"/>
                    <w:left w:val="none" w:sz="0" w:space="0" w:color="auto"/>
                    <w:bottom w:val="none" w:sz="0" w:space="0" w:color="auto"/>
                    <w:right w:val="none" w:sz="0" w:space="0" w:color="auto"/>
                  </w:divBdr>
                  <w:divsChild>
                    <w:div w:id="199560497">
                      <w:marLeft w:val="0"/>
                      <w:marRight w:val="0"/>
                      <w:marTop w:val="0"/>
                      <w:marBottom w:val="0"/>
                      <w:divBdr>
                        <w:top w:val="none" w:sz="0" w:space="0" w:color="auto"/>
                        <w:left w:val="none" w:sz="0" w:space="0" w:color="auto"/>
                        <w:bottom w:val="none" w:sz="0" w:space="0" w:color="auto"/>
                        <w:right w:val="none" w:sz="0" w:space="0" w:color="auto"/>
                      </w:divBdr>
                      <w:divsChild>
                        <w:div w:id="19956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560522">
      <w:marLeft w:val="3"/>
      <w:marRight w:val="3"/>
      <w:marTop w:val="0"/>
      <w:marBottom w:val="0"/>
      <w:divBdr>
        <w:top w:val="none" w:sz="0" w:space="0" w:color="auto"/>
        <w:left w:val="none" w:sz="0" w:space="0" w:color="auto"/>
        <w:bottom w:val="none" w:sz="0" w:space="0" w:color="auto"/>
        <w:right w:val="none" w:sz="0" w:space="0" w:color="auto"/>
      </w:divBdr>
      <w:divsChild>
        <w:div w:id="199560616">
          <w:marLeft w:val="0"/>
          <w:marRight w:val="0"/>
          <w:marTop w:val="129"/>
          <w:marBottom w:val="0"/>
          <w:divBdr>
            <w:top w:val="none" w:sz="0" w:space="0" w:color="auto"/>
            <w:left w:val="none" w:sz="0" w:space="0" w:color="auto"/>
            <w:bottom w:val="none" w:sz="0" w:space="0" w:color="auto"/>
            <w:right w:val="none" w:sz="0" w:space="0" w:color="auto"/>
          </w:divBdr>
          <w:divsChild>
            <w:div w:id="199560650">
              <w:marLeft w:val="0"/>
              <w:marRight w:val="0"/>
              <w:marTop w:val="0"/>
              <w:marBottom w:val="0"/>
              <w:divBdr>
                <w:top w:val="none" w:sz="0" w:space="0" w:color="auto"/>
                <w:left w:val="none" w:sz="0" w:space="0" w:color="auto"/>
                <w:bottom w:val="none" w:sz="0" w:space="0" w:color="auto"/>
                <w:right w:val="none" w:sz="0" w:space="0" w:color="auto"/>
              </w:divBdr>
              <w:divsChild>
                <w:div w:id="199560705">
                  <w:marLeft w:val="0"/>
                  <w:marRight w:val="0"/>
                  <w:marTop w:val="0"/>
                  <w:marBottom w:val="0"/>
                  <w:divBdr>
                    <w:top w:val="none" w:sz="0" w:space="0" w:color="auto"/>
                    <w:left w:val="none" w:sz="0" w:space="0" w:color="auto"/>
                    <w:bottom w:val="none" w:sz="0" w:space="0" w:color="auto"/>
                    <w:right w:val="none" w:sz="0" w:space="0" w:color="auto"/>
                  </w:divBdr>
                  <w:divsChild>
                    <w:div w:id="199560644">
                      <w:marLeft w:val="0"/>
                      <w:marRight w:val="0"/>
                      <w:marTop w:val="0"/>
                      <w:marBottom w:val="0"/>
                      <w:divBdr>
                        <w:top w:val="none" w:sz="0" w:space="0" w:color="auto"/>
                        <w:left w:val="none" w:sz="0" w:space="0" w:color="auto"/>
                        <w:bottom w:val="none" w:sz="0" w:space="0" w:color="auto"/>
                        <w:right w:val="none" w:sz="0" w:space="0" w:color="auto"/>
                      </w:divBdr>
                      <w:divsChild>
                        <w:div w:id="19956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560524">
      <w:marLeft w:val="77"/>
      <w:marRight w:val="77"/>
      <w:marTop w:val="29"/>
      <w:marBottom w:val="29"/>
      <w:divBdr>
        <w:top w:val="none" w:sz="0" w:space="0" w:color="auto"/>
        <w:left w:val="none" w:sz="0" w:space="0" w:color="auto"/>
        <w:bottom w:val="none" w:sz="0" w:space="0" w:color="auto"/>
        <w:right w:val="none" w:sz="0" w:space="0" w:color="auto"/>
      </w:divBdr>
      <w:divsChild>
        <w:div w:id="199560502">
          <w:marLeft w:val="0"/>
          <w:marRight w:val="0"/>
          <w:marTop w:val="0"/>
          <w:marBottom w:val="0"/>
          <w:divBdr>
            <w:top w:val="none" w:sz="0" w:space="0" w:color="auto"/>
            <w:left w:val="none" w:sz="0" w:space="0" w:color="auto"/>
            <w:bottom w:val="none" w:sz="0" w:space="0" w:color="auto"/>
            <w:right w:val="none" w:sz="0" w:space="0" w:color="auto"/>
          </w:divBdr>
          <w:divsChild>
            <w:div w:id="199560642">
              <w:marLeft w:val="0"/>
              <w:marRight w:val="0"/>
              <w:marTop w:val="0"/>
              <w:marBottom w:val="0"/>
              <w:divBdr>
                <w:top w:val="none" w:sz="0" w:space="0" w:color="auto"/>
                <w:left w:val="none" w:sz="0" w:space="0" w:color="auto"/>
                <w:bottom w:val="none" w:sz="0" w:space="0" w:color="auto"/>
                <w:right w:val="none" w:sz="0" w:space="0" w:color="auto"/>
              </w:divBdr>
              <w:divsChild>
                <w:div w:id="199560553">
                  <w:marLeft w:val="154"/>
                  <w:marRight w:val="154"/>
                  <w:marTop w:val="0"/>
                  <w:marBottom w:val="0"/>
                  <w:divBdr>
                    <w:top w:val="none" w:sz="0" w:space="0" w:color="auto"/>
                    <w:left w:val="none" w:sz="0" w:space="0" w:color="auto"/>
                    <w:bottom w:val="none" w:sz="0" w:space="0" w:color="auto"/>
                    <w:right w:val="none" w:sz="0" w:space="0" w:color="auto"/>
                  </w:divBdr>
                  <w:divsChild>
                    <w:div w:id="19956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560535">
      <w:marLeft w:val="3"/>
      <w:marRight w:val="3"/>
      <w:marTop w:val="0"/>
      <w:marBottom w:val="0"/>
      <w:divBdr>
        <w:top w:val="none" w:sz="0" w:space="0" w:color="auto"/>
        <w:left w:val="none" w:sz="0" w:space="0" w:color="auto"/>
        <w:bottom w:val="none" w:sz="0" w:space="0" w:color="auto"/>
        <w:right w:val="none" w:sz="0" w:space="0" w:color="auto"/>
      </w:divBdr>
      <w:divsChild>
        <w:div w:id="199560675">
          <w:marLeft w:val="0"/>
          <w:marRight w:val="0"/>
          <w:marTop w:val="132"/>
          <w:marBottom w:val="0"/>
          <w:divBdr>
            <w:top w:val="none" w:sz="0" w:space="0" w:color="auto"/>
            <w:left w:val="none" w:sz="0" w:space="0" w:color="auto"/>
            <w:bottom w:val="none" w:sz="0" w:space="0" w:color="auto"/>
            <w:right w:val="none" w:sz="0" w:space="0" w:color="auto"/>
          </w:divBdr>
          <w:divsChild>
            <w:div w:id="199560561">
              <w:marLeft w:val="0"/>
              <w:marRight w:val="0"/>
              <w:marTop w:val="0"/>
              <w:marBottom w:val="0"/>
              <w:divBdr>
                <w:top w:val="none" w:sz="0" w:space="0" w:color="auto"/>
                <w:left w:val="none" w:sz="0" w:space="0" w:color="auto"/>
                <w:bottom w:val="none" w:sz="0" w:space="0" w:color="auto"/>
                <w:right w:val="none" w:sz="0" w:space="0" w:color="auto"/>
              </w:divBdr>
              <w:divsChild>
                <w:div w:id="199560539">
                  <w:marLeft w:val="0"/>
                  <w:marRight w:val="0"/>
                  <w:marTop w:val="0"/>
                  <w:marBottom w:val="0"/>
                  <w:divBdr>
                    <w:top w:val="none" w:sz="0" w:space="0" w:color="auto"/>
                    <w:left w:val="none" w:sz="0" w:space="0" w:color="auto"/>
                    <w:bottom w:val="none" w:sz="0" w:space="0" w:color="auto"/>
                    <w:right w:val="none" w:sz="0" w:space="0" w:color="auto"/>
                  </w:divBdr>
                  <w:divsChild>
                    <w:div w:id="199560560">
                      <w:marLeft w:val="0"/>
                      <w:marRight w:val="0"/>
                      <w:marTop w:val="0"/>
                      <w:marBottom w:val="0"/>
                      <w:divBdr>
                        <w:top w:val="none" w:sz="0" w:space="0" w:color="auto"/>
                        <w:left w:val="none" w:sz="0" w:space="0" w:color="auto"/>
                        <w:bottom w:val="none" w:sz="0" w:space="0" w:color="auto"/>
                        <w:right w:val="none" w:sz="0" w:space="0" w:color="auto"/>
                      </w:divBdr>
                      <w:divsChild>
                        <w:div w:id="199560469">
                          <w:marLeft w:val="0"/>
                          <w:marRight w:val="0"/>
                          <w:marTop w:val="0"/>
                          <w:marBottom w:val="0"/>
                          <w:divBdr>
                            <w:top w:val="none" w:sz="0" w:space="0" w:color="auto"/>
                            <w:left w:val="none" w:sz="0" w:space="0" w:color="auto"/>
                            <w:bottom w:val="none" w:sz="0" w:space="0" w:color="auto"/>
                            <w:right w:val="none" w:sz="0" w:space="0" w:color="auto"/>
                          </w:divBdr>
                          <w:divsChild>
                            <w:div w:id="199560485">
                              <w:marLeft w:val="1209"/>
                              <w:marRight w:val="0"/>
                              <w:marTop w:val="0"/>
                              <w:marBottom w:val="0"/>
                              <w:divBdr>
                                <w:top w:val="none" w:sz="0" w:space="0" w:color="auto"/>
                                <w:left w:val="none" w:sz="0" w:space="0" w:color="auto"/>
                                <w:bottom w:val="none" w:sz="0" w:space="0" w:color="auto"/>
                                <w:right w:val="none" w:sz="0" w:space="0" w:color="auto"/>
                              </w:divBdr>
                              <w:divsChild>
                                <w:div w:id="19956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560536">
      <w:marLeft w:val="0"/>
      <w:marRight w:val="0"/>
      <w:marTop w:val="0"/>
      <w:marBottom w:val="0"/>
      <w:divBdr>
        <w:top w:val="none" w:sz="0" w:space="0" w:color="auto"/>
        <w:left w:val="none" w:sz="0" w:space="0" w:color="auto"/>
        <w:bottom w:val="none" w:sz="0" w:space="0" w:color="auto"/>
        <w:right w:val="none" w:sz="0" w:space="0" w:color="auto"/>
      </w:divBdr>
      <w:divsChild>
        <w:div w:id="199560500">
          <w:marLeft w:val="0"/>
          <w:marRight w:val="0"/>
          <w:marTop w:val="0"/>
          <w:marBottom w:val="0"/>
          <w:divBdr>
            <w:top w:val="none" w:sz="0" w:space="0" w:color="auto"/>
            <w:left w:val="none" w:sz="0" w:space="0" w:color="auto"/>
            <w:bottom w:val="none" w:sz="0" w:space="0" w:color="auto"/>
            <w:right w:val="none" w:sz="0" w:space="0" w:color="auto"/>
          </w:divBdr>
          <w:divsChild>
            <w:div w:id="199560679">
              <w:marLeft w:val="0"/>
              <w:marRight w:val="0"/>
              <w:marTop w:val="1155"/>
              <w:marBottom w:val="0"/>
              <w:divBdr>
                <w:top w:val="none" w:sz="0" w:space="0" w:color="auto"/>
                <w:left w:val="none" w:sz="0" w:space="0" w:color="auto"/>
                <w:bottom w:val="none" w:sz="0" w:space="0" w:color="auto"/>
                <w:right w:val="none" w:sz="0" w:space="0" w:color="auto"/>
              </w:divBdr>
              <w:divsChild>
                <w:div w:id="199560565">
                  <w:marLeft w:val="2445"/>
                  <w:marRight w:val="0"/>
                  <w:marTop w:val="0"/>
                  <w:marBottom w:val="0"/>
                  <w:divBdr>
                    <w:top w:val="none" w:sz="0" w:space="0" w:color="auto"/>
                    <w:left w:val="none" w:sz="0" w:space="0" w:color="auto"/>
                    <w:bottom w:val="none" w:sz="0" w:space="0" w:color="auto"/>
                    <w:right w:val="none" w:sz="0" w:space="0" w:color="auto"/>
                  </w:divBdr>
                  <w:divsChild>
                    <w:div w:id="199560592">
                      <w:marLeft w:val="0"/>
                      <w:marRight w:val="0"/>
                      <w:marTop w:val="0"/>
                      <w:marBottom w:val="0"/>
                      <w:divBdr>
                        <w:top w:val="none" w:sz="0" w:space="0" w:color="auto"/>
                        <w:left w:val="single" w:sz="6" w:space="10" w:color="CCCCCC"/>
                        <w:bottom w:val="single" w:sz="6" w:space="10" w:color="CCCCCC"/>
                        <w:right w:val="single" w:sz="6" w:space="10" w:color="CCCCCC"/>
                      </w:divBdr>
                      <w:divsChild>
                        <w:div w:id="199560481">
                          <w:marLeft w:val="0"/>
                          <w:marRight w:val="0"/>
                          <w:marTop w:val="0"/>
                          <w:marBottom w:val="0"/>
                          <w:divBdr>
                            <w:top w:val="none" w:sz="0" w:space="0" w:color="auto"/>
                            <w:left w:val="none" w:sz="0" w:space="0" w:color="auto"/>
                            <w:bottom w:val="none" w:sz="0" w:space="0" w:color="auto"/>
                            <w:right w:val="none" w:sz="0" w:space="0" w:color="auto"/>
                          </w:divBdr>
                          <w:divsChild>
                            <w:div w:id="199560639">
                              <w:marLeft w:val="0"/>
                              <w:marRight w:val="0"/>
                              <w:marTop w:val="0"/>
                              <w:marBottom w:val="0"/>
                              <w:divBdr>
                                <w:top w:val="single" w:sz="12" w:space="0" w:color="999999"/>
                                <w:left w:val="none" w:sz="0" w:space="0" w:color="auto"/>
                                <w:bottom w:val="none" w:sz="0" w:space="0" w:color="auto"/>
                                <w:right w:val="none" w:sz="0" w:space="0" w:color="auto"/>
                              </w:divBdr>
                            </w:div>
                          </w:divsChild>
                        </w:div>
                      </w:divsChild>
                    </w:div>
                  </w:divsChild>
                </w:div>
              </w:divsChild>
            </w:div>
          </w:divsChild>
        </w:div>
      </w:divsChild>
    </w:div>
    <w:div w:id="199560537">
      <w:marLeft w:val="0"/>
      <w:marRight w:val="0"/>
      <w:marTop w:val="0"/>
      <w:marBottom w:val="0"/>
      <w:divBdr>
        <w:top w:val="none" w:sz="0" w:space="0" w:color="auto"/>
        <w:left w:val="none" w:sz="0" w:space="0" w:color="auto"/>
        <w:bottom w:val="none" w:sz="0" w:space="0" w:color="auto"/>
        <w:right w:val="none" w:sz="0" w:space="0" w:color="auto"/>
      </w:divBdr>
      <w:divsChild>
        <w:div w:id="199560685">
          <w:marLeft w:val="0"/>
          <w:marRight w:val="0"/>
          <w:marTop w:val="0"/>
          <w:marBottom w:val="0"/>
          <w:divBdr>
            <w:top w:val="single" w:sz="4" w:space="2" w:color="6B90DA"/>
            <w:left w:val="none" w:sz="0" w:space="0" w:color="auto"/>
            <w:bottom w:val="none" w:sz="0" w:space="0" w:color="auto"/>
            <w:right w:val="none" w:sz="0" w:space="0" w:color="auto"/>
          </w:divBdr>
        </w:div>
      </w:divsChild>
    </w:div>
    <w:div w:id="199560543">
      <w:marLeft w:val="0"/>
      <w:marRight w:val="0"/>
      <w:marTop w:val="0"/>
      <w:marBottom w:val="0"/>
      <w:divBdr>
        <w:top w:val="none" w:sz="0" w:space="0" w:color="auto"/>
        <w:left w:val="none" w:sz="0" w:space="0" w:color="auto"/>
        <w:bottom w:val="none" w:sz="0" w:space="0" w:color="auto"/>
        <w:right w:val="none" w:sz="0" w:space="0" w:color="auto"/>
      </w:divBdr>
    </w:div>
    <w:div w:id="199560547">
      <w:marLeft w:val="0"/>
      <w:marRight w:val="0"/>
      <w:marTop w:val="0"/>
      <w:marBottom w:val="0"/>
      <w:divBdr>
        <w:top w:val="none" w:sz="0" w:space="0" w:color="auto"/>
        <w:left w:val="none" w:sz="0" w:space="0" w:color="auto"/>
        <w:bottom w:val="none" w:sz="0" w:space="0" w:color="auto"/>
        <w:right w:val="none" w:sz="0" w:space="0" w:color="auto"/>
      </w:divBdr>
      <w:divsChild>
        <w:div w:id="199560530">
          <w:marLeft w:val="0"/>
          <w:marRight w:val="0"/>
          <w:marTop w:val="0"/>
          <w:marBottom w:val="0"/>
          <w:divBdr>
            <w:top w:val="none" w:sz="0" w:space="0" w:color="auto"/>
            <w:left w:val="none" w:sz="0" w:space="0" w:color="auto"/>
            <w:bottom w:val="none" w:sz="0" w:space="0" w:color="auto"/>
            <w:right w:val="none" w:sz="0" w:space="0" w:color="auto"/>
          </w:divBdr>
          <w:divsChild>
            <w:div w:id="199560540">
              <w:marLeft w:val="0"/>
              <w:marRight w:val="0"/>
              <w:marTop w:val="0"/>
              <w:marBottom w:val="0"/>
              <w:divBdr>
                <w:top w:val="none" w:sz="0" w:space="0" w:color="auto"/>
                <w:left w:val="none" w:sz="0" w:space="0" w:color="auto"/>
                <w:bottom w:val="none" w:sz="0" w:space="0" w:color="auto"/>
                <w:right w:val="none" w:sz="0" w:space="0" w:color="auto"/>
              </w:divBdr>
            </w:div>
            <w:div w:id="199560615">
              <w:marLeft w:val="0"/>
              <w:marRight w:val="0"/>
              <w:marTop w:val="0"/>
              <w:marBottom w:val="0"/>
              <w:divBdr>
                <w:top w:val="none" w:sz="0" w:space="0" w:color="auto"/>
                <w:left w:val="none" w:sz="0" w:space="0" w:color="auto"/>
                <w:bottom w:val="none" w:sz="0" w:space="0" w:color="auto"/>
                <w:right w:val="none" w:sz="0" w:space="0" w:color="auto"/>
              </w:divBdr>
              <w:divsChild>
                <w:div w:id="19956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60548">
      <w:marLeft w:val="0"/>
      <w:marRight w:val="0"/>
      <w:marTop w:val="0"/>
      <w:marBottom w:val="0"/>
      <w:divBdr>
        <w:top w:val="none" w:sz="0" w:space="0" w:color="auto"/>
        <w:left w:val="none" w:sz="0" w:space="0" w:color="auto"/>
        <w:bottom w:val="none" w:sz="0" w:space="0" w:color="auto"/>
        <w:right w:val="none" w:sz="0" w:space="0" w:color="auto"/>
      </w:divBdr>
      <w:divsChild>
        <w:div w:id="199560601">
          <w:marLeft w:val="0"/>
          <w:marRight w:val="0"/>
          <w:marTop w:val="0"/>
          <w:marBottom w:val="0"/>
          <w:divBdr>
            <w:top w:val="none" w:sz="0" w:space="0" w:color="auto"/>
            <w:left w:val="none" w:sz="0" w:space="0" w:color="auto"/>
            <w:bottom w:val="none" w:sz="0" w:space="0" w:color="auto"/>
            <w:right w:val="none" w:sz="0" w:space="0" w:color="auto"/>
          </w:divBdr>
        </w:div>
      </w:divsChild>
    </w:div>
    <w:div w:id="199560551">
      <w:marLeft w:val="0"/>
      <w:marRight w:val="0"/>
      <w:marTop w:val="0"/>
      <w:marBottom w:val="0"/>
      <w:divBdr>
        <w:top w:val="none" w:sz="0" w:space="0" w:color="auto"/>
        <w:left w:val="none" w:sz="0" w:space="0" w:color="auto"/>
        <w:bottom w:val="none" w:sz="0" w:space="0" w:color="auto"/>
        <w:right w:val="none" w:sz="0" w:space="0" w:color="auto"/>
      </w:divBdr>
    </w:div>
    <w:div w:id="199560557">
      <w:marLeft w:val="0"/>
      <w:marRight w:val="0"/>
      <w:marTop w:val="0"/>
      <w:marBottom w:val="0"/>
      <w:divBdr>
        <w:top w:val="none" w:sz="0" w:space="0" w:color="auto"/>
        <w:left w:val="none" w:sz="0" w:space="0" w:color="auto"/>
        <w:bottom w:val="none" w:sz="0" w:space="0" w:color="auto"/>
        <w:right w:val="none" w:sz="0" w:space="0" w:color="auto"/>
      </w:divBdr>
      <w:divsChild>
        <w:div w:id="199560628">
          <w:marLeft w:val="0"/>
          <w:marRight w:val="0"/>
          <w:marTop w:val="100"/>
          <w:marBottom w:val="200"/>
          <w:divBdr>
            <w:top w:val="none" w:sz="0" w:space="0" w:color="auto"/>
            <w:left w:val="none" w:sz="0" w:space="0" w:color="auto"/>
            <w:bottom w:val="none" w:sz="0" w:space="0" w:color="auto"/>
            <w:right w:val="none" w:sz="0" w:space="0" w:color="auto"/>
          </w:divBdr>
          <w:divsChild>
            <w:div w:id="199560556">
              <w:marLeft w:val="0"/>
              <w:marRight w:val="0"/>
              <w:marTop w:val="0"/>
              <w:marBottom w:val="70"/>
              <w:divBdr>
                <w:top w:val="none" w:sz="0" w:space="0" w:color="auto"/>
                <w:left w:val="none" w:sz="0" w:space="0" w:color="auto"/>
                <w:bottom w:val="none" w:sz="0" w:space="0" w:color="auto"/>
                <w:right w:val="none" w:sz="0" w:space="0" w:color="auto"/>
              </w:divBdr>
              <w:divsChild>
                <w:div w:id="199560681">
                  <w:marLeft w:val="50"/>
                  <w:marRight w:val="0"/>
                  <w:marTop w:val="0"/>
                  <w:marBottom w:val="200"/>
                  <w:divBdr>
                    <w:top w:val="single" w:sz="4" w:space="0" w:color="B6B6E1"/>
                    <w:left w:val="single" w:sz="4" w:space="0" w:color="B6B6E1"/>
                    <w:bottom w:val="single" w:sz="4" w:space="0" w:color="B6B6E1"/>
                    <w:right w:val="single" w:sz="4" w:space="0" w:color="B6B6E1"/>
                  </w:divBdr>
                  <w:divsChild>
                    <w:div w:id="199560546">
                      <w:marLeft w:val="100"/>
                      <w:marRight w:val="0"/>
                      <w:marTop w:val="0"/>
                      <w:marBottom w:val="0"/>
                      <w:divBdr>
                        <w:top w:val="none" w:sz="0" w:space="0" w:color="auto"/>
                        <w:left w:val="none" w:sz="0" w:space="0" w:color="auto"/>
                        <w:bottom w:val="none" w:sz="0" w:space="0" w:color="auto"/>
                        <w:right w:val="none" w:sz="0" w:space="0" w:color="auto"/>
                      </w:divBdr>
                      <w:divsChild>
                        <w:div w:id="199560501">
                          <w:marLeft w:val="100"/>
                          <w:marRight w:val="0"/>
                          <w:marTop w:val="0"/>
                          <w:marBottom w:val="150"/>
                          <w:divBdr>
                            <w:top w:val="none" w:sz="0" w:space="0" w:color="auto"/>
                            <w:left w:val="none" w:sz="0" w:space="0" w:color="auto"/>
                            <w:bottom w:val="none" w:sz="0" w:space="0" w:color="auto"/>
                            <w:right w:val="none" w:sz="0" w:space="0" w:color="auto"/>
                          </w:divBdr>
                        </w:div>
                        <w:div w:id="199560627">
                          <w:marLeft w:val="0"/>
                          <w:marRight w:val="0"/>
                          <w:marTop w:val="0"/>
                          <w:marBottom w:val="0"/>
                          <w:divBdr>
                            <w:top w:val="none" w:sz="0" w:space="0" w:color="auto"/>
                            <w:left w:val="none" w:sz="0" w:space="0" w:color="auto"/>
                            <w:bottom w:val="none" w:sz="0" w:space="0" w:color="auto"/>
                            <w:right w:val="none" w:sz="0" w:space="0" w:color="auto"/>
                          </w:divBdr>
                          <w:divsChild>
                            <w:div w:id="199560473">
                              <w:marLeft w:val="0"/>
                              <w:marRight w:val="0"/>
                              <w:marTop w:val="100"/>
                              <w:marBottom w:val="0"/>
                              <w:divBdr>
                                <w:top w:val="none" w:sz="0" w:space="0" w:color="auto"/>
                                <w:left w:val="none" w:sz="0" w:space="0" w:color="auto"/>
                                <w:bottom w:val="none" w:sz="0" w:space="0" w:color="auto"/>
                                <w:right w:val="none" w:sz="0" w:space="0" w:color="auto"/>
                              </w:divBdr>
                            </w:div>
                            <w:div w:id="199560511">
                              <w:marLeft w:val="0"/>
                              <w:marRight w:val="0"/>
                              <w:marTop w:val="0"/>
                              <w:marBottom w:val="0"/>
                              <w:divBdr>
                                <w:top w:val="none" w:sz="0" w:space="0" w:color="auto"/>
                                <w:left w:val="none" w:sz="0" w:space="0" w:color="auto"/>
                                <w:bottom w:val="none" w:sz="0" w:space="0" w:color="auto"/>
                                <w:right w:val="none" w:sz="0" w:space="0" w:color="auto"/>
                              </w:divBdr>
                              <w:divsChild>
                                <w:div w:id="199560474">
                                  <w:marLeft w:val="0"/>
                                  <w:marRight w:val="0"/>
                                  <w:marTop w:val="0"/>
                                  <w:marBottom w:val="0"/>
                                  <w:divBdr>
                                    <w:top w:val="none" w:sz="0" w:space="0" w:color="auto"/>
                                    <w:left w:val="none" w:sz="0" w:space="0" w:color="auto"/>
                                    <w:bottom w:val="none" w:sz="0" w:space="0" w:color="auto"/>
                                    <w:right w:val="none" w:sz="0" w:space="0" w:color="auto"/>
                                  </w:divBdr>
                                </w:div>
                              </w:divsChild>
                            </w:div>
                            <w:div w:id="19956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560563">
      <w:marLeft w:val="0"/>
      <w:marRight w:val="0"/>
      <w:marTop w:val="0"/>
      <w:marBottom w:val="0"/>
      <w:divBdr>
        <w:top w:val="none" w:sz="0" w:space="0" w:color="auto"/>
        <w:left w:val="none" w:sz="0" w:space="0" w:color="auto"/>
        <w:bottom w:val="none" w:sz="0" w:space="0" w:color="auto"/>
        <w:right w:val="none" w:sz="0" w:space="0" w:color="auto"/>
      </w:divBdr>
    </w:div>
    <w:div w:id="199560564">
      <w:marLeft w:val="0"/>
      <w:marRight w:val="0"/>
      <w:marTop w:val="0"/>
      <w:marBottom w:val="0"/>
      <w:divBdr>
        <w:top w:val="none" w:sz="0" w:space="0" w:color="auto"/>
        <w:left w:val="none" w:sz="0" w:space="0" w:color="auto"/>
        <w:bottom w:val="none" w:sz="0" w:space="0" w:color="auto"/>
        <w:right w:val="none" w:sz="0" w:space="0" w:color="auto"/>
      </w:divBdr>
    </w:div>
    <w:div w:id="199560566">
      <w:marLeft w:val="0"/>
      <w:marRight w:val="0"/>
      <w:marTop w:val="0"/>
      <w:marBottom w:val="0"/>
      <w:divBdr>
        <w:top w:val="none" w:sz="0" w:space="0" w:color="auto"/>
        <w:left w:val="none" w:sz="0" w:space="0" w:color="auto"/>
        <w:bottom w:val="none" w:sz="0" w:space="0" w:color="auto"/>
        <w:right w:val="none" w:sz="0" w:space="0" w:color="auto"/>
      </w:divBdr>
    </w:div>
    <w:div w:id="199560567">
      <w:marLeft w:val="0"/>
      <w:marRight w:val="0"/>
      <w:marTop w:val="0"/>
      <w:marBottom w:val="0"/>
      <w:divBdr>
        <w:top w:val="none" w:sz="0" w:space="0" w:color="auto"/>
        <w:left w:val="none" w:sz="0" w:space="0" w:color="auto"/>
        <w:bottom w:val="none" w:sz="0" w:space="0" w:color="auto"/>
        <w:right w:val="none" w:sz="0" w:space="0" w:color="auto"/>
      </w:divBdr>
    </w:div>
    <w:div w:id="199560569">
      <w:marLeft w:val="0"/>
      <w:marRight w:val="0"/>
      <w:marTop w:val="0"/>
      <w:marBottom w:val="0"/>
      <w:divBdr>
        <w:top w:val="none" w:sz="0" w:space="0" w:color="auto"/>
        <w:left w:val="none" w:sz="0" w:space="0" w:color="auto"/>
        <w:bottom w:val="none" w:sz="0" w:space="0" w:color="auto"/>
        <w:right w:val="none" w:sz="0" w:space="0" w:color="auto"/>
      </w:divBdr>
      <w:divsChild>
        <w:div w:id="199560649">
          <w:marLeft w:val="0"/>
          <w:marRight w:val="0"/>
          <w:marTop w:val="168"/>
          <w:marBottom w:val="168"/>
          <w:divBdr>
            <w:top w:val="none" w:sz="0" w:space="0" w:color="auto"/>
            <w:left w:val="none" w:sz="0" w:space="0" w:color="auto"/>
            <w:bottom w:val="none" w:sz="0" w:space="0" w:color="auto"/>
            <w:right w:val="none" w:sz="0" w:space="0" w:color="auto"/>
          </w:divBdr>
        </w:div>
      </w:divsChild>
    </w:div>
    <w:div w:id="199560577">
      <w:marLeft w:val="0"/>
      <w:marRight w:val="0"/>
      <w:marTop w:val="0"/>
      <w:marBottom w:val="0"/>
      <w:divBdr>
        <w:top w:val="none" w:sz="0" w:space="0" w:color="auto"/>
        <w:left w:val="none" w:sz="0" w:space="0" w:color="auto"/>
        <w:bottom w:val="none" w:sz="0" w:space="0" w:color="auto"/>
        <w:right w:val="none" w:sz="0" w:space="0" w:color="auto"/>
      </w:divBdr>
      <w:divsChild>
        <w:div w:id="199560668">
          <w:marLeft w:val="0"/>
          <w:marRight w:val="0"/>
          <w:marTop w:val="0"/>
          <w:marBottom w:val="0"/>
          <w:divBdr>
            <w:top w:val="none" w:sz="0" w:space="0" w:color="auto"/>
            <w:left w:val="none" w:sz="0" w:space="0" w:color="auto"/>
            <w:bottom w:val="none" w:sz="0" w:space="0" w:color="auto"/>
            <w:right w:val="none" w:sz="0" w:space="0" w:color="auto"/>
          </w:divBdr>
          <w:divsChild>
            <w:div w:id="199560585">
              <w:marLeft w:val="0"/>
              <w:marRight w:val="0"/>
              <w:marTop w:val="0"/>
              <w:marBottom w:val="0"/>
              <w:divBdr>
                <w:top w:val="none" w:sz="0" w:space="0" w:color="auto"/>
                <w:left w:val="none" w:sz="0" w:space="0" w:color="auto"/>
                <w:bottom w:val="none" w:sz="0" w:space="0" w:color="auto"/>
                <w:right w:val="none" w:sz="0" w:space="0" w:color="auto"/>
              </w:divBdr>
              <w:divsChild>
                <w:div w:id="199560638">
                  <w:marLeft w:val="2928"/>
                  <w:marRight w:val="0"/>
                  <w:marTop w:val="720"/>
                  <w:marBottom w:val="0"/>
                  <w:divBdr>
                    <w:top w:val="none" w:sz="0" w:space="0" w:color="auto"/>
                    <w:left w:val="none" w:sz="0" w:space="0" w:color="auto"/>
                    <w:bottom w:val="none" w:sz="0" w:space="0" w:color="auto"/>
                    <w:right w:val="none" w:sz="0" w:space="0" w:color="auto"/>
                  </w:divBdr>
                  <w:divsChild>
                    <w:div w:id="19956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560579">
      <w:marLeft w:val="0"/>
      <w:marRight w:val="0"/>
      <w:marTop w:val="0"/>
      <w:marBottom w:val="0"/>
      <w:divBdr>
        <w:top w:val="none" w:sz="0" w:space="0" w:color="auto"/>
        <w:left w:val="none" w:sz="0" w:space="0" w:color="auto"/>
        <w:bottom w:val="none" w:sz="0" w:space="0" w:color="auto"/>
        <w:right w:val="none" w:sz="0" w:space="0" w:color="auto"/>
      </w:divBdr>
      <w:divsChild>
        <w:div w:id="199560591">
          <w:marLeft w:val="0"/>
          <w:marRight w:val="0"/>
          <w:marTop w:val="0"/>
          <w:marBottom w:val="0"/>
          <w:divBdr>
            <w:top w:val="none" w:sz="0" w:space="0" w:color="auto"/>
            <w:left w:val="none" w:sz="0" w:space="0" w:color="auto"/>
            <w:bottom w:val="none" w:sz="0" w:space="0" w:color="auto"/>
            <w:right w:val="none" w:sz="0" w:space="0" w:color="auto"/>
          </w:divBdr>
        </w:div>
      </w:divsChild>
    </w:div>
    <w:div w:id="199560581">
      <w:marLeft w:val="0"/>
      <w:marRight w:val="0"/>
      <w:marTop w:val="0"/>
      <w:marBottom w:val="0"/>
      <w:divBdr>
        <w:top w:val="none" w:sz="0" w:space="0" w:color="auto"/>
        <w:left w:val="none" w:sz="0" w:space="0" w:color="auto"/>
        <w:bottom w:val="none" w:sz="0" w:space="0" w:color="auto"/>
        <w:right w:val="none" w:sz="0" w:space="0" w:color="auto"/>
      </w:divBdr>
      <w:divsChild>
        <w:div w:id="199560706">
          <w:marLeft w:val="0"/>
          <w:marRight w:val="0"/>
          <w:marTop w:val="0"/>
          <w:marBottom w:val="0"/>
          <w:divBdr>
            <w:top w:val="none" w:sz="0" w:space="0" w:color="auto"/>
            <w:left w:val="none" w:sz="0" w:space="0" w:color="auto"/>
            <w:bottom w:val="none" w:sz="0" w:space="0" w:color="auto"/>
            <w:right w:val="none" w:sz="0" w:space="0" w:color="auto"/>
          </w:divBdr>
          <w:divsChild>
            <w:div w:id="199560609">
              <w:marLeft w:val="0"/>
              <w:marRight w:val="0"/>
              <w:marTop w:val="0"/>
              <w:marBottom w:val="0"/>
              <w:divBdr>
                <w:top w:val="none" w:sz="0" w:space="0" w:color="auto"/>
                <w:left w:val="none" w:sz="0" w:space="0" w:color="auto"/>
                <w:bottom w:val="none" w:sz="0" w:space="0" w:color="auto"/>
                <w:right w:val="none" w:sz="0" w:space="0" w:color="auto"/>
              </w:divBdr>
              <w:divsChild>
                <w:div w:id="199560533">
                  <w:marLeft w:val="0"/>
                  <w:marRight w:val="0"/>
                  <w:marTop w:val="0"/>
                  <w:marBottom w:val="0"/>
                  <w:divBdr>
                    <w:top w:val="none" w:sz="0" w:space="0" w:color="auto"/>
                    <w:left w:val="none" w:sz="0" w:space="0" w:color="auto"/>
                    <w:bottom w:val="none" w:sz="0" w:space="0" w:color="auto"/>
                    <w:right w:val="none" w:sz="0" w:space="0" w:color="auto"/>
                  </w:divBdr>
                  <w:divsChild>
                    <w:div w:id="199560619">
                      <w:marLeft w:val="0"/>
                      <w:marRight w:val="0"/>
                      <w:marTop w:val="0"/>
                      <w:marBottom w:val="0"/>
                      <w:divBdr>
                        <w:top w:val="none" w:sz="0" w:space="0" w:color="auto"/>
                        <w:left w:val="none" w:sz="0" w:space="0" w:color="auto"/>
                        <w:bottom w:val="none" w:sz="0" w:space="0" w:color="auto"/>
                        <w:right w:val="none" w:sz="0" w:space="0" w:color="auto"/>
                      </w:divBdr>
                      <w:divsChild>
                        <w:div w:id="199560488">
                          <w:marLeft w:val="0"/>
                          <w:marRight w:val="0"/>
                          <w:marTop w:val="0"/>
                          <w:marBottom w:val="0"/>
                          <w:divBdr>
                            <w:top w:val="none" w:sz="0" w:space="0" w:color="auto"/>
                            <w:left w:val="none" w:sz="0" w:space="0" w:color="auto"/>
                            <w:bottom w:val="none" w:sz="0" w:space="0" w:color="auto"/>
                            <w:right w:val="none" w:sz="0" w:space="0" w:color="auto"/>
                          </w:divBdr>
                          <w:divsChild>
                            <w:div w:id="199560597">
                              <w:marLeft w:val="0"/>
                              <w:marRight w:val="0"/>
                              <w:marTop w:val="0"/>
                              <w:marBottom w:val="0"/>
                              <w:divBdr>
                                <w:top w:val="none" w:sz="0" w:space="0" w:color="auto"/>
                                <w:left w:val="none" w:sz="0" w:space="0" w:color="auto"/>
                                <w:bottom w:val="none" w:sz="0" w:space="0" w:color="auto"/>
                                <w:right w:val="none" w:sz="0" w:space="0" w:color="auto"/>
                              </w:divBdr>
                              <w:divsChild>
                                <w:div w:id="199560507">
                                  <w:marLeft w:val="0"/>
                                  <w:marRight w:val="0"/>
                                  <w:marTop w:val="0"/>
                                  <w:marBottom w:val="0"/>
                                  <w:divBdr>
                                    <w:top w:val="none" w:sz="0" w:space="0" w:color="auto"/>
                                    <w:left w:val="none" w:sz="0" w:space="0" w:color="auto"/>
                                    <w:bottom w:val="none" w:sz="0" w:space="0" w:color="auto"/>
                                    <w:right w:val="none" w:sz="0" w:space="0" w:color="auto"/>
                                  </w:divBdr>
                                  <w:divsChild>
                                    <w:div w:id="199560574">
                                      <w:marLeft w:val="0"/>
                                      <w:marRight w:val="0"/>
                                      <w:marTop w:val="0"/>
                                      <w:marBottom w:val="0"/>
                                      <w:divBdr>
                                        <w:top w:val="none" w:sz="0" w:space="0" w:color="auto"/>
                                        <w:left w:val="none" w:sz="0" w:space="0" w:color="auto"/>
                                        <w:bottom w:val="none" w:sz="0" w:space="0" w:color="auto"/>
                                        <w:right w:val="none" w:sz="0" w:space="0" w:color="auto"/>
                                      </w:divBdr>
                                      <w:divsChild>
                                        <w:div w:id="199560580">
                                          <w:marLeft w:val="0"/>
                                          <w:marRight w:val="0"/>
                                          <w:marTop w:val="0"/>
                                          <w:marBottom w:val="0"/>
                                          <w:divBdr>
                                            <w:top w:val="none" w:sz="0" w:space="0" w:color="auto"/>
                                            <w:left w:val="none" w:sz="0" w:space="0" w:color="auto"/>
                                            <w:bottom w:val="none" w:sz="0" w:space="0" w:color="auto"/>
                                            <w:right w:val="none" w:sz="0" w:space="0" w:color="auto"/>
                                          </w:divBdr>
                                          <w:divsChild>
                                            <w:div w:id="199560558">
                                              <w:marLeft w:val="0"/>
                                              <w:marRight w:val="0"/>
                                              <w:marTop w:val="0"/>
                                              <w:marBottom w:val="0"/>
                                              <w:divBdr>
                                                <w:top w:val="none" w:sz="0" w:space="0" w:color="auto"/>
                                                <w:left w:val="none" w:sz="0" w:space="0" w:color="auto"/>
                                                <w:bottom w:val="none" w:sz="0" w:space="0" w:color="auto"/>
                                                <w:right w:val="none" w:sz="0" w:space="0" w:color="auto"/>
                                              </w:divBdr>
                                              <w:divsChild>
                                                <w:div w:id="199560697">
                                                  <w:marLeft w:val="0"/>
                                                  <w:marRight w:val="0"/>
                                                  <w:marTop w:val="0"/>
                                                  <w:marBottom w:val="0"/>
                                                  <w:divBdr>
                                                    <w:top w:val="none" w:sz="0" w:space="0" w:color="auto"/>
                                                    <w:left w:val="none" w:sz="0" w:space="0" w:color="auto"/>
                                                    <w:bottom w:val="none" w:sz="0" w:space="0" w:color="auto"/>
                                                    <w:right w:val="none" w:sz="0" w:space="0" w:color="auto"/>
                                                  </w:divBdr>
                                                  <w:divsChild>
                                                    <w:div w:id="199560476">
                                                      <w:marLeft w:val="0"/>
                                                      <w:marRight w:val="0"/>
                                                      <w:marTop w:val="0"/>
                                                      <w:marBottom w:val="0"/>
                                                      <w:divBdr>
                                                        <w:top w:val="none" w:sz="0" w:space="0" w:color="auto"/>
                                                        <w:left w:val="none" w:sz="0" w:space="0" w:color="auto"/>
                                                        <w:bottom w:val="none" w:sz="0" w:space="0" w:color="auto"/>
                                                        <w:right w:val="none" w:sz="0" w:space="0" w:color="auto"/>
                                                      </w:divBdr>
                                                      <w:divsChild>
                                                        <w:div w:id="199560689">
                                                          <w:marLeft w:val="0"/>
                                                          <w:marRight w:val="0"/>
                                                          <w:marTop w:val="0"/>
                                                          <w:marBottom w:val="0"/>
                                                          <w:divBdr>
                                                            <w:top w:val="none" w:sz="0" w:space="0" w:color="auto"/>
                                                            <w:left w:val="none" w:sz="0" w:space="0" w:color="auto"/>
                                                            <w:bottom w:val="none" w:sz="0" w:space="0" w:color="auto"/>
                                                            <w:right w:val="none" w:sz="0" w:space="0" w:color="auto"/>
                                                          </w:divBdr>
                                                          <w:divsChild>
                                                            <w:div w:id="199560555">
                                                              <w:marLeft w:val="0"/>
                                                              <w:marRight w:val="0"/>
                                                              <w:marTop w:val="0"/>
                                                              <w:marBottom w:val="0"/>
                                                              <w:divBdr>
                                                                <w:top w:val="none" w:sz="0" w:space="0" w:color="auto"/>
                                                                <w:left w:val="none" w:sz="0" w:space="0" w:color="auto"/>
                                                                <w:bottom w:val="none" w:sz="0" w:space="0" w:color="auto"/>
                                                                <w:right w:val="none" w:sz="0" w:space="0" w:color="auto"/>
                                                              </w:divBdr>
                                                              <w:divsChild>
                                                                <w:div w:id="199560570">
                                                                  <w:marLeft w:val="0"/>
                                                                  <w:marRight w:val="0"/>
                                                                  <w:marTop w:val="0"/>
                                                                  <w:marBottom w:val="0"/>
                                                                  <w:divBdr>
                                                                    <w:top w:val="none" w:sz="0" w:space="0" w:color="auto"/>
                                                                    <w:left w:val="none" w:sz="0" w:space="0" w:color="auto"/>
                                                                    <w:bottom w:val="none" w:sz="0" w:space="0" w:color="auto"/>
                                                                    <w:right w:val="none" w:sz="0" w:space="0" w:color="auto"/>
                                                                  </w:divBdr>
                                                                  <w:divsChild>
                                                                    <w:div w:id="199560521">
                                                                      <w:marLeft w:val="0"/>
                                                                      <w:marRight w:val="0"/>
                                                                      <w:marTop w:val="0"/>
                                                                      <w:marBottom w:val="0"/>
                                                                      <w:divBdr>
                                                                        <w:top w:val="none" w:sz="0" w:space="0" w:color="auto"/>
                                                                        <w:left w:val="none" w:sz="0" w:space="0" w:color="auto"/>
                                                                        <w:bottom w:val="none" w:sz="0" w:space="0" w:color="auto"/>
                                                                        <w:right w:val="none" w:sz="0" w:space="0" w:color="auto"/>
                                                                      </w:divBdr>
                                                                      <w:divsChild>
                                                                        <w:div w:id="199560676">
                                                                          <w:marLeft w:val="0"/>
                                                                          <w:marRight w:val="0"/>
                                                                          <w:marTop w:val="0"/>
                                                                          <w:marBottom w:val="0"/>
                                                                          <w:divBdr>
                                                                            <w:top w:val="none" w:sz="0" w:space="0" w:color="auto"/>
                                                                            <w:left w:val="none" w:sz="0" w:space="0" w:color="auto"/>
                                                                            <w:bottom w:val="none" w:sz="0" w:space="0" w:color="auto"/>
                                                                            <w:right w:val="none" w:sz="0" w:space="0" w:color="auto"/>
                                                                          </w:divBdr>
                                                                          <w:divsChild>
                                                                            <w:div w:id="199560478">
                                                                              <w:marLeft w:val="0"/>
                                                                              <w:marRight w:val="0"/>
                                                                              <w:marTop w:val="0"/>
                                                                              <w:marBottom w:val="0"/>
                                                                              <w:divBdr>
                                                                                <w:top w:val="none" w:sz="0" w:space="0" w:color="auto"/>
                                                                                <w:left w:val="none" w:sz="0" w:space="0" w:color="auto"/>
                                                                                <w:bottom w:val="none" w:sz="0" w:space="0" w:color="auto"/>
                                                                                <w:right w:val="none" w:sz="0" w:space="0" w:color="auto"/>
                                                                              </w:divBdr>
                                                                              <w:divsChild>
                                                                                <w:div w:id="199560654">
                                                                                  <w:marLeft w:val="0"/>
                                                                                  <w:marRight w:val="0"/>
                                                                                  <w:marTop w:val="0"/>
                                                                                  <w:marBottom w:val="0"/>
                                                                                  <w:divBdr>
                                                                                    <w:top w:val="none" w:sz="0" w:space="0" w:color="auto"/>
                                                                                    <w:left w:val="none" w:sz="0" w:space="0" w:color="auto"/>
                                                                                    <w:bottom w:val="none" w:sz="0" w:space="0" w:color="auto"/>
                                                                                    <w:right w:val="none" w:sz="0" w:space="0" w:color="auto"/>
                                                                                  </w:divBdr>
                                                                                  <w:divsChild>
                                                                                    <w:div w:id="199560504">
                                                                                      <w:marLeft w:val="0"/>
                                                                                      <w:marRight w:val="0"/>
                                                                                      <w:marTop w:val="0"/>
                                                                                      <w:marBottom w:val="0"/>
                                                                                      <w:divBdr>
                                                                                        <w:top w:val="none" w:sz="0" w:space="0" w:color="auto"/>
                                                                                        <w:left w:val="none" w:sz="0" w:space="0" w:color="auto"/>
                                                                                        <w:bottom w:val="none" w:sz="0" w:space="0" w:color="auto"/>
                                                                                        <w:right w:val="none" w:sz="0" w:space="0" w:color="auto"/>
                                                                                      </w:divBdr>
                                                                                      <w:divsChild>
                                                                                        <w:div w:id="199560490">
                                                                                          <w:marLeft w:val="0"/>
                                                                                          <w:marRight w:val="0"/>
                                                                                          <w:marTop w:val="0"/>
                                                                                          <w:marBottom w:val="0"/>
                                                                                          <w:divBdr>
                                                                                            <w:top w:val="none" w:sz="0" w:space="0" w:color="auto"/>
                                                                                            <w:left w:val="none" w:sz="0" w:space="0" w:color="auto"/>
                                                                                            <w:bottom w:val="none" w:sz="0" w:space="0" w:color="auto"/>
                                                                                            <w:right w:val="none" w:sz="0" w:space="0" w:color="auto"/>
                                                                                          </w:divBdr>
                                                                                          <w:divsChild>
                                                                                            <w:div w:id="199560632">
                                                                                              <w:marLeft w:val="0"/>
                                                                                              <w:marRight w:val="0"/>
                                                                                              <w:marTop w:val="0"/>
                                                                                              <w:marBottom w:val="0"/>
                                                                                              <w:divBdr>
                                                                                                <w:top w:val="none" w:sz="0" w:space="0" w:color="auto"/>
                                                                                                <w:left w:val="none" w:sz="0" w:space="0" w:color="auto"/>
                                                                                                <w:bottom w:val="none" w:sz="0" w:space="0" w:color="auto"/>
                                                                                                <w:right w:val="none" w:sz="0" w:space="0" w:color="auto"/>
                                                                                              </w:divBdr>
                                                                                              <w:divsChild>
                                                                                                <w:div w:id="199560512">
                                                                                                  <w:marLeft w:val="0"/>
                                                                                                  <w:marRight w:val="0"/>
                                                                                                  <w:marTop w:val="0"/>
                                                                                                  <w:marBottom w:val="0"/>
                                                                                                  <w:divBdr>
                                                                                                    <w:top w:val="none" w:sz="0" w:space="0" w:color="auto"/>
                                                                                                    <w:left w:val="none" w:sz="0" w:space="0" w:color="auto"/>
                                                                                                    <w:bottom w:val="none" w:sz="0" w:space="0" w:color="auto"/>
                                                                                                    <w:right w:val="none" w:sz="0" w:space="0" w:color="auto"/>
                                                                                                  </w:divBdr>
                                                                                                  <w:divsChild>
                                                                                                    <w:div w:id="199560647">
                                                                                                      <w:marLeft w:val="0"/>
                                                                                                      <w:marRight w:val="0"/>
                                                                                                      <w:marTop w:val="0"/>
                                                                                                      <w:marBottom w:val="0"/>
                                                                                                      <w:divBdr>
                                                                                                        <w:top w:val="none" w:sz="0" w:space="0" w:color="auto"/>
                                                                                                        <w:left w:val="none" w:sz="0" w:space="0" w:color="auto"/>
                                                                                                        <w:bottom w:val="none" w:sz="0" w:space="0" w:color="auto"/>
                                                                                                        <w:right w:val="none" w:sz="0" w:space="0" w:color="auto"/>
                                                                                                      </w:divBdr>
                                                                                                      <w:divsChild>
                                                                                                        <w:div w:id="199560607">
                                                                                                          <w:marLeft w:val="0"/>
                                                                                                          <w:marRight w:val="0"/>
                                                                                                          <w:marTop w:val="0"/>
                                                                                                          <w:marBottom w:val="0"/>
                                                                                                          <w:divBdr>
                                                                                                            <w:top w:val="none" w:sz="0" w:space="0" w:color="auto"/>
                                                                                                            <w:left w:val="none" w:sz="0" w:space="0" w:color="auto"/>
                                                                                                            <w:bottom w:val="none" w:sz="0" w:space="0" w:color="auto"/>
                                                                                                            <w:right w:val="none" w:sz="0" w:space="0" w:color="auto"/>
                                                                                                          </w:divBdr>
                                                                                                          <w:divsChild>
                                                                                                            <w:div w:id="199560544">
                                                                                                              <w:marLeft w:val="0"/>
                                                                                                              <w:marRight w:val="0"/>
                                                                                                              <w:marTop w:val="0"/>
                                                                                                              <w:marBottom w:val="0"/>
                                                                                                              <w:divBdr>
                                                                                                                <w:top w:val="none" w:sz="0" w:space="0" w:color="auto"/>
                                                                                                                <w:left w:val="none" w:sz="0" w:space="0" w:color="auto"/>
                                                                                                                <w:bottom w:val="none" w:sz="0" w:space="0" w:color="auto"/>
                                                                                                                <w:right w:val="none" w:sz="0" w:space="0" w:color="auto"/>
                                                                                                              </w:divBdr>
                                                                                                              <w:divsChild>
                                                                                                                <w:div w:id="199560655">
                                                                                                                  <w:marLeft w:val="0"/>
                                                                                                                  <w:marRight w:val="0"/>
                                                                                                                  <w:marTop w:val="0"/>
                                                                                                                  <w:marBottom w:val="0"/>
                                                                                                                  <w:divBdr>
                                                                                                                    <w:top w:val="none" w:sz="0" w:space="0" w:color="auto"/>
                                                                                                                    <w:left w:val="none" w:sz="0" w:space="0" w:color="auto"/>
                                                                                                                    <w:bottom w:val="none" w:sz="0" w:space="0" w:color="auto"/>
                                                                                                                    <w:right w:val="none" w:sz="0" w:space="0" w:color="auto"/>
                                                                                                                  </w:divBdr>
                                                                                                                  <w:divsChild>
                                                                                                                    <w:div w:id="199560653">
                                                                                                                      <w:marLeft w:val="0"/>
                                                                                                                      <w:marRight w:val="0"/>
                                                                                                                      <w:marTop w:val="0"/>
                                                                                                                      <w:marBottom w:val="0"/>
                                                                                                                      <w:divBdr>
                                                                                                                        <w:top w:val="none" w:sz="0" w:space="0" w:color="auto"/>
                                                                                                                        <w:left w:val="none" w:sz="0" w:space="0" w:color="auto"/>
                                                                                                                        <w:bottom w:val="none" w:sz="0" w:space="0" w:color="auto"/>
                                                                                                                        <w:right w:val="none" w:sz="0" w:space="0" w:color="auto"/>
                                                                                                                      </w:divBdr>
                                                                                                                      <w:divsChild>
                                                                                                                        <w:div w:id="199560703">
                                                                                                                          <w:marLeft w:val="0"/>
                                                                                                                          <w:marRight w:val="0"/>
                                                                                                                          <w:marTop w:val="0"/>
                                                                                                                          <w:marBottom w:val="0"/>
                                                                                                                          <w:divBdr>
                                                                                                                            <w:top w:val="none" w:sz="0" w:space="0" w:color="auto"/>
                                                                                                                            <w:left w:val="none" w:sz="0" w:space="0" w:color="auto"/>
                                                                                                                            <w:bottom w:val="none" w:sz="0" w:space="0" w:color="auto"/>
                                                                                                                            <w:right w:val="none" w:sz="0" w:space="0" w:color="auto"/>
                                                                                                                          </w:divBdr>
                                                                                                                          <w:divsChild>
                                                                                                                            <w:div w:id="199560594">
                                                                                                                              <w:marLeft w:val="0"/>
                                                                                                                              <w:marRight w:val="0"/>
                                                                                                                              <w:marTop w:val="0"/>
                                                                                                                              <w:marBottom w:val="0"/>
                                                                                                                              <w:divBdr>
                                                                                                                                <w:top w:val="none" w:sz="0" w:space="0" w:color="auto"/>
                                                                                                                                <w:left w:val="none" w:sz="0" w:space="0" w:color="auto"/>
                                                                                                                                <w:bottom w:val="none" w:sz="0" w:space="0" w:color="auto"/>
                                                                                                                                <w:right w:val="none" w:sz="0" w:space="0" w:color="auto"/>
                                                                                                                              </w:divBdr>
                                                                                                                              <w:divsChild>
                                                                                                                                <w:div w:id="199560699">
                                                                                                                                  <w:marLeft w:val="0"/>
                                                                                                                                  <w:marRight w:val="0"/>
                                                                                                                                  <w:marTop w:val="0"/>
                                                                                                                                  <w:marBottom w:val="0"/>
                                                                                                                                  <w:divBdr>
                                                                                                                                    <w:top w:val="none" w:sz="0" w:space="0" w:color="auto"/>
                                                                                                                                    <w:left w:val="none" w:sz="0" w:space="0" w:color="auto"/>
                                                                                                                                    <w:bottom w:val="none" w:sz="0" w:space="0" w:color="auto"/>
                                                                                                                                    <w:right w:val="none" w:sz="0" w:space="0" w:color="auto"/>
                                                                                                                                  </w:divBdr>
                                                                                                                                  <w:divsChild>
                                                                                                                                    <w:div w:id="199560629">
                                                                                                                                      <w:marLeft w:val="0"/>
                                                                                                                                      <w:marRight w:val="0"/>
                                                                                                                                      <w:marTop w:val="0"/>
                                                                                                                                      <w:marBottom w:val="0"/>
                                                                                                                                      <w:divBdr>
                                                                                                                                        <w:top w:val="none" w:sz="0" w:space="0" w:color="auto"/>
                                                                                                                                        <w:left w:val="none" w:sz="0" w:space="0" w:color="auto"/>
                                                                                                                                        <w:bottom w:val="none" w:sz="0" w:space="0" w:color="auto"/>
                                                                                                                                        <w:right w:val="none" w:sz="0" w:space="0" w:color="auto"/>
                                                                                                                                      </w:divBdr>
                                                                                                                                      <w:divsChild>
                                                                                                                                        <w:div w:id="199560549">
                                                                                                                                          <w:marLeft w:val="0"/>
                                                                                                                                          <w:marRight w:val="0"/>
                                                                                                                                          <w:marTop w:val="0"/>
                                                                                                                                          <w:marBottom w:val="0"/>
                                                                                                                                          <w:divBdr>
                                                                                                                                            <w:top w:val="none" w:sz="0" w:space="0" w:color="auto"/>
                                                                                                                                            <w:left w:val="none" w:sz="0" w:space="0" w:color="auto"/>
                                                                                                                                            <w:bottom w:val="none" w:sz="0" w:space="0" w:color="auto"/>
                                                                                                                                            <w:right w:val="none" w:sz="0" w:space="0" w:color="auto"/>
                                                                                                                                          </w:divBdr>
                                                                                                                                          <w:divsChild>
                                                                                                                                            <w:div w:id="19956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9560582">
      <w:marLeft w:val="0"/>
      <w:marRight w:val="0"/>
      <w:marTop w:val="0"/>
      <w:marBottom w:val="0"/>
      <w:divBdr>
        <w:top w:val="none" w:sz="0" w:space="0" w:color="auto"/>
        <w:left w:val="none" w:sz="0" w:space="0" w:color="auto"/>
        <w:bottom w:val="none" w:sz="0" w:space="0" w:color="auto"/>
        <w:right w:val="none" w:sz="0" w:space="0" w:color="auto"/>
      </w:divBdr>
      <w:divsChild>
        <w:div w:id="199560492">
          <w:marLeft w:val="78"/>
          <w:marRight w:val="49"/>
          <w:marTop w:val="0"/>
          <w:marBottom w:val="0"/>
          <w:divBdr>
            <w:top w:val="none" w:sz="0" w:space="0" w:color="auto"/>
            <w:left w:val="none" w:sz="0" w:space="0" w:color="auto"/>
            <w:bottom w:val="none" w:sz="0" w:space="0" w:color="auto"/>
            <w:right w:val="none" w:sz="0" w:space="0" w:color="auto"/>
          </w:divBdr>
          <w:divsChild>
            <w:div w:id="199560659">
              <w:marLeft w:val="0"/>
              <w:marRight w:val="0"/>
              <w:marTop w:val="0"/>
              <w:marBottom w:val="0"/>
              <w:divBdr>
                <w:top w:val="none" w:sz="0" w:space="0" w:color="auto"/>
                <w:left w:val="none" w:sz="0" w:space="0" w:color="auto"/>
                <w:bottom w:val="none" w:sz="0" w:space="0" w:color="auto"/>
                <w:right w:val="none" w:sz="0" w:space="0" w:color="auto"/>
              </w:divBdr>
              <w:divsChild>
                <w:div w:id="199560620">
                  <w:marLeft w:val="0"/>
                  <w:marRight w:val="0"/>
                  <w:marTop w:val="0"/>
                  <w:marBottom w:val="0"/>
                  <w:divBdr>
                    <w:top w:val="none" w:sz="0" w:space="0" w:color="auto"/>
                    <w:left w:val="none" w:sz="0" w:space="0" w:color="auto"/>
                    <w:bottom w:val="none" w:sz="0" w:space="0" w:color="auto"/>
                    <w:right w:val="none" w:sz="0" w:space="0" w:color="auto"/>
                  </w:divBdr>
                  <w:divsChild>
                    <w:div w:id="19956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560593">
      <w:marLeft w:val="3"/>
      <w:marRight w:val="3"/>
      <w:marTop w:val="0"/>
      <w:marBottom w:val="0"/>
      <w:divBdr>
        <w:top w:val="none" w:sz="0" w:space="0" w:color="auto"/>
        <w:left w:val="none" w:sz="0" w:space="0" w:color="auto"/>
        <w:bottom w:val="none" w:sz="0" w:space="0" w:color="auto"/>
        <w:right w:val="none" w:sz="0" w:space="0" w:color="auto"/>
      </w:divBdr>
      <w:divsChild>
        <w:div w:id="199560575">
          <w:marLeft w:val="0"/>
          <w:marRight w:val="0"/>
          <w:marTop w:val="132"/>
          <w:marBottom w:val="0"/>
          <w:divBdr>
            <w:top w:val="none" w:sz="0" w:space="0" w:color="auto"/>
            <w:left w:val="none" w:sz="0" w:space="0" w:color="auto"/>
            <w:bottom w:val="none" w:sz="0" w:space="0" w:color="auto"/>
            <w:right w:val="none" w:sz="0" w:space="0" w:color="auto"/>
          </w:divBdr>
          <w:divsChild>
            <w:div w:id="199560534">
              <w:marLeft w:val="0"/>
              <w:marRight w:val="0"/>
              <w:marTop w:val="0"/>
              <w:marBottom w:val="0"/>
              <w:divBdr>
                <w:top w:val="none" w:sz="0" w:space="0" w:color="auto"/>
                <w:left w:val="none" w:sz="0" w:space="0" w:color="auto"/>
                <w:bottom w:val="none" w:sz="0" w:space="0" w:color="auto"/>
                <w:right w:val="none" w:sz="0" w:space="0" w:color="auto"/>
              </w:divBdr>
              <w:divsChild>
                <w:div w:id="199560477">
                  <w:marLeft w:val="0"/>
                  <w:marRight w:val="0"/>
                  <w:marTop w:val="0"/>
                  <w:marBottom w:val="0"/>
                  <w:divBdr>
                    <w:top w:val="none" w:sz="0" w:space="0" w:color="auto"/>
                    <w:left w:val="none" w:sz="0" w:space="0" w:color="auto"/>
                    <w:bottom w:val="none" w:sz="0" w:space="0" w:color="auto"/>
                    <w:right w:val="none" w:sz="0" w:space="0" w:color="auto"/>
                  </w:divBdr>
                  <w:divsChild>
                    <w:div w:id="199560690">
                      <w:marLeft w:val="0"/>
                      <w:marRight w:val="0"/>
                      <w:marTop w:val="0"/>
                      <w:marBottom w:val="0"/>
                      <w:divBdr>
                        <w:top w:val="none" w:sz="0" w:space="0" w:color="auto"/>
                        <w:left w:val="none" w:sz="0" w:space="0" w:color="auto"/>
                        <w:bottom w:val="none" w:sz="0" w:space="0" w:color="auto"/>
                        <w:right w:val="none" w:sz="0" w:space="0" w:color="auto"/>
                      </w:divBdr>
                      <w:divsChild>
                        <w:div w:id="199560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560599">
      <w:marLeft w:val="0"/>
      <w:marRight w:val="0"/>
      <w:marTop w:val="0"/>
      <w:marBottom w:val="0"/>
      <w:divBdr>
        <w:top w:val="none" w:sz="0" w:space="0" w:color="auto"/>
        <w:left w:val="none" w:sz="0" w:space="0" w:color="auto"/>
        <w:bottom w:val="none" w:sz="0" w:space="0" w:color="auto"/>
        <w:right w:val="none" w:sz="0" w:space="0" w:color="auto"/>
      </w:divBdr>
      <w:divsChild>
        <w:div w:id="199560657">
          <w:marLeft w:val="0"/>
          <w:marRight w:val="0"/>
          <w:marTop w:val="87"/>
          <w:marBottom w:val="175"/>
          <w:divBdr>
            <w:top w:val="none" w:sz="0" w:space="0" w:color="auto"/>
            <w:left w:val="none" w:sz="0" w:space="0" w:color="auto"/>
            <w:bottom w:val="none" w:sz="0" w:space="0" w:color="auto"/>
            <w:right w:val="none" w:sz="0" w:space="0" w:color="auto"/>
          </w:divBdr>
          <w:divsChild>
            <w:div w:id="199560648">
              <w:marLeft w:val="0"/>
              <w:marRight w:val="0"/>
              <w:marTop w:val="0"/>
              <w:marBottom w:val="61"/>
              <w:divBdr>
                <w:top w:val="none" w:sz="0" w:space="0" w:color="auto"/>
                <w:left w:val="none" w:sz="0" w:space="0" w:color="auto"/>
                <w:bottom w:val="none" w:sz="0" w:space="0" w:color="auto"/>
                <w:right w:val="none" w:sz="0" w:space="0" w:color="auto"/>
              </w:divBdr>
              <w:divsChild>
                <w:div w:id="199560631">
                  <w:marLeft w:val="44"/>
                  <w:marRight w:val="0"/>
                  <w:marTop w:val="0"/>
                  <w:marBottom w:val="175"/>
                  <w:divBdr>
                    <w:top w:val="single" w:sz="4" w:space="0" w:color="B6B6E1"/>
                    <w:left w:val="single" w:sz="4" w:space="0" w:color="B6B6E1"/>
                    <w:bottom w:val="single" w:sz="4" w:space="0" w:color="B6B6E1"/>
                    <w:right w:val="single" w:sz="4" w:space="0" w:color="B6B6E1"/>
                  </w:divBdr>
                  <w:divsChild>
                    <w:div w:id="199560704">
                      <w:marLeft w:val="87"/>
                      <w:marRight w:val="0"/>
                      <w:marTop w:val="0"/>
                      <w:marBottom w:val="0"/>
                      <w:divBdr>
                        <w:top w:val="none" w:sz="0" w:space="0" w:color="auto"/>
                        <w:left w:val="none" w:sz="0" w:space="0" w:color="auto"/>
                        <w:bottom w:val="none" w:sz="0" w:space="0" w:color="auto"/>
                        <w:right w:val="none" w:sz="0" w:space="0" w:color="auto"/>
                      </w:divBdr>
                      <w:divsChild>
                        <w:div w:id="199560643">
                          <w:marLeft w:val="0"/>
                          <w:marRight w:val="0"/>
                          <w:marTop w:val="0"/>
                          <w:marBottom w:val="0"/>
                          <w:divBdr>
                            <w:top w:val="none" w:sz="0" w:space="0" w:color="auto"/>
                            <w:left w:val="none" w:sz="0" w:space="0" w:color="auto"/>
                            <w:bottom w:val="none" w:sz="0" w:space="0" w:color="auto"/>
                            <w:right w:val="none" w:sz="0" w:space="0" w:color="auto"/>
                          </w:divBdr>
                          <w:divsChild>
                            <w:div w:id="199560518">
                              <w:marLeft w:val="0"/>
                              <w:marRight w:val="0"/>
                              <w:marTop w:val="0"/>
                              <w:marBottom w:val="0"/>
                              <w:divBdr>
                                <w:top w:val="none" w:sz="0" w:space="0" w:color="auto"/>
                                <w:left w:val="none" w:sz="0" w:space="0" w:color="auto"/>
                                <w:bottom w:val="none" w:sz="0" w:space="0" w:color="auto"/>
                                <w:right w:val="none" w:sz="0" w:space="0" w:color="auto"/>
                              </w:divBdr>
                            </w:div>
                            <w:div w:id="199560587">
                              <w:marLeft w:val="0"/>
                              <w:marRight w:val="0"/>
                              <w:marTop w:val="87"/>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560603">
      <w:marLeft w:val="0"/>
      <w:marRight w:val="0"/>
      <w:marTop w:val="0"/>
      <w:marBottom w:val="0"/>
      <w:divBdr>
        <w:top w:val="none" w:sz="0" w:space="0" w:color="auto"/>
        <w:left w:val="none" w:sz="0" w:space="0" w:color="auto"/>
        <w:bottom w:val="none" w:sz="0" w:space="0" w:color="auto"/>
        <w:right w:val="none" w:sz="0" w:space="0" w:color="auto"/>
      </w:divBdr>
    </w:div>
    <w:div w:id="199560612">
      <w:marLeft w:val="15"/>
      <w:marRight w:val="0"/>
      <w:marTop w:val="100"/>
      <w:marBottom w:val="100"/>
      <w:divBdr>
        <w:top w:val="none" w:sz="0" w:space="0" w:color="auto"/>
        <w:left w:val="none" w:sz="0" w:space="0" w:color="auto"/>
        <w:bottom w:val="none" w:sz="0" w:space="0" w:color="auto"/>
        <w:right w:val="none" w:sz="0" w:space="0" w:color="auto"/>
      </w:divBdr>
      <w:divsChild>
        <w:div w:id="199560618">
          <w:marLeft w:val="136"/>
          <w:marRight w:val="0"/>
          <w:marTop w:val="0"/>
          <w:marBottom w:val="0"/>
          <w:divBdr>
            <w:top w:val="none" w:sz="0" w:space="0" w:color="auto"/>
            <w:left w:val="none" w:sz="0" w:space="0" w:color="auto"/>
            <w:bottom w:val="none" w:sz="0" w:space="0" w:color="auto"/>
            <w:right w:val="none" w:sz="0" w:space="0" w:color="auto"/>
          </w:divBdr>
          <w:divsChild>
            <w:div w:id="199560526">
              <w:marLeft w:val="0"/>
              <w:marRight w:val="0"/>
              <w:marTop w:val="0"/>
              <w:marBottom w:val="288"/>
              <w:divBdr>
                <w:top w:val="none" w:sz="0" w:space="0" w:color="auto"/>
                <w:left w:val="none" w:sz="0" w:space="0" w:color="auto"/>
                <w:bottom w:val="none" w:sz="0" w:space="0" w:color="auto"/>
                <w:right w:val="none" w:sz="0" w:space="0" w:color="auto"/>
              </w:divBdr>
              <w:divsChild>
                <w:div w:id="199560532">
                  <w:marLeft w:val="0"/>
                  <w:marRight w:val="0"/>
                  <w:marTop w:val="0"/>
                  <w:marBottom w:val="288"/>
                  <w:divBdr>
                    <w:top w:val="none" w:sz="0" w:space="0" w:color="auto"/>
                    <w:left w:val="none" w:sz="0" w:space="0" w:color="auto"/>
                    <w:bottom w:val="none" w:sz="0" w:space="0" w:color="auto"/>
                    <w:right w:val="none" w:sz="0" w:space="0" w:color="auto"/>
                  </w:divBdr>
                  <w:divsChild>
                    <w:div w:id="199560630">
                      <w:marLeft w:val="0"/>
                      <w:marRight w:val="0"/>
                      <w:marTop w:val="0"/>
                      <w:marBottom w:val="0"/>
                      <w:divBdr>
                        <w:top w:val="none" w:sz="0" w:space="0" w:color="auto"/>
                        <w:left w:val="none" w:sz="0" w:space="0" w:color="auto"/>
                        <w:bottom w:val="none" w:sz="0" w:space="0" w:color="auto"/>
                        <w:right w:val="none" w:sz="0" w:space="0" w:color="auto"/>
                      </w:divBdr>
                      <w:divsChild>
                        <w:div w:id="199560589">
                          <w:marLeft w:val="0"/>
                          <w:marRight w:val="0"/>
                          <w:marTop w:val="240"/>
                          <w:marBottom w:val="0"/>
                          <w:divBdr>
                            <w:top w:val="none" w:sz="0" w:space="0" w:color="auto"/>
                            <w:left w:val="none" w:sz="0" w:space="0" w:color="auto"/>
                            <w:bottom w:val="none" w:sz="0" w:space="0" w:color="auto"/>
                            <w:right w:val="none" w:sz="0" w:space="0" w:color="auto"/>
                          </w:divBdr>
                          <w:divsChild>
                            <w:div w:id="199560559">
                              <w:marLeft w:val="0"/>
                              <w:marRight w:val="0"/>
                              <w:marTop w:val="0"/>
                              <w:marBottom w:val="0"/>
                              <w:divBdr>
                                <w:top w:val="none" w:sz="0" w:space="0" w:color="auto"/>
                                <w:left w:val="none" w:sz="0" w:space="0" w:color="auto"/>
                                <w:bottom w:val="none" w:sz="0" w:space="0" w:color="auto"/>
                                <w:right w:val="none" w:sz="0" w:space="0" w:color="auto"/>
                              </w:divBdr>
                              <w:divsChild>
                                <w:div w:id="199560670">
                                  <w:marLeft w:val="0"/>
                                  <w:marRight w:val="0"/>
                                  <w:marTop w:val="0"/>
                                  <w:marBottom w:val="0"/>
                                  <w:divBdr>
                                    <w:top w:val="single" w:sz="6" w:space="0" w:color="808080"/>
                                    <w:left w:val="single" w:sz="6" w:space="0" w:color="808080"/>
                                    <w:bottom w:val="single" w:sz="6" w:space="0" w:color="808080"/>
                                    <w:right w:val="single" w:sz="6" w:space="0" w:color="808080"/>
                                  </w:divBdr>
                                </w:div>
                              </w:divsChild>
                            </w:div>
                          </w:divsChild>
                        </w:div>
                      </w:divsChild>
                    </w:div>
                  </w:divsChild>
                </w:div>
              </w:divsChild>
            </w:div>
          </w:divsChild>
        </w:div>
      </w:divsChild>
    </w:div>
    <w:div w:id="199560614">
      <w:marLeft w:val="0"/>
      <w:marRight w:val="0"/>
      <w:marTop w:val="0"/>
      <w:marBottom w:val="0"/>
      <w:divBdr>
        <w:top w:val="none" w:sz="0" w:space="0" w:color="auto"/>
        <w:left w:val="none" w:sz="0" w:space="0" w:color="auto"/>
        <w:bottom w:val="none" w:sz="0" w:space="0" w:color="auto"/>
        <w:right w:val="none" w:sz="0" w:space="0" w:color="auto"/>
      </w:divBdr>
    </w:div>
    <w:div w:id="199560622">
      <w:marLeft w:val="0"/>
      <w:marRight w:val="0"/>
      <w:marTop w:val="0"/>
      <w:marBottom w:val="0"/>
      <w:divBdr>
        <w:top w:val="none" w:sz="0" w:space="0" w:color="auto"/>
        <w:left w:val="none" w:sz="0" w:space="0" w:color="auto"/>
        <w:bottom w:val="none" w:sz="0" w:space="0" w:color="auto"/>
        <w:right w:val="none" w:sz="0" w:space="0" w:color="auto"/>
      </w:divBdr>
      <w:divsChild>
        <w:div w:id="199560617">
          <w:marLeft w:val="0"/>
          <w:marRight w:val="0"/>
          <w:marTop w:val="0"/>
          <w:marBottom w:val="0"/>
          <w:divBdr>
            <w:top w:val="none" w:sz="0" w:space="0" w:color="auto"/>
            <w:left w:val="none" w:sz="0" w:space="0" w:color="auto"/>
            <w:bottom w:val="none" w:sz="0" w:space="0" w:color="auto"/>
            <w:right w:val="none" w:sz="0" w:space="0" w:color="auto"/>
          </w:divBdr>
          <w:divsChild>
            <w:div w:id="199560571">
              <w:marLeft w:val="0"/>
              <w:marRight w:val="0"/>
              <w:marTop w:val="0"/>
              <w:marBottom w:val="0"/>
              <w:divBdr>
                <w:top w:val="none" w:sz="0" w:space="0" w:color="auto"/>
                <w:left w:val="none" w:sz="0" w:space="0" w:color="auto"/>
                <w:bottom w:val="none" w:sz="0" w:space="0" w:color="auto"/>
                <w:right w:val="none" w:sz="0" w:space="0" w:color="auto"/>
              </w:divBdr>
              <w:divsChild>
                <w:div w:id="199560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60635">
      <w:marLeft w:val="0"/>
      <w:marRight w:val="0"/>
      <w:marTop w:val="0"/>
      <w:marBottom w:val="0"/>
      <w:divBdr>
        <w:top w:val="none" w:sz="0" w:space="0" w:color="auto"/>
        <w:left w:val="none" w:sz="0" w:space="0" w:color="auto"/>
        <w:bottom w:val="none" w:sz="0" w:space="0" w:color="auto"/>
        <w:right w:val="none" w:sz="0" w:space="0" w:color="auto"/>
      </w:divBdr>
      <w:divsChild>
        <w:div w:id="199560545">
          <w:marLeft w:val="0"/>
          <w:marRight w:val="0"/>
          <w:marTop w:val="0"/>
          <w:marBottom w:val="0"/>
          <w:divBdr>
            <w:top w:val="none" w:sz="0" w:space="0" w:color="auto"/>
            <w:left w:val="none" w:sz="0" w:space="0" w:color="auto"/>
            <w:bottom w:val="none" w:sz="0" w:space="0" w:color="auto"/>
            <w:right w:val="none" w:sz="0" w:space="0" w:color="auto"/>
          </w:divBdr>
          <w:divsChild>
            <w:div w:id="199560700">
              <w:marLeft w:val="0"/>
              <w:marRight w:val="0"/>
              <w:marTop w:val="0"/>
              <w:marBottom w:val="0"/>
              <w:divBdr>
                <w:top w:val="none" w:sz="0" w:space="0" w:color="auto"/>
                <w:left w:val="none" w:sz="0" w:space="0" w:color="auto"/>
                <w:bottom w:val="none" w:sz="0" w:space="0" w:color="auto"/>
                <w:right w:val="none" w:sz="0" w:space="0" w:color="auto"/>
              </w:divBdr>
              <w:divsChild>
                <w:div w:id="19956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60646">
      <w:marLeft w:val="3"/>
      <w:marRight w:val="3"/>
      <w:marTop w:val="0"/>
      <w:marBottom w:val="0"/>
      <w:divBdr>
        <w:top w:val="none" w:sz="0" w:space="0" w:color="auto"/>
        <w:left w:val="none" w:sz="0" w:space="0" w:color="auto"/>
        <w:bottom w:val="none" w:sz="0" w:space="0" w:color="auto"/>
        <w:right w:val="none" w:sz="0" w:space="0" w:color="auto"/>
      </w:divBdr>
      <w:divsChild>
        <w:div w:id="199560634">
          <w:marLeft w:val="0"/>
          <w:marRight w:val="0"/>
          <w:marTop w:val="120"/>
          <w:marBottom w:val="0"/>
          <w:divBdr>
            <w:top w:val="none" w:sz="0" w:space="0" w:color="auto"/>
            <w:left w:val="none" w:sz="0" w:space="0" w:color="auto"/>
            <w:bottom w:val="none" w:sz="0" w:space="0" w:color="auto"/>
            <w:right w:val="none" w:sz="0" w:space="0" w:color="auto"/>
          </w:divBdr>
          <w:divsChild>
            <w:div w:id="199560658">
              <w:marLeft w:val="0"/>
              <w:marRight w:val="0"/>
              <w:marTop w:val="0"/>
              <w:marBottom w:val="0"/>
              <w:divBdr>
                <w:top w:val="none" w:sz="0" w:space="0" w:color="auto"/>
                <w:left w:val="none" w:sz="0" w:space="0" w:color="auto"/>
                <w:bottom w:val="none" w:sz="0" w:space="0" w:color="auto"/>
                <w:right w:val="none" w:sz="0" w:space="0" w:color="auto"/>
              </w:divBdr>
              <w:divsChild>
                <w:div w:id="199560600">
                  <w:marLeft w:val="0"/>
                  <w:marRight w:val="0"/>
                  <w:marTop w:val="0"/>
                  <w:marBottom w:val="0"/>
                  <w:divBdr>
                    <w:top w:val="none" w:sz="0" w:space="0" w:color="auto"/>
                    <w:left w:val="none" w:sz="0" w:space="0" w:color="auto"/>
                    <w:bottom w:val="none" w:sz="0" w:space="0" w:color="auto"/>
                    <w:right w:val="none" w:sz="0" w:space="0" w:color="auto"/>
                  </w:divBdr>
                  <w:divsChild>
                    <w:div w:id="199560550">
                      <w:marLeft w:val="0"/>
                      <w:marRight w:val="0"/>
                      <w:marTop w:val="0"/>
                      <w:marBottom w:val="0"/>
                      <w:divBdr>
                        <w:top w:val="none" w:sz="0" w:space="0" w:color="auto"/>
                        <w:left w:val="none" w:sz="0" w:space="0" w:color="auto"/>
                        <w:bottom w:val="none" w:sz="0" w:space="0" w:color="auto"/>
                        <w:right w:val="none" w:sz="0" w:space="0" w:color="auto"/>
                      </w:divBdr>
                      <w:divsChild>
                        <w:div w:id="19956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560656">
      <w:marLeft w:val="0"/>
      <w:marRight w:val="0"/>
      <w:marTop w:val="0"/>
      <w:marBottom w:val="0"/>
      <w:divBdr>
        <w:top w:val="none" w:sz="0" w:space="0" w:color="auto"/>
        <w:left w:val="none" w:sz="0" w:space="0" w:color="auto"/>
        <w:bottom w:val="none" w:sz="0" w:space="0" w:color="auto"/>
        <w:right w:val="none" w:sz="0" w:space="0" w:color="auto"/>
      </w:divBdr>
    </w:div>
    <w:div w:id="199560663">
      <w:marLeft w:val="0"/>
      <w:marRight w:val="0"/>
      <w:marTop w:val="0"/>
      <w:marBottom w:val="0"/>
      <w:divBdr>
        <w:top w:val="none" w:sz="0" w:space="0" w:color="auto"/>
        <w:left w:val="none" w:sz="0" w:space="0" w:color="auto"/>
        <w:bottom w:val="none" w:sz="0" w:space="0" w:color="auto"/>
        <w:right w:val="none" w:sz="0" w:space="0" w:color="auto"/>
      </w:divBdr>
      <w:divsChild>
        <w:div w:id="199560691">
          <w:marLeft w:val="78"/>
          <w:marRight w:val="49"/>
          <w:marTop w:val="0"/>
          <w:marBottom w:val="0"/>
          <w:divBdr>
            <w:top w:val="none" w:sz="0" w:space="0" w:color="auto"/>
            <w:left w:val="none" w:sz="0" w:space="0" w:color="auto"/>
            <w:bottom w:val="none" w:sz="0" w:space="0" w:color="auto"/>
            <w:right w:val="none" w:sz="0" w:space="0" w:color="auto"/>
          </w:divBdr>
          <w:divsChild>
            <w:div w:id="199560608">
              <w:marLeft w:val="0"/>
              <w:marRight w:val="0"/>
              <w:marTop w:val="0"/>
              <w:marBottom w:val="0"/>
              <w:divBdr>
                <w:top w:val="none" w:sz="0" w:space="0" w:color="auto"/>
                <w:left w:val="none" w:sz="0" w:space="0" w:color="auto"/>
                <w:bottom w:val="none" w:sz="0" w:space="0" w:color="auto"/>
                <w:right w:val="none" w:sz="0" w:space="0" w:color="auto"/>
              </w:divBdr>
              <w:divsChild>
                <w:div w:id="199560572">
                  <w:marLeft w:val="0"/>
                  <w:marRight w:val="0"/>
                  <w:marTop w:val="0"/>
                  <w:marBottom w:val="0"/>
                  <w:divBdr>
                    <w:top w:val="none" w:sz="0" w:space="0" w:color="auto"/>
                    <w:left w:val="none" w:sz="0" w:space="0" w:color="auto"/>
                    <w:bottom w:val="none" w:sz="0" w:space="0" w:color="auto"/>
                    <w:right w:val="none" w:sz="0" w:space="0" w:color="auto"/>
                  </w:divBdr>
                  <w:divsChild>
                    <w:div w:id="19956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560669">
      <w:marLeft w:val="0"/>
      <w:marRight w:val="0"/>
      <w:marTop w:val="0"/>
      <w:marBottom w:val="0"/>
      <w:divBdr>
        <w:top w:val="none" w:sz="0" w:space="0" w:color="auto"/>
        <w:left w:val="none" w:sz="0" w:space="0" w:color="auto"/>
        <w:bottom w:val="none" w:sz="0" w:space="0" w:color="auto"/>
        <w:right w:val="none" w:sz="0" w:space="0" w:color="auto"/>
      </w:divBdr>
      <w:divsChild>
        <w:div w:id="199560494">
          <w:marLeft w:val="0"/>
          <w:marRight w:val="0"/>
          <w:marTop w:val="0"/>
          <w:marBottom w:val="0"/>
          <w:divBdr>
            <w:top w:val="single" w:sz="4" w:space="2" w:color="6B90DA"/>
            <w:left w:val="none" w:sz="0" w:space="0" w:color="auto"/>
            <w:bottom w:val="none" w:sz="0" w:space="0" w:color="auto"/>
            <w:right w:val="none" w:sz="0" w:space="0" w:color="auto"/>
          </w:divBdr>
        </w:div>
      </w:divsChild>
    </w:div>
    <w:div w:id="199560671">
      <w:marLeft w:val="0"/>
      <w:marRight w:val="0"/>
      <w:marTop w:val="0"/>
      <w:marBottom w:val="0"/>
      <w:divBdr>
        <w:top w:val="none" w:sz="0" w:space="0" w:color="auto"/>
        <w:left w:val="none" w:sz="0" w:space="0" w:color="auto"/>
        <w:bottom w:val="none" w:sz="0" w:space="0" w:color="auto"/>
        <w:right w:val="none" w:sz="0" w:space="0" w:color="auto"/>
      </w:divBdr>
      <w:divsChild>
        <w:div w:id="199560660">
          <w:marLeft w:val="0"/>
          <w:marRight w:val="0"/>
          <w:marTop w:val="0"/>
          <w:marBottom w:val="0"/>
          <w:divBdr>
            <w:top w:val="none" w:sz="0" w:space="0" w:color="auto"/>
            <w:left w:val="none" w:sz="0" w:space="0" w:color="auto"/>
            <w:bottom w:val="none" w:sz="0" w:space="0" w:color="auto"/>
            <w:right w:val="none" w:sz="0" w:space="0" w:color="auto"/>
          </w:divBdr>
          <w:divsChild>
            <w:div w:id="199560514">
              <w:marLeft w:val="0"/>
              <w:marRight w:val="0"/>
              <w:marTop w:val="0"/>
              <w:marBottom w:val="0"/>
              <w:divBdr>
                <w:top w:val="none" w:sz="0" w:space="0" w:color="auto"/>
                <w:left w:val="none" w:sz="0" w:space="0" w:color="auto"/>
                <w:bottom w:val="none" w:sz="0" w:space="0" w:color="auto"/>
                <w:right w:val="none" w:sz="0" w:space="0" w:color="auto"/>
              </w:divBdr>
              <w:divsChild>
                <w:div w:id="199560688">
                  <w:marLeft w:val="0"/>
                  <w:marRight w:val="0"/>
                  <w:marTop w:val="0"/>
                  <w:marBottom w:val="0"/>
                  <w:divBdr>
                    <w:top w:val="none" w:sz="0" w:space="0" w:color="auto"/>
                    <w:left w:val="none" w:sz="0" w:space="0" w:color="auto"/>
                    <w:bottom w:val="none" w:sz="0" w:space="0" w:color="auto"/>
                    <w:right w:val="none" w:sz="0" w:space="0" w:color="auto"/>
                  </w:divBdr>
                </w:div>
              </w:divsChild>
            </w:div>
            <w:div w:id="199560633">
              <w:marLeft w:val="0"/>
              <w:marRight w:val="0"/>
              <w:marTop w:val="0"/>
              <w:marBottom w:val="0"/>
              <w:divBdr>
                <w:top w:val="none" w:sz="0" w:space="0" w:color="auto"/>
                <w:left w:val="none" w:sz="0" w:space="0" w:color="auto"/>
                <w:bottom w:val="none" w:sz="0" w:space="0" w:color="auto"/>
                <w:right w:val="none" w:sz="0" w:space="0" w:color="auto"/>
              </w:divBdr>
            </w:div>
            <w:div w:id="19956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60673">
      <w:marLeft w:val="0"/>
      <w:marRight w:val="0"/>
      <w:marTop w:val="0"/>
      <w:marBottom w:val="0"/>
      <w:divBdr>
        <w:top w:val="none" w:sz="0" w:space="0" w:color="auto"/>
        <w:left w:val="none" w:sz="0" w:space="0" w:color="auto"/>
        <w:bottom w:val="none" w:sz="0" w:space="0" w:color="auto"/>
        <w:right w:val="none" w:sz="0" w:space="0" w:color="auto"/>
      </w:divBdr>
      <w:divsChild>
        <w:div w:id="199560515">
          <w:marLeft w:val="0"/>
          <w:marRight w:val="0"/>
          <w:marTop w:val="0"/>
          <w:marBottom w:val="0"/>
          <w:divBdr>
            <w:top w:val="none" w:sz="0" w:space="0" w:color="auto"/>
            <w:left w:val="none" w:sz="0" w:space="0" w:color="auto"/>
            <w:bottom w:val="none" w:sz="0" w:space="0" w:color="auto"/>
            <w:right w:val="none" w:sz="0" w:space="0" w:color="auto"/>
          </w:divBdr>
        </w:div>
        <w:div w:id="199560542">
          <w:marLeft w:val="0"/>
          <w:marRight w:val="0"/>
          <w:marTop w:val="0"/>
          <w:marBottom w:val="0"/>
          <w:divBdr>
            <w:top w:val="none" w:sz="0" w:space="0" w:color="auto"/>
            <w:left w:val="none" w:sz="0" w:space="0" w:color="auto"/>
            <w:bottom w:val="none" w:sz="0" w:space="0" w:color="auto"/>
            <w:right w:val="none" w:sz="0" w:space="0" w:color="auto"/>
          </w:divBdr>
        </w:div>
        <w:div w:id="199560604">
          <w:marLeft w:val="0"/>
          <w:marRight w:val="0"/>
          <w:marTop w:val="0"/>
          <w:marBottom w:val="0"/>
          <w:divBdr>
            <w:top w:val="none" w:sz="0" w:space="0" w:color="auto"/>
            <w:left w:val="none" w:sz="0" w:space="0" w:color="auto"/>
            <w:bottom w:val="none" w:sz="0" w:space="0" w:color="auto"/>
            <w:right w:val="none" w:sz="0" w:space="0" w:color="auto"/>
          </w:divBdr>
        </w:div>
        <w:div w:id="199560636">
          <w:marLeft w:val="0"/>
          <w:marRight w:val="0"/>
          <w:marTop w:val="0"/>
          <w:marBottom w:val="0"/>
          <w:divBdr>
            <w:top w:val="none" w:sz="0" w:space="0" w:color="auto"/>
            <w:left w:val="none" w:sz="0" w:space="0" w:color="auto"/>
            <w:bottom w:val="none" w:sz="0" w:space="0" w:color="auto"/>
            <w:right w:val="none" w:sz="0" w:space="0" w:color="auto"/>
          </w:divBdr>
        </w:div>
        <w:div w:id="199560674">
          <w:marLeft w:val="0"/>
          <w:marRight w:val="0"/>
          <w:marTop w:val="0"/>
          <w:marBottom w:val="0"/>
          <w:divBdr>
            <w:top w:val="none" w:sz="0" w:space="0" w:color="auto"/>
            <w:left w:val="none" w:sz="0" w:space="0" w:color="auto"/>
            <w:bottom w:val="none" w:sz="0" w:space="0" w:color="auto"/>
            <w:right w:val="none" w:sz="0" w:space="0" w:color="auto"/>
          </w:divBdr>
        </w:div>
        <w:div w:id="199560684">
          <w:marLeft w:val="0"/>
          <w:marRight w:val="0"/>
          <w:marTop w:val="0"/>
          <w:marBottom w:val="0"/>
          <w:divBdr>
            <w:top w:val="none" w:sz="0" w:space="0" w:color="auto"/>
            <w:left w:val="none" w:sz="0" w:space="0" w:color="auto"/>
            <w:bottom w:val="none" w:sz="0" w:space="0" w:color="auto"/>
            <w:right w:val="none" w:sz="0" w:space="0" w:color="auto"/>
          </w:divBdr>
        </w:div>
        <w:div w:id="199560708">
          <w:marLeft w:val="0"/>
          <w:marRight w:val="0"/>
          <w:marTop w:val="0"/>
          <w:marBottom w:val="0"/>
          <w:divBdr>
            <w:top w:val="none" w:sz="0" w:space="0" w:color="auto"/>
            <w:left w:val="none" w:sz="0" w:space="0" w:color="auto"/>
            <w:bottom w:val="none" w:sz="0" w:space="0" w:color="auto"/>
            <w:right w:val="none" w:sz="0" w:space="0" w:color="auto"/>
          </w:divBdr>
        </w:div>
      </w:divsChild>
    </w:div>
    <w:div w:id="199560680">
      <w:marLeft w:val="3"/>
      <w:marRight w:val="3"/>
      <w:marTop w:val="0"/>
      <w:marBottom w:val="0"/>
      <w:divBdr>
        <w:top w:val="none" w:sz="0" w:space="0" w:color="auto"/>
        <w:left w:val="none" w:sz="0" w:space="0" w:color="auto"/>
        <w:bottom w:val="none" w:sz="0" w:space="0" w:color="auto"/>
        <w:right w:val="none" w:sz="0" w:space="0" w:color="auto"/>
      </w:divBdr>
      <w:divsChild>
        <w:div w:id="199560602">
          <w:marLeft w:val="0"/>
          <w:marRight w:val="0"/>
          <w:marTop w:val="62"/>
          <w:marBottom w:val="0"/>
          <w:divBdr>
            <w:top w:val="none" w:sz="0" w:space="0" w:color="auto"/>
            <w:left w:val="none" w:sz="0" w:space="0" w:color="auto"/>
            <w:bottom w:val="none" w:sz="0" w:space="0" w:color="auto"/>
            <w:right w:val="none" w:sz="0" w:space="0" w:color="auto"/>
          </w:divBdr>
          <w:divsChild>
            <w:div w:id="199560595">
              <w:marLeft w:val="0"/>
              <w:marRight w:val="0"/>
              <w:marTop w:val="0"/>
              <w:marBottom w:val="0"/>
              <w:divBdr>
                <w:top w:val="none" w:sz="0" w:space="0" w:color="auto"/>
                <w:left w:val="none" w:sz="0" w:space="0" w:color="auto"/>
                <w:bottom w:val="none" w:sz="0" w:space="0" w:color="auto"/>
                <w:right w:val="none" w:sz="0" w:space="0" w:color="auto"/>
              </w:divBdr>
              <w:divsChild>
                <w:div w:id="199560640">
                  <w:marLeft w:val="0"/>
                  <w:marRight w:val="0"/>
                  <w:marTop w:val="0"/>
                  <w:marBottom w:val="0"/>
                  <w:divBdr>
                    <w:top w:val="none" w:sz="0" w:space="0" w:color="auto"/>
                    <w:left w:val="none" w:sz="0" w:space="0" w:color="auto"/>
                    <w:bottom w:val="none" w:sz="0" w:space="0" w:color="auto"/>
                    <w:right w:val="none" w:sz="0" w:space="0" w:color="auto"/>
                  </w:divBdr>
                  <w:divsChild>
                    <w:div w:id="199560610">
                      <w:marLeft w:val="0"/>
                      <w:marRight w:val="0"/>
                      <w:marTop w:val="0"/>
                      <w:marBottom w:val="0"/>
                      <w:divBdr>
                        <w:top w:val="none" w:sz="0" w:space="0" w:color="auto"/>
                        <w:left w:val="none" w:sz="0" w:space="0" w:color="auto"/>
                        <w:bottom w:val="none" w:sz="0" w:space="0" w:color="auto"/>
                        <w:right w:val="none" w:sz="0" w:space="0" w:color="auto"/>
                      </w:divBdr>
                      <w:divsChild>
                        <w:div w:id="199560661">
                          <w:marLeft w:val="0"/>
                          <w:marRight w:val="0"/>
                          <w:marTop w:val="103"/>
                          <w:marBottom w:val="103"/>
                          <w:divBdr>
                            <w:top w:val="none" w:sz="0" w:space="0" w:color="auto"/>
                            <w:left w:val="none" w:sz="0" w:space="0" w:color="auto"/>
                            <w:bottom w:val="none" w:sz="0" w:space="0" w:color="auto"/>
                            <w:right w:val="none" w:sz="0" w:space="0" w:color="auto"/>
                          </w:divBdr>
                        </w:div>
                      </w:divsChild>
                    </w:div>
                    <w:div w:id="199560626">
                      <w:marLeft w:val="0"/>
                      <w:marRight w:val="0"/>
                      <w:marTop w:val="0"/>
                      <w:marBottom w:val="0"/>
                      <w:divBdr>
                        <w:top w:val="none" w:sz="0" w:space="0" w:color="auto"/>
                        <w:left w:val="none" w:sz="0" w:space="0" w:color="auto"/>
                        <w:bottom w:val="none" w:sz="0" w:space="0" w:color="auto"/>
                        <w:right w:val="none" w:sz="0" w:space="0" w:color="auto"/>
                      </w:divBdr>
                    </w:div>
                    <w:div w:id="199560667">
                      <w:marLeft w:val="0"/>
                      <w:marRight w:val="0"/>
                      <w:marTop w:val="0"/>
                      <w:marBottom w:val="0"/>
                      <w:divBdr>
                        <w:top w:val="none" w:sz="0" w:space="0" w:color="auto"/>
                        <w:left w:val="none" w:sz="0" w:space="0" w:color="auto"/>
                        <w:bottom w:val="none" w:sz="0" w:space="0" w:color="auto"/>
                        <w:right w:val="none" w:sz="0" w:space="0" w:color="auto"/>
                      </w:divBdr>
                      <w:divsChild>
                        <w:div w:id="199560590">
                          <w:marLeft w:val="0"/>
                          <w:marRight w:val="0"/>
                          <w:marTop w:val="103"/>
                          <w:marBottom w:val="103"/>
                          <w:divBdr>
                            <w:top w:val="none" w:sz="0" w:space="0" w:color="auto"/>
                            <w:left w:val="none" w:sz="0" w:space="0" w:color="auto"/>
                            <w:bottom w:val="none" w:sz="0" w:space="0" w:color="auto"/>
                            <w:right w:val="none" w:sz="0" w:space="0" w:color="auto"/>
                          </w:divBdr>
                        </w:div>
                      </w:divsChild>
                    </w:div>
                  </w:divsChild>
                </w:div>
              </w:divsChild>
            </w:div>
          </w:divsChild>
        </w:div>
      </w:divsChild>
    </w:div>
    <w:div w:id="199560683">
      <w:marLeft w:val="0"/>
      <w:marRight w:val="0"/>
      <w:marTop w:val="0"/>
      <w:marBottom w:val="0"/>
      <w:divBdr>
        <w:top w:val="none" w:sz="0" w:space="0" w:color="auto"/>
        <w:left w:val="none" w:sz="0" w:space="0" w:color="auto"/>
        <w:bottom w:val="none" w:sz="0" w:space="0" w:color="auto"/>
        <w:right w:val="none" w:sz="0" w:space="0" w:color="auto"/>
      </w:divBdr>
    </w:div>
    <w:div w:id="199560692">
      <w:marLeft w:val="3"/>
      <w:marRight w:val="3"/>
      <w:marTop w:val="0"/>
      <w:marBottom w:val="0"/>
      <w:divBdr>
        <w:top w:val="none" w:sz="0" w:space="0" w:color="auto"/>
        <w:left w:val="none" w:sz="0" w:space="0" w:color="auto"/>
        <w:bottom w:val="none" w:sz="0" w:space="0" w:color="auto"/>
        <w:right w:val="none" w:sz="0" w:space="0" w:color="auto"/>
      </w:divBdr>
      <w:divsChild>
        <w:div w:id="199560484">
          <w:marLeft w:val="0"/>
          <w:marRight w:val="0"/>
          <w:marTop w:val="54"/>
          <w:marBottom w:val="0"/>
          <w:divBdr>
            <w:top w:val="none" w:sz="0" w:space="0" w:color="auto"/>
            <w:left w:val="none" w:sz="0" w:space="0" w:color="auto"/>
            <w:bottom w:val="none" w:sz="0" w:space="0" w:color="auto"/>
            <w:right w:val="none" w:sz="0" w:space="0" w:color="auto"/>
          </w:divBdr>
          <w:divsChild>
            <w:div w:id="199560586">
              <w:marLeft w:val="0"/>
              <w:marRight w:val="0"/>
              <w:marTop w:val="0"/>
              <w:marBottom w:val="0"/>
              <w:divBdr>
                <w:top w:val="none" w:sz="0" w:space="0" w:color="auto"/>
                <w:left w:val="none" w:sz="0" w:space="0" w:color="auto"/>
                <w:bottom w:val="none" w:sz="0" w:space="0" w:color="auto"/>
                <w:right w:val="none" w:sz="0" w:space="0" w:color="auto"/>
              </w:divBdr>
              <w:divsChild>
                <w:div w:id="199560528">
                  <w:marLeft w:val="0"/>
                  <w:marRight w:val="0"/>
                  <w:marTop w:val="0"/>
                  <w:marBottom w:val="0"/>
                  <w:divBdr>
                    <w:top w:val="none" w:sz="0" w:space="0" w:color="auto"/>
                    <w:left w:val="none" w:sz="0" w:space="0" w:color="auto"/>
                    <w:bottom w:val="none" w:sz="0" w:space="0" w:color="auto"/>
                    <w:right w:val="none" w:sz="0" w:space="0" w:color="auto"/>
                  </w:divBdr>
                  <w:divsChild>
                    <w:div w:id="199560694">
                      <w:marLeft w:val="0"/>
                      <w:marRight w:val="0"/>
                      <w:marTop w:val="0"/>
                      <w:marBottom w:val="0"/>
                      <w:divBdr>
                        <w:top w:val="none" w:sz="0" w:space="0" w:color="auto"/>
                        <w:left w:val="none" w:sz="0" w:space="0" w:color="auto"/>
                        <w:bottom w:val="none" w:sz="0" w:space="0" w:color="auto"/>
                        <w:right w:val="none" w:sz="0" w:space="0" w:color="auto"/>
                      </w:divBdr>
                      <w:divsChild>
                        <w:div w:id="19956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560702">
      <w:marLeft w:val="77"/>
      <w:marRight w:val="77"/>
      <w:marTop w:val="29"/>
      <w:marBottom w:val="29"/>
      <w:divBdr>
        <w:top w:val="none" w:sz="0" w:space="0" w:color="auto"/>
        <w:left w:val="none" w:sz="0" w:space="0" w:color="auto"/>
        <w:bottom w:val="none" w:sz="0" w:space="0" w:color="auto"/>
        <w:right w:val="none" w:sz="0" w:space="0" w:color="auto"/>
      </w:divBdr>
      <w:divsChild>
        <w:div w:id="199560520">
          <w:marLeft w:val="0"/>
          <w:marRight w:val="0"/>
          <w:marTop w:val="0"/>
          <w:marBottom w:val="0"/>
          <w:divBdr>
            <w:top w:val="none" w:sz="0" w:space="0" w:color="auto"/>
            <w:left w:val="none" w:sz="0" w:space="0" w:color="auto"/>
            <w:bottom w:val="none" w:sz="0" w:space="0" w:color="auto"/>
            <w:right w:val="none" w:sz="0" w:space="0" w:color="auto"/>
          </w:divBdr>
          <w:divsChild>
            <w:div w:id="199560584">
              <w:marLeft w:val="0"/>
              <w:marRight w:val="0"/>
              <w:marTop w:val="0"/>
              <w:marBottom w:val="0"/>
              <w:divBdr>
                <w:top w:val="none" w:sz="0" w:space="0" w:color="auto"/>
                <w:left w:val="none" w:sz="0" w:space="0" w:color="auto"/>
                <w:bottom w:val="none" w:sz="0" w:space="0" w:color="auto"/>
                <w:right w:val="none" w:sz="0" w:space="0" w:color="auto"/>
              </w:divBdr>
              <w:divsChild>
                <w:div w:id="199560701">
                  <w:marLeft w:val="154"/>
                  <w:marRight w:val="154"/>
                  <w:marTop w:val="0"/>
                  <w:marBottom w:val="0"/>
                  <w:divBdr>
                    <w:top w:val="none" w:sz="0" w:space="0" w:color="auto"/>
                    <w:left w:val="none" w:sz="0" w:space="0" w:color="auto"/>
                    <w:bottom w:val="none" w:sz="0" w:space="0" w:color="auto"/>
                    <w:right w:val="none" w:sz="0" w:space="0" w:color="auto"/>
                  </w:divBdr>
                  <w:divsChild>
                    <w:div w:id="19956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560709">
      <w:marLeft w:val="0"/>
      <w:marRight w:val="0"/>
      <w:marTop w:val="0"/>
      <w:marBottom w:val="0"/>
      <w:divBdr>
        <w:top w:val="none" w:sz="0" w:space="0" w:color="auto"/>
        <w:left w:val="none" w:sz="0" w:space="0" w:color="auto"/>
        <w:bottom w:val="none" w:sz="0" w:space="0" w:color="auto"/>
        <w:right w:val="none" w:sz="0" w:space="0" w:color="auto"/>
      </w:divBdr>
      <w:divsChild>
        <w:div w:id="199560538">
          <w:marLeft w:val="0"/>
          <w:marRight w:val="0"/>
          <w:marTop w:val="0"/>
          <w:marBottom w:val="0"/>
          <w:divBdr>
            <w:top w:val="none" w:sz="0" w:space="0" w:color="auto"/>
            <w:left w:val="none" w:sz="0" w:space="0" w:color="auto"/>
            <w:bottom w:val="none" w:sz="0" w:space="0" w:color="auto"/>
            <w:right w:val="none" w:sz="0" w:space="0" w:color="auto"/>
          </w:divBdr>
          <w:divsChild>
            <w:div w:id="199560568">
              <w:marLeft w:val="0"/>
              <w:marRight w:val="0"/>
              <w:marTop w:val="0"/>
              <w:marBottom w:val="0"/>
              <w:divBdr>
                <w:top w:val="none" w:sz="0" w:space="0" w:color="auto"/>
                <w:left w:val="none" w:sz="0" w:space="0" w:color="auto"/>
                <w:bottom w:val="none" w:sz="0" w:space="0" w:color="auto"/>
                <w:right w:val="none" w:sz="0" w:space="0" w:color="auto"/>
              </w:divBdr>
              <w:divsChild>
                <w:div w:id="199560509">
                  <w:marLeft w:val="0"/>
                  <w:marRight w:val="-6084"/>
                  <w:marTop w:val="0"/>
                  <w:marBottom w:val="0"/>
                  <w:divBdr>
                    <w:top w:val="none" w:sz="0" w:space="0" w:color="auto"/>
                    <w:left w:val="none" w:sz="0" w:space="0" w:color="auto"/>
                    <w:bottom w:val="none" w:sz="0" w:space="0" w:color="auto"/>
                    <w:right w:val="none" w:sz="0" w:space="0" w:color="auto"/>
                  </w:divBdr>
                  <w:divsChild>
                    <w:div w:id="199560470">
                      <w:marLeft w:val="0"/>
                      <w:marRight w:val="5604"/>
                      <w:marTop w:val="0"/>
                      <w:marBottom w:val="0"/>
                      <w:divBdr>
                        <w:top w:val="none" w:sz="0" w:space="0" w:color="auto"/>
                        <w:left w:val="none" w:sz="0" w:space="0" w:color="auto"/>
                        <w:bottom w:val="none" w:sz="0" w:space="0" w:color="auto"/>
                        <w:right w:val="none" w:sz="0" w:space="0" w:color="auto"/>
                      </w:divBdr>
                      <w:divsChild>
                        <w:div w:id="199560598">
                          <w:marLeft w:val="0"/>
                          <w:marRight w:val="0"/>
                          <w:marTop w:val="0"/>
                          <w:marBottom w:val="0"/>
                          <w:divBdr>
                            <w:top w:val="none" w:sz="0" w:space="0" w:color="auto"/>
                            <w:left w:val="none" w:sz="0" w:space="0" w:color="auto"/>
                            <w:bottom w:val="none" w:sz="0" w:space="0" w:color="auto"/>
                            <w:right w:val="none" w:sz="0" w:space="0" w:color="auto"/>
                          </w:divBdr>
                          <w:divsChild>
                            <w:div w:id="199560576">
                              <w:marLeft w:val="0"/>
                              <w:marRight w:val="0"/>
                              <w:marTop w:val="12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480462">
      <w:bodyDiv w:val="1"/>
      <w:marLeft w:val="0"/>
      <w:marRight w:val="0"/>
      <w:marTop w:val="0"/>
      <w:marBottom w:val="0"/>
      <w:divBdr>
        <w:top w:val="none" w:sz="0" w:space="0" w:color="auto"/>
        <w:left w:val="none" w:sz="0" w:space="0" w:color="auto"/>
        <w:bottom w:val="none" w:sz="0" w:space="0" w:color="auto"/>
        <w:right w:val="none" w:sz="0" w:space="0" w:color="auto"/>
      </w:divBdr>
    </w:div>
    <w:div w:id="218637172">
      <w:bodyDiv w:val="1"/>
      <w:marLeft w:val="0"/>
      <w:marRight w:val="0"/>
      <w:marTop w:val="0"/>
      <w:marBottom w:val="0"/>
      <w:divBdr>
        <w:top w:val="none" w:sz="0" w:space="0" w:color="auto"/>
        <w:left w:val="none" w:sz="0" w:space="0" w:color="auto"/>
        <w:bottom w:val="none" w:sz="0" w:space="0" w:color="auto"/>
        <w:right w:val="none" w:sz="0" w:space="0" w:color="auto"/>
      </w:divBdr>
    </w:div>
    <w:div w:id="250165590">
      <w:bodyDiv w:val="1"/>
      <w:marLeft w:val="0"/>
      <w:marRight w:val="0"/>
      <w:marTop w:val="0"/>
      <w:marBottom w:val="0"/>
      <w:divBdr>
        <w:top w:val="none" w:sz="0" w:space="0" w:color="auto"/>
        <w:left w:val="none" w:sz="0" w:space="0" w:color="auto"/>
        <w:bottom w:val="none" w:sz="0" w:space="0" w:color="auto"/>
        <w:right w:val="none" w:sz="0" w:space="0" w:color="auto"/>
      </w:divBdr>
    </w:div>
    <w:div w:id="300158232">
      <w:bodyDiv w:val="1"/>
      <w:marLeft w:val="0"/>
      <w:marRight w:val="0"/>
      <w:marTop w:val="0"/>
      <w:marBottom w:val="0"/>
      <w:divBdr>
        <w:top w:val="none" w:sz="0" w:space="0" w:color="auto"/>
        <w:left w:val="none" w:sz="0" w:space="0" w:color="auto"/>
        <w:bottom w:val="none" w:sz="0" w:space="0" w:color="auto"/>
        <w:right w:val="none" w:sz="0" w:space="0" w:color="auto"/>
      </w:divBdr>
      <w:divsChild>
        <w:div w:id="259267359">
          <w:marLeft w:val="0"/>
          <w:marRight w:val="0"/>
          <w:marTop w:val="195"/>
          <w:marBottom w:val="0"/>
          <w:divBdr>
            <w:top w:val="none" w:sz="0" w:space="0" w:color="auto"/>
            <w:left w:val="none" w:sz="0" w:space="0" w:color="auto"/>
            <w:bottom w:val="none" w:sz="0" w:space="0" w:color="auto"/>
            <w:right w:val="none" w:sz="0" w:space="0" w:color="auto"/>
          </w:divBdr>
        </w:div>
      </w:divsChild>
    </w:div>
    <w:div w:id="325744781">
      <w:bodyDiv w:val="1"/>
      <w:marLeft w:val="0"/>
      <w:marRight w:val="0"/>
      <w:marTop w:val="0"/>
      <w:marBottom w:val="0"/>
      <w:divBdr>
        <w:top w:val="none" w:sz="0" w:space="0" w:color="auto"/>
        <w:left w:val="none" w:sz="0" w:space="0" w:color="auto"/>
        <w:bottom w:val="none" w:sz="0" w:space="0" w:color="auto"/>
        <w:right w:val="none" w:sz="0" w:space="0" w:color="auto"/>
      </w:divBdr>
      <w:divsChild>
        <w:div w:id="174198405">
          <w:marLeft w:val="0"/>
          <w:marRight w:val="0"/>
          <w:marTop w:val="0"/>
          <w:marBottom w:val="0"/>
          <w:divBdr>
            <w:top w:val="none" w:sz="0" w:space="0" w:color="auto"/>
            <w:left w:val="none" w:sz="0" w:space="0" w:color="auto"/>
            <w:bottom w:val="none" w:sz="0" w:space="0" w:color="auto"/>
            <w:right w:val="none" w:sz="0" w:space="0" w:color="auto"/>
          </w:divBdr>
        </w:div>
      </w:divsChild>
    </w:div>
    <w:div w:id="370304426">
      <w:bodyDiv w:val="1"/>
      <w:marLeft w:val="0"/>
      <w:marRight w:val="0"/>
      <w:marTop w:val="0"/>
      <w:marBottom w:val="0"/>
      <w:divBdr>
        <w:top w:val="none" w:sz="0" w:space="0" w:color="auto"/>
        <w:left w:val="none" w:sz="0" w:space="0" w:color="auto"/>
        <w:bottom w:val="none" w:sz="0" w:space="0" w:color="auto"/>
        <w:right w:val="none" w:sz="0" w:space="0" w:color="auto"/>
      </w:divBdr>
      <w:divsChild>
        <w:div w:id="675351069">
          <w:marLeft w:val="0"/>
          <w:marRight w:val="0"/>
          <w:marTop w:val="0"/>
          <w:marBottom w:val="0"/>
          <w:divBdr>
            <w:top w:val="none" w:sz="0" w:space="0" w:color="auto"/>
            <w:left w:val="none" w:sz="0" w:space="0" w:color="auto"/>
            <w:bottom w:val="none" w:sz="0" w:space="0" w:color="auto"/>
            <w:right w:val="none" w:sz="0" w:space="0" w:color="auto"/>
          </w:divBdr>
          <w:divsChild>
            <w:div w:id="1754276397">
              <w:marLeft w:val="0"/>
              <w:marRight w:val="0"/>
              <w:marTop w:val="0"/>
              <w:marBottom w:val="0"/>
              <w:divBdr>
                <w:top w:val="none" w:sz="0" w:space="0" w:color="auto"/>
                <w:left w:val="none" w:sz="0" w:space="0" w:color="auto"/>
                <w:bottom w:val="none" w:sz="0" w:space="0" w:color="auto"/>
                <w:right w:val="none" w:sz="0" w:space="0" w:color="auto"/>
              </w:divBdr>
              <w:divsChild>
                <w:div w:id="77124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903726">
      <w:bodyDiv w:val="1"/>
      <w:marLeft w:val="0"/>
      <w:marRight w:val="0"/>
      <w:marTop w:val="0"/>
      <w:marBottom w:val="0"/>
      <w:divBdr>
        <w:top w:val="none" w:sz="0" w:space="0" w:color="auto"/>
        <w:left w:val="none" w:sz="0" w:space="0" w:color="auto"/>
        <w:bottom w:val="none" w:sz="0" w:space="0" w:color="auto"/>
        <w:right w:val="none" w:sz="0" w:space="0" w:color="auto"/>
      </w:divBdr>
    </w:div>
    <w:div w:id="392197861">
      <w:bodyDiv w:val="1"/>
      <w:marLeft w:val="0"/>
      <w:marRight w:val="0"/>
      <w:marTop w:val="0"/>
      <w:marBottom w:val="0"/>
      <w:divBdr>
        <w:top w:val="none" w:sz="0" w:space="0" w:color="auto"/>
        <w:left w:val="none" w:sz="0" w:space="0" w:color="auto"/>
        <w:bottom w:val="none" w:sz="0" w:space="0" w:color="auto"/>
        <w:right w:val="none" w:sz="0" w:space="0" w:color="auto"/>
      </w:divBdr>
      <w:divsChild>
        <w:div w:id="1799450319">
          <w:marLeft w:val="0"/>
          <w:marRight w:val="0"/>
          <w:marTop w:val="0"/>
          <w:marBottom w:val="0"/>
          <w:divBdr>
            <w:top w:val="none" w:sz="0" w:space="0" w:color="auto"/>
            <w:left w:val="none" w:sz="0" w:space="0" w:color="auto"/>
            <w:bottom w:val="none" w:sz="0" w:space="0" w:color="auto"/>
            <w:right w:val="none" w:sz="0" w:space="0" w:color="auto"/>
          </w:divBdr>
          <w:divsChild>
            <w:div w:id="109010977">
              <w:marLeft w:val="0"/>
              <w:marRight w:val="0"/>
              <w:marTop w:val="0"/>
              <w:marBottom w:val="0"/>
              <w:divBdr>
                <w:top w:val="none" w:sz="0" w:space="0" w:color="auto"/>
                <w:left w:val="none" w:sz="0" w:space="0" w:color="auto"/>
                <w:bottom w:val="none" w:sz="0" w:space="0" w:color="auto"/>
                <w:right w:val="none" w:sz="0" w:space="0" w:color="auto"/>
              </w:divBdr>
              <w:divsChild>
                <w:div w:id="265966715">
                  <w:marLeft w:val="0"/>
                  <w:marRight w:val="0"/>
                  <w:marTop w:val="0"/>
                  <w:marBottom w:val="0"/>
                  <w:divBdr>
                    <w:top w:val="none" w:sz="0" w:space="0" w:color="auto"/>
                    <w:left w:val="none" w:sz="0" w:space="0" w:color="auto"/>
                    <w:bottom w:val="none" w:sz="0" w:space="0" w:color="auto"/>
                    <w:right w:val="none" w:sz="0" w:space="0" w:color="auto"/>
                  </w:divBdr>
                </w:div>
                <w:div w:id="442655268">
                  <w:marLeft w:val="0"/>
                  <w:marRight w:val="0"/>
                  <w:marTop w:val="0"/>
                  <w:marBottom w:val="0"/>
                  <w:divBdr>
                    <w:top w:val="none" w:sz="0" w:space="0" w:color="auto"/>
                    <w:left w:val="none" w:sz="0" w:space="0" w:color="auto"/>
                    <w:bottom w:val="none" w:sz="0" w:space="0" w:color="auto"/>
                    <w:right w:val="none" w:sz="0" w:space="0" w:color="auto"/>
                  </w:divBdr>
                </w:div>
                <w:div w:id="1055733974">
                  <w:marLeft w:val="0"/>
                  <w:marRight w:val="0"/>
                  <w:marTop w:val="0"/>
                  <w:marBottom w:val="0"/>
                  <w:divBdr>
                    <w:top w:val="none" w:sz="0" w:space="0" w:color="auto"/>
                    <w:left w:val="none" w:sz="0" w:space="0" w:color="auto"/>
                    <w:bottom w:val="none" w:sz="0" w:space="0" w:color="auto"/>
                    <w:right w:val="none" w:sz="0" w:space="0" w:color="auto"/>
                  </w:divBdr>
                </w:div>
                <w:div w:id="1212813030">
                  <w:marLeft w:val="0"/>
                  <w:marRight w:val="0"/>
                  <w:marTop w:val="0"/>
                  <w:marBottom w:val="0"/>
                  <w:divBdr>
                    <w:top w:val="none" w:sz="0" w:space="0" w:color="auto"/>
                    <w:left w:val="none" w:sz="0" w:space="0" w:color="auto"/>
                    <w:bottom w:val="none" w:sz="0" w:space="0" w:color="auto"/>
                    <w:right w:val="none" w:sz="0" w:space="0" w:color="auto"/>
                  </w:divBdr>
                </w:div>
                <w:div w:id="1289899840">
                  <w:marLeft w:val="0"/>
                  <w:marRight w:val="0"/>
                  <w:marTop w:val="0"/>
                  <w:marBottom w:val="0"/>
                  <w:divBdr>
                    <w:top w:val="none" w:sz="0" w:space="0" w:color="auto"/>
                    <w:left w:val="none" w:sz="0" w:space="0" w:color="auto"/>
                    <w:bottom w:val="none" w:sz="0" w:space="0" w:color="auto"/>
                    <w:right w:val="none" w:sz="0" w:space="0" w:color="auto"/>
                  </w:divBdr>
                  <w:divsChild>
                    <w:div w:id="696469998">
                      <w:marLeft w:val="0"/>
                      <w:marRight w:val="0"/>
                      <w:marTop w:val="0"/>
                      <w:marBottom w:val="0"/>
                      <w:divBdr>
                        <w:top w:val="none" w:sz="0" w:space="0" w:color="auto"/>
                        <w:left w:val="none" w:sz="0" w:space="0" w:color="auto"/>
                        <w:bottom w:val="none" w:sz="0" w:space="0" w:color="auto"/>
                        <w:right w:val="none" w:sz="0" w:space="0" w:color="auto"/>
                      </w:divBdr>
                    </w:div>
                  </w:divsChild>
                </w:div>
                <w:div w:id="1306156461">
                  <w:marLeft w:val="0"/>
                  <w:marRight w:val="0"/>
                  <w:marTop w:val="0"/>
                  <w:marBottom w:val="0"/>
                  <w:divBdr>
                    <w:top w:val="none" w:sz="0" w:space="0" w:color="auto"/>
                    <w:left w:val="none" w:sz="0" w:space="0" w:color="auto"/>
                    <w:bottom w:val="none" w:sz="0" w:space="0" w:color="auto"/>
                    <w:right w:val="none" w:sz="0" w:space="0" w:color="auto"/>
                  </w:divBdr>
                </w:div>
                <w:div w:id="1567374045">
                  <w:marLeft w:val="0"/>
                  <w:marRight w:val="0"/>
                  <w:marTop w:val="0"/>
                  <w:marBottom w:val="0"/>
                  <w:divBdr>
                    <w:top w:val="none" w:sz="0" w:space="0" w:color="auto"/>
                    <w:left w:val="none" w:sz="0" w:space="0" w:color="auto"/>
                    <w:bottom w:val="none" w:sz="0" w:space="0" w:color="auto"/>
                    <w:right w:val="none" w:sz="0" w:space="0" w:color="auto"/>
                  </w:divBdr>
                </w:div>
                <w:div w:id="1808620336">
                  <w:marLeft w:val="0"/>
                  <w:marRight w:val="0"/>
                  <w:marTop w:val="0"/>
                  <w:marBottom w:val="0"/>
                  <w:divBdr>
                    <w:top w:val="none" w:sz="0" w:space="0" w:color="auto"/>
                    <w:left w:val="none" w:sz="0" w:space="0" w:color="auto"/>
                    <w:bottom w:val="none" w:sz="0" w:space="0" w:color="auto"/>
                    <w:right w:val="none" w:sz="0" w:space="0" w:color="auto"/>
                  </w:divBdr>
                </w:div>
                <w:div w:id="2048873330">
                  <w:marLeft w:val="0"/>
                  <w:marRight w:val="0"/>
                  <w:marTop w:val="0"/>
                  <w:marBottom w:val="0"/>
                  <w:divBdr>
                    <w:top w:val="none" w:sz="0" w:space="0" w:color="auto"/>
                    <w:left w:val="none" w:sz="0" w:space="0" w:color="auto"/>
                    <w:bottom w:val="none" w:sz="0" w:space="0" w:color="auto"/>
                    <w:right w:val="none" w:sz="0" w:space="0" w:color="auto"/>
                  </w:divBdr>
                </w:div>
                <w:div w:id="206760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600624">
      <w:bodyDiv w:val="1"/>
      <w:marLeft w:val="0"/>
      <w:marRight w:val="0"/>
      <w:marTop w:val="0"/>
      <w:marBottom w:val="0"/>
      <w:divBdr>
        <w:top w:val="none" w:sz="0" w:space="0" w:color="auto"/>
        <w:left w:val="none" w:sz="0" w:space="0" w:color="auto"/>
        <w:bottom w:val="none" w:sz="0" w:space="0" w:color="auto"/>
        <w:right w:val="none" w:sz="0" w:space="0" w:color="auto"/>
      </w:divBdr>
    </w:div>
    <w:div w:id="424880943">
      <w:bodyDiv w:val="1"/>
      <w:marLeft w:val="0"/>
      <w:marRight w:val="0"/>
      <w:marTop w:val="0"/>
      <w:marBottom w:val="0"/>
      <w:divBdr>
        <w:top w:val="none" w:sz="0" w:space="0" w:color="auto"/>
        <w:left w:val="none" w:sz="0" w:space="0" w:color="auto"/>
        <w:bottom w:val="none" w:sz="0" w:space="0" w:color="auto"/>
        <w:right w:val="none" w:sz="0" w:space="0" w:color="auto"/>
      </w:divBdr>
    </w:div>
    <w:div w:id="453405688">
      <w:bodyDiv w:val="1"/>
      <w:marLeft w:val="0"/>
      <w:marRight w:val="0"/>
      <w:marTop w:val="0"/>
      <w:marBottom w:val="0"/>
      <w:divBdr>
        <w:top w:val="none" w:sz="0" w:space="0" w:color="auto"/>
        <w:left w:val="none" w:sz="0" w:space="0" w:color="auto"/>
        <w:bottom w:val="none" w:sz="0" w:space="0" w:color="auto"/>
        <w:right w:val="none" w:sz="0" w:space="0" w:color="auto"/>
      </w:divBdr>
    </w:div>
    <w:div w:id="457455000">
      <w:bodyDiv w:val="1"/>
      <w:marLeft w:val="0"/>
      <w:marRight w:val="0"/>
      <w:marTop w:val="0"/>
      <w:marBottom w:val="0"/>
      <w:divBdr>
        <w:top w:val="none" w:sz="0" w:space="0" w:color="auto"/>
        <w:left w:val="none" w:sz="0" w:space="0" w:color="auto"/>
        <w:bottom w:val="none" w:sz="0" w:space="0" w:color="auto"/>
        <w:right w:val="none" w:sz="0" w:space="0" w:color="auto"/>
      </w:divBdr>
      <w:divsChild>
        <w:div w:id="212545587">
          <w:marLeft w:val="0"/>
          <w:marRight w:val="0"/>
          <w:marTop w:val="0"/>
          <w:marBottom w:val="0"/>
          <w:divBdr>
            <w:top w:val="none" w:sz="0" w:space="0" w:color="auto"/>
            <w:left w:val="none" w:sz="0" w:space="0" w:color="auto"/>
            <w:bottom w:val="none" w:sz="0" w:space="0" w:color="auto"/>
            <w:right w:val="none" w:sz="0" w:space="0" w:color="auto"/>
          </w:divBdr>
          <w:divsChild>
            <w:div w:id="1260142323">
              <w:marLeft w:val="0"/>
              <w:marRight w:val="0"/>
              <w:marTop w:val="0"/>
              <w:marBottom w:val="0"/>
              <w:divBdr>
                <w:top w:val="none" w:sz="0" w:space="0" w:color="auto"/>
                <w:left w:val="none" w:sz="0" w:space="0" w:color="auto"/>
                <w:bottom w:val="none" w:sz="0" w:space="0" w:color="auto"/>
                <w:right w:val="none" w:sz="0" w:space="0" w:color="auto"/>
              </w:divBdr>
              <w:divsChild>
                <w:div w:id="79856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698707">
      <w:bodyDiv w:val="1"/>
      <w:marLeft w:val="0"/>
      <w:marRight w:val="0"/>
      <w:marTop w:val="0"/>
      <w:marBottom w:val="0"/>
      <w:divBdr>
        <w:top w:val="none" w:sz="0" w:space="0" w:color="auto"/>
        <w:left w:val="none" w:sz="0" w:space="0" w:color="auto"/>
        <w:bottom w:val="none" w:sz="0" w:space="0" w:color="auto"/>
        <w:right w:val="none" w:sz="0" w:space="0" w:color="auto"/>
      </w:divBdr>
    </w:div>
    <w:div w:id="517888180">
      <w:bodyDiv w:val="1"/>
      <w:marLeft w:val="0"/>
      <w:marRight w:val="0"/>
      <w:marTop w:val="0"/>
      <w:marBottom w:val="0"/>
      <w:divBdr>
        <w:top w:val="none" w:sz="0" w:space="0" w:color="auto"/>
        <w:left w:val="none" w:sz="0" w:space="0" w:color="auto"/>
        <w:bottom w:val="none" w:sz="0" w:space="0" w:color="auto"/>
        <w:right w:val="none" w:sz="0" w:space="0" w:color="auto"/>
      </w:divBdr>
      <w:divsChild>
        <w:div w:id="2443997">
          <w:marLeft w:val="0"/>
          <w:marRight w:val="0"/>
          <w:marTop w:val="0"/>
          <w:marBottom w:val="0"/>
          <w:divBdr>
            <w:top w:val="none" w:sz="0" w:space="0" w:color="auto"/>
            <w:left w:val="none" w:sz="0" w:space="0" w:color="auto"/>
            <w:bottom w:val="none" w:sz="0" w:space="0" w:color="auto"/>
            <w:right w:val="none" w:sz="0" w:space="0" w:color="auto"/>
          </w:divBdr>
          <w:divsChild>
            <w:div w:id="622275490">
              <w:marLeft w:val="0"/>
              <w:marRight w:val="0"/>
              <w:marTop w:val="0"/>
              <w:marBottom w:val="0"/>
              <w:divBdr>
                <w:top w:val="none" w:sz="0" w:space="0" w:color="auto"/>
                <w:left w:val="none" w:sz="0" w:space="0" w:color="auto"/>
                <w:bottom w:val="none" w:sz="0" w:space="0" w:color="auto"/>
                <w:right w:val="none" w:sz="0" w:space="0" w:color="auto"/>
              </w:divBdr>
            </w:div>
          </w:divsChild>
        </w:div>
        <w:div w:id="152448804">
          <w:marLeft w:val="0"/>
          <w:marRight w:val="0"/>
          <w:marTop w:val="0"/>
          <w:marBottom w:val="0"/>
          <w:divBdr>
            <w:top w:val="single" w:sz="6" w:space="0" w:color="DDDDDD"/>
            <w:left w:val="single" w:sz="6" w:space="0" w:color="DDDDDD"/>
            <w:bottom w:val="single" w:sz="6" w:space="0" w:color="DDDDDD"/>
            <w:right w:val="single" w:sz="6" w:space="0" w:color="DDDDDD"/>
          </w:divBdr>
          <w:divsChild>
            <w:div w:id="342515842">
              <w:marLeft w:val="0"/>
              <w:marRight w:val="0"/>
              <w:marTop w:val="0"/>
              <w:marBottom w:val="0"/>
              <w:divBdr>
                <w:top w:val="none" w:sz="0" w:space="0" w:color="auto"/>
                <w:left w:val="none" w:sz="0" w:space="0" w:color="auto"/>
                <w:bottom w:val="single" w:sz="6" w:space="15" w:color="DDDDDD"/>
                <w:right w:val="none" w:sz="0" w:space="0" w:color="auto"/>
              </w:divBdr>
            </w:div>
          </w:divsChild>
        </w:div>
      </w:divsChild>
    </w:div>
    <w:div w:id="519514239">
      <w:bodyDiv w:val="1"/>
      <w:marLeft w:val="0"/>
      <w:marRight w:val="0"/>
      <w:marTop w:val="0"/>
      <w:marBottom w:val="0"/>
      <w:divBdr>
        <w:top w:val="none" w:sz="0" w:space="0" w:color="auto"/>
        <w:left w:val="none" w:sz="0" w:space="0" w:color="auto"/>
        <w:bottom w:val="none" w:sz="0" w:space="0" w:color="auto"/>
        <w:right w:val="none" w:sz="0" w:space="0" w:color="auto"/>
      </w:divBdr>
      <w:divsChild>
        <w:div w:id="299582309">
          <w:marLeft w:val="0"/>
          <w:marRight w:val="0"/>
          <w:marTop w:val="0"/>
          <w:marBottom w:val="0"/>
          <w:divBdr>
            <w:top w:val="none" w:sz="0" w:space="0" w:color="auto"/>
            <w:left w:val="none" w:sz="0" w:space="0" w:color="auto"/>
            <w:bottom w:val="none" w:sz="0" w:space="0" w:color="auto"/>
            <w:right w:val="none" w:sz="0" w:space="0" w:color="auto"/>
          </w:divBdr>
          <w:divsChild>
            <w:div w:id="445387317">
              <w:marLeft w:val="0"/>
              <w:marRight w:val="0"/>
              <w:marTop w:val="0"/>
              <w:marBottom w:val="0"/>
              <w:divBdr>
                <w:top w:val="none" w:sz="0" w:space="0" w:color="auto"/>
                <w:left w:val="none" w:sz="0" w:space="0" w:color="auto"/>
                <w:bottom w:val="none" w:sz="0" w:space="0" w:color="auto"/>
                <w:right w:val="none" w:sz="0" w:space="0" w:color="auto"/>
              </w:divBdr>
              <w:divsChild>
                <w:div w:id="1419211865">
                  <w:marLeft w:val="0"/>
                  <w:marRight w:val="0"/>
                  <w:marTop w:val="0"/>
                  <w:marBottom w:val="0"/>
                  <w:divBdr>
                    <w:top w:val="none" w:sz="0" w:space="0" w:color="auto"/>
                    <w:left w:val="none" w:sz="0" w:space="0" w:color="auto"/>
                    <w:bottom w:val="none" w:sz="0" w:space="0" w:color="auto"/>
                    <w:right w:val="none" w:sz="0" w:space="0" w:color="auto"/>
                  </w:divBdr>
                  <w:divsChild>
                    <w:div w:id="1532187322">
                      <w:marLeft w:val="0"/>
                      <w:marRight w:val="0"/>
                      <w:marTop w:val="0"/>
                      <w:marBottom w:val="0"/>
                      <w:divBdr>
                        <w:top w:val="none" w:sz="0" w:space="0" w:color="auto"/>
                        <w:left w:val="none" w:sz="0" w:space="0" w:color="auto"/>
                        <w:bottom w:val="none" w:sz="0" w:space="0" w:color="auto"/>
                        <w:right w:val="none" w:sz="0" w:space="0" w:color="auto"/>
                      </w:divBdr>
                      <w:divsChild>
                        <w:div w:id="730276779">
                          <w:marLeft w:val="0"/>
                          <w:marRight w:val="0"/>
                          <w:marTop w:val="0"/>
                          <w:marBottom w:val="0"/>
                          <w:divBdr>
                            <w:top w:val="none" w:sz="0" w:space="0" w:color="auto"/>
                            <w:left w:val="none" w:sz="0" w:space="0" w:color="auto"/>
                            <w:bottom w:val="none" w:sz="0" w:space="0" w:color="auto"/>
                            <w:right w:val="none" w:sz="0" w:space="0" w:color="auto"/>
                          </w:divBdr>
                          <w:divsChild>
                            <w:div w:id="706492538">
                              <w:marLeft w:val="0"/>
                              <w:marRight w:val="0"/>
                              <w:marTop w:val="0"/>
                              <w:marBottom w:val="0"/>
                              <w:divBdr>
                                <w:top w:val="none" w:sz="0" w:space="0" w:color="auto"/>
                                <w:left w:val="none" w:sz="0" w:space="0" w:color="auto"/>
                                <w:bottom w:val="none" w:sz="0" w:space="0" w:color="auto"/>
                                <w:right w:val="none" w:sz="0" w:space="0" w:color="auto"/>
                              </w:divBdr>
                              <w:divsChild>
                                <w:div w:id="1472020999">
                                  <w:marLeft w:val="0"/>
                                  <w:marRight w:val="0"/>
                                  <w:marTop w:val="180"/>
                                  <w:marBottom w:val="0"/>
                                  <w:divBdr>
                                    <w:top w:val="none" w:sz="0" w:space="0" w:color="auto"/>
                                    <w:left w:val="none" w:sz="0" w:space="0" w:color="auto"/>
                                    <w:bottom w:val="none" w:sz="0" w:space="0" w:color="auto"/>
                                    <w:right w:val="none" w:sz="0" w:space="0" w:color="auto"/>
                                  </w:divBdr>
                                  <w:divsChild>
                                    <w:div w:id="822699444">
                                      <w:marLeft w:val="0"/>
                                      <w:marRight w:val="0"/>
                                      <w:marTop w:val="0"/>
                                      <w:marBottom w:val="0"/>
                                      <w:divBdr>
                                        <w:top w:val="none" w:sz="0" w:space="0" w:color="auto"/>
                                        <w:left w:val="none" w:sz="0" w:space="0" w:color="auto"/>
                                        <w:bottom w:val="none" w:sz="0" w:space="0" w:color="auto"/>
                                        <w:right w:val="none" w:sz="0" w:space="0" w:color="auto"/>
                                      </w:divBdr>
                                      <w:divsChild>
                                        <w:div w:id="1816410391">
                                          <w:marLeft w:val="0"/>
                                          <w:marRight w:val="0"/>
                                          <w:marTop w:val="0"/>
                                          <w:marBottom w:val="0"/>
                                          <w:divBdr>
                                            <w:top w:val="none" w:sz="0" w:space="0" w:color="auto"/>
                                            <w:left w:val="none" w:sz="0" w:space="0" w:color="auto"/>
                                            <w:bottom w:val="none" w:sz="0" w:space="0" w:color="auto"/>
                                            <w:right w:val="none" w:sz="0" w:space="0" w:color="auto"/>
                                          </w:divBdr>
                                          <w:divsChild>
                                            <w:div w:id="1347243483">
                                              <w:marLeft w:val="60"/>
                                              <w:marRight w:val="0"/>
                                              <w:marTop w:val="0"/>
                                              <w:marBottom w:val="0"/>
                                              <w:divBdr>
                                                <w:top w:val="none" w:sz="0" w:space="0" w:color="auto"/>
                                                <w:left w:val="none" w:sz="0" w:space="0" w:color="auto"/>
                                                <w:bottom w:val="none" w:sz="0" w:space="0" w:color="auto"/>
                                                <w:right w:val="none" w:sz="0" w:space="0" w:color="auto"/>
                                              </w:divBdr>
                                              <w:divsChild>
                                                <w:div w:id="551306494">
                                                  <w:marLeft w:val="0"/>
                                                  <w:marRight w:val="0"/>
                                                  <w:marTop w:val="0"/>
                                                  <w:marBottom w:val="240"/>
                                                  <w:divBdr>
                                                    <w:top w:val="none" w:sz="0" w:space="0" w:color="auto"/>
                                                    <w:left w:val="none" w:sz="0" w:space="0" w:color="auto"/>
                                                    <w:bottom w:val="none" w:sz="0" w:space="0" w:color="auto"/>
                                                    <w:right w:val="none" w:sz="0" w:space="0" w:color="auto"/>
                                                  </w:divBdr>
                                                  <w:divsChild>
                                                    <w:div w:id="1832329616">
                                                      <w:marLeft w:val="0"/>
                                                      <w:marRight w:val="0"/>
                                                      <w:marTop w:val="0"/>
                                                      <w:marBottom w:val="0"/>
                                                      <w:divBdr>
                                                        <w:top w:val="none" w:sz="0" w:space="0" w:color="auto"/>
                                                        <w:left w:val="none" w:sz="0" w:space="0" w:color="auto"/>
                                                        <w:bottom w:val="none" w:sz="0" w:space="0" w:color="auto"/>
                                                        <w:right w:val="none" w:sz="0" w:space="0" w:color="auto"/>
                                                      </w:divBdr>
                                                      <w:divsChild>
                                                        <w:div w:id="1937011722">
                                                          <w:marLeft w:val="0"/>
                                                          <w:marRight w:val="0"/>
                                                          <w:marTop w:val="25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25631439">
      <w:bodyDiv w:val="1"/>
      <w:marLeft w:val="0"/>
      <w:marRight w:val="0"/>
      <w:marTop w:val="0"/>
      <w:marBottom w:val="0"/>
      <w:divBdr>
        <w:top w:val="none" w:sz="0" w:space="0" w:color="auto"/>
        <w:left w:val="none" w:sz="0" w:space="0" w:color="auto"/>
        <w:bottom w:val="none" w:sz="0" w:space="0" w:color="auto"/>
        <w:right w:val="none" w:sz="0" w:space="0" w:color="auto"/>
      </w:divBdr>
    </w:div>
    <w:div w:id="529227374">
      <w:bodyDiv w:val="1"/>
      <w:marLeft w:val="0"/>
      <w:marRight w:val="0"/>
      <w:marTop w:val="0"/>
      <w:marBottom w:val="0"/>
      <w:divBdr>
        <w:top w:val="none" w:sz="0" w:space="0" w:color="auto"/>
        <w:left w:val="none" w:sz="0" w:space="0" w:color="auto"/>
        <w:bottom w:val="none" w:sz="0" w:space="0" w:color="auto"/>
        <w:right w:val="none" w:sz="0" w:space="0" w:color="auto"/>
      </w:divBdr>
    </w:div>
    <w:div w:id="544873300">
      <w:bodyDiv w:val="1"/>
      <w:marLeft w:val="0"/>
      <w:marRight w:val="0"/>
      <w:marTop w:val="0"/>
      <w:marBottom w:val="0"/>
      <w:divBdr>
        <w:top w:val="none" w:sz="0" w:space="0" w:color="auto"/>
        <w:left w:val="none" w:sz="0" w:space="0" w:color="auto"/>
        <w:bottom w:val="none" w:sz="0" w:space="0" w:color="auto"/>
        <w:right w:val="none" w:sz="0" w:space="0" w:color="auto"/>
      </w:divBdr>
    </w:div>
    <w:div w:id="567686496">
      <w:bodyDiv w:val="1"/>
      <w:marLeft w:val="0"/>
      <w:marRight w:val="0"/>
      <w:marTop w:val="0"/>
      <w:marBottom w:val="0"/>
      <w:divBdr>
        <w:top w:val="none" w:sz="0" w:space="0" w:color="auto"/>
        <w:left w:val="none" w:sz="0" w:space="0" w:color="auto"/>
        <w:bottom w:val="none" w:sz="0" w:space="0" w:color="auto"/>
        <w:right w:val="none" w:sz="0" w:space="0" w:color="auto"/>
      </w:divBdr>
    </w:div>
    <w:div w:id="583806969">
      <w:bodyDiv w:val="1"/>
      <w:marLeft w:val="0"/>
      <w:marRight w:val="0"/>
      <w:marTop w:val="0"/>
      <w:marBottom w:val="0"/>
      <w:divBdr>
        <w:top w:val="none" w:sz="0" w:space="0" w:color="auto"/>
        <w:left w:val="none" w:sz="0" w:space="0" w:color="auto"/>
        <w:bottom w:val="none" w:sz="0" w:space="0" w:color="auto"/>
        <w:right w:val="none" w:sz="0" w:space="0" w:color="auto"/>
      </w:divBdr>
    </w:div>
    <w:div w:id="596790439">
      <w:bodyDiv w:val="1"/>
      <w:marLeft w:val="0"/>
      <w:marRight w:val="0"/>
      <w:marTop w:val="0"/>
      <w:marBottom w:val="0"/>
      <w:divBdr>
        <w:top w:val="none" w:sz="0" w:space="0" w:color="auto"/>
        <w:left w:val="none" w:sz="0" w:space="0" w:color="auto"/>
        <w:bottom w:val="none" w:sz="0" w:space="0" w:color="auto"/>
        <w:right w:val="none" w:sz="0" w:space="0" w:color="auto"/>
      </w:divBdr>
    </w:div>
    <w:div w:id="615990397">
      <w:bodyDiv w:val="1"/>
      <w:marLeft w:val="0"/>
      <w:marRight w:val="0"/>
      <w:marTop w:val="0"/>
      <w:marBottom w:val="0"/>
      <w:divBdr>
        <w:top w:val="none" w:sz="0" w:space="0" w:color="auto"/>
        <w:left w:val="none" w:sz="0" w:space="0" w:color="auto"/>
        <w:bottom w:val="none" w:sz="0" w:space="0" w:color="auto"/>
        <w:right w:val="none" w:sz="0" w:space="0" w:color="auto"/>
      </w:divBdr>
    </w:div>
    <w:div w:id="621151825">
      <w:bodyDiv w:val="1"/>
      <w:marLeft w:val="0"/>
      <w:marRight w:val="0"/>
      <w:marTop w:val="0"/>
      <w:marBottom w:val="0"/>
      <w:divBdr>
        <w:top w:val="none" w:sz="0" w:space="0" w:color="auto"/>
        <w:left w:val="none" w:sz="0" w:space="0" w:color="auto"/>
        <w:bottom w:val="none" w:sz="0" w:space="0" w:color="auto"/>
        <w:right w:val="none" w:sz="0" w:space="0" w:color="auto"/>
      </w:divBdr>
    </w:div>
    <w:div w:id="638876841">
      <w:bodyDiv w:val="1"/>
      <w:marLeft w:val="0"/>
      <w:marRight w:val="0"/>
      <w:marTop w:val="0"/>
      <w:marBottom w:val="0"/>
      <w:divBdr>
        <w:top w:val="none" w:sz="0" w:space="0" w:color="auto"/>
        <w:left w:val="none" w:sz="0" w:space="0" w:color="auto"/>
        <w:bottom w:val="none" w:sz="0" w:space="0" w:color="auto"/>
        <w:right w:val="none" w:sz="0" w:space="0" w:color="auto"/>
      </w:divBdr>
    </w:div>
    <w:div w:id="642277284">
      <w:bodyDiv w:val="1"/>
      <w:marLeft w:val="0"/>
      <w:marRight w:val="0"/>
      <w:marTop w:val="0"/>
      <w:marBottom w:val="0"/>
      <w:divBdr>
        <w:top w:val="none" w:sz="0" w:space="0" w:color="auto"/>
        <w:left w:val="none" w:sz="0" w:space="0" w:color="auto"/>
        <w:bottom w:val="none" w:sz="0" w:space="0" w:color="auto"/>
        <w:right w:val="none" w:sz="0" w:space="0" w:color="auto"/>
      </w:divBdr>
    </w:div>
    <w:div w:id="648094790">
      <w:bodyDiv w:val="1"/>
      <w:marLeft w:val="0"/>
      <w:marRight w:val="0"/>
      <w:marTop w:val="0"/>
      <w:marBottom w:val="0"/>
      <w:divBdr>
        <w:top w:val="none" w:sz="0" w:space="0" w:color="auto"/>
        <w:left w:val="none" w:sz="0" w:space="0" w:color="auto"/>
        <w:bottom w:val="none" w:sz="0" w:space="0" w:color="auto"/>
        <w:right w:val="none" w:sz="0" w:space="0" w:color="auto"/>
      </w:divBdr>
    </w:div>
    <w:div w:id="656153794">
      <w:bodyDiv w:val="1"/>
      <w:marLeft w:val="0"/>
      <w:marRight w:val="0"/>
      <w:marTop w:val="0"/>
      <w:marBottom w:val="0"/>
      <w:divBdr>
        <w:top w:val="none" w:sz="0" w:space="0" w:color="auto"/>
        <w:left w:val="none" w:sz="0" w:space="0" w:color="auto"/>
        <w:bottom w:val="none" w:sz="0" w:space="0" w:color="auto"/>
        <w:right w:val="none" w:sz="0" w:space="0" w:color="auto"/>
      </w:divBdr>
      <w:divsChild>
        <w:div w:id="834106837">
          <w:marLeft w:val="0"/>
          <w:marRight w:val="0"/>
          <w:marTop w:val="0"/>
          <w:marBottom w:val="0"/>
          <w:divBdr>
            <w:top w:val="none" w:sz="0" w:space="0" w:color="auto"/>
            <w:left w:val="none" w:sz="0" w:space="0" w:color="auto"/>
            <w:bottom w:val="none" w:sz="0" w:space="0" w:color="auto"/>
            <w:right w:val="none" w:sz="0" w:space="0" w:color="auto"/>
          </w:divBdr>
        </w:div>
      </w:divsChild>
    </w:div>
    <w:div w:id="659119313">
      <w:bodyDiv w:val="1"/>
      <w:marLeft w:val="0"/>
      <w:marRight w:val="0"/>
      <w:marTop w:val="0"/>
      <w:marBottom w:val="0"/>
      <w:divBdr>
        <w:top w:val="none" w:sz="0" w:space="0" w:color="auto"/>
        <w:left w:val="none" w:sz="0" w:space="0" w:color="auto"/>
        <w:bottom w:val="none" w:sz="0" w:space="0" w:color="auto"/>
        <w:right w:val="none" w:sz="0" w:space="0" w:color="auto"/>
      </w:divBdr>
    </w:div>
    <w:div w:id="660427888">
      <w:bodyDiv w:val="1"/>
      <w:marLeft w:val="0"/>
      <w:marRight w:val="0"/>
      <w:marTop w:val="0"/>
      <w:marBottom w:val="0"/>
      <w:divBdr>
        <w:top w:val="none" w:sz="0" w:space="0" w:color="auto"/>
        <w:left w:val="none" w:sz="0" w:space="0" w:color="auto"/>
        <w:bottom w:val="none" w:sz="0" w:space="0" w:color="auto"/>
        <w:right w:val="none" w:sz="0" w:space="0" w:color="auto"/>
      </w:divBdr>
    </w:div>
    <w:div w:id="664934701">
      <w:bodyDiv w:val="1"/>
      <w:marLeft w:val="0"/>
      <w:marRight w:val="0"/>
      <w:marTop w:val="0"/>
      <w:marBottom w:val="0"/>
      <w:divBdr>
        <w:top w:val="none" w:sz="0" w:space="0" w:color="auto"/>
        <w:left w:val="none" w:sz="0" w:space="0" w:color="auto"/>
        <w:bottom w:val="none" w:sz="0" w:space="0" w:color="auto"/>
        <w:right w:val="none" w:sz="0" w:space="0" w:color="auto"/>
      </w:divBdr>
    </w:div>
    <w:div w:id="735779513">
      <w:bodyDiv w:val="1"/>
      <w:marLeft w:val="0"/>
      <w:marRight w:val="0"/>
      <w:marTop w:val="0"/>
      <w:marBottom w:val="0"/>
      <w:divBdr>
        <w:top w:val="none" w:sz="0" w:space="0" w:color="auto"/>
        <w:left w:val="none" w:sz="0" w:space="0" w:color="auto"/>
        <w:bottom w:val="none" w:sz="0" w:space="0" w:color="auto"/>
        <w:right w:val="none" w:sz="0" w:space="0" w:color="auto"/>
      </w:divBdr>
      <w:divsChild>
        <w:div w:id="692851484">
          <w:marLeft w:val="0"/>
          <w:marRight w:val="0"/>
          <w:marTop w:val="0"/>
          <w:marBottom w:val="0"/>
          <w:divBdr>
            <w:top w:val="none" w:sz="0" w:space="0" w:color="auto"/>
            <w:left w:val="none" w:sz="0" w:space="0" w:color="auto"/>
            <w:bottom w:val="none" w:sz="0" w:space="0" w:color="auto"/>
            <w:right w:val="none" w:sz="0" w:space="0" w:color="auto"/>
          </w:divBdr>
        </w:div>
        <w:div w:id="963000659">
          <w:marLeft w:val="0"/>
          <w:marRight w:val="0"/>
          <w:marTop w:val="0"/>
          <w:marBottom w:val="0"/>
          <w:divBdr>
            <w:top w:val="none" w:sz="0" w:space="0" w:color="auto"/>
            <w:left w:val="none" w:sz="0" w:space="0" w:color="auto"/>
            <w:bottom w:val="none" w:sz="0" w:space="0" w:color="auto"/>
            <w:right w:val="none" w:sz="0" w:space="0" w:color="auto"/>
          </w:divBdr>
        </w:div>
      </w:divsChild>
    </w:div>
    <w:div w:id="741878207">
      <w:bodyDiv w:val="1"/>
      <w:marLeft w:val="0"/>
      <w:marRight w:val="0"/>
      <w:marTop w:val="0"/>
      <w:marBottom w:val="0"/>
      <w:divBdr>
        <w:top w:val="none" w:sz="0" w:space="0" w:color="auto"/>
        <w:left w:val="none" w:sz="0" w:space="0" w:color="auto"/>
        <w:bottom w:val="none" w:sz="0" w:space="0" w:color="auto"/>
        <w:right w:val="none" w:sz="0" w:space="0" w:color="auto"/>
      </w:divBdr>
      <w:divsChild>
        <w:div w:id="984625320">
          <w:marLeft w:val="0"/>
          <w:marRight w:val="0"/>
          <w:marTop w:val="0"/>
          <w:marBottom w:val="0"/>
          <w:divBdr>
            <w:top w:val="none" w:sz="0" w:space="0" w:color="auto"/>
            <w:left w:val="none" w:sz="0" w:space="0" w:color="auto"/>
            <w:bottom w:val="none" w:sz="0" w:space="0" w:color="auto"/>
            <w:right w:val="none" w:sz="0" w:space="0" w:color="auto"/>
          </w:divBdr>
          <w:divsChild>
            <w:div w:id="1887259261">
              <w:marLeft w:val="0"/>
              <w:marRight w:val="0"/>
              <w:marTop w:val="0"/>
              <w:marBottom w:val="0"/>
              <w:divBdr>
                <w:top w:val="none" w:sz="0" w:space="0" w:color="auto"/>
                <w:left w:val="none" w:sz="0" w:space="0" w:color="auto"/>
                <w:bottom w:val="none" w:sz="0" w:space="0" w:color="auto"/>
                <w:right w:val="none" w:sz="0" w:space="0" w:color="auto"/>
              </w:divBdr>
              <w:divsChild>
                <w:div w:id="1343821732">
                  <w:marLeft w:val="0"/>
                  <w:marRight w:val="0"/>
                  <w:marTop w:val="0"/>
                  <w:marBottom w:val="0"/>
                  <w:divBdr>
                    <w:top w:val="none" w:sz="0" w:space="0" w:color="auto"/>
                    <w:left w:val="none" w:sz="0" w:space="0" w:color="auto"/>
                    <w:bottom w:val="none" w:sz="0" w:space="0" w:color="auto"/>
                    <w:right w:val="none" w:sz="0" w:space="0" w:color="auto"/>
                  </w:divBdr>
                  <w:divsChild>
                    <w:div w:id="205241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993079">
      <w:bodyDiv w:val="1"/>
      <w:marLeft w:val="0"/>
      <w:marRight w:val="0"/>
      <w:marTop w:val="0"/>
      <w:marBottom w:val="0"/>
      <w:divBdr>
        <w:top w:val="none" w:sz="0" w:space="0" w:color="auto"/>
        <w:left w:val="none" w:sz="0" w:space="0" w:color="auto"/>
        <w:bottom w:val="none" w:sz="0" w:space="0" w:color="auto"/>
        <w:right w:val="none" w:sz="0" w:space="0" w:color="auto"/>
      </w:divBdr>
      <w:divsChild>
        <w:div w:id="1742563106">
          <w:marLeft w:val="0"/>
          <w:marRight w:val="0"/>
          <w:marTop w:val="0"/>
          <w:marBottom w:val="0"/>
          <w:divBdr>
            <w:top w:val="none" w:sz="0" w:space="0" w:color="auto"/>
            <w:left w:val="none" w:sz="0" w:space="0" w:color="auto"/>
            <w:bottom w:val="none" w:sz="0" w:space="0" w:color="auto"/>
            <w:right w:val="none" w:sz="0" w:space="0" w:color="auto"/>
          </w:divBdr>
          <w:divsChild>
            <w:div w:id="437257155">
              <w:marLeft w:val="0"/>
              <w:marRight w:val="0"/>
              <w:marTop w:val="0"/>
              <w:marBottom w:val="0"/>
              <w:divBdr>
                <w:top w:val="none" w:sz="0" w:space="0" w:color="auto"/>
                <w:left w:val="none" w:sz="0" w:space="0" w:color="auto"/>
                <w:bottom w:val="none" w:sz="0" w:space="0" w:color="auto"/>
                <w:right w:val="none" w:sz="0" w:space="0" w:color="auto"/>
              </w:divBdr>
            </w:div>
            <w:div w:id="510536292">
              <w:marLeft w:val="0"/>
              <w:marRight w:val="0"/>
              <w:marTop w:val="0"/>
              <w:marBottom w:val="0"/>
              <w:divBdr>
                <w:top w:val="none" w:sz="0" w:space="0" w:color="auto"/>
                <w:left w:val="none" w:sz="0" w:space="0" w:color="auto"/>
                <w:bottom w:val="none" w:sz="0" w:space="0" w:color="auto"/>
                <w:right w:val="none" w:sz="0" w:space="0" w:color="auto"/>
              </w:divBdr>
            </w:div>
            <w:div w:id="1070232433">
              <w:marLeft w:val="0"/>
              <w:marRight w:val="0"/>
              <w:marTop w:val="0"/>
              <w:marBottom w:val="0"/>
              <w:divBdr>
                <w:top w:val="none" w:sz="0" w:space="0" w:color="auto"/>
                <w:left w:val="none" w:sz="0" w:space="0" w:color="auto"/>
                <w:bottom w:val="none" w:sz="0" w:space="0" w:color="auto"/>
                <w:right w:val="none" w:sz="0" w:space="0" w:color="auto"/>
              </w:divBdr>
            </w:div>
            <w:div w:id="1257982685">
              <w:marLeft w:val="0"/>
              <w:marRight w:val="0"/>
              <w:marTop w:val="0"/>
              <w:marBottom w:val="0"/>
              <w:divBdr>
                <w:top w:val="none" w:sz="0" w:space="0" w:color="auto"/>
                <w:left w:val="none" w:sz="0" w:space="0" w:color="auto"/>
                <w:bottom w:val="none" w:sz="0" w:space="0" w:color="auto"/>
                <w:right w:val="none" w:sz="0" w:space="0" w:color="auto"/>
              </w:divBdr>
            </w:div>
            <w:div w:id="1327323692">
              <w:marLeft w:val="0"/>
              <w:marRight w:val="0"/>
              <w:marTop w:val="0"/>
              <w:marBottom w:val="0"/>
              <w:divBdr>
                <w:top w:val="none" w:sz="0" w:space="0" w:color="auto"/>
                <w:left w:val="none" w:sz="0" w:space="0" w:color="auto"/>
                <w:bottom w:val="none" w:sz="0" w:space="0" w:color="auto"/>
                <w:right w:val="none" w:sz="0" w:space="0" w:color="auto"/>
              </w:divBdr>
            </w:div>
            <w:div w:id="1994025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028846">
      <w:bodyDiv w:val="1"/>
      <w:marLeft w:val="0"/>
      <w:marRight w:val="0"/>
      <w:marTop w:val="0"/>
      <w:marBottom w:val="0"/>
      <w:divBdr>
        <w:top w:val="none" w:sz="0" w:space="0" w:color="auto"/>
        <w:left w:val="none" w:sz="0" w:space="0" w:color="auto"/>
        <w:bottom w:val="none" w:sz="0" w:space="0" w:color="auto"/>
        <w:right w:val="none" w:sz="0" w:space="0" w:color="auto"/>
      </w:divBdr>
    </w:div>
    <w:div w:id="787546479">
      <w:bodyDiv w:val="1"/>
      <w:marLeft w:val="0"/>
      <w:marRight w:val="0"/>
      <w:marTop w:val="0"/>
      <w:marBottom w:val="0"/>
      <w:divBdr>
        <w:top w:val="none" w:sz="0" w:space="0" w:color="auto"/>
        <w:left w:val="none" w:sz="0" w:space="0" w:color="auto"/>
        <w:bottom w:val="none" w:sz="0" w:space="0" w:color="auto"/>
        <w:right w:val="none" w:sz="0" w:space="0" w:color="auto"/>
      </w:divBdr>
    </w:div>
    <w:div w:id="810824139">
      <w:bodyDiv w:val="1"/>
      <w:marLeft w:val="0"/>
      <w:marRight w:val="0"/>
      <w:marTop w:val="0"/>
      <w:marBottom w:val="0"/>
      <w:divBdr>
        <w:top w:val="none" w:sz="0" w:space="0" w:color="auto"/>
        <w:left w:val="none" w:sz="0" w:space="0" w:color="auto"/>
        <w:bottom w:val="none" w:sz="0" w:space="0" w:color="auto"/>
        <w:right w:val="none" w:sz="0" w:space="0" w:color="auto"/>
      </w:divBdr>
      <w:divsChild>
        <w:div w:id="59838593">
          <w:marLeft w:val="0"/>
          <w:marRight w:val="0"/>
          <w:marTop w:val="0"/>
          <w:marBottom w:val="0"/>
          <w:divBdr>
            <w:top w:val="none" w:sz="0" w:space="0" w:color="auto"/>
            <w:left w:val="none" w:sz="0" w:space="0" w:color="auto"/>
            <w:bottom w:val="none" w:sz="0" w:space="0" w:color="auto"/>
            <w:right w:val="none" w:sz="0" w:space="0" w:color="auto"/>
          </w:divBdr>
        </w:div>
      </w:divsChild>
    </w:div>
    <w:div w:id="813182377">
      <w:bodyDiv w:val="1"/>
      <w:marLeft w:val="0"/>
      <w:marRight w:val="0"/>
      <w:marTop w:val="0"/>
      <w:marBottom w:val="0"/>
      <w:divBdr>
        <w:top w:val="none" w:sz="0" w:space="0" w:color="auto"/>
        <w:left w:val="none" w:sz="0" w:space="0" w:color="auto"/>
        <w:bottom w:val="none" w:sz="0" w:space="0" w:color="auto"/>
        <w:right w:val="none" w:sz="0" w:space="0" w:color="auto"/>
      </w:divBdr>
    </w:div>
    <w:div w:id="822938000">
      <w:bodyDiv w:val="1"/>
      <w:marLeft w:val="0"/>
      <w:marRight w:val="0"/>
      <w:marTop w:val="0"/>
      <w:marBottom w:val="0"/>
      <w:divBdr>
        <w:top w:val="none" w:sz="0" w:space="0" w:color="auto"/>
        <w:left w:val="none" w:sz="0" w:space="0" w:color="auto"/>
        <w:bottom w:val="none" w:sz="0" w:space="0" w:color="auto"/>
        <w:right w:val="none" w:sz="0" w:space="0" w:color="auto"/>
      </w:divBdr>
    </w:div>
    <w:div w:id="832178997">
      <w:bodyDiv w:val="1"/>
      <w:marLeft w:val="0"/>
      <w:marRight w:val="0"/>
      <w:marTop w:val="0"/>
      <w:marBottom w:val="0"/>
      <w:divBdr>
        <w:top w:val="none" w:sz="0" w:space="0" w:color="auto"/>
        <w:left w:val="none" w:sz="0" w:space="0" w:color="auto"/>
        <w:bottom w:val="none" w:sz="0" w:space="0" w:color="auto"/>
        <w:right w:val="none" w:sz="0" w:space="0" w:color="auto"/>
      </w:divBdr>
      <w:divsChild>
        <w:div w:id="35080815">
          <w:marLeft w:val="0"/>
          <w:marRight w:val="0"/>
          <w:marTop w:val="0"/>
          <w:marBottom w:val="0"/>
          <w:divBdr>
            <w:top w:val="none" w:sz="0" w:space="0" w:color="auto"/>
            <w:left w:val="none" w:sz="0" w:space="0" w:color="auto"/>
            <w:bottom w:val="none" w:sz="0" w:space="0" w:color="auto"/>
            <w:right w:val="none" w:sz="0" w:space="0" w:color="auto"/>
          </w:divBdr>
        </w:div>
      </w:divsChild>
    </w:div>
    <w:div w:id="856309274">
      <w:bodyDiv w:val="1"/>
      <w:marLeft w:val="0"/>
      <w:marRight w:val="0"/>
      <w:marTop w:val="0"/>
      <w:marBottom w:val="0"/>
      <w:divBdr>
        <w:top w:val="none" w:sz="0" w:space="0" w:color="auto"/>
        <w:left w:val="none" w:sz="0" w:space="0" w:color="auto"/>
        <w:bottom w:val="none" w:sz="0" w:space="0" w:color="auto"/>
        <w:right w:val="none" w:sz="0" w:space="0" w:color="auto"/>
      </w:divBdr>
    </w:div>
    <w:div w:id="875431199">
      <w:bodyDiv w:val="1"/>
      <w:marLeft w:val="0"/>
      <w:marRight w:val="0"/>
      <w:marTop w:val="0"/>
      <w:marBottom w:val="0"/>
      <w:divBdr>
        <w:top w:val="none" w:sz="0" w:space="0" w:color="auto"/>
        <w:left w:val="none" w:sz="0" w:space="0" w:color="auto"/>
        <w:bottom w:val="none" w:sz="0" w:space="0" w:color="auto"/>
        <w:right w:val="none" w:sz="0" w:space="0" w:color="auto"/>
      </w:divBdr>
      <w:divsChild>
        <w:div w:id="764837421">
          <w:marLeft w:val="0"/>
          <w:marRight w:val="0"/>
          <w:marTop w:val="0"/>
          <w:marBottom w:val="0"/>
          <w:divBdr>
            <w:top w:val="none" w:sz="0" w:space="0" w:color="auto"/>
            <w:left w:val="none" w:sz="0" w:space="0" w:color="auto"/>
            <w:bottom w:val="none" w:sz="0" w:space="0" w:color="auto"/>
            <w:right w:val="none" w:sz="0" w:space="0" w:color="auto"/>
          </w:divBdr>
        </w:div>
      </w:divsChild>
    </w:div>
    <w:div w:id="877467933">
      <w:bodyDiv w:val="1"/>
      <w:marLeft w:val="0"/>
      <w:marRight w:val="0"/>
      <w:marTop w:val="0"/>
      <w:marBottom w:val="0"/>
      <w:divBdr>
        <w:top w:val="none" w:sz="0" w:space="0" w:color="auto"/>
        <w:left w:val="none" w:sz="0" w:space="0" w:color="auto"/>
        <w:bottom w:val="none" w:sz="0" w:space="0" w:color="auto"/>
        <w:right w:val="none" w:sz="0" w:space="0" w:color="auto"/>
      </w:divBdr>
      <w:divsChild>
        <w:div w:id="75829874">
          <w:marLeft w:val="0"/>
          <w:marRight w:val="0"/>
          <w:marTop w:val="0"/>
          <w:marBottom w:val="0"/>
          <w:divBdr>
            <w:top w:val="none" w:sz="0" w:space="0" w:color="auto"/>
            <w:left w:val="none" w:sz="0" w:space="0" w:color="auto"/>
            <w:bottom w:val="none" w:sz="0" w:space="0" w:color="auto"/>
            <w:right w:val="none" w:sz="0" w:space="0" w:color="auto"/>
          </w:divBdr>
          <w:divsChild>
            <w:div w:id="2051369741">
              <w:marLeft w:val="0"/>
              <w:marRight w:val="0"/>
              <w:marTop w:val="0"/>
              <w:marBottom w:val="0"/>
              <w:divBdr>
                <w:top w:val="none" w:sz="0" w:space="0" w:color="auto"/>
                <w:left w:val="none" w:sz="0" w:space="0" w:color="auto"/>
                <w:bottom w:val="none" w:sz="0" w:space="0" w:color="auto"/>
                <w:right w:val="none" w:sz="0" w:space="0" w:color="auto"/>
              </w:divBdr>
              <w:divsChild>
                <w:div w:id="52035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059160">
      <w:bodyDiv w:val="1"/>
      <w:marLeft w:val="0"/>
      <w:marRight w:val="0"/>
      <w:marTop w:val="0"/>
      <w:marBottom w:val="0"/>
      <w:divBdr>
        <w:top w:val="none" w:sz="0" w:space="0" w:color="auto"/>
        <w:left w:val="none" w:sz="0" w:space="0" w:color="auto"/>
        <w:bottom w:val="none" w:sz="0" w:space="0" w:color="auto"/>
        <w:right w:val="none" w:sz="0" w:space="0" w:color="auto"/>
      </w:divBdr>
      <w:divsChild>
        <w:div w:id="1597129180">
          <w:marLeft w:val="0"/>
          <w:marRight w:val="0"/>
          <w:marTop w:val="0"/>
          <w:marBottom w:val="0"/>
          <w:divBdr>
            <w:top w:val="none" w:sz="0" w:space="0" w:color="auto"/>
            <w:left w:val="none" w:sz="0" w:space="0" w:color="auto"/>
            <w:bottom w:val="none" w:sz="0" w:space="0" w:color="auto"/>
            <w:right w:val="none" w:sz="0" w:space="0" w:color="auto"/>
          </w:divBdr>
          <w:divsChild>
            <w:div w:id="2050954467">
              <w:marLeft w:val="0"/>
              <w:marRight w:val="0"/>
              <w:marTop w:val="0"/>
              <w:marBottom w:val="0"/>
              <w:divBdr>
                <w:top w:val="none" w:sz="0" w:space="0" w:color="auto"/>
                <w:left w:val="none" w:sz="0" w:space="0" w:color="auto"/>
                <w:bottom w:val="none" w:sz="0" w:space="0" w:color="auto"/>
                <w:right w:val="none" w:sz="0" w:space="0" w:color="auto"/>
              </w:divBdr>
              <w:divsChild>
                <w:div w:id="824273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007123">
      <w:bodyDiv w:val="1"/>
      <w:marLeft w:val="0"/>
      <w:marRight w:val="0"/>
      <w:marTop w:val="0"/>
      <w:marBottom w:val="0"/>
      <w:divBdr>
        <w:top w:val="none" w:sz="0" w:space="0" w:color="auto"/>
        <w:left w:val="none" w:sz="0" w:space="0" w:color="auto"/>
        <w:bottom w:val="none" w:sz="0" w:space="0" w:color="auto"/>
        <w:right w:val="none" w:sz="0" w:space="0" w:color="auto"/>
      </w:divBdr>
      <w:divsChild>
        <w:div w:id="1015578564">
          <w:marLeft w:val="0"/>
          <w:marRight w:val="0"/>
          <w:marTop w:val="0"/>
          <w:marBottom w:val="0"/>
          <w:divBdr>
            <w:top w:val="none" w:sz="0" w:space="0" w:color="auto"/>
            <w:left w:val="none" w:sz="0" w:space="0" w:color="auto"/>
            <w:bottom w:val="none" w:sz="0" w:space="0" w:color="auto"/>
            <w:right w:val="none" w:sz="0" w:space="0" w:color="auto"/>
          </w:divBdr>
          <w:divsChild>
            <w:div w:id="138154173">
              <w:marLeft w:val="0"/>
              <w:marRight w:val="0"/>
              <w:marTop w:val="0"/>
              <w:marBottom w:val="0"/>
              <w:divBdr>
                <w:top w:val="none" w:sz="0" w:space="0" w:color="auto"/>
                <w:left w:val="none" w:sz="0" w:space="0" w:color="auto"/>
                <w:bottom w:val="none" w:sz="0" w:space="0" w:color="auto"/>
                <w:right w:val="none" w:sz="0" w:space="0" w:color="auto"/>
              </w:divBdr>
              <w:divsChild>
                <w:div w:id="188667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386316">
      <w:bodyDiv w:val="1"/>
      <w:marLeft w:val="0"/>
      <w:marRight w:val="0"/>
      <w:marTop w:val="0"/>
      <w:marBottom w:val="0"/>
      <w:divBdr>
        <w:top w:val="none" w:sz="0" w:space="0" w:color="auto"/>
        <w:left w:val="none" w:sz="0" w:space="0" w:color="auto"/>
        <w:bottom w:val="none" w:sz="0" w:space="0" w:color="auto"/>
        <w:right w:val="none" w:sz="0" w:space="0" w:color="auto"/>
      </w:divBdr>
    </w:div>
    <w:div w:id="947473125">
      <w:bodyDiv w:val="1"/>
      <w:marLeft w:val="0"/>
      <w:marRight w:val="0"/>
      <w:marTop w:val="0"/>
      <w:marBottom w:val="0"/>
      <w:divBdr>
        <w:top w:val="none" w:sz="0" w:space="0" w:color="auto"/>
        <w:left w:val="none" w:sz="0" w:space="0" w:color="auto"/>
        <w:bottom w:val="none" w:sz="0" w:space="0" w:color="auto"/>
        <w:right w:val="none" w:sz="0" w:space="0" w:color="auto"/>
      </w:divBdr>
    </w:div>
    <w:div w:id="958485690">
      <w:bodyDiv w:val="1"/>
      <w:marLeft w:val="0"/>
      <w:marRight w:val="0"/>
      <w:marTop w:val="0"/>
      <w:marBottom w:val="0"/>
      <w:divBdr>
        <w:top w:val="none" w:sz="0" w:space="0" w:color="auto"/>
        <w:left w:val="none" w:sz="0" w:space="0" w:color="auto"/>
        <w:bottom w:val="none" w:sz="0" w:space="0" w:color="auto"/>
        <w:right w:val="none" w:sz="0" w:space="0" w:color="auto"/>
      </w:divBdr>
      <w:divsChild>
        <w:div w:id="2023702794">
          <w:marLeft w:val="0"/>
          <w:marRight w:val="0"/>
          <w:marTop w:val="0"/>
          <w:marBottom w:val="0"/>
          <w:divBdr>
            <w:top w:val="none" w:sz="0" w:space="0" w:color="auto"/>
            <w:left w:val="none" w:sz="0" w:space="0" w:color="auto"/>
            <w:bottom w:val="none" w:sz="0" w:space="0" w:color="auto"/>
            <w:right w:val="none" w:sz="0" w:space="0" w:color="auto"/>
          </w:divBdr>
          <w:divsChild>
            <w:div w:id="1833717932">
              <w:marLeft w:val="0"/>
              <w:marRight w:val="0"/>
              <w:marTop w:val="0"/>
              <w:marBottom w:val="0"/>
              <w:divBdr>
                <w:top w:val="none" w:sz="0" w:space="0" w:color="auto"/>
                <w:left w:val="none" w:sz="0" w:space="0" w:color="auto"/>
                <w:bottom w:val="none" w:sz="0" w:space="0" w:color="auto"/>
                <w:right w:val="none" w:sz="0" w:space="0" w:color="auto"/>
              </w:divBdr>
              <w:divsChild>
                <w:div w:id="165059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351630">
      <w:bodyDiv w:val="1"/>
      <w:marLeft w:val="0"/>
      <w:marRight w:val="0"/>
      <w:marTop w:val="0"/>
      <w:marBottom w:val="0"/>
      <w:divBdr>
        <w:top w:val="none" w:sz="0" w:space="0" w:color="auto"/>
        <w:left w:val="none" w:sz="0" w:space="0" w:color="auto"/>
        <w:bottom w:val="none" w:sz="0" w:space="0" w:color="auto"/>
        <w:right w:val="none" w:sz="0" w:space="0" w:color="auto"/>
      </w:divBdr>
    </w:div>
    <w:div w:id="977761903">
      <w:bodyDiv w:val="1"/>
      <w:marLeft w:val="0"/>
      <w:marRight w:val="0"/>
      <w:marTop w:val="0"/>
      <w:marBottom w:val="0"/>
      <w:divBdr>
        <w:top w:val="none" w:sz="0" w:space="0" w:color="auto"/>
        <w:left w:val="none" w:sz="0" w:space="0" w:color="auto"/>
        <w:bottom w:val="none" w:sz="0" w:space="0" w:color="auto"/>
        <w:right w:val="none" w:sz="0" w:space="0" w:color="auto"/>
      </w:divBdr>
      <w:divsChild>
        <w:div w:id="1868715249">
          <w:marLeft w:val="0"/>
          <w:marRight w:val="0"/>
          <w:marTop w:val="0"/>
          <w:marBottom w:val="0"/>
          <w:divBdr>
            <w:top w:val="none" w:sz="0" w:space="0" w:color="auto"/>
            <w:left w:val="none" w:sz="0" w:space="0" w:color="auto"/>
            <w:bottom w:val="none" w:sz="0" w:space="0" w:color="auto"/>
            <w:right w:val="none" w:sz="0" w:space="0" w:color="auto"/>
          </w:divBdr>
          <w:divsChild>
            <w:div w:id="1049458072">
              <w:marLeft w:val="0"/>
              <w:marRight w:val="0"/>
              <w:marTop w:val="0"/>
              <w:marBottom w:val="0"/>
              <w:divBdr>
                <w:top w:val="none" w:sz="0" w:space="0" w:color="auto"/>
                <w:left w:val="none" w:sz="0" w:space="0" w:color="auto"/>
                <w:bottom w:val="none" w:sz="0" w:space="0" w:color="auto"/>
                <w:right w:val="none" w:sz="0" w:space="0" w:color="auto"/>
              </w:divBdr>
              <w:divsChild>
                <w:div w:id="180404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312099">
      <w:bodyDiv w:val="1"/>
      <w:marLeft w:val="0"/>
      <w:marRight w:val="0"/>
      <w:marTop w:val="0"/>
      <w:marBottom w:val="0"/>
      <w:divBdr>
        <w:top w:val="none" w:sz="0" w:space="0" w:color="auto"/>
        <w:left w:val="none" w:sz="0" w:space="0" w:color="auto"/>
        <w:bottom w:val="none" w:sz="0" w:space="0" w:color="auto"/>
        <w:right w:val="none" w:sz="0" w:space="0" w:color="auto"/>
      </w:divBdr>
      <w:divsChild>
        <w:div w:id="1102144103">
          <w:marLeft w:val="0"/>
          <w:marRight w:val="0"/>
          <w:marTop w:val="0"/>
          <w:marBottom w:val="0"/>
          <w:divBdr>
            <w:top w:val="none" w:sz="0" w:space="0" w:color="auto"/>
            <w:left w:val="none" w:sz="0" w:space="0" w:color="auto"/>
            <w:bottom w:val="none" w:sz="0" w:space="0" w:color="auto"/>
            <w:right w:val="none" w:sz="0" w:space="0" w:color="auto"/>
          </w:divBdr>
        </w:div>
      </w:divsChild>
    </w:div>
    <w:div w:id="985430053">
      <w:bodyDiv w:val="1"/>
      <w:marLeft w:val="0"/>
      <w:marRight w:val="0"/>
      <w:marTop w:val="0"/>
      <w:marBottom w:val="0"/>
      <w:divBdr>
        <w:top w:val="none" w:sz="0" w:space="0" w:color="auto"/>
        <w:left w:val="none" w:sz="0" w:space="0" w:color="auto"/>
        <w:bottom w:val="none" w:sz="0" w:space="0" w:color="auto"/>
        <w:right w:val="none" w:sz="0" w:space="0" w:color="auto"/>
      </w:divBdr>
    </w:div>
    <w:div w:id="986132552">
      <w:bodyDiv w:val="1"/>
      <w:marLeft w:val="0"/>
      <w:marRight w:val="0"/>
      <w:marTop w:val="0"/>
      <w:marBottom w:val="0"/>
      <w:divBdr>
        <w:top w:val="none" w:sz="0" w:space="0" w:color="auto"/>
        <w:left w:val="none" w:sz="0" w:space="0" w:color="auto"/>
        <w:bottom w:val="none" w:sz="0" w:space="0" w:color="auto"/>
        <w:right w:val="none" w:sz="0" w:space="0" w:color="auto"/>
      </w:divBdr>
      <w:divsChild>
        <w:div w:id="1161896363">
          <w:marLeft w:val="0"/>
          <w:marRight w:val="0"/>
          <w:marTop w:val="0"/>
          <w:marBottom w:val="0"/>
          <w:divBdr>
            <w:top w:val="none" w:sz="0" w:space="0" w:color="auto"/>
            <w:left w:val="none" w:sz="0" w:space="0" w:color="auto"/>
            <w:bottom w:val="none" w:sz="0" w:space="0" w:color="auto"/>
            <w:right w:val="none" w:sz="0" w:space="0" w:color="auto"/>
          </w:divBdr>
        </w:div>
      </w:divsChild>
    </w:div>
    <w:div w:id="1009941495">
      <w:bodyDiv w:val="1"/>
      <w:marLeft w:val="0"/>
      <w:marRight w:val="0"/>
      <w:marTop w:val="0"/>
      <w:marBottom w:val="0"/>
      <w:divBdr>
        <w:top w:val="none" w:sz="0" w:space="0" w:color="auto"/>
        <w:left w:val="none" w:sz="0" w:space="0" w:color="auto"/>
        <w:bottom w:val="none" w:sz="0" w:space="0" w:color="auto"/>
        <w:right w:val="none" w:sz="0" w:space="0" w:color="auto"/>
      </w:divBdr>
    </w:div>
    <w:div w:id="1016689323">
      <w:bodyDiv w:val="1"/>
      <w:marLeft w:val="0"/>
      <w:marRight w:val="0"/>
      <w:marTop w:val="0"/>
      <w:marBottom w:val="0"/>
      <w:divBdr>
        <w:top w:val="none" w:sz="0" w:space="0" w:color="auto"/>
        <w:left w:val="none" w:sz="0" w:space="0" w:color="auto"/>
        <w:bottom w:val="none" w:sz="0" w:space="0" w:color="auto"/>
        <w:right w:val="none" w:sz="0" w:space="0" w:color="auto"/>
      </w:divBdr>
    </w:div>
    <w:div w:id="1021396877">
      <w:bodyDiv w:val="1"/>
      <w:marLeft w:val="0"/>
      <w:marRight w:val="0"/>
      <w:marTop w:val="0"/>
      <w:marBottom w:val="0"/>
      <w:divBdr>
        <w:top w:val="none" w:sz="0" w:space="0" w:color="auto"/>
        <w:left w:val="none" w:sz="0" w:space="0" w:color="auto"/>
        <w:bottom w:val="none" w:sz="0" w:space="0" w:color="auto"/>
        <w:right w:val="none" w:sz="0" w:space="0" w:color="auto"/>
      </w:divBdr>
      <w:divsChild>
        <w:div w:id="3091013">
          <w:marLeft w:val="0"/>
          <w:marRight w:val="0"/>
          <w:marTop w:val="195"/>
          <w:marBottom w:val="0"/>
          <w:divBdr>
            <w:top w:val="none" w:sz="0" w:space="0" w:color="auto"/>
            <w:left w:val="none" w:sz="0" w:space="0" w:color="auto"/>
            <w:bottom w:val="none" w:sz="0" w:space="0" w:color="auto"/>
            <w:right w:val="none" w:sz="0" w:space="0" w:color="auto"/>
          </w:divBdr>
        </w:div>
      </w:divsChild>
    </w:div>
    <w:div w:id="1068725118">
      <w:bodyDiv w:val="1"/>
      <w:marLeft w:val="0"/>
      <w:marRight w:val="0"/>
      <w:marTop w:val="0"/>
      <w:marBottom w:val="0"/>
      <w:divBdr>
        <w:top w:val="none" w:sz="0" w:space="0" w:color="auto"/>
        <w:left w:val="none" w:sz="0" w:space="0" w:color="auto"/>
        <w:bottom w:val="none" w:sz="0" w:space="0" w:color="auto"/>
        <w:right w:val="none" w:sz="0" w:space="0" w:color="auto"/>
      </w:divBdr>
      <w:divsChild>
        <w:div w:id="622271358">
          <w:marLeft w:val="0"/>
          <w:marRight w:val="0"/>
          <w:marTop w:val="0"/>
          <w:marBottom w:val="240"/>
          <w:divBdr>
            <w:top w:val="none" w:sz="0" w:space="0" w:color="auto"/>
            <w:left w:val="none" w:sz="0" w:space="0" w:color="auto"/>
            <w:bottom w:val="none" w:sz="0" w:space="0" w:color="auto"/>
            <w:right w:val="none" w:sz="0" w:space="0" w:color="auto"/>
          </w:divBdr>
        </w:div>
      </w:divsChild>
    </w:div>
    <w:div w:id="1072115788">
      <w:bodyDiv w:val="1"/>
      <w:marLeft w:val="0"/>
      <w:marRight w:val="0"/>
      <w:marTop w:val="0"/>
      <w:marBottom w:val="0"/>
      <w:divBdr>
        <w:top w:val="none" w:sz="0" w:space="0" w:color="auto"/>
        <w:left w:val="none" w:sz="0" w:space="0" w:color="auto"/>
        <w:bottom w:val="none" w:sz="0" w:space="0" w:color="auto"/>
        <w:right w:val="none" w:sz="0" w:space="0" w:color="auto"/>
      </w:divBdr>
      <w:divsChild>
        <w:div w:id="1043335240">
          <w:marLeft w:val="0"/>
          <w:marRight w:val="0"/>
          <w:marTop w:val="0"/>
          <w:marBottom w:val="0"/>
          <w:divBdr>
            <w:top w:val="none" w:sz="0" w:space="0" w:color="auto"/>
            <w:left w:val="none" w:sz="0" w:space="0" w:color="auto"/>
            <w:bottom w:val="none" w:sz="0" w:space="0" w:color="auto"/>
            <w:right w:val="none" w:sz="0" w:space="0" w:color="auto"/>
          </w:divBdr>
        </w:div>
      </w:divsChild>
    </w:div>
    <w:div w:id="1077822715">
      <w:bodyDiv w:val="1"/>
      <w:marLeft w:val="0"/>
      <w:marRight w:val="0"/>
      <w:marTop w:val="0"/>
      <w:marBottom w:val="0"/>
      <w:divBdr>
        <w:top w:val="none" w:sz="0" w:space="0" w:color="auto"/>
        <w:left w:val="none" w:sz="0" w:space="0" w:color="auto"/>
        <w:bottom w:val="none" w:sz="0" w:space="0" w:color="auto"/>
        <w:right w:val="none" w:sz="0" w:space="0" w:color="auto"/>
      </w:divBdr>
    </w:div>
    <w:div w:id="1097142045">
      <w:bodyDiv w:val="1"/>
      <w:marLeft w:val="0"/>
      <w:marRight w:val="0"/>
      <w:marTop w:val="0"/>
      <w:marBottom w:val="0"/>
      <w:divBdr>
        <w:top w:val="none" w:sz="0" w:space="0" w:color="auto"/>
        <w:left w:val="none" w:sz="0" w:space="0" w:color="auto"/>
        <w:bottom w:val="none" w:sz="0" w:space="0" w:color="auto"/>
        <w:right w:val="none" w:sz="0" w:space="0" w:color="auto"/>
      </w:divBdr>
    </w:div>
    <w:div w:id="1140924429">
      <w:bodyDiv w:val="1"/>
      <w:marLeft w:val="0"/>
      <w:marRight w:val="0"/>
      <w:marTop w:val="0"/>
      <w:marBottom w:val="0"/>
      <w:divBdr>
        <w:top w:val="none" w:sz="0" w:space="0" w:color="auto"/>
        <w:left w:val="none" w:sz="0" w:space="0" w:color="auto"/>
        <w:bottom w:val="none" w:sz="0" w:space="0" w:color="auto"/>
        <w:right w:val="none" w:sz="0" w:space="0" w:color="auto"/>
      </w:divBdr>
    </w:div>
    <w:div w:id="1168250666">
      <w:bodyDiv w:val="1"/>
      <w:marLeft w:val="0"/>
      <w:marRight w:val="0"/>
      <w:marTop w:val="0"/>
      <w:marBottom w:val="0"/>
      <w:divBdr>
        <w:top w:val="none" w:sz="0" w:space="0" w:color="auto"/>
        <w:left w:val="none" w:sz="0" w:space="0" w:color="auto"/>
        <w:bottom w:val="none" w:sz="0" w:space="0" w:color="auto"/>
        <w:right w:val="none" w:sz="0" w:space="0" w:color="auto"/>
      </w:divBdr>
    </w:div>
    <w:div w:id="1172843090">
      <w:bodyDiv w:val="1"/>
      <w:marLeft w:val="0"/>
      <w:marRight w:val="0"/>
      <w:marTop w:val="0"/>
      <w:marBottom w:val="0"/>
      <w:divBdr>
        <w:top w:val="none" w:sz="0" w:space="0" w:color="auto"/>
        <w:left w:val="none" w:sz="0" w:space="0" w:color="auto"/>
        <w:bottom w:val="none" w:sz="0" w:space="0" w:color="auto"/>
        <w:right w:val="none" w:sz="0" w:space="0" w:color="auto"/>
      </w:divBdr>
    </w:div>
    <w:div w:id="1209219275">
      <w:bodyDiv w:val="1"/>
      <w:marLeft w:val="0"/>
      <w:marRight w:val="0"/>
      <w:marTop w:val="0"/>
      <w:marBottom w:val="0"/>
      <w:divBdr>
        <w:top w:val="none" w:sz="0" w:space="0" w:color="auto"/>
        <w:left w:val="none" w:sz="0" w:space="0" w:color="auto"/>
        <w:bottom w:val="none" w:sz="0" w:space="0" w:color="auto"/>
        <w:right w:val="none" w:sz="0" w:space="0" w:color="auto"/>
      </w:divBdr>
    </w:div>
    <w:div w:id="1218928547">
      <w:bodyDiv w:val="1"/>
      <w:marLeft w:val="0"/>
      <w:marRight w:val="0"/>
      <w:marTop w:val="0"/>
      <w:marBottom w:val="0"/>
      <w:divBdr>
        <w:top w:val="none" w:sz="0" w:space="0" w:color="auto"/>
        <w:left w:val="none" w:sz="0" w:space="0" w:color="auto"/>
        <w:bottom w:val="none" w:sz="0" w:space="0" w:color="auto"/>
        <w:right w:val="none" w:sz="0" w:space="0" w:color="auto"/>
      </w:divBdr>
    </w:div>
    <w:div w:id="1229221472">
      <w:bodyDiv w:val="1"/>
      <w:marLeft w:val="0"/>
      <w:marRight w:val="0"/>
      <w:marTop w:val="0"/>
      <w:marBottom w:val="0"/>
      <w:divBdr>
        <w:top w:val="none" w:sz="0" w:space="0" w:color="auto"/>
        <w:left w:val="none" w:sz="0" w:space="0" w:color="auto"/>
        <w:bottom w:val="none" w:sz="0" w:space="0" w:color="auto"/>
        <w:right w:val="none" w:sz="0" w:space="0" w:color="auto"/>
      </w:divBdr>
    </w:div>
    <w:div w:id="1230772800">
      <w:bodyDiv w:val="1"/>
      <w:marLeft w:val="0"/>
      <w:marRight w:val="0"/>
      <w:marTop w:val="0"/>
      <w:marBottom w:val="0"/>
      <w:divBdr>
        <w:top w:val="none" w:sz="0" w:space="0" w:color="auto"/>
        <w:left w:val="none" w:sz="0" w:space="0" w:color="auto"/>
        <w:bottom w:val="none" w:sz="0" w:space="0" w:color="auto"/>
        <w:right w:val="none" w:sz="0" w:space="0" w:color="auto"/>
      </w:divBdr>
    </w:div>
    <w:div w:id="1290628286">
      <w:bodyDiv w:val="1"/>
      <w:marLeft w:val="0"/>
      <w:marRight w:val="0"/>
      <w:marTop w:val="0"/>
      <w:marBottom w:val="0"/>
      <w:divBdr>
        <w:top w:val="none" w:sz="0" w:space="0" w:color="auto"/>
        <w:left w:val="none" w:sz="0" w:space="0" w:color="auto"/>
        <w:bottom w:val="none" w:sz="0" w:space="0" w:color="auto"/>
        <w:right w:val="none" w:sz="0" w:space="0" w:color="auto"/>
      </w:divBdr>
    </w:div>
    <w:div w:id="1327397970">
      <w:bodyDiv w:val="1"/>
      <w:marLeft w:val="0"/>
      <w:marRight w:val="0"/>
      <w:marTop w:val="0"/>
      <w:marBottom w:val="0"/>
      <w:divBdr>
        <w:top w:val="none" w:sz="0" w:space="0" w:color="auto"/>
        <w:left w:val="none" w:sz="0" w:space="0" w:color="auto"/>
        <w:bottom w:val="none" w:sz="0" w:space="0" w:color="auto"/>
        <w:right w:val="none" w:sz="0" w:space="0" w:color="auto"/>
      </w:divBdr>
    </w:div>
    <w:div w:id="1349287508">
      <w:bodyDiv w:val="1"/>
      <w:marLeft w:val="0"/>
      <w:marRight w:val="0"/>
      <w:marTop w:val="0"/>
      <w:marBottom w:val="0"/>
      <w:divBdr>
        <w:top w:val="none" w:sz="0" w:space="0" w:color="auto"/>
        <w:left w:val="none" w:sz="0" w:space="0" w:color="auto"/>
        <w:bottom w:val="none" w:sz="0" w:space="0" w:color="auto"/>
        <w:right w:val="none" w:sz="0" w:space="0" w:color="auto"/>
      </w:divBdr>
    </w:div>
    <w:div w:id="1457945937">
      <w:bodyDiv w:val="1"/>
      <w:marLeft w:val="0"/>
      <w:marRight w:val="0"/>
      <w:marTop w:val="0"/>
      <w:marBottom w:val="0"/>
      <w:divBdr>
        <w:top w:val="none" w:sz="0" w:space="0" w:color="auto"/>
        <w:left w:val="none" w:sz="0" w:space="0" w:color="auto"/>
        <w:bottom w:val="none" w:sz="0" w:space="0" w:color="auto"/>
        <w:right w:val="none" w:sz="0" w:space="0" w:color="auto"/>
      </w:divBdr>
    </w:div>
    <w:div w:id="1475759466">
      <w:bodyDiv w:val="1"/>
      <w:marLeft w:val="0"/>
      <w:marRight w:val="0"/>
      <w:marTop w:val="0"/>
      <w:marBottom w:val="0"/>
      <w:divBdr>
        <w:top w:val="none" w:sz="0" w:space="0" w:color="auto"/>
        <w:left w:val="none" w:sz="0" w:space="0" w:color="auto"/>
        <w:bottom w:val="none" w:sz="0" w:space="0" w:color="auto"/>
        <w:right w:val="none" w:sz="0" w:space="0" w:color="auto"/>
      </w:divBdr>
    </w:div>
    <w:div w:id="1488131453">
      <w:bodyDiv w:val="1"/>
      <w:marLeft w:val="0"/>
      <w:marRight w:val="0"/>
      <w:marTop w:val="0"/>
      <w:marBottom w:val="0"/>
      <w:divBdr>
        <w:top w:val="none" w:sz="0" w:space="0" w:color="auto"/>
        <w:left w:val="none" w:sz="0" w:space="0" w:color="auto"/>
        <w:bottom w:val="none" w:sz="0" w:space="0" w:color="auto"/>
        <w:right w:val="none" w:sz="0" w:space="0" w:color="auto"/>
      </w:divBdr>
      <w:divsChild>
        <w:div w:id="1874884478">
          <w:marLeft w:val="0"/>
          <w:marRight w:val="0"/>
          <w:marTop w:val="0"/>
          <w:marBottom w:val="0"/>
          <w:divBdr>
            <w:top w:val="none" w:sz="0" w:space="0" w:color="auto"/>
            <w:left w:val="none" w:sz="0" w:space="0" w:color="auto"/>
            <w:bottom w:val="none" w:sz="0" w:space="0" w:color="auto"/>
            <w:right w:val="none" w:sz="0" w:space="0" w:color="auto"/>
          </w:divBdr>
        </w:div>
      </w:divsChild>
    </w:div>
    <w:div w:id="1511335782">
      <w:bodyDiv w:val="1"/>
      <w:marLeft w:val="0"/>
      <w:marRight w:val="0"/>
      <w:marTop w:val="0"/>
      <w:marBottom w:val="0"/>
      <w:divBdr>
        <w:top w:val="none" w:sz="0" w:space="0" w:color="auto"/>
        <w:left w:val="none" w:sz="0" w:space="0" w:color="auto"/>
        <w:bottom w:val="none" w:sz="0" w:space="0" w:color="auto"/>
        <w:right w:val="none" w:sz="0" w:space="0" w:color="auto"/>
      </w:divBdr>
    </w:div>
    <w:div w:id="1531990042">
      <w:bodyDiv w:val="1"/>
      <w:marLeft w:val="0"/>
      <w:marRight w:val="0"/>
      <w:marTop w:val="0"/>
      <w:marBottom w:val="0"/>
      <w:divBdr>
        <w:top w:val="none" w:sz="0" w:space="0" w:color="auto"/>
        <w:left w:val="none" w:sz="0" w:space="0" w:color="auto"/>
        <w:bottom w:val="none" w:sz="0" w:space="0" w:color="auto"/>
        <w:right w:val="none" w:sz="0" w:space="0" w:color="auto"/>
      </w:divBdr>
      <w:divsChild>
        <w:div w:id="614287280">
          <w:marLeft w:val="0"/>
          <w:marRight w:val="0"/>
          <w:marTop w:val="0"/>
          <w:marBottom w:val="0"/>
          <w:divBdr>
            <w:top w:val="none" w:sz="0" w:space="0" w:color="auto"/>
            <w:left w:val="none" w:sz="0" w:space="0" w:color="auto"/>
            <w:bottom w:val="none" w:sz="0" w:space="0" w:color="auto"/>
            <w:right w:val="none" w:sz="0" w:space="0" w:color="auto"/>
          </w:divBdr>
          <w:divsChild>
            <w:div w:id="288516691">
              <w:marLeft w:val="0"/>
              <w:marRight w:val="0"/>
              <w:marTop w:val="0"/>
              <w:marBottom w:val="0"/>
              <w:divBdr>
                <w:top w:val="none" w:sz="0" w:space="0" w:color="auto"/>
                <w:left w:val="none" w:sz="0" w:space="0" w:color="auto"/>
                <w:bottom w:val="none" w:sz="0" w:space="0" w:color="auto"/>
                <w:right w:val="none" w:sz="0" w:space="0" w:color="auto"/>
              </w:divBdr>
              <w:divsChild>
                <w:div w:id="1206528086">
                  <w:marLeft w:val="0"/>
                  <w:marRight w:val="0"/>
                  <w:marTop w:val="0"/>
                  <w:marBottom w:val="0"/>
                  <w:divBdr>
                    <w:top w:val="none" w:sz="0" w:space="0" w:color="auto"/>
                    <w:left w:val="none" w:sz="0" w:space="0" w:color="auto"/>
                    <w:bottom w:val="none" w:sz="0" w:space="0" w:color="auto"/>
                    <w:right w:val="none" w:sz="0" w:space="0" w:color="auto"/>
                  </w:divBdr>
                  <w:divsChild>
                    <w:div w:id="459419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7540627">
      <w:bodyDiv w:val="1"/>
      <w:marLeft w:val="0"/>
      <w:marRight w:val="0"/>
      <w:marTop w:val="0"/>
      <w:marBottom w:val="0"/>
      <w:divBdr>
        <w:top w:val="none" w:sz="0" w:space="0" w:color="auto"/>
        <w:left w:val="none" w:sz="0" w:space="0" w:color="auto"/>
        <w:bottom w:val="none" w:sz="0" w:space="0" w:color="auto"/>
        <w:right w:val="none" w:sz="0" w:space="0" w:color="auto"/>
      </w:divBdr>
    </w:div>
    <w:div w:id="1556356037">
      <w:bodyDiv w:val="1"/>
      <w:marLeft w:val="0"/>
      <w:marRight w:val="0"/>
      <w:marTop w:val="0"/>
      <w:marBottom w:val="0"/>
      <w:divBdr>
        <w:top w:val="none" w:sz="0" w:space="0" w:color="auto"/>
        <w:left w:val="none" w:sz="0" w:space="0" w:color="auto"/>
        <w:bottom w:val="none" w:sz="0" w:space="0" w:color="auto"/>
        <w:right w:val="none" w:sz="0" w:space="0" w:color="auto"/>
      </w:divBdr>
    </w:div>
    <w:div w:id="1557354985">
      <w:bodyDiv w:val="1"/>
      <w:marLeft w:val="0"/>
      <w:marRight w:val="0"/>
      <w:marTop w:val="0"/>
      <w:marBottom w:val="0"/>
      <w:divBdr>
        <w:top w:val="none" w:sz="0" w:space="0" w:color="auto"/>
        <w:left w:val="none" w:sz="0" w:space="0" w:color="auto"/>
        <w:bottom w:val="none" w:sz="0" w:space="0" w:color="auto"/>
        <w:right w:val="none" w:sz="0" w:space="0" w:color="auto"/>
      </w:divBdr>
    </w:div>
    <w:div w:id="1571764877">
      <w:bodyDiv w:val="1"/>
      <w:marLeft w:val="0"/>
      <w:marRight w:val="0"/>
      <w:marTop w:val="0"/>
      <w:marBottom w:val="0"/>
      <w:divBdr>
        <w:top w:val="none" w:sz="0" w:space="0" w:color="auto"/>
        <w:left w:val="none" w:sz="0" w:space="0" w:color="auto"/>
        <w:bottom w:val="none" w:sz="0" w:space="0" w:color="auto"/>
        <w:right w:val="none" w:sz="0" w:space="0" w:color="auto"/>
      </w:divBdr>
      <w:divsChild>
        <w:div w:id="1345325643">
          <w:marLeft w:val="0"/>
          <w:marRight w:val="0"/>
          <w:marTop w:val="0"/>
          <w:marBottom w:val="0"/>
          <w:divBdr>
            <w:top w:val="none" w:sz="0" w:space="0" w:color="auto"/>
            <w:left w:val="none" w:sz="0" w:space="0" w:color="auto"/>
            <w:bottom w:val="none" w:sz="0" w:space="0" w:color="auto"/>
            <w:right w:val="none" w:sz="0" w:space="0" w:color="auto"/>
          </w:divBdr>
          <w:divsChild>
            <w:div w:id="343478322">
              <w:marLeft w:val="0"/>
              <w:marRight w:val="0"/>
              <w:marTop w:val="0"/>
              <w:marBottom w:val="0"/>
              <w:divBdr>
                <w:top w:val="none" w:sz="0" w:space="0" w:color="auto"/>
                <w:left w:val="none" w:sz="0" w:space="0" w:color="auto"/>
                <w:bottom w:val="none" w:sz="0" w:space="0" w:color="auto"/>
                <w:right w:val="none" w:sz="0" w:space="0" w:color="auto"/>
              </w:divBdr>
              <w:divsChild>
                <w:div w:id="121543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319077">
      <w:bodyDiv w:val="1"/>
      <w:marLeft w:val="0"/>
      <w:marRight w:val="0"/>
      <w:marTop w:val="0"/>
      <w:marBottom w:val="0"/>
      <w:divBdr>
        <w:top w:val="none" w:sz="0" w:space="0" w:color="auto"/>
        <w:left w:val="none" w:sz="0" w:space="0" w:color="auto"/>
        <w:bottom w:val="none" w:sz="0" w:space="0" w:color="auto"/>
        <w:right w:val="none" w:sz="0" w:space="0" w:color="auto"/>
      </w:divBdr>
    </w:div>
    <w:div w:id="1574965965">
      <w:bodyDiv w:val="1"/>
      <w:marLeft w:val="0"/>
      <w:marRight w:val="0"/>
      <w:marTop w:val="0"/>
      <w:marBottom w:val="0"/>
      <w:divBdr>
        <w:top w:val="none" w:sz="0" w:space="0" w:color="auto"/>
        <w:left w:val="none" w:sz="0" w:space="0" w:color="auto"/>
        <w:bottom w:val="none" w:sz="0" w:space="0" w:color="auto"/>
        <w:right w:val="none" w:sz="0" w:space="0" w:color="auto"/>
      </w:divBdr>
    </w:div>
    <w:div w:id="1577401418">
      <w:bodyDiv w:val="1"/>
      <w:marLeft w:val="0"/>
      <w:marRight w:val="0"/>
      <w:marTop w:val="0"/>
      <w:marBottom w:val="0"/>
      <w:divBdr>
        <w:top w:val="none" w:sz="0" w:space="0" w:color="auto"/>
        <w:left w:val="none" w:sz="0" w:space="0" w:color="auto"/>
        <w:bottom w:val="none" w:sz="0" w:space="0" w:color="auto"/>
        <w:right w:val="none" w:sz="0" w:space="0" w:color="auto"/>
      </w:divBdr>
    </w:div>
    <w:div w:id="1581712096">
      <w:bodyDiv w:val="1"/>
      <w:marLeft w:val="0"/>
      <w:marRight w:val="0"/>
      <w:marTop w:val="0"/>
      <w:marBottom w:val="0"/>
      <w:divBdr>
        <w:top w:val="none" w:sz="0" w:space="0" w:color="auto"/>
        <w:left w:val="none" w:sz="0" w:space="0" w:color="auto"/>
        <w:bottom w:val="none" w:sz="0" w:space="0" w:color="auto"/>
        <w:right w:val="none" w:sz="0" w:space="0" w:color="auto"/>
      </w:divBdr>
      <w:divsChild>
        <w:div w:id="1962026586">
          <w:marLeft w:val="0"/>
          <w:marRight w:val="0"/>
          <w:marTop w:val="0"/>
          <w:marBottom w:val="0"/>
          <w:divBdr>
            <w:top w:val="none" w:sz="0" w:space="0" w:color="auto"/>
            <w:left w:val="none" w:sz="0" w:space="0" w:color="auto"/>
            <w:bottom w:val="none" w:sz="0" w:space="0" w:color="auto"/>
            <w:right w:val="none" w:sz="0" w:space="0" w:color="auto"/>
          </w:divBdr>
          <w:divsChild>
            <w:div w:id="2131241910">
              <w:marLeft w:val="0"/>
              <w:marRight w:val="0"/>
              <w:marTop w:val="0"/>
              <w:marBottom w:val="0"/>
              <w:divBdr>
                <w:top w:val="none" w:sz="0" w:space="0" w:color="auto"/>
                <w:left w:val="none" w:sz="0" w:space="0" w:color="auto"/>
                <w:bottom w:val="none" w:sz="0" w:space="0" w:color="auto"/>
                <w:right w:val="none" w:sz="0" w:space="0" w:color="auto"/>
              </w:divBdr>
              <w:divsChild>
                <w:div w:id="1985772930">
                  <w:marLeft w:val="0"/>
                  <w:marRight w:val="0"/>
                  <w:marTop w:val="0"/>
                  <w:marBottom w:val="0"/>
                  <w:divBdr>
                    <w:top w:val="none" w:sz="0" w:space="0" w:color="auto"/>
                    <w:left w:val="none" w:sz="0" w:space="0" w:color="auto"/>
                    <w:bottom w:val="none" w:sz="0" w:space="0" w:color="auto"/>
                    <w:right w:val="none" w:sz="0" w:space="0" w:color="auto"/>
                  </w:divBdr>
                  <w:divsChild>
                    <w:div w:id="12020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0140694">
      <w:bodyDiv w:val="1"/>
      <w:marLeft w:val="0"/>
      <w:marRight w:val="0"/>
      <w:marTop w:val="0"/>
      <w:marBottom w:val="0"/>
      <w:divBdr>
        <w:top w:val="none" w:sz="0" w:space="0" w:color="auto"/>
        <w:left w:val="none" w:sz="0" w:space="0" w:color="auto"/>
        <w:bottom w:val="none" w:sz="0" w:space="0" w:color="auto"/>
        <w:right w:val="none" w:sz="0" w:space="0" w:color="auto"/>
      </w:divBdr>
    </w:div>
    <w:div w:id="1612780015">
      <w:bodyDiv w:val="1"/>
      <w:marLeft w:val="0"/>
      <w:marRight w:val="0"/>
      <w:marTop w:val="0"/>
      <w:marBottom w:val="0"/>
      <w:divBdr>
        <w:top w:val="none" w:sz="0" w:space="0" w:color="auto"/>
        <w:left w:val="none" w:sz="0" w:space="0" w:color="auto"/>
        <w:bottom w:val="none" w:sz="0" w:space="0" w:color="auto"/>
        <w:right w:val="none" w:sz="0" w:space="0" w:color="auto"/>
      </w:divBdr>
      <w:divsChild>
        <w:div w:id="17703224">
          <w:marLeft w:val="0"/>
          <w:marRight w:val="0"/>
          <w:marTop w:val="0"/>
          <w:marBottom w:val="0"/>
          <w:divBdr>
            <w:top w:val="none" w:sz="0" w:space="0" w:color="auto"/>
            <w:left w:val="none" w:sz="0" w:space="0" w:color="auto"/>
            <w:bottom w:val="none" w:sz="0" w:space="0" w:color="auto"/>
            <w:right w:val="none" w:sz="0" w:space="0" w:color="auto"/>
          </w:divBdr>
          <w:divsChild>
            <w:div w:id="551233268">
              <w:marLeft w:val="0"/>
              <w:marRight w:val="0"/>
              <w:marTop w:val="0"/>
              <w:marBottom w:val="0"/>
              <w:divBdr>
                <w:top w:val="none" w:sz="0" w:space="0" w:color="auto"/>
                <w:left w:val="none" w:sz="0" w:space="0" w:color="auto"/>
                <w:bottom w:val="none" w:sz="0" w:space="0" w:color="auto"/>
                <w:right w:val="none" w:sz="0" w:space="0" w:color="auto"/>
              </w:divBdr>
              <w:divsChild>
                <w:div w:id="184055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264461">
      <w:bodyDiv w:val="1"/>
      <w:marLeft w:val="0"/>
      <w:marRight w:val="0"/>
      <w:marTop w:val="0"/>
      <w:marBottom w:val="0"/>
      <w:divBdr>
        <w:top w:val="none" w:sz="0" w:space="0" w:color="auto"/>
        <w:left w:val="none" w:sz="0" w:space="0" w:color="auto"/>
        <w:bottom w:val="none" w:sz="0" w:space="0" w:color="auto"/>
        <w:right w:val="none" w:sz="0" w:space="0" w:color="auto"/>
      </w:divBdr>
    </w:div>
    <w:div w:id="1627815216">
      <w:bodyDiv w:val="1"/>
      <w:marLeft w:val="0"/>
      <w:marRight w:val="0"/>
      <w:marTop w:val="0"/>
      <w:marBottom w:val="0"/>
      <w:divBdr>
        <w:top w:val="none" w:sz="0" w:space="0" w:color="auto"/>
        <w:left w:val="none" w:sz="0" w:space="0" w:color="auto"/>
        <w:bottom w:val="none" w:sz="0" w:space="0" w:color="auto"/>
        <w:right w:val="none" w:sz="0" w:space="0" w:color="auto"/>
      </w:divBdr>
      <w:divsChild>
        <w:div w:id="1736393341">
          <w:marLeft w:val="0"/>
          <w:marRight w:val="0"/>
          <w:marTop w:val="0"/>
          <w:marBottom w:val="0"/>
          <w:divBdr>
            <w:top w:val="none" w:sz="0" w:space="0" w:color="auto"/>
            <w:left w:val="none" w:sz="0" w:space="0" w:color="auto"/>
            <w:bottom w:val="none" w:sz="0" w:space="0" w:color="auto"/>
            <w:right w:val="none" w:sz="0" w:space="0" w:color="auto"/>
          </w:divBdr>
          <w:divsChild>
            <w:div w:id="1808427041">
              <w:marLeft w:val="0"/>
              <w:marRight w:val="0"/>
              <w:marTop w:val="0"/>
              <w:marBottom w:val="0"/>
              <w:divBdr>
                <w:top w:val="none" w:sz="0" w:space="0" w:color="auto"/>
                <w:left w:val="none" w:sz="0" w:space="0" w:color="auto"/>
                <w:bottom w:val="none" w:sz="0" w:space="0" w:color="auto"/>
                <w:right w:val="none" w:sz="0" w:space="0" w:color="auto"/>
              </w:divBdr>
              <w:divsChild>
                <w:div w:id="1128819595">
                  <w:marLeft w:val="0"/>
                  <w:marRight w:val="0"/>
                  <w:marTop w:val="0"/>
                  <w:marBottom w:val="0"/>
                  <w:divBdr>
                    <w:top w:val="none" w:sz="0" w:space="0" w:color="auto"/>
                    <w:left w:val="none" w:sz="0" w:space="0" w:color="auto"/>
                    <w:bottom w:val="none" w:sz="0" w:space="0" w:color="auto"/>
                    <w:right w:val="none" w:sz="0" w:space="0" w:color="auto"/>
                  </w:divBdr>
                  <w:divsChild>
                    <w:div w:id="147209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2977387">
      <w:bodyDiv w:val="1"/>
      <w:marLeft w:val="0"/>
      <w:marRight w:val="0"/>
      <w:marTop w:val="0"/>
      <w:marBottom w:val="0"/>
      <w:divBdr>
        <w:top w:val="none" w:sz="0" w:space="0" w:color="auto"/>
        <w:left w:val="none" w:sz="0" w:space="0" w:color="auto"/>
        <w:bottom w:val="none" w:sz="0" w:space="0" w:color="auto"/>
        <w:right w:val="none" w:sz="0" w:space="0" w:color="auto"/>
      </w:divBdr>
      <w:divsChild>
        <w:div w:id="2115468629">
          <w:marLeft w:val="0"/>
          <w:marRight w:val="0"/>
          <w:marTop w:val="0"/>
          <w:marBottom w:val="0"/>
          <w:divBdr>
            <w:top w:val="none" w:sz="0" w:space="0" w:color="auto"/>
            <w:left w:val="none" w:sz="0" w:space="0" w:color="auto"/>
            <w:bottom w:val="none" w:sz="0" w:space="0" w:color="auto"/>
            <w:right w:val="none" w:sz="0" w:space="0" w:color="auto"/>
          </w:divBdr>
        </w:div>
      </w:divsChild>
    </w:div>
    <w:div w:id="1654723688">
      <w:bodyDiv w:val="1"/>
      <w:marLeft w:val="0"/>
      <w:marRight w:val="0"/>
      <w:marTop w:val="0"/>
      <w:marBottom w:val="0"/>
      <w:divBdr>
        <w:top w:val="none" w:sz="0" w:space="0" w:color="auto"/>
        <w:left w:val="none" w:sz="0" w:space="0" w:color="auto"/>
        <w:bottom w:val="none" w:sz="0" w:space="0" w:color="auto"/>
        <w:right w:val="none" w:sz="0" w:space="0" w:color="auto"/>
      </w:divBdr>
      <w:divsChild>
        <w:div w:id="1202136016">
          <w:marLeft w:val="0"/>
          <w:marRight w:val="0"/>
          <w:marTop w:val="0"/>
          <w:marBottom w:val="0"/>
          <w:divBdr>
            <w:top w:val="none" w:sz="0" w:space="0" w:color="auto"/>
            <w:left w:val="none" w:sz="0" w:space="0" w:color="auto"/>
            <w:bottom w:val="none" w:sz="0" w:space="0" w:color="auto"/>
            <w:right w:val="none" w:sz="0" w:space="0" w:color="auto"/>
          </w:divBdr>
          <w:divsChild>
            <w:div w:id="1041245609">
              <w:marLeft w:val="0"/>
              <w:marRight w:val="0"/>
              <w:marTop w:val="0"/>
              <w:marBottom w:val="0"/>
              <w:divBdr>
                <w:top w:val="none" w:sz="0" w:space="0" w:color="auto"/>
                <w:left w:val="none" w:sz="0" w:space="0" w:color="auto"/>
                <w:bottom w:val="none" w:sz="0" w:space="0" w:color="auto"/>
                <w:right w:val="none" w:sz="0" w:space="0" w:color="auto"/>
              </w:divBdr>
              <w:divsChild>
                <w:div w:id="138112493">
                  <w:marLeft w:val="0"/>
                  <w:marRight w:val="0"/>
                  <w:marTop w:val="0"/>
                  <w:marBottom w:val="0"/>
                  <w:divBdr>
                    <w:top w:val="none" w:sz="0" w:space="0" w:color="auto"/>
                    <w:left w:val="none" w:sz="0" w:space="0" w:color="auto"/>
                    <w:bottom w:val="none" w:sz="0" w:space="0" w:color="auto"/>
                    <w:right w:val="none" w:sz="0" w:space="0" w:color="auto"/>
                  </w:divBdr>
                </w:div>
                <w:div w:id="104248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554760">
          <w:marLeft w:val="0"/>
          <w:marRight w:val="0"/>
          <w:marTop w:val="0"/>
          <w:marBottom w:val="0"/>
          <w:divBdr>
            <w:top w:val="none" w:sz="0" w:space="0" w:color="auto"/>
            <w:left w:val="none" w:sz="0" w:space="0" w:color="auto"/>
            <w:bottom w:val="none" w:sz="0" w:space="0" w:color="auto"/>
            <w:right w:val="none" w:sz="0" w:space="0" w:color="auto"/>
          </w:divBdr>
        </w:div>
        <w:div w:id="1938101883">
          <w:marLeft w:val="0"/>
          <w:marRight w:val="0"/>
          <w:marTop w:val="0"/>
          <w:marBottom w:val="0"/>
          <w:divBdr>
            <w:top w:val="none" w:sz="0" w:space="0" w:color="auto"/>
            <w:left w:val="none" w:sz="0" w:space="0" w:color="auto"/>
            <w:bottom w:val="none" w:sz="0" w:space="0" w:color="auto"/>
            <w:right w:val="none" w:sz="0" w:space="0" w:color="auto"/>
          </w:divBdr>
        </w:div>
      </w:divsChild>
    </w:div>
    <w:div w:id="1683164113">
      <w:bodyDiv w:val="1"/>
      <w:marLeft w:val="0"/>
      <w:marRight w:val="0"/>
      <w:marTop w:val="0"/>
      <w:marBottom w:val="0"/>
      <w:divBdr>
        <w:top w:val="none" w:sz="0" w:space="0" w:color="auto"/>
        <w:left w:val="none" w:sz="0" w:space="0" w:color="auto"/>
        <w:bottom w:val="none" w:sz="0" w:space="0" w:color="auto"/>
        <w:right w:val="none" w:sz="0" w:space="0" w:color="auto"/>
      </w:divBdr>
    </w:div>
    <w:div w:id="1706565215">
      <w:bodyDiv w:val="1"/>
      <w:marLeft w:val="0"/>
      <w:marRight w:val="0"/>
      <w:marTop w:val="0"/>
      <w:marBottom w:val="0"/>
      <w:divBdr>
        <w:top w:val="none" w:sz="0" w:space="0" w:color="auto"/>
        <w:left w:val="none" w:sz="0" w:space="0" w:color="auto"/>
        <w:bottom w:val="none" w:sz="0" w:space="0" w:color="auto"/>
        <w:right w:val="none" w:sz="0" w:space="0" w:color="auto"/>
      </w:divBdr>
      <w:divsChild>
        <w:div w:id="704788653">
          <w:marLeft w:val="0"/>
          <w:marRight w:val="0"/>
          <w:marTop w:val="0"/>
          <w:marBottom w:val="0"/>
          <w:divBdr>
            <w:top w:val="none" w:sz="0" w:space="0" w:color="auto"/>
            <w:left w:val="none" w:sz="0" w:space="0" w:color="auto"/>
            <w:bottom w:val="none" w:sz="0" w:space="0" w:color="auto"/>
            <w:right w:val="none" w:sz="0" w:space="0" w:color="auto"/>
          </w:divBdr>
          <w:divsChild>
            <w:div w:id="98258561">
              <w:marLeft w:val="0"/>
              <w:marRight w:val="0"/>
              <w:marTop w:val="0"/>
              <w:marBottom w:val="0"/>
              <w:divBdr>
                <w:top w:val="none" w:sz="0" w:space="0" w:color="auto"/>
                <w:left w:val="none" w:sz="0" w:space="0" w:color="auto"/>
                <w:bottom w:val="none" w:sz="0" w:space="0" w:color="auto"/>
                <w:right w:val="none" w:sz="0" w:space="0" w:color="auto"/>
              </w:divBdr>
            </w:div>
            <w:div w:id="408844968">
              <w:marLeft w:val="0"/>
              <w:marRight w:val="0"/>
              <w:marTop w:val="0"/>
              <w:marBottom w:val="0"/>
              <w:divBdr>
                <w:top w:val="none" w:sz="0" w:space="0" w:color="auto"/>
                <w:left w:val="none" w:sz="0" w:space="0" w:color="auto"/>
                <w:bottom w:val="none" w:sz="0" w:space="0" w:color="auto"/>
                <w:right w:val="none" w:sz="0" w:space="0" w:color="auto"/>
              </w:divBdr>
            </w:div>
            <w:div w:id="813906750">
              <w:marLeft w:val="0"/>
              <w:marRight w:val="0"/>
              <w:marTop w:val="0"/>
              <w:marBottom w:val="0"/>
              <w:divBdr>
                <w:top w:val="none" w:sz="0" w:space="0" w:color="auto"/>
                <w:left w:val="none" w:sz="0" w:space="0" w:color="auto"/>
                <w:bottom w:val="none" w:sz="0" w:space="0" w:color="auto"/>
                <w:right w:val="none" w:sz="0" w:space="0" w:color="auto"/>
              </w:divBdr>
            </w:div>
            <w:div w:id="838808667">
              <w:marLeft w:val="0"/>
              <w:marRight w:val="0"/>
              <w:marTop w:val="0"/>
              <w:marBottom w:val="0"/>
              <w:divBdr>
                <w:top w:val="none" w:sz="0" w:space="0" w:color="auto"/>
                <w:left w:val="none" w:sz="0" w:space="0" w:color="auto"/>
                <w:bottom w:val="none" w:sz="0" w:space="0" w:color="auto"/>
                <w:right w:val="none" w:sz="0" w:space="0" w:color="auto"/>
              </w:divBdr>
            </w:div>
            <w:div w:id="1089693721">
              <w:marLeft w:val="0"/>
              <w:marRight w:val="0"/>
              <w:marTop w:val="0"/>
              <w:marBottom w:val="0"/>
              <w:divBdr>
                <w:top w:val="none" w:sz="0" w:space="0" w:color="auto"/>
                <w:left w:val="none" w:sz="0" w:space="0" w:color="auto"/>
                <w:bottom w:val="none" w:sz="0" w:space="0" w:color="auto"/>
                <w:right w:val="none" w:sz="0" w:space="0" w:color="auto"/>
              </w:divBdr>
            </w:div>
            <w:div w:id="1197548401">
              <w:marLeft w:val="0"/>
              <w:marRight w:val="0"/>
              <w:marTop w:val="0"/>
              <w:marBottom w:val="0"/>
              <w:divBdr>
                <w:top w:val="none" w:sz="0" w:space="0" w:color="auto"/>
                <w:left w:val="none" w:sz="0" w:space="0" w:color="auto"/>
                <w:bottom w:val="none" w:sz="0" w:space="0" w:color="auto"/>
                <w:right w:val="none" w:sz="0" w:space="0" w:color="auto"/>
              </w:divBdr>
            </w:div>
            <w:div w:id="152556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951097">
      <w:bodyDiv w:val="1"/>
      <w:marLeft w:val="0"/>
      <w:marRight w:val="0"/>
      <w:marTop w:val="0"/>
      <w:marBottom w:val="0"/>
      <w:divBdr>
        <w:top w:val="none" w:sz="0" w:space="0" w:color="auto"/>
        <w:left w:val="none" w:sz="0" w:space="0" w:color="auto"/>
        <w:bottom w:val="none" w:sz="0" w:space="0" w:color="auto"/>
        <w:right w:val="none" w:sz="0" w:space="0" w:color="auto"/>
      </w:divBdr>
    </w:div>
    <w:div w:id="1729180308">
      <w:bodyDiv w:val="1"/>
      <w:marLeft w:val="0"/>
      <w:marRight w:val="0"/>
      <w:marTop w:val="0"/>
      <w:marBottom w:val="0"/>
      <w:divBdr>
        <w:top w:val="none" w:sz="0" w:space="0" w:color="auto"/>
        <w:left w:val="none" w:sz="0" w:space="0" w:color="auto"/>
        <w:bottom w:val="none" w:sz="0" w:space="0" w:color="auto"/>
        <w:right w:val="none" w:sz="0" w:space="0" w:color="auto"/>
      </w:divBdr>
    </w:div>
    <w:div w:id="1741444871">
      <w:bodyDiv w:val="1"/>
      <w:marLeft w:val="0"/>
      <w:marRight w:val="0"/>
      <w:marTop w:val="0"/>
      <w:marBottom w:val="0"/>
      <w:divBdr>
        <w:top w:val="none" w:sz="0" w:space="0" w:color="auto"/>
        <w:left w:val="none" w:sz="0" w:space="0" w:color="auto"/>
        <w:bottom w:val="none" w:sz="0" w:space="0" w:color="auto"/>
        <w:right w:val="none" w:sz="0" w:space="0" w:color="auto"/>
      </w:divBdr>
    </w:div>
    <w:div w:id="1750156013">
      <w:bodyDiv w:val="1"/>
      <w:marLeft w:val="0"/>
      <w:marRight w:val="0"/>
      <w:marTop w:val="0"/>
      <w:marBottom w:val="0"/>
      <w:divBdr>
        <w:top w:val="none" w:sz="0" w:space="0" w:color="auto"/>
        <w:left w:val="none" w:sz="0" w:space="0" w:color="auto"/>
        <w:bottom w:val="none" w:sz="0" w:space="0" w:color="auto"/>
        <w:right w:val="none" w:sz="0" w:space="0" w:color="auto"/>
      </w:divBdr>
    </w:div>
    <w:div w:id="1756512466">
      <w:bodyDiv w:val="1"/>
      <w:marLeft w:val="0"/>
      <w:marRight w:val="0"/>
      <w:marTop w:val="0"/>
      <w:marBottom w:val="0"/>
      <w:divBdr>
        <w:top w:val="none" w:sz="0" w:space="0" w:color="auto"/>
        <w:left w:val="none" w:sz="0" w:space="0" w:color="auto"/>
        <w:bottom w:val="none" w:sz="0" w:space="0" w:color="auto"/>
        <w:right w:val="none" w:sz="0" w:space="0" w:color="auto"/>
      </w:divBdr>
      <w:divsChild>
        <w:div w:id="623002191">
          <w:marLeft w:val="0"/>
          <w:marRight w:val="0"/>
          <w:marTop w:val="0"/>
          <w:marBottom w:val="0"/>
          <w:divBdr>
            <w:top w:val="none" w:sz="0" w:space="0" w:color="auto"/>
            <w:left w:val="none" w:sz="0" w:space="0" w:color="auto"/>
            <w:bottom w:val="none" w:sz="0" w:space="0" w:color="auto"/>
            <w:right w:val="none" w:sz="0" w:space="0" w:color="auto"/>
          </w:divBdr>
          <w:divsChild>
            <w:div w:id="1515457815">
              <w:marLeft w:val="0"/>
              <w:marRight w:val="0"/>
              <w:marTop w:val="0"/>
              <w:marBottom w:val="0"/>
              <w:divBdr>
                <w:top w:val="none" w:sz="0" w:space="0" w:color="auto"/>
                <w:left w:val="none" w:sz="0" w:space="0" w:color="auto"/>
                <w:bottom w:val="none" w:sz="0" w:space="0" w:color="auto"/>
                <w:right w:val="none" w:sz="0" w:space="0" w:color="auto"/>
              </w:divBdr>
              <w:divsChild>
                <w:div w:id="445395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602750">
      <w:bodyDiv w:val="1"/>
      <w:marLeft w:val="0"/>
      <w:marRight w:val="0"/>
      <w:marTop w:val="0"/>
      <w:marBottom w:val="0"/>
      <w:divBdr>
        <w:top w:val="none" w:sz="0" w:space="0" w:color="auto"/>
        <w:left w:val="none" w:sz="0" w:space="0" w:color="auto"/>
        <w:bottom w:val="none" w:sz="0" w:space="0" w:color="auto"/>
        <w:right w:val="none" w:sz="0" w:space="0" w:color="auto"/>
      </w:divBdr>
    </w:div>
    <w:div w:id="1769541349">
      <w:bodyDiv w:val="1"/>
      <w:marLeft w:val="0"/>
      <w:marRight w:val="0"/>
      <w:marTop w:val="0"/>
      <w:marBottom w:val="0"/>
      <w:divBdr>
        <w:top w:val="none" w:sz="0" w:space="0" w:color="auto"/>
        <w:left w:val="none" w:sz="0" w:space="0" w:color="auto"/>
        <w:bottom w:val="none" w:sz="0" w:space="0" w:color="auto"/>
        <w:right w:val="none" w:sz="0" w:space="0" w:color="auto"/>
      </w:divBdr>
      <w:divsChild>
        <w:div w:id="1409159555">
          <w:marLeft w:val="0"/>
          <w:marRight w:val="0"/>
          <w:marTop w:val="0"/>
          <w:marBottom w:val="0"/>
          <w:divBdr>
            <w:top w:val="none" w:sz="0" w:space="0" w:color="auto"/>
            <w:left w:val="none" w:sz="0" w:space="0" w:color="auto"/>
            <w:bottom w:val="none" w:sz="0" w:space="0" w:color="auto"/>
            <w:right w:val="none" w:sz="0" w:space="0" w:color="auto"/>
          </w:divBdr>
        </w:div>
      </w:divsChild>
    </w:div>
    <w:div w:id="1785731578">
      <w:bodyDiv w:val="1"/>
      <w:marLeft w:val="0"/>
      <w:marRight w:val="0"/>
      <w:marTop w:val="0"/>
      <w:marBottom w:val="0"/>
      <w:divBdr>
        <w:top w:val="none" w:sz="0" w:space="0" w:color="auto"/>
        <w:left w:val="none" w:sz="0" w:space="0" w:color="auto"/>
        <w:bottom w:val="none" w:sz="0" w:space="0" w:color="auto"/>
        <w:right w:val="none" w:sz="0" w:space="0" w:color="auto"/>
      </w:divBdr>
    </w:div>
    <w:div w:id="1791512355">
      <w:bodyDiv w:val="1"/>
      <w:marLeft w:val="0"/>
      <w:marRight w:val="0"/>
      <w:marTop w:val="0"/>
      <w:marBottom w:val="0"/>
      <w:divBdr>
        <w:top w:val="none" w:sz="0" w:space="0" w:color="auto"/>
        <w:left w:val="none" w:sz="0" w:space="0" w:color="auto"/>
        <w:bottom w:val="none" w:sz="0" w:space="0" w:color="auto"/>
        <w:right w:val="none" w:sz="0" w:space="0" w:color="auto"/>
      </w:divBdr>
    </w:div>
    <w:div w:id="1791515654">
      <w:bodyDiv w:val="1"/>
      <w:marLeft w:val="0"/>
      <w:marRight w:val="0"/>
      <w:marTop w:val="0"/>
      <w:marBottom w:val="0"/>
      <w:divBdr>
        <w:top w:val="none" w:sz="0" w:space="0" w:color="auto"/>
        <w:left w:val="none" w:sz="0" w:space="0" w:color="auto"/>
        <w:bottom w:val="none" w:sz="0" w:space="0" w:color="auto"/>
        <w:right w:val="none" w:sz="0" w:space="0" w:color="auto"/>
      </w:divBdr>
    </w:div>
    <w:div w:id="1794514469">
      <w:bodyDiv w:val="1"/>
      <w:marLeft w:val="0"/>
      <w:marRight w:val="0"/>
      <w:marTop w:val="0"/>
      <w:marBottom w:val="0"/>
      <w:divBdr>
        <w:top w:val="none" w:sz="0" w:space="0" w:color="auto"/>
        <w:left w:val="none" w:sz="0" w:space="0" w:color="auto"/>
        <w:bottom w:val="none" w:sz="0" w:space="0" w:color="auto"/>
        <w:right w:val="none" w:sz="0" w:space="0" w:color="auto"/>
      </w:divBdr>
      <w:divsChild>
        <w:div w:id="467479344">
          <w:marLeft w:val="0"/>
          <w:marRight w:val="0"/>
          <w:marTop w:val="0"/>
          <w:marBottom w:val="0"/>
          <w:divBdr>
            <w:top w:val="none" w:sz="0" w:space="0" w:color="auto"/>
            <w:left w:val="none" w:sz="0" w:space="0" w:color="auto"/>
            <w:bottom w:val="none" w:sz="0" w:space="0" w:color="auto"/>
            <w:right w:val="none" w:sz="0" w:space="0" w:color="auto"/>
          </w:divBdr>
        </w:div>
      </w:divsChild>
    </w:div>
    <w:div w:id="1803034982">
      <w:bodyDiv w:val="1"/>
      <w:marLeft w:val="0"/>
      <w:marRight w:val="0"/>
      <w:marTop w:val="0"/>
      <w:marBottom w:val="0"/>
      <w:divBdr>
        <w:top w:val="none" w:sz="0" w:space="0" w:color="auto"/>
        <w:left w:val="none" w:sz="0" w:space="0" w:color="auto"/>
        <w:bottom w:val="none" w:sz="0" w:space="0" w:color="auto"/>
        <w:right w:val="none" w:sz="0" w:space="0" w:color="auto"/>
      </w:divBdr>
      <w:divsChild>
        <w:div w:id="1499343484">
          <w:marLeft w:val="0"/>
          <w:marRight w:val="0"/>
          <w:marTop w:val="0"/>
          <w:marBottom w:val="0"/>
          <w:divBdr>
            <w:top w:val="none" w:sz="0" w:space="0" w:color="auto"/>
            <w:left w:val="none" w:sz="0" w:space="0" w:color="auto"/>
            <w:bottom w:val="none" w:sz="0" w:space="0" w:color="auto"/>
            <w:right w:val="none" w:sz="0" w:space="0" w:color="auto"/>
          </w:divBdr>
        </w:div>
      </w:divsChild>
    </w:div>
    <w:div w:id="1828940864">
      <w:bodyDiv w:val="1"/>
      <w:marLeft w:val="0"/>
      <w:marRight w:val="0"/>
      <w:marTop w:val="0"/>
      <w:marBottom w:val="0"/>
      <w:divBdr>
        <w:top w:val="none" w:sz="0" w:space="0" w:color="auto"/>
        <w:left w:val="none" w:sz="0" w:space="0" w:color="auto"/>
        <w:bottom w:val="none" w:sz="0" w:space="0" w:color="auto"/>
        <w:right w:val="none" w:sz="0" w:space="0" w:color="auto"/>
      </w:divBdr>
    </w:div>
    <w:div w:id="1847208313">
      <w:bodyDiv w:val="1"/>
      <w:marLeft w:val="0"/>
      <w:marRight w:val="0"/>
      <w:marTop w:val="0"/>
      <w:marBottom w:val="0"/>
      <w:divBdr>
        <w:top w:val="none" w:sz="0" w:space="0" w:color="auto"/>
        <w:left w:val="none" w:sz="0" w:space="0" w:color="auto"/>
        <w:bottom w:val="none" w:sz="0" w:space="0" w:color="auto"/>
        <w:right w:val="none" w:sz="0" w:space="0" w:color="auto"/>
      </w:divBdr>
    </w:div>
    <w:div w:id="1848784931">
      <w:bodyDiv w:val="1"/>
      <w:marLeft w:val="0"/>
      <w:marRight w:val="0"/>
      <w:marTop w:val="0"/>
      <w:marBottom w:val="0"/>
      <w:divBdr>
        <w:top w:val="none" w:sz="0" w:space="0" w:color="auto"/>
        <w:left w:val="none" w:sz="0" w:space="0" w:color="auto"/>
        <w:bottom w:val="none" w:sz="0" w:space="0" w:color="auto"/>
        <w:right w:val="none" w:sz="0" w:space="0" w:color="auto"/>
      </w:divBdr>
    </w:div>
    <w:div w:id="1854875850">
      <w:bodyDiv w:val="1"/>
      <w:marLeft w:val="0"/>
      <w:marRight w:val="0"/>
      <w:marTop w:val="0"/>
      <w:marBottom w:val="0"/>
      <w:divBdr>
        <w:top w:val="none" w:sz="0" w:space="0" w:color="auto"/>
        <w:left w:val="none" w:sz="0" w:space="0" w:color="auto"/>
        <w:bottom w:val="none" w:sz="0" w:space="0" w:color="auto"/>
        <w:right w:val="none" w:sz="0" w:space="0" w:color="auto"/>
      </w:divBdr>
    </w:div>
    <w:div w:id="1857499929">
      <w:bodyDiv w:val="1"/>
      <w:marLeft w:val="0"/>
      <w:marRight w:val="0"/>
      <w:marTop w:val="0"/>
      <w:marBottom w:val="0"/>
      <w:divBdr>
        <w:top w:val="none" w:sz="0" w:space="0" w:color="auto"/>
        <w:left w:val="none" w:sz="0" w:space="0" w:color="auto"/>
        <w:bottom w:val="none" w:sz="0" w:space="0" w:color="auto"/>
        <w:right w:val="none" w:sz="0" w:space="0" w:color="auto"/>
      </w:divBdr>
    </w:div>
    <w:div w:id="1909342192">
      <w:bodyDiv w:val="1"/>
      <w:marLeft w:val="0"/>
      <w:marRight w:val="0"/>
      <w:marTop w:val="0"/>
      <w:marBottom w:val="0"/>
      <w:divBdr>
        <w:top w:val="none" w:sz="0" w:space="0" w:color="auto"/>
        <w:left w:val="none" w:sz="0" w:space="0" w:color="auto"/>
        <w:bottom w:val="none" w:sz="0" w:space="0" w:color="auto"/>
        <w:right w:val="none" w:sz="0" w:space="0" w:color="auto"/>
      </w:divBdr>
      <w:divsChild>
        <w:div w:id="1546209725">
          <w:marLeft w:val="0"/>
          <w:marRight w:val="0"/>
          <w:marTop w:val="0"/>
          <w:marBottom w:val="0"/>
          <w:divBdr>
            <w:top w:val="none" w:sz="0" w:space="0" w:color="auto"/>
            <w:left w:val="none" w:sz="0" w:space="0" w:color="auto"/>
            <w:bottom w:val="none" w:sz="0" w:space="0" w:color="auto"/>
            <w:right w:val="none" w:sz="0" w:space="0" w:color="auto"/>
          </w:divBdr>
          <w:divsChild>
            <w:div w:id="680548961">
              <w:marLeft w:val="0"/>
              <w:marRight w:val="0"/>
              <w:marTop w:val="0"/>
              <w:marBottom w:val="0"/>
              <w:divBdr>
                <w:top w:val="none" w:sz="0" w:space="0" w:color="auto"/>
                <w:left w:val="none" w:sz="0" w:space="0" w:color="auto"/>
                <w:bottom w:val="none" w:sz="0" w:space="0" w:color="auto"/>
                <w:right w:val="none" w:sz="0" w:space="0" w:color="auto"/>
              </w:divBdr>
              <w:divsChild>
                <w:div w:id="96031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755221">
      <w:bodyDiv w:val="1"/>
      <w:marLeft w:val="0"/>
      <w:marRight w:val="0"/>
      <w:marTop w:val="0"/>
      <w:marBottom w:val="0"/>
      <w:divBdr>
        <w:top w:val="none" w:sz="0" w:space="0" w:color="auto"/>
        <w:left w:val="none" w:sz="0" w:space="0" w:color="auto"/>
        <w:bottom w:val="none" w:sz="0" w:space="0" w:color="auto"/>
        <w:right w:val="none" w:sz="0" w:space="0" w:color="auto"/>
      </w:divBdr>
      <w:divsChild>
        <w:div w:id="393092107">
          <w:marLeft w:val="0"/>
          <w:marRight w:val="0"/>
          <w:marTop w:val="0"/>
          <w:marBottom w:val="0"/>
          <w:divBdr>
            <w:top w:val="none" w:sz="0" w:space="0" w:color="auto"/>
            <w:left w:val="none" w:sz="0" w:space="0" w:color="auto"/>
            <w:bottom w:val="none" w:sz="0" w:space="0" w:color="auto"/>
            <w:right w:val="none" w:sz="0" w:space="0" w:color="auto"/>
          </w:divBdr>
          <w:divsChild>
            <w:div w:id="148913500">
              <w:marLeft w:val="0"/>
              <w:marRight w:val="0"/>
              <w:marTop w:val="0"/>
              <w:marBottom w:val="0"/>
              <w:divBdr>
                <w:top w:val="none" w:sz="0" w:space="0" w:color="auto"/>
                <w:left w:val="none" w:sz="0" w:space="0" w:color="auto"/>
                <w:bottom w:val="none" w:sz="0" w:space="0" w:color="auto"/>
                <w:right w:val="none" w:sz="0" w:space="0" w:color="auto"/>
              </w:divBdr>
            </w:div>
            <w:div w:id="250822457">
              <w:marLeft w:val="0"/>
              <w:marRight w:val="0"/>
              <w:marTop w:val="0"/>
              <w:marBottom w:val="0"/>
              <w:divBdr>
                <w:top w:val="none" w:sz="0" w:space="0" w:color="auto"/>
                <w:left w:val="none" w:sz="0" w:space="0" w:color="auto"/>
                <w:bottom w:val="none" w:sz="0" w:space="0" w:color="auto"/>
                <w:right w:val="none" w:sz="0" w:space="0" w:color="auto"/>
              </w:divBdr>
            </w:div>
            <w:div w:id="386075403">
              <w:marLeft w:val="0"/>
              <w:marRight w:val="0"/>
              <w:marTop w:val="0"/>
              <w:marBottom w:val="0"/>
              <w:divBdr>
                <w:top w:val="none" w:sz="0" w:space="0" w:color="auto"/>
                <w:left w:val="none" w:sz="0" w:space="0" w:color="auto"/>
                <w:bottom w:val="none" w:sz="0" w:space="0" w:color="auto"/>
                <w:right w:val="none" w:sz="0" w:space="0" w:color="auto"/>
              </w:divBdr>
            </w:div>
            <w:div w:id="417681440">
              <w:marLeft w:val="0"/>
              <w:marRight w:val="0"/>
              <w:marTop w:val="0"/>
              <w:marBottom w:val="0"/>
              <w:divBdr>
                <w:top w:val="none" w:sz="0" w:space="0" w:color="auto"/>
                <w:left w:val="none" w:sz="0" w:space="0" w:color="auto"/>
                <w:bottom w:val="none" w:sz="0" w:space="0" w:color="auto"/>
                <w:right w:val="none" w:sz="0" w:space="0" w:color="auto"/>
              </w:divBdr>
            </w:div>
            <w:div w:id="965817737">
              <w:marLeft w:val="0"/>
              <w:marRight w:val="0"/>
              <w:marTop w:val="0"/>
              <w:marBottom w:val="0"/>
              <w:divBdr>
                <w:top w:val="none" w:sz="0" w:space="0" w:color="auto"/>
                <w:left w:val="none" w:sz="0" w:space="0" w:color="auto"/>
                <w:bottom w:val="none" w:sz="0" w:space="0" w:color="auto"/>
                <w:right w:val="none" w:sz="0" w:space="0" w:color="auto"/>
              </w:divBdr>
            </w:div>
            <w:div w:id="1386877446">
              <w:marLeft w:val="0"/>
              <w:marRight w:val="0"/>
              <w:marTop w:val="0"/>
              <w:marBottom w:val="0"/>
              <w:divBdr>
                <w:top w:val="none" w:sz="0" w:space="0" w:color="auto"/>
                <w:left w:val="none" w:sz="0" w:space="0" w:color="auto"/>
                <w:bottom w:val="none" w:sz="0" w:space="0" w:color="auto"/>
                <w:right w:val="none" w:sz="0" w:space="0" w:color="auto"/>
              </w:divBdr>
            </w:div>
            <w:div w:id="1576040376">
              <w:marLeft w:val="0"/>
              <w:marRight w:val="0"/>
              <w:marTop w:val="0"/>
              <w:marBottom w:val="0"/>
              <w:divBdr>
                <w:top w:val="none" w:sz="0" w:space="0" w:color="auto"/>
                <w:left w:val="none" w:sz="0" w:space="0" w:color="auto"/>
                <w:bottom w:val="none" w:sz="0" w:space="0" w:color="auto"/>
                <w:right w:val="none" w:sz="0" w:space="0" w:color="auto"/>
              </w:divBdr>
            </w:div>
            <w:div w:id="1906449464">
              <w:marLeft w:val="0"/>
              <w:marRight w:val="0"/>
              <w:marTop w:val="0"/>
              <w:marBottom w:val="0"/>
              <w:divBdr>
                <w:top w:val="none" w:sz="0" w:space="0" w:color="auto"/>
                <w:left w:val="none" w:sz="0" w:space="0" w:color="auto"/>
                <w:bottom w:val="none" w:sz="0" w:space="0" w:color="auto"/>
                <w:right w:val="none" w:sz="0" w:space="0" w:color="auto"/>
              </w:divBdr>
            </w:div>
            <w:div w:id="1908302200">
              <w:marLeft w:val="0"/>
              <w:marRight w:val="0"/>
              <w:marTop w:val="0"/>
              <w:marBottom w:val="0"/>
              <w:divBdr>
                <w:top w:val="none" w:sz="0" w:space="0" w:color="auto"/>
                <w:left w:val="none" w:sz="0" w:space="0" w:color="auto"/>
                <w:bottom w:val="none" w:sz="0" w:space="0" w:color="auto"/>
                <w:right w:val="none" w:sz="0" w:space="0" w:color="auto"/>
              </w:divBdr>
            </w:div>
            <w:div w:id="1942951898">
              <w:marLeft w:val="0"/>
              <w:marRight w:val="0"/>
              <w:marTop w:val="0"/>
              <w:marBottom w:val="0"/>
              <w:divBdr>
                <w:top w:val="none" w:sz="0" w:space="0" w:color="auto"/>
                <w:left w:val="none" w:sz="0" w:space="0" w:color="auto"/>
                <w:bottom w:val="none" w:sz="0" w:space="0" w:color="auto"/>
                <w:right w:val="none" w:sz="0" w:space="0" w:color="auto"/>
              </w:divBdr>
            </w:div>
            <w:div w:id="2094470454">
              <w:marLeft w:val="0"/>
              <w:marRight w:val="0"/>
              <w:marTop w:val="0"/>
              <w:marBottom w:val="0"/>
              <w:divBdr>
                <w:top w:val="none" w:sz="0" w:space="0" w:color="auto"/>
                <w:left w:val="none" w:sz="0" w:space="0" w:color="auto"/>
                <w:bottom w:val="none" w:sz="0" w:space="0" w:color="auto"/>
                <w:right w:val="none" w:sz="0" w:space="0" w:color="auto"/>
              </w:divBdr>
            </w:div>
            <w:div w:id="212172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187053">
      <w:bodyDiv w:val="1"/>
      <w:marLeft w:val="0"/>
      <w:marRight w:val="0"/>
      <w:marTop w:val="0"/>
      <w:marBottom w:val="0"/>
      <w:divBdr>
        <w:top w:val="none" w:sz="0" w:space="0" w:color="auto"/>
        <w:left w:val="none" w:sz="0" w:space="0" w:color="auto"/>
        <w:bottom w:val="none" w:sz="0" w:space="0" w:color="auto"/>
        <w:right w:val="none" w:sz="0" w:space="0" w:color="auto"/>
      </w:divBdr>
    </w:div>
    <w:div w:id="1927962249">
      <w:bodyDiv w:val="1"/>
      <w:marLeft w:val="0"/>
      <w:marRight w:val="0"/>
      <w:marTop w:val="0"/>
      <w:marBottom w:val="0"/>
      <w:divBdr>
        <w:top w:val="none" w:sz="0" w:space="0" w:color="auto"/>
        <w:left w:val="none" w:sz="0" w:space="0" w:color="auto"/>
        <w:bottom w:val="none" w:sz="0" w:space="0" w:color="auto"/>
        <w:right w:val="none" w:sz="0" w:space="0" w:color="auto"/>
      </w:divBdr>
    </w:div>
    <w:div w:id="1952543307">
      <w:bodyDiv w:val="1"/>
      <w:marLeft w:val="0"/>
      <w:marRight w:val="0"/>
      <w:marTop w:val="0"/>
      <w:marBottom w:val="0"/>
      <w:divBdr>
        <w:top w:val="none" w:sz="0" w:space="0" w:color="auto"/>
        <w:left w:val="none" w:sz="0" w:space="0" w:color="auto"/>
        <w:bottom w:val="none" w:sz="0" w:space="0" w:color="auto"/>
        <w:right w:val="none" w:sz="0" w:space="0" w:color="auto"/>
      </w:divBdr>
    </w:div>
    <w:div w:id="1955941435">
      <w:bodyDiv w:val="1"/>
      <w:marLeft w:val="0"/>
      <w:marRight w:val="0"/>
      <w:marTop w:val="0"/>
      <w:marBottom w:val="0"/>
      <w:divBdr>
        <w:top w:val="none" w:sz="0" w:space="0" w:color="auto"/>
        <w:left w:val="none" w:sz="0" w:space="0" w:color="auto"/>
        <w:bottom w:val="none" w:sz="0" w:space="0" w:color="auto"/>
        <w:right w:val="none" w:sz="0" w:space="0" w:color="auto"/>
      </w:divBdr>
    </w:div>
    <w:div w:id="1960141387">
      <w:bodyDiv w:val="1"/>
      <w:marLeft w:val="0"/>
      <w:marRight w:val="0"/>
      <w:marTop w:val="0"/>
      <w:marBottom w:val="0"/>
      <w:divBdr>
        <w:top w:val="none" w:sz="0" w:space="0" w:color="auto"/>
        <w:left w:val="none" w:sz="0" w:space="0" w:color="auto"/>
        <w:bottom w:val="none" w:sz="0" w:space="0" w:color="auto"/>
        <w:right w:val="none" w:sz="0" w:space="0" w:color="auto"/>
      </w:divBdr>
    </w:div>
    <w:div w:id="1962109824">
      <w:bodyDiv w:val="1"/>
      <w:marLeft w:val="0"/>
      <w:marRight w:val="0"/>
      <w:marTop w:val="0"/>
      <w:marBottom w:val="0"/>
      <w:divBdr>
        <w:top w:val="none" w:sz="0" w:space="0" w:color="auto"/>
        <w:left w:val="none" w:sz="0" w:space="0" w:color="auto"/>
        <w:bottom w:val="none" w:sz="0" w:space="0" w:color="auto"/>
        <w:right w:val="none" w:sz="0" w:space="0" w:color="auto"/>
      </w:divBdr>
    </w:div>
    <w:div w:id="2001040604">
      <w:bodyDiv w:val="1"/>
      <w:marLeft w:val="0"/>
      <w:marRight w:val="0"/>
      <w:marTop w:val="0"/>
      <w:marBottom w:val="0"/>
      <w:divBdr>
        <w:top w:val="none" w:sz="0" w:space="0" w:color="auto"/>
        <w:left w:val="none" w:sz="0" w:space="0" w:color="auto"/>
        <w:bottom w:val="none" w:sz="0" w:space="0" w:color="auto"/>
        <w:right w:val="none" w:sz="0" w:space="0" w:color="auto"/>
      </w:divBdr>
    </w:div>
    <w:div w:id="2010132302">
      <w:bodyDiv w:val="1"/>
      <w:marLeft w:val="0"/>
      <w:marRight w:val="0"/>
      <w:marTop w:val="0"/>
      <w:marBottom w:val="0"/>
      <w:divBdr>
        <w:top w:val="none" w:sz="0" w:space="0" w:color="auto"/>
        <w:left w:val="none" w:sz="0" w:space="0" w:color="auto"/>
        <w:bottom w:val="none" w:sz="0" w:space="0" w:color="auto"/>
        <w:right w:val="none" w:sz="0" w:space="0" w:color="auto"/>
      </w:divBdr>
    </w:div>
    <w:div w:id="2023974909">
      <w:bodyDiv w:val="1"/>
      <w:marLeft w:val="0"/>
      <w:marRight w:val="0"/>
      <w:marTop w:val="0"/>
      <w:marBottom w:val="0"/>
      <w:divBdr>
        <w:top w:val="none" w:sz="0" w:space="0" w:color="auto"/>
        <w:left w:val="none" w:sz="0" w:space="0" w:color="auto"/>
        <w:bottom w:val="none" w:sz="0" w:space="0" w:color="auto"/>
        <w:right w:val="none" w:sz="0" w:space="0" w:color="auto"/>
      </w:divBdr>
    </w:div>
    <w:div w:id="2051759536">
      <w:bodyDiv w:val="1"/>
      <w:marLeft w:val="0"/>
      <w:marRight w:val="0"/>
      <w:marTop w:val="0"/>
      <w:marBottom w:val="0"/>
      <w:divBdr>
        <w:top w:val="none" w:sz="0" w:space="0" w:color="auto"/>
        <w:left w:val="none" w:sz="0" w:space="0" w:color="auto"/>
        <w:bottom w:val="none" w:sz="0" w:space="0" w:color="auto"/>
        <w:right w:val="none" w:sz="0" w:space="0" w:color="auto"/>
      </w:divBdr>
      <w:divsChild>
        <w:div w:id="886915647">
          <w:marLeft w:val="0"/>
          <w:marRight w:val="0"/>
          <w:marTop w:val="0"/>
          <w:marBottom w:val="0"/>
          <w:divBdr>
            <w:top w:val="none" w:sz="0" w:space="0" w:color="auto"/>
            <w:left w:val="none" w:sz="0" w:space="0" w:color="auto"/>
            <w:bottom w:val="none" w:sz="0" w:space="0" w:color="auto"/>
            <w:right w:val="none" w:sz="0" w:space="0" w:color="auto"/>
          </w:divBdr>
        </w:div>
      </w:divsChild>
    </w:div>
    <w:div w:id="2075855846">
      <w:bodyDiv w:val="1"/>
      <w:marLeft w:val="0"/>
      <w:marRight w:val="0"/>
      <w:marTop w:val="0"/>
      <w:marBottom w:val="0"/>
      <w:divBdr>
        <w:top w:val="none" w:sz="0" w:space="0" w:color="auto"/>
        <w:left w:val="none" w:sz="0" w:space="0" w:color="auto"/>
        <w:bottom w:val="none" w:sz="0" w:space="0" w:color="auto"/>
        <w:right w:val="none" w:sz="0" w:space="0" w:color="auto"/>
      </w:divBdr>
    </w:div>
    <w:div w:id="2078048184">
      <w:bodyDiv w:val="1"/>
      <w:marLeft w:val="0"/>
      <w:marRight w:val="0"/>
      <w:marTop w:val="0"/>
      <w:marBottom w:val="0"/>
      <w:divBdr>
        <w:top w:val="none" w:sz="0" w:space="0" w:color="auto"/>
        <w:left w:val="none" w:sz="0" w:space="0" w:color="auto"/>
        <w:bottom w:val="none" w:sz="0" w:space="0" w:color="auto"/>
        <w:right w:val="none" w:sz="0" w:space="0" w:color="auto"/>
      </w:divBdr>
    </w:div>
    <w:div w:id="2114737677">
      <w:bodyDiv w:val="1"/>
      <w:marLeft w:val="0"/>
      <w:marRight w:val="0"/>
      <w:marTop w:val="0"/>
      <w:marBottom w:val="0"/>
      <w:divBdr>
        <w:top w:val="none" w:sz="0" w:space="0" w:color="auto"/>
        <w:left w:val="none" w:sz="0" w:space="0" w:color="auto"/>
        <w:bottom w:val="none" w:sz="0" w:space="0" w:color="auto"/>
        <w:right w:val="none" w:sz="0" w:space="0" w:color="auto"/>
      </w:divBdr>
    </w:div>
    <w:div w:id="2120828852">
      <w:bodyDiv w:val="1"/>
      <w:marLeft w:val="0"/>
      <w:marRight w:val="0"/>
      <w:marTop w:val="0"/>
      <w:marBottom w:val="0"/>
      <w:divBdr>
        <w:top w:val="none" w:sz="0" w:space="0" w:color="auto"/>
        <w:left w:val="none" w:sz="0" w:space="0" w:color="auto"/>
        <w:bottom w:val="none" w:sz="0" w:space="0" w:color="auto"/>
        <w:right w:val="none" w:sz="0" w:space="0" w:color="auto"/>
      </w:divBdr>
    </w:div>
    <w:div w:id="21423367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0"/>
</file>

<file path=customXml/itemProps1.xml><?xml version="1.0" encoding="utf-8"?>
<ds:datastoreItem xmlns:ds="http://schemas.openxmlformats.org/officeDocument/2006/customXml" ds:itemID="{E4D3F902-1B04-414D-9888-5F04E95187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36</Pages>
  <Words>42087</Words>
  <Characters>239897</Characters>
  <Application>Microsoft Office Word</Application>
  <DocSecurity>0</DocSecurity>
  <Lines>1999</Lines>
  <Paragraphs>562</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Submitted to Analytical Chemistry</vt:lpstr>
      <vt:lpstr>Submitted to Analytical Chemistry</vt:lpstr>
    </vt:vector>
  </TitlesOfParts>
  <Company>Dipartimento di CHIMICA "USB A. Moro"</Company>
  <LinksUpToDate>false</LinksUpToDate>
  <CharactersWithSpaces>281422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Submitted to Analytical Chemistry</dc:title>
  <dc:subject>Manuscript</dc:subject>
  <dc:creator>Prof. Tommaso CATALDI</dc:creator>
  <cp:keywords/>
  <dc:description/>
  <cp:lastModifiedBy>Tommaso Cataldi</cp:lastModifiedBy>
  <cp:revision>3</cp:revision>
  <cp:lastPrinted>2020-03-05T09:50:00Z</cp:lastPrinted>
  <dcterms:created xsi:type="dcterms:W3CDTF">2020-07-08T13:58:00Z</dcterms:created>
  <dcterms:modified xsi:type="dcterms:W3CDTF">2020-07-14T13:35:00Z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http://www.zotero.org/styles/analytical-and-bioanalytical-chemistry</vt:lpwstr>
  </property>
  <property fmtid="{D5CDD505-2E9C-101B-9397-08002B2CF9AE}" pid="4" name="Mendeley Recent Style Id 0_1">
    <vt:lpwstr>http://www.zotero.org/styles/analytical-and-bioanalytical-chemistry</vt:lpwstr>
  </property>
  <property fmtid="{D5CDD505-2E9C-101B-9397-08002B2CF9AE}" pid="5" name="Mendeley Recent Style Name 0_1">
    <vt:lpwstr>Analytical and Bioanalytical Chemistry</vt:lpwstr>
  </property>
  <property fmtid="{D5CDD505-2E9C-101B-9397-08002B2CF9AE}" pid="6" name="Mendeley Recent Style Id 1_1">
    <vt:lpwstr>http://www.zotero.org/styles/bba-molecular-and-cell-biology-of-lipids</vt:lpwstr>
  </property>
  <property fmtid="{D5CDD505-2E9C-101B-9397-08002B2CF9AE}" pid="7" name="Mendeley Recent Style Name 1_1">
    <vt:lpwstr>BBA - Molecular and Cell Biology of Lipids</vt:lpwstr>
  </property>
  <property fmtid="{D5CDD505-2E9C-101B-9397-08002B2CF9AE}" pid="8" name="Mendeley Recent Style Id 2_1">
    <vt:lpwstr>http://www.zotero.org/styles/bioanalysis</vt:lpwstr>
  </property>
  <property fmtid="{D5CDD505-2E9C-101B-9397-08002B2CF9AE}" pid="9" name="Mendeley Recent Style Name 2_1">
    <vt:lpwstr>Bioanalysis</vt:lpwstr>
  </property>
  <property fmtid="{D5CDD505-2E9C-101B-9397-08002B2CF9AE}" pid="10" name="Mendeley Recent Style Id 3_1">
    <vt:lpwstr>http://www.zotero.org/styles/food-research-international</vt:lpwstr>
  </property>
  <property fmtid="{D5CDD505-2E9C-101B-9397-08002B2CF9AE}" pid="11" name="Mendeley Recent Style Name 3_1">
    <vt:lpwstr>Food Research International</vt:lpwstr>
  </property>
  <property fmtid="{D5CDD505-2E9C-101B-9397-08002B2CF9AE}" pid="12" name="Mendeley Recent Style Id 4_1">
    <vt:lpwstr>http://www.zotero.org/styles/journal-of-the-american-society-for-mass-spectrometry</vt:lpwstr>
  </property>
  <property fmtid="{D5CDD505-2E9C-101B-9397-08002B2CF9AE}" pid="13" name="Mendeley Recent Style Name 4_1">
    <vt:lpwstr>Journal of The American Society for Mass Spectrometry</vt:lpwstr>
  </property>
  <property fmtid="{D5CDD505-2E9C-101B-9397-08002B2CF9AE}" pid="14" name="Mendeley Recent Style Id 5_1">
    <vt:lpwstr>http://www.zotero.org/styles/journal-of-the-american-chemical-society</vt:lpwstr>
  </property>
  <property fmtid="{D5CDD505-2E9C-101B-9397-08002B2CF9AE}" pid="15" name="Mendeley Recent Style Name 5_1">
    <vt:lpwstr>Journal of the American Chemical Society</vt:lpwstr>
  </property>
  <property fmtid="{D5CDD505-2E9C-101B-9397-08002B2CF9AE}" pid="16" name="Mendeley Recent Style Id 6_1">
    <vt:lpwstr>http://www.zotero.org/styles/molecules</vt:lpwstr>
  </property>
  <property fmtid="{D5CDD505-2E9C-101B-9397-08002B2CF9AE}" pid="17" name="Mendeley Recent Style Name 6_1">
    <vt:lpwstr>Molecules</vt:lpwstr>
  </property>
  <property fmtid="{D5CDD505-2E9C-101B-9397-08002B2CF9AE}" pid="18" name="Mendeley Recent Style Id 7_1">
    <vt:lpwstr>http://www.zotero.org/styles/rapid-communications-in-mass-spectrometry</vt:lpwstr>
  </property>
  <property fmtid="{D5CDD505-2E9C-101B-9397-08002B2CF9AE}" pid="19" name="Mendeley Recent Style Name 7_1">
    <vt:lpwstr>Rapid Communications in Mass Spectrometry</vt:lpwstr>
  </property>
  <property fmtid="{D5CDD505-2E9C-101B-9397-08002B2CF9AE}" pid="20" name="Mendeley Recent Style Id 8_1">
    <vt:lpwstr>http://www.zotero.org/styles/talanta</vt:lpwstr>
  </property>
  <property fmtid="{D5CDD505-2E9C-101B-9397-08002B2CF9AE}" pid="21" name="Mendeley Recent Style Name 8_1">
    <vt:lpwstr>Talanta</vt:lpwstr>
  </property>
  <property fmtid="{D5CDD505-2E9C-101B-9397-08002B2CF9AE}" pid="22" name="Mendeley Recent Style Id 9_1">
    <vt:lpwstr>http://www.zotero.org/styles/trends-in-analytical-chemistry</vt:lpwstr>
  </property>
  <property fmtid="{D5CDD505-2E9C-101B-9397-08002B2CF9AE}" pid="23" name="Mendeley Recent Style Name 9_1">
    <vt:lpwstr>Trends in Analytical Chemistry</vt:lpwstr>
  </property>
  <property fmtid="{D5CDD505-2E9C-101B-9397-08002B2CF9AE}" pid="24" name="Mendeley Unique User Id_1">
    <vt:lpwstr>adc0b3e2-07c1-3e57-836a-e7181cb8f6eb</vt:lpwstr>
  </property>
  <property fmtid="{D5CDD505-2E9C-101B-9397-08002B2CF9AE}" pid="25" name="style">
    <vt:lpwstr>american-chemical-society</vt:lpwstr>
  </property>
</Properties>
</file>