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D117D" w14:textId="2EF4E52A" w:rsidR="00E94AA1" w:rsidRPr="00552D93" w:rsidRDefault="00E94AA1" w:rsidP="00E94AA1">
      <w:pPr>
        <w:spacing w:before="100" w:beforeAutospacing="1" w:after="100" w:afterAutospacing="1" w:line="480" w:lineRule="auto"/>
        <w:jc w:val="center"/>
        <w:rPr>
          <w:rFonts w:ascii="Cambria" w:hAnsi="Cambria"/>
          <w:b/>
        </w:rPr>
      </w:pPr>
      <w:r w:rsidRPr="00552D93">
        <w:rPr>
          <w:rFonts w:ascii="Cambria" w:hAnsi="Cambria"/>
          <w:b/>
        </w:rPr>
        <w:t xml:space="preserve">  Drinking to</w:t>
      </w:r>
      <w:r w:rsidR="00517DC6" w:rsidRPr="00552D93">
        <w:rPr>
          <w:rFonts w:ascii="Cambria" w:hAnsi="Cambria"/>
          <w:b/>
        </w:rPr>
        <w:t xml:space="preserve"> excess and the tipping point: </w:t>
      </w:r>
      <w:r w:rsidRPr="00552D93">
        <w:rPr>
          <w:rFonts w:ascii="Cambria" w:hAnsi="Cambria"/>
          <w:b/>
        </w:rPr>
        <w:t xml:space="preserve">An international study of alcohol </w:t>
      </w:r>
      <w:r w:rsidR="00843D28" w:rsidRPr="00552D93">
        <w:rPr>
          <w:rFonts w:ascii="Cambria" w:hAnsi="Cambria"/>
          <w:b/>
        </w:rPr>
        <w:t>intoxication in 61,000</w:t>
      </w:r>
      <w:r w:rsidRPr="00552D93">
        <w:rPr>
          <w:rFonts w:ascii="Cambria" w:hAnsi="Cambria"/>
          <w:b/>
        </w:rPr>
        <w:t xml:space="preserve"> </w:t>
      </w:r>
      <w:r w:rsidR="00517DC6" w:rsidRPr="00552D93">
        <w:rPr>
          <w:rFonts w:ascii="Cambria" w:hAnsi="Cambria"/>
          <w:b/>
        </w:rPr>
        <w:t>people</w:t>
      </w:r>
    </w:p>
    <w:p w14:paraId="1F74B4D7" w14:textId="77777777" w:rsidR="00E94AA1" w:rsidRPr="00552D93" w:rsidRDefault="00E94AA1" w:rsidP="00E94AA1">
      <w:pPr>
        <w:spacing w:before="100" w:beforeAutospacing="1" w:after="100" w:afterAutospacing="1" w:line="480" w:lineRule="auto"/>
        <w:rPr>
          <w:rFonts w:ascii="Cambria" w:eastAsia="Times New Roman" w:hAnsi="Cambria" w:cs="Times New Roman"/>
          <w:b/>
          <w:bCs/>
          <w:szCs w:val="28"/>
          <w:lang w:eastAsia="en-GB"/>
        </w:rPr>
      </w:pPr>
      <w:r w:rsidRPr="00552D93">
        <w:rPr>
          <w:rFonts w:ascii="Cambria" w:eastAsia="Times New Roman" w:hAnsi="Cambria" w:cs="Times New Roman"/>
          <w:b/>
          <w:bCs/>
          <w:szCs w:val="28"/>
          <w:lang w:eastAsia="en-GB"/>
        </w:rPr>
        <w:t>TITLE PAGE</w:t>
      </w:r>
    </w:p>
    <w:p w14:paraId="5B4A5A12" w14:textId="77777777" w:rsidR="00E94AA1" w:rsidRPr="00552D93" w:rsidRDefault="00E94AA1" w:rsidP="00E94AA1">
      <w:pPr>
        <w:spacing w:before="100" w:beforeAutospacing="1" w:after="100" w:afterAutospacing="1" w:line="480" w:lineRule="auto"/>
        <w:rPr>
          <w:rFonts w:ascii="Cambria" w:eastAsia="Times New Roman" w:hAnsi="Cambria" w:cs="Times New Roman"/>
          <w:b/>
          <w:bCs/>
          <w:szCs w:val="28"/>
          <w:lang w:eastAsia="en-GB"/>
        </w:rPr>
      </w:pPr>
      <w:r w:rsidRPr="00552D93">
        <w:rPr>
          <w:rFonts w:ascii="Cambria" w:eastAsia="Times New Roman" w:hAnsi="Cambria" w:cs="Times New Roman"/>
          <w:b/>
          <w:bCs/>
          <w:szCs w:val="28"/>
          <w:lang w:eastAsia="en-GB"/>
        </w:rPr>
        <w:t xml:space="preserve">Authors: </w:t>
      </w:r>
      <w:r w:rsidRPr="00552D93">
        <w:rPr>
          <w:rFonts w:ascii="Cambria" w:eastAsia="Times New Roman" w:hAnsi="Cambria" w:cs="Times New Roman"/>
          <w:bCs/>
          <w:szCs w:val="28"/>
          <w:lang w:eastAsia="en-GB"/>
        </w:rPr>
        <w:t xml:space="preserve">Emma L Davies </w:t>
      </w:r>
      <w:r w:rsidRPr="00552D93">
        <w:rPr>
          <w:rFonts w:ascii="Cambria" w:eastAsia="Times New Roman" w:hAnsi="Cambria" w:cs="Times New Roman"/>
          <w:bCs/>
          <w:szCs w:val="28"/>
          <w:vertAlign w:val="superscript"/>
          <w:lang w:eastAsia="en-GB"/>
        </w:rPr>
        <w:t>1</w:t>
      </w:r>
      <w:r w:rsidRPr="00552D93">
        <w:rPr>
          <w:rFonts w:ascii="Cambria" w:eastAsia="Times New Roman" w:hAnsi="Cambria" w:cs="Times New Roman"/>
          <w:bCs/>
          <w:szCs w:val="28"/>
          <w:lang w:eastAsia="en-GB"/>
        </w:rPr>
        <w:t xml:space="preserve">, Richard Cooke </w:t>
      </w:r>
      <w:r w:rsidRPr="00552D93">
        <w:rPr>
          <w:rFonts w:ascii="Cambria" w:eastAsia="Times New Roman" w:hAnsi="Cambria" w:cs="Times New Roman"/>
          <w:bCs/>
          <w:szCs w:val="28"/>
          <w:vertAlign w:val="superscript"/>
          <w:lang w:eastAsia="en-GB"/>
        </w:rPr>
        <w:t>2</w:t>
      </w:r>
      <w:r w:rsidRPr="00552D93">
        <w:rPr>
          <w:rFonts w:ascii="Cambria" w:eastAsia="Times New Roman" w:hAnsi="Cambria" w:cs="Times New Roman"/>
          <w:bCs/>
          <w:szCs w:val="28"/>
          <w:lang w:eastAsia="en-GB"/>
        </w:rPr>
        <w:t xml:space="preserve">, Larissa J Maier </w:t>
      </w:r>
      <w:r w:rsidRPr="00552D93">
        <w:rPr>
          <w:rFonts w:ascii="Cambria" w:eastAsia="Times New Roman" w:hAnsi="Cambria" w:cs="Times New Roman"/>
          <w:bCs/>
          <w:szCs w:val="28"/>
          <w:vertAlign w:val="superscript"/>
          <w:lang w:eastAsia="en-GB"/>
        </w:rPr>
        <w:t>3,4</w:t>
      </w:r>
      <w:r w:rsidRPr="00552D93">
        <w:rPr>
          <w:rFonts w:ascii="Cambria" w:eastAsia="Times New Roman" w:hAnsi="Cambria" w:cs="Times New Roman"/>
          <w:bCs/>
          <w:szCs w:val="28"/>
          <w:lang w:eastAsia="en-GB"/>
        </w:rPr>
        <w:t xml:space="preserve">,, Adam R Winstock </w:t>
      </w:r>
      <w:r w:rsidRPr="00552D93">
        <w:rPr>
          <w:rFonts w:ascii="Cambria" w:eastAsia="Times New Roman" w:hAnsi="Cambria" w:cs="Times New Roman"/>
          <w:bCs/>
          <w:szCs w:val="28"/>
          <w:vertAlign w:val="superscript"/>
          <w:lang w:eastAsia="en-GB"/>
        </w:rPr>
        <w:t>5</w:t>
      </w:r>
      <w:r w:rsidRPr="00552D93">
        <w:rPr>
          <w:rFonts w:ascii="Cambria" w:eastAsia="Times New Roman" w:hAnsi="Cambria" w:cs="Times New Roman"/>
          <w:bCs/>
          <w:szCs w:val="28"/>
          <w:lang w:eastAsia="en-GB"/>
        </w:rPr>
        <w:t xml:space="preserve"> &amp; Jason A Ferris </w:t>
      </w:r>
      <w:r w:rsidRPr="00552D93">
        <w:rPr>
          <w:rFonts w:ascii="Cambria" w:eastAsia="Times New Roman" w:hAnsi="Cambria" w:cs="Times New Roman"/>
          <w:bCs/>
          <w:szCs w:val="28"/>
          <w:vertAlign w:val="superscript"/>
          <w:lang w:eastAsia="en-GB"/>
        </w:rPr>
        <w:t>6</w:t>
      </w:r>
      <w:r w:rsidRPr="00552D93">
        <w:rPr>
          <w:rFonts w:ascii="Cambria" w:eastAsia="Times New Roman" w:hAnsi="Cambria" w:cs="Times New Roman"/>
          <w:bCs/>
          <w:szCs w:val="28"/>
          <w:lang w:eastAsia="en-GB"/>
        </w:rPr>
        <w:t xml:space="preserve">   </w:t>
      </w:r>
    </w:p>
    <w:p w14:paraId="4E6E46B2" w14:textId="77777777" w:rsidR="00E94AA1" w:rsidRPr="00552D93" w:rsidRDefault="00E94AA1" w:rsidP="00E94AA1">
      <w:pPr>
        <w:spacing w:before="100" w:beforeAutospacing="1" w:after="100" w:afterAutospacing="1" w:line="480" w:lineRule="auto"/>
        <w:rPr>
          <w:rFonts w:ascii="Cambria" w:eastAsia="Times New Roman" w:hAnsi="Cambria" w:cs="Times New Roman"/>
          <w:bCs/>
          <w:szCs w:val="28"/>
          <w:lang w:eastAsia="en-GB"/>
        </w:rPr>
      </w:pPr>
      <w:r w:rsidRPr="00552D93">
        <w:rPr>
          <w:rFonts w:ascii="Cambria" w:eastAsia="Times New Roman" w:hAnsi="Cambria" w:cs="Times New Roman"/>
          <w:bCs/>
          <w:szCs w:val="28"/>
          <w:lang w:eastAsia="en-GB"/>
        </w:rPr>
        <w:t xml:space="preserve">1. Department of Psychology, Oxford Brookes University, Gipsy Lane, Oxford, UK, </w:t>
      </w:r>
    </w:p>
    <w:p w14:paraId="779AF28D" w14:textId="77777777" w:rsidR="00E94AA1" w:rsidRPr="00552D93" w:rsidRDefault="00E94AA1" w:rsidP="00E94AA1">
      <w:pPr>
        <w:spacing w:before="100" w:beforeAutospacing="1" w:after="100" w:afterAutospacing="1" w:line="480" w:lineRule="auto"/>
        <w:rPr>
          <w:rFonts w:ascii="Cambria" w:eastAsia="Times New Roman" w:hAnsi="Cambria" w:cs="Times New Roman"/>
          <w:bCs/>
          <w:szCs w:val="28"/>
          <w:lang w:eastAsia="en-GB"/>
        </w:rPr>
      </w:pPr>
      <w:r w:rsidRPr="00552D93">
        <w:rPr>
          <w:rFonts w:ascii="Cambria" w:eastAsia="Times New Roman" w:hAnsi="Cambria" w:cs="Times New Roman"/>
          <w:bCs/>
          <w:szCs w:val="28"/>
          <w:lang w:eastAsia="en-GB"/>
        </w:rPr>
        <w:t>2. Department of Psychology, University of Liverpool, UK</w:t>
      </w:r>
    </w:p>
    <w:p w14:paraId="0E580DE7" w14:textId="77777777" w:rsidR="00E94AA1" w:rsidRPr="00552D93" w:rsidRDefault="00E94AA1" w:rsidP="00E94AA1">
      <w:pPr>
        <w:spacing w:before="100" w:beforeAutospacing="1" w:after="100" w:afterAutospacing="1" w:line="480" w:lineRule="auto"/>
        <w:rPr>
          <w:rFonts w:ascii="Cambria" w:eastAsia="Times New Roman" w:hAnsi="Cambria" w:cs="Times New Roman"/>
          <w:bCs/>
          <w:lang w:eastAsia="en-GB"/>
        </w:rPr>
      </w:pPr>
      <w:r w:rsidRPr="00552D93">
        <w:rPr>
          <w:rFonts w:ascii="Cambria" w:eastAsia="Times New Roman" w:hAnsi="Cambria" w:cs="Times New Roman"/>
          <w:bCs/>
          <w:szCs w:val="28"/>
          <w:lang w:eastAsia="en-GB"/>
        </w:rPr>
        <w:t xml:space="preserve">3. </w:t>
      </w:r>
      <w:r w:rsidRPr="00552D93">
        <w:rPr>
          <w:rFonts w:ascii="Cambria" w:eastAsia="Times New Roman" w:hAnsi="Cambria" w:cs="Times New Roman"/>
          <w:bCs/>
          <w:lang w:eastAsia="en-GB"/>
        </w:rPr>
        <w:t>University of California, San Francisco, Department of Psychiatry, San Francisco, US</w:t>
      </w:r>
    </w:p>
    <w:p w14:paraId="631A0200" w14:textId="77777777" w:rsidR="00E94AA1" w:rsidRPr="00552D93" w:rsidRDefault="00E94AA1" w:rsidP="00E94AA1">
      <w:pPr>
        <w:spacing w:before="100" w:beforeAutospacing="1" w:after="100" w:afterAutospacing="1" w:line="480" w:lineRule="auto"/>
        <w:rPr>
          <w:rFonts w:ascii="Cambria" w:eastAsia="Times New Roman" w:hAnsi="Cambria" w:cs="Times New Roman"/>
          <w:bCs/>
          <w:lang w:eastAsia="en-GB"/>
        </w:rPr>
      </w:pPr>
      <w:r w:rsidRPr="00552D93">
        <w:rPr>
          <w:rFonts w:ascii="Cambria" w:eastAsia="Times New Roman" w:hAnsi="Cambria" w:cs="Times New Roman"/>
          <w:bCs/>
          <w:lang w:eastAsia="en-GB"/>
        </w:rPr>
        <w:t>4. Early Postdoc Mobility Grantee, Swiss National Science Foundation, Bern, Switzerland</w:t>
      </w:r>
    </w:p>
    <w:p w14:paraId="77CBA4D8" w14:textId="77777777" w:rsidR="00E94AA1" w:rsidRPr="00552D93" w:rsidRDefault="00E94AA1" w:rsidP="00E94AA1">
      <w:pPr>
        <w:spacing w:before="100" w:beforeAutospacing="1" w:after="100" w:afterAutospacing="1" w:line="480" w:lineRule="auto"/>
        <w:rPr>
          <w:rFonts w:ascii="Cambria" w:eastAsia="Times New Roman" w:hAnsi="Cambria" w:cs="Times New Roman"/>
          <w:bCs/>
          <w:szCs w:val="28"/>
          <w:lang w:eastAsia="en-GB"/>
        </w:rPr>
      </w:pPr>
      <w:r w:rsidRPr="00552D93">
        <w:rPr>
          <w:rFonts w:ascii="Cambria" w:eastAsia="Times New Roman" w:hAnsi="Cambria" w:cs="Times New Roman"/>
          <w:bCs/>
          <w:szCs w:val="28"/>
          <w:lang w:eastAsia="en-GB"/>
        </w:rPr>
        <w:t>5. University College London, UK; Global Drug Survey, UK</w:t>
      </w:r>
    </w:p>
    <w:p w14:paraId="5A7FF36B" w14:textId="77777777" w:rsidR="00E94AA1" w:rsidRPr="00552D93" w:rsidRDefault="00E94AA1" w:rsidP="00E94AA1">
      <w:pPr>
        <w:spacing w:before="100" w:beforeAutospacing="1" w:after="100" w:afterAutospacing="1" w:line="480" w:lineRule="auto"/>
        <w:rPr>
          <w:rFonts w:ascii="Cambria" w:eastAsia="Times New Roman" w:hAnsi="Cambria" w:cs="Times New Roman"/>
          <w:bCs/>
          <w:lang w:eastAsia="en-GB"/>
        </w:rPr>
      </w:pPr>
      <w:r w:rsidRPr="00552D93">
        <w:rPr>
          <w:rFonts w:ascii="Cambria" w:eastAsia="Times New Roman" w:hAnsi="Cambria" w:cs="Times New Roman"/>
          <w:bCs/>
          <w:szCs w:val="28"/>
          <w:lang w:eastAsia="en-GB"/>
        </w:rPr>
        <w:t xml:space="preserve">6. </w:t>
      </w:r>
      <w:r w:rsidRPr="00552D93">
        <w:rPr>
          <w:rFonts w:ascii="Cambria" w:eastAsia="Times New Roman" w:hAnsi="Cambria" w:cs="Times New Roman"/>
          <w:bCs/>
          <w:lang w:eastAsia="en-GB"/>
        </w:rPr>
        <w:t>Centre for Health Services Research, University of Queensland, Brisbane, Australia</w:t>
      </w:r>
    </w:p>
    <w:p w14:paraId="79AA40EF" w14:textId="77777777" w:rsidR="00E94AA1" w:rsidRPr="00552D93" w:rsidRDefault="00E94AA1" w:rsidP="00E94AA1">
      <w:pPr>
        <w:spacing w:before="100" w:beforeAutospacing="1" w:after="100" w:afterAutospacing="1" w:line="480" w:lineRule="auto"/>
        <w:rPr>
          <w:rFonts w:ascii="Cambria" w:eastAsia="Times New Roman" w:hAnsi="Cambria" w:cs="Times New Roman"/>
          <w:bCs/>
          <w:szCs w:val="28"/>
          <w:lang w:eastAsia="en-GB"/>
        </w:rPr>
      </w:pPr>
      <w:r w:rsidRPr="00552D93">
        <w:rPr>
          <w:rFonts w:ascii="Cambria" w:eastAsia="Times New Roman" w:hAnsi="Cambria" w:cs="Times New Roman"/>
          <w:bCs/>
          <w:szCs w:val="28"/>
          <w:lang w:eastAsia="en-GB"/>
        </w:rPr>
        <w:t xml:space="preserve">Corresponding author: Emma L Davies, telephone 01865 484056 </w:t>
      </w:r>
      <w:hyperlink r:id="rId8" w:history="1">
        <w:r w:rsidRPr="00552D93">
          <w:rPr>
            <w:rStyle w:val="Hyperlink"/>
            <w:rFonts w:ascii="Cambria" w:eastAsia="Times New Roman" w:hAnsi="Cambria" w:cs="Times New Roman"/>
            <w:bCs/>
            <w:color w:val="auto"/>
            <w:szCs w:val="28"/>
            <w:lang w:eastAsia="en-GB"/>
          </w:rPr>
          <w:t>edavies@brookes.ac.uk</w:t>
        </w:r>
      </w:hyperlink>
    </w:p>
    <w:p w14:paraId="138A14B3" w14:textId="77777777" w:rsidR="00E94AA1" w:rsidRPr="00552D93" w:rsidRDefault="00E94AA1" w:rsidP="00E94AA1">
      <w:pPr>
        <w:spacing w:before="100" w:beforeAutospacing="1" w:after="100" w:afterAutospacing="1" w:line="480" w:lineRule="auto"/>
        <w:rPr>
          <w:rFonts w:ascii="Cambria" w:eastAsia="Times New Roman" w:hAnsi="Cambria" w:cs="Times New Roman"/>
          <w:bCs/>
          <w:szCs w:val="28"/>
          <w:lang w:eastAsia="en-GB"/>
        </w:rPr>
      </w:pPr>
      <w:r w:rsidRPr="00552D93">
        <w:rPr>
          <w:rFonts w:ascii="Cambria" w:eastAsia="Times New Roman" w:hAnsi="Cambria" w:cs="Times New Roman"/>
          <w:b/>
          <w:bCs/>
          <w:szCs w:val="28"/>
          <w:lang w:eastAsia="en-GB"/>
        </w:rPr>
        <w:t>Keywords:</w:t>
      </w:r>
      <w:r w:rsidRPr="00552D93">
        <w:rPr>
          <w:rFonts w:ascii="Cambria" w:eastAsia="Times New Roman" w:hAnsi="Cambria" w:cs="Times New Roman"/>
          <w:bCs/>
          <w:szCs w:val="28"/>
          <w:lang w:eastAsia="en-GB"/>
        </w:rPr>
        <w:t xml:space="preserve"> alcohol; drinking; levels of intoxication; drunkenness; guidelines </w:t>
      </w:r>
    </w:p>
    <w:p w14:paraId="3348E4E1" w14:textId="29B1DF47" w:rsidR="00E94AA1" w:rsidRPr="00552D93" w:rsidRDefault="00E94AA1" w:rsidP="00E94AA1">
      <w:pPr>
        <w:spacing w:before="100" w:beforeAutospacing="1" w:after="100" w:afterAutospacing="1" w:line="480" w:lineRule="auto"/>
        <w:rPr>
          <w:rFonts w:ascii="Cambria" w:eastAsia="Times New Roman" w:hAnsi="Cambria" w:cs="Times New Roman"/>
          <w:b/>
          <w:bCs/>
          <w:szCs w:val="28"/>
          <w:lang w:eastAsia="en-GB"/>
        </w:rPr>
      </w:pPr>
      <w:r w:rsidRPr="00552D93">
        <w:rPr>
          <w:rFonts w:ascii="Cambria" w:eastAsia="Times New Roman" w:hAnsi="Cambria" w:cs="Times New Roman"/>
          <w:b/>
          <w:bCs/>
          <w:szCs w:val="28"/>
          <w:lang w:eastAsia="en-GB"/>
        </w:rPr>
        <w:t xml:space="preserve">Word count: </w:t>
      </w:r>
      <w:r w:rsidR="00F27E1C" w:rsidRPr="00552D93">
        <w:rPr>
          <w:rFonts w:ascii="Cambria" w:eastAsia="Times New Roman" w:hAnsi="Cambria" w:cs="Times New Roman"/>
          <w:b/>
          <w:bCs/>
          <w:szCs w:val="28"/>
          <w:lang w:eastAsia="en-GB"/>
        </w:rPr>
        <w:t>4996</w:t>
      </w:r>
    </w:p>
    <w:p w14:paraId="0E815B04" w14:textId="0E41310D" w:rsidR="00E94AA1" w:rsidRPr="00552D93" w:rsidRDefault="00E94AA1" w:rsidP="00E94AA1">
      <w:pPr>
        <w:spacing w:before="100" w:beforeAutospacing="1" w:after="100" w:afterAutospacing="1" w:line="480" w:lineRule="auto"/>
        <w:rPr>
          <w:rFonts w:ascii="Cambria" w:eastAsia="Times New Roman" w:hAnsi="Cambria" w:cs="Times New Roman"/>
          <w:bCs/>
          <w:szCs w:val="28"/>
          <w:lang w:eastAsia="en-GB"/>
        </w:rPr>
      </w:pPr>
      <w:r w:rsidRPr="00552D93">
        <w:rPr>
          <w:rFonts w:ascii="Cambria" w:eastAsia="Times New Roman" w:hAnsi="Cambria" w:cs="Times New Roman"/>
          <w:b/>
          <w:bCs/>
          <w:szCs w:val="28"/>
          <w:lang w:eastAsia="en-GB"/>
        </w:rPr>
        <w:t xml:space="preserve">Statement of contribution: </w:t>
      </w:r>
      <w:r w:rsidRPr="00552D93">
        <w:rPr>
          <w:rFonts w:ascii="Cambria" w:eastAsia="Times New Roman" w:hAnsi="Cambria" w:cs="Times New Roman"/>
          <w:bCs/>
          <w:szCs w:val="28"/>
          <w:lang w:eastAsia="en-GB"/>
        </w:rPr>
        <w:t>ELD performed the statistical analyses and drafted the manuscript.  RC assisted with the analysis and contributed to the literature review and drafting of the manuscript.  ARW, LJM and JAF developed and directed the survey, and collected the data.</w:t>
      </w:r>
      <w:r w:rsidR="00297275" w:rsidRPr="00552D93">
        <w:rPr>
          <w:rFonts w:ascii="Cambria" w:eastAsia="Times New Roman" w:hAnsi="Cambria" w:cs="Times New Roman"/>
          <w:bCs/>
          <w:szCs w:val="28"/>
          <w:lang w:eastAsia="en-GB"/>
        </w:rPr>
        <w:t xml:space="preserve"> </w:t>
      </w:r>
      <w:r w:rsidRPr="00552D93">
        <w:rPr>
          <w:rFonts w:ascii="Cambria" w:eastAsia="Times New Roman" w:hAnsi="Cambria" w:cs="Times New Roman"/>
          <w:bCs/>
          <w:szCs w:val="28"/>
          <w:lang w:eastAsia="en-GB"/>
        </w:rPr>
        <w:t xml:space="preserve">JAF advised on additional statistical analyses. All authors contributed to, edited and approved the final manuscript. </w:t>
      </w:r>
    </w:p>
    <w:p w14:paraId="5BC3E2F9" w14:textId="30DF44E2" w:rsidR="003205E2" w:rsidRPr="00552D93" w:rsidRDefault="003205E2" w:rsidP="00455A3A">
      <w:pPr>
        <w:spacing w:before="100" w:beforeAutospacing="1" w:after="100" w:afterAutospacing="1" w:line="480" w:lineRule="auto"/>
        <w:jc w:val="center"/>
        <w:rPr>
          <w:rFonts w:ascii="Cambria" w:hAnsi="Cambria"/>
          <w:b/>
        </w:rPr>
      </w:pPr>
      <w:r w:rsidRPr="00552D93">
        <w:rPr>
          <w:rFonts w:ascii="Cambria" w:hAnsi="Cambria"/>
          <w:b/>
        </w:rPr>
        <w:lastRenderedPageBreak/>
        <w:t>Drinking to excess and the tipping point:</w:t>
      </w:r>
      <w:r w:rsidR="00297275" w:rsidRPr="00552D93">
        <w:rPr>
          <w:rFonts w:ascii="Cambria" w:hAnsi="Cambria"/>
          <w:b/>
        </w:rPr>
        <w:t xml:space="preserve"> </w:t>
      </w:r>
      <w:r w:rsidRPr="00552D93">
        <w:rPr>
          <w:rFonts w:ascii="Cambria" w:hAnsi="Cambria"/>
          <w:b/>
        </w:rPr>
        <w:t xml:space="preserve">An international study of alcohol intoxication in </w:t>
      </w:r>
      <w:r w:rsidR="007A149A" w:rsidRPr="00552D93">
        <w:rPr>
          <w:rFonts w:ascii="Cambria" w:hAnsi="Cambria"/>
          <w:b/>
        </w:rPr>
        <w:t>61,000</w:t>
      </w:r>
      <w:r w:rsidRPr="00552D93">
        <w:rPr>
          <w:rFonts w:ascii="Cambria" w:hAnsi="Cambria"/>
          <w:b/>
        </w:rPr>
        <w:t xml:space="preserve"> </w:t>
      </w:r>
      <w:r w:rsidR="002C7751" w:rsidRPr="00552D93">
        <w:rPr>
          <w:rFonts w:ascii="Cambria" w:hAnsi="Cambria"/>
          <w:b/>
        </w:rPr>
        <w:t>people</w:t>
      </w:r>
    </w:p>
    <w:p w14:paraId="56402636" w14:textId="234C33E0" w:rsidR="00AA49E1" w:rsidRPr="00552D93" w:rsidRDefault="00AA49E1" w:rsidP="00C4411A">
      <w:pPr>
        <w:spacing w:before="100" w:beforeAutospacing="1" w:after="100" w:afterAutospacing="1" w:line="480" w:lineRule="auto"/>
        <w:rPr>
          <w:rFonts w:ascii="Cambria" w:hAnsi="Cambria"/>
          <w:b/>
        </w:rPr>
      </w:pPr>
      <w:r w:rsidRPr="00552D93">
        <w:rPr>
          <w:rFonts w:ascii="Cambria" w:hAnsi="Cambria"/>
          <w:b/>
        </w:rPr>
        <w:t>ABSTRACT</w:t>
      </w:r>
      <w:r w:rsidR="00D27B23" w:rsidRPr="00552D93">
        <w:rPr>
          <w:rFonts w:ascii="Cambria" w:hAnsi="Cambria"/>
          <w:b/>
        </w:rPr>
        <w:t xml:space="preserve"> </w:t>
      </w:r>
      <w:r w:rsidR="00FC1EBA" w:rsidRPr="00552D93">
        <w:rPr>
          <w:rFonts w:ascii="Cambria" w:hAnsi="Cambria"/>
          <w:b/>
        </w:rPr>
        <w:t xml:space="preserve"> </w:t>
      </w:r>
      <w:r w:rsidR="009B423B" w:rsidRPr="00552D93">
        <w:rPr>
          <w:rFonts w:ascii="Cambria" w:hAnsi="Cambria"/>
          <w:b/>
        </w:rPr>
        <w:t xml:space="preserve">  </w:t>
      </w:r>
    </w:p>
    <w:p w14:paraId="145B5F99" w14:textId="3D976C0F" w:rsidR="009E0D91" w:rsidRPr="00552D93" w:rsidRDefault="00A50C02" w:rsidP="009E0D91">
      <w:pPr>
        <w:spacing w:before="100" w:beforeAutospacing="1" w:after="100" w:afterAutospacing="1" w:line="480" w:lineRule="auto"/>
        <w:rPr>
          <w:rFonts w:ascii="Cambria" w:eastAsia="Times New Roman" w:hAnsi="Cambria" w:cs="Times New Roman"/>
          <w:bCs/>
          <w:lang w:eastAsia="en-GB"/>
        </w:rPr>
      </w:pPr>
      <w:r w:rsidRPr="00552D93">
        <w:rPr>
          <w:rFonts w:ascii="Cambria" w:hAnsi="Cambria"/>
          <w:b/>
        </w:rPr>
        <w:t xml:space="preserve">Background: </w:t>
      </w:r>
      <w:r w:rsidR="00811997" w:rsidRPr="00552D93">
        <w:rPr>
          <w:rFonts w:ascii="Cambria" w:hAnsi="Cambria"/>
        </w:rPr>
        <w:t>People who drink a</w:t>
      </w:r>
      <w:r w:rsidR="00883C95" w:rsidRPr="00552D93">
        <w:rPr>
          <w:rFonts w:ascii="Cambria" w:hAnsi="Cambria"/>
        </w:rPr>
        <w:t xml:space="preserve">lcohol </w:t>
      </w:r>
      <w:r w:rsidR="009E0D91" w:rsidRPr="00552D93">
        <w:rPr>
          <w:rFonts w:ascii="Cambria" w:hAnsi="Cambria"/>
        </w:rPr>
        <w:t xml:space="preserve">often seek to manage their intake in </w:t>
      </w:r>
      <w:r w:rsidR="00135D1C" w:rsidRPr="00552D93">
        <w:rPr>
          <w:rFonts w:ascii="Cambria" w:hAnsi="Cambria"/>
        </w:rPr>
        <w:t xml:space="preserve">order to maximise the </w:t>
      </w:r>
      <w:r w:rsidR="009E0D91" w:rsidRPr="00552D93">
        <w:rPr>
          <w:rFonts w:ascii="Cambria" w:hAnsi="Cambria"/>
        </w:rPr>
        <w:t xml:space="preserve">pleasurable effects, such as feelings of sociability and relaxation, without </w:t>
      </w:r>
      <w:r w:rsidR="00EE157C" w:rsidRPr="00552D93">
        <w:rPr>
          <w:rFonts w:ascii="Cambria" w:hAnsi="Cambria"/>
        </w:rPr>
        <w:t xml:space="preserve">reaching </w:t>
      </w:r>
      <w:r w:rsidR="009E0D91" w:rsidRPr="00552D93">
        <w:rPr>
          <w:rFonts w:ascii="Cambria" w:hAnsi="Cambria"/>
        </w:rPr>
        <w:t xml:space="preserve">their </w:t>
      </w:r>
      <w:r w:rsidR="00883C95" w:rsidRPr="00552D93">
        <w:rPr>
          <w:rFonts w:ascii="Cambria" w:hAnsi="Cambria"/>
        </w:rPr>
        <w:t>‘</w:t>
      </w:r>
      <w:r w:rsidR="009E0D91" w:rsidRPr="00552D93">
        <w:rPr>
          <w:rFonts w:ascii="Cambria" w:hAnsi="Cambria"/>
        </w:rPr>
        <w:t>tipping point</w:t>
      </w:r>
      <w:r w:rsidR="00883C95" w:rsidRPr="00552D93">
        <w:rPr>
          <w:rFonts w:ascii="Cambria" w:hAnsi="Cambria"/>
        </w:rPr>
        <w:t>’</w:t>
      </w:r>
      <w:r w:rsidR="009E0D91" w:rsidRPr="00552D93">
        <w:rPr>
          <w:rFonts w:ascii="Cambria" w:hAnsi="Cambria"/>
        </w:rPr>
        <w:t xml:space="preserve">, where they feel out of control, or unwell. This paper aimed to </w:t>
      </w:r>
      <w:r w:rsidR="009E0D91" w:rsidRPr="00552D93">
        <w:rPr>
          <w:rFonts w:ascii="Cambria" w:eastAsia="Times New Roman" w:hAnsi="Cambria" w:cs="Times New Roman"/>
          <w:bCs/>
          <w:lang w:eastAsia="en-GB"/>
        </w:rPr>
        <w:t xml:space="preserve">explore three </w:t>
      </w:r>
      <w:r w:rsidR="00955304" w:rsidRPr="00552D93">
        <w:rPr>
          <w:rFonts w:ascii="Cambria" w:eastAsia="Times New Roman" w:hAnsi="Cambria" w:cs="Times New Roman"/>
          <w:bCs/>
          <w:lang w:eastAsia="en-GB"/>
        </w:rPr>
        <w:t xml:space="preserve">stages </w:t>
      </w:r>
      <w:r w:rsidR="00224BCC" w:rsidRPr="00552D93">
        <w:rPr>
          <w:rFonts w:ascii="Cambria" w:eastAsia="Times New Roman" w:hAnsi="Cambria" w:cs="Times New Roman"/>
          <w:bCs/>
          <w:lang w:eastAsia="en-GB"/>
        </w:rPr>
        <w:t>of intoxication; feeling the effects;</w:t>
      </w:r>
      <w:r w:rsidR="009E0D91" w:rsidRPr="00552D93">
        <w:rPr>
          <w:rFonts w:ascii="Cambria" w:eastAsia="Times New Roman" w:hAnsi="Cambria" w:cs="Times New Roman"/>
          <w:bCs/>
          <w:lang w:eastAsia="en-GB"/>
        </w:rPr>
        <w:t xml:space="preserve"> being </w:t>
      </w:r>
      <w:r w:rsidR="00594D0E" w:rsidRPr="00552D93">
        <w:rPr>
          <w:rFonts w:ascii="Cambria" w:eastAsia="Times New Roman" w:hAnsi="Cambria" w:cs="Times New Roman"/>
          <w:bCs/>
          <w:lang w:eastAsia="en-GB"/>
        </w:rPr>
        <w:t xml:space="preserve">as </w:t>
      </w:r>
      <w:r w:rsidR="00EE5617" w:rsidRPr="00552D93">
        <w:rPr>
          <w:rFonts w:ascii="Cambria" w:eastAsia="Times New Roman" w:hAnsi="Cambria" w:cs="Times New Roman"/>
          <w:bCs/>
          <w:lang w:eastAsia="en-GB"/>
        </w:rPr>
        <w:t xml:space="preserve">drunk </w:t>
      </w:r>
      <w:r w:rsidR="00DA5609" w:rsidRPr="00552D93">
        <w:rPr>
          <w:rFonts w:ascii="Cambria" w:eastAsia="Times New Roman" w:hAnsi="Cambria" w:cs="Times New Roman"/>
          <w:bCs/>
          <w:lang w:eastAsia="en-GB"/>
        </w:rPr>
        <w:t>as you would like to be</w:t>
      </w:r>
      <w:r w:rsidR="00224BCC" w:rsidRPr="00552D93">
        <w:rPr>
          <w:rFonts w:ascii="Cambria" w:eastAsia="Times New Roman" w:hAnsi="Cambria" w:cs="Times New Roman"/>
          <w:bCs/>
          <w:lang w:eastAsia="en-GB"/>
        </w:rPr>
        <w:t xml:space="preserve">; </w:t>
      </w:r>
      <w:r w:rsidR="009E0D91" w:rsidRPr="00552D93">
        <w:rPr>
          <w:rFonts w:ascii="Cambria" w:eastAsia="Times New Roman" w:hAnsi="Cambria" w:cs="Times New Roman"/>
          <w:bCs/>
          <w:lang w:eastAsia="en-GB"/>
        </w:rPr>
        <w:t xml:space="preserve">and </w:t>
      </w:r>
      <w:r w:rsidR="00EE157C" w:rsidRPr="00552D93">
        <w:rPr>
          <w:rFonts w:ascii="Cambria" w:eastAsia="Times New Roman" w:hAnsi="Cambria" w:cs="Times New Roman"/>
          <w:bCs/>
          <w:lang w:eastAsia="en-GB"/>
        </w:rPr>
        <w:t xml:space="preserve">reaching </w:t>
      </w:r>
      <w:r w:rsidR="009E0D91" w:rsidRPr="00552D93">
        <w:rPr>
          <w:rFonts w:ascii="Cambria" w:eastAsia="Times New Roman" w:hAnsi="Cambria" w:cs="Times New Roman"/>
          <w:bCs/>
          <w:lang w:eastAsia="en-GB"/>
        </w:rPr>
        <w:t>the tipping point</w:t>
      </w:r>
      <w:r w:rsidR="00EE5617" w:rsidRPr="00552D93">
        <w:rPr>
          <w:rFonts w:ascii="Cambria" w:eastAsia="Times New Roman" w:hAnsi="Cambria" w:cs="Times New Roman"/>
          <w:bCs/>
          <w:lang w:eastAsia="en-GB"/>
        </w:rPr>
        <w:t xml:space="preserve"> (feel</w:t>
      </w:r>
      <w:r w:rsidR="008069DF" w:rsidRPr="00552D93">
        <w:rPr>
          <w:rFonts w:ascii="Cambria" w:eastAsia="Times New Roman" w:hAnsi="Cambria" w:cs="Times New Roman"/>
          <w:bCs/>
          <w:lang w:eastAsia="en-GB"/>
        </w:rPr>
        <w:t>ing</w:t>
      </w:r>
      <w:r w:rsidR="00EE5617" w:rsidRPr="00552D93">
        <w:rPr>
          <w:rFonts w:ascii="Cambria" w:eastAsia="Times New Roman" w:hAnsi="Cambria" w:cs="Times New Roman"/>
          <w:bCs/>
          <w:lang w:eastAsia="en-GB"/>
        </w:rPr>
        <w:t xml:space="preserve"> more drunk than you want to be)</w:t>
      </w:r>
      <w:r w:rsidR="00135D1C" w:rsidRPr="00552D93">
        <w:rPr>
          <w:rFonts w:ascii="Cambria" w:eastAsia="Times New Roman" w:hAnsi="Cambria" w:cs="Times New Roman"/>
          <w:bCs/>
          <w:lang w:eastAsia="en-GB"/>
        </w:rPr>
        <w:t xml:space="preserve"> </w:t>
      </w:r>
      <w:r w:rsidR="009E0D91" w:rsidRPr="00552D93">
        <w:rPr>
          <w:rFonts w:ascii="Cambria" w:eastAsia="Times New Roman" w:hAnsi="Cambria" w:cs="Times New Roman"/>
          <w:bCs/>
          <w:lang w:eastAsia="en-GB"/>
        </w:rPr>
        <w:t xml:space="preserve">in </w:t>
      </w:r>
      <w:r w:rsidR="008069DF" w:rsidRPr="00552D93">
        <w:rPr>
          <w:rFonts w:ascii="Cambria" w:eastAsia="Times New Roman" w:hAnsi="Cambria" w:cs="Times New Roman"/>
          <w:bCs/>
          <w:lang w:eastAsia="en-GB"/>
        </w:rPr>
        <w:t>a large international sample.</w:t>
      </w:r>
    </w:p>
    <w:p w14:paraId="7B5643E6" w14:textId="278875FC" w:rsidR="00AA49E1" w:rsidRPr="00552D93" w:rsidRDefault="00A50C02" w:rsidP="00AA49E1">
      <w:pPr>
        <w:spacing w:before="100" w:beforeAutospacing="1" w:after="100" w:afterAutospacing="1" w:line="480" w:lineRule="auto"/>
        <w:rPr>
          <w:rFonts w:ascii="Cambria" w:hAnsi="Cambria"/>
          <w:b/>
          <w:highlight w:val="yellow"/>
        </w:rPr>
      </w:pPr>
      <w:r w:rsidRPr="00552D93">
        <w:rPr>
          <w:rFonts w:ascii="Cambria" w:hAnsi="Cambria"/>
          <w:b/>
        </w:rPr>
        <w:t>Methods:</w:t>
      </w:r>
      <w:r w:rsidR="00CE5ECF" w:rsidRPr="00552D93">
        <w:rPr>
          <w:rFonts w:ascii="Cambria" w:hAnsi="Cambria"/>
        </w:rPr>
        <w:t xml:space="preserve"> The Global Drug Survey (GDS) is a</w:t>
      </w:r>
      <w:r w:rsidR="00EB2889" w:rsidRPr="00552D93">
        <w:rPr>
          <w:rFonts w:ascii="Cambria" w:hAnsi="Cambria"/>
        </w:rPr>
        <w:t>n</w:t>
      </w:r>
      <w:r w:rsidR="00D561CF" w:rsidRPr="00552D93">
        <w:rPr>
          <w:rFonts w:ascii="Cambria" w:hAnsi="Cambria"/>
        </w:rPr>
        <w:t xml:space="preserve"> </w:t>
      </w:r>
      <w:r w:rsidR="00115E62" w:rsidRPr="00552D93">
        <w:rPr>
          <w:rFonts w:ascii="Cambria" w:hAnsi="Cambria"/>
        </w:rPr>
        <w:t xml:space="preserve">annual, cross-sectional, </w:t>
      </w:r>
      <w:r w:rsidR="00CE5ECF" w:rsidRPr="00552D93">
        <w:rPr>
          <w:rFonts w:ascii="Cambria" w:hAnsi="Cambria"/>
        </w:rPr>
        <w:t>online survey of drug use.</w:t>
      </w:r>
      <w:r w:rsidR="00297275" w:rsidRPr="00552D93">
        <w:rPr>
          <w:rFonts w:ascii="Cambria" w:hAnsi="Cambria"/>
        </w:rPr>
        <w:t xml:space="preserve"> </w:t>
      </w:r>
      <w:r w:rsidR="00CE5ECF" w:rsidRPr="00552D93">
        <w:rPr>
          <w:rFonts w:ascii="Cambria" w:hAnsi="Cambria"/>
        </w:rPr>
        <w:t xml:space="preserve">This paper </w:t>
      </w:r>
      <w:r w:rsidR="00B11665" w:rsidRPr="00552D93">
        <w:rPr>
          <w:rFonts w:ascii="Cambria" w:hAnsi="Cambria"/>
        </w:rPr>
        <w:t>draws on data from 61,043 respondents (63.7</w:t>
      </w:r>
      <w:r w:rsidR="00115E62" w:rsidRPr="00552D93">
        <w:rPr>
          <w:rFonts w:ascii="Cambria" w:hAnsi="Cambria"/>
        </w:rPr>
        <w:t>% male)</w:t>
      </w:r>
      <w:r w:rsidR="00B11665" w:rsidRPr="00552D93">
        <w:rPr>
          <w:rFonts w:ascii="Cambria" w:hAnsi="Cambria"/>
        </w:rPr>
        <w:t xml:space="preserve"> from 21</w:t>
      </w:r>
      <w:r w:rsidR="00CE5ECF" w:rsidRPr="00552D93">
        <w:rPr>
          <w:rFonts w:ascii="Cambria" w:hAnsi="Cambria"/>
        </w:rPr>
        <w:t xml:space="preserve"> countries who took part in GDS2015</w:t>
      </w:r>
      <w:r w:rsidR="000B0288" w:rsidRPr="00552D93">
        <w:rPr>
          <w:rFonts w:ascii="Cambria" w:hAnsi="Cambria"/>
        </w:rPr>
        <w:t xml:space="preserve"> collected in November </w:t>
      </w:r>
      <w:r w:rsidR="004E2461" w:rsidRPr="00552D93">
        <w:rPr>
          <w:rFonts w:ascii="Cambria" w:hAnsi="Cambria"/>
        </w:rPr>
        <w:t>2014 to January 2015</w:t>
      </w:r>
      <w:r w:rsidR="00CE5ECF" w:rsidRPr="00552D93">
        <w:rPr>
          <w:rFonts w:ascii="Cambria" w:hAnsi="Cambria"/>
        </w:rPr>
        <w:t>.</w:t>
      </w:r>
      <w:r w:rsidR="00297275" w:rsidRPr="00552D93">
        <w:rPr>
          <w:rFonts w:ascii="Cambria" w:hAnsi="Cambria"/>
        </w:rPr>
        <w:t xml:space="preserve"> </w:t>
      </w:r>
      <w:r w:rsidR="00CE5ECF" w:rsidRPr="00552D93">
        <w:rPr>
          <w:rFonts w:ascii="Cambria" w:hAnsi="Cambria"/>
        </w:rPr>
        <w:t xml:space="preserve">Respondents </w:t>
      </w:r>
      <w:r w:rsidR="009032C8" w:rsidRPr="00552D93">
        <w:rPr>
          <w:rFonts w:ascii="Cambria" w:hAnsi="Cambria"/>
        </w:rPr>
        <w:t>reported their usual type of drink;</w:t>
      </w:r>
      <w:r w:rsidR="009E0D91" w:rsidRPr="00552D93">
        <w:rPr>
          <w:rFonts w:ascii="Cambria" w:hAnsi="Cambria"/>
        </w:rPr>
        <w:t xml:space="preserve"> how many</w:t>
      </w:r>
      <w:r w:rsidR="000877F2" w:rsidRPr="00552D93">
        <w:rPr>
          <w:rFonts w:ascii="Cambria" w:hAnsi="Cambria"/>
        </w:rPr>
        <w:t xml:space="preserve"> drinks</w:t>
      </w:r>
      <w:r w:rsidR="009E0D91" w:rsidRPr="00552D93">
        <w:rPr>
          <w:rFonts w:ascii="Cambria" w:hAnsi="Cambria"/>
        </w:rPr>
        <w:t xml:space="preserve"> they would require to re</w:t>
      </w:r>
      <w:r w:rsidR="009032C8" w:rsidRPr="00552D93">
        <w:rPr>
          <w:rFonts w:ascii="Cambria" w:hAnsi="Cambria"/>
        </w:rPr>
        <w:t xml:space="preserve">ach each stage of intoxication and </w:t>
      </w:r>
      <w:r w:rsidR="009E0D91" w:rsidRPr="00552D93">
        <w:rPr>
          <w:rFonts w:ascii="Cambria" w:hAnsi="Cambria"/>
        </w:rPr>
        <w:t xml:space="preserve">how frequently </w:t>
      </w:r>
      <w:r w:rsidR="009032C8" w:rsidRPr="00552D93">
        <w:rPr>
          <w:rFonts w:ascii="Cambria" w:hAnsi="Cambria"/>
        </w:rPr>
        <w:t xml:space="preserve">they </w:t>
      </w:r>
      <w:r w:rsidR="009E0D91" w:rsidRPr="00552D93">
        <w:rPr>
          <w:rFonts w:ascii="Cambria" w:hAnsi="Cambria"/>
        </w:rPr>
        <w:t>reached</w:t>
      </w:r>
      <w:r w:rsidR="009032C8" w:rsidRPr="00552D93">
        <w:rPr>
          <w:rFonts w:ascii="Cambria" w:hAnsi="Cambria"/>
        </w:rPr>
        <w:t xml:space="preserve"> each stage</w:t>
      </w:r>
      <w:r w:rsidR="009E0D91" w:rsidRPr="00552D93">
        <w:rPr>
          <w:rFonts w:ascii="Cambria" w:hAnsi="Cambria"/>
        </w:rPr>
        <w:t>. Alongside socio-demographic measures, they also compl</w:t>
      </w:r>
      <w:r w:rsidR="00992492" w:rsidRPr="00552D93">
        <w:rPr>
          <w:rFonts w:ascii="Cambria" w:hAnsi="Cambria"/>
        </w:rPr>
        <w:t xml:space="preserve">eted </w:t>
      </w:r>
      <w:r w:rsidR="00DF762C" w:rsidRPr="00552D93">
        <w:rPr>
          <w:rFonts w:ascii="Cambria" w:hAnsi="Cambria"/>
        </w:rPr>
        <w:t>the Alcohol Use Disorders Identification Te</w:t>
      </w:r>
      <w:r w:rsidR="004F38CE" w:rsidRPr="00552D93">
        <w:rPr>
          <w:rFonts w:ascii="Cambria" w:hAnsi="Cambria"/>
        </w:rPr>
        <w:t>st</w:t>
      </w:r>
      <w:r w:rsidR="00DF762C" w:rsidRPr="00552D93">
        <w:rPr>
          <w:rFonts w:ascii="Cambria" w:hAnsi="Cambria"/>
        </w:rPr>
        <w:t xml:space="preserve"> (</w:t>
      </w:r>
      <w:r w:rsidR="009E0D91" w:rsidRPr="00552D93">
        <w:rPr>
          <w:rFonts w:ascii="Cambria" w:hAnsi="Cambria"/>
        </w:rPr>
        <w:t>AUDIT</w:t>
      </w:r>
      <w:r w:rsidR="00DF762C" w:rsidRPr="00552D93">
        <w:rPr>
          <w:rFonts w:ascii="Cambria" w:hAnsi="Cambria"/>
        </w:rPr>
        <w:t>).</w:t>
      </w:r>
    </w:p>
    <w:p w14:paraId="3777BE93" w14:textId="160B65AC" w:rsidR="00AA49E1" w:rsidRPr="00552D93" w:rsidRDefault="00A50C02" w:rsidP="00AA49E1">
      <w:pPr>
        <w:spacing w:before="100" w:beforeAutospacing="1" w:after="100" w:afterAutospacing="1" w:line="480" w:lineRule="auto"/>
        <w:rPr>
          <w:rFonts w:ascii="Cambria" w:hAnsi="Cambria"/>
        </w:rPr>
      </w:pPr>
      <w:r w:rsidRPr="00552D93">
        <w:rPr>
          <w:rFonts w:ascii="Cambria" w:hAnsi="Cambria"/>
          <w:b/>
        </w:rPr>
        <w:t>Results:</w:t>
      </w:r>
      <w:r w:rsidR="00AA49E1" w:rsidRPr="00552D93">
        <w:rPr>
          <w:rFonts w:ascii="Cambria" w:hAnsi="Cambria"/>
          <w:b/>
        </w:rPr>
        <w:t xml:space="preserve"> </w:t>
      </w:r>
      <w:r w:rsidR="009032C8" w:rsidRPr="00552D93">
        <w:rPr>
          <w:rFonts w:ascii="Cambria" w:hAnsi="Cambria"/>
        </w:rPr>
        <w:t>M</w:t>
      </w:r>
      <w:r w:rsidR="00674185" w:rsidRPr="00552D93">
        <w:rPr>
          <w:rFonts w:ascii="Cambria" w:hAnsi="Cambria"/>
        </w:rPr>
        <w:t>ale</w:t>
      </w:r>
      <w:r w:rsidR="003707CE" w:rsidRPr="00552D93">
        <w:rPr>
          <w:rFonts w:ascii="Cambria" w:hAnsi="Cambria"/>
        </w:rPr>
        <w:t xml:space="preserve"> respondent</w:t>
      </w:r>
      <w:r w:rsidR="00674185" w:rsidRPr="00552D93">
        <w:rPr>
          <w:rFonts w:ascii="Cambria" w:hAnsi="Cambria"/>
        </w:rPr>
        <w:t>s reported consum</w:t>
      </w:r>
      <w:r w:rsidR="000877F2" w:rsidRPr="00552D93">
        <w:rPr>
          <w:rFonts w:ascii="Cambria" w:hAnsi="Cambria"/>
        </w:rPr>
        <w:t>ing</w:t>
      </w:r>
      <w:r w:rsidR="00674185" w:rsidRPr="00552D93">
        <w:rPr>
          <w:rFonts w:ascii="Cambria" w:hAnsi="Cambria"/>
        </w:rPr>
        <w:t xml:space="preserve"> </w:t>
      </w:r>
      <w:r w:rsidR="00B11665" w:rsidRPr="00552D93">
        <w:rPr>
          <w:rFonts w:ascii="Cambria" w:hAnsi="Cambria"/>
        </w:rPr>
        <w:t>87.55</w:t>
      </w:r>
      <w:r w:rsidR="009032C8" w:rsidRPr="00552D93">
        <w:rPr>
          <w:rFonts w:ascii="Cambria" w:hAnsi="Cambria"/>
        </w:rPr>
        <w:t xml:space="preserve">gm </w:t>
      </w:r>
      <w:r w:rsidR="00674185" w:rsidRPr="00552D93">
        <w:rPr>
          <w:rFonts w:ascii="Cambria" w:hAnsi="Cambria"/>
        </w:rPr>
        <w:t xml:space="preserve">to be as drunk as they want to be </w:t>
      </w:r>
      <w:r w:rsidR="009032C8" w:rsidRPr="00552D93">
        <w:rPr>
          <w:rFonts w:ascii="Cambria" w:hAnsi="Cambria"/>
        </w:rPr>
        <w:t>and female</w:t>
      </w:r>
      <w:r w:rsidR="003707CE" w:rsidRPr="00552D93">
        <w:rPr>
          <w:rFonts w:ascii="Cambria" w:hAnsi="Cambria"/>
        </w:rPr>
        <w:t xml:space="preserve"> respondent</w:t>
      </w:r>
      <w:r w:rsidR="009032C8" w:rsidRPr="00552D93">
        <w:rPr>
          <w:rFonts w:ascii="Cambria" w:hAnsi="Cambria"/>
        </w:rPr>
        <w:t>s</w:t>
      </w:r>
      <w:r w:rsidR="003707CE" w:rsidRPr="00552D93">
        <w:rPr>
          <w:rFonts w:ascii="Cambria" w:hAnsi="Cambria"/>
        </w:rPr>
        <w:t xml:space="preserve"> reported</w:t>
      </w:r>
      <w:r w:rsidR="00B11665" w:rsidRPr="00552D93">
        <w:rPr>
          <w:rFonts w:ascii="Cambria" w:hAnsi="Cambria"/>
        </w:rPr>
        <w:t xml:space="preserve"> 70.16</w:t>
      </w:r>
      <w:r w:rsidR="00674185" w:rsidRPr="00552D93">
        <w:rPr>
          <w:rFonts w:ascii="Cambria" w:hAnsi="Cambria"/>
        </w:rPr>
        <w:t>gm</w:t>
      </w:r>
      <w:r w:rsidR="003707CE" w:rsidRPr="00552D93">
        <w:rPr>
          <w:rFonts w:ascii="Cambria" w:hAnsi="Cambria"/>
        </w:rPr>
        <w:t>, on average</w:t>
      </w:r>
      <w:r w:rsidR="00674185" w:rsidRPr="00552D93">
        <w:rPr>
          <w:rFonts w:ascii="Cambria" w:hAnsi="Cambria"/>
        </w:rPr>
        <w:t>. The t</w:t>
      </w:r>
      <w:r w:rsidR="00B11665" w:rsidRPr="00552D93">
        <w:rPr>
          <w:rFonts w:ascii="Cambria" w:hAnsi="Cambria"/>
        </w:rPr>
        <w:t>ipping point was reached at 138.65</w:t>
      </w:r>
      <w:r w:rsidR="00674185" w:rsidRPr="00552D93">
        <w:rPr>
          <w:rFonts w:ascii="Cambria" w:hAnsi="Cambria"/>
        </w:rPr>
        <w:t xml:space="preserve">gm </w:t>
      </w:r>
      <w:r w:rsidR="00D25DD7" w:rsidRPr="00552D93">
        <w:rPr>
          <w:rFonts w:ascii="Cambria" w:hAnsi="Cambria"/>
        </w:rPr>
        <w:t>for male</w:t>
      </w:r>
      <w:r w:rsidR="005F57DD" w:rsidRPr="00552D93">
        <w:rPr>
          <w:rFonts w:ascii="Cambria" w:hAnsi="Cambria"/>
        </w:rPr>
        <w:t xml:space="preserve"> respondent</w:t>
      </w:r>
      <w:r w:rsidR="00D25DD7" w:rsidRPr="00552D93">
        <w:rPr>
          <w:rFonts w:ascii="Cambria" w:hAnsi="Cambria"/>
        </w:rPr>
        <w:t xml:space="preserve">s </w:t>
      </w:r>
      <w:r w:rsidR="00B11665" w:rsidRPr="00552D93">
        <w:rPr>
          <w:rFonts w:ascii="Cambria" w:hAnsi="Cambria"/>
        </w:rPr>
        <w:t>and 106.54</w:t>
      </w:r>
      <w:r w:rsidR="00674185" w:rsidRPr="00552D93">
        <w:rPr>
          <w:rFonts w:ascii="Cambria" w:hAnsi="Cambria"/>
        </w:rPr>
        <w:t xml:space="preserve"> gm </w:t>
      </w:r>
      <w:r w:rsidR="00D25DD7" w:rsidRPr="00552D93">
        <w:rPr>
          <w:rFonts w:ascii="Cambria" w:hAnsi="Cambria"/>
        </w:rPr>
        <w:t>for female</w:t>
      </w:r>
      <w:r w:rsidR="005F57DD" w:rsidRPr="00552D93">
        <w:rPr>
          <w:rFonts w:ascii="Cambria" w:hAnsi="Cambria"/>
        </w:rPr>
        <w:t xml:space="preserve"> respondent</w:t>
      </w:r>
      <w:r w:rsidR="00D25DD7" w:rsidRPr="00552D93">
        <w:rPr>
          <w:rFonts w:ascii="Cambria" w:hAnsi="Cambria"/>
        </w:rPr>
        <w:t>s.</w:t>
      </w:r>
      <w:r w:rsidR="00297275" w:rsidRPr="00552D93">
        <w:rPr>
          <w:rFonts w:ascii="Cambria" w:hAnsi="Cambria"/>
        </w:rPr>
        <w:t xml:space="preserve"> </w:t>
      </w:r>
      <w:r w:rsidR="00E160C6" w:rsidRPr="00552D93">
        <w:rPr>
          <w:rFonts w:ascii="Cambria" w:hAnsi="Cambria"/>
        </w:rPr>
        <w:t>Overall</w:t>
      </w:r>
      <w:r w:rsidR="00674185" w:rsidRPr="00552D93">
        <w:rPr>
          <w:rFonts w:ascii="Cambria" w:hAnsi="Cambria"/>
        </w:rPr>
        <w:t xml:space="preserve"> </w:t>
      </w:r>
      <w:r w:rsidR="00B11665" w:rsidRPr="00552D93">
        <w:rPr>
          <w:rFonts w:ascii="Cambria" w:hAnsi="Cambria"/>
        </w:rPr>
        <w:t>20.3</w:t>
      </w:r>
      <w:r w:rsidR="00E160C6" w:rsidRPr="00552D93">
        <w:rPr>
          <w:rFonts w:ascii="Cambria" w:hAnsi="Cambria"/>
        </w:rPr>
        <w:t xml:space="preserve">% </w:t>
      </w:r>
      <w:r w:rsidR="00674185" w:rsidRPr="00552D93">
        <w:rPr>
          <w:rFonts w:ascii="Cambria" w:hAnsi="Cambria"/>
        </w:rPr>
        <w:t>report</w:t>
      </w:r>
      <w:r w:rsidR="005F57DD" w:rsidRPr="00552D93">
        <w:rPr>
          <w:rFonts w:ascii="Cambria" w:hAnsi="Cambria"/>
        </w:rPr>
        <w:t>ed</w:t>
      </w:r>
      <w:r w:rsidR="00674185" w:rsidRPr="00552D93">
        <w:rPr>
          <w:rFonts w:ascii="Cambria" w:hAnsi="Cambria"/>
        </w:rPr>
        <w:t xml:space="preserve"> </w:t>
      </w:r>
      <w:r w:rsidR="00E160C6" w:rsidRPr="00552D93">
        <w:rPr>
          <w:rFonts w:ascii="Cambria" w:hAnsi="Cambria"/>
        </w:rPr>
        <w:t xml:space="preserve">reaching their tipping point at least </w:t>
      </w:r>
      <w:r w:rsidR="002F6E16" w:rsidRPr="00552D93">
        <w:rPr>
          <w:rFonts w:ascii="Cambria" w:hAnsi="Cambria"/>
        </w:rPr>
        <w:t>once a month</w:t>
      </w:r>
      <w:r w:rsidR="00EE5617" w:rsidRPr="00552D93">
        <w:rPr>
          <w:rFonts w:ascii="Cambria" w:hAnsi="Cambria"/>
        </w:rPr>
        <w:t>.</w:t>
      </w:r>
      <w:r w:rsidR="00297275" w:rsidRPr="00552D93">
        <w:rPr>
          <w:rFonts w:ascii="Cambria" w:hAnsi="Cambria"/>
        </w:rPr>
        <w:t xml:space="preserve"> </w:t>
      </w:r>
      <w:r w:rsidR="00233BFB" w:rsidRPr="00552D93">
        <w:rPr>
          <w:rFonts w:ascii="Cambria" w:hAnsi="Cambria"/>
        </w:rPr>
        <w:t>B</w:t>
      </w:r>
      <w:r w:rsidR="00E160C6" w:rsidRPr="00552D93">
        <w:rPr>
          <w:rFonts w:ascii="Cambria" w:hAnsi="Cambria"/>
        </w:rPr>
        <w:t xml:space="preserve">eing male, </w:t>
      </w:r>
      <w:r w:rsidR="00992492" w:rsidRPr="00552D93">
        <w:rPr>
          <w:rFonts w:ascii="Cambria" w:hAnsi="Cambria"/>
        </w:rPr>
        <w:t xml:space="preserve">aged </w:t>
      </w:r>
      <w:r w:rsidR="00E160C6" w:rsidRPr="00552D93">
        <w:rPr>
          <w:rFonts w:ascii="Cambria" w:hAnsi="Cambria"/>
        </w:rPr>
        <w:t>under 25</w:t>
      </w:r>
      <w:r w:rsidR="00233BFB" w:rsidRPr="00552D93">
        <w:rPr>
          <w:rFonts w:ascii="Cambria" w:hAnsi="Cambria"/>
        </w:rPr>
        <w:t xml:space="preserve"> and</w:t>
      </w:r>
      <w:r w:rsidR="00E160C6" w:rsidRPr="00552D93">
        <w:rPr>
          <w:rFonts w:ascii="Cambria" w:hAnsi="Cambria"/>
        </w:rPr>
        <w:t xml:space="preserve"> </w:t>
      </w:r>
      <w:r w:rsidR="00297275" w:rsidRPr="00552D93">
        <w:rPr>
          <w:rFonts w:ascii="Cambria" w:hAnsi="Cambria"/>
        </w:rPr>
        <w:t>at</w:t>
      </w:r>
      <w:r w:rsidR="00E160C6" w:rsidRPr="00552D93">
        <w:rPr>
          <w:rFonts w:ascii="Cambria" w:hAnsi="Cambria"/>
        </w:rPr>
        <w:t xml:space="preserve"> higher</w:t>
      </w:r>
      <w:r w:rsidR="00297275" w:rsidRPr="00552D93">
        <w:rPr>
          <w:rFonts w:ascii="Cambria" w:hAnsi="Cambria"/>
        </w:rPr>
        <w:t xml:space="preserve"> risk for alcohol use disorder</w:t>
      </w:r>
      <w:r w:rsidR="00E160C6" w:rsidRPr="00552D93">
        <w:rPr>
          <w:rFonts w:ascii="Cambria" w:hAnsi="Cambria"/>
        </w:rPr>
        <w:t xml:space="preserve"> </w:t>
      </w:r>
      <w:r w:rsidR="00297275" w:rsidRPr="00552D93">
        <w:rPr>
          <w:rFonts w:ascii="Cambria" w:hAnsi="Cambria"/>
        </w:rPr>
        <w:t xml:space="preserve">was </w:t>
      </w:r>
      <w:r w:rsidR="00E160C6" w:rsidRPr="00552D93">
        <w:rPr>
          <w:rFonts w:ascii="Cambria" w:hAnsi="Cambria"/>
        </w:rPr>
        <w:t xml:space="preserve">associated with </w:t>
      </w:r>
      <w:r w:rsidR="00297275" w:rsidRPr="00552D93">
        <w:rPr>
          <w:rFonts w:ascii="Cambria" w:hAnsi="Cambria"/>
        </w:rPr>
        <w:t xml:space="preserve">reporting </w:t>
      </w:r>
      <w:r w:rsidR="00E160C6" w:rsidRPr="00552D93">
        <w:rPr>
          <w:rFonts w:ascii="Cambria" w:hAnsi="Cambria"/>
        </w:rPr>
        <w:t>reach</w:t>
      </w:r>
      <w:r w:rsidR="00517DC6" w:rsidRPr="00552D93">
        <w:rPr>
          <w:rFonts w:ascii="Cambria" w:hAnsi="Cambria"/>
        </w:rPr>
        <w:t>ing</w:t>
      </w:r>
      <w:r w:rsidR="00E160C6" w:rsidRPr="00552D93">
        <w:rPr>
          <w:rFonts w:ascii="Cambria" w:hAnsi="Cambria"/>
        </w:rPr>
        <w:t xml:space="preserve"> the tipping point</w:t>
      </w:r>
      <w:r w:rsidR="00B11665" w:rsidRPr="00552D93">
        <w:rPr>
          <w:rFonts w:ascii="Cambria" w:hAnsi="Cambria"/>
        </w:rPr>
        <w:t xml:space="preserve"> more frequently.</w:t>
      </w:r>
    </w:p>
    <w:p w14:paraId="07D6D629" w14:textId="465BCB4B" w:rsidR="00AA49E1" w:rsidRPr="00552D93" w:rsidRDefault="00AA49E1" w:rsidP="00AA49E1">
      <w:pPr>
        <w:spacing w:before="100" w:beforeAutospacing="1" w:after="100" w:afterAutospacing="1" w:line="480" w:lineRule="auto"/>
        <w:rPr>
          <w:rFonts w:ascii="Cambria" w:hAnsi="Cambria"/>
          <w:b/>
        </w:rPr>
      </w:pPr>
      <w:r w:rsidRPr="00552D93">
        <w:rPr>
          <w:rFonts w:ascii="Cambria" w:hAnsi="Cambria"/>
          <w:b/>
        </w:rPr>
        <w:t>Conclusion</w:t>
      </w:r>
      <w:r w:rsidR="00CE5ECF" w:rsidRPr="00552D93">
        <w:rPr>
          <w:rFonts w:ascii="Cambria" w:hAnsi="Cambria"/>
          <w:b/>
        </w:rPr>
        <w:t>s</w:t>
      </w:r>
      <w:r w:rsidRPr="00552D93">
        <w:rPr>
          <w:rFonts w:ascii="Cambria" w:hAnsi="Cambria"/>
          <w:b/>
        </w:rPr>
        <w:t>:</w:t>
      </w:r>
      <w:r w:rsidR="00297275" w:rsidRPr="00552D93">
        <w:rPr>
          <w:rFonts w:ascii="Cambria" w:hAnsi="Cambria"/>
          <w:b/>
        </w:rPr>
        <w:t xml:space="preserve"> </w:t>
      </w:r>
      <w:r w:rsidR="002F6E16" w:rsidRPr="00552D93">
        <w:rPr>
          <w:rFonts w:ascii="Cambria" w:hAnsi="Cambria"/>
        </w:rPr>
        <w:t>The amount</w:t>
      </w:r>
      <w:r w:rsidR="00674185" w:rsidRPr="00552D93">
        <w:rPr>
          <w:rFonts w:ascii="Cambria" w:hAnsi="Cambria"/>
        </w:rPr>
        <w:t xml:space="preserve"> of alcohol being consumed to reach a desired point of intoxication </w:t>
      </w:r>
      <w:r w:rsidR="0058456A" w:rsidRPr="00552D93">
        <w:rPr>
          <w:rFonts w:ascii="Cambria" w:hAnsi="Cambria"/>
        </w:rPr>
        <w:t>is</w:t>
      </w:r>
      <w:r w:rsidR="00674185" w:rsidRPr="00552D93">
        <w:rPr>
          <w:rFonts w:ascii="Cambria" w:hAnsi="Cambria"/>
        </w:rPr>
        <w:t xml:space="preserve"> much higher than the maximum</w:t>
      </w:r>
      <w:r w:rsidR="002F6E16" w:rsidRPr="00552D93">
        <w:rPr>
          <w:rFonts w:ascii="Cambria" w:hAnsi="Cambria"/>
        </w:rPr>
        <w:t xml:space="preserve"> daily, and sometimes weekly, </w:t>
      </w:r>
      <w:r w:rsidR="000877F2" w:rsidRPr="00552D93">
        <w:rPr>
          <w:rFonts w:ascii="Cambria" w:hAnsi="Cambria"/>
        </w:rPr>
        <w:t xml:space="preserve">amount recommended by </w:t>
      </w:r>
      <w:r w:rsidR="002F6E16" w:rsidRPr="00552D93">
        <w:rPr>
          <w:rFonts w:ascii="Cambria" w:hAnsi="Cambria"/>
        </w:rPr>
        <w:t>country guidelines. Encouraging</w:t>
      </w:r>
      <w:r w:rsidR="00517DC6" w:rsidRPr="00552D93">
        <w:rPr>
          <w:rFonts w:ascii="Cambria" w:hAnsi="Cambria"/>
        </w:rPr>
        <w:t xml:space="preserve"> </w:t>
      </w:r>
      <w:r w:rsidR="002F6E16" w:rsidRPr="00552D93">
        <w:rPr>
          <w:rFonts w:ascii="Cambria" w:hAnsi="Cambria"/>
        </w:rPr>
        <w:t xml:space="preserve">people to avoid </w:t>
      </w:r>
      <w:r w:rsidR="000877F2" w:rsidRPr="00552D93">
        <w:rPr>
          <w:rFonts w:ascii="Cambria" w:hAnsi="Cambria"/>
        </w:rPr>
        <w:t xml:space="preserve">reaching </w:t>
      </w:r>
      <w:r w:rsidR="002F6E16" w:rsidRPr="00552D93">
        <w:rPr>
          <w:rFonts w:ascii="Cambria" w:hAnsi="Cambria"/>
        </w:rPr>
        <w:t xml:space="preserve">their tipping point may </w:t>
      </w:r>
      <w:r w:rsidR="00EC0888" w:rsidRPr="00552D93">
        <w:rPr>
          <w:rFonts w:ascii="Cambria" w:hAnsi="Cambria"/>
        </w:rPr>
        <w:t>be a useful intervention point alongside better communication of low risk</w:t>
      </w:r>
      <w:r w:rsidR="00767146" w:rsidRPr="00552D93">
        <w:rPr>
          <w:rFonts w:ascii="Cambria" w:hAnsi="Cambria"/>
        </w:rPr>
        <w:t xml:space="preserve"> drinking guidelines</w:t>
      </w:r>
      <w:r w:rsidR="002F6E16" w:rsidRPr="00552D93">
        <w:rPr>
          <w:rFonts w:ascii="Cambria" w:hAnsi="Cambria"/>
        </w:rPr>
        <w:t>.</w:t>
      </w:r>
    </w:p>
    <w:p w14:paraId="2CD4937C" w14:textId="361202E3" w:rsidR="00AA49E1" w:rsidRPr="00552D93" w:rsidRDefault="00AA49E1" w:rsidP="00E325E5">
      <w:pPr>
        <w:spacing w:before="100" w:beforeAutospacing="1" w:after="100" w:afterAutospacing="1" w:line="480" w:lineRule="auto"/>
        <w:jc w:val="center"/>
        <w:rPr>
          <w:rFonts w:ascii="Cambria" w:hAnsi="Cambria"/>
          <w:b/>
        </w:rPr>
      </w:pPr>
      <w:r w:rsidRPr="00552D93">
        <w:rPr>
          <w:rFonts w:ascii="Cambria" w:hAnsi="Cambria"/>
          <w:b/>
        </w:rPr>
        <w:br w:type="page"/>
      </w:r>
      <w:r w:rsidR="003205E2" w:rsidRPr="00552D93">
        <w:rPr>
          <w:rFonts w:ascii="Cambria" w:hAnsi="Cambria"/>
          <w:b/>
        </w:rPr>
        <w:lastRenderedPageBreak/>
        <w:t>Drinking to excess and the tipping point:</w:t>
      </w:r>
      <w:r w:rsidR="00297275" w:rsidRPr="00552D93">
        <w:rPr>
          <w:rFonts w:ascii="Cambria" w:hAnsi="Cambria"/>
          <w:b/>
        </w:rPr>
        <w:t xml:space="preserve"> </w:t>
      </w:r>
      <w:r w:rsidR="003205E2" w:rsidRPr="00552D93">
        <w:rPr>
          <w:rFonts w:ascii="Cambria" w:hAnsi="Cambria"/>
          <w:b/>
        </w:rPr>
        <w:t xml:space="preserve">An international study of alcohol intoxication in </w:t>
      </w:r>
      <w:r w:rsidR="008D766D" w:rsidRPr="00552D93">
        <w:rPr>
          <w:rFonts w:ascii="Cambria" w:hAnsi="Cambria"/>
          <w:b/>
        </w:rPr>
        <w:t>61,000</w:t>
      </w:r>
      <w:r w:rsidR="003205E2" w:rsidRPr="00552D93">
        <w:rPr>
          <w:rFonts w:ascii="Cambria" w:hAnsi="Cambria"/>
          <w:b/>
        </w:rPr>
        <w:t xml:space="preserve"> </w:t>
      </w:r>
      <w:r w:rsidR="000877F2" w:rsidRPr="00552D93">
        <w:rPr>
          <w:rFonts w:ascii="Cambria" w:hAnsi="Cambria"/>
          <w:b/>
        </w:rPr>
        <w:t>people</w:t>
      </w:r>
    </w:p>
    <w:p w14:paraId="722AC194" w14:textId="77777777" w:rsidR="00AA49E1" w:rsidRPr="00552D93" w:rsidRDefault="00AA49E1" w:rsidP="00AA49E1">
      <w:pPr>
        <w:spacing w:before="100" w:beforeAutospacing="1" w:after="100" w:afterAutospacing="1" w:line="480" w:lineRule="auto"/>
        <w:rPr>
          <w:rFonts w:ascii="Cambria" w:hAnsi="Cambria"/>
          <w:b/>
        </w:rPr>
      </w:pPr>
      <w:r w:rsidRPr="00552D93">
        <w:rPr>
          <w:rFonts w:ascii="Cambria" w:hAnsi="Cambria"/>
          <w:b/>
        </w:rPr>
        <w:t>INTRODUCTION</w:t>
      </w:r>
    </w:p>
    <w:p w14:paraId="12D84433" w14:textId="4C9CD7CA" w:rsidR="00D96710" w:rsidRPr="00552D93" w:rsidRDefault="00D96710" w:rsidP="00D96710">
      <w:pPr>
        <w:spacing w:before="100" w:beforeAutospacing="1" w:after="100" w:afterAutospacing="1" w:line="480" w:lineRule="auto"/>
        <w:rPr>
          <w:rFonts w:ascii="Cambria" w:eastAsia="Times New Roman" w:hAnsi="Cambria" w:cs="Times New Roman"/>
          <w:bCs/>
          <w:lang w:eastAsia="en-GB"/>
        </w:rPr>
      </w:pPr>
      <w:r w:rsidRPr="00552D93">
        <w:rPr>
          <w:rFonts w:ascii="Cambria" w:hAnsi="Cambria"/>
        </w:rPr>
        <w:t xml:space="preserve">In 2016, alcohol consumption contributed to 2.8 million deaths worldwide </w:t>
      </w:r>
      <w:r w:rsidRPr="00552D93">
        <w:rPr>
          <w:rFonts w:ascii="Cambria" w:hAnsi="Cambria"/>
        </w:rPr>
        <w:fldChar w:fldCharType="begin"/>
      </w:r>
      <w:r w:rsidR="001530C8" w:rsidRPr="00552D93">
        <w:rPr>
          <w:rFonts w:ascii="Cambria" w:hAnsi="Cambria"/>
        </w:rPr>
        <w:instrText xml:space="preserve"> ADDIN EN.CITE &lt;EndNote&gt;&lt;Cite&gt;&lt;Author&gt;GBD 2016 Alcohol Collaborators&lt;/Author&gt;&lt;Year&gt;2018&lt;/Year&gt;&lt;RecNum&gt;4608&lt;/RecNum&gt;&lt;DisplayText&gt;(GBD 2016 Alcohol Collaborators, 2018)&lt;/DisplayText&gt;&lt;record&gt;&lt;rec-number&gt;4608&lt;/rec-number&gt;&lt;foreign-keys&gt;&lt;key app="EN" db-id="te5rs0t0nprf99ep09vxza050r9t99faf9td" timestamp="1542191009"&gt;4608&lt;/key&gt;&lt;/foreign-keys&gt;&lt;ref-type name="Journal Article"&gt;17&lt;/ref-type&gt;&lt;contributors&gt;&lt;authors&gt;&lt;author&gt;GBD 2016 Alcohol Collaborators,&lt;/author&gt;&lt;/authors&gt;&lt;/contributors&gt;&lt;titles&gt;&lt;title&gt;Alcohol use and burden for 195 countries and territories, 1990- 2016: a systematic analysis for the Global Burden of Disease Study 2016&lt;/title&gt;&lt;secondary-title&gt;The Lancet&lt;/secondary-title&gt;&lt;/titles&gt;&lt;periodical&gt;&lt;full-title&gt;The Lancet&lt;/full-title&gt;&lt;/periodical&gt;&lt;pages&gt;1015-1035&lt;/pages&gt;&lt;volume&gt;392&lt;/volume&gt;&lt;number&gt;10152&lt;/number&gt;&lt;dates&gt;&lt;year&gt;2018&lt;/year&gt;&lt;/dates&gt;&lt;publisher&gt;Elsevier&lt;/publisher&gt;&lt;isbn&gt;0140-6736&lt;/isbn&gt;&lt;urls&gt;&lt;related-urls&gt;&lt;url&gt;https://doi.org/10.1016/S0140-6736(18)31310-2&lt;/url&gt;&lt;/related-urls&gt;&lt;/urls&gt;&lt;electronic-resource-num&gt;10.1016/S0140-6736(18)31310-2&lt;/electronic-resource-num&gt;&lt;access-date&gt;2018/10/08&lt;/access-date&gt;&lt;/record&gt;&lt;/Cite&gt;&lt;/EndNote&gt;</w:instrText>
      </w:r>
      <w:r w:rsidRPr="00552D93">
        <w:rPr>
          <w:rFonts w:ascii="Cambria" w:hAnsi="Cambria"/>
        </w:rPr>
        <w:fldChar w:fldCharType="separate"/>
      </w:r>
      <w:r w:rsidR="003E489A" w:rsidRPr="00552D93">
        <w:rPr>
          <w:rFonts w:ascii="Cambria" w:hAnsi="Cambria"/>
          <w:noProof/>
        </w:rPr>
        <w:t>(GBD 2016 Alcohol Collaborators, 2018)</w:t>
      </w:r>
      <w:r w:rsidRPr="00552D93">
        <w:rPr>
          <w:rFonts w:ascii="Cambria" w:hAnsi="Cambria"/>
        </w:rPr>
        <w:fldChar w:fldCharType="end"/>
      </w:r>
      <w:r w:rsidRPr="00552D93">
        <w:rPr>
          <w:rFonts w:ascii="Cambria" w:hAnsi="Cambria"/>
        </w:rPr>
        <w:t xml:space="preserve"> and has been identified as a cause of seven types of cancer </w:t>
      </w:r>
      <w:r w:rsidRPr="00552D93">
        <w:rPr>
          <w:rFonts w:ascii="Cambria" w:hAnsi="Cambria"/>
        </w:rPr>
        <w:fldChar w:fldCharType="begin"/>
      </w:r>
      <w:r w:rsidR="001530C8" w:rsidRPr="00552D93">
        <w:rPr>
          <w:rFonts w:ascii="Cambria" w:hAnsi="Cambria"/>
        </w:rPr>
        <w:instrText xml:space="preserve"> ADDIN EN.CITE &lt;EndNote&gt;&lt;Cite&gt;&lt;Author&gt;Connor&lt;/Author&gt;&lt;Year&gt;2016&lt;/Year&gt;&lt;RecNum&gt;4613&lt;/RecNum&gt;&lt;DisplayText&gt;(Connor, 2016)&lt;/DisplayText&gt;&lt;record&gt;&lt;rec-number&gt;4613&lt;/rec-number&gt;&lt;foreign-keys&gt;&lt;key app="EN" db-id="te5rs0t0nprf99ep09vxza050r9t99faf9td" timestamp="1542191010"&gt;4613&lt;/key&gt;&lt;/foreign-keys&gt;&lt;ref-type name="Journal Article"&gt;17&lt;/ref-type&gt;&lt;contributors&gt;&lt;authors&gt;&lt;author&gt;Connor, Jennie&lt;/author&gt;&lt;/authors&gt;&lt;/contributors&gt;&lt;titles&gt;&lt;title&gt;Alcohol consumption as a cause of cancer&lt;/title&gt;&lt;secondary-title&gt;Addiction&lt;/secondary-title&gt;&lt;/titles&gt;&lt;periodical&gt;&lt;full-title&gt;Addiction&lt;/full-title&gt;&lt;abbr-1&gt;Addiction&lt;/abbr-1&gt;&lt;/periodical&gt;&lt;pages&gt;222-228&lt;/pages&gt;&lt;volume&gt;112&lt;/volume&gt;&lt;number&gt;2&lt;/number&gt;&lt;keywords&gt;&lt;keyword&gt;Alcohol&lt;/keyword&gt;&lt;keyword&gt;cancer&lt;/keyword&gt;&lt;keyword&gt;cardiovascular disease&lt;/keyword&gt;&lt;keyword&gt;causal inference&lt;/keyword&gt;&lt;keyword&gt;cohort studies&lt;/keyword&gt;&lt;keyword&gt;epidemiology&lt;/keyword&gt;&lt;keyword&gt;evidence-based policy&lt;/keyword&gt;&lt;/keywords&gt;&lt;dates&gt;&lt;year&gt;2016&lt;/year&gt;&lt;pub-dates&gt;&lt;date&gt;2017/02/01&lt;/date&gt;&lt;/pub-dates&gt;&lt;/dates&gt;&lt;publisher&gt;John Wiley &amp;amp; Sons, Ltd&lt;/publisher&gt;&lt;isbn&gt;0965-2140&lt;/isbn&gt;&lt;urls&gt;&lt;related-urls&gt;&lt;url&gt;https://doi.org/10.1111/add.13477&lt;/url&gt;&lt;/related-urls&gt;&lt;/urls&gt;&lt;electronic-resource-num&gt;10.1111/add.13477&lt;/electronic-resource-num&gt;&lt;access-date&gt;2018/11/09&lt;/access-date&gt;&lt;/record&gt;&lt;/Cite&gt;&lt;/EndNote&gt;</w:instrText>
      </w:r>
      <w:r w:rsidRPr="00552D93">
        <w:rPr>
          <w:rFonts w:ascii="Cambria" w:hAnsi="Cambria"/>
        </w:rPr>
        <w:fldChar w:fldCharType="separate"/>
      </w:r>
      <w:r w:rsidR="003E489A" w:rsidRPr="00552D93">
        <w:rPr>
          <w:rFonts w:ascii="Cambria" w:hAnsi="Cambria"/>
          <w:noProof/>
        </w:rPr>
        <w:t>(Connor, 2016)</w:t>
      </w:r>
      <w:r w:rsidRPr="00552D93">
        <w:rPr>
          <w:rFonts w:ascii="Cambria" w:hAnsi="Cambria"/>
        </w:rPr>
        <w:fldChar w:fldCharType="end"/>
      </w:r>
      <w:r w:rsidRPr="00552D93">
        <w:rPr>
          <w:rFonts w:ascii="Cambria" w:hAnsi="Cambria"/>
        </w:rPr>
        <w:t>.</w:t>
      </w:r>
      <w:r w:rsidR="00297275" w:rsidRPr="00552D93">
        <w:rPr>
          <w:rFonts w:ascii="Cambria" w:hAnsi="Cambria"/>
        </w:rPr>
        <w:t xml:space="preserve"> </w:t>
      </w:r>
      <w:r w:rsidRPr="00552D93">
        <w:rPr>
          <w:rFonts w:ascii="Cambria" w:eastAsia="Times New Roman" w:hAnsi="Cambria" w:cs="Times New Roman"/>
          <w:bCs/>
          <w:lang w:eastAsia="en-GB"/>
        </w:rPr>
        <w:t xml:space="preserve">Levels of alcohol consumption are increasing </w:t>
      </w:r>
      <w:r w:rsidR="00E03EAE" w:rsidRPr="00552D93">
        <w:rPr>
          <w:rFonts w:ascii="Cambria" w:eastAsia="Times New Roman" w:hAnsi="Cambria" w:cs="Times New Roman"/>
          <w:bCs/>
          <w:lang w:eastAsia="en-GB"/>
        </w:rPr>
        <w:t>across the world</w:t>
      </w:r>
      <w:r w:rsidRPr="00552D93">
        <w:rPr>
          <w:rFonts w:ascii="Cambria" w:eastAsia="Times New Roman" w:hAnsi="Cambria" w:cs="Times New Roman"/>
          <w:bCs/>
          <w:lang w:eastAsia="en-GB"/>
        </w:rPr>
        <w:t xml:space="preserve">, with this trend being driven by rises in South-East Asia and Western Pacific counties </w:t>
      </w:r>
      <w:r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&lt;EndNote&gt;&lt;Cite&gt;&lt;Author&gt;WHO&lt;/Author&gt;&lt;Year&gt;2018&lt;/Year&gt;&lt;RecNum&gt;4705&lt;/RecNum&gt;&lt;DisplayText&gt;(WHO, 2018)&lt;/DisplayText&gt;&lt;record&gt;&lt;rec-number&gt;4705&lt;/rec-number&gt;&lt;foreign-keys&gt;&lt;key app="EN" db-id="te5rs0t0nprf99ep09vxza050r9t99faf9td" timestamp="1553083120"&gt;4705&lt;/key&gt;&lt;/foreign-keys&gt;&lt;ref-type name="Report"&gt;27&lt;/ref-type&gt;&lt;contributors&gt;&lt;authors&gt;&lt;author&gt;WHO&lt;/author&gt;&lt;/authors&gt;&lt;/contributors&gt;&lt;titles&gt;&lt;title&gt;Global status report on alcohol and health 2018&lt;/title&gt;&lt;/titles&gt;&lt;dates&gt;&lt;year&gt;2018&lt;/year&gt;&lt;/dates&gt;&lt;pub-location&gt;Geneva&lt;/pub-location&gt;&lt;publisher&gt;World Health Organisation&lt;/publisher&gt;&lt;urls&gt;&lt;/urls&gt;&lt;electronic-resource-num&gt;https://www.who.int/substance_abuse/publications/global_alcohol_report/gsr_2018/en/&lt;/electronic-resource-num&gt;&lt;/record&gt;&lt;/Cite&gt;&lt;/EndNote&gt;</w:instrText>
      </w:r>
      <w:r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(WHO, 2018)</w:t>
      </w:r>
      <w:r w:rsidRPr="00552D93">
        <w:rPr>
          <w:rFonts w:ascii="Cambria" w:eastAsia="Times New Roman" w:hAnsi="Cambria" w:cs="Times New Roman"/>
          <w:bCs/>
          <w:lang w:eastAsia="en-GB"/>
        </w:rPr>
        <w:fldChar w:fldCharType="end"/>
      </w:r>
      <w:r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r w:rsidRPr="00552D93">
        <w:rPr>
          <w:rFonts w:ascii="Cambria" w:eastAsia="Times New Roman" w:hAnsi="Cambria" w:cs="Times New Roman"/>
          <w:bCs/>
          <w:lang w:eastAsia="en-GB"/>
        </w:rPr>
        <w:t>Such a rise will lead to an increase in the burden of alcohol related harms</w:t>
      </w:r>
      <w:r w:rsidR="00E03EAE" w:rsidRPr="00552D93">
        <w:rPr>
          <w:rFonts w:ascii="Cambria" w:eastAsia="Times New Roman" w:hAnsi="Cambria" w:cs="Times New Roman"/>
          <w:bCs/>
          <w:lang w:eastAsia="en-GB"/>
        </w:rPr>
        <w:t xml:space="preserve">, </w:t>
      </w:r>
      <w:r w:rsidRPr="00552D93">
        <w:rPr>
          <w:rFonts w:ascii="Cambria" w:eastAsia="Times New Roman" w:hAnsi="Cambria" w:cs="Times New Roman"/>
          <w:bCs/>
          <w:lang w:eastAsia="en-GB"/>
        </w:rPr>
        <w:t xml:space="preserve">with liver disease a particular concern in lower resource countries </w:t>
      </w:r>
      <w:r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&lt;EndNote&gt;&lt;Cite&gt;&lt;Author&gt;Mehta&lt;/Author&gt;&lt;Year&gt;2019&lt;/Year&gt;&lt;RecNum&gt;4704&lt;/RecNum&gt;&lt;DisplayText&gt;(Mehta &amp;amp; Sheron, 2019)&lt;/DisplayText&gt;&lt;record&gt;&lt;rec-number&gt;4704&lt;/rec-number&gt;&lt;foreign-keys&gt;&lt;key app="EN" db-id="te5rs0t0nprf99ep09vxza050r9t99faf9td" timestamp="1553083120"&gt;4704&lt;/key&gt;&lt;/foreign-keys&gt;&lt;ref-type name="Journal Article"&gt;17&lt;/ref-type&gt;&lt;contributors&gt;&lt;authors&gt;&lt;author&gt;Mehta, Gautam&lt;/author&gt;&lt;author&gt;Sheron, Nick&lt;/author&gt;&lt;/authors&gt;&lt;/contributors&gt;&lt;titles&gt;&lt;title&gt;No safe level of alcohol consumption &amp;amp;#x2013; Implications for global health&lt;/title&gt;&lt;secondary-title&gt;Journal of Hepatology&lt;/secondary-title&gt;&lt;/titles&gt;&lt;periodical&gt;&lt;full-title&gt;Journal of Hepatology&lt;/full-title&gt;&lt;/periodical&gt;&lt;dates&gt;&lt;year&gt;2019&lt;/year&gt;&lt;/dates&gt;&lt;publisher&gt;Elsevier&lt;/publisher&gt;&lt;isbn&gt;0168-8278&lt;/isbn&gt;&lt;urls&gt;&lt;related-urls&gt;&lt;url&gt;https://doi.org/10.1016/j.jhep.2018.12.021&lt;/url&gt;&lt;/related-urls&gt;&lt;/urls&gt;&lt;electronic-resource-num&gt;10.1016/j.jhep.2018.12.021&lt;/electronic-resource-num&gt;&lt;access-date&gt;2019/03/07&lt;/access-date&gt;&lt;/record&gt;&lt;/Cite&gt;&lt;/EndNote&gt;</w:instrText>
      </w:r>
      <w:r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(Mehta &amp; Sheron, 2019)</w:t>
      </w:r>
      <w:r w:rsidRPr="00552D93">
        <w:rPr>
          <w:rFonts w:ascii="Cambria" w:eastAsia="Times New Roman" w:hAnsi="Cambria" w:cs="Times New Roman"/>
          <w:bCs/>
          <w:lang w:eastAsia="en-GB"/>
        </w:rPr>
        <w:fldChar w:fldCharType="end"/>
      </w:r>
      <w:r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r w:rsidR="00A055CE" w:rsidRPr="00552D93">
        <w:rPr>
          <w:rFonts w:ascii="Cambria" w:eastAsia="Times New Roman" w:hAnsi="Cambria" w:cs="Times New Roman"/>
          <w:bCs/>
          <w:lang w:eastAsia="en-GB"/>
        </w:rPr>
        <w:t>Excessive alcohol consumption</w:t>
      </w:r>
      <w:r w:rsidR="00D741D0" w:rsidRPr="00552D93">
        <w:rPr>
          <w:rFonts w:ascii="Cambria" w:eastAsia="Times New Roman" w:hAnsi="Cambria" w:cs="Times New Roman"/>
          <w:bCs/>
          <w:lang w:eastAsia="en-GB"/>
        </w:rPr>
        <w:t xml:space="preserve"> </w:t>
      </w:r>
      <w:r w:rsidR="00E03EAE" w:rsidRPr="00552D93">
        <w:rPr>
          <w:rFonts w:ascii="Cambria" w:eastAsia="Times New Roman" w:hAnsi="Cambria" w:cs="Times New Roman"/>
          <w:bCs/>
          <w:lang w:eastAsia="en-GB"/>
        </w:rPr>
        <w:t xml:space="preserve">also </w:t>
      </w:r>
      <w:r w:rsidR="00D741D0" w:rsidRPr="00552D93">
        <w:rPr>
          <w:rFonts w:ascii="Cambria" w:eastAsia="Times New Roman" w:hAnsi="Cambria" w:cs="Times New Roman"/>
          <w:bCs/>
          <w:lang w:eastAsia="en-GB"/>
        </w:rPr>
        <w:t xml:space="preserve">impacts people </w:t>
      </w:r>
      <w:r w:rsidR="005E309A" w:rsidRPr="00552D93">
        <w:rPr>
          <w:rFonts w:ascii="Cambria" w:eastAsia="Times New Roman" w:hAnsi="Cambria" w:cs="Times New Roman"/>
          <w:bCs/>
          <w:lang w:eastAsia="en-GB"/>
        </w:rPr>
        <w:t>who are close to that person</w:t>
      </w:r>
      <w:r w:rsidR="00D741D0" w:rsidRPr="00552D93">
        <w:rPr>
          <w:rFonts w:ascii="Cambria" w:eastAsia="Times New Roman" w:hAnsi="Cambria" w:cs="Times New Roman"/>
          <w:bCs/>
          <w:lang w:eastAsia="en-GB"/>
        </w:rPr>
        <w:t xml:space="preserve">, </w:t>
      </w:r>
      <w:r w:rsidR="000877F2" w:rsidRPr="00552D93">
        <w:rPr>
          <w:rFonts w:ascii="Cambria" w:eastAsia="Times New Roman" w:hAnsi="Cambria" w:cs="Times New Roman"/>
          <w:bCs/>
          <w:lang w:eastAsia="en-GB"/>
        </w:rPr>
        <w:t>increasing the likelihood of experiencing stress,</w:t>
      </w:r>
      <w:r w:rsidR="00D741D0" w:rsidRPr="00552D93">
        <w:rPr>
          <w:rFonts w:ascii="Cambria" w:eastAsia="Times New Roman" w:hAnsi="Cambria" w:cs="Times New Roman"/>
          <w:bCs/>
          <w:lang w:eastAsia="en-GB"/>
        </w:rPr>
        <w:t xml:space="preserve"> </w:t>
      </w:r>
      <w:r w:rsidR="005E309A" w:rsidRPr="00552D93">
        <w:rPr>
          <w:rFonts w:ascii="Cambria" w:eastAsia="Times New Roman" w:hAnsi="Cambria" w:cs="Times New Roman"/>
          <w:bCs/>
          <w:lang w:eastAsia="en-GB"/>
        </w:rPr>
        <w:t xml:space="preserve">sexual </w:t>
      </w:r>
      <w:r w:rsidR="00D741D0" w:rsidRPr="00552D93">
        <w:rPr>
          <w:rFonts w:ascii="Cambria" w:eastAsia="Times New Roman" w:hAnsi="Cambria" w:cs="Times New Roman"/>
          <w:bCs/>
          <w:lang w:eastAsia="en-GB"/>
        </w:rPr>
        <w:t xml:space="preserve">abuse and violence </w:t>
      </w:r>
      <w:r w:rsidR="00D741D0" w:rsidRPr="00552D93">
        <w:rPr>
          <w:rFonts w:ascii="Cambria" w:eastAsia="Times New Roman" w:hAnsi="Cambria" w:cs="Times New Roman"/>
          <w:bCs/>
          <w:lang w:eastAsia="en-GB"/>
        </w:rPr>
        <w:fldChar w:fldCharType="begin">
          <w:fldData xml:space="preserve">PEVuZE5vdGU+PENpdGU+PEF1dGhvcj5MYXNsZXR0PC9BdXRob3I+PFllYXI+MjAxMDwvWWVhcj48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</w:fldData>
        </w:fldChar>
      </w:r>
      <w:r w:rsidR="006177B8" w:rsidRPr="00552D93">
        <w:rPr>
          <w:rFonts w:ascii="Cambria" w:eastAsia="Times New Roman" w:hAnsi="Cambria" w:cs="Times New Roman"/>
          <w:bCs/>
          <w:lang w:eastAsia="en-GB"/>
        </w:rPr>
        <w:instrText xml:space="preserve"> ADDIN EN.CITE </w:instrText>
      </w:r>
      <w:r w:rsidR="006177B8" w:rsidRPr="00552D93">
        <w:rPr>
          <w:rFonts w:ascii="Cambria" w:eastAsia="Times New Roman" w:hAnsi="Cambria" w:cs="Times New Roman"/>
          <w:bCs/>
          <w:lang w:eastAsia="en-GB"/>
        </w:rPr>
        <w:fldChar w:fldCharType="begin">
          <w:fldData xml:space="preserve">PEVuZE5vdGU+PENpdGU+PEF1dGhvcj5MYXNsZXR0PC9BdXRob3I+PFllYXI+MjAxMDwvWWVhcj48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</w:fldData>
        </w:fldChar>
      </w:r>
      <w:r w:rsidR="006177B8" w:rsidRPr="00552D93">
        <w:rPr>
          <w:rFonts w:ascii="Cambria" w:eastAsia="Times New Roman" w:hAnsi="Cambria" w:cs="Times New Roman"/>
          <w:bCs/>
          <w:lang w:eastAsia="en-GB"/>
        </w:rPr>
        <w:instrText xml:space="preserve"> ADDIN EN.CITE.DATA </w:instrText>
      </w:r>
      <w:r w:rsidR="006177B8" w:rsidRPr="00552D93">
        <w:rPr>
          <w:rFonts w:ascii="Cambria" w:eastAsia="Times New Roman" w:hAnsi="Cambria" w:cs="Times New Roman"/>
          <w:bCs/>
          <w:lang w:eastAsia="en-GB"/>
        </w:rPr>
      </w:r>
      <w:r w:rsidR="006177B8" w:rsidRPr="00552D93">
        <w:rPr>
          <w:rFonts w:ascii="Cambria" w:eastAsia="Times New Roman" w:hAnsi="Cambria" w:cs="Times New Roman"/>
          <w:bCs/>
          <w:lang w:eastAsia="en-GB"/>
        </w:rPr>
        <w:fldChar w:fldCharType="end"/>
      </w:r>
      <w:r w:rsidR="00D741D0" w:rsidRPr="00552D93">
        <w:rPr>
          <w:rFonts w:ascii="Cambria" w:eastAsia="Times New Roman" w:hAnsi="Cambria" w:cs="Times New Roman"/>
          <w:bCs/>
          <w:lang w:eastAsia="en-GB"/>
        </w:rPr>
      </w:r>
      <w:r w:rsidR="00D741D0" w:rsidRPr="00552D93">
        <w:rPr>
          <w:rFonts w:ascii="Cambria" w:eastAsia="Times New Roman" w:hAnsi="Cambria" w:cs="Times New Roman"/>
          <w:bCs/>
          <w:lang w:eastAsia="en-GB"/>
        </w:rPr>
        <w:fldChar w:fldCharType="separate"/>
      </w:r>
      <w:r w:rsidR="006177B8" w:rsidRPr="00552D93">
        <w:rPr>
          <w:rFonts w:ascii="Cambria" w:eastAsia="Times New Roman" w:hAnsi="Cambria" w:cs="Times New Roman"/>
          <w:bCs/>
          <w:noProof/>
          <w:lang w:eastAsia="en-GB"/>
        </w:rPr>
        <w:t>(e.g. Enser, Appleton, &amp; Foxcroft, 2017; Ferris, Devaney, Davis, &amp; Mazerolle, 2016; Laslett et al., 2010)</w:t>
      </w:r>
      <w:r w:rsidR="00D741D0" w:rsidRPr="00552D93">
        <w:rPr>
          <w:rFonts w:ascii="Cambria" w:eastAsia="Times New Roman" w:hAnsi="Cambria" w:cs="Times New Roman"/>
          <w:bCs/>
          <w:lang w:eastAsia="en-GB"/>
        </w:rPr>
        <w:fldChar w:fldCharType="end"/>
      </w:r>
      <w:r w:rsidR="00D741D0" w:rsidRPr="00552D93">
        <w:rPr>
          <w:rFonts w:ascii="Cambria" w:eastAsia="Times New Roman" w:hAnsi="Cambria" w:cs="Times New Roman"/>
          <w:bCs/>
          <w:lang w:eastAsia="en-GB"/>
        </w:rPr>
        <w:t xml:space="preserve"> as well as placing a considerable economic burden on societies </w:t>
      </w:r>
      <w:r w:rsidR="00364E81"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&lt;EndNote&gt;&lt;Cite&gt;&lt;Author&gt;WHO&lt;/Author&gt;&lt;Year&gt;2018&lt;/Year&gt;&lt;RecNum&gt;4705&lt;/RecNum&gt;&lt;DisplayText&gt;(WHO, 2018)&lt;/DisplayText&gt;&lt;record&gt;&lt;rec-number&gt;4705&lt;/rec-number&gt;&lt;foreign-keys&gt;&lt;key app="EN" db-id="te5rs0t0nprf99ep09vxza050r9t99faf9td" timestamp="1553083120"&gt;4705&lt;/key&gt;&lt;/foreign-keys&gt;&lt;ref-type name="Report"&gt;27&lt;/ref-type&gt;&lt;contributors&gt;&lt;authors&gt;&lt;author&gt;WHO&lt;/author&gt;&lt;/authors&gt;&lt;/contributors&gt;&lt;titles&gt;&lt;title&gt;Global status report on alcohol and health 2018&lt;/title&gt;&lt;/titles&gt;&lt;dates&gt;&lt;year&gt;2018&lt;/year&gt;&lt;/dates&gt;&lt;pub-location&gt;Geneva&lt;/pub-location&gt;&lt;publisher&gt;World Health Organisation&lt;/publisher&gt;&lt;urls&gt;&lt;/urls&gt;&lt;electronic-resource-num&gt;https://www.who.int/substance_abuse/publications/global_alcohol_report/gsr_2018/en/&lt;/electronic-resource-num&gt;&lt;/record&gt;&lt;/Cite&gt;&lt;/EndNote&gt;</w:instrText>
      </w:r>
      <w:r w:rsidR="00364E81"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(WHO, 2018)</w:t>
      </w:r>
      <w:r w:rsidR="00364E81" w:rsidRPr="00552D93">
        <w:rPr>
          <w:rFonts w:ascii="Cambria" w:eastAsia="Times New Roman" w:hAnsi="Cambria" w:cs="Times New Roman"/>
          <w:bCs/>
          <w:lang w:eastAsia="en-GB"/>
        </w:rPr>
        <w:fldChar w:fldCharType="end"/>
      </w:r>
      <w:r w:rsidR="00364E81"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p>
    <w:p w14:paraId="53F4FE04" w14:textId="08ECD5B4" w:rsidR="00EB4E2B" w:rsidRPr="00552D93" w:rsidRDefault="00C05707" w:rsidP="000D756E">
      <w:pPr>
        <w:spacing w:before="100" w:beforeAutospacing="1" w:after="100" w:afterAutospacing="1" w:line="480" w:lineRule="auto"/>
        <w:rPr>
          <w:rFonts w:ascii="Cambria" w:hAnsi="Cambria"/>
        </w:rPr>
      </w:pPr>
      <w:r w:rsidRPr="00552D93">
        <w:rPr>
          <w:rFonts w:ascii="Cambria" w:hAnsi="Cambria"/>
        </w:rPr>
        <w:t xml:space="preserve">To guide both consumers and health professionals to help reduce excessive consumption, </w:t>
      </w:r>
      <w:r w:rsidR="000D756E" w:rsidRPr="00552D93">
        <w:rPr>
          <w:rFonts w:ascii="Cambria" w:hAnsi="Cambria"/>
        </w:rPr>
        <w:t xml:space="preserve">many countries </w:t>
      </w:r>
      <w:r w:rsidRPr="00552D93">
        <w:rPr>
          <w:rFonts w:ascii="Cambria" w:hAnsi="Cambria"/>
        </w:rPr>
        <w:t>have developed low risk drinking guidelines.</w:t>
      </w:r>
      <w:r w:rsidR="00297275" w:rsidRPr="00552D93">
        <w:rPr>
          <w:rFonts w:ascii="Cambria" w:hAnsi="Cambria"/>
        </w:rPr>
        <w:t xml:space="preserve"> </w:t>
      </w:r>
      <w:r w:rsidRPr="00552D93">
        <w:rPr>
          <w:rFonts w:ascii="Cambria" w:hAnsi="Cambria"/>
        </w:rPr>
        <w:t>In addition to variations in the number of grams per standard drink or unit, these guidelines also vary in their precise limits</w:t>
      </w:r>
      <w:r w:rsidR="00313EF7" w:rsidRPr="00552D93">
        <w:rPr>
          <w:rFonts w:ascii="Cambria" w:hAnsi="Cambria"/>
        </w:rPr>
        <w:t xml:space="preserve"> </w:t>
      </w:r>
      <w:r w:rsidR="00313EF7" w:rsidRPr="00552D93">
        <w:rPr>
          <w:rFonts w:ascii="Cambria" w:hAnsi="Cambria"/>
        </w:rPr>
        <w:fldChar w:fldCharType="begin">
          <w:fldData xml:space="preserve">PEVuZE5vdGU+PENpdGU+PEF1dGhvcj5GdXJ0d2FlbmdsZXI8L0F1dGhvcj48WWVhcj4yMDEzPC9Z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</w:fldData>
        </w:fldChar>
      </w:r>
      <w:r w:rsidR="001530C8" w:rsidRPr="00552D93">
        <w:rPr>
          <w:rFonts w:ascii="Cambria" w:hAnsi="Cambria"/>
        </w:rPr>
        <w:instrText xml:space="preserve"> ADDIN EN.CITE </w:instrText>
      </w:r>
      <w:r w:rsidR="001530C8" w:rsidRPr="00552D93">
        <w:rPr>
          <w:rFonts w:ascii="Cambria" w:hAnsi="Cambria"/>
        </w:rPr>
        <w:fldChar w:fldCharType="begin">
          <w:fldData xml:space="preserve">PEVuZE5vdGU+PENpdGU+PEF1dGhvcj5GdXJ0d2FlbmdsZXI8L0F1dGhvcj48WWVhcj4yMDEzPC9Z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</w:fldData>
        </w:fldChar>
      </w:r>
      <w:r w:rsidR="001530C8" w:rsidRPr="00552D93">
        <w:rPr>
          <w:rFonts w:ascii="Cambria" w:hAnsi="Cambria"/>
        </w:rPr>
        <w:instrText xml:space="preserve"> ADDIN EN.CITE.DATA </w:instrText>
      </w:r>
      <w:r w:rsidR="001530C8" w:rsidRPr="00552D93">
        <w:rPr>
          <w:rFonts w:ascii="Cambria" w:hAnsi="Cambria"/>
        </w:rPr>
      </w:r>
      <w:r w:rsidR="001530C8" w:rsidRPr="00552D93">
        <w:rPr>
          <w:rFonts w:ascii="Cambria" w:hAnsi="Cambria"/>
        </w:rPr>
        <w:fldChar w:fldCharType="end"/>
      </w:r>
      <w:r w:rsidR="00313EF7" w:rsidRPr="00552D93">
        <w:rPr>
          <w:rFonts w:ascii="Cambria" w:hAnsi="Cambria"/>
        </w:rPr>
      </w:r>
      <w:r w:rsidR="00313EF7" w:rsidRPr="00552D93">
        <w:rPr>
          <w:rFonts w:ascii="Cambria" w:hAnsi="Cambria"/>
        </w:rPr>
        <w:fldChar w:fldCharType="separate"/>
      </w:r>
      <w:r w:rsidR="003E489A" w:rsidRPr="00552D93">
        <w:rPr>
          <w:rFonts w:ascii="Cambria" w:hAnsi="Cambria"/>
          <w:noProof/>
        </w:rPr>
        <w:t>(Furtwaengler &amp; de Visser, 2013; Kalinowski &amp; Humphreys, 2016)</w:t>
      </w:r>
      <w:r w:rsidR="00313EF7" w:rsidRPr="00552D93">
        <w:rPr>
          <w:rFonts w:ascii="Cambria" w:hAnsi="Cambria"/>
        </w:rPr>
        <w:fldChar w:fldCharType="end"/>
      </w:r>
      <w:r w:rsidRPr="00552D93">
        <w:rPr>
          <w:rFonts w:ascii="Cambria" w:hAnsi="Cambria"/>
        </w:rPr>
        <w:t>. However</w:t>
      </w:r>
      <w:r w:rsidR="00313EF7" w:rsidRPr="00552D93">
        <w:rPr>
          <w:rFonts w:ascii="Cambria" w:hAnsi="Cambria"/>
        </w:rPr>
        <w:t>,</w:t>
      </w:r>
      <w:r w:rsidRPr="00552D93">
        <w:rPr>
          <w:rFonts w:ascii="Cambria" w:hAnsi="Cambria"/>
        </w:rPr>
        <w:t xml:space="preserve"> common themes include </w:t>
      </w:r>
      <w:r w:rsidR="00EE5617" w:rsidRPr="00552D93">
        <w:rPr>
          <w:rFonts w:ascii="Cambria" w:hAnsi="Cambria"/>
        </w:rPr>
        <w:t>advice on daily and</w:t>
      </w:r>
      <w:r w:rsidRPr="00552D93">
        <w:rPr>
          <w:rFonts w:ascii="Cambria" w:hAnsi="Cambria"/>
        </w:rPr>
        <w:t xml:space="preserve"> on total weekly consumption and non-drinking days</w:t>
      </w:r>
      <w:r w:rsidR="00313EF7" w:rsidRPr="00552D93">
        <w:rPr>
          <w:rFonts w:ascii="Cambria" w:hAnsi="Cambria"/>
        </w:rPr>
        <w:t>.</w:t>
      </w:r>
      <w:r w:rsidR="00297275" w:rsidRPr="00552D93">
        <w:rPr>
          <w:rFonts w:ascii="Cambria" w:hAnsi="Cambria"/>
        </w:rPr>
        <w:t xml:space="preserve"> </w:t>
      </w:r>
      <w:r w:rsidR="00313EF7" w:rsidRPr="00552D93">
        <w:rPr>
          <w:rFonts w:ascii="Cambria" w:hAnsi="Cambria"/>
        </w:rPr>
        <w:t xml:space="preserve">Some countries have </w:t>
      </w:r>
      <w:r w:rsidR="00EE5617" w:rsidRPr="00552D93">
        <w:rPr>
          <w:rFonts w:ascii="Cambria" w:hAnsi="Cambria"/>
        </w:rPr>
        <w:t xml:space="preserve">proposed </w:t>
      </w:r>
      <w:r w:rsidR="00313EF7" w:rsidRPr="00552D93">
        <w:rPr>
          <w:rFonts w:ascii="Cambria" w:hAnsi="Cambria"/>
        </w:rPr>
        <w:t>different advice</w:t>
      </w:r>
      <w:r w:rsidR="00764AAF" w:rsidRPr="00552D93">
        <w:rPr>
          <w:rFonts w:ascii="Cambria" w:hAnsi="Cambria"/>
        </w:rPr>
        <w:t xml:space="preserve"> for men and women, </w:t>
      </w:r>
      <w:r w:rsidR="00FF7C34" w:rsidRPr="00552D93">
        <w:rPr>
          <w:rFonts w:ascii="Cambria" w:hAnsi="Cambria"/>
        </w:rPr>
        <w:t xml:space="preserve">while </w:t>
      </w:r>
      <w:r w:rsidR="00993589" w:rsidRPr="00552D93">
        <w:rPr>
          <w:rFonts w:ascii="Cambria" w:hAnsi="Cambria"/>
        </w:rPr>
        <w:t>other</w:t>
      </w:r>
      <w:r w:rsidR="00EE5617" w:rsidRPr="00552D93">
        <w:rPr>
          <w:rFonts w:ascii="Cambria" w:hAnsi="Cambria"/>
        </w:rPr>
        <w:t>s have not</w:t>
      </w:r>
      <w:r w:rsidR="005447F3" w:rsidRPr="00552D93">
        <w:rPr>
          <w:rFonts w:ascii="Cambria" w:hAnsi="Cambria"/>
        </w:rPr>
        <w:t>;</w:t>
      </w:r>
      <w:r w:rsidR="00297275" w:rsidRPr="00552D93">
        <w:rPr>
          <w:rFonts w:ascii="Cambria" w:hAnsi="Cambria"/>
        </w:rPr>
        <w:t xml:space="preserve"> </w:t>
      </w:r>
      <w:r w:rsidR="00764AAF" w:rsidRPr="00552D93">
        <w:rPr>
          <w:rFonts w:ascii="Cambria" w:hAnsi="Cambria"/>
        </w:rPr>
        <w:t xml:space="preserve">in Switzerland, men are advised to drink no more than two standard drinks per day and women no more than one </w:t>
      </w:r>
      <w:r w:rsidR="00764AAF" w:rsidRPr="00552D93">
        <w:rPr>
          <w:rFonts w:ascii="Cambria" w:hAnsi="Cambria"/>
        </w:rPr>
        <w:fldChar w:fldCharType="begin"/>
      </w:r>
      <w:r w:rsidR="001530C8" w:rsidRPr="00552D93">
        <w:rPr>
          <w:rFonts w:ascii="Cambria" w:hAnsi="Cambria"/>
        </w:rPr>
        <w:instrText xml:space="preserve"> ADDIN EN.CITE &lt;EndNote&gt;&lt;Cite&gt;&lt;Author&gt;Swiss Federal Commission on Alcohol Issues&lt;/Author&gt;&lt;Year&gt;2018&lt;/Year&gt;&lt;RecNum&gt;4815&lt;/RecNum&gt;&lt;DisplayText&gt;(Swiss Federal Commission on Alcohol Issues, 2018)&lt;/DisplayText&gt;&lt;record&gt;&lt;rec-number&gt;4815&lt;/rec-number&gt;&lt;foreign-keys&gt;&lt;key app="EN" db-id="te5rs0t0nprf99ep09vxza050r9t99faf9td" timestamp="1566213776"&gt;4815&lt;/key&gt;&lt;/foreign-keys&gt;&lt;ref-type name="Report"&gt;27&lt;/ref-type&gt;&lt;contributors&gt;&lt;authors&gt;&lt;author&gt;Swiss Federal Commission on Alcohol Issues,&lt;/author&gt;&lt;/authors&gt;&lt;/contributors&gt;&lt;titles&gt;&lt;title&gt;Orientierungshilfezum Alkoholkonsum – 2018&lt;/title&gt;&lt;/titles&gt;&lt;dates&gt;&lt;year&gt;2018&lt;/year&gt;&lt;/dates&gt;&lt;pub-location&gt;Bern&lt;/pub-location&gt;&lt;urls&gt;&lt;related-urls&gt;&lt;url&gt;https://www.bag.admin.ch/dam/bag/de/dokumente/npp/alkohol/ekal/orientierungshilfe-alkoholkonsum.pdf.download.pdf/2-d-2015-orientierungshilfe-langversion.pdf&lt;/url&gt;&lt;/related-urls&gt;&lt;/urls&gt;&lt;/record&gt;&lt;/Cite&gt;&lt;/EndNote&gt;</w:instrText>
      </w:r>
      <w:r w:rsidR="00764AAF" w:rsidRPr="00552D93">
        <w:rPr>
          <w:rFonts w:ascii="Cambria" w:hAnsi="Cambria"/>
        </w:rPr>
        <w:fldChar w:fldCharType="separate"/>
      </w:r>
      <w:r w:rsidR="003E489A" w:rsidRPr="00552D93">
        <w:rPr>
          <w:rFonts w:ascii="Cambria" w:hAnsi="Cambria"/>
          <w:noProof/>
        </w:rPr>
        <w:t>(Swiss Federal Commission on Alcohol Issues, 2018)</w:t>
      </w:r>
      <w:r w:rsidR="00764AAF" w:rsidRPr="00552D93">
        <w:rPr>
          <w:rFonts w:ascii="Cambria" w:hAnsi="Cambria"/>
        </w:rPr>
        <w:fldChar w:fldCharType="end"/>
      </w:r>
      <w:r w:rsidR="00764AAF" w:rsidRPr="00552D93">
        <w:rPr>
          <w:rFonts w:ascii="Cambria" w:hAnsi="Cambria"/>
        </w:rPr>
        <w:t xml:space="preserve">, whereas </w:t>
      </w:r>
      <w:r w:rsidR="005447F3" w:rsidRPr="00552D93">
        <w:rPr>
          <w:rFonts w:ascii="Cambria" w:hAnsi="Cambria"/>
        </w:rPr>
        <w:t xml:space="preserve">men and women </w:t>
      </w:r>
      <w:r w:rsidR="000453AB" w:rsidRPr="00552D93">
        <w:rPr>
          <w:rFonts w:ascii="Cambria" w:hAnsi="Cambria"/>
        </w:rPr>
        <w:t xml:space="preserve">in the </w:t>
      </w:r>
      <w:r w:rsidR="00E93A0B" w:rsidRPr="00552D93">
        <w:rPr>
          <w:rFonts w:ascii="Cambria" w:hAnsi="Cambria"/>
        </w:rPr>
        <w:t xml:space="preserve">UK are </w:t>
      </w:r>
      <w:r w:rsidR="005447F3" w:rsidRPr="00552D93">
        <w:rPr>
          <w:rFonts w:ascii="Cambria" w:hAnsi="Cambria"/>
        </w:rPr>
        <w:t xml:space="preserve">both </w:t>
      </w:r>
      <w:r w:rsidR="00E93A0B" w:rsidRPr="00552D93">
        <w:rPr>
          <w:rFonts w:ascii="Cambria" w:hAnsi="Cambria"/>
        </w:rPr>
        <w:t>advised that low risk drinking con</w:t>
      </w:r>
      <w:r w:rsidR="00764AAF" w:rsidRPr="00552D93">
        <w:rPr>
          <w:rFonts w:ascii="Cambria" w:hAnsi="Cambria"/>
        </w:rPr>
        <w:t xml:space="preserve">stitutes no more than 14 </w:t>
      </w:r>
      <w:r w:rsidR="00EE5617" w:rsidRPr="00552D93">
        <w:rPr>
          <w:rFonts w:ascii="Cambria" w:hAnsi="Cambria"/>
        </w:rPr>
        <w:t>standard drinks</w:t>
      </w:r>
      <w:r w:rsidR="00993589" w:rsidRPr="00552D93">
        <w:rPr>
          <w:rFonts w:ascii="Cambria" w:hAnsi="Cambria"/>
        </w:rPr>
        <w:t xml:space="preserve"> (or </w:t>
      </w:r>
      <w:r w:rsidR="00764AAF" w:rsidRPr="00552D93">
        <w:rPr>
          <w:rFonts w:ascii="Cambria" w:hAnsi="Cambria"/>
        </w:rPr>
        <w:t>units</w:t>
      </w:r>
      <w:r w:rsidR="00993589" w:rsidRPr="00552D93">
        <w:rPr>
          <w:rFonts w:ascii="Cambria" w:hAnsi="Cambria"/>
        </w:rPr>
        <w:t>)</w:t>
      </w:r>
      <w:r w:rsidR="00764AAF" w:rsidRPr="00552D93">
        <w:rPr>
          <w:rFonts w:ascii="Cambria" w:hAnsi="Cambria"/>
        </w:rPr>
        <w:t xml:space="preserve"> per</w:t>
      </w:r>
      <w:r w:rsidR="00E93A0B" w:rsidRPr="00552D93">
        <w:rPr>
          <w:rFonts w:ascii="Cambria" w:hAnsi="Cambria"/>
        </w:rPr>
        <w:t xml:space="preserve"> week</w:t>
      </w:r>
      <w:r w:rsidR="00764AAF" w:rsidRPr="00552D93">
        <w:rPr>
          <w:rFonts w:ascii="Cambria" w:hAnsi="Cambria"/>
        </w:rPr>
        <w:t xml:space="preserve"> </w:t>
      </w:r>
      <w:r w:rsidR="00E93A0B" w:rsidRPr="00552D93">
        <w:rPr>
          <w:rFonts w:ascii="Cambria" w:hAnsi="Cambria"/>
        </w:rPr>
        <w:fldChar w:fldCharType="begin"/>
      </w:r>
      <w:r w:rsidR="001530C8" w:rsidRPr="00552D93">
        <w:rPr>
          <w:rFonts w:ascii="Cambria" w:hAnsi="Cambria"/>
        </w:rPr>
        <w:instrText xml:space="preserve"> ADDIN EN.CITE &lt;EndNote&gt;&lt;Cite&gt;&lt;Author&gt;Department of Health&lt;/Author&gt;&lt;Year&gt;2016&lt;/Year&gt;&lt;RecNum&gt;4390&lt;/RecNum&gt;&lt;DisplayText&gt;(Department of Health, 2016)&lt;/DisplayText&gt;&lt;record&gt;&lt;rec-number&gt;4390&lt;/rec-number&gt;&lt;foreign-keys&gt;&lt;key app="EN" db-id="te5rs0t0nprf99ep09vxza050r9t99faf9td" timestamp="1526553821"&gt;4390&lt;/key&gt;&lt;/foreign-keys&gt;&lt;ref-type name="Report"&gt;27&lt;/ref-type&gt;&lt;contributors&gt;&lt;authors&gt;&lt;author&gt;Department of Health,&lt;/author&gt;&lt;/authors&gt;&lt;/contributors&gt;&lt;titles&gt;&lt;title&gt;UK Chief Medical Officers’ Low Risk Drinking Guidelines 2016&lt;/title&gt;&lt;/titles&gt;&lt;dates&gt;&lt;year&gt;2016&lt;/year&gt;&lt;/dates&gt;&lt;pub-location&gt;London&lt;/pub-location&gt;&lt;publisher&gt;HM Government&lt;/publisher&gt;&lt;urls&gt;&lt;related-urls&gt;&lt;url&gt;https://www.gov.uk/government/uploads/system/uploads/attachment_data/file/545937/UK_CMOs__report.pdf&lt;/url&gt;&lt;/related-urls&gt;&lt;/urls&gt;&lt;/record&gt;&lt;/Cite&gt;&lt;/EndNote&gt;</w:instrText>
      </w:r>
      <w:r w:rsidR="00E93A0B" w:rsidRPr="00552D93">
        <w:rPr>
          <w:rFonts w:ascii="Cambria" w:hAnsi="Cambria"/>
        </w:rPr>
        <w:fldChar w:fldCharType="separate"/>
      </w:r>
      <w:r w:rsidR="003E489A" w:rsidRPr="00552D93">
        <w:rPr>
          <w:rFonts w:ascii="Cambria" w:hAnsi="Cambria"/>
          <w:noProof/>
        </w:rPr>
        <w:t>(Department of Health, 2016)</w:t>
      </w:r>
      <w:r w:rsidR="00E93A0B" w:rsidRPr="00552D93">
        <w:rPr>
          <w:rFonts w:ascii="Cambria" w:hAnsi="Cambria"/>
        </w:rPr>
        <w:fldChar w:fldCharType="end"/>
      </w:r>
      <w:r w:rsidR="00764AAF" w:rsidRPr="00552D93">
        <w:rPr>
          <w:rFonts w:ascii="Cambria" w:hAnsi="Cambria"/>
        </w:rPr>
        <w:t>.</w:t>
      </w:r>
      <w:r w:rsidR="00297275" w:rsidRPr="00552D93">
        <w:rPr>
          <w:rFonts w:ascii="Cambria" w:hAnsi="Cambria"/>
        </w:rPr>
        <w:t xml:space="preserve"> </w:t>
      </w:r>
      <w:r w:rsidR="00EE5617" w:rsidRPr="00552D93">
        <w:rPr>
          <w:rFonts w:ascii="Cambria" w:hAnsi="Cambria"/>
        </w:rPr>
        <w:t xml:space="preserve">The amount of alcohol in </w:t>
      </w:r>
      <w:r w:rsidR="005447F3" w:rsidRPr="00552D93">
        <w:rPr>
          <w:rFonts w:ascii="Cambria" w:hAnsi="Cambria"/>
        </w:rPr>
        <w:t xml:space="preserve">a </w:t>
      </w:r>
      <w:r w:rsidR="00EE5617" w:rsidRPr="00552D93">
        <w:rPr>
          <w:rFonts w:ascii="Cambria" w:hAnsi="Cambria"/>
        </w:rPr>
        <w:t xml:space="preserve">standard drink also varies widely </w:t>
      </w:r>
      <w:r w:rsidR="005447F3" w:rsidRPr="00552D93">
        <w:rPr>
          <w:rFonts w:ascii="Cambria" w:hAnsi="Cambria"/>
        </w:rPr>
        <w:t xml:space="preserve">between countries, </w:t>
      </w:r>
      <w:r w:rsidR="00EE5617" w:rsidRPr="00552D93">
        <w:rPr>
          <w:rFonts w:ascii="Cambria" w:hAnsi="Cambria"/>
        </w:rPr>
        <w:t>from 8gm in the UK to 19.6</w:t>
      </w:r>
      <w:r w:rsidR="00D30DAE" w:rsidRPr="00552D93">
        <w:rPr>
          <w:rFonts w:ascii="Cambria" w:hAnsi="Cambria"/>
        </w:rPr>
        <w:t>gm</w:t>
      </w:r>
      <w:r w:rsidR="00EE5617" w:rsidRPr="00552D93">
        <w:rPr>
          <w:rFonts w:ascii="Cambria" w:hAnsi="Cambria"/>
        </w:rPr>
        <w:t xml:space="preserve"> in Japan, with a modal value of 10gm </w:t>
      </w:r>
      <w:r w:rsidR="00EE5617" w:rsidRPr="00552D93">
        <w:rPr>
          <w:rFonts w:ascii="Cambria" w:hAnsi="Cambria"/>
        </w:rPr>
        <w:fldChar w:fldCharType="begin"/>
      </w:r>
      <w:r w:rsidR="001530C8" w:rsidRPr="00552D93">
        <w:rPr>
          <w:rFonts w:ascii="Cambria" w:hAnsi="Cambria"/>
        </w:rPr>
        <w:instrText xml:space="preserve"> ADDIN EN.CITE &lt;EndNote&gt;&lt;Cite&gt;&lt;Author&gt;WHO&lt;/Author&gt;&lt;Year&gt;2018&lt;/Year&gt;&lt;RecNum&gt;4705&lt;/RecNum&gt;&lt;DisplayText&gt;(Furtwaengler &amp;amp; de Visser, 2013; WHO, 2018)&lt;/DisplayText&gt;&lt;record&gt;&lt;rec-number&gt;4705&lt;/rec-number&gt;&lt;foreign-keys&gt;&lt;key app="EN" db-id="te5rs0t0nprf99ep09vxza050r9t99faf9td" timestamp="1553083120"&gt;4705&lt;/key&gt;&lt;/foreign-keys&gt;&lt;ref-type name="Report"&gt;27&lt;/ref-type&gt;&lt;contributors&gt;&lt;authors&gt;&lt;author&gt;WHO&lt;/author&gt;&lt;/authors&gt;&lt;/contributors&gt;&lt;titles&gt;&lt;title&gt;Global status report on alcohol and health 2018&lt;/title&gt;&lt;/titles&gt;&lt;dates&gt;&lt;year&gt;2018&lt;/year&gt;&lt;/dates&gt;&lt;pub-location&gt;Geneva&lt;/pub-location&gt;&lt;publisher&gt;World Health Organisation&lt;/publisher&gt;&lt;urls&gt;&lt;/urls&gt;&lt;electronic-resource-num&gt;https://www.who.int/substance_abuse/publications/global_alcohol_report/gsr_2018/en/&lt;/electronic-resource-num&gt;&lt;/record&gt;&lt;/Cite&gt;&lt;Cite&gt;&lt;Author&gt;Furtwaengler&lt;/Author&gt;&lt;Year&gt;2013&lt;/Year&gt;&lt;RecNum&gt;4091&lt;/RecNum&gt;&lt;record&gt;&lt;rec-number&gt;4091&lt;/rec-number&gt;&lt;foreign-keys&gt;&lt;key app="EN" db-id="te5rs0t0nprf99ep09vxza050r9t99faf9td" timestamp="1526553792"&gt;4091&lt;/key&gt;&lt;/foreign-keys&gt;&lt;ref-type name="Journal Article"&gt;17&lt;/ref-type&gt;&lt;contributors&gt;&lt;authors&gt;&lt;author&gt;Furtwaengler, Nina A. F. F.&lt;/author&gt;&lt;author&gt;de Visser, R. O.&lt;/author&gt;&lt;/authors&gt;&lt;/contributors&gt;&lt;titles&gt;&lt;title&gt;Lack of international consensus in low-risk drinking guidelines&lt;/title&gt;&lt;secondary-title&gt;Drug and Alcohol Review&lt;/secondary-title&gt;&lt;/titles&gt;&lt;periodical&gt;&lt;full-title&gt;Drug and Alcohol Review&lt;/full-title&gt;&lt;abbr-1&gt;Drug Alcohol Rev.&lt;/abbr-1&gt;&lt;/periodical&gt;&lt;pages&gt;11-18&lt;/pages&gt;&lt;volume&gt;32&lt;/volume&gt;&lt;number&gt;1&lt;/number&gt;&lt;dates&gt;&lt;year&gt;2013&lt;/year&gt;&lt;pub-dates&gt;&lt;date&gt;Jan&lt;/date&gt;&lt;/pub-dates&gt;&lt;/dates&gt;&lt;isbn&gt;0959-5236&lt;/isbn&gt;&lt;accession-num&gt;WOS:000313518300004&lt;/accession-num&gt;&lt;urls&gt;&lt;related-urls&gt;&lt;url&gt;&amp;lt;Go to WoS&amp;gt;://WOS:000301049500014&lt;/url&gt;&lt;/related-urls&gt;&lt;/urls&gt;&lt;electronic-resource-num&gt;10.1111/j.1465-3362.2012.00475.x&lt;/electronic-resource-num&gt;&lt;/record&gt;&lt;/Cite&gt;&lt;/EndNote&gt;</w:instrText>
      </w:r>
      <w:r w:rsidR="00EE5617" w:rsidRPr="00552D93">
        <w:rPr>
          <w:rFonts w:ascii="Cambria" w:hAnsi="Cambria"/>
        </w:rPr>
        <w:fldChar w:fldCharType="separate"/>
      </w:r>
      <w:r w:rsidR="003E489A" w:rsidRPr="00552D93">
        <w:rPr>
          <w:rFonts w:ascii="Cambria" w:hAnsi="Cambria"/>
          <w:noProof/>
        </w:rPr>
        <w:t>(Furtwaengler &amp; de Visser, 2013; WHO, 2018)</w:t>
      </w:r>
      <w:r w:rsidR="00EE5617" w:rsidRPr="00552D93">
        <w:rPr>
          <w:rFonts w:ascii="Cambria" w:hAnsi="Cambria"/>
        </w:rPr>
        <w:fldChar w:fldCharType="end"/>
      </w:r>
      <w:r w:rsidR="00EE5617" w:rsidRPr="00552D93">
        <w:rPr>
          <w:rFonts w:ascii="Cambria" w:hAnsi="Cambria"/>
        </w:rPr>
        <w:t>.</w:t>
      </w:r>
      <w:r w:rsidR="00297275" w:rsidRPr="00552D93">
        <w:rPr>
          <w:rFonts w:ascii="Cambria" w:hAnsi="Cambria"/>
        </w:rPr>
        <w:t xml:space="preserve"> </w:t>
      </w:r>
      <w:r w:rsidR="001F1F6C" w:rsidRPr="00552D93">
        <w:rPr>
          <w:rFonts w:ascii="Cambria" w:hAnsi="Cambria"/>
        </w:rPr>
        <w:t xml:space="preserve">The World Health Organisation </w:t>
      </w:r>
      <w:r w:rsidR="001F1F6C" w:rsidRPr="00552D93">
        <w:rPr>
          <w:rFonts w:ascii="Cambria" w:hAnsi="Cambria"/>
        </w:rPr>
        <w:lastRenderedPageBreak/>
        <w:t xml:space="preserve">(WHO) </w:t>
      </w:r>
      <w:r w:rsidR="0094633F" w:rsidRPr="00552D93">
        <w:rPr>
          <w:rFonts w:ascii="Cambria" w:hAnsi="Cambria"/>
        </w:rPr>
        <w:t xml:space="preserve">definition of </w:t>
      </w:r>
      <w:r w:rsidR="008C56D7" w:rsidRPr="00552D93">
        <w:rPr>
          <w:rFonts w:ascii="Cambria" w:hAnsi="Cambria"/>
        </w:rPr>
        <w:t>Heavy Episodic Drinking (</w:t>
      </w:r>
      <w:r w:rsidR="008A055A" w:rsidRPr="00552D93">
        <w:rPr>
          <w:rFonts w:ascii="Cambria" w:hAnsi="Cambria"/>
        </w:rPr>
        <w:t>HED</w:t>
      </w:r>
      <w:r w:rsidR="008C56D7" w:rsidRPr="00552D93">
        <w:rPr>
          <w:rFonts w:ascii="Cambria" w:hAnsi="Cambria"/>
        </w:rPr>
        <w:t>)</w:t>
      </w:r>
      <w:r w:rsidR="008A055A" w:rsidRPr="00552D93">
        <w:rPr>
          <w:rFonts w:ascii="Cambria" w:hAnsi="Cambria"/>
        </w:rPr>
        <w:t xml:space="preserve"> or ‘</w:t>
      </w:r>
      <w:r w:rsidR="0094633F" w:rsidRPr="00552D93">
        <w:rPr>
          <w:rFonts w:ascii="Cambria" w:hAnsi="Cambria"/>
        </w:rPr>
        <w:t>binge</w:t>
      </w:r>
      <w:r w:rsidR="008A055A" w:rsidRPr="00552D93">
        <w:rPr>
          <w:rFonts w:ascii="Cambria" w:hAnsi="Cambria"/>
        </w:rPr>
        <w:t>’</w:t>
      </w:r>
      <w:r w:rsidR="0094633F" w:rsidRPr="00552D93">
        <w:rPr>
          <w:rFonts w:ascii="Cambria" w:hAnsi="Cambria"/>
        </w:rPr>
        <w:t xml:space="preserve"> drinking</w:t>
      </w:r>
      <w:r w:rsidR="00764AAF" w:rsidRPr="00552D93">
        <w:rPr>
          <w:rFonts w:ascii="Cambria" w:hAnsi="Cambria"/>
        </w:rPr>
        <w:t>, which is usually described as</w:t>
      </w:r>
      <w:r w:rsidR="0094633F" w:rsidRPr="00552D93">
        <w:rPr>
          <w:rFonts w:ascii="Cambria" w:hAnsi="Cambria"/>
        </w:rPr>
        <w:t xml:space="preserve"> excessive consumption over a short period with the intention of getting drunk</w:t>
      </w:r>
      <w:r w:rsidR="00B21CCB" w:rsidRPr="00552D93">
        <w:rPr>
          <w:rFonts w:ascii="Cambria" w:hAnsi="Cambria"/>
        </w:rPr>
        <w:t>,</w:t>
      </w:r>
      <w:r w:rsidR="001F1F6C" w:rsidRPr="00552D93">
        <w:rPr>
          <w:rFonts w:ascii="Cambria" w:hAnsi="Cambria"/>
        </w:rPr>
        <w:t xml:space="preserve"> </w:t>
      </w:r>
      <w:r w:rsidR="0094633F" w:rsidRPr="00552D93">
        <w:rPr>
          <w:rFonts w:ascii="Cambria" w:hAnsi="Cambria"/>
        </w:rPr>
        <w:t xml:space="preserve">is </w:t>
      </w:r>
      <w:r w:rsidR="001F1F6C" w:rsidRPr="00552D93">
        <w:rPr>
          <w:rFonts w:ascii="Cambria" w:hAnsi="Cambria"/>
        </w:rPr>
        <w:t>60</w:t>
      </w:r>
      <w:r w:rsidR="0094633F" w:rsidRPr="00552D93">
        <w:rPr>
          <w:rFonts w:ascii="Cambria" w:hAnsi="Cambria"/>
        </w:rPr>
        <w:t>gm</w:t>
      </w:r>
      <w:r w:rsidR="008A055A" w:rsidRPr="00552D93">
        <w:rPr>
          <w:rFonts w:ascii="Cambria" w:hAnsi="Cambria"/>
        </w:rPr>
        <w:t xml:space="preserve"> </w:t>
      </w:r>
      <w:r w:rsidR="004B7D87" w:rsidRPr="00552D93">
        <w:rPr>
          <w:rFonts w:ascii="Cambria" w:hAnsi="Cambria"/>
        </w:rPr>
        <w:t xml:space="preserve">of alcohol </w:t>
      </w:r>
      <w:r w:rsidR="008A055A" w:rsidRPr="00552D93">
        <w:rPr>
          <w:rFonts w:ascii="Cambria" w:hAnsi="Cambria"/>
        </w:rPr>
        <w:t>in one session</w:t>
      </w:r>
      <w:r w:rsidR="0094633F" w:rsidRPr="00552D93">
        <w:rPr>
          <w:rFonts w:ascii="Cambria" w:hAnsi="Cambria"/>
        </w:rPr>
        <w:t xml:space="preserve"> </w:t>
      </w:r>
      <w:r w:rsidR="001F1F6C" w:rsidRPr="00552D93">
        <w:rPr>
          <w:rFonts w:ascii="Cambria" w:hAnsi="Cambria"/>
        </w:rPr>
        <w:fldChar w:fldCharType="begin"/>
      </w:r>
      <w:r w:rsidR="001530C8" w:rsidRPr="00552D93">
        <w:rPr>
          <w:rFonts w:ascii="Cambria" w:hAnsi="Cambria"/>
        </w:rPr>
        <w:instrText xml:space="preserve"> ADDIN EN.CITE &lt;EndNote&gt;&lt;Cite&gt;&lt;Author&gt;WHO&lt;/Author&gt;&lt;Year&gt;2018&lt;/Year&gt;&lt;RecNum&gt;4705&lt;/RecNum&gt;&lt;DisplayText&gt;(WHO, 2018)&lt;/DisplayText&gt;&lt;record&gt;&lt;rec-number&gt;4705&lt;/rec-number&gt;&lt;foreign-keys&gt;&lt;key app="EN" db-id="te5rs0t0nprf99ep09vxza050r9t99faf9td" timestamp="1553083120"&gt;4705&lt;/key&gt;&lt;/foreign-keys&gt;&lt;ref-type name="Report"&gt;27&lt;/ref-type&gt;&lt;contributors&gt;&lt;authors&gt;&lt;author&gt;WHO&lt;/author&gt;&lt;/authors&gt;&lt;/contributors&gt;&lt;titles&gt;&lt;title&gt;Global status report on alcohol and health 2018&lt;/title&gt;&lt;/titles&gt;&lt;dates&gt;&lt;year&gt;2018&lt;/year&gt;&lt;/dates&gt;&lt;pub-location&gt;Geneva&lt;/pub-location&gt;&lt;publisher&gt;World Health Organisation&lt;/publisher&gt;&lt;urls&gt;&lt;/urls&gt;&lt;electronic-resource-num&gt;https://www.who.int/substance_abuse/publications/global_alcohol_report/gsr_2018/en/&lt;/electronic-resource-num&gt;&lt;/record&gt;&lt;/Cite&gt;&lt;/EndNote&gt;</w:instrText>
      </w:r>
      <w:r w:rsidR="001F1F6C" w:rsidRPr="00552D93">
        <w:rPr>
          <w:rFonts w:ascii="Cambria" w:hAnsi="Cambria"/>
        </w:rPr>
        <w:fldChar w:fldCharType="separate"/>
      </w:r>
      <w:r w:rsidR="003E489A" w:rsidRPr="00552D93">
        <w:rPr>
          <w:rFonts w:ascii="Cambria" w:hAnsi="Cambria"/>
          <w:noProof/>
        </w:rPr>
        <w:t>(WHO, 2018)</w:t>
      </w:r>
      <w:r w:rsidR="001F1F6C" w:rsidRPr="00552D93">
        <w:rPr>
          <w:rFonts w:ascii="Cambria" w:hAnsi="Cambria"/>
        </w:rPr>
        <w:fldChar w:fldCharType="end"/>
      </w:r>
      <w:r w:rsidR="001F1F6C" w:rsidRPr="00552D93">
        <w:rPr>
          <w:rFonts w:ascii="Cambria" w:hAnsi="Cambria"/>
        </w:rPr>
        <w:t>.</w:t>
      </w:r>
      <w:r w:rsidR="00297275" w:rsidRPr="00552D93">
        <w:rPr>
          <w:rFonts w:ascii="Cambria" w:hAnsi="Cambria"/>
        </w:rPr>
        <w:t xml:space="preserve"> </w:t>
      </w:r>
    </w:p>
    <w:p w14:paraId="43838382" w14:textId="390F59E6" w:rsidR="003C490F" w:rsidRPr="00552D93" w:rsidRDefault="0094633F" w:rsidP="003C490F">
      <w:pPr>
        <w:spacing w:before="100" w:beforeAutospacing="1" w:after="100" w:afterAutospacing="1" w:line="480" w:lineRule="auto"/>
        <w:rPr>
          <w:rFonts w:ascii="Cambria" w:eastAsia="Times New Roman" w:hAnsi="Cambria" w:cs="Times New Roman"/>
          <w:bCs/>
          <w:lang w:eastAsia="en-GB"/>
        </w:rPr>
      </w:pPr>
      <w:r w:rsidRPr="00552D93">
        <w:rPr>
          <w:rFonts w:ascii="Cambria" w:eastAsia="Times New Roman" w:hAnsi="Cambria" w:cs="Times New Roman"/>
          <w:bCs/>
          <w:lang w:eastAsia="en-GB"/>
        </w:rPr>
        <w:t>While the limits outlined in nation</w:t>
      </w:r>
      <w:r w:rsidR="0074252F" w:rsidRPr="00552D93">
        <w:rPr>
          <w:rFonts w:ascii="Cambria" w:eastAsia="Times New Roman" w:hAnsi="Cambria" w:cs="Times New Roman"/>
          <w:bCs/>
          <w:lang w:eastAsia="en-GB"/>
        </w:rPr>
        <w:t>al</w:t>
      </w:r>
      <w:r w:rsidRPr="00552D93">
        <w:rPr>
          <w:rFonts w:ascii="Cambria" w:eastAsia="Times New Roman" w:hAnsi="Cambria" w:cs="Times New Roman"/>
          <w:bCs/>
          <w:lang w:eastAsia="en-GB"/>
        </w:rPr>
        <w:t xml:space="preserve"> guidelines are grounded in epidemiological research</w:t>
      </w:r>
      <w:r w:rsidR="0074252F" w:rsidRPr="00552D93">
        <w:rPr>
          <w:rFonts w:ascii="Cambria" w:eastAsia="Times New Roman" w:hAnsi="Cambria" w:cs="Times New Roman"/>
          <w:bCs/>
          <w:lang w:eastAsia="en-GB"/>
        </w:rPr>
        <w:t>,</w:t>
      </w:r>
      <w:r w:rsidRPr="00552D93">
        <w:rPr>
          <w:rFonts w:ascii="Cambria" w:eastAsia="Times New Roman" w:hAnsi="Cambria" w:cs="Times New Roman"/>
          <w:bCs/>
          <w:lang w:eastAsia="en-GB"/>
        </w:rPr>
        <w:t xml:space="preserve"> their relevance </w:t>
      </w:r>
      <w:r w:rsidR="000A26D4" w:rsidRPr="00552D93">
        <w:rPr>
          <w:rFonts w:ascii="Cambria" w:eastAsia="Times New Roman" w:hAnsi="Cambria" w:cs="Times New Roman"/>
          <w:bCs/>
          <w:lang w:eastAsia="en-GB"/>
        </w:rPr>
        <w:t>people who</w:t>
      </w:r>
      <w:r w:rsidR="0074252F" w:rsidRPr="00552D93">
        <w:rPr>
          <w:rFonts w:ascii="Cambria" w:eastAsia="Times New Roman" w:hAnsi="Cambria" w:cs="Times New Roman"/>
          <w:bCs/>
          <w:lang w:eastAsia="en-GB"/>
        </w:rPr>
        <w:t xml:space="preserve"> drink</w:t>
      </w:r>
      <w:r w:rsidR="000A26D4" w:rsidRPr="00552D93">
        <w:rPr>
          <w:rFonts w:ascii="Cambria" w:eastAsia="Times New Roman" w:hAnsi="Cambria" w:cs="Times New Roman"/>
          <w:bCs/>
          <w:lang w:eastAsia="en-GB"/>
        </w:rPr>
        <w:t xml:space="preserve"> alcohol</w:t>
      </w:r>
      <w:r w:rsidR="0074252F" w:rsidRPr="00552D93">
        <w:rPr>
          <w:rFonts w:ascii="Cambria" w:eastAsia="Times New Roman" w:hAnsi="Cambria" w:cs="Times New Roman"/>
          <w:bCs/>
          <w:lang w:eastAsia="en-GB"/>
        </w:rPr>
        <w:t xml:space="preserve"> </w:t>
      </w:r>
      <w:r w:rsidR="00D30DAE" w:rsidRPr="00552D93">
        <w:rPr>
          <w:rFonts w:ascii="Cambria" w:eastAsia="Times New Roman" w:hAnsi="Cambria" w:cs="Times New Roman"/>
          <w:bCs/>
          <w:lang w:eastAsia="en-GB"/>
        </w:rPr>
        <w:t>may be</w:t>
      </w:r>
      <w:r w:rsidR="0074252F" w:rsidRPr="00552D93">
        <w:rPr>
          <w:rFonts w:ascii="Cambria" w:eastAsia="Times New Roman" w:hAnsi="Cambria" w:cs="Times New Roman"/>
          <w:bCs/>
          <w:lang w:eastAsia="en-GB"/>
        </w:rPr>
        <w:t xml:space="preserve"> limited.</w:t>
      </w:r>
      <w:r w:rsidR="00297275" w:rsidRPr="00552D93">
        <w:rPr>
          <w:rFonts w:ascii="Cambria" w:eastAsia="Times New Roman" w:hAnsi="Cambria" w:cs="Times New Roman"/>
          <w:bCs/>
          <w:lang w:eastAsia="en-GB"/>
        </w:rPr>
        <w:t xml:space="preserve"> </w:t>
      </w:r>
      <w:r w:rsidR="00B9275F" w:rsidRPr="00552D93">
        <w:rPr>
          <w:rFonts w:ascii="Cambria" w:eastAsia="Times New Roman" w:hAnsi="Cambria" w:cs="Times New Roman"/>
          <w:bCs/>
          <w:lang w:eastAsia="en-GB"/>
        </w:rPr>
        <w:t>Drinking</w:t>
      </w:r>
      <w:r w:rsidR="00B92892" w:rsidRPr="00552D93">
        <w:rPr>
          <w:rFonts w:ascii="Cambria" w:eastAsia="Times New Roman" w:hAnsi="Cambria" w:cs="Times New Roman"/>
          <w:bCs/>
          <w:lang w:eastAsia="en-GB"/>
        </w:rPr>
        <w:t xml:space="preserve"> beyond </w:t>
      </w:r>
      <w:r w:rsidR="00DA615E" w:rsidRPr="00552D93">
        <w:rPr>
          <w:rFonts w:ascii="Cambria" w:eastAsia="Times New Roman" w:hAnsi="Cambria" w:cs="Times New Roman"/>
          <w:bCs/>
          <w:lang w:eastAsia="en-GB"/>
        </w:rPr>
        <w:t>these guidelines with the goal of</w:t>
      </w:r>
      <w:r w:rsidR="00AA49E1" w:rsidRPr="00552D93">
        <w:rPr>
          <w:rFonts w:ascii="Cambria" w:eastAsia="Times New Roman" w:hAnsi="Cambria" w:cs="Times New Roman"/>
          <w:bCs/>
          <w:lang w:eastAsia="en-GB"/>
        </w:rPr>
        <w:t xml:space="preserve"> relax</w:t>
      </w:r>
      <w:r w:rsidR="00DA615E" w:rsidRPr="00552D93">
        <w:rPr>
          <w:rFonts w:ascii="Cambria" w:eastAsia="Times New Roman" w:hAnsi="Cambria" w:cs="Times New Roman"/>
          <w:bCs/>
          <w:lang w:eastAsia="en-GB"/>
        </w:rPr>
        <w:t>ing</w:t>
      </w:r>
      <w:r w:rsidR="00AA49E1" w:rsidRPr="00552D93">
        <w:rPr>
          <w:rFonts w:ascii="Cambria" w:eastAsia="Times New Roman" w:hAnsi="Cambria" w:cs="Times New Roman"/>
          <w:bCs/>
          <w:lang w:eastAsia="en-GB"/>
        </w:rPr>
        <w:t>, socialis</w:t>
      </w:r>
      <w:r w:rsidR="00DA615E" w:rsidRPr="00552D93">
        <w:rPr>
          <w:rFonts w:ascii="Cambria" w:eastAsia="Times New Roman" w:hAnsi="Cambria" w:cs="Times New Roman"/>
          <w:bCs/>
          <w:lang w:eastAsia="en-GB"/>
        </w:rPr>
        <w:t>ing</w:t>
      </w:r>
      <w:r w:rsidR="00AA49E1" w:rsidRPr="00552D93">
        <w:rPr>
          <w:rFonts w:ascii="Cambria" w:eastAsia="Times New Roman" w:hAnsi="Cambria" w:cs="Times New Roman"/>
          <w:bCs/>
          <w:lang w:eastAsia="en-GB"/>
        </w:rPr>
        <w:t xml:space="preserve"> and </w:t>
      </w:r>
      <w:r w:rsidRPr="00552D93">
        <w:rPr>
          <w:rFonts w:ascii="Cambria" w:eastAsia="Times New Roman" w:hAnsi="Cambria" w:cs="Times New Roman"/>
          <w:bCs/>
          <w:lang w:eastAsia="en-GB"/>
        </w:rPr>
        <w:t xml:space="preserve">getting drunk </w:t>
      </w:r>
      <w:r w:rsidR="00B92892" w:rsidRPr="00552D93">
        <w:rPr>
          <w:rFonts w:ascii="Cambria" w:eastAsia="Times New Roman" w:hAnsi="Cambria" w:cs="Times New Roman"/>
          <w:bCs/>
          <w:lang w:eastAsia="en-GB"/>
        </w:rPr>
        <w:t>is common</w:t>
      </w:r>
      <w:r w:rsidR="00AA49E1" w:rsidRPr="00552D93">
        <w:rPr>
          <w:rFonts w:ascii="Cambria" w:eastAsia="Times New Roman" w:hAnsi="Cambria" w:cs="Times New Roman"/>
          <w:bCs/>
          <w:lang w:eastAsia="en-GB"/>
        </w:rPr>
        <w:t xml:space="preserve"> </w:t>
      </w:r>
      <w:r w:rsidR="00AA49E1" w:rsidRPr="00552D93">
        <w:rPr>
          <w:rFonts w:ascii="Cambria" w:eastAsia="Times New Roman" w:hAnsi="Cambria" w:cs="Times New Roman"/>
          <w:bCs/>
          <w:lang w:eastAsia="en-GB"/>
        </w:rPr>
        <w:fldChar w:fldCharType="begin">
          <w:fldData xml:space="preserve">PEVuZE5vdGU+PENpdGU+PEF1dGhvcj5NZWFzaGFtPC9BdXRob3I+PFllYXI+MjAwNDwvWWVhcj48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=
</w:fldData>
        </w:fldChar>
      </w:r>
      <w:r w:rsidR="001530C8" w:rsidRPr="00552D93">
        <w:rPr>
          <w:rFonts w:ascii="Cambria" w:eastAsia="Times New Roman" w:hAnsi="Cambria" w:cs="Times New Roman"/>
          <w:bCs/>
          <w:lang w:eastAsia="en-GB"/>
        </w:rPr>
        <w:instrText xml:space="preserve"> ADDIN EN.CITE </w:instrText>
      </w:r>
      <w:r w:rsidR="001530C8" w:rsidRPr="00552D93">
        <w:rPr>
          <w:rFonts w:ascii="Cambria" w:eastAsia="Times New Roman" w:hAnsi="Cambria" w:cs="Times New Roman"/>
          <w:bCs/>
          <w:lang w:eastAsia="en-GB"/>
        </w:rPr>
        <w:fldChar w:fldCharType="begin">
          <w:fldData xml:space="preserve">PEVuZE5vdGU+PENpdGU+PEF1dGhvcj5NZWFzaGFtPC9BdXRob3I+PFllYXI+MjAwNDwvWWVhcj48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=
</w:fldData>
        </w:fldChar>
      </w:r>
      <w:r w:rsidR="001530C8" w:rsidRPr="00552D93">
        <w:rPr>
          <w:rFonts w:ascii="Cambria" w:eastAsia="Times New Roman" w:hAnsi="Cambria" w:cs="Times New Roman"/>
          <w:bCs/>
          <w:lang w:eastAsia="en-GB"/>
        </w:rPr>
        <w:instrText xml:space="preserve"> ADDIN EN.CITE.DATA </w:instrText>
      </w:r>
      <w:r w:rsidR="001530C8" w:rsidRPr="00552D93">
        <w:rPr>
          <w:rFonts w:ascii="Cambria" w:eastAsia="Times New Roman" w:hAnsi="Cambria" w:cs="Times New Roman"/>
          <w:bCs/>
          <w:lang w:eastAsia="en-GB"/>
        </w:rPr>
      </w:r>
      <w:r w:rsidR="001530C8" w:rsidRPr="00552D93">
        <w:rPr>
          <w:rFonts w:ascii="Cambria" w:eastAsia="Times New Roman" w:hAnsi="Cambria" w:cs="Times New Roman"/>
          <w:bCs/>
          <w:lang w:eastAsia="en-GB"/>
        </w:rPr>
        <w:fldChar w:fldCharType="end"/>
      </w:r>
      <w:r w:rsidR="00AA49E1" w:rsidRPr="00552D93">
        <w:rPr>
          <w:rFonts w:ascii="Cambria" w:eastAsia="Times New Roman" w:hAnsi="Cambria" w:cs="Times New Roman"/>
          <w:bCs/>
          <w:lang w:eastAsia="en-GB"/>
        </w:rPr>
      </w:r>
      <w:r w:rsidR="00AA49E1"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(Babor et al., 2010; Hughes, Quigg, Ford, &amp; Bellis, 2019; Measham, 2004; Peele &amp; Brodsky, 2000; WHO, 2018)</w:t>
      </w:r>
      <w:r w:rsidR="00AA49E1" w:rsidRPr="00552D93">
        <w:rPr>
          <w:rFonts w:ascii="Cambria" w:eastAsia="Times New Roman" w:hAnsi="Cambria" w:cs="Times New Roman"/>
          <w:bCs/>
          <w:lang w:eastAsia="en-GB"/>
        </w:rPr>
        <w:fldChar w:fldCharType="end"/>
      </w:r>
      <w:r w:rsidR="003C490F" w:rsidRPr="00552D93">
        <w:rPr>
          <w:rFonts w:ascii="Cambria" w:eastAsia="Times New Roman" w:hAnsi="Cambria" w:cs="Times New Roman"/>
          <w:bCs/>
          <w:lang w:eastAsia="en-GB"/>
        </w:rPr>
        <w:t>.</w:t>
      </w:r>
      <w:r w:rsidR="00AA49E1" w:rsidRPr="00552D93">
        <w:rPr>
          <w:rFonts w:ascii="Cambria" w:eastAsia="Times New Roman" w:hAnsi="Cambria" w:cs="Times New Roman"/>
          <w:bCs/>
          <w:lang w:eastAsia="en-GB"/>
        </w:rPr>
        <w:t xml:space="preserve"> </w:t>
      </w:r>
      <w:r w:rsidR="00B9275F" w:rsidRPr="00552D93">
        <w:rPr>
          <w:rFonts w:ascii="Cambria" w:eastAsia="Times New Roman" w:hAnsi="Cambria" w:cs="Times New Roman"/>
          <w:bCs/>
          <w:lang w:eastAsia="en-GB"/>
        </w:rPr>
        <w:t xml:space="preserve">Indeed, </w:t>
      </w:r>
      <w:r w:rsidR="00DA615E" w:rsidRPr="00552D93">
        <w:rPr>
          <w:rFonts w:ascii="Cambria" w:eastAsia="Times New Roman" w:hAnsi="Cambria" w:cs="Times New Roman"/>
          <w:bCs/>
          <w:lang w:eastAsia="en-GB"/>
        </w:rPr>
        <w:t>m</w:t>
      </w:r>
      <w:r w:rsidRPr="00552D93">
        <w:rPr>
          <w:rFonts w:ascii="Cambria" w:eastAsia="Times New Roman" w:hAnsi="Cambria" w:cs="Times New Roman"/>
          <w:bCs/>
          <w:lang w:eastAsia="en-GB"/>
        </w:rPr>
        <w:t>any</w:t>
      </w:r>
      <w:r w:rsidR="00DA615E" w:rsidRPr="00552D93">
        <w:rPr>
          <w:rFonts w:ascii="Cambria" w:eastAsia="Times New Roman" w:hAnsi="Cambria" w:cs="Times New Roman"/>
          <w:bCs/>
          <w:lang w:eastAsia="en-GB"/>
        </w:rPr>
        <w:t xml:space="preserve"> </w:t>
      </w:r>
      <w:r w:rsidR="00B92892" w:rsidRPr="00552D93">
        <w:rPr>
          <w:rFonts w:ascii="Cambria" w:eastAsia="Times New Roman" w:hAnsi="Cambria" w:cs="Times New Roman"/>
          <w:bCs/>
          <w:lang w:eastAsia="en-GB"/>
        </w:rPr>
        <w:t xml:space="preserve">people who drink </w:t>
      </w:r>
      <w:r w:rsidRPr="00552D93">
        <w:rPr>
          <w:rFonts w:ascii="Cambria" w:eastAsia="Times New Roman" w:hAnsi="Cambria" w:cs="Times New Roman"/>
          <w:bCs/>
          <w:lang w:eastAsia="en-GB"/>
        </w:rPr>
        <w:t>do so wit</w:t>
      </w:r>
      <w:r w:rsidR="00BD50FD" w:rsidRPr="00552D93">
        <w:rPr>
          <w:rFonts w:ascii="Cambria" w:eastAsia="Times New Roman" w:hAnsi="Cambria" w:cs="Times New Roman"/>
          <w:bCs/>
          <w:lang w:eastAsia="en-GB"/>
        </w:rPr>
        <w:t>h the intention of feeling the</w:t>
      </w:r>
      <w:r w:rsidRPr="00552D93">
        <w:rPr>
          <w:rFonts w:ascii="Cambria" w:eastAsia="Times New Roman" w:hAnsi="Cambria" w:cs="Times New Roman"/>
          <w:bCs/>
          <w:lang w:eastAsia="en-GB"/>
        </w:rPr>
        <w:t xml:space="preserve"> effects along a spectrum of intoxication, often seeking </w:t>
      </w:r>
      <w:r w:rsidR="00DA615E" w:rsidRPr="00552D93">
        <w:rPr>
          <w:rFonts w:ascii="Cambria" w:eastAsia="Times New Roman" w:hAnsi="Cambria" w:cs="Times New Roman"/>
          <w:bCs/>
          <w:lang w:eastAsia="en-GB"/>
        </w:rPr>
        <w:t>to reach</w:t>
      </w:r>
      <w:r w:rsidR="005D675E" w:rsidRPr="00552D93">
        <w:rPr>
          <w:rFonts w:ascii="Cambria" w:eastAsia="Times New Roman" w:hAnsi="Cambria" w:cs="Times New Roman"/>
          <w:bCs/>
          <w:lang w:eastAsia="en-GB"/>
        </w:rPr>
        <w:t xml:space="preserve"> </w:t>
      </w:r>
      <w:r w:rsidR="00410B57" w:rsidRPr="00552D93">
        <w:rPr>
          <w:rFonts w:ascii="Cambria" w:eastAsia="Times New Roman" w:hAnsi="Cambria" w:cs="Times New Roman"/>
          <w:bCs/>
          <w:lang w:eastAsia="en-GB"/>
        </w:rPr>
        <w:t xml:space="preserve">the ‘right’ </w:t>
      </w:r>
      <w:r w:rsidR="003C490F" w:rsidRPr="00552D93">
        <w:rPr>
          <w:rFonts w:ascii="Cambria" w:eastAsia="Times New Roman" w:hAnsi="Cambria" w:cs="Times New Roman"/>
          <w:bCs/>
          <w:lang w:eastAsia="en-GB"/>
        </w:rPr>
        <w:t>level</w:t>
      </w:r>
      <w:r w:rsidR="005D675E" w:rsidRPr="00552D93">
        <w:rPr>
          <w:rFonts w:ascii="Cambria" w:eastAsia="Times New Roman" w:hAnsi="Cambria" w:cs="Times New Roman"/>
          <w:bCs/>
          <w:lang w:eastAsia="en-GB"/>
        </w:rPr>
        <w:t xml:space="preserve"> of consumption</w:t>
      </w:r>
      <w:r w:rsidR="003C490F" w:rsidRPr="00552D93">
        <w:rPr>
          <w:rFonts w:ascii="Cambria" w:eastAsia="Times New Roman" w:hAnsi="Cambria" w:cs="Times New Roman"/>
          <w:bCs/>
          <w:lang w:eastAsia="en-GB"/>
        </w:rPr>
        <w:t xml:space="preserve"> </w:t>
      </w:r>
      <w:r w:rsidRPr="00552D93">
        <w:rPr>
          <w:rFonts w:ascii="Cambria" w:eastAsia="Times New Roman" w:hAnsi="Cambria" w:cs="Times New Roman"/>
          <w:bCs/>
          <w:lang w:eastAsia="en-GB"/>
        </w:rPr>
        <w:t>for that occasion</w:t>
      </w:r>
      <w:r w:rsidR="000A26D4" w:rsidRPr="00552D93">
        <w:rPr>
          <w:rFonts w:ascii="Cambria" w:eastAsia="Times New Roman" w:hAnsi="Cambria" w:cs="Times New Roman"/>
          <w:bCs/>
          <w:lang w:eastAsia="en-GB"/>
        </w:rPr>
        <w:t xml:space="preserve"> </w:t>
      </w:r>
      <w:r w:rsidR="003C490F"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&lt;EndNote&gt;&lt;Cite&gt;&lt;Author&gt;Lovatt&lt;/Author&gt;&lt;Year&gt;2015&lt;/Year&gt;&lt;RecNum&gt;4115&lt;/RecNum&gt;&lt;DisplayText&gt;(Lovatt et al., 2015)&lt;/DisplayText&gt;&lt;record&gt;&lt;rec-number&gt;4115&lt;/rec-number&gt;&lt;foreign-keys&gt;&lt;key app="EN" db-id="te5rs0t0nprf99ep09vxza050r9t99faf9td" timestamp="1526553793"&gt;4115&lt;/key&gt;&lt;/foreign-keys&gt;&lt;ref-type name="Journal Article"&gt;17&lt;/ref-type&gt;&lt;contributors&gt;&lt;authors&gt;&lt;author&gt;Lovatt, Melanie&lt;/author&gt;&lt;author&gt;Eadie, Douglas&lt;/author&gt;&lt;author&gt;Meier, Petra S.&lt;/author&gt;&lt;author&gt;Li, Jessica&lt;/author&gt;&lt;author&gt;Bauld, Linda&lt;/author&gt;&lt;author&gt;Hastings, Gerard&lt;/author&gt;&lt;author&gt;Holmes, John&lt;/author&gt;&lt;/authors&gt;&lt;/contributors&gt;&lt;titles&gt;&lt;title&gt;Lay epidemiology and the interpretation of low-risk drinking guidelines by adults in the United Kingdom&lt;/title&gt;&lt;secondary-title&gt;Addiction&lt;/secondary-title&gt;&lt;/titles&gt;&lt;periodical&gt;&lt;full-title&gt;Addiction&lt;/full-title&gt;&lt;abbr-1&gt;Addiction&lt;/abbr-1&gt;&lt;/periodical&gt;&lt;pages&gt;1912–1919&lt;/pages&gt;&lt;volume&gt;110&lt;/volume&gt;&lt;number&gt;12&lt;/number&gt;&lt;keywords&gt;&lt;keyword&gt;Alcohol&lt;/keyword&gt;&lt;keyword&gt;drinking practices&lt;/keyword&gt;&lt;keyword&gt;drinking guidelines&lt;/keyword&gt;&lt;keyword&gt;lay epidemiology&lt;/keyword&gt;&lt;keyword&gt;qualitative&lt;/keyword&gt;&lt;keyword&gt;units&lt;/keyword&gt;&lt;/keywords&gt;&lt;dates&gt;&lt;year&gt;2015&lt;/year&gt;&lt;/dates&gt;&lt;isbn&gt;1360-0443&lt;/isbn&gt;&lt;urls&gt;&lt;related-urls&gt;&lt;url&gt;http://dx.doi.org/10.1111/add.13072&lt;/url&gt;&lt;/related-urls&gt;&lt;/urls&gt;&lt;electronic-resource-num&gt;10.1111/add.13072&lt;/electronic-resource-num&gt;&lt;/record&gt;&lt;/Cite&gt;&lt;/EndNote&gt;</w:instrText>
      </w:r>
      <w:r w:rsidR="003C490F"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(Lovatt et al., 2015)</w:t>
      </w:r>
      <w:r w:rsidR="003C490F" w:rsidRPr="00552D93">
        <w:rPr>
          <w:rFonts w:ascii="Cambria" w:eastAsia="Times New Roman" w:hAnsi="Cambria" w:cs="Times New Roman"/>
          <w:bCs/>
          <w:lang w:eastAsia="en-GB"/>
        </w:rPr>
        <w:fldChar w:fldCharType="end"/>
      </w:r>
      <w:r w:rsidR="00B9275F" w:rsidRPr="00552D93">
        <w:rPr>
          <w:rFonts w:ascii="Cambria" w:eastAsia="Times New Roman" w:hAnsi="Cambria" w:cs="Times New Roman"/>
          <w:bCs/>
          <w:lang w:eastAsia="en-GB"/>
        </w:rPr>
        <w:t>, rather than aiming to drink within guidelines</w:t>
      </w:r>
      <w:r w:rsidR="003C490F"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r w:rsidR="003C490F" w:rsidRPr="00552D93">
        <w:rPr>
          <w:rFonts w:ascii="Cambria" w:eastAsia="Times New Roman" w:hAnsi="Cambria" w:cs="Times New Roman"/>
          <w:bCs/>
          <w:lang w:eastAsia="en-GB"/>
        </w:rPr>
        <w:t>This level</w:t>
      </w:r>
      <w:r w:rsidR="00287102" w:rsidRPr="00552D93">
        <w:rPr>
          <w:rFonts w:ascii="Cambria" w:eastAsia="Times New Roman" w:hAnsi="Cambria" w:cs="Times New Roman"/>
          <w:bCs/>
          <w:lang w:eastAsia="en-GB"/>
        </w:rPr>
        <w:t xml:space="preserve"> </w:t>
      </w:r>
      <w:r w:rsidR="00415B68" w:rsidRPr="00552D93">
        <w:rPr>
          <w:rFonts w:ascii="Cambria" w:eastAsia="Times New Roman" w:hAnsi="Cambria" w:cs="Times New Roman"/>
          <w:bCs/>
          <w:lang w:eastAsia="en-GB"/>
        </w:rPr>
        <w:t>or stage</w:t>
      </w:r>
      <w:r w:rsidR="007831F3" w:rsidRPr="00552D93">
        <w:rPr>
          <w:rFonts w:ascii="Cambria" w:eastAsia="Times New Roman" w:hAnsi="Cambria" w:cs="Times New Roman"/>
          <w:bCs/>
          <w:lang w:eastAsia="en-GB"/>
        </w:rPr>
        <w:t xml:space="preserve"> of consumption</w:t>
      </w:r>
      <w:r w:rsidR="003C490F" w:rsidRPr="00552D93">
        <w:rPr>
          <w:rFonts w:ascii="Cambria" w:eastAsia="Times New Roman" w:hAnsi="Cambria" w:cs="Times New Roman"/>
          <w:bCs/>
          <w:lang w:eastAsia="en-GB"/>
        </w:rPr>
        <w:t xml:space="preserve"> has been described in various ways</w:t>
      </w:r>
      <w:r w:rsidR="00BE6880" w:rsidRPr="00552D93">
        <w:rPr>
          <w:rFonts w:ascii="Cambria" w:eastAsia="Times New Roman" w:hAnsi="Cambria" w:cs="Times New Roman"/>
          <w:bCs/>
          <w:lang w:eastAsia="en-GB"/>
        </w:rPr>
        <w:t>:</w:t>
      </w:r>
      <w:r w:rsidR="003C490F" w:rsidRPr="00552D93">
        <w:rPr>
          <w:rFonts w:ascii="Cambria" w:eastAsia="Times New Roman" w:hAnsi="Cambria" w:cs="Times New Roman"/>
          <w:bCs/>
          <w:lang w:eastAsia="en-GB"/>
        </w:rPr>
        <w:t xml:space="preserve"> ‘being in the zone’ </w:t>
      </w:r>
      <w:r w:rsidR="003C490F" w:rsidRPr="00552D93">
        <w:rPr>
          <w:rFonts w:ascii="Cambria" w:eastAsia="Times New Roman" w:hAnsi="Cambria" w:cs="Times New Roman"/>
          <w:bCs/>
          <w:lang w:eastAsia="en-GB"/>
        </w:rPr>
        <w:fldChar w:fldCharType="begin"/>
      </w:r>
      <w:r w:rsidR="003E489A" w:rsidRPr="00552D93">
        <w:rPr>
          <w:rFonts w:ascii="Cambria" w:eastAsia="Times New Roman" w:hAnsi="Cambria" w:cs="Times New Roman"/>
          <w:bCs/>
          <w:lang w:eastAsia="en-GB"/>
        </w:rPr>
        <w:instrText xml:space="preserve"> ADDIN EN.CITE &lt;EndNote&gt;&lt;Cite&gt;&lt;Author&gt;Lyons&lt;/Author&gt;&lt;Year&gt;2014&lt;/Year&gt;&lt;RecNum&gt;4584&lt;/RecNum&gt;&lt;DisplayText&gt;(Lyons, Emslie, &amp;amp; Hunt, 2014)&lt;/DisplayText&gt;&lt;record&gt;&lt;rec-number&gt;4584&lt;/rec-number&gt;&lt;foreign-keys&gt;&lt;key app="EN" db-id="vpzw22r22rsz2mexdxj5txzmfffefzewte9r" timestamp="1541779913"&gt;4584&lt;/key&gt;&lt;/foreign-keys&gt;&lt;ref-type name="Journal Article"&gt;17&lt;/ref-type&gt;&lt;contributors&gt;&lt;authors&gt;&lt;author&gt;Lyons, Antonia C.&lt;/author&gt;&lt;author&gt;Emslie, Carol&lt;/author&gt;&lt;author&gt;Hunt, Kate&lt;/author&gt;&lt;/authors&gt;&lt;/contributors&gt;&lt;titles&gt;&lt;title&gt;Staying ‘in the zone’ but not passing the ‘point of no return’: embodiment, gender and drinking in mid-life&lt;/title&gt;&lt;secondary-title&gt;Sociology of Health &amp;amp; Illness&lt;/secondary-title&gt;&lt;/titles&gt;&lt;periodical&gt;&lt;full-title&gt;Sociology of Health &amp;amp; Illness&lt;/full-title&gt;&lt;/periodical&gt;&lt;pages&gt;264-277&lt;/pages&gt;&lt;volume&gt;36&lt;/volume&gt;&lt;number&gt;2&lt;/number&gt;&lt;keywords&gt;&lt;keyword&gt;alcohol consumption&lt;/keyword&gt;&lt;keyword&gt;embodiment&lt;/keyword&gt;&lt;keyword&gt;gender&lt;/keyword&gt;&lt;keyword&gt;health behaviour&lt;/keyword&gt;&lt;/keywords&gt;&lt;dates&gt;&lt;year&gt;2014&lt;/year&gt;&lt;pub-dates&gt;&lt;date&gt;2014/02/01&lt;/date&gt;&lt;/pub-dates&gt;&lt;/dates&gt;&lt;publisher&gt;John Wiley &amp;amp; Sons, Ltd&lt;/publisher&gt;&lt;isbn&gt;0141-9889&lt;/isbn&gt;&lt;urls&gt;&lt;related-urls&gt;&lt;url&gt;https://doi.org/10.1111/1467-9566.12103&lt;/url&gt;&lt;/related-urls&gt;&lt;/urls&gt;&lt;electronic-resource-num&gt;10.1111/1467-9566.12103&lt;/electronic-resource-num&gt;&lt;access-date&gt;2018/11/09&lt;/access-date&gt;&lt;/record&gt;&lt;/Cite&gt;&lt;/EndNote&gt;</w:instrText>
      </w:r>
      <w:r w:rsidR="003C490F"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(Lyons, Emslie, &amp; Hunt, 2014)</w:t>
      </w:r>
      <w:r w:rsidR="003C490F" w:rsidRPr="00552D93">
        <w:rPr>
          <w:rFonts w:ascii="Cambria" w:eastAsia="Times New Roman" w:hAnsi="Cambria" w:cs="Times New Roman"/>
          <w:bCs/>
          <w:lang w:eastAsia="en-GB"/>
        </w:rPr>
        <w:fldChar w:fldCharType="end"/>
      </w:r>
      <w:r w:rsidR="00BE6880" w:rsidRPr="00552D93">
        <w:rPr>
          <w:rFonts w:ascii="Cambria" w:eastAsia="Times New Roman" w:hAnsi="Cambria" w:cs="Times New Roman"/>
          <w:bCs/>
          <w:lang w:eastAsia="en-GB"/>
        </w:rPr>
        <w:t>;</w:t>
      </w:r>
      <w:r w:rsidR="003C490F" w:rsidRPr="00552D93">
        <w:rPr>
          <w:rFonts w:ascii="Cambria" w:eastAsia="Times New Roman" w:hAnsi="Cambria" w:cs="Times New Roman"/>
          <w:bCs/>
          <w:lang w:eastAsia="en-GB"/>
        </w:rPr>
        <w:t xml:space="preserve"> ‘</w:t>
      </w:r>
      <w:r w:rsidR="00B92892" w:rsidRPr="00552D93">
        <w:rPr>
          <w:rFonts w:ascii="Cambria" w:eastAsia="Times New Roman" w:hAnsi="Cambria" w:cs="Times New Roman"/>
          <w:bCs/>
          <w:lang w:eastAsia="en-GB"/>
        </w:rPr>
        <w:t>s</w:t>
      </w:r>
      <w:r w:rsidR="003C490F" w:rsidRPr="00552D93">
        <w:rPr>
          <w:rFonts w:ascii="Cambria" w:eastAsia="Times New Roman" w:hAnsi="Cambria" w:cs="Times New Roman"/>
          <w:bCs/>
          <w:lang w:eastAsia="en-GB"/>
        </w:rPr>
        <w:t xml:space="preserve">taying in the </w:t>
      </w:r>
      <w:r w:rsidR="00B92892" w:rsidRPr="00552D93">
        <w:rPr>
          <w:rFonts w:ascii="Cambria" w:eastAsia="Times New Roman" w:hAnsi="Cambria" w:cs="Times New Roman"/>
          <w:bCs/>
          <w:lang w:eastAsia="en-GB"/>
        </w:rPr>
        <w:t>s</w:t>
      </w:r>
      <w:r w:rsidR="003C490F" w:rsidRPr="00552D93">
        <w:rPr>
          <w:rFonts w:ascii="Cambria" w:eastAsia="Times New Roman" w:hAnsi="Cambria" w:cs="Times New Roman"/>
          <w:bCs/>
          <w:lang w:eastAsia="en-GB"/>
        </w:rPr>
        <w:t xml:space="preserve">weet </w:t>
      </w:r>
      <w:r w:rsidR="00B92892" w:rsidRPr="00552D93">
        <w:rPr>
          <w:rFonts w:ascii="Cambria" w:eastAsia="Times New Roman" w:hAnsi="Cambria" w:cs="Times New Roman"/>
          <w:bCs/>
          <w:lang w:eastAsia="en-GB"/>
        </w:rPr>
        <w:t>s</w:t>
      </w:r>
      <w:r w:rsidR="003C490F" w:rsidRPr="00552D93">
        <w:rPr>
          <w:rFonts w:ascii="Cambria" w:eastAsia="Times New Roman" w:hAnsi="Cambria" w:cs="Times New Roman"/>
          <w:bCs/>
          <w:lang w:eastAsia="en-GB"/>
        </w:rPr>
        <w:t xml:space="preserve">pot’ </w:t>
      </w:r>
      <w:r w:rsidR="009160A7"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&lt;EndNote&gt;&lt;Cite&gt;&lt;Author&gt;Graber&lt;/Author&gt;&lt;Year&gt;2016&lt;/Year&gt;&lt;RecNum&gt;4090&lt;/RecNum&gt;&lt;IDText&gt;Staying in the &amp;apos;sweet spot&amp;apos;: A resilience-based analysis of the lived experience of low-risk drinking and abstention among British youth&lt;/IDText&gt;&lt;DisplayText&gt;(Graber et al., 2016)&lt;/DisplayText&gt;&lt;record&gt;&lt;rec-number&gt;4090&lt;/rec-number&gt;&lt;foreign-keys&gt;&lt;key app="EN" db-id="te5rs0t0nprf99ep09vxza050r9t99faf9td" timestamp="1526553792"&gt;4090&lt;/key&gt;&lt;/foreign-keys&gt;&lt;ref-type name="Journal Article"&gt;17&lt;/ref-type&gt;&lt;contributors&gt;&lt;authors&gt;&lt;author&gt;Graber, R.&lt;/author&gt;&lt;author&gt;de Visser, R. O.&lt;/author&gt;&lt;author&gt;Abraham, C.&lt;/author&gt;&lt;author&gt;Memon, A.&lt;/author&gt;&lt;author&gt;Hart, A.&lt;/author&gt;&lt;author&gt;Hunt, K.&lt;/author&gt;&lt;/authors&gt;&lt;/contributors&gt;&lt;titles&gt;&lt;title&gt;Staying in the &amp;apos;sweet spot&amp;apos;: A resilience-based analysis of the lived experience of low-risk drinking and abstention among British youth&lt;/title&gt;&lt;secondary-title&gt;Psychology &amp;amp; Health&lt;/secondary-title&gt;&lt;/titles&gt;&lt;periodical&gt;&lt;full-title&gt;Psychology &amp;amp; Health&lt;/full-title&gt;&lt;abbr-1&gt;Psychol. Health&lt;/abbr-1&gt;&lt;/periodical&gt;&lt;pages&gt;79-99&lt;/pages&gt;&lt;volume&gt;31&lt;/volume&gt;&lt;number&gt;1&lt;/number&gt;&lt;dates&gt;&lt;year&gt;2016&lt;/year&gt;&lt;pub-dates&gt;&lt;date&gt;Jan&lt;/date&gt;&lt;/pub-dates&gt;&lt;/dates&gt;&lt;isbn&gt;0887-0446&lt;/isbn&gt;&lt;accession-num&gt;WOS:000364556600006&lt;/accession-num&gt;&lt;urls&gt;&lt;related-urls&gt;&lt;url&gt;&amp;lt;Go to WoS&amp;gt;://WOS:000362688800012&lt;/url&gt;&lt;/related-urls&gt;&lt;/urls&gt;&lt;electronic-resource-num&gt;10.1080/08870446.2015.1070852&lt;/electronic-resource-num&gt;&lt;/record&gt;&lt;/Cite&gt;&lt;/EndNote&gt;</w:instrText>
      </w:r>
      <w:r w:rsidR="009160A7"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(Graber et al., 2016)</w:t>
      </w:r>
      <w:r w:rsidR="009160A7" w:rsidRPr="00552D93">
        <w:rPr>
          <w:rFonts w:ascii="Cambria" w:eastAsia="Times New Roman" w:hAnsi="Cambria" w:cs="Times New Roman"/>
          <w:bCs/>
          <w:lang w:eastAsia="en-GB"/>
        </w:rPr>
        <w:fldChar w:fldCharType="end"/>
      </w:r>
      <w:r w:rsidR="009160A7" w:rsidRPr="00552D93">
        <w:rPr>
          <w:rFonts w:ascii="Cambria" w:eastAsia="Times New Roman" w:hAnsi="Cambria" w:cs="Times New Roman"/>
          <w:bCs/>
          <w:lang w:eastAsia="en-GB"/>
        </w:rPr>
        <w:t>;</w:t>
      </w:r>
      <w:r w:rsidR="00BE6880" w:rsidRPr="00552D93">
        <w:rPr>
          <w:rFonts w:ascii="Cambria" w:eastAsia="Times New Roman" w:hAnsi="Cambria" w:cs="Times New Roman"/>
          <w:bCs/>
          <w:lang w:eastAsia="en-GB"/>
        </w:rPr>
        <w:t xml:space="preserve"> </w:t>
      </w:r>
      <w:r w:rsidR="003C490F" w:rsidRPr="00552D93">
        <w:rPr>
          <w:rFonts w:ascii="Cambria" w:eastAsia="Times New Roman" w:hAnsi="Cambria" w:cs="Times New Roman"/>
          <w:bCs/>
          <w:lang w:eastAsia="en-GB"/>
        </w:rPr>
        <w:t xml:space="preserve">the ‘ideal state’ </w:t>
      </w:r>
      <w:r w:rsidR="003C490F"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&lt;EndNote&gt;&lt;Cite&gt;&lt;Author&gt;Zajdow&lt;/Author&gt;&lt;Year&gt;2014&lt;/Year&gt;&lt;RecNum&gt;3670&lt;/RecNum&gt;&lt;DisplayText&gt;(Zajdow &amp;amp; MacLean, 2014)&lt;/DisplayText&gt;&lt;record&gt;&lt;rec-number&gt;3670&lt;/rec-number&gt;&lt;foreign-keys&gt;&lt;key app="EN" db-id="te5rs0t0nprf99ep09vxza050r9t99faf9td" timestamp="1526553761"&gt;3670&lt;/key&gt;&lt;/foreign-keys&gt;&lt;ref-type name="Journal Article"&gt;17&lt;/ref-type&gt;&lt;contributors&gt;&lt;authors&gt;&lt;author&gt;Zajdow, Grazyna&lt;/author&gt;&lt;author&gt;MacLean, Sarah&lt;/author&gt;&lt;/authors&gt;&lt;/contributors&gt;&lt;titles&gt;&lt;title&gt;“I Just Drink for That Tipsy Stage”: Young Adults and Embodied Management of Alcohol Use&lt;/title&gt;&lt;secondary-title&gt;Contemporary Drug Problems&lt;/secondary-title&gt;&lt;/titles&gt;&lt;periodical&gt;&lt;full-title&gt;Contemporary Drug Problems&lt;/full-title&gt;&lt;/periodical&gt;&lt;pages&gt;522-535&lt;/pages&gt;&lt;volume&gt;41&lt;/volume&gt;&lt;number&gt;4&lt;/number&gt;&lt;dates&gt;&lt;year&gt;2014&lt;/year&gt;&lt;/dates&gt;&lt;urls&gt;&lt;related-urls&gt;&lt;url&gt;http://cdx.sagepub.com/content/41/4/522.abstractN2 - Many young adults aim for a state of tipsiness, where control is not abandoned when they drink alcohol&lt;/url&gt;&lt;url&gt;however, this level of intoxication is very difficult to get right. Interviews conducted with 60 drinkers aged 18–24 years in Melbourne, Australia, indicate that few counted standard drinks and most spoke of attending to bodily signs that they had had enough and should not drink more. This strategy was ineffective for a small proportion of interviewees who never felt too drunk. To understand young adults’ efforts to manage intoxication, we use Mol and Law’s notion of excorporation. The partial nature of intoxicated self-control led young adults to arrange to be in settings where external restraints to drinking would operate. Alcohol policy should acknowledge the mosaic and embodied nature of self-control for young adults in the nighttime economy and focus on the development of settings where drinking and associated harms are minimized.&lt;/url&gt;&lt;/related-urls&gt;&lt;/urls&gt;&lt;/record&gt;&lt;/Cite&gt;&lt;/EndNote&gt;</w:instrText>
      </w:r>
      <w:r w:rsidR="003C490F"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(Zajdow &amp; MacLean, 2014)</w:t>
      </w:r>
      <w:r w:rsidR="003C490F" w:rsidRPr="00552D93">
        <w:rPr>
          <w:rFonts w:ascii="Cambria" w:eastAsia="Times New Roman" w:hAnsi="Cambria" w:cs="Times New Roman"/>
          <w:bCs/>
          <w:lang w:eastAsia="en-GB"/>
        </w:rPr>
        <w:fldChar w:fldCharType="end"/>
      </w:r>
      <w:r w:rsidR="00BE6880" w:rsidRPr="00552D93">
        <w:rPr>
          <w:rFonts w:ascii="Cambria" w:eastAsia="Times New Roman" w:hAnsi="Cambria" w:cs="Times New Roman"/>
          <w:bCs/>
          <w:lang w:eastAsia="en-GB"/>
        </w:rPr>
        <w:t>;</w:t>
      </w:r>
      <w:r w:rsidR="003C490F" w:rsidRPr="00552D93">
        <w:rPr>
          <w:rFonts w:ascii="Cambria" w:eastAsia="Times New Roman" w:hAnsi="Cambria" w:cs="Times New Roman"/>
          <w:bCs/>
          <w:lang w:eastAsia="en-GB"/>
        </w:rPr>
        <w:t xml:space="preserve"> ‘acceptable level of intoxication</w:t>
      </w:r>
      <w:r w:rsidR="00BE6880" w:rsidRPr="00552D93">
        <w:rPr>
          <w:rFonts w:ascii="Cambria" w:eastAsia="Times New Roman" w:hAnsi="Cambria" w:cs="Times New Roman"/>
          <w:bCs/>
          <w:lang w:eastAsia="en-GB"/>
        </w:rPr>
        <w:t>’</w:t>
      </w:r>
      <w:r w:rsidR="003C490F" w:rsidRPr="00552D93">
        <w:rPr>
          <w:rFonts w:ascii="Cambria" w:eastAsia="Times New Roman" w:hAnsi="Cambria" w:cs="Times New Roman"/>
          <w:bCs/>
          <w:lang w:eastAsia="en-GB"/>
        </w:rPr>
        <w:t xml:space="preserve"> </w:t>
      </w:r>
      <w:r w:rsidR="003C490F"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&lt;EndNote&gt;&lt;Cite&gt;&lt;Author&gt;Aresi&lt;/Author&gt;&lt;Year&gt;2016&lt;/Year&gt;&lt;RecNum&gt;4309&lt;/RecNum&gt;&lt;DisplayText&gt;(Aresi &amp;amp; Pedersen, 2016)&lt;/DisplayText&gt;&lt;record&gt;&lt;rec-number&gt;4309&lt;/rec-number&gt;&lt;foreign-keys&gt;&lt;key app="EN" db-id="te5rs0t0nprf99ep09vxza050r9t99faf9td" timestamp="1526553816"&gt;4309&lt;/key&gt;&lt;/foreign-keys&gt;&lt;ref-type name="Journal Article"&gt;17&lt;/ref-type&gt;&lt;contributors&gt;&lt;authors&gt;&lt;author&gt;Aresi, Giovanni&lt;/author&gt;&lt;author&gt;Pedersen, Eric R.&lt;/author&gt;&lt;/authors&gt;&lt;/contributors&gt;&lt;titles&gt;&lt;title&gt;‘That right level of intoxication’: A Grounded Theory study on young adults’ drinking in nightlife settings&lt;/title&gt;&lt;secondary-title&gt;Journal of Youth Studies&lt;/secondary-title&gt;&lt;/titles&gt;&lt;periodical&gt;&lt;full-title&gt;Journal of Youth Studies&lt;/full-title&gt;&lt;/periodical&gt;&lt;pages&gt;204-220&lt;/pages&gt;&lt;volume&gt;19&lt;/volume&gt;&lt;number&gt;2&lt;/number&gt;&lt;dates&gt;&lt;year&gt;2016&lt;/year&gt;&lt;pub-dates&gt;&lt;date&gt;2016/02/07&lt;/date&gt;&lt;/pub-dates&gt;&lt;/dates&gt;&lt;publisher&gt;Routledge&lt;/publisher&gt;&lt;isbn&gt;1367-6261&lt;/isbn&gt;&lt;urls&gt;&lt;related-urls&gt;&lt;url&gt;http://dx.doi.org/10.1080/13676261.2015.1059931&lt;/url&gt;&lt;/related-urls&gt;&lt;/urls&gt;&lt;electronic-resource-num&gt;10.1080/13676261.2015.1059931&lt;/electronic-resource-num&gt;&lt;/record&gt;&lt;/Cite&gt;&lt;/EndNote&gt;</w:instrText>
      </w:r>
      <w:r w:rsidR="003C490F"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(Aresi &amp; Pedersen, 2016)</w:t>
      </w:r>
      <w:r w:rsidR="003C490F" w:rsidRPr="00552D93">
        <w:rPr>
          <w:rFonts w:ascii="Cambria" w:eastAsia="Times New Roman" w:hAnsi="Cambria" w:cs="Times New Roman"/>
          <w:bCs/>
          <w:lang w:eastAsia="en-GB"/>
        </w:rPr>
        <w:fldChar w:fldCharType="end"/>
      </w:r>
      <w:r w:rsidR="003C490F" w:rsidRPr="00552D93">
        <w:rPr>
          <w:rFonts w:ascii="Cambria" w:eastAsia="Times New Roman" w:hAnsi="Cambria" w:cs="Times New Roman"/>
          <w:bCs/>
          <w:lang w:eastAsia="en-GB"/>
        </w:rPr>
        <w:t xml:space="preserve">. </w:t>
      </w:r>
      <w:r w:rsidR="000A26D4" w:rsidRPr="00552D93">
        <w:rPr>
          <w:rFonts w:ascii="Cambria" w:eastAsia="Times New Roman" w:hAnsi="Cambria" w:cs="Times New Roman"/>
          <w:bCs/>
          <w:lang w:eastAsia="en-GB"/>
        </w:rPr>
        <w:t>Identifying the</w:t>
      </w:r>
      <w:r w:rsidR="003C490F" w:rsidRPr="00552D93">
        <w:rPr>
          <w:rFonts w:ascii="Cambria" w:eastAsia="Times New Roman" w:hAnsi="Cambria" w:cs="Times New Roman"/>
          <w:bCs/>
          <w:lang w:eastAsia="en-GB"/>
        </w:rPr>
        <w:t xml:space="preserve"> acceptable level of alcohol consumption is based on personal experience</w:t>
      </w:r>
      <w:r w:rsidR="00B92892" w:rsidRPr="00552D93">
        <w:rPr>
          <w:rFonts w:ascii="Cambria" w:eastAsia="Times New Roman" w:hAnsi="Cambria" w:cs="Times New Roman"/>
          <w:bCs/>
          <w:lang w:eastAsia="en-GB"/>
        </w:rPr>
        <w:t xml:space="preserve"> </w:t>
      </w:r>
      <w:r w:rsidR="003C490F" w:rsidRPr="00552D93">
        <w:rPr>
          <w:rFonts w:ascii="Cambria" w:eastAsia="Times New Roman" w:hAnsi="Cambria" w:cs="Times New Roman"/>
          <w:bCs/>
          <w:lang w:eastAsia="en-GB"/>
        </w:rPr>
        <w:t xml:space="preserve">over time, </w:t>
      </w:r>
      <w:r w:rsidR="00B92892" w:rsidRPr="00552D93">
        <w:rPr>
          <w:rFonts w:ascii="Cambria" w:eastAsia="Times New Roman" w:hAnsi="Cambria" w:cs="Times New Roman"/>
          <w:bCs/>
          <w:lang w:eastAsia="en-GB"/>
        </w:rPr>
        <w:t xml:space="preserve">learned </w:t>
      </w:r>
      <w:r w:rsidR="003C490F" w:rsidRPr="00552D93">
        <w:rPr>
          <w:rFonts w:ascii="Cambria" w:eastAsia="Times New Roman" w:hAnsi="Cambria" w:cs="Times New Roman"/>
          <w:bCs/>
          <w:lang w:eastAsia="en-GB"/>
        </w:rPr>
        <w:t xml:space="preserve">through trial and error </w:t>
      </w:r>
      <w:r w:rsidR="00F4452C"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&lt;EndNote&gt;&lt;Cite&gt;&lt;Author&gt;Burgess&lt;/Author&gt;&lt;Year&gt;2019&lt;/Year&gt;&lt;RecNum&gt;4615&lt;/RecNum&gt;&lt;DisplayText&gt;(Burgess, Cooke, &amp;amp; Davies, 2019)&lt;/DisplayText&gt;&lt;record&gt;&lt;rec-number&gt;4615&lt;/rec-number&gt;&lt;foreign-keys&gt;&lt;key app="EN" db-id="te5rs0t0nprf99ep09vxza050r9t99faf9td" timestamp="1542191010"&gt;4615&lt;/key&gt;&lt;/foreign-keys&gt;&lt;ref-type name="Journal Article"&gt;17&lt;/ref-type&gt;&lt;contributors&gt;&lt;authors&gt;&lt;author&gt;Burgess, M.&lt;/author&gt;&lt;author&gt;Cooke, R.&lt;/author&gt;&lt;author&gt;Davies, E. L.&lt;/author&gt;&lt;/authors&gt;&lt;/contributors&gt;&lt;titles&gt;&lt;title&gt;My own personal hell: Approaching and exceeding thresholds of too much alcohol&lt;/title&gt;&lt;secondary-title&gt;Psychology &amp;amp; Health&lt;/secondary-title&gt;&lt;/titles&gt;&lt;periodical&gt;&lt;full-title&gt;Psychology &amp;amp; Health&lt;/full-title&gt;&lt;abbr-1&gt;Psychol. Health&lt;/abbr-1&gt;&lt;/periodical&gt;&lt;dates&gt;&lt;year&gt;2019&lt;/year&gt;&lt;/dates&gt;&lt;urls&gt;&lt;/urls&gt;&lt;electronic-resource-num&gt;https://doi.org/10.1080/08870446.2019.1616087&lt;/electronic-resource-num&gt;&lt;/record&gt;&lt;/Cite&gt;&lt;/EndNote&gt;</w:instrText>
      </w:r>
      <w:r w:rsidR="00F4452C"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(Burgess, Cooke, &amp; Davies, 2019)</w:t>
      </w:r>
      <w:r w:rsidR="00F4452C" w:rsidRPr="00552D93">
        <w:rPr>
          <w:rFonts w:ascii="Cambria" w:eastAsia="Times New Roman" w:hAnsi="Cambria" w:cs="Times New Roman"/>
          <w:bCs/>
          <w:lang w:eastAsia="en-GB"/>
        </w:rPr>
        <w:fldChar w:fldCharType="end"/>
      </w:r>
      <w:r w:rsidR="00F4452C" w:rsidRPr="00552D93">
        <w:rPr>
          <w:rFonts w:ascii="Cambria" w:eastAsia="Times New Roman" w:hAnsi="Cambria" w:cs="Times New Roman"/>
          <w:bCs/>
          <w:lang w:eastAsia="en-GB"/>
        </w:rPr>
        <w:t>.</w:t>
      </w:r>
      <w:r w:rsidRPr="00552D93">
        <w:rPr>
          <w:rFonts w:ascii="Cambria" w:eastAsia="Times New Roman" w:hAnsi="Cambria" w:cs="Times New Roman"/>
          <w:bCs/>
          <w:lang w:eastAsia="en-GB"/>
        </w:rPr>
        <w:t xml:space="preserve"> Recent research suggests social norms about the general level of drunkenness among others is distorted and that many </w:t>
      </w:r>
      <w:r w:rsidR="000A26D4" w:rsidRPr="00552D93">
        <w:rPr>
          <w:rFonts w:ascii="Cambria" w:eastAsia="Times New Roman" w:hAnsi="Cambria" w:cs="Times New Roman"/>
          <w:bCs/>
          <w:lang w:eastAsia="en-GB"/>
        </w:rPr>
        <w:t xml:space="preserve">people </w:t>
      </w:r>
      <w:r w:rsidRPr="00552D93">
        <w:rPr>
          <w:rFonts w:ascii="Cambria" w:eastAsia="Times New Roman" w:hAnsi="Cambria" w:cs="Times New Roman"/>
          <w:bCs/>
          <w:lang w:eastAsia="en-GB"/>
        </w:rPr>
        <w:t xml:space="preserve">often exceed their desired level of intoxication </w:t>
      </w:r>
      <w:r w:rsidR="00646A0C"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&lt;EndNote&gt;&lt;Cite&gt;&lt;Author&gt;Hughes&lt;/Author&gt;&lt;Year&gt;2019&lt;/Year&gt;&lt;RecNum&gt;4816&lt;/RecNum&gt;&lt;DisplayText&gt;(Hughes et al., 2019)&lt;/DisplayText&gt;&lt;record&gt;&lt;rec-number&gt;4816&lt;/rec-number&gt;&lt;foreign-keys&gt;&lt;key app="EN" db-id="te5rs0t0nprf99ep09vxza050r9t99faf9td" timestamp="1566213776"&gt;4816&lt;/key&gt;&lt;/foreign-keys&gt;&lt;ref-type name="Journal Article"&gt;17&lt;/ref-type&gt;&lt;contributors&gt;&lt;authors&gt;&lt;author&gt;Hughes, Karen&lt;/author&gt;&lt;author&gt;Quigg, Zara&lt;/author&gt;&lt;author&gt;Ford, Kat&lt;/author&gt;&lt;author&gt;Bellis, Mark A.&lt;/author&gt;&lt;/authors&gt;&lt;/contributors&gt;&lt;titles&gt;&lt;title&gt;Ideal, expected and perceived descriptive norm drunkenness in UK nightlife environments: a cross-sectional study&lt;/title&gt;&lt;secondary-title&gt;BMC Public Health&lt;/secondary-title&gt;&lt;/titles&gt;&lt;periodical&gt;&lt;full-title&gt;Bmc Public Health&lt;/full-title&gt;&lt;/periodical&gt;&lt;pages&gt;442&lt;/pages&gt;&lt;volume&gt;19&lt;/volume&gt;&lt;number&gt;1&lt;/number&gt;&lt;dates&gt;&lt;year&gt;2019&lt;/year&gt;&lt;pub-dates&gt;&lt;date&gt;2019/04/27&lt;/date&gt;&lt;/pub-dates&gt;&lt;/dates&gt;&lt;isbn&gt;1471-2458&lt;/isbn&gt;&lt;urls&gt;&lt;related-urls&gt;&lt;url&gt;https://doi.org/10.1186/s12889-019-6802-5&lt;/url&gt;&lt;/related-urls&gt;&lt;/urls&gt;&lt;electronic-resource-num&gt;10.1186/s12889-019-6802-5&lt;/electronic-resource-num&gt;&lt;/record&gt;&lt;/Cite&gt;&lt;/EndNote&gt;</w:instrText>
      </w:r>
      <w:r w:rsidR="00646A0C"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(Hughes et al., 2019)</w:t>
      </w:r>
      <w:r w:rsidR="00646A0C" w:rsidRPr="00552D93">
        <w:rPr>
          <w:rFonts w:ascii="Cambria" w:eastAsia="Times New Roman" w:hAnsi="Cambria" w:cs="Times New Roman"/>
          <w:bCs/>
          <w:lang w:eastAsia="en-GB"/>
        </w:rPr>
        <w:fldChar w:fldCharType="end"/>
      </w:r>
      <w:r w:rsidR="00646A0C" w:rsidRPr="00552D93">
        <w:rPr>
          <w:rFonts w:ascii="Cambria" w:eastAsia="Times New Roman" w:hAnsi="Cambria" w:cs="Times New Roman"/>
          <w:bCs/>
          <w:lang w:eastAsia="en-GB"/>
        </w:rPr>
        <w:t>.</w:t>
      </w:r>
    </w:p>
    <w:p w14:paraId="5D4FAEDC" w14:textId="5CEB1CE2" w:rsidR="00123AEF" w:rsidRPr="00552D93" w:rsidRDefault="008069DF" w:rsidP="00AA49E1">
      <w:pPr>
        <w:spacing w:before="100" w:beforeAutospacing="1" w:after="100" w:afterAutospacing="1" w:line="480" w:lineRule="auto"/>
        <w:rPr>
          <w:rFonts w:ascii="Cambria" w:eastAsia="Times New Roman" w:hAnsi="Cambria" w:cs="Times New Roman"/>
          <w:bCs/>
          <w:lang w:eastAsia="en-GB"/>
        </w:rPr>
      </w:pPr>
      <w:r w:rsidRPr="00552D93">
        <w:rPr>
          <w:rFonts w:ascii="Cambria" w:eastAsia="Times New Roman" w:hAnsi="Cambria" w:cs="Times New Roman"/>
          <w:bCs/>
          <w:lang w:eastAsia="en-GB"/>
        </w:rPr>
        <w:t>T</w:t>
      </w:r>
      <w:r w:rsidR="0094633F" w:rsidRPr="00552D93">
        <w:rPr>
          <w:rFonts w:ascii="Cambria" w:eastAsia="Times New Roman" w:hAnsi="Cambria" w:cs="Times New Roman"/>
          <w:bCs/>
          <w:lang w:eastAsia="en-GB"/>
        </w:rPr>
        <w:t xml:space="preserve">he desired point </w:t>
      </w:r>
      <w:r w:rsidR="006A6310" w:rsidRPr="00552D93">
        <w:rPr>
          <w:rFonts w:ascii="Cambria" w:eastAsia="Times New Roman" w:hAnsi="Cambria" w:cs="Times New Roman"/>
          <w:bCs/>
          <w:lang w:eastAsia="en-GB"/>
        </w:rPr>
        <w:t xml:space="preserve">of intoxication </w:t>
      </w:r>
      <w:r w:rsidRPr="00552D93">
        <w:rPr>
          <w:rFonts w:ascii="Cambria" w:eastAsia="Times New Roman" w:hAnsi="Cambria" w:cs="Times New Roman"/>
          <w:bCs/>
          <w:lang w:eastAsia="en-GB"/>
        </w:rPr>
        <w:t xml:space="preserve">may also vary </w:t>
      </w:r>
      <w:r w:rsidR="0094633F" w:rsidRPr="00552D93">
        <w:rPr>
          <w:rFonts w:ascii="Cambria" w:eastAsia="Times New Roman" w:hAnsi="Cambria" w:cs="Times New Roman"/>
          <w:bCs/>
          <w:lang w:eastAsia="en-GB"/>
        </w:rPr>
        <w:t xml:space="preserve">between </w:t>
      </w:r>
      <w:r w:rsidRPr="00552D93">
        <w:rPr>
          <w:rFonts w:ascii="Cambria" w:eastAsia="Times New Roman" w:hAnsi="Cambria" w:cs="Times New Roman"/>
          <w:bCs/>
          <w:lang w:eastAsia="en-GB"/>
        </w:rPr>
        <w:t xml:space="preserve">and </w:t>
      </w:r>
      <w:r w:rsidR="000A26D4" w:rsidRPr="00552D93">
        <w:rPr>
          <w:rFonts w:ascii="Cambria" w:eastAsia="Times New Roman" w:hAnsi="Cambria" w:cs="Times New Roman"/>
          <w:bCs/>
          <w:lang w:eastAsia="en-GB"/>
        </w:rPr>
        <w:t xml:space="preserve">within </w:t>
      </w:r>
      <w:r w:rsidR="0094633F" w:rsidRPr="00552D93">
        <w:rPr>
          <w:rFonts w:ascii="Cambria" w:eastAsia="Times New Roman" w:hAnsi="Cambria" w:cs="Times New Roman"/>
          <w:bCs/>
          <w:lang w:eastAsia="en-GB"/>
        </w:rPr>
        <w:t>people</w:t>
      </w:r>
      <w:r w:rsidR="00911599" w:rsidRPr="00552D93">
        <w:rPr>
          <w:rFonts w:ascii="Cambria" w:eastAsia="Times New Roman" w:hAnsi="Cambria" w:cs="Times New Roman"/>
          <w:bCs/>
          <w:lang w:eastAsia="en-GB"/>
        </w:rPr>
        <w:t xml:space="preserve"> depending on the situation</w:t>
      </w:r>
      <w:r w:rsidR="0094633F" w:rsidRPr="00552D93">
        <w:rPr>
          <w:rFonts w:ascii="Cambria" w:eastAsia="Times New Roman" w:hAnsi="Cambria" w:cs="Times New Roman"/>
          <w:bCs/>
          <w:lang w:eastAsia="en-GB"/>
        </w:rPr>
        <w:t xml:space="preserve">. </w:t>
      </w:r>
      <w:r w:rsidR="003C490F" w:rsidRPr="00552D93">
        <w:rPr>
          <w:rFonts w:ascii="Cambria" w:eastAsia="Times New Roman" w:hAnsi="Cambria" w:cs="Times New Roman"/>
          <w:bCs/>
          <w:lang w:eastAsia="en-GB"/>
        </w:rPr>
        <w:t xml:space="preserve">While </w:t>
      </w:r>
      <w:r w:rsidR="00BB6FA1" w:rsidRPr="00552D93">
        <w:rPr>
          <w:rFonts w:ascii="Cambria" w:eastAsia="Times New Roman" w:hAnsi="Cambria" w:cs="Times New Roman"/>
          <w:bCs/>
          <w:lang w:eastAsia="en-GB"/>
        </w:rPr>
        <w:t xml:space="preserve">most </w:t>
      </w:r>
      <w:r w:rsidR="003C490F" w:rsidRPr="00552D93">
        <w:rPr>
          <w:rFonts w:ascii="Cambria" w:eastAsia="Times New Roman" w:hAnsi="Cambria" w:cs="Times New Roman"/>
          <w:bCs/>
          <w:lang w:eastAsia="en-GB"/>
        </w:rPr>
        <w:t xml:space="preserve">people </w:t>
      </w:r>
      <w:r w:rsidR="00BB6FA1" w:rsidRPr="00552D93">
        <w:rPr>
          <w:rFonts w:ascii="Cambria" w:eastAsia="Times New Roman" w:hAnsi="Cambria" w:cs="Times New Roman"/>
          <w:bCs/>
          <w:lang w:eastAsia="en-GB"/>
        </w:rPr>
        <w:t xml:space="preserve">want </w:t>
      </w:r>
      <w:r w:rsidR="003C490F" w:rsidRPr="00552D93">
        <w:rPr>
          <w:rFonts w:ascii="Cambria" w:eastAsia="Times New Roman" w:hAnsi="Cambria" w:cs="Times New Roman"/>
          <w:bCs/>
          <w:lang w:eastAsia="en-GB"/>
        </w:rPr>
        <w:t>to stay ‘in the zone’ where they experience the most pleasure</w:t>
      </w:r>
      <w:r w:rsidR="0094633F" w:rsidRPr="00552D93">
        <w:rPr>
          <w:rFonts w:ascii="Cambria" w:eastAsia="Times New Roman" w:hAnsi="Cambria" w:cs="Times New Roman"/>
          <w:bCs/>
          <w:lang w:eastAsia="en-GB"/>
        </w:rPr>
        <w:t xml:space="preserve"> (as </w:t>
      </w:r>
      <w:r w:rsidR="00594D0E" w:rsidRPr="00552D93">
        <w:rPr>
          <w:rFonts w:ascii="Cambria" w:eastAsia="Times New Roman" w:hAnsi="Cambria" w:cs="Times New Roman"/>
          <w:bCs/>
          <w:lang w:eastAsia="en-GB"/>
        </w:rPr>
        <w:t>intoxicated</w:t>
      </w:r>
      <w:r w:rsidR="0094633F" w:rsidRPr="00552D93">
        <w:rPr>
          <w:rFonts w:ascii="Cambria" w:eastAsia="Times New Roman" w:hAnsi="Cambria" w:cs="Times New Roman"/>
          <w:bCs/>
          <w:lang w:eastAsia="en-GB"/>
        </w:rPr>
        <w:t xml:space="preserve"> as they wish to be)</w:t>
      </w:r>
      <w:r w:rsidR="003C490F" w:rsidRPr="00552D93">
        <w:rPr>
          <w:rFonts w:ascii="Cambria" w:eastAsia="Times New Roman" w:hAnsi="Cambria" w:cs="Times New Roman"/>
          <w:bCs/>
          <w:lang w:eastAsia="en-GB"/>
        </w:rPr>
        <w:t>, occasionally the</w:t>
      </w:r>
      <w:r w:rsidR="0094633F" w:rsidRPr="00552D93">
        <w:rPr>
          <w:rFonts w:ascii="Cambria" w:eastAsia="Times New Roman" w:hAnsi="Cambria" w:cs="Times New Roman"/>
          <w:bCs/>
          <w:lang w:eastAsia="en-GB"/>
        </w:rPr>
        <w:t xml:space="preserve">ir consumption </w:t>
      </w:r>
      <w:r w:rsidR="006041CC" w:rsidRPr="00552D93">
        <w:rPr>
          <w:rFonts w:ascii="Cambria" w:eastAsia="Times New Roman" w:hAnsi="Cambria" w:cs="Times New Roman"/>
          <w:bCs/>
          <w:lang w:eastAsia="en-GB"/>
        </w:rPr>
        <w:t xml:space="preserve">increases </w:t>
      </w:r>
      <w:r w:rsidR="007831F3" w:rsidRPr="00552D93">
        <w:rPr>
          <w:rFonts w:ascii="Cambria" w:eastAsia="Times New Roman" w:hAnsi="Cambria" w:cs="Times New Roman"/>
          <w:bCs/>
          <w:lang w:eastAsia="en-GB"/>
        </w:rPr>
        <w:t xml:space="preserve">beyond this point </w:t>
      </w:r>
      <w:r w:rsidR="006041CC" w:rsidRPr="00552D93">
        <w:rPr>
          <w:rFonts w:ascii="Cambria" w:eastAsia="Times New Roman" w:hAnsi="Cambria" w:cs="Times New Roman"/>
          <w:bCs/>
          <w:lang w:eastAsia="en-GB"/>
        </w:rPr>
        <w:t xml:space="preserve">and they </w:t>
      </w:r>
      <w:r w:rsidR="00EE157C" w:rsidRPr="00552D93">
        <w:rPr>
          <w:rFonts w:ascii="Cambria" w:eastAsia="Times New Roman" w:hAnsi="Cambria" w:cs="Times New Roman"/>
          <w:bCs/>
          <w:lang w:eastAsia="en-GB"/>
        </w:rPr>
        <w:t xml:space="preserve">reach </w:t>
      </w:r>
      <w:r w:rsidR="003C490F" w:rsidRPr="00552D93">
        <w:rPr>
          <w:rFonts w:ascii="Cambria" w:eastAsia="Times New Roman" w:hAnsi="Cambria" w:cs="Times New Roman"/>
          <w:bCs/>
          <w:lang w:eastAsia="en-GB"/>
        </w:rPr>
        <w:t xml:space="preserve">their ‘tipping point’, where the experience </w:t>
      </w:r>
      <w:r w:rsidR="000A26D4" w:rsidRPr="00552D93">
        <w:rPr>
          <w:rFonts w:ascii="Cambria" w:eastAsia="Times New Roman" w:hAnsi="Cambria" w:cs="Times New Roman"/>
          <w:bCs/>
          <w:lang w:eastAsia="en-GB"/>
        </w:rPr>
        <w:t>is no longer</w:t>
      </w:r>
      <w:r w:rsidR="003C490F" w:rsidRPr="00552D93">
        <w:rPr>
          <w:rFonts w:ascii="Cambria" w:eastAsia="Times New Roman" w:hAnsi="Cambria" w:cs="Times New Roman"/>
          <w:bCs/>
          <w:lang w:eastAsia="en-GB"/>
        </w:rPr>
        <w:t xml:space="preserve"> pleasurable, and </w:t>
      </w:r>
      <w:r w:rsidR="00BB6FA1" w:rsidRPr="00552D93">
        <w:rPr>
          <w:rFonts w:ascii="Cambria" w:eastAsia="Times New Roman" w:hAnsi="Cambria" w:cs="Times New Roman"/>
          <w:bCs/>
          <w:lang w:eastAsia="en-GB"/>
        </w:rPr>
        <w:t xml:space="preserve">they </w:t>
      </w:r>
      <w:r w:rsidR="00646A0C" w:rsidRPr="00552D93">
        <w:rPr>
          <w:rFonts w:ascii="Cambria" w:eastAsia="Times New Roman" w:hAnsi="Cambria" w:cs="Times New Roman"/>
          <w:bCs/>
          <w:lang w:eastAsia="en-GB"/>
        </w:rPr>
        <w:t>feel</w:t>
      </w:r>
      <w:r w:rsidR="003C490F" w:rsidRPr="00552D93">
        <w:rPr>
          <w:rFonts w:ascii="Cambria" w:eastAsia="Times New Roman" w:hAnsi="Cambria" w:cs="Times New Roman"/>
          <w:bCs/>
          <w:lang w:eastAsia="en-GB"/>
        </w:rPr>
        <w:t xml:space="preserve"> out of control.</w:t>
      </w:r>
      <w:r w:rsidR="00297275" w:rsidRPr="00552D93">
        <w:rPr>
          <w:rFonts w:ascii="Cambria" w:eastAsia="Times New Roman" w:hAnsi="Cambria" w:cs="Times New Roman"/>
          <w:bCs/>
          <w:lang w:eastAsia="en-GB"/>
        </w:rPr>
        <w:t xml:space="preserve"> </w:t>
      </w:r>
      <w:r w:rsidR="003C490F" w:rsidRPr="00552D93">
        <w:rPr>
          <w:rFonts w:ascii="Cambria" w:eastAsia="Times New Roman" w:hAnsi="Cambria" w:cs="Times New Roman"/>
          <w:bCs/>
          <w:lang w:eastAsia="en-GB"/>
        </w:rPr>
        <w:t xml:space="preserve">This level of consumption has been </w:t>
      </w:r>
      <w:r w:rsidR="00D151A9" w:rsidRPr="00552D93">
        <w:rPr>
          <w:rFonts w:ascii="Cambria" w:eastAsia="Times New Roman" w:hAnsi="Cambria" w:cs="Times New Roman"/>
          <w:bCs/>
          <w:lang w:eastAsia="en-GB"/>
        </w:rPr>
        <w:t xml:space="preserve">variously </w:t>
      </w:r>
      <w:r w:rsidR="003C490F" w:rsidRPr="00552D93">
        <w:rPr>
          <w:rFonts w:ascii="Cambria" w:eastAsia="Times New Roman" w:hAnsi="Cambria" w:cs="Times New Roman"/>
          <w:bCs/>
          <w:lang w:eastAsia="en-GB"/>
        </w:rPr>
        <w:t xml:space="preserve">described as ‘the point of no return’ </w:t>
      </w:r>
      <w:r w:rsidR="003C490F" w:rsidRPr="00552D93">
        <w:rPr>
          <w:rFonts w:ascii="Cambria" w:eastAsia="Times New Roman" w:hAnsi="Cambria" w:cs="Times New Roman"/>
          <w:bCs/>
          <w:lang w:eastAsia="en-GB"/>
        </w:rPr>
        <w:fldChar w:fldCharType="begin"/>
      </w:r>
      <w:r w:rsidR="003E489A" w:rsidRPr="00552D93">
        <w:rPr>
          <w:rFonts w:ascii="Cambria" w:eastAsia="Times New Roman" w:hAnsi="Cambria" w:cs="Times New Roman"/>
          <w:bCs/>
          <w:lang w:eastAsia="en-GB"/>
        </w:rPr>
        <w:instrText xml:space="preserve"> ADDIN EN.CITE &lt;EndNote&gt;&lt;Cite&gt;&lt;Author&gt;Lyons&lt;/Author&gt;&lt;Year&gt;2014&lt;/Year&gt;&lt;RecNum&gt;4584&lt;/RecNum&gt;&lt;DisplayText&gt;(Lyons et al., 2014)&lt;/DisplayText&gt;&lt;record&gt;&lt;rec-number&gt;4584&lt;/rec-number&gt;&lt;foreign-keys&gt;&lt;key app="EN" db-id="vpzw22r22rsz2mexdxj5txzmfffefzewte9r" timestamp="1541779913"&gt;4584&lt;/key&gt;&lt;/foreign-keys&gt;&lt;ref-type name="Journal Article"&gt;17&lt;/ref-type&gt;&lt;contributors&gt;&lt;authors&gt;&lt;author&gt;Lyons, Antonia C.&lt;/author&gt;&lt;author&gt;Emslie, Carol&lt;/author&gt;&lt;author&gt;Hunt, Kate&lt;/author&gt;&lt;/authors&gt;&lt;/contributors&gt;&lt;titles&gt;&lt;title&gt;Staying ‘in the zone’ but not passing the ‘point of no return’: embodiment, gender and drinking in mid-life&lt;/title&gt;&lt;secondary-title&gt;Sociology of Health &amp;amp; Illness&lt;/secondary-title&gt;&lt;/titles&gt;&lt;periodical&gt;&lt;full-title&gt;Sociology of Health &amp;amp; Illness&lt;/full-title&gt;&lt;/periodical&gt;&lt;pages&gt;264-277&lt;/pages&gt;&lt;volume&gt;36&lt;/volume&gt;&lt;number&gt;2&lt;/number&gt;&lt;keywords&gt;&lt;keyword&gt;alcohol consumption&lt;/keyword&gt;&lt;keyword&gt;embodiment&lt;/keyword&gt;&lt;keyword&gt;gender&lt;/keyword&gt;&lt;keyword&gt;health behaviour&lt;/keyword&gt;&lt;/keywords&gt;&lt;dates&gt;&lt;year&gt;2014&lt;/year&gt;&lt;pub-dates&gt;&lt;date&gt;2014/02/01&lt;/date&gt;&lt;/pub-dates&gt;&lt;/dates&gt;&lt;publisher&gt;John Wiley &amp;amp; Sons, Ltd&lt;/publisher&gt;&lt;isbn&gt;0141-9889&lt;/isbn&gt;&lt;urls&gt;&lt;related-urls&gt;&lt;url&gt;https://doi.org/10.1111/1467-9566.12103&lt;/url&gt;&lt;/related-urls&gt;&lt;/urls&gt;&lt;electronic-resource-num&gt;10.1111/1467-9566.12103&lt;/electronic-resource-num&gt;&lt;access-date&gt;2018/11/09&lt;/access-date&gt;&lt;/record&gt;&lt;/Cite&gt;&lt;/EndNote&gt;</w:instrText>
      </w:r>
      <w:r w:rsidR="003C490F"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(Lyons et al., 2014)</w:t>
      </w:r>
      <w:r w:rsidR="003C490F" w:rsidRPr="00552D93">
        <w:rPr>
          <w:rFonts w:ascii="Cambria" w:eastAsia="Times New Roman" w:hAnsi="Cambria" w:cs="Times New Roman"/>
          <w:bCs/>
          <w:lang w:eastAsia="en-GB"/>
        </w:rPr>
        <w:fldChar w:fldCharType="end"/>
      </w:r>
      <w:r w:rsidR="003C490F" w:rsidRPr="00552D93">
        <w:rPr>
          <w:rFonts w:ascii="Cambria" w:eastAsia="Times New Roman" w:hAnsi="Cambria" w:cs="Times New Roman"/>
          <w:bCs/>
          <w:lang w:eastAsia="en-GB"/>
        </w:rPr>
        <w:t xml:space="preserve"> or the ‘danger zone’ </w:t>
      </w:r>
      <w:r w:rsidR="003C490F"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&lt;EndNote&gt;&lt;Cite&gt;&lt;Author&gt;Zajdow&lt;/Author&gt;&lt;Year&gt;2014&lt;/Year&gt;&lt;RecNum&gt;3670&lt;/RecNum&gt;&lt;DisplayText&gt;(Zajdow &amp;amp; MacLean, 2014)&lt;/DisplayText&gt;&lt;record&gt;&lt;rec-number&gt;3670&lt;/rec-number&gt;&lt;foreign-keys&gt;&lt;key app="EN" db-id="te5rs0t0nprf99ep09vxza050r9t99faf9td" timestamp="1526553761"&gt;3670&lt;/key&gt;&lt;/foreign-keys&gt;&lt;ref-type name="Journal Article"&gt;17&lt;/ref-type&gt;&lt;contributors&gt;&lt;authors&gt;&lt;author&gt;Zajdow, Grazyna&lt;/author&gt;&lt;author&gt;MacLean, Sarah&lt;/author&gt;&lt;/authors&gt;&lt;/contributors&gt;&lt;titles&gt;&lt;title&gt;“I Just Drink for That Tipsy Stage”: Young Adults and Embodied Management of Alcohol Use&lt;/title&gt;&lt;secondary-title&gt;Contemporary Drug Problems&lt;/secondary-title&gt;&lt;/titles&gt;&lt;periodical&gt;&lt;full-title&gt;Contemporary Drug Problems&lt;/full-title&gt;&lt;/periodical&gt;&lt;pages&gt;522-535&lt;/pages&gt;&lt;volume&gt;41&lt;/volume&gt;&lt;number&gt;4&lt;/number&gt;&lt;dates&gt;&lt;year&gt;2014&lt;/year&gt;&lt;/dates&gt;&lt;urls&gt;&lt;related-urls&gt;&lt;url&gt;http://cdx.sagepub.com/content/41/4/522.abstractN2 - Many young adults aim for a state of tipsiness, where control is not abandoned when they drink alcohol&lt;/url&gt;&lt;url&gt;however, this level of intoxication is very difficult to get right. Interviews conducted with 60 drinkers aged 18–24 years in Melbourne, Australia, indicate that few counted standard drinks and most spoke of attending to bodily signs that they had had enough and should not drink more. This strategy was ineffective for a small proportion of interviewees who never felt too drunk. To understand young adults’ efforts to manage intoxication, we use Mol and Law’s notion of excorporation. The partial nature of intoxicated self-control led young adults to arrange to be in settings where external restraints to drinking would operate. Alcohol policy should acknowledge the mosaic and embodied nature of self-control for young adults in the nighttime economy and focus on the development of settings where drinking and associated harms are minimized.&lt;/url&gt;&lt;/related-urls&gt;&lt;/urls&gt;&lt;/record&gt;&lt;/Cite&gt;&lt;/EndNote&gt;</w:instrText>
      </w:r>
      <w:r w:rsidR="003C490F"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(Zajdow &amp; MacLean, 2014)</w:t>
      </w:r>
      <w:r w:rsidR="003C490F" w:rsidRPr="00552D93">
        <w:rPr>
          <w:rFonts w:ascii="Cambria" w:eastAsia="Times New Roman" w:hAnsi="Cambria" w:cs="Times New Roman"/>
          <w:bCs/>
          <w:lang w:eastAsia="en-GB"/>
        </w:rPr>
        <w:fldChar w:fldCharType="end"/>
      </w:r>
      <w:r w:rsidR="003C490F"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r w:rsidR="003C490F" w:rsidRPr="00552D93">
        <w:rPr>
          <w:rFonts w:ascii="Cambria" w:eastAsia="Times New Roman" w:hAnsi="Cambria" w:cs="Times New Roman"/>
          <w:bCs/>
          <w:lang w:eastAsia="en-GB"/>
        </w:rPr>
        <w:t xml:space="preserve">Previous research illustrates how </w:t>
      </w:r>
      <w:r w:rsidR="00B92892" w:rsidRPr="00552D93">
        <w:rPr>
          <w:rFonts w:ascii="Cambria" w:eastAsia="Times New Roman" w:hAnsi="Cambria" w:cs="Times New Roman"/>
          <w:bCs/>
          <w:lang w:eastAsia="en-GB"/>
        </w:rPr>
        <w:t xml:space="preserve">people who drink </w:t>
      </w:r>
      <w:r w:rsidR="003C490F" w:rsidRPr="00552D93">
        <w:rPr>
          <w:rFonts w:ascii="Cambria" w:eastAsia="Times New Roman" w:hAnsi="Cambria" w:cs="Times New Roman"/>
          <w:bCs/>
          <w:lang w:eastAsia="en-GB"/>
        </w:rPr>
        <w:t xml:space="preserve">try to strike a balance between having fun and being ‘too drunk’ </w:t>
      </w:r>
      <w:r w:rsidR="003C490F" w:rsidRPr="00552D93">
        <w:rPr>
          <w:rFonts w:ascii="Cambria" w:eastAsia="Times New Roman" w:hAnsi="Cambria" w:cs="Times New Roman"/>
          <w:bCs/>
          <w:lang w:eastAsia="en-GB"/>
        </w:rPr>
        <w:fldChar w:fldCharType="begin">
          <w:fldData xml:space="preserve">PEVuZE5vdGU+PENpdGU+PEF1dGhvcj5HcmFiZXI8L0F1dGhvcj48WWVhcj4yMDE2PC9ZZWFyPjxS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</w:fldData>
        </w:fldChar>
      </w:r>
      <w:r w:rsidR="001530C8" w:rsidRPr="00552D93">
        <w:rPr>
          <w:rFonts w:ascii="Cambria" w:eastAsia="Times New Roman" w:hAnsi="Cambria" w:cs="Times New Roman"/>
          <w:bCs/>
          <w:lang w:eastAsia="en-GB"/>
        </w:rPr>
        <w:instrText xml:space="preserve"> ADDIN EN.CITE </w:instrText>
      </w:r>
      <w:r w:rsidR="001530C8" w:rsidRPr="00552D93">
        <w:rPr>
          <w:rFonts w:ascii="Cambria" w:eastAsia="Times New Roman" w:hAnsi="Cambria" w:cs="Times New Roman"/>
          <w:bCs/>
          <w:lang w:eastAsia="en-GB"/>
        </w:rPr>
        <w:fldChar w:fldCharType="begin">
          <w:fldData xml:space="preserve">PEVuZE5vdGU+PENpdGU+PEF1dGhvcj5HcmFiZXI8L0F1dGhvcj48WWVhcj4yMDE2PC9ZZWFyPjxS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</w:fldData>
        </w:fldChar>
      </w:r>
      <w:r w:rsidR="001530C8" w:rsidRPr="00552D93">
        <w:rPr>
          <w:rFonts w:ascii="Cambria" w:eastAsia="Times New Roman" w:hAnsi="Cambria" w:cs="Times New Roman"/>
          <w:bCs/>
          <w:lang w:eastAsia="en-GB"/>
        </w:rPr>
        <w:instrText xml:space="preserve"> ADDIN EN.CITE.DATA </w:instrText>
      </w:r>
      <w:r w:rsidR="001530C8" w:rsidRPr="00552D93">
        <w:rPr>
          <w:rFonts w:ascii="Cambria" w:eastAsia="Times New Roman" w:hAnsi="Cambria" w:cs="Times New Roman"/>
          <w:bCs/>
          <w:lang w:eastAsia="en-GB"/>
        </w:rPr>
      </w:r>
      <w:r w:rsidR="001530C8" w:rsidRPr="00552D93">
        <w:rPr>
          <w:rFonts w:ascii="Cambria" w:eastAsia="Times New Roman" w:hAnsi="Cambria" w:cs="Times New Roman"/>
          <w:bCs/>
          <w:lang w:eastAsia="en-GB"/>
        </w:rPr>
        <w:fldChar w:fldCharType="end"/>
      </w:r>
      <w:r w:rsidR="003C490F" w:rsidRPr="00552D93">
        <w:rPr>
          <w:rFonts w:ascii="Cambria" w:eastAsia="Times New Roman" w:hAnsi="Cambria" w:cs="Times New Roman"/>
          <w:bCs/>
          <w:lang w:eastAsia="en-GB"/>
        </w:rPr>
      </w:r>
      <w:r w:rsidR="003C490F"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(Beccaria, Petrilli, &amp; Rolando, 2015; Graber et al., 2016)</w:t>
      </w:r>
      <w:r w:rsidR="003C490F" w:rsidRPr="00552D93">
        <w:rPr>
          <w:rFonts w:ascii="Cambria" w:eastAsia="Times New Roman" w:hAnsi="Cambria" w:cs="Times New Roman"/>
          <w:bCs/>
          <w:lang w:eastAsia="en-GB"/>
        </w:rPr>
        <w:fldChar w:fldCharType="end"/>
      </w:r>
      <w:r w:rsidR="003C490F"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r w:rsidR="003C490F" w:rsidRPr="00552D93">
        <w:rPr>
          <w:rFonts w:ascii="Cambria" w:eastAsia="Times New Roman" w:hAnsi="Cambria" w:cs="Times New Roman"/>
          <w:bCs/>
          <w:lang w:eastAsia="en-GB"/>
        </w:rPr>
        <w:t xml:space="preserve">In a study </w:t>
      </w:r>
      <w:r w:rsidR="00B92892" w:rsidRPr="00552D93">
        <w:rPr>
          <w:rFonts w:ascii="Cambria" w:eastAsia="Times New Roman" w:hAnsi="Cambria" w:cs="Times New Roman"/>
          <w:bCs/>
          <w:lang w:eastAsia="en-GB"/>
        </w:rPr>
        <w:t xml:space="preserve">in the </w:t>
      </w:r>
      <w:r w:rsidR="003C490F" w:rsidRPr="00552D93">
        <w:rPr>
          <w:rFonts w:ascii="Cambria" w:eastAsia="Times New Roman" w:hAnsi="Cambria" w:cs="Times New Roman"/>
          <w:bCs/>
          <w:lang w:eastAsia="en-GB"/>
        </w:rPr>
        <w:t>UK</w:t>
      </w:r>
      <w:r w:rsidR="00646A0C" w:rsidRPr="00552D93">
        <w:rPr>
          <w:rFonts w:ascii="Cambria" w:eastAsia="Times New Roman" w:hAnsi="Cambria" w:cs="Times New Roman"/>
          <w:bCs/>
          <w:lang w:eastAsia="en-GB"/>
        </w:rPr>
        <w:t xml:space="preserve"> </w:t>
      </w:r>
      <w:r w:rsidR="00646A0C"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&lt;EndNote&gt;&lt;Cite&gt;&lt;Author&gt;Burgess&lt;/Author&gt;&lt;Year&gt;2019&lt;/Year&gt;&lt;RecNum&gt;4615&lt;/RecNum&gt;&lt;DisplayText&gt;(Burgess et al., 2019)&lt;/DisplayText&gt;&lt;record&gt;&lt;rec-number&gt;4615&lt;/rec-number&gt;&lt;foreign-keys&gt;&lt;key app="EN" db-id="te5rs0t0nprf99ep09vxza050r9t99faf9td" timestamp="1542191010"&gt;4615&lt;/key&gt;&lt;/foreign-keys&gt;&lt;ref-type name="Journal Article"&gt;17&lt;/ref-type&gt;&lt;contributors&gt;&lt;authors&gt;&lt;author&gt;Burgess, M.&lt;/author&gt;&lt;author&gt;Cooke, R.&lt;/author&gt;&lt;author&gt;Davies, E. L.&lt;/author&gt;&lt;/authors&gt;&lt;/contributors&gt;&lt;titles&gt;&lt;title&gt;My own personal hell: Approaching and exceeding thresholds of too much alcohol&lt;/title&gt;&lt;secondary-title&gt;Psychology &amp;amp; Health&lt;/secondary-title&gt;&lt;/titles&gt;&lt;periodical&gt;&lt;full-title&gt;Psychology &amp;amp; Health&lt;/full-title&gt;&lt;abbr-1&gt;Psychol. Health&lt;/abbr-1&gt;&lt;/periodical&gt;&lt;dates&gt;&lt;year&gt;2019&lt;/year&gt;&lt;/dates&gt;&lt;urls&gt;&lt;/urls&gt;&lt;electronic-resource-num&gt;https://doi.org/10.1080/08870446.2019.1616087&lt;/electronic-resource-num&gt;&lt;/record&gt;&lt;/Cite&gt;&lt;/EndNote&gt;</w:instrText>
      </w:r>
      <w:r w:rsidR="00646A0C"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(Burgess et al., 2019)</w:t>
      </w:r>
      <w:r w:rsidR="00646A0C" w:rsidRPr="00552D93">
        <w:rPr>
          <w:rFonts w:ascii="Cambria" w:eastAsia="Times New Roman" w:hAnsi="Cambria" w:cs="Times New Roman"/>
          <w:bCs/>
          <w:lang w:eastAsia="en-GB"/>
        </w:rPr>
        <w:fldChar w:fldCharType="end"/>
      </w:r>
      <w:r w:rsidR="003C490F" w:rsidRPr="00552D93">
        <w:rPr>
          <w:rFonts w:ascii="Cambria" w:eastAsia="Times New Roman" w:hAnsi="Cambria" w:cs="Times New Roman"/>
          <w:bCs/>
          <w:lang w:eastAsia="en-GB"/>
        </w:rPr>
        <w:t xml:space="preserve">, </w:t>
      </w:r>
      <w:r w:rsidR="00646A0C" w:rsidRPr="00552D93">
        <w:rPr>
          <w:rFonts w:ascii="Cambria" w:eastAsia="Times New Roman" w:hAnsi="Cambria" w:cs="Times New Roman"/>
          <w:bCs/>
          <w:lang w:eastAsia="en-GB"/>
        </w:rPr>
        <w:t xml:space="preserve">some </w:t>
      </w:r>
      <w:r w:rsidR="00B92892" w:rsidRPr="00552D93">
        <w:rPr>
          <w:rFonts w:ascii="Cambria" w:eastAsia="Times New Roman" w:hAnsi="Cambria" w:cs="Times New Roman"/>
          <w:bCs/>
          <w:lang w:eastAsia="en-GB"/>
        </w:rPr>
        <w:t xml:space="preserve">people </w:t>
      </w:r>
      <w:r w:rsidR="003C490F" w:rsidRPr="00552D93">
        <w:rPr>
          <w:rFonts w:ascii="Cambria" w:eastAsia="Times New Roman" w:hAnsi="Cambria" w:cs="Times New Roman"/>
          <w:bCs/>
          <w:lang w:eastAsia="en-GB"/>
        </w:rPr>
        <w:t xml:space="preserve">who were asked to describe their experiences of approaching their </w:t>
      </w:r>
      <w:r w:rsidR="003C490F" w:rsidRPr="00552D93">
        <w:rPr>
          <w:rFonts w:ascii="Cambria" w:eastAsia="Times New Roman" w:hAnsi="Cambria" w:cs="Times New Roman"/>
          <w:bCs/>
          <w:lang w:eastAsia="en-GB"/>
        </w:rPr>
        <w:lastRenderedPageBreak/>
        <w:t>tipping point</w:t>
      </w:r>
      <w:r w:rsidR="00B92892" w:rsidRPr="00552D93">
        <w:rPr>
          <w:rFonts w:ascii="Cambria" w:eastAsia="Times New Roman" w:hAnsi="Cambria" w:cs="Times New Roman"/>
          <w:bCs/>
          <w:lang w:eastAsia="en-GB"/>
        </w:rPr>
        <w:t xml:space="preserve"> </w:t>
      </w:r>
      <w:r w:rsidR="00646A0C" w:rsidRPr="00552D93">
        <w:rPr>
          <w:rFonts w:ascii="Cambria" w:eastAsia="Times New Roman" w:hAnsi="Cambria" w:cs="Times New Roman"/>
          <w:bCs/>
          <w:lang w:eastAsia="en-GB"/>
        </w:rPr>
        <w:t xml:space="preserve">described </w:t>
      </w:r>
      <w:r w:rsidR="000A26D4" w:rsidRPr="00552D93">
        <w:rPr>
          <w:rFonts w:ascii="Cambria" w:eastAsia="Times New Roman" w:hAnsi="Cambria" w:cs="Times New Roman"/>
          <w:bCs/>
          <w:lang w:eastAsia="en-GB"/>
        </w:rPr>
        <w:t>it as</w:t>
      </w:r>
      <w:r w:rsidR="003C490F" w:rsidRPr="00552D93">
        <w:rPr>
          <w:rFonts w:ascii="Cambria" w:eastAsia="Times New Roman" w:hAnsi="Cambria" w:cs="Times New Roman"/>
          <w:bCs/>
          <w:lang w:eastAsia="en-GB"/>
        </w:rPr>
        <w:t xml:space="preserve"> totally positive, relaxing and pleasurable</w:t>
      </w:r>
      <w:r w:rsidR="00646A0C" w:rsidRPr="00552D93">
        <w:rPr>
          <w:rFonts w:ascii="Cambria" w:eastAsia="Times New Roman" w:hAnsi="Cambria" w:cs="Times New Roman"/>
          <w:bCs/>
          <w:lang w:eastAsia="en-GB"/>
        </w:rPr>
        <w:t xml:space="preserve">, </w:t>
      </w:r>
      <w:r w:rsidR="003C490F" w:rsidRPr="00552D93">
        <w:rPr>
          <w:rFonts w:ascii="Cambria" w:eastAsia="Times New Roman" w:hAnsi="Cambria" w:cs="Times New Roman"/>
          <w:bCs/>
          <w:lang w:eastAsia="en-GB"/>
        </w:rPr>
        <w:t xml:space="preserve">whereas </w:t>
      </w:r>
      <w:r w:rsidR="00646A0C" w:rsidRPr="00552D93">
        <w:rPr>
          <w:rFonts w:ascii="Cambria" w:eastAsia="Times New Roman" w:hAnsi="Cambria" w:cs="Times New Roman"/>
          <w:bCs/>
          <w:lang w:eastAsia="en-GB"/>
        </w:rPr>
        <w:t>others</w:t>
      </w:r>
      <w:r w:rsidR="003C490F" w:rsidRPr="00552D93">
        <w:rPr>
          <w:rFonts w:ascii="Cambria" w:eastAsia="Times New Roman" w:hAnsi="Cambria" w:cs="Times New Roman"/>
          <w:bCs/>
          <w:lang w:eastAsia="en-GB"/>
        </w:rPr>
        <w:t xml:space="preserve"> experienced </w:t>
      </w:r>
      <w:r w:rsidR="000A26D4" w:rsidRPr="00552D93">
        <w:rPr>
          <w:rFonts w:ascii="Cambria" w:eastAsia="Times New Roman" w:hAnsi="Cambria" w:cs="Times New Roman"/>
          <w:bCs/>
          <w:lang w:eastAsia="en-GB"/>
        </w:rPr>
        <w:t xml:space="preserve">it </w:t>
      </w:r>
      <w:r w:rsidR="003C490F" w:rsidRPr="00552D93">
        <w:rPr>
          <w:rFonts w:ascii="Cambria" w:eastAsia="Times New Roman" w:hAnsi="Cambria" w:cs="Times New Roman"/>
          <w:bCs/>
          <w:lang w:eastAsia="en-GB"/>
        </w:rPr>
        <w:t xml:space="preserve">as entirely negative, </w:t>
      </w:r>
      <w:r w:rsidR="00551E46" w:rsidRPr="00552D93">
        <w:rPr>
          <w:rFonts w:ascii="Cambria" w:eastAsia="Times New Roman" w:hAnsi="Cambria" w:cs="Times New Roman"/>
          <w:bCs/>
          <w:lang w:eastAsia="en-GB"/>
        </w:rPr>
        <w:t xml:space="preserve">combined with </w:t>
      </w:r>
      <w:r w:rsidR="003C490F" w:rsidRPr="00552D93">
        <w:rPr>
          <w:rFonts w:ascii="Cambria" w:eastAsia="Times New Roman" w:hAnsi="Cambria" w:cs="Times New Roman"/>
          <w:bCs/>
          <w:lang w:eastAsia="en-GB"/>
        </w:rPr>
        <w:t>nausea and anxiety.</w:t>
      </w:r>
      <w:r w:rsidR="00297275" w:rsidRPr="00552D93">
        <w:rPr>
          <w:rFonts w:ascii="Cambria" w:eastAsia="Times New Roman" w:hAnsi="Cambria" w:cs="Times New Roman"/>
          <w:bCs/>
          <w:lang w:eastAsia="en-GB"/>
        </w:rPr>
        <w:t xml:space="preserve"> </w:t>
      </w:r>
      <w:r w:rsidR="003C490F" w:rsidRPr="00552D93">
        <w:rPr>
          <w:rFonts w:ascii="Cambria" w:eastAsia="Times New Roman" w:hAnsi="Cambria" w:cs="Times New Roman"/>
          <w:bCs/>
          <w:lang w:eastAsia="en-GB"/>
        </w:rPr>
        <w:t xml:space="preserve">Once this tipping point was exceeded however, both groups described their experience in wholly negative terms, as anxiety producing, physically unpleasant and representing a complete loss of control </w:t>
      </w:r>
      <w:r w:rsidR="00F4452C"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&lt;EndNote&gt;&lt;Cite&gt;&lt;Author&gt;Burgess&lt;/Author&gt;&lt;Year&gt;2019&lt;/Year&gt;&lt;RecNum&gt;4615&lt;/RecNum&gt;&lt;DisplayText&gt;(Burgess et al., 2019)&lt;/DisplayText&gt;&lt;record&gt;&lt;rec-number&gt;4615&lt;/rec-number&gt;&lt;foreign-keys&gt;&lt;key app="EN" db-id="te5rs0t0nprf99ep09vxza050r9t99faf9td" timestamp="1542191010"&gt;4615&lt;/key&gt;&lt;/foreign-keys&gt;&lt;ref-type name="Journal Article"&gt;17&lt;/ref-type&gt;&lt;contributors&gt;&lt;authors&gt;&lt;author&gt;Burgess, M.&lt;/author&gt;&lt;author&gt;Cooke, R.&lt;/author&gt;&lt;author&gt;Davies, E. L.&lt;/author&gt;&lt;/authors&gt;&lt;/contributors&gt;&lt;titles&gt;&lt;title&gt;My own personal hell: Approaching and exceeding thresholds of too much alcohol&lt;/title&gt;&lt;secondary-title&gt;Psychology &amp;amp; Health&lt;/secondary-title&gt;&lt;/titles&gt;&lt;periodical&gt;&lt;full-title&gt;Psychology &amp;amp; Health&lt;/full-title&gt;&lt;abbr-1&gt;Psychol. Health&lt;/abbr-1&gt;&lt;/periodical&gt;&lt;dates&gt;&lt;year&gt;2019&lt;/year&gt;&lt;/dates&gt;&lt;urls&gt;&lt;/urls&gt;&lt;electronic-resource-num&gt;https://doi.org/10.1080/08870446.2019.1616087&lt;/electronic-resource-num&gt;&lt;/record&gt;&lt;/Cite&gt;&lt;/EndNote&gt;</w:instrText>
      </w:r>
      <w:r w:rsidR="00F4452C"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(Burgess et al., 2019)</w:t>
      </w:r>
      <w:r w:rsidR="00F4452C" w:rsidRPr="00552D93">
        <w:rPr>
          <w:rFonts w:ascii="Cambria" w:eastAsia="Times New Roman" w:hAnsi="Cambria" w:cs="Times New Roman"/>
          <w:bCs/>
          <w:lang w:eastAsia="en-GB"/>
        </w:rPr>
        <w:fldChar w:fldCharType="end"/>
      </w:r>
      <w:r w:rsidR="00F4452C"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r w:rsidR="007831F3" w:rsidRPr="00552D93">
        <w:rPr>
          <w:rFonts w:ascii="Cambria" w:eastAsia="Times New Roman" w:hAnsi="Cambria" w:cs="Times New Roman"/>
          <w:bCs/>
          <w:lang w:eastAsia="en-GB"/>
        </w:rPr>
        <w:t xml:space="preserve">Despite these findings, </w:t>
      </w:r>
      <w:r w:rsidR="00A45423" w:rsidRPr="00552D93">
        <w:rPr>
          <w:rFonts w:ascii="Cambria" w:eastAsia="Times New Roman" w:hAnsi="Cambria" w:cs="Times New Roman"/>
          <w:bCs/>
          <w:lang w:eastAsia="en-GB"/>
        </w:rPr>
        <w:t>there is a lack of re</w:t>
      </w:r>
      <w:r w:rsidR="00E03EAE" w:rsidRPr="00552D93">
        <w:rPr>
          <w:rFonts w:ascii="Cambria" w:eastAsia="Times New Roman" w:hAnsi="Cambria" w:cs="Times New Roman"/>
          <w:bCs/>
          <w:lang w:eastAsia="en-GB"/>
        </w:rPr>
        <w:t xml:space="preserve">search on how much alcohol </w:t>
      </w:r>
      <w:r w:rsidR="00551E46" w:rsidRPr="00552D93">
        <w:rPr>
          <w:rFonts w:ascii="Cambria" w:eastAsia="Times New Roman" w:hAnsi="Cambria" w:cs="Times New Roman"/>
          <w:bCs/>
          <w:lang w:eastAsia="en-GB"/>
        </w:rPr>
        <w:t>is consumed</w:t>
      </w:r>
      <w:r w:rsidR="008A2BB2" w:rsidRPr="00552D93">
        <w:rPr>
          <w:rFonts w:ascii="Cambria" w:eastAsia="Times New Roman" w:hAnsi="Cambria" w:cs="Times New Roman"/>
          <w:bCs/>
          <w:lang w:eastAsia="en-GB"/>
        </w:rPr>
        <w:t xml:space="preserve"> to reach different stages of intoxication, </w:t>
      </w:r>
      <w:r w:rsidR="003C61BE" w:rsidRPr="00552D93">
        <w:rPr>
          <w:rFonts w:ascii="Cambria" w:eastAsia="Times New Roman" w:hAnsi="Cambria" w:cs="Times New Roman"/>
          <w:bCs/>
          <w:lang w:eastAsia="en-GB"/>
        </w:rPr>
        <w:t xml:space="preserve">and how frequently </w:t>
      </w:r>
      <w:r w:rsidR="00551E46" w:rsidRPr="00552D93">
        <w:rPr>
          <w:rFonts w:ascii="Cambria" w:eastAsia="Times New Roman" w:hAnsi="Cambria" w:cs="Times New Roman"/>
          <w:bCs/>
          <w:lang w:eastAsia="en-GB"/>
        </w:rPr>
        <w:t xml:space="preserve">people </w:t>
      </w:r>
      <w:r w:rsidR="003C61BE" w:rsidRPr="00552D93">
        <w:rPr>
          <w:rFonts w:ascii="Cambria" w:eastAsia="Times New Roman" w:hAnsi="Cambria" w:cs="Times New Roman"/>
          <w:bCs/>
          <w:lang w:eastAsia="en-GB"/>
        </w:rPr>
        <w:t xml:space="preserve">reach their </w:t>
      </w:r>
      <w:r w:rsidR="008A2BB2" w:rsidRPr="00552D93">
        <w:rPr>
          <w:rFonts w:ascii="Cambria" w:eastAsia="Times New Roman" w:hAnsi="Cambria" w:cs="Times New Roman"/>
          <w:bCs/>
          <w:lang w:eastAsia="en-GB"/>
        </w:rPr>
        <w:t>tipping</w:t>
      </w:r>
      <w:r w:rsidR="003B4238" w:rsidRPr="00552D93">
        <w:rPr>
          <w:rFonts w:ascii="Cambria" w:eastAsia="Times New Roman" w:hAnsi="Cambria" w:cs="Times New Roman"/>
          <w:bCs/>
          <w:lang w:eastAsia="en-GB"/>
        </w:rPr>
        <w:t xml:space="preserve"> point</w:t>
      </w:r>
      <w:r w:rsidR="008A2BB2" w:rsidRPr="00552D93">
        <w:rPr>
          <w:rFonts w:ascii="Cambria" w:eastAsia="Times New Roman" w:hAnsi="Cambria" w:cs="Times New Roman"/>
          <w:bCs/>
          <w:lang w:eastAsia="en-GB"/>
        </w:rPr>
        <w:t xml:space="preserve">. </w:t>
      </w:r>
    </w:p>
    <w:p w14:paraId="0F15D4AC" w14:textId="2A373E0F" w:rsidR="00C80DF0" w:rsidRPr="00552D93" w:rsidRDefault="00E26AE5" w:rsidP="00AA49E1">
      <w:pPr>
        <w:spacing w:before="100" w:beforeAutospacing="1" w:after="100" w:afterAutospacing="1" w:line="480" w:lineRule="auto"/>
        <w:rPr>
          <w:rFonts w:ascii="Cambria" w:eastAsia="Times New Roman" w:hAnsi="Cambria" w:cs="Times New Roman"/>
          <w:bCs/>
          <w:lang w:eastAsia="en-GB"/>
        </w:rPr>
      </w:pPr>
      <w:r w:rsidRPr="00552D93">
        <w:rPr>
          <w:rFonts w:ascii="Cambria" w:eastAsia="Times New Roman" w:hAnsi="Cambria" w:cs="Times New Roman"/>
          <w:bCs/>
          <w:lang w:eastAsia="en-GB"/>
        </w:rPr>
        <w:t xml:space="preserve">The </w:t>
      </w:r>
      <w:r w:rsidR="00646A0C" w:rsidRPr="00552D93">
        <w:rPr>
          <w:rFonts w:ascii="Cambria" w:eastAsia="Times New Roman" w:hAnsi="Cambria" w:cs="Times New Roman"/>
          <w:bCs/>
          <w:lang w:eastAsia="en-GB"/>
        </w:rPr>
        <w:t xml:space="preserve">aim of this paper </w:t>
      </w:r>
      <w:r w:rsidR="004A57B9" w:rsidRPr="00552D93">
        <w:rPr>
          <w:rFonts w:ascii="Cambria" w:eastAsia="Times New Roman" w:hAnsi="Cambria" w:cs="Times New Roman"/>
          <w:bCs/>
          <w:lang w:eastAsia="en-GB"/>
        </w:rPr>
        <w:t>was</w:t>
      </w:r>
      <w:r w:rsidR="00A75507" w:rsidRPr="00552D93">
        <w:rPr>
          <w:rFonts w:ascii="Cambria" w:eastAsia="Times New Roman" w:hAnsi="Cambria" w:cs="Times New Roman"/>
          <w:bCs/>
          <w:lang w:eastAsia="en-GB"/>
        </w:rPr>
        <w:t xml:space="preserve"> to use data from a large-scale </w:t>
      </w:r>
      <w:r w:rsidR="00551E46" w:rsidRPr="00552D93">
        <w:rPr>
          <w:rFonts w:ascii="Cambria" w:eastAsia="Times New Roman" w:hAnsi="Cambria" w:cs="Times New Roman"/>
          <w:bCs/>
          <w:lang w:eastAsia="en-GB"/>
        </w:rPr>
        <w:t xml:space="preserve">online </w:t>
      </w:r>
      <w:r w:rsidR="00A75507" w:rsidRPr="00552D93">
        <w:rPr>
          <w:rFonts w:ascii="Cambria" w:eastAsia="Times New Roman" w:hAnsi="Cambria" w:cs="Times New Roman"/>
          <w:bCs/>
          <w:lang w:eastAsia="en-GB"/>
        </w:rPr>
        <w:t xml:space="preserve">survey of </w:t>
      </w:r>
      <w:r w:rsidR="00551E46" w:rsidRPr="00552D93">
        <w:rPr>
          <w:rFonts w:ascii="Cambria" w:eastAsia="Times New Roman" w:hAnsi="Cambria" w:cs="Times New Roman"/>
          <w:bCs/>
          <w:lang w:eastAsia="en-GB"/>
        </w:rPr>
        <w:t xml:space="preserve">people who consume </w:t>
      </w:r>
      <w:r w:rsidR="00A75507" w:rsidRPr="00552D93">
        <w:rPr>
          <w:rFonts w:ascii="Cambria" w:eastAsia="Times New Roman" w:hAnsi="Cambria" w:cs="Times New Roman"/>
          <w:bCs/>
          <w:lang w:eastAsia="en-GB"/>
        </w:rPr>
        <w:t>alcohol</w:t>
      </w:r>
      <w:r w:rsidR="00551E46" w:rsidRPr="00552D93">
        <w:rPr>
          <w:rFonts w:ascii="Cambria" w:eastAsia="Times New Roman" w:hAnsi="Cambria" w:cs="Times New Roman"/>
          <w:bCs/>
          <w:lang w:eastAsia="en-GB"/>
        </w:rPr>
        <w:t xml:space="preserve"> and other psychoactive substances</w:t>
      </w:r>
      <w:r w:rsidR="00FB4DAC" w:rsidRPr="00552D93">
        <w:rPr>
          <w:rFonts w:ascii="Cambria" w:eastAsia="Times New Roman" w:hAnsi="Cambria" w:cs="Times New Roman"/>
          <w:bCs/>
          <w:lang w:eastAsia="en-GB"/>
        </w:rPr>
        <w:t xml:space="preserve"> </w:t>
      </w:r>
      <w:r w:rsidR="003C61BE" w:rsidRPr="00552D93">
        <w:rPr>
          <w:rFonts w:ascii="Cambria" w:eastAsia="Times New Roman" w:hAnsi="Cambria" w:cs="Times New Roman"/>
          <w:bCs/>
          <w:lang w:eastAsia="en-GB"/>
        </w:rPr>
        <w:t>(the Global Drug Survey</w:t>
      </w:r>
      <w:r w:rsidR="00A75507" w:rsidRPr="00552D93">
        <w:rPr>
          <w:rFonts w:ascii="Cambria" w:eastAsia="Times New Roman" w:hAnsi="Cambria" w:cs="Times New Roman"/>
          <w:bCs/>
          <w:lang w:eastAsia="en-GB"/>
        </w:rPr>
        <w:t xml:space="preserve">) to </w:t>
      </w:r>
      <w:r w:rsidR="00551E46" w:rsidRPr="00552D93">
        <w:rPr>
          <w:rFonts w:ascii="Cambria" w:eastAsia="Times New Roman" w:hAnsi="Cambria" w:cs="Times New Roman"/>
          <w:bCs/>
          <w:lang w:eastAsia="en-GB"/>
        </w:rPr>
        <w:t>define</w:t>
      </w:r>
      <w:r w:rsidR="00F5629F" w:rsidRPr="00552D93">
        <w:rPr>
          <w:rFonts w:ascii="Cambria" w:eastAsia="Times New Roman" w:hAnsi="Cambria" w:cs="Times New Roman"/>
          <w:bCs/>
          <w:lang w:eastAsia="en-GB"/>
        </w:rPr>
        <w:t xml:space="preserve"> three different stages</w:t>
      </w:r>
      <w:r w:rsidR="00551E46" w:rsidRPr="00552D93">
        <w:rPr>
          <w:rFonts w:ascii="Cambria" w:eastAsia="Times New Roman" w:hAnsi="Cambria" w:cs="Times New Roman"/>
          <w:bCs/>
          <w:lang w:eastAsia="en-GB"/>
        </w:rPr>
        <w:t xml:space="preserve"> of alcohol intoxication:</w:t>
      </w:r>
      <w:r w:rsidR="00F5629F" w:rsidRPr="00552D93">
        <w:rPr>
          <w:rFonts w:ascii="Cambria" w:eastAsia="Times New Roman" w:hAnsi="Cambria" w:cs="Times New Roman"/>
          <w:bCs/>
          <w:lang w:eastAsia="en-GB"/>
        </w:rPr>
        <w:t xml:space="preserve"> 1) </w:t>
      </w:r>
      <w:r w:rsidR="00646A0C" w:rsidRPr="00552D93">
        <w:rPr>
          <w:rFonts w:ascii="Cambria" w:eastAsia="Times New Roman" w:hAnsi="Cambria" w:cs="Times New Roman"/>
          <w:shd w:val="clear" w:color="auto" w:fill="FFFFFF"/>
          <w:lang w:eastAsia="en-GB"/>
        </w:rPr>
        <w:t xml:space="preserve">feeling the effects of alcohol, 2) </w:t>
      </w:r>
      <w:r w:rsidR="00F5629F" w:rsidRPr="00552D93">
        <w:rPr>
          <w:rFonts w:ascii="Cambria" w:eastAsia="Times New Roman" w:hAnsi="Cambria" w:cs="Times New Roman"/>
          <w:shd w:val="clear" w:color="auto" w:fill="FFFFFF"/>
          <w:lang w:eastAsia="en-GB"/>
        </w:rPr>
        <w:t xml:space="preserve">becoming as </w:t>
      </w:r>
      <w:r w:rsidR="00961F7B" w:rsidRPr="00552D93">
        <w:rPr>
          <w:rFonts w:ascii="Cambria" w:eastAsia="Times New Roman" w:hAnsi="Cambria" w:cs="Times New Roman"/>
          <w:shd w:val="clear" w:color="auto" w:fill="FFFFFF"/>
          <w:lang w:eastAsia="en-GB"/>
        </w:rPr>
        <w:t xml:space="preserve">drunk </w:t>
      </w:r>
      <w:r w:rsidR="00F5629F" w:rsidRPr="00552D93">
        <w:rPr>
          <w:rFonts w:ascii="Cambria" w:eastAsia="Times New Roman" w:hAnsi="Cambria" w:cs="Times New Roman"/>
          <w:shd w:val="clear" w:color="auto" w:fill="FFFFFF"/>
          <w:lang w:eastAsia="en-GB"/>
        </w:rPr>
        <w:t>as you would like to be</w:t>
      </w:r>
      <w:r w:rsidR="00646A0C" w:rsidRPr="00552D93">
        <w:rPr>
          <w:rFonts w:ascii="Cambria" w:eastAsia="Times New Roman" w:hAnsi="Cambria" w:cs="Times New Roman"/>
          <w:shd w:val="clear" w:color="auto" w:fill="FFFFFF"/>
          <w:lang w:eastAsia="en-GB"/>
        </w:rPr>
        <w:t xml:space="preserve">, </w:t>
      </w:r>
      <w:r w:rsidR="00F5629F" w:rsidRPr="00552D93">
        <w:rPr>
          <w:rFonts w:ascii="Cambria" w:eastAsia="Times New Roman" w:hAnsi="Cambria" w:cs="Times New Roman"/>
          <w:shd w:val="clear" w:color="auto" w:fill="FFFFFF"/>
          <w:lang w:eastAsia="en-GB"/>
        </w:rPr>
        <w:t xml:space="preserve">and </w:t>
      </w:r>
      <w:r w:rsidR="00F5629F" w:rsidRPr="00552D93">
        <w:rPr>
          <w:rFonts w:ascii="Cambria" w:eastAsia="Times New Roman" w:hAnsi="Cambria" w:cs="Times New Roman"/>
          <w:bCs/>
          <w:lang w:eastAsia="en-GB"/>
        </w:rPr>
        <w:t xml:space="preserve">3) </w:t>
      </w:r>
      <w:r w:rsidR="00EE157C" w:rsidRPr="00552D93">
        <w:rPr>
          <w:rFonts w:ascii="Cambria" w:eastAsia="Times New Roman" w:hAnsi="Cambria" w:cs="Times New Roman"/>
          <w:bCs/>
          <w:lang w:eastAsia="en-GB"/>
        </w:rPr>
        <w:t>reaching</w:t>
      </w:r>
      <w:r w:rsidR="00551E46" w:rsidRPr="00552D93">
        <w:rPr>
          <w:rFonts w:ascii="Cambria" w:eastAsia="Times New Roman" w:hAnsi="Cambria" w:cs="Times New Roman"/>
          <w:bCs/>
          <w:lang w:eastAsia="en-GB"/>
        </w:rPr>
        <w:t xml:space="preserve"> </w:t>
      </w:r>
      <w:r w:rsidR="00F5629F" w:rsidRPr="00552D93">
        <w:rPr>
          <w:rFonts w:ascii="Cambria" w:eastAsia="Times New Roman" w:hAnsi="Cambria" w:cs="Times New Roman"/>
          <w:bCs/>
          <w:lang w:eastAsia="en-GB"/>
        </w:rPr>
        <w:t xml:space="preserve">the </w:t>
      </w:r>
      <w:r w:rsidR="00646A0C" w:rsidRPr="00552D93">
        <w:rPr>
          <w:rFonts w:ascii="Cambria" w:eastAsia="Times New Roman" w:hAnsi="Cambria" w:cs="Times New Roman"/>
          <w:bCs/>
          <w:lang w:eastAsia="en-GB"/>
        </w:rPr>
        <w:t>tipping point.</w:t>
      </w:r>
      <w:r w:rsidR="00123AEF" w:rsidRPr="00552D93">
        <w:rPr>
          <w:rFonts w:ascii="Cambria" w:eastAsia="Times New Roman" w:hAnsi="Cambria" w:cs="Times New Roman"/>
          <w:bCs/>
          <w:lang w:eastAsia="en-GB"/>
        </w:rPr>
        <w:t xml:space="preserve"> </w:t>
      </w:r>
      <w:r w:rsidR="006041CC" w:rsidRPr="00552D93">
        <w:rPr>
          <w:rFonts w:ascii="Cambria" w:eastAsia="Times New Roman" w:hAnsi="Cambria" w:cs="Times New Roman"/>
          <w:shd w:val="clear" w:color="auto" w:fill="FFFFFF"/>
          <w:lang w:eastAsia="en-GB"/>
        </w:rPr>
        <w:t xml:space="preserve">Beyond identifying the </w:t>
      </w:r>
      <w:r w:rsidR="0031451E" w:rsidRPr="00552D93">
        <w:rPr>
          <w:rFonts w:ascii="Cambria" w:eastAsia="Times New Roman" w:hAnsi="Cambria" w:cs="Times New Roman"/>
          <w:shd w:val="clear" w:color="auto" w:fill="FFFFFF"/>
          <w:lang w:eastAsia="en-GB"/>
        </w:rPr>
        <w:t xml:space="preserve">volume of alcohol (in grams) </w:t>
      </w:r>
      <w:r w:rsidR="00301AE8" w:rsidRPr="00552D93">
        <w:rPr>
          <w:rFonts w:ascii="Cambria" w:eastAsia="Times New Roman" w:hAnsi="Cambria" w:cs="Times New Roman"/>
          <w:shd w:val="clear" w:color="auto" w:fill="FFFFFF"/>
          <w:lang w:eastAsia="en-GB"/>
        </w:rPr>
        <w:t xml:space="preserve">needed </w:t>
      </w:r>
      <w:r w:rsidR="00C80DF0" w:rsidRPr="00552D93">
        <w:rPr>
          <w:rFonts w:ascii="Cambria" w:eastAsia="Times New Roman" w:hAnsi="Cambria" w:cs="Times New Roman"/>
          <w:shd w:val="clear" w:color="auto" w:fill="FFFFFF"/>
          <w:lang w:eastAsia="en-GB"/>
        </w:rPr>
        <w:t>to reach each stage of intoxic</w:t>
      </w:r>
      <w:r w:rsidR="00301AE8" w:rsidRPr="00552D93">
        <w:rPr>
          <w:rFonts w:ascii="Cambria" w:eastAsia="Times New Roman" w:hAnsi="Cambria" w:cs="Times New Roman"/>
          <w:shd w:val="clear" w:color="auto" w:fill="FFFFFF"/>
          <w:lang w:eastAsia="en-GB"/>
        </w:rPr>
        <w:t>ation</w:t>
      </w:r>
      <w:r w:rsidR="006041CC" w:rsidRPr="00552D93">
        <w:rPr>
          <w:rFonts w:ascii="Cambria" w:eastAsia="Times New Roman" w:hAnsi="Cambria" w:cs="Times New Roman"/>
          <w:shd w:val="clear" w:color="auto" w:fill="FFFFFF"/>
          <w:lang w:eastAsia="en-GB"/>
        </w:rPr>
        <w:t xml:space="preserve">, we explored </w:t>
      </w:r>
      <w:r w:rsidR="00301AE8" w:rsidRPr="00552D93">
        <w:rPr>
          <w:rFonts w:ascii="Cambria" w:eastAsia="Times New Roman" w:hAnsi="Cambria" w:cs="Times New Roman"/>
          <w:shd w:val="clear" w:color="auto" w:fill="FFFFFF"/>
          <w:lang w:eastAsia="en-GB"/>
        </w:rPr>
        <w:t>t</w:t>
      </w:r>
      <w:r w:rsidR="00C80DF0" w:rsidRPr="00552D93">
        <w:rPr>
          <w:rFonts w:ascii="Cambria" w:eastAsia="Times New Roman" w:hAnsi="Cambria" w:cs="Times New Roman"/>
          <w:shd w:val="clear" w:color="auto" w:fill="FFFFFF"/>
          <w:lang w:eastAsia="en-GB"/>
        </w:rPr>
        <w:t xml:space="preserve">he </w:t>
      </w:r>
      <w:r w:rsidR="00075E73" w:rsidRPr="00552D93">
        <w:rPr>
          <w:rFonts w:ascii="Cambria" w:eastAsia="Times New Roman" w:hAnsi="Cambria" w:cs="Times New Roman"/>
          <w:shd w:val="clear" w:color="auto" w:fill="FFFFFF"/>
          <w:lang w:eastAsia="en-GB"/>
        </w:rPr>
        <w:t>frequency of reaching each stage of intoxication by socio-demographic characteristics and A</w:t>
      </w:r>
      <w:r w:rsidR="008069DF" w:rsidRPr="00552D93">
        <w:rPr>
          <w:rFonts w:ascii="Cambria" w:eastAsia="Times New Roman" w:hAnsi="Cambria" w:cs="Times New Roman"/>
          <w:shd w:val="clear" w:color="auto" w:fill="FFFFFF"/>
          <w:lang w:eastAsia="en-GB"/>
        </w:rPr>
        <w:t>lcohol Use Disorder Identification Test (A</w:t>
      </w:r>
      <w:r w:rsidR="00075E73" w:rsidRPr="00552D93">
        <w:rPr>
          <w:rFonts w:ascii="Cambria" w:eastAsia="Times New Roman" w:hAnsi="Cambria" w:cs="Times New Roman"/>
          <w:shd w:val="clear" w:color="auto" w:fill="FFFFFF"/>
          <w:lang w:eastAsia="en-GB"/>
        </w:rPr>
        <w:t>UDIT</w:t>
      </w:r>
      <w:r w:rsidR="008069DF" w:rsidRPr="00552D93">
        <w:rPr>
          <w:rFonts w:ascii="Cambria" w:eastAsia="Times New Roman" w:hAnsi="Cambria" w:cs="Times New Roman"/>
          <w:shd w:val="clear" w:color="auto" w:fill="FFFFFF"/>
          <w:lang w:eastAsia="en-GB"/>
        </w:rPr>
        <w:t>)</w:t>
      </w:r>
      <w:r w:rsidR="00075E73" w:rsidRPr="00552D93">
        <w:rPr>
          <w:rFonts w:ascii="Cambria" w:eastAsia="Times New Roman" w:hAnsi="Cambria" w:cs="Times New Roman"/>
          <w:shd w:val="clear" w:color="auto" w:fill="FFFFFF"/>
          <w:lang w:eastAsia="en-GB"/>
        </w:rPr>
        <w:t xml:space="preserve"> scores. </w:t>
      </w:r>
      <w:r w:rsidR="006041CC" w:rsidRPr="00552D93">
        <w:rPr>
          <w:rFonts w:ascii="Cambria" w:eastAsia="Times New Roman" w:hAnsi="Cambria" w:cs="Times New Roman"/>
          <w:shd w:val="clear" w:color="auto" w:fill="FFFFFF"/>
          <w:lang w:eastAsia="en-GB"/>
        </w:rPr>
        <w:t>Finally</w:t>
      </w:r>
      <w:r w:rsidR="00961F7B" w:rsidRPr="00552D93">
        <w:rPr>
          <w:rFonts w:ascii="Cambria" w:eastAsia="Times New Roman" w:hAnsi="Cambria" w:cs="Times New Roman"/>
          <w:shd w:val="clear" w:color="auto" w:fill="FFFFFF"/>
          <w:lang w:eastAsia="en-GB"/>
        </w:rPr>
        <w:t>,</w:t>
      </w:r>
      <w:r w:rsidR="006041CC" w:rsidRPr="00552D93">
        <w:rPr>
          <w:rFonts w:ascii="Cambria" w:eastAsia="Times New Roman" w:hAnsi="Cambria" w:cs="Times New Roman"/>
          <w:shd w:val="clear" w:color="auto" w:fill="FFFFFF"/>
          <w:lang w:eastAsia="en-GB"/>
        </w:rPr>
        <w:t xml:space="preserve"> we analysed the data to </w:t>
      </w:r>
      <w:r w:rsidR="008069DF" w:rsidRPr="00552D93">
        <w:rPr>
          <w:rFonts w:ascii="Cambria" w:eastAsia="Times New Roman" w:hAnsi="Cambria" w:cs="Times New Roman"/>
          <w:shd w:val="clear" w:color="auto" w:fill="FFFFFF"/>
          <w:lang w:eastAsia="en-GB"/>
        </w:rPr>
        <w:t xml:space="preserve">identify variables associated with </w:t>
      </w:r>
      <w:r w:rsidR="00075E73" w:rsidRPr="00552D93">
        <w:rPr>
          <w:rFonts w:ascii="Cambria" w:eastAsia="Times New Roman" w:hAnsi="Cambria" w:cs="Times New Roman"/>
          <w:shd w:val="clear" w:color="auto" w:fill="FFFFFF"/>
          <w:lang w:eastAsia="en-GB"/>
        </w:rPr>
        <w:t xml:space="preserve">reaching each stage of intoxication at least monthly. </w:t>
      </w:r>
    </w:p>
    <w:p w14:paraId="1885150E" w14:textId="77777777" w:rsidR="00462BEB" w:rsidRPr="00552D93" w:rsidRDefault="00AA49E1" w:rsidP="00A24A2C">
      <w:pPr>
        <w:spacing w:before="100" w:beforeAutospacing="1" w:after="100" w:afterAutospacing="1" w:line="480" w:lineRule="auto"/>
        <w:rPr>
          <w:rFonts w:ascii="Cambria" w:hAnsi="Cambria"/>
          <w:b/>
        </w:rPr>
      </w:pPr>
      <w:r w:rsidRPr="00552D93">
        <w:rPr>
          <w:rFonts w:ascii="Cambria" w:hAnsi="Cambria"/>
          <w:b/>
        </w:rPr>
        <w:t xml:space="preserve">METHODS </w:t>
      </w:r>
    </w:p>
    <w:p w14:paraId="4485708F" w14:textId="77777777" w:rsidR="00973A74" w:rsidRPr="00552D93" w:rsidRDefault="00973A74" w:rsidP="00973A74">
      <w:pPr>
        <w:spacing w:before="100" w:beforeAutospacing="1" w:after="100" w:afterAutospacing="1" w:line="480" w:lineRule="auto"/>
        <w:rPr>
          <w:rFonts w:ascii="Cambria" w:hAnsi="Cambria"/>
          <w:i/>
        </w:rPr>
      </w:pPr>
      <w:r w:rsidRPr="00552D93">
        <w:rPr>
          <w:rFonts w:ascii="Cambria" w:hAnsi="Cambria"/>
          <w:i/>
        </w:rPr>
        <w:t xml:space="preserve">Design and procedure </w:t>
      </w:r>
    </w:p>
    <w:p w14:paraId="05947F35" w14:textId="30B783B7" w:rsidR="00445F52" w:rsidRPr="00552D93" w:rsidRDefault="006041CC" w:rsidP="00A24A2C">
      <w:pPr>
        <w:spacing w:before="100" w:beforeAutospacing="1" w:after="100" w:afterAutospacing="1" w:line="480" w:lineRule="auto"/>
        <w:rPr>
          <w:rFonts w:ascii="Cambria" w:hAnsi="Cambria"/>
        </w:rPr>
      </w:pPr>
      <w:r w:rsidRPr="00552D93">
        <w:rPr>
          <w:rFonts w:ascii="Cambria" w:hAnsi="Cambria"/>
        </w:rPr>
        <w:t xml:space="preserve">Using an encrypted </w:t>
      </w:r>
      <w:r w:rsidR="00E95225" w:rsidRPr="00552D93">
        <w:rPr>
          <w:rFonts w:ascii="Cambria" w:hAnsi="Cambria"/>
        </w:rPr>
        <w:t xml:space="preserve">online </w:t>
      </w:r>
      <w:r w:rsidR="00D85ED7" w:rsidRPr="00552D93">
        <w:rPr>
          <w:rFonts w:ascii="Cambria" w:hAnsi="Cambria"/>
        </w:rPr>
        <w:t xml:space="preserve">platform </w:t>
      </w:r>
      <w:r w:rsidR="0031451E" w:rsidRPr="00552D93">
        <w:rPr>
          <w:rFonts w:ascii="Cambria" w:hAnsi="Cambria"/>
        </w:rPr>
        <w:t xml:space="preserve">the </w:t>
      </w:r>
      <w:r w:rsidR="007E429A" w:rsidRPr="00552D93">
        <w:rPr>
          <w:rFonts w:ascii="Cambria" w:hAnsi="Cambria"/>
        </w:rPr>
        <w:t>Global Drug Survey (</w:t>
      </w:r>
      <w:r w:rsidR="0031451E" w:rsidRPr="00552D93">
        <w:rPr>
          <w:rFonts w:ascii="Cambria" w:hAnsi="Cambria"/>
        </w:rPr>
        <w:t>GDS</w:t>
      </w:r>
      <w:r w:rsidR="007E429A" w:rsidRPr="00552D93">
        <w:rPr>
          <w:rFonts w:ascii="Cambria" w:hAnsi="Cambria"/>
        </w:rPr>
        <w:t>)</w:t>
      </w:r>
      <w:r w:rsidR="0031451E" w:rsidRPr="00552D93">
        <w:rPr>
          <w:rFonts w:ascii="Cambria" w:hAnsi="Cambria"/>
        </w:rPr>
        <w:t xml:space="preserve"> is </w:t>
      </w:r>
      <w:r w:rsidR="00973A74" w:rsidRPr="00552D93">
        <w:rPr>
          <w:rFonts w:ascii="Cambria" w:hAnsi="Cambria"/>
        </w:rPr>
        <w:t>a</w:t>
      </w:r>
      <w:r w:rsidR="004E2461" w:rsidRPr="00552D93">
        <w:rPr>
          <w:rFonts w:ascii="Cambria" w:hAnsi="Cambria"/>
        </w:rPr>
        <w:t>n annual</w:t>
      </w:r>
      <w:r w:rsidRPr="00552D93">
        <w:rPr>
          <w:rFonts w:ascii="Cambria" w:hAnsi="Cambria"/>
        </w:rPr>
        <w:t xml:space="preserve">, </w:t>
      </w:r>
      <w:r w:rsidR="00D85ED7" w:rsidRPr="00552D93">
        <w:rPr>
          <w:rFonts w:ascii="Cambria" w:hAnsi="Cambria"/>
        </w:rPr>
        <w:t>anonymous cross</w:t>
      </w:r>
      <w:r w:rsidR="004E2461" w:rsidRPr="00552D93">
        <w:rPr>
          <w:rFonts w:ascii="Cambria" w:hAnsi="Cambria"/>
        </w:rPr>
        <w:t>-</w:t>
      </w:r>
      <w:r w:rsidR="00973A74" w:rsidRPr="00552D93">
        <w:rPr>
          <w:rFonts w:ascii="Cambria" w:hAnsi="Cambria"/>
        </w:rPr>
        <w:t xml:space="preserve">sectional survey developed to monitor trends in alcohol and </w:t>
      </w:r>
      <w:r w:rsidR="004E2461" w:rsidRPr="00552D93">
        <w:rPr>
          <w:rFonts w:ascii="Cambria" w:hAnsi="Cambria"/>
        </w:rPr>
        <w:t xml:space="preserve">other </w:t>
      </w:r>
      <w:r w:rsidR="00973A74" w:rsidRPr="00552D93">
        <w:rPr>
          <w:rFonts w:ascii="Cambria" w:hAnsi="Cambria"/>
        </w:rPr>
        <w:t>drug use and</w:t>
      </w:r>
      <w:r w:rsidR="004E2461" w:rsidRPr="00552D93">
        <w:rPr>
          <w:rFonts w:ascii="Cambria" w:hAnsi="Cambria"/>
        </w:rPr>
        <w:t xml:space="preserve"> related</w:t>
      </w:r>
      <w:r w:rsidR="00973A74" w:rsidRPr="00552D93">
        <w:rPr>
          <w:rFonts w:ascii="Cambria" w:hAnsi="Cambria"/>
        </w:rPr>
        <w:t xml:space="preserve"> harms. GDS2015 took place between November 2014</w:t>
      </w:r>
      <w:r w:rsidR="004E2461" w:rsidRPr="00552D93">
        <w:rPr>
          <w:rFonts w:ascii="Cambria" w:hAnsi="Cambria"/>
        </w:rPr>
        <w:t xml:space="preserve"> to </w:t>
      </w:r>
      <w:r w:rsidR="00973A74" w:rsidRPr="00552D93">
        <w:rPr>
          <w:rFonts w:ascii="Cambria" w:hAnsi="Cambria"/>
        </w:rPr>
        <w:t>January 2015</w:t>
      </w:r>
      <w:r w:rsidR="00791F24" w:rsidRPr="00552D93">
        <w:rPr>
          <w:rFonts w:ascii="Cambria" w:hAnsi="Cambria"/>
        </w:rPr>
        <w:t xml:space="preserve"> </w:t>
      </w:r>
      <w:r w:rsidR="00791F24" w:rsidRPr="00552D93">
        <w:rPr>
          <w:rStyle w:val="FootnoteReference"/>
          <w:rFonts w:ascii="Cambria" w:hAnsi="Cambria"/>
        </w:rPr>
        <w:footnoteReference w:id="1"/>
      </w:r>
      <w:r w:rsidR="00973A74" w:rsidRPr="00552D93">
        <w:rPr>
          <w:rFonts w:ascii="Cambria" w:hAnsi="Cambria"/>
        </w:rPr>
        <w:t>, collecting data in 174 countries and 11 languages (English, German, Greek, Polish, French, Italian, Spanish, Portuguese, Flemish, Hungarian and Danish). GDS recruits an opportunistic sample of people who use or have used alcohol and</w:t>
      </w:r>
      <w:r w:rsidR="0031451E" w:rsidRPr="00552D93">
        <w:rPr>
          <w:rFonts w:ascii="Cambria" w:hAnsi="Cambria"/>
        </w:rPr>
        <w:t>/or</w:t>
      </w:r>
      <w:r w:rsidR="00973A74" w:rsidRPr="00552D93">
        <w:rPr>
          <w:rFonts w:ascii="Cambria" w:hAnsi="Cambria"/>
        </w:rPr>
        <w:t xml:space="preserve"> other drugs worldwide via various media </w:t>
      </w:r>
      <w:r w:rsidR="004E2461" w:rsidRPr="00552D93">
        <w:rPr>
          <w:rFonts w:ascii="Cambria" w:hAnsi="Cambria"/>
        </w:rPr>
        <w:t xml:space="preserve">partners </w:t>
      </w:r>
      <w:r w:rsidR="00973A74" w:rsidRPr="00552D93">
        <w:rPr>
          <w:rFonts w:ascii="Cambria" w:hAnsi="Cambria"/>
        </w:rPr>
        <w:t xml:space="preserve">and harm reduction </w:t>
      </w:r>
      <w:r w:rsidR="004E2461" w:rsidRPr="00552D93">
        <w:rPr>
          <w:rFonts w:ascii="Cambria" w:hAnsi="Cambria"/>
        </w:rPr>
        <w:t>organizations</w:t>
      </w:r>
      <w:r w:rsidR="00973A74" w:rsidRPr="00552D93">
        <w:rPr>
          <w:rFonts w:ascii="Cambria" w:hAnsi="Cambria"/>
        </w:rPr>
        <w:t>.</w:t>
      </w:r>
      <w:r w:rsidR="00297275" w:rsidRPr="00552D93">
        <w:rPr>
          <w:rFonts w:ascii="Cambria" w:hAnsi="Cambria"/>
        </w:rPr>
        <w:t xml:space="preserve"> </w:t>
      </w:r>
      <w:r w:rsidR="00F53069" w:rsidRPr="00552D93">
        <w:rPr>
          <w:rFonts w:ascii="Cambria" w:hAnsi="Cambria"/>
        </w:rPr>
        <w:t xml:space="preserve">This means that the sample cannot be considered to be </w:t>
      </w:r>
      <w:r w:rsidR="00F53069" w:rsidRPr="00552D93">
        <w:rPr>
          <w:rFonts w:ascii="Cambria" w:hAnsi="Cambria"/>
        </w:rPr>
        <w:lastRenderedPageBreak/>
        <w:t xml:space="preserve">representative of the populations within each included country in the study. However, </w:t>
      </w:r>
      <w:r w:rsidR="00F53069" w:rsidRPr="00552D93">
        <w:rPr>
          <w:rFonts w:ascii="Cambria" w:hAnsi="Cambria"/>
          <w:lang w:val="en-US"/>
        </w:rPr>
        <w:t xml:space="preserve">analysis has demonstrated that GDS is able to recruit similar samples of </w:t>
      </w:r>
      <w:r w:rsidR="00271C21" w:rsidRPr="00552D93">
        <w:rPr>
          <w:rFonts w:ascii="Cambria" w:hAnsi="Cambria"/>
          <w:lang w:val="en-US"/>
        </w:rPr>
        <w:t xml:space="preserve">people who use </w:t>
      </w:r>
      <w:r w:rsidR="00F53069" w:rsidRPr="00552D93">
        <w:rPr>
          <w:rFonts w:ascii="Cambria" w:hAnsi="Cambria"/>
          <w:lang w:val="en-US"/>
        </w:rPr>
        <w:t>cannabis and alcohol</w:t>
      </w:r>
      <w:r w:rsidR="00271C21" w:rsidRPr="00552D93">
        <w:rPr>
          <w:rFonts w:ascii="Cambria" w:hAnsi="Cambria"/>
          <w:lang w:val="en-US"/>
        </w:rPr>
        <w:t xml:space="preserve"> regarding age and </w:t>
      </w:r>
      <w:r w:rsidR="0095496C" w:rsidRPr="00552D93">
        <w:rPr>
          <w:rFonts w:ascii="Cambria" w:hAnsi="Cambria"/>
          <w:lang w:val="en-US"/>
        </w:rPr>
        <w:t>gender</w:t>
      </w:r>
      <w:r w:rsidR="00F53069" w:rsidRPr="00552D93">
        <w:rPr>
          <w:rFonts w:ascii="Cambria" w:hAnsi="Cambria"/>
          <w:lang w:val="en-US"/>
        </w:rPr>
        <w:t xml:space="preserve"> </w:t>
      </w:r>
      <w:r w:rsidR="00271C21" w:rsidRPr="00552D93">
        <w:rPr>
          <w:rFonts w:ascii="Cambria" w:hAnsi="Cambria"/>
          <w:lang w:val="en-US"/>
        </w:rPr>
        <w:t>when</w:t>
      </w:r>
      <w:r w:rsidR="00297275" w:rsidRPr="00552D93">
        <w:rPr>
          <w:rFonts w:ascii="Cambria" w:hAnsi="Cambria"/>
          <w:lang w:val="en-US"/>
        </w:rPr>
        <w:t xml:space="preserve"> </w:t>
      </w:r>
      <w:r w:rsidR="00F53069" w:rsidRPr="00552D93">
        <w:rPr>
          <w:rFonts w:ascii="Cambria" w:hAnsi="Cambria"/>
          <w:lang w:val="en-US"/>
        </w:rPr>
        <w:t xml:space="preserve">compared to general household surveys in Australia, the United States and Switzerland </w:t>
      </w:r>
      <w:r w:rsidR="00F53069" w:rsidRPr="00552D93">
        <w:rPr>
          <w:rFonts w:ascii="Cambria" w:hAnsi="Cambria"/>
          <w:lang w:val="en-US"/>
        </w:rPr>
        <w:fldChar w:fldCharType="begin"/>
      </w:r>
      <w:r w:rsidR="001530C8" w:rsidRPr="00552D93">
        <w:rPr>
          <w:rFonts w:ascii="Cambria" w:hAnsi="Cambria"/>
          <w:lang w:val="en-US"/>
        </w:rPr>
        <w:instrText xml:space="preserve"> ADDIN EN.CITE &lt;EndNote&gt;&lt;Cite&gt;&lt;Author&gt;Barratt&lt;/Author&gt;&lt;Year&gt;2017&lt;/Year&gt;&lt;RecNum&gt;4368&lt;/RecNum&gt;&lt;DisplayText&gt;(Barratt et al., 2017)&lt;/DisplayText&gt;&lt;record&gt;&lt;rec-number&gt;4368&lt;/rec-number&gt;&lt;foreign-keys&gt;&lt;key app="EN" db-id="te5rs0t0nprf99ep09vxza050r9t99faf9td" timestamp="1526553820"&gt;4368&lt;/key&gt;&lt;/foreign-keys&gt;&lt;ref-type name="Journal Article"&gt;17&lt;/ref-type&gt;&lt;contributors&gt;&lt;authors&gt;&lt;author&gt;Barratt, M.J.&lt;/author&gt;&lt;author&gt;Ferris, J.A.&lt;/author&gt;&lt;author&gt;Zahnow, R.&lt;/author&gt;&lt;author&gt;Palamar, J.J.&lt;/author&gt;&lt;author&gt;Maier, L.J.&lt;/author&gt;&lt;author&gt;Winstock, A.R.&lt;/author&gt;&lt;/authors&gt;&lt;/contributors&gt;&lt;titles&gt;&lt;title&gt;Moving on from representativeness: testing the utility of the Global Drug Survey&lt;/title&gt;&lt;secondary-title&gt;Substance Abuse: Research and Treatment &lt;/secondary-title&gt;&lt;/titles&gt;&lt;periodical&gt;&lt;full-title&gt;Substance Abuse: Research and Treatment &lt;/full-title&gt;&lt;/periodical&gt;&lt;dates&gt;&lt;year&gt;2017&lt;/year&gt;&lt;/dates&gt;&lt;urls&gt;&lt;related-urls&gt;&lt;url&gt;&amp;lt;Go to WoS&amp;gt;://WOS:000368839100158&lt;/url&gt;&lt;/related-urls&gt;&lt;/urls&gt;&lt;electronic-resource-num&gt;10.1177/1178221817716391&lt;/electronic-resource-num&gt;&lt;/record&gt;&lt;/Cite&gt;&lt;/EndNote&gt;</w:instrText>
      </w:r>
      <w:r w:rsidR="00F53069" w:rsidRPr="00552D93">
        <w:rPr>
          <w:rFonts w:ascii="Cambria" w:hAnsi="Cambria"/>
          <w:lang w:val="en-US"/>
        </w:rPr>
        <w:fldChar w:fldCharType="separate"/>
      </w:r>
      <w:r w:rsidR="00F53069" w:rsidRPr="00552D93">
        <w:rPr>
          <w:rFonts w:ascii="Cambria" w:hAnsi="Cambria"/>
          <w:noProof/>
          <w:lang w:val="en-US"/>
        </w:rPr>
        <w:t>(Barratt et al., 2017)</w:t>
      </w:r>
      <w:r w:rsidR="00F53069" w:rsidRPr="00552D93">
        <w:rPr>
          <w:rFonts w:ascii="Cambria" w:hAnsi="Cambria"/>
          <w:lang w:val="en-US"/>
        </w:rPr>
        <w:fldChar w:fldCharType="end"/>
      </w:r>
      <w:r w:rsidR="00F53069" w:rsidRPr="00552D93">
        <w:rPr>
          <w:rFonts w:ascii="Cambria" w:hAnsi="Cambria"/>
          <w:lang w:val="en-US"/>
        </w:rPr>
        <w:t xml:space="preserve">. </w:t>
      </w:r>
      <w:r w:rsidR="00973A74" w:rsidRPr="00552D93">
        <w:rPr>
          <w:rFonts w:ascii="Cambria" w:hAnsi="Cambria"/>
        </w:rPr>
        <w:t>A detailed breakdown of the recruitment and sampl</w:t>
      </w:r>
      <w:r w:rsidR="004E2461" w:rsidRPr="00552D93">
        <w:rPr>
          <w:rFonts w:ascii="Cambria" w:hAnsi="Cambria"/>
        </w:rPr>
        <w:t>ing strategy</w:t>
      </w:r>
      <w:r w:rsidR="00973A74" w:rsidRPr="00552D93">
        <w:rPr>
          <w:rFonts w:ascii="Cambria" w:hAnsi="Cambria"/>
        </w:rPr>
        <w:t xml:space="preserve"> is available elsewhere</w:t>
      </w:r>
      <w:r w:rsidR="007A1FF8" w:rsidRPr="00552D93">
        <w:rPr>
          <w:rFonts w:ascii="Cambria" w:hAnsi="Cambria"/>
        </w:rPr>
        <w:t xml:space="preserve"> </w:t>
      </w:r>
      <w:r w:rsidR="007A1FF8" w:rsidRPr="00552D93">
        <w:rPr>
          <w:rFonts w:ascii="Cambria" w:hAnsi="Cambria"/>
        </w:rPr>
        <w:fldChar w:fldCharType="begin"/>
      </w:r>
      <w:r w:rsidR="001530C8" w:rsidRPr="00552D93">
        <w:rPr>
          <w:rFonts w:ascii="Cambria" w:hAnsi="Cambria"/>
        </w:rPr>
        <w:instrText xml:space="preserve"> ADDIN EN.CITE &lt;EndNote&gt;&lt;Cite&gt;&lt;Author&gt;Barratt&lt;/Author&gt;&lt;Year&gt;2017&lt;/Year&gt;&lt;RecNum&gt;4368&lt;/RecNum&gt;&lt;DisplayText&gt;(Barratt et al., 2017)&lt;/DisplayText&gt;&lt;record&gt;&lt;rec-number&gt;4368&lt;/rec-number&gt;&lt;foreign-keys&gt;&lt;key app="EN" db-id="te5rs0t0nprf99ep09vxza050r9t99faf9td" timestamp="1526553820"&gt;4368&lt;/key&gt;&lt;/foreign-keys&gt;&lt;ref-type name="Journal Article"&gt;17&lt;/ref-type&gt;&lt;contributors&gt;&lt;authors&gt;&lt;author&gt;Barratt, M.J.&lt;/author&gt;&lt;author&gt;Ferris, J.A.&lt;/author&gt;&lt;author&gt;Zahnow, R.&lt;/author&gt;&lt;author&gt;Palamar, J.J.&lt;/author&gt;&lt;author&gt;Maier, L.J.&lt;/author&gt;&lt;author&gt;Winstock, A.R.&lt;/author&gt;&lt;/authors&gt;&lt;/contributors&gt;&lt;titles&gt;&lt;title&gt;Moving on from representativeness: testing the utility of the Global Drug Survey&lt;/title&gt;&lt;secondary-title&gt;Substance Abuse: Research and Treatment &lt;/secondary-title&gt;&lt;/titles&gt;&lt;periodical&gt;&lt;full-title&gt;Substance Abuse: Research and Treatment &lt;/full-title&gt;&lt;/periodical&gt;&lt;dates&gt;&lt;year&gt;2017&lt;/year&gt;&lt;/dates&gt;&lt;urls&gt;&lt;related-urls&gt;&lt;url&gt;&amp;lt;Go to WoS&amp;gt;://WOS:000368839100158&lt;/url&gt;&lt;/related-urls&gt;&lt;/urls&gt;&lt;electronic-resource-num&gt;10.1177/1178221817716391&lt;/electronic-resource-num&gt;&lt;/record&gt;&lt;/Cite&gt;&lt;/EndNote&gt;</w:instrText>
      </w:r>
      <w:r w:rsidR="007A1FF8" w:rsidRPr="00552D93">
        <w:rPr>
          <w:rFonts w:ascii="Cambria" w:hAnsi="Cambria"/>
        </w:rPr>
        <w:fldChar w:fldCharType="separate"/>
      </w:r>
      <w:r w:rsidR="003E489A" w:rsidRPr="00552D93">
        <w:rPr>
          <w:rFonts w:ascii="Cambria" w:hAnsi="Cambria"/>
          <w:noProof/>
        </w:rPr>
        <w:t>(Barratt et al., 2017)</w:t>
      </w:r>
      <w:r w:rsidR="007A1FF8" w:rsidRPr="00552D93">
        <w:rPr>
          <w:rFonts w:ascii="Cambria" w:hAnsi="Cambria"/>
        </w:rPr>
        <w:fldChar w:fldCharType="end"/>
      </w:r>
      <w:r w:rsidR="007A1FF8" w:rsidRPr="00552D93">
        <w:rPr>
          <w:rFonts w:ascii="Cambria" w:hAnsi="Cambria"/>
        </w:rPr>
        <w:t>.</w:t>
      </w:r>
      <w:r w:rsidR="00297275" w:rsidRPr="00552D93">
        <w:rPr>
          <w:rFonts w:ascii="Cambria" w:hAnsi="Cambria"/>
        </w:rPr>
        <w:t xml:space="preserve"> </w:t>
      </w:r>
      <w:r w:rsidR="00445F52" w:rsidRPr="00552D93">
        <w:rPr>
          <w:rFonts w:ascii="Cambria" w:hAnsi="Cambria"/>
        </w:rPr>
        <w:t xml:space="preserve">Ethical approval was obtained from the </w:t>
      </w:r>
      <w:r w:rsidRPr="00552D93">
        <w:rPr>
          <w:rFonts w:ascii="Cambria" w:hAnsi="Cambria"/>
        </w:rPr>
        <w:t xml:space="preserve">Kings College London </w:t>
      </w:r>
      <w:r w:rsidR="00445F52" w:rsidRPr="00552D93">
        <w:rPr>
          <w:rFonts w:ascii="Cambria" w:hAnsi="Cambria"/>
        </w:rPr>
        <w:t>Research Ethics Committee</w:t>
      </w:r>
      <w:r w:rsidRPr="00552D93">
        <w:rPr>
          <w:rFonts w:ascii="Cambria" w:hAnsi="Cambria"/>
        </w:rPr>
        <w:t xml:space="preserve"> </w:t>
      </w:r>
      <w:r w:rsidR="00445F52" w:rsidRPr="00552D93">
        <w:rPr>
          <w:rFonts w:ascii="Cambria" w:hAnsi="Cambria"/>
        </w:rPr>
        <w:t>11671/001: Global Drug Survey, University of Queensland (No: 2017001452) and The University of New South Wales (HREC HC17769) Research Ethics Committees.</w:t>
      </w:r>
      <w:r w:rsidR="0041286F" w:rsidRPr="00552D93">
        <w:rPr>
          <w:rFonts w:ascii="Cambria" w:hAnsi="Cambria"/>
        </w:rPr>
        <w:t xml:space="preserve"> </w:t>
      </w:r>
    </w:p>
    <w:p w14:paraId="6DEB6E8F" w14:textId="77777777" w:rsidR="000441AA" w:rsidRPr="00552D93" w:rsidRDefault="000441AA" w:rsidP="000441AA">
      <w:pPr>
        <w:spacing w:before="100" w:beforeAutospacing="1" w:after="100" w:afterAutospacing="1" w:line="480" w:lineRule="auto"/>
        <w:rPr>
          <w:rFonts w:ascii="Cambria" w:hAnsi="Cambria"/>
          <w:i/>
        </w:rPr>
      </w:pPr>
      <w:r w:rsidRPr="00552D93">
        <w:rPr>
          <w:rFonts w:ascii="Cambria" w:hAnsi="Cambria"/>
          <w:i/>
        </w:rPr>
        <w:t xml:space="preserve">Participants </w:t>
      </w:r>
    </w:p>
    <w:p w14:paraId="7BFD6785" w14:textId="3F1DE0E9" w:rsidR="00AA4600" w:rsidRPr="00552D93" w:rsidRDefault="000441AA" w:rsidP="000441AA">
      <w:pPr>
        <w:spacing w:before="100" w:beforeAutospacing="1" w:after="100" w:afterAutospacing="1" w:line="480" w:lineRule="auto"/>
        <w:rPr>
          <w:rFonts w:ascii="Cambria" w:hAnsi="Cambria"/>
        </w:rPr>
      </w:pPr>
      <w:r w:rsidRPr="00552D93">
        <w:rPr>
          <w:rFonts w:ascii="Cambria" w:hAnsi="Cambria"/>
        </w:rPr>
        <w:t>In total</w:t>
      </w:r>
      <w:r w:rsidR="004E2461" w:rsidRPr="00552D93">
        <w:rPr>
          <w:rFonts w:ascii="Cambria" w:hAnsi="Cambria"/>
        </w:rPr>
        <w:t>,</w:t>
      </w:r>
      <w:r w:rsidRPr="00552D93">
        <w:rPr>
          <w:rFonts w:ascii="Cambria" w:hAnsi="Cambria"/>
        </w:rPr>
        <w:t xml:space="preserve"> 97,855 respondents from 174 countries</w:t>
      </w:r>
      <w:r w:rsidR="004E2461" w:rsidRPr="00552D93">
        <w:rPr>
          <w:rFonts w:ascii="Cambria" w:hAnsi="Cambria"/>
        </w:rPr>
        <w:t xml:space="preserve"> took part</w:t>
      </w:r>
      <w:r w:rsidRPr="00552D93">
        <w:rPr>
          <w:rFonts w:ascii="Cambria" w:hAnsi="Cambria"/>
        </w:rPr>
        <w:t xml:space="preserve"> in GDS2015. The current study draws on data from </w:t>
      </w:r>
      <w:r w:rsidR="0072252A" w:rsidRPr="00552D93">
        <w:rPr>
          <w:rFonts w:ascii="Cambria" w:hAnsi="Cambria"/>
        </w:rPr>
        <w:t>fe</w:t>
      </w:r>
      <w:r w:rsidRPr="00552D93">
        <w:rPr>
          <w:rFonts w:ascii="Cambria" w:hAnsi="Cambria"/>
        </w:rPr>
        <w:t xml:space="preserve">male and male respondents </w:t>
      </w:r>
      <w:r w:rsidR="004E2461" w:rsidRPr="00552D93">
        <w:rPr>
          <w:rFonts w:ascii="Cambria" w:hAnsi="Cambria"/>
        </w:rPr>
        <w:t xml:space="preserve">aged 16 to 80 years </w:t>
      </w:r>
      <w:r w:rsidRPr="00552D93">
        <w:rPr>
          <w:rFonts w:ascii="Cambria" w:hAnsi="Cambria"/>
        </w:rPr>
        <w:t xml:space="preserve">who indicated drinking alcohol at least once in the past year and </w:t>
      </w:r>
      <w:r w:rsidR="004E2461" w:rsidRPr="00552D93">
        <w:rPr>
          <w:rFonts w:ascii="Cambria" w:hAnsi="Cambria"/>
        </w:rPr>
        <w:t xml:space="preserve">resided in </w:t>
      </w:r>
      <w:r w:rsidRPr="00552D93">
        <w:rPr>
          <w:rFonts w:ascii="Cambria" w:hAnsi="Cambria"/>
        </w:rPr>
        <w:t xml:space="preserve">countries </w:t>
      </w:r>
      <w:r w:rsidR="00656C8B" w:rsidRPr="00552D93">
        <w:rPr>
          <w:rFonts w:ascii="Cambria" w:hAnsi="Cambria"/>
        </w:rPr>
        <w:t xml:space="preserve">where over 200 respondents </w:t>
      </w:r>
      <w:r w:rsidR="00100C13" w:rsidRPr="00552D93">
        <w:rPr>
          <w:rFonts w:ascii="Cambria" w:hAnsi="Cambria"/>
        </w:rPr>
        <w:t>provided data about their drinking habits.</w:t>
      </w:r>
      <w:r w:rsidR="00297275" w:rsidRPr="00552D93">
        <w:rPr>
          <w:rFonts w:ascii="Cambria" w:hAnsi="Cambria"/>
        </w:rPr>
        <w:t xml:space="preserve"> </w:t>
      </w:r>
      <w:r w:rsidR="004E2461" w:rsidRPr="00552D93">
        <w:rPr>
          <w:rFonts w:ascii="Cambria" w:hAnsi="Cambria"/>
        </w:rPr>
        <w:t>People identifying as non-binary gender identity were not included in the current analysis because the numbers were too small for meaningful comparison analyses across gender</w:t>
      </w:r>
      <w:r w:rsidR="00563266" w:rsidRPr="00552D93">
        <w:rPr>
          <w:rFonts w:ascii="Cambria" w:hAnsi="Cambria"/>
        </w:rPr>
        <w:t>.</w:t>
      </w:r>
      <w:r w:rsidR="00297275" w:rsidRPr="00552D93">
        <w:rPr>
          <w:rFonts w:ascii="Cambria" w:hAnsi="Cambria"/>
        </w:rPr>
        <w:t xml:space="preserve"> </w:t>
      </w:r>
      <w:r w:rsidR="007A12EE" w:rsidRPr="00552D93">
        <w:rPr>
          <w:rFonts w:ascii="Cambria" w:hAnsi="Cambria"/>
        </w:rPr>
        <w:t>In total,</w:t>
      </w:r>
      <w:r w:rsidR="00271C21" w:rsidRPr="00552D93">
        <w:rPr>
          <w:rFonts w:ascii="Cambria" w:hAnsi="Cambria"/>
        </w:rPr>
        <w:t xml:space="preserve"> data from</w:t>
      </w:r>
      <w:r w:rsidR="007A12EE" w:rsidRPr="00552D93">
        <w:rPr>
          <w:rFonts w:ascii="Cambria" w:hAnsi="Cambria"/>
        </w:rPr>
        <w:t xml:space="preserve"> 62,547 respondents </w:t>
      </w:r>
      <w:r w:rsidR="00271C21" w:rsidRPr="00552D93">
        <w:rPr>
          <w:rFonts w:ascii="Cambria" w:hAnsi="Cambria"/>
        </w:rPr>
        <w:t xml:space="preserve">who </w:t>
      </w:r>
      <w:r w:rsidR="007A12EE" w:rsidRPr="00552D93">
        <w:rPr>
          <w:rFonts w:ascii="Cambria" w:hAnsi="Cambria"/>
        </w:rPr>
        <w:t>completed the questions about their usual drink size and levels of intoxication</w:t>
      </w:r>
      <w:r w:rsidR="00271C21" w:rsidRPr="00552D93">
        <w:rPr>
          <w:rFonts w:ascii="Cambria" w:hAnsi="Cambria"/>
        </w:rPr>
        <w:t xml:space="preserve"> were considered for this study</w:t>
      </w:r>
      <w:r w:rsidR="00ED0138" w:rsidRPr="00552D93">
        <w:rPr>
          <w:rFonts w:ascii="Cambria" w:hAnsi="Cambria"/>
        </w:rPr>
        <w:t xml:space="preserve">. </w:t>
      </w:r>
    </w:p>
    <w:p w14:paraId="43795805" w14:textId="77777777" w:rsidR="003228B8" w:rsidRPr="00552D93" w:rsidRDefault="003228B8" w:rsidP="003228B8">
      <w:pPr>
        <w:spacing w:before="100" w:beforeAutospacing="1" w:after="100" w:afterAutospacing="1" w:line="480" w:lineRule="auto"/>
        <w:rPr>
          <w:rFonts w:ascii="Cambria" w:hAnsi="Cambria"/>
          <w:i/>
        </w:rPr>
      </w:pPr>
      <w:r w:rsidRPr="00552D93">
        <w:rPr>
          <w:rFonts w:ascii="Cambria" w:hAnsi="Cambria"/>
          <w:i/>
        </w:rPr>
        <w:t xml:space="preserve">Measures </w:t>
      </w:r>
    </w:p>
    <w:p w14:paraId="213297A7" w14:textId="59FBC976" w:rsidR="003228B8" w:rsidRPr="00552D93" w:rsidRDefault="003228B8" w:rsidP="003228B8">
      <w:pPr>
        <w:spacing w:before="100" w:beforeAutospacing="1" w:after="100" w:afterAutospacing="1" w:line="480" w:lineRule="auto"/>
        <w:rPr>
          <w:rFonts w:ascii="Cambria" w:hAnsi="Cambria"/>
        </w:rPr>
      </w:pPr>
      <w:r w:rsidRPr="00552D93">
        <w:rPr>
          <w:rFonts w:ascii="Cambria" w:hAnsi="Cambria"/>
        </w:rPr>
        <w:t>The Alcohol Use</w:t>
      </w:r>
      <w:r w:rsidR="003F1B20" w:rsidRPr="00552D93">
        <w:rPr>
          <w:rFonts w:ascii="Cambria" w:hAnsi="Cambria"/>
        </w:rPr>
        <w:t xml:space="preserve"> Disorders Identification Test </w:t>
      </w:r>
      <w:r w:rsidR="0041286F" w:rsidRPr="00552D93">
        <w:rPr>
          <w:rFonts w:ascii="Cambria" w:hAnsi="Cambria"/>
        </w:rPr>
        <w:fldChar w:fldCharType="begin"/>
      </w:r>
      <w:r w:rsidR="001530C8" w:rsidRPr="00552D93">
        <w:rPr>
          <w:rFonts w:ascii="Cambria" w:hAnsi="Cambria"/>
        </w:rPr>
        <w:instrText xml:space="preserve"> ADDIN EN.CITE &lt;EndNote&gt;&lt;Cite&gt;&lt;Author&gt;Babor&lt;/Author&gt;&lt;Year&gt;2001&lt;/Year&gt;&lt;RecNum&gt;4097&lt;/RecNum&gt;&lt;IDText&gt;The Alcohol Use Disorders Identification Test, Guidelines for Use in Primary Care&lt;/IDText&gt;&lt;Prefix&gt;AUDIT`; &lt;/Prefix&gt;&lt;DisplayText&gt;(AUDIT; Babor, Higgins-Biddle, Saunders, &amp;amp; Monteiro, 2001)&lt;/DisplayText&gt;&lt;record&gt;&lt;rec-number&gt;4097&lt;/rec-number&gt;&lt;foreign-keys&gt;&lt;key app="EN" db-id="te5rs0t0nprf99ep09vxza050r9t99faf9td" timestamp="1526553793"&gt;4097&lt;/key&gt;&lt;/foreign-keys&gt;&lt;ref-type name="Generic"&gt;13&lt;/ref-type&gt;&lt;contributors&gt;&lt;authors&gt;&lt;author&gt;Babor, T.&lt;/author&gt;&lt;author&gt;Higgins-Biddle, J.C.&lt;/author&gt;&lt;author&gt;Saunders, J.B.&lt;/author&gt;&lt;author&gt;Monteiro, M.G.&lt;/author&gt;&lt;/authors&gt;&lt;/contributors&gt;&lt;titles&gt;&lt;title&gt;The Alcohol Use Disorders Identification Test, Guidelines for Use in Primary Care&lt;/title&gt;&lt;/titles&gt;&lt;edition&gt;2nd edition&lt;/edition&gt;&lt;dates&gt;&lt;year&gt;2001&lt;/year&gt;&lt;/dates&gt;&lt;pub-location&gt;Geneva&lt;/pub-location&gt;&lt;publisher&gt;World Health Organization&lt;/publisher&gt;&lt;urls&gt;&lt;/urls&gt;&lt;/record&gt;&lt;/Cite&gt;&lt;/EndNote&gt;</w:instrText>
      </w:r>
      <w:r w:rsidR="0041286F" w:rsidRPr="00552D93">
        <w:rPr>
          <w:rFonts w:ascii="Cambria" w:hAnsi="Cambria"/>
        </w:rPr>
        <w:fldChar w:fldCharType="separate"/>
      </w:r>
      <w:r w:rsidR="003E489A" w:rsidRPr="00552D93">
        <w:rPr>
          <w:rFonts w:ascii="Cambria" w:hAnsi="Cambria"/>
          <w:noProof/>
        </w:rPr>
        <w:t>(AUDIT; Babor, Higgins-Biddle, Saunders, &amp; Monteiro, 2001)</w:t>
      </w:r>
      <w:r w:rsidR="0041286F" w:rsidRPr="00552D93">
        <w:rPr>
          <w:rFonts w:ascii="Cambria" w:hAnsi="Cambria"/>
        </w:rPr>
        <w:fldChar w:fldCharType="end"/>
      </w:r>
      <w:r w:rsidR="0041286F" w:rsidRPr="00552D93">
        <w:rPr>
          <w:rFonts w:ascii="Cambria" w:hAnsi="Cambria"/>
        </w:rPr>
        <w:t xml:space="preserve"> </w:t>
      </w:r>
      <w:r w:rsidRPr="00552D93">
        <w:rPr>
          <w:rFonts w:ascii="Cambria" w:hAnsi="Cambria"/>
        </w:rPr>
        <w:t xml:space="preserve">is a 10 item questionnaire to assess alcohol consumption and harms. The scale ranges from 0-40 and </w:t>
      </w:r>
      <w:r w:rsidR="00563266" w:rsidRPr="00552D93">
        <w:rPr>
          <w:rFonts w:ascii="Cambria" w:hAnsi="Cambria"/>
        </w:rPr>
        <w:t xml:space="preserve">is </w:t>
      </w:r>
      <w:r w:rsidRPr="00552D93">
        <w:rPr>
          <w:rFonts w:ascii="Cambria" w:hAnsi="Cambria"/>
        </w:rPr>
        <w:t>categorised as low</w:t>
      </w:r>
      <w:r w:rsidR="0091507A" w:rsidRPr="00552D93">
        <w:rPr>
          <w:rFonts w:ascii="Cambria" w:hAnsi="Cambria"/>
        </w:rPr>
        <w:t>er</w:t>
      </w:r>
      <w:r w:rsidRPr="00552D93">
        <w:rPr>
          <w:rFonts w:ascii="Cambria" w:hAnsi="Cambria"/>
        </w:rPr>
        <w:t xml:space="preserve"> risk</w:t>
      </w:r>
      <w:r w:rsidR="0091507A" w:rsidRPr="00552D93">
        <w:rPr>
          <w:rFonts w:ascii="Cambria" w:hAnsi="Cambria"/>
        </w:rPr>
        <w:t xml:space="preserve"> consumption</w:t>
      </w:r>
      <w:r w:rsidRPr="00552D93">
        <w:rPr>
          <w:rFonts w:ascii="Cambria" w:hAnsi="Cambria"/>
        </w:rPr>
        <w:t xml:space="preserve"> (0-7), increasing risk (8-15), higher risk (16-19) and possible </w:t>
      </w:r>
      <w:r w:rsidR="0031451E" w:rsidRPr="00552D93">
        <w:rPr>
          <w:rFonts w:ascii="Cambria" w:hAnsi="Cambria"/>
        </w:rPr>
        <w:t xml:space="preserve">alcohol </w:t>
      </w:r>
      <w:r w:rsidRPr="00552D93">
        <w:rPr>
          <w:rFonts w:ascii="Cambria" w:hAnsi="Cambria"/>
        </w:rPr>
        <w:t xml:space="preserve">dependence (20+).  </w:t>
      </w:r>
    </w:p>
    <w:p w14:paraId="266B0909" w14:textId="4516435F" w:rsidR="003228B8" w:rsidRPr="00552D93" w:rsidRDefault="003228B8" w:rsidP="003228B8">
      <w:pPr>
        <w:spacing w:before="100" w:beforeAutospacing="1" w:after="100" w:afterAutospacing="1" w:line="480" w:lineRule="auto"/>
        <w:rPr>
          <w:rFonts w:ascii="Cambria" w:eastAsia="Times New Roman" w:hAnsi="Cambria" w:cs="Times New Roman"/>
          <w:i/>
          <w:shd w:val="clear" w:color="auto" w:fill="FFFFFF"/>
          <w:lang w:eastAsia="en-GB"/>
        </w:rPr>
      </w:pPr>
      <w:r w:rsidRPr="00552D93">
        <w:rPr>
          <w:rFonts w:ascii="Cambria" w:eastAsia="Times New Roman" w:hAnsi="Cambria" w:cs="Times New Roman"/>
          <w:i/>
          <w:shd w:val="clear" w:color="auto" w:fill="FFFFFF"/>
          <w:lang w:eastAsia="en-GB"/>
        </w:rPr>
        <w:t xml:space="preserve">Type of alcohol consumed: </w:t>
      </w:r>
      <w:r w:rsidRPr="00552D93">
        <w:rPr>
          <w:rFonts w:ascii="Cambria" w:eastAsia="Times New Roman" w:hAnsi="Cambria" w:cs="Times New Roman"/>
          <w:shd w:val="clear" w:color="auto" w:fill="FFFFFF"/>
          <w:lang w:eastAsia="en-GB"/>
        </w:rPr>
        <w:t xml:space="preserve">Respondents were presented with a series of </w:t>
      </w:r>
      <w:r w:rsidR="005B56A9" w:rsidRPr="00552D93">
        <w:rPr>
          <w:rFonts w:ascii="Cambria" w:eastAsia="Times New Roman" w:hAnsi="Cambria" w:cs="Times New Roman"/>
          <w:shd w:val="clear" w:color="auto" w:fill="FFFFFF"/>
          <w:lang w:eastAsia="en-GB"/>
        </w:rPr>
        <w:t>pictures</w:t>
      </w:r>
      <w:r w:rsidRPr="00552D93">
        <w:rPr>
          <w:rFonts w:ascii="Cambria" w:eastAsia="Times New Roman" w:hAnsi="Cambria" w:cs="Times New Roman"/>
          <w:shd w:val="clear" w:color="auto" w:fill="FFFFFF"/>
          <w:lang w:eastAsia="en-GB"/>
        </w:rPr>
        <w:t xml:space="preserve"> depicting types of alcoholic beverages and a description of the amount of alcohol this contained</w:t>
      </w:r>
      <w:r w:rsidR="00FB4DAC" w:rsidRPr="00552D93">
        <w:rPr>
          <w:rFonts w:ascii="Cambria" w:eastAsia="Times New Roman" w:hAnsi="Cambria" w:cs="Times New Roman"/>
          <w:shd w:val="clear" w:color="auto" w:fill="FFFFFF"/>
          <w:lang w:eastAsia="en-GB"/>
        </w:rPr>
        <w:t xml:space="preserve"> (See Appendix A)</w:t>
      </w:r>
      <w:r w:rsidRPr="00552D93">
        <w:rPr>
          <w:rFonts w:ascii="Cambria" w:eastAsia="Times New Roman" w:hAnsi="Cambria" w:cs="Times New Roman"/>
          <w:shd w:val="clear" w:color="auto" w:fill="FFFFFF"/>
          <w:lang w:eastAsia="en-GB"/>
        </w:rPr>
        <w:t>. This included four categories</w:t>
      </w:r>
      <w:r w:rsidR="001C5D7D" w:rsidRPr="00552D93">
        <w:rPr>
          <w:rFonts w:ascii="Cambria" w:eastAsia="Times New Roman" w:hAnsi="Cambria" w:cs="Times New Roman"/>
          <w:shd w:val="clear" w:color="auto" w:fill="FFFFFF"/>
          <w:lang w:eastAsia="en-GB"/>
        </w:rPr>
        <w:t>:</w:t>
      </w:r>
      <w:r w:rsidRPr="00552D93">
        <w:rPr>
          <w:rFonts w:ascii="Cambria" w:eastAsia="Times New Roman" w:hAnsi="Cambria" w:cs="Times New Roman"/>
          <w:shd w:val="clear" w:color="auto" w:fill="FFFFFF"/>
          <w:lang w:eastAsia="en-GB"/>
        </w:rPr>
        <w:t xml:space="preserve"> wine; beer, cider or lager; spirits and alcopop/coolers</w:t>
      </w:r>
      <w:r w:rsidR="00C34681" w:rsidRPr="00552D93">
        <w:rPr>
          <w:rFonts w:ascii="Cambria" w:eastAsia="Times New Roman" w:hAnsi="Cambria" w:cs="Times New Roman"/>
          <w:shd w:val="clear" w:color="auto" w:fill="FFFFFF"/>
          <w:lang w:eastAsia="en-GB"/>
        </w:rPr>
        <w:t xml:space="preserve"> (i.e.</w:t>
      </w:r>
      <w:r w:rsidR="00990B5E" w:rsidRPr="00552D93">
        <w:rPr>
          <w:rFonts w:ascii="Cambria" w:eastAsia="Times New Roman" w:hAnsi="Cambria" w:cs="Times New Roman"/>
          <w:shd w:val="clear" w:color="auto" w:fill="FFFFFF"/>
          <w:lang w:eastAsia="en-GB"/>
        </w:rPr>
        <w:t xml:space="preserve"> pre</w:t>
      </w:r>
      <w:r w:rsidR="00C34681" w:rsidRPr="00552D93">
        <w:rPr>
          <w:rFonts w:ascii="Cambria" w:eastAsia="Times New Roman" w:hAnsi="Cambria" w:cs="Times New Roman"/>
          <w:shd w:val="clear" w:color="auto" w:fill="FFFFFF"/>
          <w:lang w:eastAsia="en-GB"/>
        </w:rPr>
        <w:t>-</w:t>
      </w:r>
      <w:r w:rsidR="00990B5E" w:rsidRPr="00552D93">
        <w:rPr>
          <w:rFonts w:ascii="Cambria" w:eastAsia="Times New Roman" w:hAnsi="Cambria" w:cs="Times New Roman"/>
          <w:shd w:val="clear" w:color="auto" w:fill="FFFFFF"/>
          <w:lang w:eastAsia="en-GB"/>
        </w:rPr>
        <w:lastRenderedPageBreak/>
        <w:t>mixed single container)</w:t>
      </w:r>
      <w:r w:rsidRPr="00552D93">
        <w:rPr>
          <w:rFonts w:ascii="Cambria" w:eastAsia="Times New Roman" w:hAnsi="Cambria" w:cs="Times New Roman"/>
          <w:shd w:val="clear" w:color="auto" w:fill="FFFFFF"/>
          <w:lang w:eastAsia="en-GB"/>
        </w:rPr>
        <w:t>. They were asked to select the type of alcohol that they consumed most often, and which size was a typical drink for them</w:t>
      </w:r>
      <w:r w:rsidR="00F04DB6" w:rsidRPr="00552D93">
        <w:rPr>
          <w:rFonts w:ascii="Cambria" w:eastAsia="Times New Roman" w:hAnsi="Cambria" w:cs="Times New Roman"/>
          <w:shd w:val="clear" w:color="auto" w:fill="FFFFFF"/>
          <w:lang w:eastAsia="en-GB"/>
        </w:rPr>
        <w:t xml:space="preserve"> </w:t>
      </w:r>
      <w:r w:rsidR="00656C8B" w:rsidRPr="00552D93">
        <w:rPr>
          <w:rFonts w:ascii="Cambria" w:eastAsia="Times New Roman" w:hAnsi="Cambria" w:cs="Times New Roman"/>
          <w:shd w:val="clear" w:color="auto" w:fill="FFFFFF"/>
          <w:lang w:eastAsia="en-GB"/>
        </w:rPr>
        <w:t>(s</w:t>
      </w:r>
      <w:r w:rsidR="00F04DB6" w:rsidRPr="00552D93">
        <w:rPr>
          <w:rFonts w:ascii="Cambria" w:eastAsia="Times New Roman" w:hAnsi="Cambria" w:cs="Times New Roman"/>
          <w:shd w:val="clear" w:color="auto" w:fill="FFFFFF"/>
          <w:lang w:eastAsia="en-GB"/>
        </w:rPr>
        <w:t>izes p</w:t>
      </w:r>
      <w:r w:rsidR="00656C8B" w:rsidRPr="00552D93">
        <w:rPr>
          <w:rFonts w:ascii="Cambria" w:eastAsia="Times New Roman" w:hAnsi="Cambria" w:cs="Times New Roman"/>
          <w:shd w:val="clear" w:color="auto" w:fill="FFFFFF"/>
          <w:lang w:eastAsia="en-GB"/>
        </w:rPr>
        <w:t xml:space="preserve">resented were as follows; wine = </w:t>
      </w:r>
      <w:r w:rsidR="00F04DB6" w:rsidRPr="00552D93">
        <w:rPr>
          <w:rFonts w:ascii="Cambria" w:eastAsia="Times New Roman" w:hAnsi="Cambria" w:cs="Times New Roman"/>
          <w:shd w:val="clear" w:color="auto" w:fill="FFFFFF"/>
          <w:lang w:eastAsia="en-GB"/>
        </w:rPr>
        <w:t xml:space="preserve">small wine </w:t>
      </w:r>
      <w:r w:rsidR="008C5D8C" w:rsidRPr="00552D93">
        <w:rPr>
          <w:rFonts w:ascii="Cambria" w:eastAsia="Times New Roman" w:hAnsi="Cambria" w:cs="Times New Roman"/>
          <w:shd w:val="clear" w:color="auto" w:fill="FFFFFF"/>
          <w:lang w:eastAsia="en-GB"/>
        </w:rPr>
        <w:t>125ml</w:t>
      </w:r>
      <w:r w:rsidR="00883572" w:rsidRPr="00552D93">
        <w:rPr>
          <w:rFonts w:ascii="Cambria" w:eastAsia="Times New Roman" w:hAnsi="Cambria" w:cs="Times New Roman"/>
          <w:shd w:val="clear" w:color="auto" w:fill="FFFFFF"/>
          <w:lang w:eastAsia="en-GB"/>
        </w:rPr>
        <w:t xml:space="preserve">, medium wine 175ml, large wine 200ml </w:t>
      </w:r>
      <w:r w:rsidR="00F04DB6" w:rsidRPr="00552D93">
        <w:rPr>
          <w:rFonts w:ascii="Cambria" w:eastAsia="Times New Roman" w:hAnsi="Cambria" w:cs="Times New Roman"/>
          <w:shd w:val="clear" w:color="auto" w:fill="FFFFFF"/>
          <w:lang w:eastAsia="en-GB"/>
        </w:rPr>
        <w:t>or other;</w:t>
      </w:r>
      <w:r w:rsidR="006E3246" w:rsidRPr="00552D93">
        <w:rPr>
          <w:rFonts w:ascii="Cambria" w:eastAsia="Times New Roman" w:hAnsi="Cambria" w:cs="Times New Roman"/>
          <w:i/>
          <w:shd w:val="clear" w:color="auto" w:fill="FFFFFF"/>
          <w:lang w:eastAsia="en-GB"/>
        </w:rPr>
        <w:t xml:space="preserve"> </w:t>
      </w:r>
      <w:r w:rsidR="00F04DB6" w:rsidRPr="00552D93">
        <w:rPr>
          <w:rFonts w:ascii="Cambria" w:eastAsia="Times New Roman" w:hAnsi="Cambria" w:cs="Times New Roman"/>
          <w:shd w:val="clear" w:color="auto" w:fill="FFFFFF"/>
          <w:lang w:eastAsia="en-GB"/>
        </w:rPr>
        <w:t xml:space="preserve">beer/cider / lager </w:t>
      </w:r>
      <w:r w:rsidR="00656C8B" w:rsidRPr="00552D93">
        <w:rPr>
          <w:rFonts w:ascii="Cambria" w:eastAsia="Times New Roman" w:hAnsi="Cambria" w:cs="Times New Roman"/>
          <w:shd w:val="clear" w:color="auto" w:fill="FFFFFF"/>
          <w:lang w:eastAsia="en-GB"/>
        </w:rPr>
        <w:t xml:space="preserve">= </w:t>
      </w:r>
      <w:r w:rsidR="00F04DB6" w:rsidRPr="00552D93">
        <w:rPr>
          <w:rFonts w:ascii="Cambria" w:eastAsia="Times New Roman" w:hAnsi="Cambria" w:cs="Times New Roman"/>
          <w:shd w:val="clear" w:color="auto" w:fill="FFFFFF"/>
          <w:lang w:eastAsia="en-GB"/>
        </w:rPr>
        <w:t xml:space="preserve">small </w:t>
      </w:r>
      <w:r w:rsidR="00883572" w:rsidRPr="00552D93">
        <w:rPr>
          <w:rFonts w:ascii="Cambria" w:eastAsia="Times New Roman" w:hAnsi="Cambria" w:cs="Times New Roman"/>
          <w:shd w:val="clear" w:color="auto" w:fill="FFFFFF"/>
          <w:lang w:eastAsia="en-GB"/>
        </w:rPr>
        <w:t>300ml</w:t>
      </w:r>
      <w:r w:rsidR="00F04DB6" w:rsidRPr="00552D93">
        <w:rPr>
          <w:rFonts w:ascii="Cambria" w:eastAsia="Times New Roman" w:hAnsi="Cambria" w:cs="Times New Roman"/>
          <w:shd w:val="clear" w:color="auto" w:fill="FFFFFF"/>
          <w:lang w:eastAsia="en-GB"/>
        </w:rPr>
        <w:t xml:space="preserve">, medium </w:t>
      </w:r>
      <w:r w:rsidR="00883572" w:rsidRPr="00552D93">
        <w:rPr>
          <w:rFonts w:ascii="Cambria" w:eastAsia="Times New Roman" w:hAnsi="Cambria" w:cs="Times New Roman"/>
          <w:shd w:val="clear" w:color="auto" w:fill="FFFFFF"/>
          <w:lang w:eastAsia="en-GB"/>
        </w:rPr>
        <w:t>400ml</w:t>
      </w:r>
      <w:r w:rsidR="00F04DB6" w:rsidRPr="00552D93">
        <w:rPr>
          <w:rFonts w:ascii="Cambria" w:eastAsia="Times New Roman" w:hAnsi="Cambria" w:cs="Times New Roman"/>
          <w:shd w:val="clear" w:color="auto" w:fill="FFFFFF"/>
          <w:lang w:eastAsia="en-GB"/>
        </w:rPr>
        <w:t xml:space="preserve">, large </w:t>
      </w:r>
      <w:r w:rsidR="00883572" w:rsidRPr="00552D93">
        <w:rPr>
          <w:rFonts w:ascii="Cambria" w:eastAsia="Times New Roman" w:hAnsi="Cambria" w:cs="Times New Roman"/>
          <w:shd w:val="clear" w:color="auto" w:fill="FFFFFF"/>
          <w:lang w:eastAsia="en-GB"/>
        </w:rPr>
        <w:t>500ml</w:t>
      </w:r>
      <w:r w:rsidR="00F04DB6" w:rsidRPr="00552D93">
        <w:rPr>
          <w:rFonts w:ascii="Cambria" w:eastAsia="Times New Roman" w:hAnsi="Cambria" w:cs="Times New Roman"/>
          <w:shd w:val="clear" w:color="auto" w:fill="FFFFFF"/>
          <w:lang w:eastAsia="en-GB"/>
        </w:rPr>
        <w:t xml:space="preserve"> / other; spirit</w:t>
      </w:r>
      <w:r w:rsidR="00760F85" w:rsidRPr="00552D93">
        <w:rPr>
          <w:rFonts w:ascii="Cambria" w:eastAsia="Times New Roman" w:hAnsi="Cambria" w:cs="Times New Roman"/>
          <w:shd w:val="clear" w:color="auto" w:fill="FFFFFF"/>
          <w:lang w:eastAsia="en-GB"/>
        </w:rPr>
        <w:t xml:space="preserve"> = </w:t>
      </w:r>
      <w:r w:rsidR="00F04DB6" w:rsidRPr="00552D93">
        <w:rPr>
          <w:rFonts w:ascii="Cambria" w:eastAsia="Times New Roman" w:hAnsi="Cambria" w:cs="Times New Roman"/>
          <w:shd w:val="clear" w:color="auto" w:fill="FFFFFF"/>
          <w:lang w:eastAsia="en-GB"/>
        </w:rPr>
        <w:t xml:space="preserve">small </w:t>
      </w:r>
      <w:r w:rsidR="00883572" w:rsidRPr="00552D93">
        <w:rPr>
          <w:rFonts w:ascii="Cambria" w:eastAsia="Times New Roman" w:hAnsi="Cambria" w:cs="Times New Roman"/>
          <w:shd w:val="clear" w:color="auto" w:fill="FFFFFF"/>
          <w:lang w:eastAsia="en-GB"/>
        </w:rPr>
        <w:t>30ml</w:t>
      </w:r>
      <w:r w:rsidR="00F04DB6" w:rsidRPr="00552D93">
        <w:rPr>
          <w:rFonts w:ascii="Cambria" w:eastAsia="Times New Roman" w:hAnsi="Cambria" w:cs="Times New Roman"/>
          <w:shd w:val="clear" w:color="auto" w:fill="FFFFFF"/>
          <w:lang w:eastAsia="en-GB"/>
        </w:rPr>
        <w:t xml:space="preserve">, large </w:t>
      </w:r>
      <w:r w:rsidR="00883572" w:rsidRPr="00552D93">
        <w:rPr>
          <w:rFonts w:ascii="Cambria" w:eastAsia="Times New Roman" w:hAnsi="Cambria" w:cs="Times New Roman"/>
          <w:shd w:val="clear" w:color="auto" w:fill="FFFFFF"/>
          <w:lang w:eastAsia="en-GB"/>
        </w:rPr>
        <w:t>60ml</w:t>
      </w:r>
      <w:r w:rsidR="00F04DB6" w:rsidRPr="00552D93">
        <w:rPr>
          <w:rFonts w:ascii="Cambria" w:eastAsia="Times New Roman" w:hAnsi="Cambria" w:cs="Times New Roman"/>
          <w:shd w:val="clear" w:color="auto" w:fill="FFFFFF"/>
          <w:lang w:eastAsia="en-GB"/>
        </w:rPr>
        <w:t xml:space="preserve"> or other; alcopops </w:t>
      </w:r>
      <w:r w:rsidR="00656C8B" w:rsidRPr="00552D93">
        <w:rPr>
          <w:rFonts w:ascii="Cambria" w:eastAsia="Times New Roman" w:hAnsi="Cambria" w:cs="Times New Roman"/>
          <w:shd w:val="clear" w:color="auto" w:fill="FFFFFF"/>
          <w:lang w:eastAsia="en-GB"/>
        </w:rPr>
        <w:t xml:space="preserve">= </w:t>
      </w:r>
      <w:r w:rsidR="00F04DB6" w:rsidRPr="00552D93">
        <w:rPr>
          <w:rFonts w:ascii="Cambria" w:eastAsia="Times New Roman" w:hAnsi="Cambria" w:cs="Times New Roman"/>
          <w:shd w:val="clear" w:color="auto" w:fill="FFFFFF"/>
          <w:lang w:eastAsia="en-GB"/>
        </w:rPr>
        <w:t xml:space="preserve">small </w:t>
      </w:r>
      <w:r w:rsidR="00883572" w:rsidRPr="00552D93">
        <w:rPr>
          <w:rFonts w:ascii="Cambria" w:eastAsia="Times New Roman" w:hAnsi="Cambria" w:cs="Times New Roman"/>
          <w:shd w:val="clear" w:color="auto" w:fill="FFFFFF"/>
          <w:lang w:eastAsia="en-GB"/>
        </w:rPr>
        <w:t>350ml</w:t>
      </w:r>
      <w:r w:rsidR="00F04DB6" w:rsidRPr="00552D93">
        <w:rPr>
          <w:rFonts w:ascii="Cambria" w:eastAsia="Times New Roman" w:hAnsi="Cambria" w:cs="Times New Roman"/>
          <w:shd w:val="clear" w:color="auto" w:fill="FFFFFF"/>
          <w:lang w:eastAsia="en-GB"/>
        </w:rPr>
        <w:t xml:space="preserve"> large </w:t>
      </w:r>
      <w:r w:rsidR="00883572" w:rsidRPr="00552D93">
        <w:rPr>
          <w:rFonts w:ascii="Cambria" w:eastAsia="Times New Roman" w:hAnsi="Cambria" w:cs="Times New Roman"/>
          <w:shd w:val="clear" w:color="auto" w:fill="FFFFFF"/>
          <w:lang w:eastAsia="en-GB"/>
        </w:rPr>
        <w:t>700ml</w:t>
      </w:r>
      <w:r w:rsidR="00F04DB6" w:rsidRPr="00552D93">
        <w:rPr>
          <w:rFonts w:ascii="Cambria" w:eastAsia="Times New Roman" w:hAnsi="Cambria" w:cs="Times New Roman"/>
          <w:shd w:val="clear" w:color="auto" w:fill="FFFFFF"/>
          <w:lang w:eastAsia="en-GB"/>
        </w:rPr>
        <w:t xml:space="preserve"> or other).</w:t>
      </w:r>
      <w:r w:rsidR="00297275" w:rsidRPr="00552D93">
        <w:rPr>
          <w:rFonts w:ascii="Cambria" w:eastAsia="Times New Roman" w:hAnsi="Cambria" w:cs="Times New Roman"/>
          <w:shd w:val="clear" w:color="auto" w:fill="FFFFFF"/>
          <w:lang w:eastAsia="en-GB"/>
        </w:rPr>
        <w:t xml:space="preserve"> </w:t>
      </w:r>
      <w:r w:rsidR="00335B2C" w:rsidRPr="00552D93">
        <w:rPr>
          <w:rFonts w:ascii="Cambria" w:eastAsia="Times New Roman" w:hAnsi="Cambria" w:cs="Times New Roman"/>
          <w:shd w:val="clear" w:color="auto" w:fill="FFFFFF"/>
          <w:lang w:eastAsia="en-GB"/>
        </w:rPr>
        <w:t xml:space="preserve">We applied alcohol by volume (ABV) to each drink size using </w:t>
      </w:r>
      <w:r w:rsidR="00C50894" w:rsidRPr="00552D93">
        <w:rPr>
          <w:rFonts w:ascii="Cambria" w:eastAsia="Times New Roman" w:hAnsi="Cambria" w:cs="Times New Roman"/>
          <w:shd w:val="clear" w:color="auto" w:fill="FFFFFF"/>
          <w:lang w:eastAsia="en-GB"/>
        </w:rPr>
        <w:t xml:space="preserve">average </w:t>
      </w:r>
      <w:r w:rsidR="00335B2C" w:rsidRPr="00552D93">
        <w:rPr>
          <w:rFonts w:ascii="Cambria" w:eastAsia="Times New Roman" w:hAnsi="Cambria" w:cs="Times New Roman"/>
          <w:shd w:val="clear" w:color="auto" w:fill="FFFFFF"/>
          <w:lang w:eastAsia="en-GB"/>
        </w:rPr>
        <w:t xml:space="preserve">estimates </w:t>
      </w:r>
      <w:r w:rsidR="008A3DA6" w:rsidRPr="00552D93">
        <w:rPr>
          <w:rFonts w:ascii="Cambria" w:eastAsia="Times New Roman" w:hAnsi="Cambria" w:cs="Times New Roman"/>
          <w:shd w:val="clear" w:color="auto" w:fill="FFFFFF"/>
          <w:lang w:eastAsia="en-GB"/>
        </w:rPr>
        <w:fldChar w:fldCharType="begin"/>
      </w:r>
      <w:r w:rsidR="008A3DA6" w:rsidRPr="00552D93">
        <w:rPr>
          <w:rFonts w:ascii="Cambria" w:eastAsia="Times New Roman" w:hAnsi="Cambria" w:cs="Times New Roman"/>
          <w:shd w:val="clear" w:color="auto" w:fill="FFFFFF"/>
          <w:lang w:eastAsia="en-GB"/>
        </w:rPr>
        <w:instrText xml:space="preserve"> ADDIN EN.CITE &lt;EndNote&gt;&lt;Cite&gt;&lt;Author&gt;IARD&lt;/Author&gt;&lt;Year&gt;2019&lt;/Year&gt;&lt;RecNum&gt;4819&lt;/RecNum&gt;&lt;DisplayText&gt;(IARD, 2019)&lt;/DisplayText&gt;&lt;record&gt;&lt;rec-number&gt;4819&lt;/rec-number&gt;&lt;foreign-keys&gt;&lt;key app="EN" db-id="xpvtts5frwx0z4ezes8pswrxvez090rd0vss" timestamp="1565888153" guid="8bd71753-6261-451c-894f-c9c15e020911"&gt;4819&lt;/key&gt;&lt;/foreign-keys&gt;&lt;ref-type name="Web Page"&gt;12&lt;/ref-type&gt;&lt;contributors&gt;&lt;authors&gt;&lt;author&gt;IARD&lt;/author&gt;&lt;/authors&gt;&lt;/contributors&gt;&lt;titles&gt;&lt;title&gt;&lt;style face="italic" font="default" size="100%"&gt;Drinking guidelines: General population&lt;/style&gt;&lt;/title&gt;&lt;/titles&gt;&lt;dates&gt;&lt;year&gt;2019&lt;/year&gt;&lt;/dates&gt;&lt;urls&gt;&lt;related-urls&gt;&lt;url&gt;http://www.iard.org/resources/drinking-guidelines-general-population/&lt;/url&gt;&lt;/related-urls&gt;&lt;/urls&gt;&lt;/record&gt;&lt;/Cite&gt;&lt;/EndNote&gt;</w:instrText>
      </w:r>
      <w:r w:rsidR="008A3DA6" w:rsidRPr="00552D93">
        <w:rPr>
          <w:rFonts w:ascii="Cambria" w:eastAsia="Times New Roman" w:hAnsi="Cambria" w:cs="Times New Roman"/>
          <w:shd w:val="clear" w:color="auto" w:fill="FFFFFF"/>
          <w:lang w:eastAsia="en-GB"/>
        </w:rPr>
        <w:fldChar w:fldCharType="separate"/>
      </w:r>
      <w:r w:rsidR="008A3DA6" w:rsidRPr="00552D93">
        <w:rPr>
          <w:rFonts w:ascii="Cambria" w:eastAsia="Times New Roman" w:hAnsi="Cambria" w:cs="Times New Roman"/>
          <w:noProof/>
          <w:shd w:val="clear" w:color="auto" w:fill="FFFFFF"/>
          <w:lang w:eastAsia="en-GB"/>
        </w:rPr>
        <w:t>(IARD, 2019)</w:t>
      </w:r>
      <w:r w:rsidR="008A3DA6" w:rsidRPr="00552D93">
        <w:rPr>
          <w:rFonts w:ascii="Cambria" w:eastAsia="Times New Roman" w:hAnsi="Cambria" w:cs="Times New Roman"/>
          <w:shd w:val="clear" w:color="auto" w:fill="FFFFFF"/>
          <w:lang w:eastAsia="en-GB"/>
        </w:rPr>
        <w:fldChar w:fldCharType="end"/>
      </w:r>
      <w:r w:rsidR="008A3DA6" w:rsidRPr="00552D93">
        <w:rPr>
          <w:rFonts w:ascii="Cambria" w:eastAsia="Times New Roman" w:hAnsi="Cambria" w:cs="Times New Roman"/>
          <w:shd w:val="clear" w:color="auto" w:fill="FFFFFF"/>
          <w:lang w:eastAsia="en-GB"/>
        </w:rPr>
        <w:t xml:space="preserve"> </w:t>
      </w:r>
      <w:r w:rsidR="00335B2C" w:rsidRPr="00552D93">
        <w:rPr>
          <w:rFonts w:ascii="Cambria" w:eastAsia="Times New Roman" w:hAnsi="Cambria" w:cs="Times New Roman"/>
          <w:shd w:val="clear" w:color="auto" w:fill="FFFFFF"/>
          <w:lang w:eastAsia="en-GB"/>
        </w:rPr>
        <w:t>for each product (wine = 12%, beer = 4.5%, spirits = 40% and alcopops = 5%) and then converted this volume into mass representing 10 grams of alcohol per 100 millilitres of the beverage. We use</w:t>
      </w:r>
      <w:r w:rsidR="0095496C" w:rsidRPr="00552D93">
        <w:rPr>
          <w:rFonts w:ascii="Cambria" w:eastAsia="Times New Roman" w:hAnsi="Cambria" w:cs="Times New Roman"/>
          <w:shd w:val="clear" w:color="auto" w:fill="FFFFFF"/>
          <w:lang w:eastAsia="en-GB"/>
        </w:rPr>
        <w:t>d</w:t>
      </w:r>
      <w:r w:rsidR="00335B2C" w:rsidRPr="00552D93">
        <w:rPr>
          <w:rFonts w:ascii="Cambria" w:eastAsia="Times New Roman" w:hAnsi="Cambria" w:cs="Times New Roman"/>
          <w:shd w:val="clear" w:color="auto" w:fill="FFFFFF"/>
          <w:lang w:eastAsia="en-GB"/>
        </w:rPr>
        <w:t xml:space="preserve"> 10 grams as this is the World Health Organisation ‘standard drink’ estimate and the modal global value </w:t>
      </w:r>
      <w:r w:rsidR="00335B2C" w:rsidRPr="00552D93">
        <w:rPr>
          <w:rFonts w:ascii="Cambria" w:eastAsia="Times New Roman" w:hAnsi="Cambria" w:cs="Times New Roman"/>
          <w:shd w:val="clear" w:color="auto" w:fill="FFFFFF"/>
          <w:lang w:eastAsia="en-GB"/>
        </w:rPr>
        <w:fldChar w:fldCharType="begin"/>
      </w:r>
      <w:r w:rsidR="001530C8" w:rsidRPr="00552D93">
        <w:rPr>
          <w:rFonts w:ascii="Cambria" w:eastAsia="Times New Roman" w:hAnsi="Cambria" w:cs="Times New Roman"/>
          <w:shd w:val="clear" w:color="auto" w:fill="FFFFFF"/>
          <w:lang w:eastAsia="en-GB"/>
        </w:rPr>
        <w:instrText xml:space="preserve"> ADDIN EN.CITE &lt;EndNote&gt;&lt;Cite&gt;&lt;Author&gt;WHO&lt;/Author&gt;&lt;Year&gt;2018&lt;/Year&gt;&lt;RecNum&gt;4705&lt;/RecNum&gt;&lt;DisplayText&gt;(WHO, 2018)&lt;/DisplayText&gt;&lt;record&gt;&lt;rec-number&gt;4705&lt;/rec-number&gt;&lt;foreign-keys&gt;&lt;key app="EN" db-id="te5rs0t0nprf99ep09vxza050r9t99faf9td" timestamp="1553083120"&gt;4705&lt;/key&gt;&lt;/foreign-keys&gt;&lt;ref-type name="Report"&gt;27&lt;/ref-type&gt;&lt;contributors&gt;&lt;authors&gt;&lt;author&gt;WHO&lt;/author&gt;&lt;/authors&gt;&lt;/contributors&gt;&lt;titles&gt;&lt;title&gt;Global status report on alcohol and health 2018&lt;/title&gt;&lt;/titles&gt;&lt;dates&gt;&lt;year&gt;2018&lt;/year&gt;&lt;/dates&gt;&lt;pub-location&gt;Geneva&lt;/pub-location&gt;&lt;publisher&gt;World Health Organisation&lt;/publisher&gt;&lt;urls&gt;&lt;/urls&gt;&lt;electronic-resource-num&gt;https://www.who.int/substance_abuse/publications/global_alcohol_report/gsr_2018/en/&lt;/electronic-resource-num&gt;&lt;/record&gt;&lt;/Cite&gt;&lt;/EndNote&gt;</w:instrText>
      </w:r>
      <w:r w:rsidR="00335B2C" w:rsidRPr="00552D93">
        <w:rPr>
          <w:rFonts w:ascii="Cambria" w:eastAsia="Times New Roman" w:hAnsi="Cambria" w:cs="Times New Roman"/>
          <w:shd w:val="clear" w:color="auto" w:fill="FFFFFF"/>
          <w:lang w:eastAsia="en-GB"/>
        </w:rPr>
        <w:fldChar w:fldCharType="separate"/>
      </w:r>
      <w:r w:rsidR="00335B2C" w:rsidRPr="00552D93">
        <w:rPr>
          <w:rFonts w:ascii="Cambria" w:eastAsia="Times New Roman" w:hAnsi="Cambria" w:cs="Times New Roman"/>
          <w:noProof/>
          <w:shd w:val="clear" w:color="auto" w:fill="FFFFFF"/>
          <w:lang w:eastAsia="en-GB"/>
        </w:rPr>
        <w:t>(WHO, 2018)</w:t>
      </w:r>
      <w:r w:rsidR="00335B2C" w:rsidRPr="00552D93">
        <w:rPr>
          <w:rFonts w:ascii="Cambria" w:eastAsia="Times New Roman" w:hAnsi="Cambria" w:cs="Times New Roman"/>
          <w:shd w:val="clear" w:color="auto" w:fill="FFFFFF"/>
          <w:lang w:eastAsia="en-GB"/>
        </w:rPr>
        <w:fldChar w:fldCharType="end"/>
      </w:r>
      <w:r w:rsidR="00335B2C" w:rsidRPr="00552D93">
        <w:rPr>
          <w:rFonts w:ascii="Cambria" w:eastAsia="Times New Roman" w:hAnsi="Cambria" w:cs="Times New Roman"/>
          <w:shd w:val="clear" w:color="auto" w:fill="FFFFFF"/>
          <w:lang w:eastAsia="en-GB"/>
        </w:rPr>
        <w:t xml:space="preserve">. </w:t>
      </w:r>
    </w:p>
    <w:p w14:paraId="66F39F14" w14:textId="15A1BD06" w:rsidR="00860921" w:rsidRPr="00552D93" w:rsidRDefault="003228B8" w:rsidP="003228B8">
      <w:pPr>
        <w:spacing w:before="100" w:beforeAutospacing="1" w:after="100" w:afterAutospacing="1" w:line="480" w:lineRule="auto"/>
        <w:rPr>
          <w:rFonts w:ascii="Cambria" w:eastAsia="Times New Roman" w:hAnsi="Cambria" w:cs="Times New Roman"/>
          <w:shd w:val="clear" w:color="auto" w:fill="FFFFFF"/>
          <w:lang w:eastAsia="en-GB"/>
        </w:rPr>
      </w:pPr>
      <w:r w:rsidRPr="00552D93">
        <w:rPr>
          <w:rFonts w:ascii="Cambria" w:eastAsia="Times New Roman" w:hAnsi="Cambria" w:cs="Times New Roman"/>
          <w:i/>
          <w:shd w:val="clear" w:color="auto" w:fill="FFFFFF"/>
          <w:lang w:eastAsia="en-GB"/>
        </w:rPr>
        <w:t xml:space="preserve">Reaching different stages of intoxication: </w:t>
      </w:r>
      <w:r w:rsidR="003366AA" w:rsidRPr="00552D93">
        <w:rPr>
          <w:rFonts w:ascii="Cambria" w:eastAsia="Times New Roman" w:hAnsi="Cambria" w:cs="Times New Roman"/>
          <w:shd w:val="clear" w:color="auto" w:fill="FFFFFF"/>
          <w:lang w:eastAsia="en-GB"/>
        </w:rPr>
        <w:t>After</w:t>
      </w:r>
      <w:r w:rsidR="005B56A9" w:rsidRPr="00552D93">
        <w:rPr>
          <w:rFonts w:ascii="Cambria" w:eastAsia="Times New Roman" w:hAnsi="Cambria" w:cs="Times New Roman"/>
          <w:shd w:val="clear" w:color="auto" w:fill="FFFFFF"/>
          <w:lang w:eastAsia="en-GB"/>
        </w:rPr>
        <w:t xml:space="preserve"> the pictures of beverages</w:t>
      </w:r>
      <w:r w:rsidR="00174DDB" w:rsidRPr="00552D93">
        <w:rPr>
          <w:rFonts w:ascii="Cambria" w:eastAsia="Times New Roman" w:hAnsi="Cambria" w:cs="Times New Roman"/>
          <w:shd w:val="clear" w:color="auto" w:fill="FFFFFF"/>
          <w:lang w:eastAsia="en-GB"/>
        </w:rPr>
        <w:t>,</w:t>
      </w:r>
      <w:r w:rsidRPr="00552D93">
        <w:rPr>
          <w:rFonts w:ascii="Cambria" w:eastAsia="Times New Roman" w:hAnsi="Cambria" w:cs="Times New Roman"/>
          <w:shd w:val="clear" w:color="auto" w:fill="FFFFFF"/>
          <w:lang w:eastAsia="en-GB"/>
        </w:rPr>
        <w:t xml:space="preserve"> respondents were presented with the following text: </w:t>
      </w:r>
    </w:p>
    <w:p w14:paraId="47044D3C" w14:textId="46813C50" w:rsidR="00860921" w:rsidRPr="00552D93" w:rsidRDefault="003228B8" w:rsidP="003F1B20">
      <w:pPr>
        <w:spacing w:before="100" w:beforeAutospacing="1" w:after="100" w:afterAutospacing="1" w:line="480" w:lineRule="auto"/>
        <w:ind w:left="227" w:right="227"/>
        <w:rPr>
          <w:rFonts w:ascii="Cambria" w:eastAsia="Times New Roman" w:hAnsi="Cambria" w:cs="Times New Roman"/>
          <w:i/>
          <w:shd w:val="clear" w:color="auto" w:fill="FFFFFF"/>
          <w:lang w:eastAsia="en-GB"/>
        </w:rPr>
      </w:pPr>
      <w:r w:rsidRPr="00552D93">
        <w:rPr>
          <w:rFonts w:ascii="Cambria" w:eastAsia="Times New Roman" w:hAnsi="Cambria" w:cs="Times New Roman"/>
          <w:i/>
          <w:shd w:val="clear" w:color="auto" w:fill="FFFFFF"/>
          <w:lang w:eastAsia="en-GB"/>
        </w:rPr>
        <w:t xml:space="preserve">“Imagine you were drinking just this type of drink and not using any other drugs. How many drinks would it take for you to reach the following stages of intoxication?” </w:t>
      </w:r>
    </w:p>
    <w:p w14:paraId="61240513" w14:textId="28673F26" w:rsidR="00860921" w:rsidRPr="00552D93" w:rsidRDefault="003228B8" w:rsidP="003228B8">
      <w:pPr>
        <w:spacing w:before="100" w:beforeAutospacing="1" w:after="100" w:afterAutospacing="1" w:line="480" w:lineRule="auto"/>
        <w:rPr>
          <w:rFonts w:ascii="Cambria" w:eastAsia="Times New Roman" w:hAnsi="Cambria" w:cs="Times New Roman"/>
          <w:shd w:val="clear" w:color="auto" w:fill="FFFFFF"/>
          <w:lang w:eastAsia="en-GB"/>
        </w:rPr>
      </w:pPr>
      <w:r w:rsidRPr="00552D93">
        <w:rPr>
          <w:rFonts w:ascii="Cambria" w:eastAsia="Times New Roman" w:hAnsi="Cambria" w:cs="Times New Roman"/>
          <w:shd w:val="clear" w:color="auto" w:fill="FFFFFF"/>
          <w:lang w:eastAsia="en-GB"/>
        </w:rPr>
        <w:t>The three stages were ‘you can feel the effects’,</w:t>
      </w:r>
      <w:r w:rsidR="005B5328" w:rsidRPr="00552D93">
        <w:rPr>
          <w:rFonts w:ascii="Cambria" w:eastAsia="Times New Roman" w:hAnsi="Cambria" w:cs="Times New Roman"/>
          <w:shd w:val="clear" w:color="auto" w:fill="FFFFFF"/>
          <w:lang w:eastAsia="en-GB"/>
        </w:rPr>
        <w:t xml:space="preserve"> being</w:t>
      </w:r>
      <w:r w:rsidRPr="00552D93">
        <w:rPr>
          <w:rFonts w:ascii="Cambria" w:eastAsia="Times New Roman" w:hAnsi="Cambria" w:cs="Times New Roman"/>
          <w:shd w:val="clear" w:color="auto" w:fill="FFFFFF"/>
          <w:lang w:eastAsia="en-GB"/>
        </w:rPr>
        <w:t xml:space="preserve"> ‘</w:t>
      </w:r>
      <w:r w:rsidR="00174DDB" w:rsidRPr="00552D93">
        <w:rPr>
          <w:rFonts w:ascii="Cambria" w:eastAsia="Times New Roman" w:hAnsi="Cambria" w:cs="Times New Roman"/>
          <w:shd w:val="clear" w:color="auto" w:fill="FFFFFF"/>
          <w:lang w:eastAsia="en-GB"/>
        </w:rPr>
        <w:t>a</w:t>
      </w:r>
      <w:r w:rsidR="00961F7B" w:rsidRPr="00552D93">
        <w:rPr>
          <w:rFonts w:ascii="Cambria" w:eastAsia="Times New Roman" w:hAnsi="Cambria" w:cs="Times New Roman"/>
          <w:shd w:val="clear" w:color="auto" w:fill="FFFFFF"/>
          <w:lang w:eastAsia="en-GB"/>
        </w:rPr>
        <w:t xml:space="preserve">s drunk </w:t>
      </w:r>
      <w:r w:rsidR="00287102" w:rsidRPr="00552D93">
        <w:rPr>
          <w:rFonts w:ascii="Cambria" w:eastAsia="Times New Roman" w:hAnsi="Cambria" w:cs="Times New Roman"/>
          <w:shd w:val="clear" w:color="auto" w:fill="FFFFFF"/>
          <w:lang w:eastAsia="en-GB"/>
        </w:rPr>
        <w:t>as you would like to be’</w:t>
      </w:r>
      <w:r w:rsidR="00174DDB" w:rsidRPr="00552D93">
        <w:rPr>
          <w:rFonts w:ascii="Cambria" w:eastAsia="Times New Roman" w:hAnsi="Cambria" w:cs="Times New Roman"/>
          <w:shd w:val="clear" w:color="auto" w:fill="FFFFFF"/>
          <w:lang w:eastAsia="en-GB"/>
        </w:rPr>
        <w:t xml:space="preserve"> and ‘</w:t>
      </w:r>
      <w:r w:rsidR="00EE157C" w:rsidRPr="00552D93">
        <w:rPr>
          <w:rFonts w:ascii="Cambria" w:eastAsia="Times New Roman" w:hAnsi="Cambria" w:cs="Times New Roman"/>
          <w:shd w:val="clear" w:color="auto" w:fill="FFFFFF"/>
          <w:lang w:eastAsia="en-GB"/>
        </w:rPr>
        <w:t>the</w:t>
      </w:r>
      <w:r w:rsidR="00FB4DAC" w:rsidRPr="00552D93">
        <w:rPr>
          <w:rFonts w:ascii="Cambria" w:eastAsia="Times New Roman" w:hAnsi="Cambria" w:cs="Times New Roman"/>
          <w:shd w:val="clear" w:color="auto" w:fill="FFFFFF"/>
          <w:lang w:eastAsia="en-GB"/>
        </w:rPr>
        <w:t xml:space="preserve"> tipping point</w:t>
      </w:r>
      <w:r w:rsidR="00EE157C" w:rsidRPr="00552D93">
        <w:rPr>
          <w:rFonts w:ascii="Cambria" w:eastAsia="Times New Roman" w:hAnsi="Cambria" w:cs="Times New Roman"/>
          <w:shd w:val="clear" w:color="auto" w:fill="FFFFFF"/>
          <w:lang w:eastAsia="en-GB"/>
        </w:rPr>
        <w:t xml:space="preserve"> – starting to feel more drunk than you want to be</w:t>
      </w:r>
      <w:r w:rsidR="00FB4DAC" w:rsidRPr="00552D93">
        <w:rPr>
          <w:rFonts w:ascii="Cambria" w:eastAsia="Times New Roman" w:hAnsi="Cambria" w:cs="Times New Roman"/>
          <w:shd w:val="clear" w:color="auto" w:fill="FFFFFF"/>
          <w:lang w:eastAsia="en-GB"/>
        </w:rPr>
        <w:t>’.</w:t>
      </w:r>
      <w:r w:rsidR="00297275" w:rsidRPr="00552D93">
        <w:rPr>
          <w:rFonts w:ascii="Cambria" w:eastAsia="Times New Roman" w:hAnsi="Cambria" w:cs="Times New Roman"/>
          <w:shd w:val="clear" w:color="auto" w:fill="FFFFFF"/>
          <w:lang w:eastAsia="en-GB"/>
        </w:rPr>
        <w:t xml:space="preserve"> </w:t>
      </w:r>
      <w:r w:rsidR="007C7650" w:rsidRPr="00552D93">
        <w:rPr>
          <w:rFonts w:ascii="Cambria" w:eastAsia="Times New Roman" w:hAnsi="Cambria" w:cs="Times New Roman"/>
          <w:shd w:val="clear" w:color="auto" w:fill="FFFFFF"/>
          <w:lang w:eastAsia="en-GB"/>
        </w:rPr>
        <w:t xml:space="preserve">Following </w:t>
      </w:r>
      <w:r w:rsidR="009A6E93" w:rsidRPr="00552D93">
        <w:rPr>
          <w:rFonts w:ascii="Cambria" w:eastAsia="Times New Roman" w:hAnsi="Cambria" w:cs="Times New Roman"/>
          <w:shd w:val="clear" w:color="auto" w:fill="FFFFFF"/>
          <w:lang w:eastAsia="en-GB"/>
        </w:rPr>
        <w:t>the question about usual drink type</w:t>
      </w:r>
      <w:r w:rsidRPr="00552D93">
        <w:rPr>
          <w:rFonts w:ascii="Cambria" w:eastAsia="Times New Roman" w:hAnsi="Cambria" w:cs="Times New Roman"/>
          <w:shd w:val="clear" w:color="auto" w:fill="FFFFFF"/>
          <w:lang w:eastAsia="en-GB"/>
        </w:rPr>
        <w:t>, they were asked</w:t>
      </w:r>
      <w:r w:rsidR="00860921" w:rsidRPr="00552D93">
        <w:rPr>
          <w:rFonts w:ascii="Cambria" w:eastAsia="Times New Roman" w:hAnsi="Cambria" w:cs="Times New Roman"/>
          <w:shd w:val="clear" w:color="auto" w:fill="FFFFFF"/>
          <w:lang w:eastAsia="en-GB"/>
        </w:rPr>
        <w:t>:</w:t>
      </w:r>
    </w:p>
    <w:p w14:paraId="48B5FEE9" w14:textId="0C36D5FB" w:rsidR="00860921" w:rsidRPr="00552D93" w:rsidRDefault="00860921" w:rsidP="003F1B20">
      <w:pPr>
        <w:spacing w:before="100" w:beforeAutospacing="1" w:after="100" w:afterAutospacing="1" w:line="480" w:lineRule="auto"/>
        <w:ind w:left="227" w:right="227"/>
        <w:rPr>
          <w:rFonts w:ascii="Cambria" w:eastAsia="Times New Roman" w:hAnsi="Cambria" w:cs="Times New Roman"/>
          <w:i/>
          <w:shd w:val="clear" w:color="auto" w:fill="FFFFFF"/>
          <w:lang w:eastAsia="en-GB"/>
        </w:rPr>
      </w:pPr>
      <w:r w:rsidRPr="00552D93">
        <w:rPr>
          <w:rFonts w:ascii="Cambria" w:eastAsia="Times New Roman" w:hAnsi="Cambria" w:cs="Times New Roman"/>
          <w:i/>
          <w:shd w:val="clear" w:color="auto" w:fill="FFFFFF"/>
          <w:lang w:eastAsia="en-GB"/>
        </w:rPr>
        <w:t>“</w:t>
      </w:r>
      <w:r w:rsidR="003228B8" w:rsidRPr="00552D93">
        <w:rPr>
          <w:rFonts w:ascii="Cambria" w:eastAsia="Times New Roman" w:hAnsi="Cambria" w:cs="Times New Roman"/>
          <w:i/>
          <w:shd w:val="clear" w:color="auto" w:fill="FFFFFF"/>
          <w:lang w:eastAsia="en-GB"/>
        </w:rPr>
        <w:t>Over the last 12 months, how often have you reached these stages of intoxication?</w:t>
      </w:r>
      <w:r w:rsidRPr="00552D93">
        <w:rPr>
          <w:rFonts w:ascii="Cambria" w:eastAsia="Times New Roman" w:hAnsi="Cambria" w:cs="Times New Roman"/>
          <w:i/>
          <w:shd w:val="clear" w:color="auto" w:fill="FFFFFF"/>
          <w:lang w:eastAsia="en-GB"/>
        </w:rPr>
        <w:t>”</w:t>
      </w:r>
    </w:p>
    <w:p w14:paraId="7346641A" w14:textId="0B16BF0D" w:rsidR="003228B8" w:rsidRPr="00552D93" w:rsidRDefault="003228B8" w:rsidP="003228B8">
      <w:pPr>
        <w:spacing w:before="100" w:beforeAutospacing="1" w:after="100" w:afterAutospacing="1" w:line="480" w:lineRule="auto"/>
        <w:rPr>
          <w:rFonts w:ascii="Cambria" w:eastAsia="Times New Roman" w:hAnsi="Cambria" w:cs="Times New Roman"/>
          <w:shd w:val="clear" w:color="auto" w:fill="FFFFFF"/>
          <w:lang w:eastAsia="en-GB"/>
        </w:rPr>
      </w:pPr>
      <w:r w:rsidRPr="00552D93">
        <w:rPr>
          <w:rFonts w:ascii="Cambria" w:eastAsia="Times New Roman" w:hAnsi="Cambria" w:cs="Times New Roman"/>
          <w:shd w:val="clear" w:color="auto" w:fill="FFFFFF"/>
          <w:lang w:eastAsia="en-GB"/>
        </w:rPr>
        <w:t xml:space="preserve">Response options were ‘at least weekly’, ‘at least monthly’, ‘at least once a year’, ‘less than once a year’ and ‘never’. </w:t>
      </w:r>
    </w:p>
    <w:p w14:paraId="6E7B1E5F" w14:textId="4572006A" w:rsidR="003228B8" w:rsidRPr="00552D93" w:rsidRDefault="003228B8" w:rsidP="003228B8">
      <w:pPr>
        <w:spacing w:before="100" w:beforeAutospacing="1" w:after="100" w:afterAutospacing="1" w:line="480" w:lineRule="auto"/>
        <w:rPr>
          <w:rFonts w:ascii="Cambria" w:eastAsia="Times New Roman" w:hAnsi="Cambria" w:cs="Times New Roman"/>
          <w:shd w:val="clear" w:color="auto" w:fill="FFFFFF"/>
          <w:lang w:eastAsia="en-GB"/>
        </w:rPr>
      </w:pPr>
      <w:r w:rsidRPr="00552D93">
        <w:rPr>
          <w:rFonts w:ascii="Cambria" w:eastAsia="Times New Roman" w:hAnsi="Cambria" w:cs="Times New Roman"/>
          <w:shd w:val="clear" w:color="auto" w:fill="FFFFFF"/>
          <w:lang w:eastAsia="en-GB"/>
        </w:rPr>
        <w:t>GDS2015 also contained a range of demographic measures including gen</w:t>
      </w:r>
      <w:r w:rsidR="00174DDB" w:rsidRPr="00552D93">
        <w:rPr>
          <w:rFonts w:ascii="Cambria" w:eastAsia="Times New Roman" w:hAnsi="Cambria" w:cs="Times New Roman"/>
          <w:shd w:val="clear" w:color="auto" w:fill="FFFFFF"/>
          <w:lang w:eastAsia="en-GB"/>
        </w:rPr>
        <w:t>der, age, and country of residence.</w:t>
      </w:r>
    </w:p>
    <w:p w14:paraId="04491621" w14:textId="77777777" w:rsidR="003228B8" w:rsidRPr="00552D93" w:rsidRDefault="003228B8" w:rsidP="003228B8">
      <w:pPr>
        <w:spacing w:before="100" w:beforeAutospacing="1" w:after="100" w:afterAutospacing="1" w:line="480" w:lineRule="auto"/>
        <w:rPr>
          <w:rFonts w:ascii="Cambria" w:eastAsia="Times New Roman" w:hAnsi="Cambria" w:cs="Times New Roman"/>
          <w:i/>
          <w:shd w:val="clear" w:color="auto" w:fill="FFFFFF"/>
          <w:lang w:eastAsia="en-GB"/>
        </w:rPr>
      </w:pPr>
      <w:r w:rsidRPr="00552D93">
        <w:rPr>
          <w:rFonts w:ascii="Cambria" w:eastAsia="Times New Roman" w:hAnsi="Cambria" w:cs="Times New Roman"/>
          <w:i/>
          <w:shd w:val="clear" w:color="auto" w:fill="FFFFFF"/>
          <w:lang w:eastAsia="en-GB"/>
        </w:rPr>
        <w:t xml:space="preserve">Analysis </w:t>
      </w:r>
    </w:p>
    <w:p w14:paraId="5BA03E5C" w14:textId="595A12FE" w:rsidR="004E4B45" w:rsidRPr="00552D93" w:rsidRDefault="00385152" w:rsidP="000441AA">
      <w:pPr>
        <w:spacing w:before="100" w:beforeAutospacing="1" w:after="100" w:afterAutospacing="1" w:line="480" w:lineRule="auto"/>
        <w:rPr>
          <w:rFonts w:ascii="Cambria" w:eastAsia="Times New Roman" w:hAnsi="Cambria" w:cs="Times New Roman"/>
          <w:shd w:val="clear" w:color="auto" w:fill="FFFFFF"/>
          <w:lang w:eastAsia="en-GB"/>
        </w:rPr>
      </w:pPr>
      <w:r w:rsidRPr="00552D93">
        <w:rPr>
          <w:rFonts w:ascii="Cambria" w:eastAsia="Times New Roman" w:hAnsi="Cambria" w:cs="Times New Roman"/>
          <w:shd w:val="clear" w:color="auto" w:fill="FFFFFF"/>
          <w:lang w:eastAsia="en-GB"/>
        </w:rPr>
        <w:lastRenderedPageBreak/>
        <w:t>Respondents who selected ‘other’ (N= 1,504) as their usual drink size were excluded from the analyses as the free text responses did not allow a meaningful volume of alcohol to be extracted.</w:t>
      </w:r>
      <w:r w:rsidR="00297275" w:rsidRPr="00552D93">
        <w:rPr>
          <w:rFonts w:ascii="Cambria" w:eastAsia="Times New Roman" w:hAnsi="Cambria" w:cs="Times New Roman"/>
          <w:shd w:val="clear" w:color="auto" w:fill="FFFFFF"/>
          <w:lang w:eastAsia="en-GB"/>
        </w:rPr>
        <w:t xml:space="preserve"> </w:t>
      </w:r>
      <w:r w:rsidR="00106E58" w:rsidRPr="00552D93">
        <w:rPr>
          <w:rFonts w:ascii="Cambria" w:eastAsia="Times New Roman" w:hAnsi="Cambria" w:cs="Times New Roman"/>
          <w:shd w:val="clear" w:color="auto" w:fill="FFFFFF"/>
          <w:lang w:eastAsia="en-GB"/>
        </w:rPr>
        <w:t xml:space="preserve">Chi squared tests revealed that there were significant associations between this group and those who did not select ‘other’ in terms of age, </w:t>
      </w:r>
      <w:r w:rsidR="0095496C" w:rsidRPr="00552D93">
        <w:rPr>
          <w:rFonts w:ascii="Cambria" w:eastAsia="Times New Roman" w:hAnsi="Cambria" w:cs="Times New Roman"/>
          <w:shd w:val="clear" w:color="auto" w:fill="FFFFFF"/>
          <w:lang w:eastAsia="en-GB"/>
        </w:rPr>
        <w:t xml:space="preserve">gender </w:t>
      </w:r>
      <w:r w:rsidR="00106E58" w:rsidRPr="00552D93">
        <w:rPr>
          <w:rFonts w:ascii="Cambria" w:eastAsia="Times New Roman" w:hAnsi="Cambria" w:cs="Times New Roman"/>
          <w:shd w:val="clear" w:color="auto" w:fill="FFFFFF"/>
          <w:lang w:eastAsia="en-GB"/>
        </w:rPr>
        <w:t>and AUDIT score, but the effect sizes observed we</w:t>
      </w:r>
      <w:r w:rsidR="00AD53AD" w:rsidRPr="00552D93">
        <w:rPr>
          <w:rFonts w:ascii="Cambria" w:eastAsia="Times New Roman" w:hAnsi="Cambria" w:cs="Times New Roman"/>
          <w:shd w:val="clear" w:color="auto" w:fill="FFFFFF"/>
          <w:lang w:eastAsia="en-GB"/>
        </w:rPr>
        <w:t xml:space="preserve">re </w:t>
      </w:r>
      <w:r w:rsidR="000372B5" w:rsidRPr="00552D93">
        <w:rPr>
          <w:rFonts w:ascii="Cambria" w:eastAsia="Times New Roman" w:hAnsi="Cambria" w:cs="Times New Roman"/>
          <w:shd w:val="clear" w:color="auto" w:fill="FFFFFF"/>
          <w:lang w:eastAsia="en-GB"/>
        </w:rPr>
        <w:t xml:space="preserve">weak. </w:t>
      </w:r>
      <w:r w:rsidR="00DE6B81" w:rsidRPr="00552D93">
        <w:rPr>
          <w:rStyle w:val="FootnoteReference"/>
          <w:rFonts w:ascii="Cambria" w:eastAsia="Times New Roman" w:hAnsi="Cambria" w:cs="Times New Roman"/>
          <w:shd w:val="clear" w:color="auto" w:fill="FFFFFF"/>
          <w:lang w:eastAsia="en-GB"/>
        </w:rPr>
        <w:footnoteReference w:id="2"/>
      </w:r>
    </w:p>
    <w:p w14:paraId="762E2601" w14:textId="7B8FBA3F" w:rsidR="004E4B45" w:rsidRPr="00552D93" w:rsidRDefault="00656C8B" w:rsidP="000441AA">
      <w:pPr>
        <w:spacing w:before="100" w:beforeAutospacing="1" w:after="100" w:afterAutospacing="1" w:line="480" w:lineRule="auto"/>
        <w:rPr>
          <w:rFonts w:ascii="Cambria" w:eastAsia="Times New Roman" w:hAnsi="Cambria" w:cs="Times New Roman"/>
          <w:shd w:val="clear" w:color="auto" w:fill="FFFFFF"/>
          <w:lang w:eastAsia="en-GB"/>
        </w:rPr>
      </w:pPr>
      <w:r w:rsidRPr="00552D93">
        <w:rPr>
          <w:rFonts w:ascii="Cambria" w:eastAsia="Times New Roman" w:hAnsi="Cambria" w:cs="Times New Roman"/>
          <w:shd w:val="clear" w:color="auto" w:fill="FFFFFF"/>
          <w:lang w:eastAsia="en-GB"/>
        </w:rPr>
        <w:t>To compare frequency of reaching each stage we combined ‘at least weekly’ and at least monthly into one category</w:t>
      </w:r>
      <w:r w:rsidR="00E808AC" w:rsidRPr="00552D93">
        <w:rPr>
          <w:rFonts w:ascii="Cambria" w:eastAsia="Times New Roman" w:hAnsi="Cambria" w:cs="Times New Roman"/>
          <w:shd w:val="clear" w:color="auto" w:fill="FFFFFF"/>
          <w:lang w:eastAsia="en-GB"/>
        </w:rPr>
        <w:t xml:space="preserve"> (often</w:t>
      </w:r>
      <w:r w:rsidR="002A3CD7" w:rsidRPr="00552D93">
        <w:rPr>
          <w:rFonts w:ascii="Cambria" w:eastAsia="Times New Roman" w:hAnsi="Cambria" w:cs="Times New Roman"/>
          <w:shd w:val="clear" w:color="auto" w:fill="FFFFFF"/>
          <w:lang w:eastAsia="en-GB"/>
        </w:rPr>
        <w:t>)</w:t>
      </w:r>
      <w:r w:rsidRPr="00552D93">
        <w:rPr>
          <w:rFonts w:ascii="Cambria" w:eastAsia="Times New Roman" w:hAnsi="Cambria" w:cs="Times New Roman"/>
          <w:shd w:val="clear" w:color="auto" w:fill="FFFFFF"/>
          <w:lang w:eastAsia="en-GB"/>
        </w:rPr>
        <w:t>, and ‘at least once a year’, ‘less than once a year’ and ‘never’ into another category</w:t>
      </w:r>
      <w:r w:rsidR="002A3CD7" w:rsidRPr="00552D93">
        <w:rPr>
          <w:rFonts w:ascii="Cambria" w:eastAsia="Times New Roman" w:hAnsi="Cambria" w:cs="Times New Roman"/>
          <w:shd w:val="clear" w:color="auto" w:fill="FFFFFF"/>
          <w:lang w:eastAsia="en-GB"/>
        </w:rPr>
        <w:t xml:space="preserve"> (rarely</w:t>
      </w:r>
      <w:r w:rsidR="00733BF0" w:rsidRPr="00552D93">
        <w:rPr>
          <w:rFonts w:ascii="Cambria" w:eastAsia="Times New Roman" w:hAnsi="Cambria" w:cs="Times New Roman"/>
          <w:shd w:val="clear" w:color="auto" w:fill="FFFFFF"/>
          <w:lang w:eastAsia="en-GB"/>
        </w:rPr>
        <w:t>/never</w:t>
      </w:r>
      <w:r w:rsidR="002A3CD7" w:rsidRPr="00552D93">
        <w:rPr>
          <w:rFonts w:ascii="Cambria" w:eastAsia="Times New Roman" w:hAnsi="Cambria" w:cs="Times New Roman"/>
          <w:shd w:val="clear" w:color="auto" w:fill="FFFFFF"/>
          <w:lang w:eastAsia="en-GB"/>
        </w:rPr>
        <w:t>)</w:t>
      </w:r>
      <w:r w:rsidRPr="00552D93">
        <w:rPr>
          <w:rFonts w:ascii="Cambria" w:eastAsia="Times New Roman" w:hAnsi="Cambria" w:cs="Times New Roman"/>
          <w:shd w:val="clear" w:color="auto" w:fill="FFFFFF"/>
          <w:lang w:eastAsia="en-GB"/>
        </w:rPr>
        <w:t>.</w:t>
      </w:r>
      <w:r w:rsidR="00297275" w:rsidRPr="00552D93">
        <w:rPr>
          <w:rFonts w:ascii="Cambria" w:eastAsia="Times New Roman" w:hAnsi="Cambria" w:cs="Times New Roman"/>
          <w:shd w:val="clear" w:color="auto" w:fill="FFFFFF"/>
          <w:lang w:eastAsia="en-GB"/>
        </w:rPr>
        <w:t xml:space="preserve"> </w:t>
      </w:r>
      <w:r w:rsidR="004E4B45" w:rsidRPr="00552D93">
        <w:rPr>
          <w:rFonts w:ascii="Cambria" w:eastAsia="Times New Roman" w:hAnsi="Cambria" w:cs="Times New Roman"/>
          <w:shd w:val="clear" w:color="auto" w:fill="FFFFFF"/>
          <w:lang w:eastAsia="en-GB"/>
        </w:rPr>
        <w:t xml:space="preserve">This decision was taken based on the WHO definition of </w:t>
      </w:r>
      <w:r w:rsidR="00B62DFA" w:rsidRPr="00552D93">
        <w:rPr>
          <w:rFonts w:ascii="Cambria" w:eastAsia="Times New Roman" w:hAnsi="Cambria" w:cs="Times New Roman"/>
          <w:shd w:val="clear" w:color="auto" w:fill="FFFFFF"/>
          <w:lang w:eastAsia="en-GB"/>
        </w:rPr>
        <w:t xml:space="preserve">heavy </w:t>
      </w:r>
      <w:r w:rsidR="00A70DF9" w:rsidRPr="00552D93">
        <w:rPr>
          <w:rFonts w:ascii="Cambria" w:eastAsia="Times New Roman" w:hAnsi="Cambria" w:cs="Times New Roman"/>
          <w:shd w:val="clear" w:color="auto" w:fill="FFFFFF"/>
          <w:lang w:eastAsia="en-GB"/>
        </w:rPr>
        <w:t xml:space="preserve">excessive drinking </w:t>
      </w:r>
      <w:r w:rsidR="004E4B45" w:rsidRPr="00552D93">
        <w:rPr>
          <w:rFonts w:ascii="Cambria" w:eastAsia="Times New Roman" w:hAnsi="Cambria" w:cs="Times New Roman"/>
          <w:shd w:val="clear" w:color="auto" w:fill="FFFFFF"/>
          <w:lang w:eastAsia="en-GB"/>
        </w:rPr>
        <w:t>(HED), which is more than 60g</w:t>
      </w:r>
      <w:r w:rsidR="00B62DFA" w:rsidRPr="00552D93">
        <w:rPr>
          <w:rFonts w:ascii="Cambria" w:eastAsia="Times New Roman" w:hAnsi="Cambria" w:cs="Times New Roman"/>
          <w:shd w:val="clear" w:color="auto" w:fill="FFFFFF"/>
          <w:lang w:eastAsia="en-GB"/>
        </w:rPr>
        <w:t>m</w:t>
      </w:r>
      <w:r w:rsidR="004E4B45" w:rsidRPr="00552D93">
        <w:rPr>
          <w:rFonts w:ascii="Cambria" w:eastAsia="Times New Roman" w:hAnsi="Cambria" w:cs="Times New Roman"/>
          <w:shd w:val="clear" w:color="auto" w:fill="FFFFFF"/>
          <w:lang w:eastAsia="en-GB"/>
        </w:rPr>
        <w:t xml:space="preserve"> of alcohol at least once in the last 30 days </w:t>
      </w:r>
      <w:r w:rsidR="004E4B45" w:rsidRPr="00552D93">
        <w:rPr>
          <w:rFonts w:ascii="Cambria" w:eastAsia="Times New Roman" w:hAnsi="Cambria" w:cs="Times New Roman"/>
          <w:shd w:val="clear" w:color="auto" w:fill="FFFFFF"/>
          <w:lang w:eastAsia="en-GB"/>
        </w:rPr>
        <w:fldChar w:fldCharType="begin"/>
      </w:r>
      <w:r w:rsidR="001530C8" w:rsidRPr="00552D93">
        <w:rPr>
          <w:rFonts w:ascii="Cambria" w:eastAsia="Times New Roman" w:hAnsi="Cambria" w:cs="Times New Roman"/>
          <w:shd w:val="clear" w:color="auto" w:fill="FFFFFF"/>
          <w:lang w:eastAsia="en-GB"/>
        </w:rPr>
        <w:instrText xml:space="preserve"> ADDIN EN.CITE &lt;EndNote&gt;&lt;Cite&gt;&lt;Author&gt;WHO&lt;/Author&gt;&lt;Year&gt;2018&lt;/Year&gt;&lt;RecNum&gt;4705&lt;/RecNum&gt;&lt;DisplayText&gt;(WHO, 2018)&lt;/DisplayText&gt;&lt;record&gt;&lt;rec-number&gt;4705&lt;/rec-number&gt;&lt;foreign-keys&gt;&lt;key app="EN" db-id="te5rs0t0nprf99ep09vxza050r9t99faf9td" timestamp="1553083120"&gt;4705&lt;/key&gt;&lt;/foreign-keys&gt;&lt;ref-type name="Report"&gt;27&lt;/ref-type&gt;&lt;contributors&gt;&lt;authors&gt;&lt;author&gt;WHO&lt;/author&gt;&lt;/authors&gt;&lt;/contributors&gt;&lt;titles&gt;&lt;title&gt;Global status report on alcohol and health 2018&lt;/title&gt;&lt;/titles&gt;&lt;dates&gt;&lt;year&gt;2018&lt;/year&gt;&lt;/dates&gt;&lt;pub-location&gt;Geneva&lt;/pub-location&gt;&lt;publisher&gt;World Health Organisation&lt;/publisher&gt;&lt;urls&gt;&lt;/urls&gt;&lt;electronic-resource-num&gt;https://www.who.int/substance_abuse/publications/global_alcohol_report/gsr_2018/en/&lt;/electronic-resource-num&gt;&lt;/record&gt;&lt;/Cite&gt;&lt;/EndNote&gt;</w:instrText>
      </w:r>
      <w:r w:rsidR="004E4B45" w:rsidRPr="00552D93">
        <w:rPr>
          <w:rFonts w:ascii="Cambria" w:eastAsia="Times New Roman" w:hAnsi="Cambria" w:cs="Times New Roman"/>
          <w:shd w:val="clear" w:color="auto" w:fill="FFFFFF"/>
          <w:lang w:eastAsia="en-GB"/>
        </w:rPr>
        <w:fldChar w:fldCharType="separate"/>
      </w:r>
      <w:r w:rsidR="004E4B45" w:rsidRPr="00552D93">
        <w:rPr>
          <w:rFonts w:ascii="Cambria" w:eastAsia="Times New Roman" w:hAnsi="Cambria" w:cs="Times New Roman"/>
          <w:noProof/>
          <w:shd w:val="clear" w:color="auto" w:fill="FFFFFF"/>
          <w:lang w:eastAsia="en-GB"/>
        </w:rPr>
        <w:t>(WHO, 2018)</w:t>
      </w:r>
      <w:r w:rsidR="004E4B45" w:rsidRPr="00552D93">
        <w:rPr>
          <w:rFonts w:ascii="Cambria" w:eastAsia="Times New Roman" w:hAnsi="Cambria" w:cs="Times New Roman"/>
          <w:shd w:val="clear" w:color="auto" w:fill="FFFFFF"/>
          <w:lang w:eastAsia="en-GB"/>
        </w:rPr>
        <w:fldChar w:fldCharType="end"/>
      </w:r>
      <w:r w:rsidR="004E4B45" w:rsidRPr="00552D93">
        <w:rPr>
          <w:rFonts w:ascii="Cambria" w:eastAsia="Times New Roman" w:hAnsi="Cambria" w:cs="Times New Roman"/>
          <w:shd w:val="clear" w:color="auto" w:fill="FFFFFF"/>
          <w:lang w:eastAsia="en-GB"/>
        </w:rPr>
        <w:t>. In particular, this is useful when looking at being ‘as drunk as you would like to be’ and the ‘tipping point’. This level of drinking is associated with increased ris</w:t>
      </w:r>
      <w:r w:rsidR="00B62DFA" w:rsidRPr="00552D93">
        <w:rPr>
          <w:rFonts w:ascii="Cambria" w:eastAsia="Times New Roman" w:hAnsi="Cambria" w:cs="Times New Roman"/>
          <w:shd w:val="clear" w:color="auto" w:fill="FFFFFF"/>
          <w:lang w:eastAsia="en-GB"/>
        </w:rPr>
        <w:t>k of acute consequences from</w:t>
      </w:r>
      <w:r w:rsidR="004E4B45" w:rsidRPr="00552D93">
        <w:rPr>
          <w:rFonts w:ascii="Cambria" w:eastAsia="Times New Roman" w:hAnsi="Cambria" w:cs="Times New Roman"/>
          <w:shd w:val="clear" w:color="auto" w:fill="FFFFFF"/>
          <w:lang w:eastAsia="en-GB"/>
        </w:rPr>
        <w:t xml:space="preserve"> alcohol. </w:t>
      </w:r>
    </w:p>
    <w:p w14:paraId="02E2ADF5" w14:textId="11AF5C4F" w:rsidR="003228B8" w:rsidRPr="00552D93" w:rsidRDefault="00A70DF9" w:rsidP="000441AA">
      <w:pPr>
        <w:spacing w:before="100" w:beforeAutospacing="1" w:after="100" w:afterAutospacing="1" w:line="480" w:lineRule="auto"/>
        <w:rPr>
          <w:rFonts w:ascii="Cambria" w:eastAsia="Times New Roman" w:hAnsi="Cambria" w:cs="Times New Roman"/>
          <w:shd w:val="clear" w:color="auto" w:fill="FFFFFF"/>
          <w:lang w:eastAsia="en-GB"/>
        </w:rPr>
      </w:pPr>
      <w:r w:rsidRPr="00552D93">
        <w:rPr>
          <w:rFonts w:ascii="Cambria" w:eastAsia="Times New Roman" w:hAnsi="Cambria" w:cs="Times New Roman"/>
          <w:shd w:val="clear" w:color="auto" w:fill="FFFFFF"/>
          <w:lang w:eastAsia="en-GB"/>
        </w:rPr>
        <w:t xml:space="preserve">Descriptive statistics were used to </w:t>
      </w:r>
      <w:r w:rsidR="00564697" w:rsidRPr="00552D93">
        <w:rPr>
          <w:rFonts w:ascii="Cambria" w:eastAsia="Times New Roman" w:hAnsi="Cambria" w:cs="Times New Roman"/>
          <w:shd w:val="clear" w:color="auto" w:fill="FFFFFF"/>
          <w:lang w:eastAsia="en-GB"/>
        </w:rPr>
        <w:t>compare countries on socio-demographics, AUD</w:t>
      </w:r>
      <w:r w:rsidR="00656C8B" w:rsidRPr="00552D93">
        <w:rPr>
          <w:rFonts w:ascii="Cambria" w:eastAsia="Times New Roman" w:hAnsi="Cambria" w:cs="Times New Roman"/>
          <w:shd w:val="clear" w:color="auto" w:fill="FFFFFF"/>
          <w:lang w:eastAsia="en-GB"/>
        </w:rPr>
        <w:t>IT scores, mean number of grams</w:t>
      </w:r>
      <w:r w:rsidR="00564697" w:rsidRPr="00552D93">
        <w:rPr>
          <w:rFonts w:ascii="Cambria" w:eastAsia="Times New Roman" w:hAnsi="Cambria" w:cs="Times New Roman"/>
          <w:shd w:val="clear" w:color="auto" w:fill="FFFFFF"/>
          <w:lang w:eastAsia="en-GB"/>
        </w:rPr>
        <w:t xml:space="preserve"> to reach each stage of intoxication and the frequency of reaching each stage</w:t>
      </w:r>
      <w:r w:rsidRPr="00552D93">
        <w:rPr>
          <w:rFonts w:ascii="Cambria" w:eastAsia="Times New Roman" w:hAnsi="Cambria" w:cs="Times New Roman"/>
          <w:shd w:val="clear" w:color="auto" w:fill="FFFFFF"/>
          <w:lang w:eastAsia="en-GB"/>
        </w:rPr>
        <w:t>.</w:t>
      </w:r>
      <w:r w:rsidR="00564697" w:rsidRPr="00552D93">
        <w:rPr>
          <w:rFonts w:ascii="Cambria" w:eastAsia="Times New Roman" w:hAnsi="Cambria" w:cs="Times New Roman"/>
          <w:shd w:val="clear" w:color="auto" w:fill="FFFFFF"/>
          <w:lang w:eastAsia="en-GB"/>
        </w:rPr>
        <w:t xml:space="preserve"> </w:t>
      </w:r>
      <w:r w:rsidR="00AD5084" w:rsidRPr="00552D93">
        <w:rPr>
          <w:rFonts w:ascii="Cambria" w:eastAsia="Times New Roman" w:hAnsi="Cambria" w:cs="Times New Roman"/>
          <w:shd w:val="clear" w:color="auto" w:fill="FFFFFF"/>
          <w:lang w:eastAsia="en-GB"/>
        </w:rPr>
        <w:t xml:space="preserve">Mean grams for each stage of intoxication were compared between respondents from different countries using bar charts. </w:t>
      </w:r>
      <w:r w:rsidR="008F30A3" w:rsidRPr="00552D93">
        <w:rPr>
          <w:rFonts w:ascii="Cambria" w:eastAsia="Times New Roman" w:hAnsi="Cambria" w:cs="Times New Roman"/>
          <w:shd w:val="clear" w:color="auto" w:fill="FFFFFF"/>
          <w:lang w:eastAsia="en-GB"/>
        </w:rPr>
        <w:t>Although grams were not normally distributed d</w:t>
      </w:r>
      <w:r w:rsidR="00B10022" w:rsidRPr="00552D93">
        <w:rPr>
          <w:rFonts w:ascii="Cambria" w:eastAsia="Times New Roman" w:hAnsi="Cambria" w:cs="Times New Roman"/>
          <w:shd w:val="clear" w:color="auto" w:fill="FFFFFF"/>
          <w:lang w:eastAsia="en-GB"/>
        </w:rPr>
        <w:t xml:space="preserve">ue to the large sample size, </w:t>
      </w:r>
      <w:r w:rsidR="00564697" w:rsidRPr="00552D93">
        <w:rPr>
          <w:rFonts w:ascii="Cambria" w:eastAsia="Times New Roman" w:hAnsi="Cambria" w:cs="Times New Roman"/>
          <w:shd w:val="clear" w:color="auto" w:fill="FFFFFF"/>
          <w:lang w:eastAsia="en-GB"/>
        </w:rPr>
        <w:t>T-tests and ANOVA</w:t>
      </w:r>
      <w:r w:rsidR="00AD5084" w:rsidRPr="00552D93">
        <w:rPr>
          <w:rFonts w:ascii="Cambria" w:eastAsia="Times New Roman" w:hAnsi="Cambria" w:cs="Times New Roman"/>
          <w:shd w:val="clear" w:color="auto" w:fill="FFFFFF"/>
          <w:lang w:eastAsia="en-GB"/>
        </w:rPr>
        <w:t>s</w:t>
      </w:r>
      <w:r w:rsidR="00564697" w:rsidRPr="00552D93">
        <w:rPr>
          <w:rFonts w:ascii="Cambria" w:eastAsia="Times New Roman" w:hAnsi="Cambria" w:cs="Times New Roman"/>
          <w:shd w:val="clear" w:color="auto" w:fill="FFFFFF"/>
          <w:lang w:eastAsia="en-GB"/>
        </w:rPr>
        <w:t xml:space="preserve"> were used </w:t>
      </w:r>
      <w:r w:rsidR="008F30A3" w:rsidRPr="00552D93">
        <w:rPr>
          <w:rFonts w:ascii="Cambria" w:eastAsia="Times New Roman" w:hAnsi="Cambria" w:cs="Times New Roman"/>
          <w:shd w:val="clear" w:color="auto" w:fill="FFFFFF"/>
          <w:lang w:eastAsia="en-GB"/>
        </w:rPr>
        <w:fldChar w:fldCharType="begin"/>
      </w:r>
      <w:r w:rsidR="008F30A3" w:rsidRPr="00552D93">
        <w:rPr>
          <w:rFonts w:ascii="Cambria" w:eastAsia="Times New Roman" w:hAnsi="Cambria" w:cs="Times New Roman"/>
          <w:shd w:val="clear" w:color="auto" w:fill="FFFFFF"/>
          <w:lang w:eastAsia="en-GB"/>
        </w:rPr>
        <w:instrText xml:space="preserve"> ADDIN EN.CITE &lt;EndNote&gt;&lt;Cite&gt;&lt;Author&gt;Fagerland&lt;/Author&gt;&lt;Year&gt;2012&lt;/Year&gt;&lt;RecNum&gt;4919&lt;/RecNum&gt;&lt;DisplayText&gt;(Fagerland, 2012)&lt;/DisplayText&gt;&lt;record&gt;&lt;rec-number&gt;4919&lt;/rec-number&gt;&lt;foreign-keys&gt;&lt;key app="EN" db-id="xpvtts5frwx0z4ezes8pswrxvez090rd0vss" timestamp="1586964547" guid="2362c075-c8a4-4512-aa30-89895a4c598c"&gt;4919&lt;/key&gt;&lt;/foreign-keys&gt;&lt;ref-type name="Journal Article"&gt;17&lt;/ref-type&gt;&lt;contributors&gt;&lt;authors&gt;&lt;author&gt;Fagerland, M. W.&lt;/author&gt;&lt;/authors&gt;&lt;/contributors&gt;&lt;auth-address&gt;Unit of Biostatistics and Epidemiology, Oslo University Hospital, Oslo, N-0407, Norway. morten.fagerland@medisin.uio.no&lt;/auth-address&gt;&lt;titles&gt;&lt;title&gt;t-tests, non-parametric tests, and large studies--a paradox of statistical practice?&lt;/title&gt;&lt;secondary-title&gt;BMC Med Res Methodol&lt;/secondary-title&gt;&lt;/titles&gt;&lt;periodical&gt;&lt;full-title&gt;BMC Med Res Methodol&lt;/full-title&gt;&lt;/periodical&gt;&lt;pages&gt;78&lt;/pages&gt;&lt;volume&gt;12&lt;/volume&gt;&lt;edition&gt;2012/06/16&lt;/edition&gt;&lt;keywords&gt;&lt;keyword&gt;Computer Simulation&lt;/keyword&gt;&lt;keyword&gt;Confidence Intervals&lt;/keyword&gt;&lt;keyword&gt;*Data Interpretation, Statistical&lt;/keyword&gt;&lt;keyword&gt;Humans&lt;/keyword&gt;&lt;keyword&gt;*Models, Statistical&lt;/keyword&gt;&lt;keyword&gt;Probability&lt;/keyword&gt;&lt;keyword&gt;*Statistics, Nonparametric&lt;/keyword&gt;&lt;/keywords&gt;&lt;dates&gt;&lt;year&gt;2012&lt;/year&gt;&lt;pub-dates&gt;&lt;date&gt;Jun 14&lt;/date&gt;&lt;/pub-dates&gt;&lt;/dates&gt;&lt;isbn&gt;1471-2288&lt;/isbn&gt;&lt;accession-num&gt;22697476&lt;/accession-num&gt;&lt;urls&gt;&lt;/urls&gt;&lt;custom2&gt;PMC3445820&lt;/custom2&gt;&lt;electronic-resource-num&gt;10.1186/1471-2288-12-78&lt;/electronic-resource-num&gt;&lt;remote-database-provider&gt;NLM&lt;/remote-database-provider&gt;&lt;language&gt;eng&lt;/language&gt;&lt;/record&gt;&lt;/Cite&gt;&lt;/EndNote&gt;</w:instrText>
      </w:r>
      <w:r w:rsidR="008F30A3" w:rsidRPr="00552D93">
        <w:rPr>
          <w:rFonts w:ascii="Cambria" w:eastAsia="Times New Roman" w:hAnsi="Cambria" w:cs="Times New Roman"/>
          <w:shd w:val="clear" w:color="auto" w:fill="FFFFFF"/>
          <w:lang w:eastAsia="en-GB"/>
        </w:rPr>
        <w:fldChar w:fldCharType="separate"/>
      </w:r>
      <w:r w:rsidR="008F30A3" w:rsidRPr="00552D93">
        <w:rPr>
          <w:rFonts w:ascii="Cambria" w:eastAsia="Times New Roman" w:hAnsi="Cambria" w:cs="Times New Roman"/>
          <w:noProof/>
          <w:shd w:val="clear" w:color="auto" w:fill="FFFFFF"/>
          <w:lang w:eastAsia="en-GB"/>
        </w:rPr>
        <w:t>(Fagerland, 2012)</w:t>
      </w:r>
      <w:r w:rsidR="008F30A3" w:rsidRPr="00552D93">
        <w:rPr>
          <w:rFonts w:ascii="Cambria" w:eastAsia="Times New Roman" w:hAnsi="Cambria" w:cs="Times New Roman"/>
          <w:shd w:val="clear" w:color="auto" w:fill="FFFFFF"/>
          <w:lang w:eastAsia="en-GB"/>
        </w:rPr>
        <w:fldChar w:fldCharType="end"/>
      </w:r>
      <w:r w:rsidR="008F30A3" w:rsidRPr="00552D93">
        <w:rPr>
          <w:rFonts w:ascii="Cambria" w:eastAsia="Times New Roman" w:hAnsi="Cambria" w:cs="Times New Roman"/>
          <w:shd w:val="clear" w:color="auto" w:fill="FFFFFF"/>
          <w:lang w:eastAsia="en-GB"/>
        </w:rPr>
        <w:t xml:space="preserve"> </w:t>
      </w:r>
      <w:r w:rsidR="00564697" w:rsidRPr="00552D93">
        <w:rPr>
          <w:rFonts w:ascii="Cambria" w:eastAsia="Times New Roman" w:hAnsi="Cambria" w:cs="Times New Roman"/>
          <w:shd w:val="clear" w:color="auto" w:fill="FFFFFF"/>
          <w:lang w:eastAsia="en-GB"/>
        </w:rPr>
        <w:t xml:space="preserve">to explore </w:t>
      </w:r>
      <w:r w:rsidR="003101C5" w:rsidRPr="00552D93">
        <w:rPr>
          <w:rFonts w:ascii="Cambria" w:eastAsia="Times New Roman" w:hAnsi="Cambria" w:cs="Times New Roman"/>
          <w:shd w:val="clear" w:color="auto" w:fill="FFFFFF"/>
          <w:lang w:eastAsia="en-GB"/>
        </w:rPr>
        <w:t xml:space="preserve">differences </w:t>
      </w:r>
      <w:r w:rsidR="00564697" w:rsidRPr="00552D93">
        <w:rPr>
          <w:rFonts w:ascii="Cambria" w:eastAsia="Times New Roman" w:hAnsi="Cambria" w:cs="Times New Roman"/>
          <w:shd w:val="clear" w:color="auto" w:fill="FFFFFF"/>
          <w:lang w:eastAsia="en-GB"/>
        </w:rPr>
        <w:t xml:space="preserve">between </w:t>
      </w:r>
      <w:r w:rsidR="00AD5084" w:rsidRPr="00552D93">
        <w:rPr>
          <w:rFonts w:ascii="Cambria" w:eastAsia="Times New Roman" w:hAnsi="Cambria" w:cs="Times New Roman"/>
          <w:shd w:val="clear" w:color="auto" w:fill="FFFFFF"/>
          <w:lang w:eastAsia="en-GB"/>
        </w:rPr>
        <w:t xml:space="preserve">age, </w:t>
      </w:r>
      <w:r w:rsidR="0095496C" w:rsidRPr="00552D93">
        <w:rPr>
          <w:rFonts w:ascii="Cambria" w:eastAsia="Times New Roman" w:hAnsi="Cambria" w:cs="Times New Roman"/>
          <w:shd w:val="clear" w:color="auto" w:fill="FFFFFF"/>
          <w:lang w:eastAsia="en-GB"/>
        </w:rPr>
        <w:t>gender</w:t>
      </w:r>
      <w:r w:rsidR="00564697" w:rsidRPr="00552D93">
        <w:rPr>
          <w:rFonts w:ascii="Cambria" w:eastAsia="Times New Roman" w:hAnsi="Cambria" w:cs="Times New Roman"/>
          <w:shd w:val="clear" w:color="auto" w:fill="FFFFFF"/>
          <w:lang w:eastAsia="en-GB"/>
        </w:rPr>
        <w:t xml:space="preserve">, </w:t>
      </w:r>
      <w:r w:rsidR="00AD5084" w:rsidRPr="00552D93">
        <w:rPr>
          <w:rFonts w:ascii="Cambria" w:eastAsia="Times New Roman" w:hAnsi="Cambria" w:cs="Times New Roman"/>
          <w:shd w:val="clear" w:color="auto" w:fill="FFFFFF"/>
          <w:lang w:eastAsia="en-GB"/>
        </w:rPr>
        <w:t xml:space="preserve">and </w:t>
      </w:r>
      <w:r w:rsidR="00564697" w:rsidRPr="00552D93">
        <w:rPr>
          <w:rFonts w:ascii="Cambria" w:eastAsia="Times New Roman" w:hAnsi="Cambria" w:cs="Times New Roman"/>
          <w:shd w:val="clear" w:color="auto" w:fill="FFFFFF"/>
          <w:lang w:eastAsia="en-GB"/>
        </w:rPr>
        <w:t xml:space="preserve">AUDIT score, and </w:t>
      </w:r>
      <w:r w:rsidR="00451D6E" w:rsidRPr="00552D93">
        <w:rPr>
          <w:rFonts w:ascii="Cambria" w:eastAsia="Times New Roman" w:hAnsi="Cambria" w:cs="Times New Roman"/>
          <w:shd w:val="clear" w:color="auto" w:fill="FFFFFF"/>
          <w:lang w:eastAsia="en-GB"/>
        </w:rPr>
        <w:t>grams of alcohol consumed</w:t>
      </w:r>
      <w:r w:rsidR="00564697" w:rsidRPr="00552D93">
        <w:rPr>
          <w:rFonts w:ascii="Cambria" w:eastAsia="Times New Roman" w:hAnsi="Cambria" w:cs="Times New Roman"/>
          <w:shd w:val="clear" w:color="auto" w:fill="FFFFFF"/>
          <w:lang w:eastAsia="en-GB"/>
        </w:rPr>
        <w:t xml:space="preserve"> in each stage of intoxication</w:t>
      </w:r>
      <w:r w:rsidR="00AD5084" w:rsidRPr="00552D93">
        <w:rPr>
          <w:rFonts w:ascii="Cambria" w:eastAsia="Times New Roman" w:hAnsi="Cambria" w:cs="Times New Roman"/>
          <w:shd w:val="clear" w:color="auto" w:fill="FFFFFF"/>
          <w:lang w:eastAsia="en-GB"/>
        </w:rPr>
        <w:t>, regardless of country of residence</w:t>
      </w:r>
      <w:r w:rsidR="008F30A3" w:rsidRPr="00552D93">
        <w:rPr>
          <w:rFonts w:ascii="Cambria" w:eastAsia="Times New Roman" w:hAnsi="Cambria" w:cs="Times New Roman"/>
          <w:shd w:val="clear" w:color="auto" w:fill="FFFFFF"/>
          <w:lang w:eastAsia="en-GB"/>
        </w:rPr>
        <w:t xml:space="preserve">. </w:t>
      </w:r>
      <w:r w:rsidR="00564697" w:rsidRPr="00552D93">
        <w:rPr>
          <w:rFonts w:ascii="Cambria" w:eastAsia="Times New Roman" w:hAnsi="Cambria" w:cs="Times New Roman"/>
          <w:shd w:val="clear" w:color="auto" w:fill="FFFFFF"/>
          <w:lang w:eastAsia="en-GB"/>
        </w:rPr>
        <w:t xml:space="preserve">Chi squared </w:t>
      </w:r>
      <w:r w:rsidR="00DF750A" w:rsidRPr="00552D93">
        <w:rPr>
          <w:rFonts w:ascii="Cambria" w:eastAsia="Times New Roman" w:hAnsi="Cambria" w:cs="Times New Roman"/>
          <w:shd w:val="clear" w:color="auto" w:fill="FFFFFF"/>
          <w:lang w:eastAsia="en-GB"/>
        </w:rPr>
        <w:t xml:space="preserve">tests </w:t>
      </w:r>
      <w:r w:rsidR="00564697" w:rsidRPr="00552D93">
        <w:rPr>
          <w:rFonts w:ascii="Cambria" w:eastAsia="Times New Roman" w:hAnsi="Cambria" w:cs="Times New Roman"/>
          <w:shd w:val="clear" w:color="auto" w:fill="FFFFFF"/>
          <w:lang w:eastAsia="en-GB"/>
        </w:rPr>
        <w:t>w</w:t>
      </w:r>
      <w:r w:rsidR="00DF750A" w:rsidRPr="00552D93">
        <w:rPr>
          <w:rFonts w:ascii="Cambria" w:eastAsia="Times New Roman" w:hAnsi="Cambria" w:cs="Times New Roman"/>
          <w:shd w:val="clear" w:color="auto" w:fill="FFFFFF"/>
          <w:lang w:eastAsia="en-GB"/>
        </w:rPr>
        <w:t>ere</w:t>
      </w:r>
      <w:r w:rsidR="00564697" w:rsidRPr="00552D93">
        <w:rPr>
          <w:rFonts w:ascii="Cambria" w:eastAsia="Times New Roman" w:hAnsi="Cambria" w:cs="Times New Roman"/>
          <w:shd w:val="clear" w:color="auto" w:fill="FFFFFF"/>
          <w:lang w:eastAsia="en-GB"/>
        </w:rPr>
        <w:t xml:space="preserve"> </w:t>
      </w:r>
      <w:r w:rsidR="00AD5084" w:rsidRPr="00552D93">
        <w:rPr>
          <w:rFonts w:ascii="Cambria" w:eastAsia="Times New Roman" w:hAnsi="Cambria" w:cs="Times New Roman"/>
          <w:shd w:val="clear" w:color="auto" w:fill="FFFFFF"/>
          <w:lang w:eastAsia="en-GB"/>
        </w:rPr>
        <w:t xml:space="preserve">then </w:t>
      </w:r>
      <w:r w:rsidR="00564697" w:rsidRPr="00552D93">
        <w:rPr>
          <w:rFonts w:ascii="Cambria" w:eastAsia="Times New Roman" w:hAnsi="Cambria" w:cs="Times New Roman"/>
          <w:shd w:val="clear" w:color="auto" w:fill="FFFFFF"/>
          <w:lang w:eastAsia="en-GB"/>
        </w:rPr>
        <w:t>used to explore bivariate relationships between socio-demographics, AUDIT score</w:t>
      </w:r>
      <w:r w:rsidR="00DF750A" w:rsidRPr="00552D93">
        <w:rPr>
          <w:rFonts w:ascii="Cambria" w:eastAsia="Times New Roman" w:hAnsi="Cambria" w:cs="Times New Roman"/>
          <w:shd w:val="clear" w:color="auto" w:fill="FFFFFF"/>
          <w:lang w:eastAsia="en-GB"/>
        </w:rPr>
        <w:t>s</w:t>
      </w:r>
      <w:r w:rsidR="00564697" w:rsidRPr="00552D93">
        <w:rPr>
          <w:rFonts w:ascii="Cambria" w:eastAsia="Times New Roman" w:hAnsi="Cambria" w:cs="Times New Roman"/>
          <w:shd w:val="clear" w:color="auto" w:fill="FFFFFF"/>
          <w:lang w:eastAsia="en-GB"/>
        </w:rPr>
        <w:t>, and the frequency of reaching each stage of intoxication</w:t>
      </w:r>
      <w:r w:rsidR="00AD5084" w:rsidRPr="00552D93">
        <w:rPr>
          <w:rFonts w:ascii="Cambria" w:eastAsia="Times New Roman" w:hAnsi="Cambria" w:cs="Times New Roman"/>
          <w:shd w:val="clear" w:color="auto" w:fill="FFFFFF"/>
          <w:lang w:eastAsia="en-GB"/>
        </w:rPr>
        <w:t xml:space="preserve"> regardless of country of residence</w:t>
      </w:r>
      <w:r w:rsidR="00843D78" w:rsidRPr="00552D93">
        <w:rPr>
          <w:rFonts w:ascii="Cambria" w:eastAsia="Times New Roman" w:hAnsi="Cambria" w:cs="Times New Roman"/>
          <w:shd w:val="clear" w:color="auto" w:fill="FFFFFF"/>
          <w:lang w:eastAsia="en-GB"/>
        </w:rPr>
        <w:t xml:space="preserve">. Finally, </w:t>
      </w:r>
      <w:r w:rsidR="00D048F9" w:rsidRPr="00552D93">
        <w:rPr>
          <w:rFonts w:ascii="Cambria" w:eastAsia="Times New Roman" w:hAnsi="Cambria" w:cs="Times New Roman"/>
          <w:shd w:val="clear" w:color="auto" w:fill="FFFFFF"/>
          <w:lang w:eastAsia="en-GB"/>
        </w:rPr>
        <w:t xml:space="preserve">multi-level logistic </w:t>
      </w:r>
      <w:r w:rsidR="00564697" w:rsidRPr="00552D93">
        <w:rPr>
          <w:rFonts w:ascii="Cambria" w:eastAsia="Times New Roman" w:hAnsi="Cambria" w:cs="Times New Roman"/>
          <w:shd w:val="clear" w:color="auto" w:fill="FFFFFF"/>
          <w:lang w:eastAsia="en-GB"/>
        </w:rPr>
        <w:t>regression</w:t>
      </w:r>
      <w:r w:rsidR="00E808AC" w:rsidRPr="00552D93">
        <w:rPr>
          <w:rFonts w:ascii="Cambria" w:eastAsia="Times New Roman" w:hAnsi="Cambria" w:cs="Times New Roman"/>
          <w:shd w:val="clear" w:color="auto" w:fill="FFFFFF"/>
          <w:lang w:eastAsia="en-GB"/>
        </w:rPr>
        <w:t xml:space="preserve"> models</w:t>
      </w:r>
      <w:r w:rsidR="00564697" w:rsidRPr="00552D93">
        <w:rPr>
          <w:rFonts w:ascii="Cambria" w:eastAsia="Times New Roman" w:hAnsi="Cambria" w:cs="Times New Roman"/>
          <w:shd w:val="clear" w:color="auto" w:fill="FFFFFF"/>
          <w:lang w:eastAsia="en-GB"/>
        </w:rPr>
        <w:t xml:space="preserve"> w</w:t>
      </w:r>
      <w:r w:rsidR="00DF750A" w:rsidRPr="00552D93">
        <w:rPr>
          <w:rFonts w:ascii="Cambria" w:eastAsia="Times New Roman" w:hAnsi="Cambria" w:cs="Times New Roman"/>
          <w:shd w:val="clear" w:color="auto" w:fill="FFFFFF"/>
          <w:lang w:eastAsia="en-GB"/>
        </w:rPr>
        <w:t>ere</w:t>
      </w:r>
      <w:r w:rsidR="00564697" w:rsidRPr="00552D93">
        <w:rPr>
          <w:rFonts w:ascii="Cambria" w:eastAsia="Times New Roman" w:hAnsi="Cambria" w:cs="Times New Roman"/>
          <w:shd w:val="clear" w:color="auto" w:fill="FFFFFF"/>
          <w:lang w:eastAsia="en-GB"/>
        </w:rPr>
        <w:t xml:space="preserve"> used to explore </w:t>
      </w:r>
      <w:r w:rsidR="0079156A" w:rsidRPr="00552D93">
        <w:rPr>
          <w:rFonts w:ascii="Cambria" w:eastAsia="Times New Roman" w:hAnsi="Cambria" w:cs="Times New Roman"/>
          <w:shd w:val="clear" w:color="auto" w:fill="FFFFFF"/>
          <w:lang w:eastAsia="en-GB"/>
        </w:rPr>
        <w:t>factors associated with</w:t>
      </w:r>
      <w:r w:rsidR="00564697" w:rsidRPr="00552D93">
        <w:rPr>
          <w:rFonts w:ascii="Cambria" w:eastAsia="Times New Roman" w:hAnsi="Cambria" w:cs="Times New Roman"/>
          <w:shd w:val="clear" w:color="auto" w:fill="FFFFFF"/>
          <w:lang w:eastAsia="en-GB"/>
        </w:rPr>
        <w:t xml:space="preserve"> reachin</w:t>
      </w:r>
      <w:r w:rsidR="00E808AC" w:rsidRPr="00552D93">
        <w:rPr>
          <w:rFonts w:ascii="Cambria" w:eastAsia="Times New Roman" w:hAnsi="Cambria" w:cs="Times New Roman"/>
          <w:shd w:val="clear" w:color="auto" w:fill="FFFFFF"/>
          <w:lang w:eastAsia="en-GB"/>
        </w:rPr>
        <w:t xml:space="preserve">g each stage of intoxication </w:t>
      </w:r>
      <w:r w:rsidR="00843D78" w:rsidRPr="00552D93">
        <w:rPr>
          <w:rFonts w:ascii="Cambria" w:eastAsia="Times New Roman" w:hAnsi="Cambria" w:cs="Times New Roman"/>
          <w:shd w:val="clear" w:color="auto" w:fill="FFFFFF"/>
          <w:lang w:eastAsia="en-GB"/>
        </w:rPr>
        <w:t>either weekly or monthly compared to yearly/less than yearly and never.</w:t>
      </w:r>
      <w:r w:rsidR="00297275" w:rsidRPr="00552D93">
        <w:rPr>
          <w:rFonts w:ascii="Cambria" w:eastAsia="Times New Roman" w:hAnsi="Cambria" w:cs="Times New Roman"/>
          <w:shd w:val="clear" w:color="auto" w:fill="FFFFFF"/>
          <w:lang w:eastAsia="en-GB"/>
        </w:rPr>
        <w:t xml:space="preserve"> </w:t>
      </w:r>
      <w:r w:rsidR="00843D78" w:rsidRPr="00552D93">
        <w:rPr>
          <w:rFonts w:ascii="Cambria" w:eastAsia="Times New Roman" w:hAnsi="Cambria" w:cs="Times New Roman"/>
          <w:shd w:val="clear" w:color="auto" w:fill="FFFFFF"/>
          <w:lang w:eastAsia="en-GB"/>
        </w:rPr>
        <w:t xml:space="preserve">These analyses involved </w:t>
      </w:r>
      <w:r w:rsidR="00E808AC" w:rsidRPr="00552D93">
        <w:rPr>
          <w:rFonts w:ascii="Cambria" w:eastAsia="Times New Roman" w:hAnsi="Cambria" w:cs="Times New Roman"/>
          <w:shd w:val="clear" w:color="auto" w:fill="FFFFFF"/>
          <w:lang w:eastAsia="en-GB"/>
        </w:rPr>
        <w:t>clustering for country</w:t>
      </w:r>
      <w:r w:rsidR="00843D78" w:rsidRPr="00552D93">
        <w:rPr>
          <w:rFonts w:ascii="Cambria" w:eastAsia="Times New Roman" w:hAnsi="Cambria" w:cs="Times New Roman"/>
          <w:shd w:val="clear" w:color="auto" w:fill="FFFFFF"/>
          <w:lang w:eastAsia="en-GB"/>
        </w:rPr>
        <w:t xml:space="preserve"> of residence to account for confounders relating to country that were not incorporated into the model, such as drinking culture</w:t>
      </w:r>
      <w:r w:rsidR="00E808AC" w:rsidRPr="00552D93">
        <w:rPr>
          <w:rFonts w:ascii="Cambria" w:eastAsia="Times New Roman" w:hAnsi="Cambria" w:cs="Times New Roman"/>
          <w:shd w:val="clear" w:color="auto" w:fill="FFFFFF"/>
          <w:lang w:eastAsia="en-GB"/>
        </w:rPr>
        <w:t>.</w:t>
      </w:r>
      <w:r w:rsidR="00297275" w:rsidRPr="00552D93">
        <w:rPr>
          <w:rFonts w:ascii="Cambria" w:eastAsia="Times New Roman" w:hAnsi="Cambria" w:cs="Times New Roman"/>
          <w:shd w:val="clear" w:color="auto" w:fill="FFFFFF"/>
          <w:lang w:eastAsia="en-GB"/>
        </w:rPr>
        <w:t xml:space="preserve"> </w:t>
      </w:r>
      <w:r w:rsidR="00D048F9" w:rsidRPr="00552D93">
        <w:rPr>
          <w:rFonts w:ascii="Cambria" w:eastAsia="Times New Roman" w:hAnsi="Cambria" w:cs="Times New Roman"/>
          <w:shd w:val="clear" w:color="auto" w:fill="FFFFFF"/>
          <w:lang w:eastAsia="en-GB"/>
        </w:rPr>
        <w:t>Thus</w:t>
      </w:r>
      <w:r w:rsidR="00B00E62" w:rsidRPr="00552D93">
        <w:rPr>
          <w:rFonts w:ascii="Cambria" w:eastAsia="Times New Roman" w:hAnsi="Cambria" w:cs="Times New Roman"/>
          <w:shd w:val="clear" w:color="auto" w:fill="FFFFFF"/>
          <w:lang w:eastAsia="en-GB"/>
        </w:rPr>
        <w:t xml:space="preserve"> the mixed </w:t>
      </w:r>
      <w:r w:rsidR="00B00E62" w:rsidRPr="00552D93">
        <w:rPr>
          <w:rFonts w:ascii="Cambria" w:eastAsia="Times New Roman" w:hAnsi="Cambria" w:cs="Times New Roman"/>
          <w:shd w:val="clear" w:color="auto" w:fill="FFFFFF"/>
          <w:lang w:eastAsia="en-GB"/>
        </w:rPr>
        <w:lastRenderedPageBreak/>
        <w:t xml:space="preserve">models function in SPSS was used and </w:t>
      </w:r>
      <w:r w:rsidR="00D048F9" w:rsidRPr="00552D93">
        <w:rPr>
          <w:rFonts w:ascii="Cambria" w:eastAsia="Times New Roman" w:hAnsi="Cambria" w:cs="Times New Roman"/>
          <w:shd w:val="clear" w:color="auto" w:fill="FFFFFF"/>
          <w:lang w:eastAsia="en-GB"/>
        </w:rPr>
        <w:t xml:space="preserve">country was entered in the models as a random factor, and the co-variates of sex, AUDIT score and age were entered as fixed factors. </w:t>
      </w:r>
      <w:r w:rsidR="00E808AC" w:rsidRPr="00552D93">
        <w:rPr>
          <w:rFonts w:ascii="Cambria" w:eastAsia="Times New Roman" w:hAnsi="Cambria" w:cs="Times New Roman"/>
          <w:shd w:val="clear" w:color="auto" w:fill="FFFFFF"/>
          <w:lang w:eastAsia="en-GB"/>
        </w:rPr>
        <w:t>Analyses were conducted in SPSS 26 (IBM).</w:t>
      </w:r>
    </w:p>
    <w:p w14:paraId="4D384BCC" w14:textId="213B1662" w:rsidR="00AA49E1" w:rsidRPr="00552D93" w:rsidRDefault="00AA49E1" w:rsidP="00A24A2C">
      <w:pPr>
        <w:spacing w:before="100" w:beforeAutospacing="1" w:after="100" w:afterAutospacing="1" w:line="480" w:lineRule="auto"/>
        <w:rPr>
          <w:rFonts w:ascii="Cambria" w:hAnsi="Cambria"/>
          <w:b/>
        </w:rPr>
      </w:pPr>
      <w:r w:rsidRPr="00552D93">
        <w:rPr>
          <w:rFonts w:ascii="Cambria" w:hAnsi="Cambria"/>
          <w:b/>
        </w:rPr>
        <w:t>RESULTS</w:t>
      </w:r>
    </w:p>
    <w:p w14:paraId="03C0A902" w14:textId="77777777" w:rsidR="007D2724" w:rsidRPr="00552D93" w:rsidRDefault="007D2724" w:rsidP="007D2724">
      <w:pPr>
        <w:spacing w:before="100" w:beforeAutospacing="1" w:after="100" w:afterAutospacing="1" w:line="480" w:lineRule="auto"/>
        <w:rPr>
          <w:rFonts w:ascii="Cambria" w:hAnsi="Cambria"/>
          <w:i/>
        </w:rPr>
      </w:pPr>
      <w:r w:rsidRPr="00552D93">
        <w:rPr>
          <w:rFonts w:ascii="Cambria" w:hAnsi="Cambria"/>
          <w:i/>
        </w:rPr>
        <w:t xml:space="preserve">Descriptive statistics </w:t>
      </w:r>
    </w:p>
    <w:p w14:paraId="11205851" w14:textId="7DBDEEFE" w:rsidR="007D2724" w:rsidRPr="00552D93" w:rsidRDefault="00ED0138" w:rsidP="007D2724">
      <w:pPr>
        <w:spacing w:before="100" w:beforeAutospacing="1" w:after="100" w:afterAutospacing="1" w:line="480" w:lineRule="auto"/>
        <w:rPr>
          <w:rFonts w:ascii="Cambria" w:eastAsia="Times New Roman" w:hAnsi="Cambria" w:cs="Times New Roman"/>
          <w:bCs/>
          <w:lang w:eastAsia="en-GB"/>
        </w:rPr>
      </w:pPr>
      <w:r w:rsidRPr="00552D93">
        <w:rPr>
          <w:rFonts w:ascii="Cambria" w:hAnsi="Cambria"/>
        </w:rPr>
        <w:t>The final sample included 61,043 respondents from 21 countries (A</w:t>
      </w:r>
      <w:r w:rsidR="00B62DFA" w:rsidRPr="00552D93">
        <w:rPr>
          <w:rFonts w:ascii="Cambria" w:hAnsi="Cambria"/>
        </w:rPr>
        <w:t>ustralia, Austria, Belgium, Brazil, Canada, Germany</w:t>
      </w:r>
      <w:r w:rsidRPr="00552D93">
        <w:rPr>
          <w:rFonts w:ascii="Cambria" w:hAnsi="Cambria"/>
        </w:rPr>
        <w:t xml:space="preserve">, </w:t>
      </w:r>
      <w:r w:rsidR="00B62DFA" w:rsidRPr="00552D93">
        <w:rPr>
          <w:rFonts w:ascii="Cambria" w:hAnsi="Cambria"/>
        </w:rPr>
        <w:t>Denmark</w:t>
      </w:r>
      <w:r w:rsidR="00825A92" w:rsidRPr="00552D93">
        <w:rPr>
          <w:rFonts w:ascii="Cambria" w:hAnsi="Cambria"/>
        </w:rPr>
        <w:t xml:space="preserve">, </w:t>
      </w:r>
      <w:r w:rsidR="00B62DFA" w:rsidRPr="00552D93">
        <w:rPr>
          <w:rFonts w:ascii="Cambria" w:hAnsi="Cambria"/>
        </w:rPr>
        <w:t>Spain, France</w:t>
      </w:r>
      <w:r w:rsidRPr="00552D93">
        <w:rPr>
          <w:rFonts w:ascii="Cambria" w:hAnsi="Cambria"/>
        </w:rPr>
        <w:t xml:space="preserve">, </w:t>
      </w:r>
      <w:r w:rsidR="00B62DFA" w:rsidRPr="00552D93">
        <w:rPr>
          <w:rFonts w:ascii="Cambria" w:hAnsi="Cambria"/>
        </w:rPr>
        <w:t>Greece</w:t>
      </w:r>
      <w:r w:rsidR="00825A92" w:rsidRPr="00552D93">
        <w:rPr>
          <w:rFonts w:ascii="Cambria" w:hAnsi="Cambria"/>
        </w:rPr>
        <w:t xml:space="preserve">, </w:t>
      </w:r>
      <w:r w:rsidR="00B62DFA" w:rsidRPr="00552D93">
        <w:rPr>
          <w:rFonts w:ascii="Cambria" w:hAnsi="Cambria"/>
        </w:rPr>
        <w:t>Hungary, Republic of Ireland</w:t>
      </w:r>
      <w:r w:rsidRPr="00552D93">
        <w:rPr>
          <w:rFonts w:ascii="Cambria" w:hAnsi="Cambria"/>
        </w:rPr>
        <w:t xml:space="preserve">, </w:t>
      </w:r>
      <w:r w:rsidR="00B62DFA" w:rsidRPr="00552D93">
        <w:rPr>
          <w:rFonts w:ascii="Cambria" w:hAnsi="Cambria"/>
        </w:rPr>
        <w:t>Italy</w:t>
      </w:r>
      <w:r w:rsidR="00825A92" w:rsidRPr="00552D93">
        <w:rPr>
          <w:rFonts w:ascii="Cambria" w:hAnsi="Cambria"/>
        </w:rPr>
        <w:t xml:space="preserve">, </w:t>
      </w:r>
      <w:r w:rsidR="00B62DFA" w:rsidRPr="00552D93">
        <w:rPr>
          <w:rFonts w:ascii="Cambria" w:hAnsi="Cambria"/>
        </w:rPr>
        <w:t>Netherlands, New Zealand</w:t>
      </w:r>
      <w:r w:rsidRPr="00552D93">
        <w:rPr>
          <w:rFonts w:ascii="Cambria" w:hAnsi="Cambria"/>
        </w:rPr>
        <w:t xml:space="preserve">, </w:t>
      </w:r>
      <w:r w:rsidR="00B62DFA" w:rsidRPr="00552D93">
        <w:rPr>
          <w:rFonts w:ascii="Cambria" w:hAnsi="Cambria"/>
        </w:rPr>
        <w:t>Poland</w:t>
      </w:r>
      <w:r w:rsidR="00825A92" w:rsidRPr="00552D93">
        <w:rPr>
          <w:rFonts w:ascii="Cambria" w:hAnsi="Cambria"/>
        </w:rPr>
        <w:t xml:space="preserve">, </w:t>
      </w:r>
      <w:r w:rsidR="00B62DFA" w:rsidRPr="00552D93">
        <w:rPr>
          <w:rFonts w:ascii="Cambria" w:hAnsi="Cambria"/>
        </w:rPr>
        <w:t>Portugal, Sweden</w:t>
      </w:r>
      <w:r w:rsidR="0095496C" w:rsidRPr="00552D93">
        <w:rPr>
          <w:rFonts w:ascii="Cambria" w:hAnsi="Cambria"/>
        </w:rPr>
        <w:t>,</w:t>
      </w:r>
      <w:r w:rsidR="00B62DFA" w:rsidRPr="00552D93">
        <w:rPr>
          <w:rFonts w:ascii="Cambria" w:hAnsi="Cambria"/>
        </w:rPr>
        <w:t xml:space="preserve"> Switzerland</w:t>
      </w:r>
      <w:r w:rsidRPr="00552D93">
        <w:rPr>
          <w:rFonts w:ascii="Cambria" w:hAnsi="Cambria"/>
        </w:rPr>
        <w:t>, U</w:t>
      </w:r>
      <w:r w:rsidR="00B62DFA" w:rsidRPr="00552D93">
        <w:rPr>
          <w:rFonts w:ascii="Cambria" w:hAnsi="Cambria"/>
        </w:rPr>
        <w:t xml:space="preserve">nited </w:t>
      </w:r>
      <w:r w:rsidRPr="00552D93">
        <w:rPr>
          <w:rFonts w:ascii="Cambria" w:hAnsi="Cambria"/>
        </w:rPr>
        <w:t>K</w:t>
      </w:r>
      <w:r w:rsidR="00B62DFA" w:rsidRPr="00552D93">
        <w:rPr>
          <w:rFonts w:ascii="Cambria" w:hAnsi="Cambria"/>
        </w:rPr>
        <w:t>ingdom</w:t>
      </w:r>
      <w:r w:rsidRPr="00552D93">
        <w:rPr>
          <w:rFonts w:ascii="Cambria" w:hAnsi="Cambria"/>
        </w:rPr>
        <w:t>, U</w:t>
      </w:r>
      <w:r w:rsidR="00B62DFA" w:rsidRPr="00552D93">
        <w:rPr>
          <w:rFonts w:ascii="Cambria" w:hAnsi="Cambria"/>
        </w:rPr>
        <w:t xml:space="preserve">nited </w:t>
      </w:r>
      <w:r w:rsidRPr="00552D93">
        <w:rPr>
          <w:rFonts w:ascii="Cambria" w:hAnsi="Cambria"/>
        </w:rPr>
        <w:t>S</w:t>
      </w:r>
      <w:r w:rsidR="00B62DFA" w:rsidRPr="00552D93">
        <w:rPr>
          <w:rFonts w:ascii="Cambria" w:hAnsi="Cambria"/>
        </w:rPr>
        <w:t>tates</w:t>
      </w:r>
      <w:r w:rsidRPr="00552D93">
        <w:rPr>
          <w:rFonts w:ascii="Cambria" w:hAnsi="Cambria"/>
        </w:rPr>
        <w:t>; see Table 1).</w:t>
      </w:r>
      <w:r w:rsidR="00297275" w:rsidRPr="00552D93">
        <w:rPr>
          <w:rFonts w:ascii="Cambria" w:hAnsi="Cambria"/>
        </w:rPr>
        <w:t xml:space="preserve"> </w:t>
      </w:r>
      <w:r w:rsidRPr="00552D93">
        <w:rPr>
          <w:rFonts w:ascii="Cambria" w:hAnsi="Cambria"/>
        </w:rPr>
        <w:t xml:space="preserve">It should be noted that these 21 countries are from three regions (the Americas, Europe and, Western Pacific) identified in the WHO </w:t>
      </w:r>
      <w:r w:rsidR="00B62DFA" w:rsidRPr="00552D93">
        <w:rPr>
          <w:rFonts w:ascii="Cambria" w:hAnsi="Cambria"/>
        </w:rPr>
        <w:fldChar w:fldCharType="begin"/>
      </w:r>
      <w:r w:rsidR="00B62DFA" w:rsidRPr="00552D93">
        <w:rPr>
          <w:rFonts w:ascii="Cambria" w:hAnsi="Cambria"/>
        </w:rPr>
        <w:instrText xml:space="preserve"> ADDIN EN.CITE &lt;EndNote&gt;&lt;Cite ExcludeAuth="1"&gt;&lt;Author&gt;WHO&lt;/Author&gt;&lt;Year&gt;2018&lt;/Year&gt;&lt;RecNum&gt;4691&lt;/RecNum&gt;&lt;DisplayText&gt;(2018)&lt;/DisplayText&gt;&lt;record&gt;&lt;rec-number&gt;4691&lt;/rec-number&gt;&lt;foreign-keys&gt;&lt;key app="EN" db-id="xpvtts5frwx0z4ezes8pswrxvez090rd0vss" timestamp="1562695366" guid="41891435-4a79-4c38-ad33-109f8d8b9a3e"&gt;4691&lt;/key&gt;&lt;/foreign-keys&gt;&lt;ref-type name="Report"&gt;27&lt;/ref-type&gt;&lt;contributors&gt;&lt;authors&gt;&lt;author&gt;WHO&lt;/author&gt;&lt;/authors&gt;&lt;/contributors&gt;&lt;titles&gt;&lt;title&gt;Global status report on alcohol and health 2018&lt;/title&gt;&lt;/titles&gt;&lt;dates&gt;&lt;year&gt;2018&lt;/year&gt;&lt;/dates&gt;&lt;pub-location&gt;Geneva&lt;/pub-location&gt;&lt;publisher&gt;World Health Organisation&lt;/publisher&gt;&lt;urls&gt;&lt;/urls&gt;&lt;electronic-resource-num&gt;https://www.who.int/substance_abuse/publications/global_alcohol_report/gsr_2018/en/&lt;/electronic-resource-num&gt;&lt;/record&gt;&lt;/Cite&gt;&lt;/EndNote&gt;</w:instrText>
      </w:r>
      <w:r w:rsidR="00B62DFA" w:rsidRPr="00552D93">
        <w:rPr>
          <w:rFonts w:ascii="Cambria" w:hAnsi="Cambria"/>
        </w:rPr>
        <w:fldChar w:fldCharType="separate"/>
      </w:r>
      <w:r w:rsidR="00B62DFA" w:rsidRPr="00552D93">
        <w:rPr>
          <w:rFonts w:ascii="Cambria" w:hAnsi="Cambria"/>
          <w:noProof/>
        </w:rPr>
        <w:t>(2018)</w:t>
      </w:r>
      <w:r w:rsidR="00B62DFA" w:rsidRPr="00552D93">
        <w:rPr>
          <w:rFonts w:ascii="Cambria" w:hAnsi="Cambria"/>
        </w:rPr>
        <w:fldChar w:fldCharType="end"/>
      </w:r>
      <w:r w:rsidR="00B62DFA" w:rsidRPr="00552D93">
        <w:rPr>
          <w:rFonts w:ascii="Cambria" w:hAnsi="Cambria"/>
        </w:rPr>
        <w:t xml:space="preserve"> </w:t>
      </w:r>
      <w:r w:rsidRPr="00552D93">
        <w:rPr>
          <w:rFonts w:ascii="Cambria" w:hAnsi="Cambria"/>
        </w:rPr>
        <w:t xml:space="preserve">report where a majority of the population </w:t>
      </w:r>
      <w:r w:rsidR="0095496C" w:rsidRPr="00552D93">
        <w:rPr>
          <w:rFonts w:ascii="Cambria" w:hAnsi="Cambria"/>
        </w:rPr>
        <w:t xml:space="preserve">is </w:t>
      </w:r>
      <w:r w:rsidRPr="00552D93">
        <w:rPr>
          <w:rFonts w:ascii="Cambria" w:hAnsi="Cambria"/>
        </w:rPr>
        <w:t>currently consuming alcohol.</w:t>
      </w:r>
      <w:r w:rsidR="00297275" w:rsidRPr="00552D93">
        <w:rPr>
          <w:rFonts w:ascii="Cambria" w:hAnsi="Cambria"/>
        </w:rPr>
        <w:t xml:space="preserve"> </w:t>
      </w:r>
      <w:r w:rsidRPr="00552D93">
        <w:rPr>
          <w:rFonts w:ascii="Cambria" w:hAnsi="Cambria"/>
        </w:rPr>
        <w:t xml:space="preserve"> </w:t>
      </w:r>
      <w:r w:rsidR="007D2724" w:rsidRPr="00552D93">
        <w:rPr>
          <w:rFonts w:ascii="Cambria" w:eastAsia="Times New Roman" w:hAnsi="Cambria" w:cs="Times New Roman"/>
          <w:bCs/>
          <w:lang w:eastAsia="en-GB"/>
        </w:rPr>
        <w:t xml:space="preserve">Table 1 shows the demographic </w:t>
      </w:r>
      <w:r w:rsidR="00BE4129" w:rsidRPr="00552D93">
        <w:rPr>
          <w:rFonts w:ascii="Cambria" w:eastAsia="Times New Roman" w:hAnsi="Cambria" w:cs="Times New Roman"/>
          <w:bCs/>
          <w:lang w:eastAsia="en-GB"/>
        </w:rPr>
        <w:t>characteristics of</w:t>
      </w:r>
      <w:r w:rsidR="00115E62" w:rsidRPr="00552D93">
        <w:rPr>
          <w:rFonts w:ascii="Cambria" w:eastAsia="Times New Roman" w:hAnsi="Cambria" w:cs="Times New Roman"/>
          <w:bCs/>
          <w:lang w:eastAsia="en-GB"/>
        </w:rPr>
        <w:t xml:space="preserve"> the </w:t>
      </w:r>
      <w:r w:rsidR="00AE565D" w:rsidRPr="00552D93">
        <w:rPr>
          <w:rFonts w:ascii="Cambria" w:eastAsia="Times New Roman" w:hAnsi="Cambria" w:cs="Times New Roman"/>
          <w:bCs/>
          <w:lang w:eastAsia="en-GB"/>
        </w:rPr>
        <w:t xml:space="preserve">final sample of </w:t>
      </w:r>
      <w:r w:rsidR="0095496C" w:rsidRPr="00552D93">
        <w:rPr>
          <w:rFonts w:ascii="Cambria" w:eastAsia="Times New Roman" w:hAnsi="Cambria" w:cs="Times New Roman"/>
          <w:bCs/>
          <w:lang w:eastAsia="en-GB"/>
        </w:rPr>
        <w:t>61,043</w:t>
      </w:r>
      <w:r w:rsidR="007D2724" w:rsidRPr="00552D93">
        <w:rPr>
          <w:rFonts w:ascii="Cambria" w:eastAsia="Times New Roman" w:hAnsi="Cambria" w:cs="Times New Roman"/>
          <w:bCs/>
          <w:lang w:eastAsia="en-GB"/>
        </w:rPr>
        <w:t xml:space="preserve"> respondents</w:t>
      </w:r>
      <w:r w:rsidR="00BE4129" w:rsidRPr="00552D93">
        <w:rPr>
          <w:rFonts w:ascii="Cambria" w:eastAsia="Times New Roman" w:hAnsi="Cambria" w:cs="Times New Roman"/>
          <w:bCs/>
          <w:lang w:eastAsia="en-GB"/>
        </w:rPr>
        <w:t xml:space="preserve"> (</w:t>
      </w:r>
      <w:r w:rsidR="00563FFC" w:rsidRPr="00552D93">
        <w:rPr>
          <w:rFonts w:ascii="Cambria" w:eastAsia="Times New Roman" w:hAnsi="Cambria" w:cs="Times New Roman"/>
          <w:bCs/>
          <w:lang w:eastAsia="en-GB"/>
        </w:rPr>
        <w:t>63.7</w:t>
      </w:r>
      <w:r w:rsidR="00BE4129" w:rsidRPr="00552D93">
        <w:rPr>
          <w:rFonts w:ascii="Cambria" w:eastAsia="Times New Roman" w:hAnsi="Cambria" w:cs="Times New Roman"/>
          <w:bCs/>
          <w:lang w:eastAsia="en-GB"/>
        </w:rPr>
        <w:t xml:space="preserve">% male; mean age = </w:t>
      </w:r>
      <w:r w:rsidR="008549C8" w:rsidRPr="00552D93">
        <w:rPr>
          <w:rFonts w:ascii="Cambria" w:eastAsia="Times New Roman" w:hAnsi="Cambria" w:cs="Times New Roman"/>
          <w:bCs/>
          <w:lang w:eastAsia="en-GB"/>
        </w:rPr>
        <w:t>27.6</w:t>
      </w:r>
      <w:r w:rsidR="00563FFC" w:rsidRPr="00552D93">
        <w:rPr>
          <w:rFonts w:ascii="Cambria" w:eastAsia="Times New Roman" w:hAnsi="Cambria" w:cs="Times New Roman"/>
          <w:bCs/>
          <w:lang w:eastAsia="en-GB"/>
        </w:rPr>
        <w:t>9</w:t>
      </w:r>
      <w:r w:rsidR="00BE4129" w:rsidRPr="00552D93">
        <w:rPr>
          <w:rFonts w:ascii="Cambria" w:eastAsia="Times New Roman" w:hAnsi="Cambria" w:cs="Times New Roman"/>
          <w:bCs/>
          <w:lang w:eastAsia="en-GB"/>
        </w:rPr>
        <w:t>)</w:t>
      </w:r>
      <w:r w:rsidR="00F65875" w:rsidRPr="00552D93">
        <w:rPr>
          <w:rFonts w:ascii="Cambria" w:eastAsia="Times New Roman" w:hAnsi="Cambria" w:cs="Times New Roman"/>
          <w:bCs/>
          <w:lang w:eastAsia="en-GB"/>
        </w:rPr>
        <w:t xml:space="preserve">. </w:t>
      </w:r>
      <w:r w:rsidR="007D2724" w:rsidRPr="00552D93">
        <w:rPr>
          <w:rFonts w:ascii="Cambria" w:eastAsia="Times New Roman" w:hAnsi="Cambria" w:cs="Times New Roman"/>
          <w:bCs/>
          <w:lang w:eastAsia="en-GB"/>
        </w:rPr>
        <w:t>Median AUDIT score in the sample was 8</w:t>
      </w:r>
      <w:r w:rsidR="00857D36" w:rsidRPr="00552D93">
        <w:rPr>
          <w:rFonts w:ascii="Cambria" w:eastAsia="Times New Roman" w:hAnsi="Cambria" w:cs="Times New Roman"/>
          <w:bCs/>
          <w:lang w:eastAsia="en-GB"/>
        </w:rPr>
        <w:t xml:space="preserve"> (</w:t>
      </w:r>
      <w:r w:rsidR="006A6CF3" w:rsidRPr="00552D93">
        <w:rPr>
          <w:rFonts w:ascii="Cambria" w:eastAsia="Times New Roman" w:hAnsi="Cambria" w:cs="Times New Roman"/>
          <w:bCs/>
          <w:lang w:eastAsia="en-GB"/>
        </w:rPr>
        <w:t xml:space="preserve">interquartile range [IQR]: </w:t>
      </w:r>
      <w:r w:rsidR="00857D36" w:rsidRPr="00552D93">
        <w:rPr>
          <w:rFonts w:ascii="Cambria" w:eastAsia="Times New Roman" w:hAnsi="Cambria" w:cs="Times New Roman"/>
          <w:bCs/>
          <w:lang w:eastAsia="en-GB"/>
        </w:rPr>
        <w:t xml:space="preserve">5-12) </w:t>
      </w:r>
      <w:r w:rsidR="007D2724" w:rsidRPr="00552D93">
        <w:rPr>
          <w:rFonts w:ascii="Cambria" w:eastAsia="Times New Roman" w:hAnsi="Cambria" w:cs="Times New Roman"/>
          <w:bCs/>
          <w:lang w:eastAsia="en-GB"/>
        </w:rPr>
        <w:t xml:space="preserve">and this </w:t>
      </w:r>
      <w:r w:rsidR="00F65875" w:rsidRPr="00552D93">
        <w:rPr>
          <w:rFonts w:ascii="Cambria" w:eastAsia="Times New Roman" w:hAnsi="Cambria" w:cs="Times New Roman"/>
          <w:bCs/>
          <w:lang w:eastAsia="en-GB"/>
        </w:rPr>
        <w:t>varied between countries from 11</w:t>
      </w:r>
      <w:r w:rsidR="00857D36" w:rsidRPr="00552D93">
        <w:rPr>
          <w:rFonts w:ascii="Cambria" w:eastAsia="Times New Roman" w:hAnsi="Cambria" w:cs="Times New Roman"/>
          <w:bCs/>
          <w:lang w:eastAsia="en-GB"/>
        </w:rPr>
        <w:t xml:space="preserve"> (</w:t>
      </w:r>
      <w:r w:rsidR="006A6CF3" w:rsidRPr="00552D93">
        <w:rPr>
          <w:rFonts w:ascii="Cambria" w:eastAsia="Times New Roman" w:hAnsi="Cambria" w:cs="Times New Roman"/>
          <w:bCs/>
          <w:lang w:eastAsia="en-GB"/>
        </w:rPr>
        <w:t xml:space="preserve">IQR: </w:t>
      </w:r>
      <w:r w:rsidR="00857D36" w:rsidRPr="00552D93">
        <w:rPr>
          <w:rFonts w:ascii="Cambria" w:eastAsia="Times New Roman" w:hAnsi="Cambria" w:cs="Times New Roman"/>
          <w:bCs/>
          <w:lang w:eastAsia="en-GB"/>
        </w:rPr>
        <w:t>8-16)</w:t>
      </w:r>
      <w:r w:rsidR="007D2724" w:rsidRPr="00552D93">
        <w:rPr>
          <w:rFonts w:ascii="Cambria" w:eastAsia="Times New Roman" w:hAnsi="Cambria" w:cs="Times New Roman"/>
          <w:bCs/>
          <w:lang w:eastAsia="en-GB"/>
        </w:rPr>
        <w:t xml:space="preserve"> in the Republic of Ireland to 6 in Portugal</w:t>
      </w:r>
      <w:r w:rsidR="00857D36" w:rsidRPr="00552D93">
        <w:rPr>
          <w:rFonts w:ascii="Cambria" w:eastAsia="Times New Roman" w:hAnsi="Cambria" w:cs="Times New Roman"/>
          <w:bCs/>
          <w:lang w:eastAsia="en-GB"/>
        </w:rPr>
        <w:t xml:space="preserve"> (</w:t>
      </w:r>
      <w:r w:rsidR="006A6CF3" w:rsidRPr="00552D93">
        <w:rPr>
          <w:rFonts w:ascii="Cambria" w:eastAsia="Times New Roman" w:hAnsi="Cambria" w:cs="Times New Roman"/>
          <w:bCs/>
          <w:lang w:eastAsia="en-GB"/>
        </w:rPr>
        <w:t xml:space="preserve">IQR: </w:t>
      </w:r>
      <w:r w:rsidR="00F65875" w:rsidRPr="00552D93">
        <w:rPr>
          <w:rFonts w:ascii="Cambria" w:eastAsia="Times New Roman" w:hAnsi="Cambria" w:cs="Times New Roman"/>
          <w:bCs/>
          <w:lang w:eastAsia="en-GB"/>
        </w:rPr>
        <w:t>4-9</w:t>
      </w:r>
      <w:r w:rsidR="00857D36" w:rsidRPr="00552D93">
        <w:rPr>
          <w:rFonts w:ascii="Cambria" w:eastAsia="Times New Roman" w:hAnsi="Cambria" w:cs="Times New Roman"/>
          <w:bCs/>
          <w:lang w:eastAsia="en-GB"/>
        </w:rPr>
        <w:t>)</w:t>
      </w:r>
      <w:r w:rsidR="007D2724"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r w:rsidR="006A6CF3" w:rsidRPr="00552D93">
        <w:rPr>
          <w:rFonts w:ascii="Cambria" w:eastAsia="Times New Roman" w:hAnsi="Cambria" w:cs="Times New Roman"/>
          <w:bCs/>
          <w:lang w:eastAsia="en-GB"/>
        </w:rPr>
        <w:t xml:space="preserve">Of the whole </w:t>
      </w:r>
      <w:r w:rsidR="00F65875" w:rsidRPr="00552D93">
        <w:rPr>
          <w:rFonts w:ascii="Cambria" w:eastAsia="Times New Roman" w:hAnsi="Cambria" w:cs="Times New Roman"/>
          <w:bCs/>
          <w:lang w:eastAsia="en-GB"/>
        </w:rPr>
        <w:t>sample, 45.2</w:t>
      </w:r>
      <w:r w:rsidR="003E6CB0" w:rsidRPr="00552D93">
        <w:rPr>
          <w:rFonts w:ascii="Cambria" w:eastAsia="Times New Roman" w:hAnsi="Cambria" w:cs="Times New Roman"/>
          <w:bCs/>
          <w:lang w:eastAsia="en-GB"/>
        </w:rPr>
        <w:t>% scored 0-7 on AUDIT and were categorised as low risk drinkers, 41.6% scored 8-15 and categorised as increasing risk, 7.8% scored 16-19 and ca</w:t>
      </w:r>
      <w:r w:rsidR="00F65875" w:rsidRPr="00552D93">
        <w:rPr>
          <w:rFonts w:ascii="Cambria" w:eastAsia="Times New Roman" w:hAnsi="Cambria" w:cs="Times New Roman"/>
          <w:bCs/>
          <w:lang w:eastAsia="en-GB"/>
        </w:rPr>
        <w:t xml:space="preserve">tegorised as higher risk and 5.4 scored 20+, </w:t>
      </w:r>
      <w:r w:rsidR="003E6CB0" w:rsidRPr="00552D93">
        <w:rPr>
          <w:rFonts w:ascii="Cambria" w:eastAsia="Times New Roman" w:hAnsi="Cambria" w:cs="Times New Roman"/>
          <w:bCs/>
          <w:lang w:eastAsia="en-GB"/>
        </w:rPr>
        <w:t>therefore in the possible dependence category.</w:t>
      </w:r>
      <w:r w:rsidR="00297275" w:rsidRPr="00552D93">
        <w:rPr>
          <w:rFonts w:ascii="Cambria" w:eastAsia="Times New Roman" w:hAnsi="Cambria" w:cs="Times New Roman"/>
          <w:bCs/>
          <w:lang w:eastAsia="en-GB"/>
        </w:rPr>
        <w:t xml:space="preserve"> </w:t>
      </w:r>
      <w:r w:rsidR="004C3FC5" w:rsidRPr="00552D93">
        <w:rPr>
          <w:rFonts w:ascii="Cambria" w:eastAsia="Times New Roman" w:hAnsi="Cambria" w:cs="Times New Roman"/>
          <w:bCs/>
          <w:lang w:eastAsia="en-GB"/>
        </w:rPr>
        <w:t xml:space="preserve">There were </w:t>
      </w:r>
      <w:r w:rsidR="00EA101F" w:rsidRPr="00552D93">
        <w:rPr>
          <w:rFonts w:ascii="Cambria" w:eastAsia="Times New Roman" w:hAnsi="Cambria" w:cs="Times New Roman"/>
          <w:bCs/>
          <w:lang w:eastAsia="en-GB"/>
        </w:rPr>
        <w:t xml:space="preserve">high proportions of </w:t>
      </w:r>
      <w:r w:rsidR="00473B79" w:rsidRPr="00552D93">
        <w:rPr>
          <w:rFonts w:ascii="Cambria" w:eastAsia="Times New Roman" w:hAnsi="Cambria" w:cs="Times New Roman"/>
          <w:bCs/>
          <w:lang w:eastAsia="en-GB"/>
        </w:rPr>
        <w:t xml:space="preserve">respondents </w:t>
      </w:r>
      <w:r w:rsidR="004C3FC5" w:rsidRPr="00552D93">
        <w:rPr>
          <w:rFonts w:ascii="Cambria" w:eastAsia="Times New Roman" w:hAnsi="Cambria" w:cs="Times New Roman"/>
          <w:bCs/>
          <w:lang w:eastAsia="en-GB"/>
        </w:rPr>
        <w:t>from</w:t>
      </w:r>
      <w:r w:rsidR="00BE4129" w:rsidRPr="00552D93">
        <w:rPr>
          <w:rFonts w:ascii="Cambria" w:eastAsia="Times New Roman" w:hAnsi="Cambria" w:cs="Times New Roman"/>
          <w:bCs/>
          <w:lang w:eastAsia="en-GB"/>
        </w:rPr>
        <w:t xml:space="preserve"> the</w:t>
      </w:r>
      <w:r w:rsidR="004C3FC5" w:rsidRPr="00552D93">
        <w:rPr>
          <w:rFonts w:ascii="Cambria" w:eastAsia="Times New Roman" w:hAnsi="Cambria" w:cs="Times New Roman"/>
          <w:bCs/>
          <w:lang w:eastAsia="en-GB"/>
        </w:rPr>
        <w:t xml:space="preserve"> Republic of Ireland </w:t>
      </w:r>
      <w:r w:rsidR="003E6CB0" w:rsidRPr="00552D93">
        <w:rPr>
          <w:rFonts w:ascii="Cambria" w:eastAsia="Times New Roman" w:hAnsi="Cambria" w:cs="Times New Roman"/>
          <w:bCs/>
          <w:lang w:eastAsia="en-GB"/>
        </w:rPr>
        <w:t xml:space="preserve">(IE) </w:t>
      </w:r>
      <w:r w:rsidR="004C3FC5" w:rsidRPr="00552D93">
        <w:rPr>
          <w:rFonts w:ascii="Cambria" w:eastAsia="Times New Roman" w:hAnsi="Cambria" w:cs="Times New Roman"/>
          <w:bCs/>
          <w:lang w:eastAsia="en-GB"/>
        </w:rPr>
        <w:t xml:space="preserve">and </w:t>
      </w:r>
      <w:r w:rsidR="00BE4129" w:rsidRPr="00552D93">
        <w:rPr>
          <w:rFonts w:ascii="Cambria" w:eastAsia="Times New Roman" w:hAnsi="Cambria" w:cs="Times New Roman"/>
          <w:bCs/>
          <w:lang w:eastAsia="en-GB"/>
        </w:rPr>
        <w:t xml:space="preserve">the </w:t>
      </w:r>
      <w:r w:rsidR="004C3FC5" w:rsidRPr="00552D93">
        <w:rPr>
          <w:rFonts w:ascii="Cambria" w:eastAsia="Times New Roman" w:hAnsi="Cambria" w:cs="Times New Roman"/>
          <w:bCs/>
          <w:lang w:eastAsia="en-GB"/>
        </w:rPr>
        <w:t>Netherlands</w:t>
      </w:r>
      <w:r w:rsidR="003E6CB0" w:rsidRPr="00552D93">
        <w:rPr>
          <w:rFonts w:ascii="Cambria" w:eastAsia="Times New Roman" w:hAnsi="Cambria" w:cs="Times New Roman"/>
          <w:bCs/>
          <w:lang w:eastAsia="en-GB"/>
        </w:rPr>
        <w:t xml:space="preserve"> (NL)</w:t>
      </w:r>
      <w:r w:rsidR="004C3FC5" w:rsidRPr="00552D93">
        <w:rPr>
          <w:rFonts w:ascii="Cambria" w:eastAsia="Times New Roman" w:hAnsi="Cambria" w:cs="Times New Roman"/>
          <w:bCs/>
          <w:lang w:eastAsia="en-GB"/>
        </w:rPr>
        <w:t xml:space="preserve"> </w:t>
      </w:r>
      <w:r w:rsidR="00BE4129" w:rsidRPr="00552D93">
        <w:rPr>
          <w:rFonts w:ascii="Cambria" w:eastAsia="Times New Roman" w:hAnsi="Cambria" w:cs="Times New Roman"/>
          <w:bCs/>
          <w:lang w:eastAsia="en-GB"/>
        </w:rPr>
        <w:t>who were at</w:t>
      </w:r>
      <w:r w:rsidR="004C3FC5" w:rsidRPr="00552D93">
        <w:rPr>
          <w:rFonts w:ascii="Cambria" w:eastAsia="Times New Roman" w:hAnsi="Cambria" w:cs="Times New Roman"/>
          <w:bCs/>
          <w:lang w:eastAsia="en-GB"/>
        </w:rPr>
        <w:t xml:space="preserve"> </w:t>
      </w:r>
      <w:r w:rsidR="00BE4129" w:rsidRPr="00552D93">
        <w:rPr>
          <w:rFonts w:ascii="Cambria" w:eastAsia="Times New Roman" w:hAnsi="Cambria" w:cs="Times New Roman"/>
          <w:bCs/>
          <w:lang w:eastAsia="en-GB"/>
        </w:rPr>
        <w:t xml:space="preserve">increased </w:t>
      </w:r>
      <w:r w:rsidR="006A6CF3" w:rsidRPr="00552D93">
        <w:rPr>
          <w:rFonts w:ascii="Cambria" w:eastAsia="Times New Roman" w:hAnsi="Cambria" w:cs="Times New Roman"/>
          <w:bCs/>
          <w:lang w:eastAsia="en-GB"/>
        </w:rPr>
        <w:t xml:space="preserve">risk </w:t>
      </w:r>
      <w:r w:rsidR="00EC0AC4" w:rsidRPr="00552D93">
        <w:rPr>
          <w:rFonts w:ascii="Cambria" w:eastAsia="Times New Roman" w:hAnsi="Cambria" w:cs="Times New Roman"/>
          <w:bCs/>
          <w:lang w:eastAsia="en-GB"/>
        </w:rPr>
        <w:t>(8-15</w:t>
      </w:r>
      <w:r w:rsidR="00F65875" w:rsidRPr="00552D93">
        <w:rPr>
          <w:rFonts w:ascii="Cambria" w:eastAsia="Times New Roman" w:hAnsi="Cambria" w:cs="Times New Roman"/>
          <w:bCs/>
          <w:lang w:eastAsia="en-GB"/>
        </w:rPr>
        <w:t>; IE =47.80%; NL= 50.20</w:t>
      </w:r>
      <w:r w:rsidR="003E6CB0" w:rsidRPr="00552D93">
        <w:rPr>
          <w:rFonts w:ascii="Cambria" w:eastAsia="Times New Roman" w:hAnsi="Cambria" w:cs="Times New Roman"/>
          <w:bCs/>
          <w:lang w:eastAsia="en-GB"/>
        </w:rPr>
        <w:t>%</w:t>
      </w:r>
      <w:r w:rsidR="00EC0AC4" w:rsidRPr="00552D93">
        <w:rPr>
          <w:rFonts w:ascii="Cambria" w:eastAsia="Times New Roman" w:hAnsi="Cambria" w:cs="Times New Roman"/>
          <w:bCs/>
          <w:lang w:eastAsia="en-GB"/>
        </w:rPr>
        <w:t xml:space="preserve">) </w:t>
      </w:r>
      <w:r w:rsidR="006A6CF3" w:rsidRPr="00552D93">
        <w:rPr>
          <w:rFonts w:ascii="Cambria" w:eastAsia="Times New Roman" w:hAnsi="Cambria" w:cs="Times New Roman"/>
          <w:bCs/>
          <w:lang w:eastAsia="en-GB"/>
        </w:rPr>
        <w:t xml:space="preserve">or </w:t>
      </w:r>
      <w:r w:rsidR="004C3FC5" w:rsidRPr="00552D93">
        <w:rPr>
          <w:rFonts w:ascii="Cambria" w:eastAsia="Times New Roman" w:hAnsi="Cambria" w:cs="Times New Roman"/>
          <w:bCs/>
          <w:lang w:eastAsia="en-GB"/>
        </w:rPr>
        <w:t>high risk</w:t>
      </w:r>
      <w:r w:rsidR="00267027" w:rsidRPr="00552D93">
        <w:rPr>
          <w:rFonts w:ascii="Cambria" w:eastAsia="Times New Roman" w:hAnsi="Cambria" w:cs="Times New Roman"/>
          <w:bCs/>
          <w:lang w:eastAsia="en-GB"/>
        </w:rPr>
        <w:t xml:space="preserve"> (16+</w:t>
      </w:r>
      <w:r w:rsidR="003E6CB0" w:rsidRPr="00552D93">
        <w:rPr>
          <w:rFonts w:ascii="Cambria" w:eastAsia="Times New Roman" w:hAnsi="Cambria" w:cs="Times New Roman"/>
          <w:bCs/>
          <w:lang w:eastAsia="en-GB"/>
        </w:rPr>
        <w:t xml:space="preserve"> </w:t>
      </w:r>
      <w:r w:rsidR="00A73C17" w:rsidRPr="00552D93">
        <w:rPr>
          <w:rFonts w:ascii="Cambria" w:eastAsia="Times New Roman" w:hAnsi="Cambria" w:cs="Times New Roman"/>
          <w:bCs/>
          <w:lang w:eastAsia="en-GB"/>
        </w:rPr>
        <w:t xml:space="preserve">; </w:t>
      </w:r>
      <w:r w:rsidR="00F65875" w:rsidRPr="00552D93">
        <w:rPr>
          <w:rFonts w:ascii="Cambria" w:eastAsia="Times New Roman" w:hAnsi="Cambria" w:cs="Times New Roman"/>
          <w:bCs/>
          <w:lang w:eastAsia="en-GB"/>
        </w:rPr>
        <w:t>IE=15.5%; NL=10.7</w:t>
      </w:r>
      <w:r w:rsidR="00EC0AC4" w:rsidRPr="00552D93">
        <w:rPr>
          <w:rFonts w:ascii="Cambria" w:eastAsia="Times New Roman" w:hAnsi="Cambria" w:cs="Times New Roman"/>
          <w:bCs/>
          <w:lang w:eastAsia="en-GB"/>
        </w:rPr>
        <w:t>)</w:t>
      </w:r>
      <w:r w:rsidR="004C3FC5" w:rsidRPr="00552D93">
        <w:rPr>
          <w:rFonts w:ascii="Cambria" w:eastAsia="Times New Roman" w:hAnsi="Cambria" w:cs="Times New Roman"/>
          <w:bCs/>
          <w:lang w:eastAsia="en-GB"/>
        </w:rPr>
        <w:t xml:space="preserve"> </w:t>
      </w:r>
      <w:r w:rsidR="00BE4129" w:rsidRPr="00552D93">
        <w:rPr>
          <w:rFonts w:ascii="Cambria" w:eastAsia="Times New Roman" w:hAnsi="Cambria" w:cs="Times New Roman"/>
          <w:bCs/>
          <w:lang w:eastAsia="en-GB"/>
        </w:rPr>
        <w:t>for alcohol use disorder</w:t>
      </w:r>
      <w:r w:rsidR="004C3FC5"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r w:rsidR="007D2724" w:rsidRPr="00552D93">
        <w:rPr>
          <w:rFonts w:ascii="Cambria" w:eastAsia="Times New Roman" w:hAnsi="Cambria" w:cs="Times New Roman"/>
          <w:bCs/>
          <w:lang w:eastAsia="en-GB"/>
        </w:rPr>
        <w:t>Eighty-five percent of the sample reported</w:t>
      </w:r>
      <w:r w:rsidR="00B17BB5" w:rsidRPr="00552D93">
        <w:rPr>
          <w:rFonts w:ascii="Cambria" w:eastAsia="Times New Roman" w:hAnsi="Cambria" w:cs="Times New Roman"/>
          <w:bCs/>
          <w:lang w:eastAsia="en-GB"/>
        </w:rPr>
        <w:t xml:space="preserve"> </w:t>
      </w:r>
      <w:r w:rsidR="0083190C" w:rsidRPr="00552D93">
        <w:rPr>
          <w:rFonts w:ascii="Cambria" w:eastAsia="Times New Roman" w:hAnsi="Cambria" w:cs="Times New Roman"/>
          <w:bCs/>
          <w:lang w:eastAsia="en-GB"/>
        </w:rPr>
        <w:t>feeling</w:t>
      </w:r>
      <w:r w:rsidR="007D2724" w:rsidRPr="00552D93">
        <w:rPr>
          <w:rFonts w:ascii="Cambria" w:eastAsia="Times New Roman" w:hAnsi="Cambria" w:cs="Times New Roman"/>
          <w:bCs/>
          <w:lang w:eastAsia="en-GB"/>
        </w:rPr>
        <w:t xml:space="preserve"> the effects of alcohol</w:t>
      </w:r>
      <w:r w:rsidR="00F65875" w:rsidRPr="00552D93">
        <w:rPr>
          <w:rFonts w:ascii="Cambria" w:eastAsia="Times New Roman" w:hAnsi="Cambria" w:cs="Times New Roman"/>
          <w:bCs/>
          <w:lang w:eastAsia="en-GB"/>
        </w:rPr>
        <w:t xml:space="preserve"> at least monthly, 65.6</w:t>
      </w:r>
      <w:r w:rsidR="001E25BD" w:rsidRPr="00552D93">
        <w:rPr>
          <w:rFonts w:ascii="Cambria" w:eastAsia="Times New Roman" w:hAnsi="Cambria" w:cs="Times New Roman"/>
          <w:bCs/>
          <w:lang w:eastAsia="en-GB"/>
        </w:rPr>
        <w:t>%</w:t>
      </w:r>
      <w:r w:rsidR="007D2724" w:rsidRPr="00552D93">
        <w:rPr>
          <w:rFonts w:ascii="Cambria" w:eastAsia="Times New Roman" w:hAnsi="Cambria" w:cs="Times New Roman"/>
          <w:bCs/>
          <w:lang w:eastAsia="en-GB"/>
        </w:rPr>
        <w:t xml:space="preserve"> reported </w:t>
      </w:r>
      <w:r w:rsidR="0083190C" w:rsidRPr="00552D93">
        <w:rPr>
          <w:rFonts w:ascii="Cambria" w:eastAsia="Times New Roman" w:hAnsi="Cambria" w:cs="Times New Roman"/>
          <w:bCs/>
          <w:lang w:eastAsia="en-GB"/>
        </w:rPr>
        <w:t xml:space="preserve">becoming as </w:t>
      </w:r>
      <w:r w:rsidR="00B17BB5" w:rsidRPr="00552D93">
        <w:rPr>
          <w:rFonts w:ascii="Cambria" w:eastAsia="Times New Roman" w:hAnsi="Cambria" w:cs="Times New Roman"/>
          <w:bCs/>
          <w:lang w:eastAsia="en-GB"/>
        </w:rPr>
        <w:t>drunk</w:t>
      </w:r>
      <w:r w:rsidR="009552C3" w:rsidRPr="00552D93">
        <w:rPr>
          <w:rFonts w:ascii="Cambria" w:eastAsia="Times New Roman" w:hAnsi="Cambria" w:cs="Times New Roman"/>
          <w:bCs/>
          <w:lang w:eastAsia="en-GB"/>
        </w:rPr>
        <w:t xml:space="preserve"> as they would like to be </w:t>
      </w:r>
      <w:r w:rsidR="007D2724" w:rsidRPr="00552D93">
        <w:rPr>
          <w:rFonts w:ascii="Cambria" w:eastAsia="Times New Roman" w:hAnsi="Cambria" w:cs="Times New Roman"/>
          <w:bCs/>
          <w:lang w:eastAsia="en-GB"/>
        </w:rPr>
        <w:t>at</w:t>
      </w:r>
      <w:r w:rsidR="00B17BB5" w:rsidRPr="00552D93">
        <w:rPr>
          <w:rFonts w:ascii="Cambria" w:eastAsia="Times New Roman" w:hAnsi="Cambria" w:cs="Times New Roman"/>
          <w:bCs/>
          <w:lang w:eastAsia="en-GB"/>
        </w:rPr>
        <w:t xml:space="preserve"> least monthly, </w:t>
      </w:r>
      <w:r w:rsidR="00F65875" w:rsidRPr="00552D93">
        <w:rPr>
          <w:rFonts w:ascii="Cambria" w:eastAsia="Times New Roman" w:hAnsi="Cambria" w:cs="Times New Roman"/>
          <w:bCs/>
          <w:lang w:eastAsia="en-GB"/>
        </w:rPr>
        <w:t>and 20.3</w:t>
      </w:r>
      <w:r w:rsidR="001E25BD" w:rsidRPr="00552D93">
        <w:rPr>
          <w:rFonts w:ascii="Cambria" w:eastAsia="Times New Roman" w:hAnsi="Cambria" w:cs="Times New Roman"/>
          <w:bCs/>
          <w:lang w:eastAsia="en-GB"/>
        </w:rPr>
        <w:t>%</w:t>
      </w:r>
      <w:r w:rsidR="007D2724" w:rsidRPr="00552D93">
        <w:rPr>
          <w:rFonts w:ascii="Cambria" w:eastAsia="Times New Roman" w:hAnsi="Cambria" w:cs="Times New Roman"/>
          <w:bCs/>
          <w:lang w:eastAsia="en-GB"/>
        </w:rPr>
        <w:t xml:space="preserve"> reported </w:t>
      </w:r>
      <w:r w:rsidR="00EE157C" w:rsidRPr="00552D93">
        <w:rPr>
          <w:rFonts w:ascii="Cambria" w:eastAsia="Times New Roman" w:hAnsi="Cambria" w:cs="Times New Roman"/>
          <w:bCs/>
          <w:lang w:eastAsia="en-GB"/>
        </w:rPr>
        <w:t>reaching</w:t>
      </w:r>
      <w:r w:rsidR="007D2724" w:rsidRPr="00552D93">
        <w:rPr>
          <w:rFonts w:ascii="Cambria" w:eastAsia="Times New Roman" w:hAnsi="Cambria" w:cs="Times New Roman"/>
          <w:bCs/>
          <w:lang w:eastAsia="en-GB"/>
        </w:rPr>
        <w:t xml:space="preserve"> their tipping point at least monthly.</w:t>
      </w:r>
      <w:r w:rsidR="00297275" w:rsidRPr="00552D93">
        <w:rPr>
          <w:rFonts w:ascii="Cambria" w:eastAsia="Times New Roman" w:hAnsi="Cambria" w:cs="Times New Roman"/>
          <w:bCs/>
          <w:lang w:eastAsia="en-GB"/>
        </w:rPr>
        <w:t xml:space="preserve"> </w:t>
      </w:r>
      <w:r w:rsidR="00B17BB5" w:rsidRPr="00552D93">
        <w:rPr>
          <w:rFonts w:ascii="Cambria" w:eastAsia="Times New Roman" w:hAnsi="Cambria" w:cs="Times New Roman"/>
          <w:bCs/>
          <w:lang w:eastAsia="en-GB"/>
        </w:rPr>
        <w:t xml:space="preserve">Across all countries, </w:t>
      </w:r>
      <w:r w:rsidR="00AB43A9" w:rsidRPr="00552D93">
        <w:rPr>
          <w:rFonts w:ascii="Cambria" w:eastAsia="Times New Roman" w:hAnsi="Cambria" w:cs="Times New Roman"/>
          <w:bCs/>
          <w:lang w:eastAsia="en-GB"/>
        </w:rPr>
        <w:t>about 50% reported</w:t>
      </w:r>
      <w:r w:rsidR="00B17BB5" w:rsidRPr="00552D93">
        <w:rPr>
          <w:rFonts w:ascii="Cambria" w:eastAsia="Times New Roman" w:hAnsi="Cambria" w:cs="Times New Roman"/>
          <w:bCs/>
          <w:lang w:eastAsia="en-GB"/>
        </w:rPr>
        <w:t xml:space="preserve"> </w:t>
      </w:r>
      <w:r w:rsidR="0083190C" w:rsidRPr="00552D93">
        <w:rPr>
          <w:rFonts w:ascii="Cambria" w:eastAsia="Times New Roman" w:hAnsi="Cambria" w:cs="Times New Roman"/>
          <w:bCs/>
          <w:lang w:eastAsia="en-GB"/>
        </w:rPr>
        <w:t>feeling the</w:t>
      </w:r>
      <w:r w:rsidR="00B17BB5" w:rsidRPr="00552D93">
        <w:rPr>
          <w:rFonts w:ascii="Cambria" w:eastAsia="Times New Roman" w:hAnsi="Cambria" w:cs="Times New Roman"/>
          <w:bCs/>
          <w:lang w:eastAsia="en-GB"/>
        </w:rPr>
        <w:t xml:space="preserve"> effects </w:t>
      </w:r>
      <w:r w:rsidR="00AB43A9" w:rsidRPr="00552D93">
        <w:rPr>
          <w:rFonts w:ascii="Cambria" w:eastAsia="Times New Roman" w:hAnsi="Cambria" w:cs="Times New Roman"/>
          <w:bCs/>
          <w:lang w:eastAsia="en-GB"/>
        </w:rPr>
        <w:t>from alcohol</w:t>
      </w:r>
      <w:r w:rsidR="00B17BB5" w:rsidRPr="00552D93">
        <w:rPr>
          <w:rFonts w:ascii="Cambria" w:eastAsia="Times New Roman" w:hAnsi="Cambria" w:cs="Times New Roman"/>
          <w:bCs/>
          <w:lang w:eastAsia="en-GB"/>
        </w:rPr>
        <w:t xml:space="preserve"> at least monthly</w:t>
      </w:r>
      <w:r w:rsidR="00CD75BD" w:rsidRPr="00552D93">
        <w:rPr>
          <w:rFonts w:ascii="Cambria" w:eastAsia="Times New Roman" w:hAnsi="Cambria" w:cs="Times New Roman"/>
          <w:bCs/>
          <w:lang w:eastAsia="en-GB"/>
        </w:rPr>
        <w:t>.</w:t>
      </w:r>
      <w:r w:rsidR="00AB43A9" w:rsidRPr="00552D93">
        <w:rPr>
          <w:rFonts w:ascii="Cambria" w:eastAsia="Times New Roman" w:hAnsi="Cambria" w:cs="Times New Roman"/>
          <w:bCs/>
          <w:lang w:eastAsia="en-GB"/>
        </w:rPr>
        <w:t xml:space="preserve"> Over 25% of respondents from the Republic of Ireland, Brazil and Austria </w:t>
      </w:r>
      <w:r w:rsidR="00EE157C" w:rsidRPr="00552D93">
        <w:rPr>
          <w:rFonts w:ascii="Cambria" w:eastAsia="Times New Roman" w:hAnsi="Cambria" w:cs="Times New Roman"/>
          <w:bCs/>
          <w:lang w:eastAsia="en-GB"/>
        </w:rPr>
        <w:t>reached</w:t>
      </w:r>
      <w:r w:rsidR="00AB43A9" w:rsidRPr="00552D93">
        <w:rPr>
          <w:rFonts w:ascii="Cambria" w:eastAsia="Times New Roman" w:hAnsi="Cambria" w:cs="Times New Roman"/>
          <w:bCs/>
          <w:lang w:eastAsia="en-GB"/>
        </w:rPr>
        <w:t xml:space="preserve"> the tipping point</w:t>
      </w:r>
      <w:r w:rsidR="00B17BB5" w:rsidRPr="00552D93">
        <w:rPr>
          <w:rFonts w:ascii="Cambria" w:eastAsia="Times New Roman" w:hAnsi="Cambria" w:cs="Times New Roman"/>
          <w:bCs/>
          <w:lang w:eastAsia="en-GB"/>
        </w:rPr>
        <w:t xml:space="preserve"> at least monthly</w:t>
      </w:r>
      <w:r w:rsidR="00EA209D" w:rsidRPr="00552D93">
        <w:rPr>
          <w:rFonts w:ascii="Cambria" w:eastAsia="Times New Roman" w:hAnsi="Cambria" w:cs="Times New Roman"/>
          <w:bCs/>
          <w:lang w:eastAsia="en-GB"/>
        </w:rPr>
        <w:t xml:space="preserve">. </w:t>
      </w:r>
      <w:r w:rsidR="00AB43A9" w:rsidRPr="00552D93">
        <w:rPr>
          <w:rFonts w:ascii="Cambria" w:eastAsia="Times New Roman" w:hAnsi="Cambria" w:cs="Times New Roman"/>
          <w:bCs/>
          <w:lang w:eastAsia="en-GB"/>
        </w:rPr>
        <w:t>The highest frequencies for getting as drunk</w:t>
      </w:r>
      <w:r w:rsidR="009552C3" w:rsidRPr="00552D93">
        <w:rPr>
          <w:rFonts w:ascii="Cambria" w:eastAsia="Times New Roman" w:hAnsi="Cambria" w:cs="Times New Roman"/>
          <w:bCs/>
          <w:lang w:eastAsia="en-GB"/>
        </w:rPr>
        <w:t xml:space="preserve"> as they</w:t>
      </w:r>
      <w:r w:rsidR="00AB43A9" w:rsidRPr="00552D93">
        <w:rPr>
          <w:rFonts w:ascii="Cambria" w:eastAsia="Times New Roman" w:hAnsi="Cambria" w:cs="Times New Roman"/>
          <w:bCs/>
          <w:lang w:eastAsia="en-GB"/>
        </w:rPr>
        <w:t xml:space="preserve"> would like to be were noted in </w:t>
      </w:r>
      <w:r w:rsidR="00114657" w:rsidRPr="00552D93">
        <w:rPr>
          <w:rFonts w:ascii="Cambria" w:eastAsia="Times New Roman" w:hAnsi="Cambria" w:cs="Times New Roman"/>
          <w:bCs/>
          <w:lang w:eastAsia="en-GB"/>
        </w:rPr>
        <w:t xml:space="preserve">respondents from </w:t>
      </w:r>
      <w:r w:rsidR="009552C3" w:rsidRPr="00552D93">
        <w:rPr>
          <w:rFonts w:ascii="Cambria" w:eastAsia="Times New Roman" w:hAnsi="Cambria" w:cs="Times New Roman"/>
          <w:bCs/>
          <w:lang w:eastAsia="en-GB"/>
        </w:rPr>
        <w:t xml:space="preserve">the </w:t>
      </w:r>
      <w:r w:rsidR="00F65875" w:rsidRPr="00552D93">
        <w:rPr>
          <w:rFonts w:ascii="Cambria" w:eastAsia="Times New Roman" w:hAnsi="Cambria" w:cs="Times New Roman"/>
          <w:bCs/>
          <w:lang w:eastAsia="en-GB"/>
        </w:rPr>
        <w:lastRenderedPageBreak/>
        <w:t>Republic of Ireland (78.3</w:t>
      </w:r>
      <w:r w:rsidR="009552C3" w:rsidRPr="00552D93">
        <w:rPr>
          <w:rFonts w:ascii="Cambria" w:eastAsia="Times New Roman" w:hAnsi="Cambria" w:cs="Times New Roman"/>
          <w:bCs/>
          <w:lang w:eastAsia="en-GB"/>
        </w:rPr>
        <w:t>%), France (</w:t>
      </w:r>
      <w:r w:rsidR="00F65875" w:rsidRPr="00552D93">
        <w:rPr>
          <w:rFonts w:ascii="Cambria" w:eastAsia="Times New Roman" w:hAnsi="Cambria" w:cs="Times New Roman"/>
          <w:bCs/>
          <w:lang w:eastAsia="en-GB"/>
        </w:rPr>
        <w:t>71.3%), Austria (71.3</w:t>
      </w:r>
      <w:r w:rsidR="009552C3" w:rsidRPr="00552D93">
        <w:rPr>
          <w:rFonts w:ascii="Cambria" w:eastAsia="Times New Roman" w:hAnsi="Cambria" w:cs="Times New Roman"/>
          <w:bCs/>
          <w:lang w:eastAsia="en-GB"/>
        </w:rPr>
        <w:t>%), B</w:t>
      </w:r>
      <w:r w:rsidR="00AB43A9" w:rsidRPr="00552D93">
        <w:rPr>
          <w:rFonts w:ascii="Cambria" w:eastAsia="Times New Roman" w:hAnsi="Cambria" w:cs="Times New Roman"/>
          <w:bCs/>
          <w:lang w:eastAsia="en-GB"/>
        </w:rPr>
        <w:t>razil</w:t>
      </w:r>
      <w:r w:rsidR="00F65875" w:rsidRPr="00552D93">
        <w:rPr>
          <w:rFonts w:ascii="Cambria" w:eastAsia="Times New Roman" w:hAnsi="Cambria" w:cs="Times New Roman"/>
          <w:bCs/>
          <w:lang w:eastAsia="en-GB"/>
        </w:rPr>
        <w:t xml:space="preserve"> (67</w:t>
      </w:r>
      <w:r w:rsidR="009552C3" w:rsidRPr="00552D93">
        <w:rPr>
          <w:rFonts w:ascii="Cambria" w:eastAsia="Times New Roman" w:hAnsi="Cambria" w:cs="Times New Roman"/>
          <w:bCs/>
          <w:lang w:eastAsia="en-GB"/>
        </w:rPr>
        <w:t>.6%)</w:t>
      </w:r>
      <w:r w:rsidR="00AB43A9" w:rsidRPr="00552D93">
        <w:rPr>
          <w:rFonts w:ascii="Cambria" w:eastAsia="Times New Roman" w:hAnsi="Cambria" w:cs="Times New Roman"/>
          <w:bCs/>
          <w:lang w:eastAsia="en-GB"/>
        </w:rPr>
        <w:t xml:space="preserve">, </w:t>
      </w:r>
      <w:r w:rsidR="00F65875" w:rsidRPr="00552D93">
        <w:rPr>
          <w:rFonts w:ascii="Cambria" w:eastAsia="Times New Roman" w:hAnsi="Cambria" w:cs="Times New Roman"/>
          <w:bCs/>
          <w:lang w:eastAsia="en-GB"/>
        </w:rPr>
        <w:t>Germany (68.8%) and the UK (67.1</w:t>
      </w:r>
      <w:r w:rsidR="009552C3" w:rsidRPr="00552D93">
        <w:rPr>
          <w:rFonts w:ascii="Cambria" w:eastAsia="Times New Roman" w:hAnsi="Cambria" w:cs="Times New Roman"/>
          <w:bCs/>
          <w:lang w:eastAsia="en-GB"/>
        </w:rPr>
        <w:t>%)</w:t>
      </w:r>
      <w:r w:rsidR="00C434D5" w:rsidRPr="00552D93">
        <w:rPr>
          <w:rFonts w:ascii="Cambria" w:eastAsia="Times New Roman" w:hAnsi="Cambria" w:cs="Times New Roman"/>
          <w:bCs/>
          <w:lang w:eastAsia="en-GB"/>
        </w:rPr>
        <w:t xml:space="preserve"> </w:t>
      </w:r>
      <w:r w:rsidR="00AB43A9" w:rsidRPr="00552D93">
        <w:rPr>
          <w:rFonts w:ascii="Cambria" w:eastAsia="Times New Roman" w:hAnsi="Cambria" w:cs="Times New Roman"/>
          <w:bCs/>
          <w:lang w:eastAsia="en-GB"/>
        </w:rPr>
        <w:t>with over 2/3 of respondents from these countries reporting reaching this point at least monthly.</w:t>
      </w:r>
      <w:r w:rsidR="00297275" w:rsidRPr="00552D93">
        <w:rPr>
          <w:rFonts w:ascii="Cambria" w:eastAsia="Times New Roman" w:hAnsi="Cambria" w:cs="Times New Roman"/>
          <w:bCs/>
          <w:lang w:eastAsia="en-GB"/>
        </w:rPr>
        <w:t xml:space="preserve"> </w:t>
      </w:r>
    </w:p>
    <w:p w14:paraId="20E8E3CF" w14:textId="77777777" w:rsidR="007D2724" w:rsidRPr="00552D93" w:rsidRDefault="007D2724" w:rsidP="006F7259">
      <w:pPr>
        <w:spacing w:before="100" w:beforeAutospacing="1" w:after="100" w:afterAutospacing="1" w:line="480" w:lineRule="auto"/>
        <w:jc w:val="center"/>
        <w:rPr>
          <w:rFonts w:ascii="Cambria" w:eastAsia="Times New Roman" w:hAnsi="Cambria" w:cs="Arial"/>
          <w:sz w:val="24"/>
          <w:szCs w:val="24"/>
          <w:lang w:eastAsia="en-GB"/>
        </w:rPr>
      </w:pPr>
      <w:r w:rsidRPr="00552D93">
        <w:rPr>
          <w:rFonts w:ascii="Cambria" w:eastAsia="Times New Roman" w:hAnsi="Cambria" w:cs="Times New Roman"/>
          <w:lang w:eastAsia="en-GB"/>
        </w:rPr>
        <w:t>[Insert Table 1]</w:t>
      </w:r>
    </w:p>
    <w:p w14:paraId="21784183" w14:textId="0B5D7C7C" w:rsidR="007D2724" w:rsidRPr="00552D93" w:rsidRDefault="00883572" w:rsidP="007D2724">
      <w:pPr>
        <w:spacing w:before="100" w:beforeAutospacing="1" w:after="100" w:afterAutospacing="1" w:line="480" w:lineRule="auto"/>
        <w:rPr>
          <w:rFonts w:ascii="Cambria" w:eastAsia="Times New Roman" w:hAnsi="Cambria" w:cs="Arial"/>
          <w:i/>
          <w:szCs w:val="24"/>
          <w:lang w:eastAsia="en-GB"/>
        </w:rPr>
      </w:pPr>
      <w:r w:rsidRPr="00552D93">
        <w:rPr>
          <w:rFonts w:ascii="Cambria" w:eastAsia="Times New Roman" w:hAnsi="Cambria" w:cs="Arial"/>
          <w:i/>
          <w:szCs w:val="24"/>
          <w:lang w:eastAsia="en-GB"/>
        </w:rPr>
        <w:t xml:space="preserve">Comparing the number of grams of </w:t>
      </w:r>
      <w:r w:rsidR="00883D7D" w:rsidRPr="00552D93">
        <w:rPr>
          <w:rFonts w:ascii="Cambria" w:eastAsia="Times New Roman" w:hAnsi="Cambria" w:cs="Arial"/>
          <w:i/>
          <w:szCs w:val="24"/>
          <w:lang w:eastAsia="en-GB"/>
        </w:rPr>
        <w:t xml:space="preserve">alcohol </w:t>
      </w:r>
      <w:r w:rsidR="007D2724" w:rsidRPr="00552D93">
        <w:rPr>
          <w:rFonts w:ascii="Cambria" w:eastAsia="Times New Roman" w:hAnsi="Cambria" w:cs="Arial"/>
          <w:i/>
          <w:szCs w:val="24"/>
          <w:lang w:eastAsia="en-GB"/>
        </w:rPr>
        <w:t>needed to reach each stage of intoxication</w:t>
      </w:r>
      <w:r w:rsidR="005C26C6" w:rsidRPr="00552D93">
        <w:rPr>
          <w:rFonts w:ascii="Cambria" w:eastAsia="Times New Roman" w:hAnsi="Cambria" w:cs="Arial"/>
          <w:i/>
          <w:szCs w:val="24"/>
          <w:lang w:eastAsia="en-GB"/>
        </w:rPr>
        <w:t xml:space="preserve"> between respondents from different countries </w:t>
      </w:r>
      <w:r w:rsidR="000C1463" w:rsidRPr="00552D93">
        <w:rPr>
          <w:rFonts w:ascii="Cambria" w:eastAsia="Times New Roman" w:hAnsi="Cambria" w:cs="Arial"/>
          <w:i/>
          <w:szCs w:val="24"/>
          <w:lang w:eastAsia="en-GB"/>
        </w:rPr>
        <w:t>with guidelines for low risk alcohol consumption</w:t>
      </w:r>
    </w:p>
    <w:p w14:paraId="0FEF3316" w14:textId="02CC94E8" w:rsidR="009721F5" w:rsidRPr="00552D93" w:rsidRDefault="009721F5" w:rsidP="007D2724">
      <w:pPr>
        <w:spacing w:before="100" w:beforeAutospacing="1" w:after="100" w:afterAutospacing="1" w:line="480" w:lineRule="auto"/>
        <w:rPr>
          <w:rFonts w:ascii="Cambria" w:eastAsia="Times New Roman" w:hAnsi="Cambria" w:cs="Arial"/>
          <w:szCs w:val="24"/>
          <w:lang w:eastAsia="en-GB"/>
        </w:rPr>
      </w:pPr>
      <w:r w:rsidRPr="00552D93">
        <w:rPr>
          <w:rFonts w:ascii="Cambria" w:eastAsia="Times New Roman" w:hAnsi="Cambria" w:cs="Arial"/>
          <w:szCs w:val="24"/>
          <w:lang w:eastAsia="en-GB"/>
        </w:rPr>
        <w:t>Figures 1-3</w:t>
      </w:r>
      <w:r w:rsidR="005C26C6" w:rsidRPr="00552D93">
        <w:rPr>
          <w:rFonts w:ascii="Cambria" w:eastAsia="Times New Roman" w:hAnsi="Cambria" w:cs="Arial"/>
          <w:szCs w:val="24"/>
          <w:lang w:eastAsia="en-GB"/>
        </w:rPr>
        <w:t xml:space="preserve"> compare</w:t>
      </w:r>
      <w:r w:rsidRPr="00552D93">
        <w:rPr>
          <w:rFonts w:ascii="Cambria" w:eastAsia="Times New Roman" w:hAnsi="Cambria" w:cs="Arial"/>
          <w:szCs w:val="24"/>
          <w:lang w:eastAsia="en-GB"/>
        </w:rPr>
        <w:t xml:space="preserve"> the</w:t>
      </w:r>
      <w:r w:rsidR="005C26C6" w:rsidRPr="00552D93">
        <w:rPr>
          <w:rFonts w:ascii="Cambria" w:eastAsia="Times New Roman" w:hAnsi="Cambria" w:cs="Arial"/>
          <w:szCs w:val="24"/>
          <w:lang w:eastAsia="en-GB"/>
        </w:rPr>
        <w:t xml:space="preserve"> grams of alcohol </w:t>
      </w:r>
      <w:r w:rsidR="00C33F45" w:rsidRPr="00552D93">
        <w:rPr>
          <w:rFonts w:ascii="Cambria" w:eastAsia="Times New Roman" w:hAnsi="Cambria" w:cs="Arial"/>
          <w:szCs w:val="24"/>
          <w:lang w:eastAsia="en-GB"/>
        </w:rPr>
        <w:t xml:space="preserve">needed </w:t>
      </w:r>
      <w:r w:rsidRPr="00552D93">
        <w:rPr>
          <w:rFonts w:ascii="Cambria" w:eastAsia="Times New Roman" w:hAnsi="Cambria" w:cs="Arial"/>
          <w:szCs w:val="24"/>
          <w:lang w:eastAsia="en-GB"/>
        </w:rPr>
        <w:t xml:space="preserve">to </w:t>
      </w:r>
      <w:r w:rsidR="00C33F45" w:rsidRPr="00552D93">
        <w:rPr>
          <w:rFonts w:ascii="Cambria" w:eastAsia="Times New Roman" w:hAnsi="Cambria" w:cs="Arial"/>
          <w:szCs w:val="24"/>
          <w:lang w:eastAsia="en-GB"/>
        </w:rPr>
        <w:t>reach</w:t>
      </w:r>
      <w:r w:rsidR="005C26C6" w:rsidRPr="00552D93">
        <w:rPr>
          <w:rFonts w:ascii="Cambria" w:eastAsia="Times New Roman" w:hAnsi="Cambria" w:cs="Arial"/>
          <w:szCs w:val="24"/>
          <w:lang w:eastAsia="en-GB"/>
        </w:rPr>
        <w:t xml:space="preserve"> </w:t>
      </w:r>
      <w:r w:rsidR="007D2724" w:rsidRPr="00552D93">
        <w:rPr>
          <w:rFonts w:ascii="Cambria" w:eastAsia="Times New Roman" w:hAnsi="Cambria" w:cs="Arial"/>
          <w:szCs w:val="24"/>
          <w:lang w:eastAsia="en-GB"/>
        </w:rPr>
        <w:t>each stage of intoxication</w:t>
      </w:r>
      <w:r w:rsidRPr="00552D93">
        <w:rPr>
          <w:rFonts w:ascii="Cambria" w:eastAsia="Times New Roman" w:hAnsi="Cambria" w:cs="Arial"/>
          <w:szCs w:val="24"/>
          <w:lang w:eastAsia="en-GB"/>
        </w:rPr>
        <w:t xml:space="preserve"> by respondents’ gender and country</w:t>
      </w:r>
      <w:r w:rsidR="007D2724" w:rsidRPr="00552D93">
        <w:rPr>
          <w:rFonts w:ascii="Cambria" w:eastAsia="Times New Roman" w:hAnsi="Cambria" w:cs="Arial"/>
          <w:szCs w:val="24"/>
          <w:lang w:eastAsia="en-GB"/>
        </w:rPr>
        <w:t>.</w:t>
      </w:r>
      <w:r w:rsidR="00297275" w:rsidRPr="00552D93">
        <w:rPr>
          <w:rFonts w:ascii="Cambria" w:eastAsia="Times New Roman" w:hAnsi="Cambria" w:cs="Arial"/>
          <w:szCs w:val="24"/>
          <w:lang w:eastAsia="en-GB"/>
        </w:rPr>
        <w:t xml:space="preserve"> </w:t>
      </w:r>
      <w:r w:rsidR="007D2724" w:rsidRPr="00552D93">
        <w:rPr>
          <w:rFonts w:ascii="Cambria" w:eastAsia="Times New Roman" w:hAnsi="Cambria" w:cs="Arial"/>
          <w:szCs w:val="24"/>
          <w:lang w:eastAsia="en-GB"/>
        </w:rPr>
        <w:t xml:space="preserve">Respondents from </w:t>
      </w:r>
      <w:r w:rsidR="00341B7C" w:rsidRPr="00552D93">
        <w:rPr>
          <w:rFonts w:ascii="Cambria" w:eastAsia="Times New Roman" w:hAnsi="Cambria" w:cs="Arial"/>
          <w:szCs w:val="24"/>
          <w:lang w:eastAsia="en-GB"/>
        </w:rPr>
        <w:t>Denmark</w:t>
      </w:r>
      <w:r w:rsidR="00883572" w:rsidRPr="00552D93">
        <w:rPr>
          <w:rFonts w:ascii="Cambria" w:eastAsia="Times New Roman" w:hAnsi="Cambria" w:cs="Arial"/>
          <w:szCs w:val="24"/>
          <w:lang w:eastAsia="en-GB"/>
        </w:rPr>
        <w:t xml:space="preserve"> and </w:t>
      </w:r>
      <w:r w:rsidR="007D2724" w:rsidRPr="00552D93">
        <w:rPr>
          <w:rFonts w:ascii="Cambria" w:eastAsia="Times New Roman" w:hAnsi="Cambria" w:cs="Arial"/>
          <w:szCs w:val="24"/>
          <w:lang w:eastAsia="en-GB"/>
        </w:rPr>
        <w:t xml:space="preserve">the </w:t>
      </w:r>
      <w:r w:rsidR="004C3FC5" w:rsidRPr="00552D93">
        <w:rPr>
          <w:rFonts w:ascii="Cambria" w:eastAsia="Times New Roman" w:hAnsi="Cambria" w:cs="Arial"/>
          <w:szCs w:val="24"/>
          <w:lang w:eastAsia="en-GB"/>
        </w:rPr>
        <w:t>Netherlands</w:t>
      </w:r>
      <w:r w:rsidR="00883572" w:rsidRPr="00552D93">
        <w:rPr>
          <w:rFonts w:ascii="Cambria" w:eastAsia="Times New Roman" w:hAnsi="Cambria" w:cs="Arial"/>
          <w:szCs w:val="24"/>
          <w:lang w:eastAsia="en-GB"/>
        </w:rPr>
        <w:t xml:space="preserve"> needed comparatively high</w:t>
      </w:r>
      <w:r w:rsidR="00B34484" w:rsidRPr="00552D93">
        <w:rPr>
          <w:rFonts w:ascii="Cambria" w:eastAsia="Times New Roman" w:hAnsi="Cambria" w:cs="Arial"/>
          <w:szCs w:val="24"/>
          <w:lang w:eastAsia="en-GB"/>
        </w:rPr>
        <w:t>er</w:t>
      </w:r>
      <w:r w:rsidR="00883572" w:rsidRPr="00552D93">
        <w:rPr>
          <w:rFonts w:ascii="Cambria" w:eastAsia="Times New Roman" w:hAnsi="Cambria" w:cs="Arial"/>
          <w:szCs w:val="24"/>
          <w:lang w:eastAsia="en-GB"/>
        </w:rPr>
        <w:t xml:space="preserve"> average grams of alcohol </w:t>
      </w:r>
      <w:r w:rsidR="00C33F45" w:rsidRPr="00552D93">
        <w:rPr>
          <w:rFonts w:ascii="Cambria" w:eastAsia="Times New Roman" w:hAnsi="Cambria" w:cs="Arial"/>
          <w:szCs w:val="24"/>
          <w:lang w:eastAsia="en-GB"/>
        </w:rPr>
        <w:t xml:space="preserve">to reach </w:t>
      </w:r>
      <w:r w:rsidR="007D2724" w:rsidRPr="00552D93">
        <w:rPr>
          <w:rFonts w:ascii="Cambria" w:eastAsia="Times New Roman" w:hAnsi="Cambria" w:cs="Arial"/>
          <w:szCs w:val="24"/>
          <w:lang w:eastAsia="en-GB"/>
        </w:rPr>
        <w:t>each stage of intoxication</w:t>
      </w:r>
      <w:r w:rsidR="00D217E0" w:rsidRPr="00552D93">
        <w:rPr>
          <w:rFonts w:ascii="Cambria" w:eastAsia="Times New Roman" w:hAnsi="Cambria" w:cs="Arial"/>
          <w:szCs w:val="24"/>
          <w:lang w:eastAsia="en-GB"/>
        </w:rPr>
        <w:t xml:space="preserve">; by contrast respondents </w:t>
      </w:r>
      <w:r w:rsidR="007D2724" w:rsidRPr="00552D93">
        <w:rPr>
          <w:rFonts w:ascii="Cambria" w:eastAsia="Times New Roman" w:hAnsi="Cambria" w:cs="Arial"/>
          <w:szCs w:val="24"/>
          <w:lang w:eastAsia="en-GB"/>
        </w:rPr>
        <w:t xml:space="preserve">from </w:t>
      </w:r>
      <w:r w:rsidR="00320D99" w:rsidRPr="00552D93">
        <w:rPr>
          <w:rFonts w:ascii="Cambria" w:eastAsia="Times New Roman" w:hAnsi="Cambria" w:cs="Arial"/>
          <w:szCs w:val="24"/>
          <w:lang w:eastAsia="en-GB"/>
        </w:rPr>
        <w:t>Germany</w:t>
      </w:r>
      <w:r w:rsidR="007D2724" w:rsidRPr="00552D93">
        <w:rPr>
          <w:rFonts w:ascii="Cambria" w:eastAsia="Times New Roman" w:hAnsi="Cambria" w:cs="Arial"/>
          <w:szCs w:val="24"/>
          <w:lang w:eastAsia="en-GB"/>
        </w:rPr>
        <w:t xml:space="preserve"> and Austria </w:t>
      </w:r>
      <w:r w:rsidR="00D217E0" w:rsidRPr="00552D93">
        <w:rPr>
          <w:rFonts w:ascii="Cambria" w:eastAsia="Times New Roman" w:hAnsi="Cambria" w:cs="Arial"/>
          <w:szCs w:val="24"/>
          <w:lang w:eastAsia="en-GB"/>
        </w:rPr>
        <w:t xml:space="preserve">needed comparatively </w:t>
      </w:r>
      <w:r w:rsidR="00883572" w:rsidRPr="00552D93">
        <w:rPr>
          <w:rFonts w:ascii="Cambria" w:eastAsia="Times New Roman" w:hAnsi="Cambria" w:cs="Arial"/>
          <w:szCs w:val="24"/>
          <w:lang w:eastAsia="en-GB"/>
        </w:rPr>
        <w:t>lower average grams</w:t>
      </w:r>
      <w:r w:rsidR="00C33F45" w:rsidRPr="00552D93">
        <w:rPr>
          <w:rFonts w:ascii="Cambria" w:eastAsia="Times New Roman" w:hAnsi="Cambria" w:cs="Arial"/>
          <w:szCs w:val="24"/>
          <w:lang w:eastAsia="en-GB"/>
        </w:rPr>
        <w:t xml:space="preserve"> </w:t>
      </w:r>
      <w:r w:rsidR="00D217E0" w:rsidRPr="00552D93">
        <w:rPr>
          <w:rFonts w:ascii="Cambria" w:eastAsia="Times New Roman" w:hAnsi="Cambria" w:cs="Arial"/>
          <w:szCs w:val="24"/>
          <w:lang w:eastAsia="en-GB"/>
        </w:rPr>
        <w:t>of alcohol to reach each stage of intoxication</w:t>
      </w:r>
      <w:r w:rsidR="007D2724" w:rsidRPr="00552D93">
        <w:rPr>
          <w:rFonts w:ascii="Cambria" w:eastAsia="Times New Roman" w:hAnsi="Cambria" w:cs="Arial"/>
          <w:szCs w:val="24"/>
          <w:lang w:eastAsia="en-GB"/>
        </w:rPr>
        <w:t>.</w:t>
      </w:r>
      <w:r w:rsidR="00297275" w:rsidRPr="00552D93">
        <w:rPr>
          <w:rFonts w:ascii="Cambria" w:eastAsia="Times New Roman" w:hAnsi="Cambria" w:cs="Arial"/>
          <w:szCs w:val="24"/>
          <w:lang w:eastAsia="en-GB"/>
        </w:rPr>
        <w:t xml:space="preserve"> </w:t>
      </w:r>
      <w:r w:rsidR="003707CE" w:rsidRPr="00552D93">
        <w:rPr>
          <w:rFonts w:ascii="Cambria" w:eastAsia="Times New Roman" w:hAnsi="Cambria" w:cs="Arial"/>
          <w:szCs w:val="24"/>
          <w:lang w:eastAsia="en-GB"/>
        </w:rPr>
        <w:t>R</w:t>
      </w:r>
      <w:r w:rsidR="00B17BB5" w:rsidRPr="00552D93">
        <w:rPr>
          <w:rFonts w:ascii="Cambria" w:eastAsia="Times New Roman" w:hAnsi="Cambria" w:cs="Arial"/>
          <w:szCs w:val="24"/>
          <w:lang w:eastAsia="en-GB"/>
        </w:rPr>
        <w:t>espondents</w:t>
      </w:r>
      <w:r w:rsidR="003707CE" w:rsidRPr="00552D93">
        <w:rPr>
          <w:rFonts w:ascii="Cambria" w:eastAsia="Times New Roman" w:hAnsi="Cambria" w:cs="Arial"/>
          <w:szCs w:val="24"/>
          <w:lang w:eastAsia="en-GB"/>
        </w:rPr>
        <w:t xml:space="preserve"> from the Republic of Ireland</w:t>
      </w:r>
      <w:r w:rsidR="00B17BB5" w:rsidRPr="00552D93">
        <w:rPr>
          <w:rFonts w:ascii="Cambria" w:eastAsia="Times New Roman" w:hAnsi="Cambria" w:cs="Arial"/>
          <w:szCs w:val="24"/>
          <w:lang w:eastAsia="en-GB"/>
        </w:rPr>
        <w:t xml:space="preserve"> had the </w:t>
      </w:r>
      <w:r w:rsidR="005C26C6" w:rsidRPr="00552D93">
        <w:rPr>
          <w:rFonts w:ascii="Cambria" w:eastAsia="Times New Roman" w:hAnsi="Cambria" w:cs="Arial"/>
          <w:szCs w:val="24"/>
          <w:lang w:eastAsia="en-GB"/>
        </w:rPr>
        <w:t>highest median AUDIT score</w:t>
      </w:r>
      <w:r w:rsidR="00D217E0" w:rsidRPr="00552D93">
        <w:rPr>
          <w:rFonts w:ascii="Cambria" w:eastAsia="Times New Roman" w:hAnsi="Cambria" w:cs="Arial"/>
          <w:szCs w:val="24"/>
          <w:lang w:eastAsia="en-GB"/>
        </w:rPr>
        <w:t xml:space="preserve"> (see Table 1)</w:t>
      </w:r>
      <w:r w:rsidR="005C26C6" w:rsidRPr="00552D93">
        <w:rPr>
          <w:rFonts w:ascii="Cambria" w:eastAsia="Times New Roman" w:hAnsi="Cambria" w:cs="Arial"/>
          <w:szCs w:val="24"/>
          <w:lang w:eastAsia="en-GB"/>
        </w:rPr>
        <w:t xml:space="preserve">, </w:t>
      </w:r>
      <w:r w:rsidR="003707CE" w:rsidRPr="00552D93">
        <w:rPr>
          <w:rFonts w:ascii="Cambria" w:eastAsia="Times New Roman" w:hAnsi="Cambria" w:cs="Arial"/>
          <w:szCs w:val="24"/>
          <w:lang w:eastAsia="en-GB"/>
        </w:rPr>
        <w:t xml:space="preserve">and </w:t>
      </w:r>
      <w:r w:rsidR="00B17BB5" w:rsidRPr="00552D93">
        <w:rPr>
          <w:rFonts w:ascii="Cambria" w:eastAsia="Times New Roman" w:hAnsi="Cambria" w:cs="Arial"/>
          <w:szCs w:val="24"/>
          <w:lang w:eastAsia="en-GB"/>
        </w:rPr>
        <w:t xml:space="preserve">were one of </w:t>
      </w:r>
      <w:r w:rsidR="00E204C7" w:rsidRPr="00552D93">
        <w:rPr>
          <w:rFonts w:ascii="Cambria" w:eastAsia="Times New Roman" w:hAnsi="Cambria" w:cs="Arial"/>
          <w:szCs w:val="24"/>
          <w:lang w:eastAsia="en-GB"/>
        </w:rPr>
        <w:t>the top three in terms of the number of grams reported to reach the tipping point</w:t>
      </w:r>
      <w:r w:rsidR="00AB4387" w:rsidRPr="00552D93">
        <w:rPr>
          <w:rFonts w:ascii="Cambria" w:eastAsia="Times New Roman" w:hAnsi="Cambria" w:cs="Arial"/>
          <w:szCs w:val="24"/>
          <w:lang w:eastAsia="en-GB"/>
        </w:rPr>
        <w:t xml:space="preserve"> (Figure 3)</w:t>
      </w:r>
      <w:r w:rsidR="00E204C7" w:rsidRPr="00552D93">
        <w:rPr>
          <w:rFonts w:ascii="Cambria" w:eastAsia="Times New Roman" w:hAnsi="Cambria" w:cs="Arial"/>
          <w:szCs w:val="24"/>
          <w:lang w:eastAsia="en-GB"/>
        </w:rPr>
        <w:t>.</w:t>
      </w:r>
      <w:r w:rsidR="00297275" w:rsidRPr="00552D93">
        <w:rPr>
          <w:rFonts w:ascii="Cambria" w:eastAsia="Times New Roman" w:hAnsi="Cambria" w:cs="Arial"/>
          <w:szCs w:val="24"/>
          <w:lang w:eastAsia="en-GB"/>
        </w:rPr>
        <w:t xml:space="preserve"> </w:t>
      </w:r>
      <w:r w:rsidRPr="00552D93">
        <w:rPr>
          <w:rFonts w:ascii="Cambria" w:eastAsia="Times New Roman" w:hAnsi="Cambria" w:cs="Arial"/>
          <w:szCs w:val="24"/>
          <w:lang w:eastAsia="en-GB"/>
        </w:rPr>
        <w:t>Respondents</w:t>
      </w:r>
      <w:r w:rsidR="008E5818" w:rsidRPr="00552D93">
        <w:rPr>
          <w:rFonts w:ascii="Cambria" w:eastAsia="Times New Roman" w:hAnsi="Cambria" w:cs="Arial"/>
          <w:szCs w:val="24"/>
          <w:lang w:eastAsia="en-GB"/>
        </w:rPr>
        <w:t xml:space="preserve"> from Portugal, who had the lowest median AUDIT score and the </w:t>
      </w:r>
      <w:r w:rsidR="003707CE" w:rsidRPr="00552D93">
        <w:rPr>
          <w:rFonts w:ascii="Cambria" w:eastAsia="Times New Roman" w:hAnsi="Cambria" w:cs="Arial"/>
          <w:szCs w:val="24"/>
          <w:lang w:eastAsia="en-GB"/>
        </w:rPr>
        <w:t xml:space="preserve">largest </w:t>
      </w:r>
      <w:r w:rsidR="008E5818" w:rsidRPr="00552D93">
        <w:rPr>
          <w:rFonts w:ascii="Cambria" w:eastAsia="Times New Roman" w:hAnsi="Cambria" w:cs="Arial"/>
          <w:szCs w:val="24"/>
          <w:lang w:eastAsia="en-GB"/>
        </w:rPr>
        <w:t>p</w:t>
      </w:r>
      <w:r w:rsidR="0012196C" w:rsidRPr="00552D93">
        <w:rPr>
          <w:rFonts w:ascii="Cambria" w:eastAsia="Times New Roman" w:hAnsi="Cambria" w:cs="Arial"/>
          <w:szCs w:val="24"/>
          <w:lang w:eastAsia="en-GB"/>
        </w:rPr>
        <w:t xml:space="preserve">ercentage </w:t>
      </w:r>
      <w:r w:rsidR="008E5818" w:rsidRPr="00552D93">
        <w:rPr>
          <w:rFonts w:ascii="Cambria" w:eastAsia="Times New Roman" w:hAnsi="Cambria" w:cs="Arial"/>
          <w:szCs w:val="24"/>
          <w:lang w:eastAsia="en-GB"/>
        </w:rPr>
        <w:t>of people in the low risk AUDIT category</w:t>
      </w:r>
      <w:r w:rsidR="001B7D0E" w:rsidRPr="00552D93">
        <w:rPr>
          <w:rFonts w:ascii="Cambria" w:eastAsia="Times New Roman" w:hAnsi="Cambria" w:cs="Arial"/>
          <w:szCs w:val="24"/>
          <w:lang w:eastAsia="en-GB"/>
        </w:rPr>
        <w:t>,</w:t>
      </w:r>
      <w:r w:rsidR="008E5818" w:rsidRPr="00552D93">
        <w:rPr>
          <w:rFonts w:ascii="Cambria" w:eastAsia="Times New Roman" w:hAnsi="Cambria" w:cs="Arial"/>
          <w:szCs w:val="24"/>
          <w:lang w:eastAsia="en-GB"/>
        </w:rPr>
        <w:t xml:space="preserve"> </w:t>
      </w:r>
      <w:r w:rsidR="003707CE" w:rsidRPr="00552D93">
        <w:rPr>
          <w:rFonts w:ascii="Cambria" w:eastAsia="Times New Roman" w:hAnsi="Cambria" w:cs="Arial"/>
          <w:szCs w:val="24"/>
          <w:lang w:eastAsia="en-GB"/>
        </w:rPr>
        <w:t xml:space="preserve">reported </w:t>
      </w:r>
      <w:r w:rsidR="008C7F51" w:rsidRPr="00552D93">
        <w:rPr>
          <w:rFonts w:ascii="Cambria" w:eastAsia="Times New Roman" w:hAnsi="Cambria" w:cs="Arial"/>
          <w:szCs w:val="24"/>
          <w:lang w:eastAsia="en-GB"/>
        </w:rPr>
        <w:t>consum</w:t>
      </w:r>
      <w:r w:rsidR="003707CE" w:rsidRPr="00552D93">
        <w:rPr>
          <w:rFonts w:ascii="Cambria" w:eastAsia="Times New Roman" w:hAnsi="Cambria" w:cs="Arial"/>
          <w:szCs w:val="24"/>
          <w:lang w:eastAsia="en-GB"/>
        </w:rPr>
        <w:t>ing</w:t>
      </w:r>
      <w:r w:rsidR="008C7F51" w:rsidRPr="00552D93">
        <w:rPr>
          <w:rFonts w:ascii="Cambria" w:eastAsia="Times New Roman" w:hAnsi="Cambria" w:cs="Arial"/>
          <w:szCs w:val="24"/>
          <w:lang w:eastAsia="en-GB"/>
        </w:rPr>
        <w:t xml:space="preserve"> a comparatively higher amount of alcohol </w:t>
      </w:r>
      <w:r w:rsidR="008E5818" w:rsidRPr="00552D93">
        <w:rPr>
          <w:rFonts w:ascii="Cambria" w:eastAsia="Times New Roman" w:hAnsi="Cambria" w:cs="Arial"/>
          <w:szCs w:val="24"/>
          <w:lang w:eastAsia="en-GB"/>
        </w:rPr>
        <w:t>to reach each stage of intoxication.</w:t>
      </w:r>
      <w:r w:rsidR="00297275" w:rsidRPr="00552D93">
        <w:rPr>
          <w:rFonts w:ascii="Cambria" w:eastAsia="Times New Roman" w:hAnsi="Cambria" w:cs="Arial"/>
          <w:szCs w:val="24"/>
          <w:lang w:eastAsia="en-GB"/>
        </w:rPr>
        <w:t xml:space="preserve"> </w:t>
      </w:r>
    </w:p>
    <w:p w14:paraId="76EE2A65" w14:textId="45D14093" w:rsidR="009721F5" w:rsidRPr="00552D93" w:rsidRDefault="009721F5" w:rsidP="009721F5">
      <w:pPr>
        <w:spacing w:before="100" w:beforeAutospacing="1" w:after="100" w:afterAutospacing="1" w:line="480" w:lineRule="auto"/>
        <w:jc w:val="center"/>
        <w:rPr>
          <w:rFonts w:ascii="Cambria" w:eastAsia="Times New Roman" w:hAnsi="Cambria" w:cs="Arial"/>
          <w:szCs w:val="24"/>
          <w:lang w:eastAsia="en-GB"/>
        </w:rPr>
      </w:pPr>
      <w:r w:rsidRPr="00552D93">
        <w:rPr>
          <w:rFonts w:ascii="Cambria" w:eastAsia="Times New Roman" w:hAnsi="Cambria" w:cs="Arial"/>
          <w:szCs w:val="24"/>
          <w:lang w:eastAsia="en-GB"/>
        </w:rPr>
        <w:t>[Insert Figures 1-3]</w:t>
      </w:r>
    </w:p>
    <w:p w14:paraId="489A1E38" w14:textId="42E25027" w:rsidR="00BA586C" w:rsidRPr="00552D93" w:rsidRDefault="00AB4387" w:rsidP="007D2724">
      <w:pPr>
        <w:spacing w:before="100" w:beforeAutospacing="1" w:after="100" w:afterAutospacing="1" w:line="480" w:lineRule="auto"/>
        <w:rPr>
          <w:rFonts w:ascii="Cambria" w:eastAsia="Times New Roman" w:hAnsi="Cambria" w:cs="Arial"/>
          <w:szCs w:val="24"/>
          <w:lang w:eastAsia="en-GB"/>
        </w:rPr>
      </w:pPr>
      <w:r w:rsidRPr="00552D93">
        <w:rPr>
          <w:rFonts w:ascii="Cambria" w:eastAsia="Times New Roman" w:hAnsi="Cambria" w:cs="Arial"/>
          <w:szCs w:val="24"/>
          <w:lang w:eastAsia="en-GB"/>
        </w:rPr>
        <w:t xml:space="preserve">The amount of alcohol </w:t>
      </w:r>
      <w:r w:rsidR="003707CE" w:rsidRPr="00552D93">
        <w:rPr>
          <w:rFonts w:ascii="Cambria" w:eastAsia="Times New Roman" w:hAnsi="Cambria" w:cs="Arial"/>
          <w:szCs w:val="24"/>
          <w:lang w:eastAsia="en-GB"/>
        </w:rPr>
        <w:t xml:space="preserve">consumed </w:t>
      </w:r>
      <w:r w:rsidRPr="00552D93">
        <w:rPr>
          <w:rFonts w:ascii="Cambria" w:eastAsia="Times New Roman" w:hAnsi="Cambria" w:cs="Arial"/>
          <w:szCs w:val="24"/>
          <w:lang w:eastAsia="en-GB"/>
        </w:rPr>
        <w:t>to be as drun</w:t>
      </w:r>
      <w:r w:rsidR="00B62DFA" w:rsidRPr="00552D93">
        <w:rPr>
          <w:rFonts w:ascii="Cambria" w:eastAsia="Times New Roman" w:hAnsi="Cambria" w:cs="Arial"/>
          <w:szCs w:val="24"/>
          <w:lang w:eastAsia="en-GB"/>
        </w:rPr>
        <w:t>k as they want to be e</w:t>
      </w:r>
      <w:r w:rsidRPr="00552D93">
        <w:rPr>
          <w:rFonts w:ascii="Cambria" w:eastAsia="Times New Roman" w:hAnsi="Cambria" w:cs="Arial"/>
          <w:szCs w:val="24"/>
          <w:lang w:eastAsia="en-GB"/>
        </w:rPr>
        <w:t xml:space="preserve">xceeded the daily maximum recommended intake by a factor of at least two </w:t>
      </w:r>
      <w:r w:rsidR="009721F5" w:rsidRPr="00552D93">
        <w:rPr>
          <w:rFonts w:ascii="Cambria" w:eastAsia="Times New Roman" w:hAnsi="Cambria" w:cs="Arial"/>
          <w:szCs w:val="24"/>
          <w:lang w:eastAsia="en-GB"/>
        </w:rPr>
        <w:t>(Table 2)</w:t>
      </w:r>
      <w:r w:rsidR="000C1463" w:rsidRPr="00552D93">
        <w:rPr>
          <w:rFonts w:ascii="Cambria" w:eastAsia="Times New Roman" w:hAnsi="Cambria" w:cs="Arial"/>
          <w:szCs w:val="24"/>
          <w:lang w:eastAsia="en-GB"/>
        </w:rPr>
        <w:t>.</w:t>
      </w:r>
      <w:r w:rsidR="00297275" w:rsidRPr="00552D93">
        <w:rPr>
          <w:rFonts w:ascii="Cambria" w:eastAsia="Times New Roman" w:hAnsi="Cambria" w:cs="Arial"/>
          <w:szCs w:val="24"/>
          <w:lang w:eastAsia="en-GB"/>
        </w:rPr>
        <w:t xml:space="preserve"> </w:t>
      </w:r>
      <w:r w:rsidR="000C1463" w:rsidRPr="00552D93">
        <w:rPr>
          <w:rFonts w:ascii="Cambria" w:eastAsia="Times New Roman" w:hAnsi="Cambria" w:cs="Arial"/>
          <w:szCs w:val="24"/>
          <w:lang w:eastAsia="en-GB"/>
        </w:rPr>
        <w:t xml:space="preserve">For example, in Austria, the daily guidelines for </w:t>
      </w:r>
      <w:r w:rsidR="003707CE" w:rsidRPr="00552D93">
        <w:rPr>
          <w:rFonts w:ascii="Cambria" w:eastAsia="Times New Roman" w:hAnsi="Cambria" w:cs="Arial"/>
          <w:szCs w:val="24"/>
          <w:lang w:eastAsia="en-GB"/>
        </w:rPr>
        <w:t xml:space="preserve">women </w:t>
      </w:r>
      <w:r w:rsidR="000C1463" w:rsidRPr="00552D93">
        <w:rPr>
          <w:rFonts w:ascii="Cambria" w:eastAsia="Times New Roman" w:hAnsi="Cambria" w:cs="Arial"/>
          <w:szCs w:val="24"/>
          <w:lang w:eastAsia="en-GB"/>
        </w:rPr>
        <w:t>are 16</w:t>
      </w:r>
      <w:r w:rsidR="00D217E0" w:rsidRPr="00552D93">
        <w:rPr>
          <w:rFonts w:ascii="Cambria" w:eastAsia="Times New Roman" w:hAnsi="Cambria" w:cs="Arial"/>
          <w:szCs w:val="24"/>
          <w:lang w:eastAsia="en-GB"/>
        </w:rPr>
        <w:t xml:space="preserve"> </w:t>
      </w:r>
      <w:r w:rsidR="000C1463" w:rsidRPr="00552D93">
        <w:rPr>
          <w:rFonts w:ascii="Cambria" w:eastAsia="Times New Roman" w:hAnsi="Cambria" w:cs="Arial"/>
          <w:szCs w:val="24"/>
          <w:lang w:eastAsia="en-GB"/>
        </w:rPr>
        <w:t>grams</w:t>
      </w:r>
      <w:r w:rsidR="00D217E0" w:rsidRPr="00552D93">
        <w:rPr>
          <w:rFonts w:ascii="Cambria" w:eastAsia="Times New Roman" w:hAnsi="Cambria" w:cs="Arial"/>
          <w:szCs w:val="24"/>
          <w:lang w:eastAsia="en-GB"/>
        </w:rPr>
        <w:t xml:space="preserve"> of alcohol</w:t>
      </w:r>
      <w:r w:rsidR="000C1463" w:rsidRPr="00552D93">
        <w:rPr>
          <w:rFonts w:ascii="Cambria" w:eastAsia="Times New Roman" w:hAnsi="Cambria" w:cs="Arial"/>
          <w:szCs w:val="24"/>
          <w:lang w:eastAsia="en-GB"/>
        </w:rPr>
        <w:t xml:space="preserve">, but on average respondents </w:t>
      </w:r>
      <w:r w:rsidR="00A13F22" w:rsidRPr="00552D93">
        <w:rPr>
          <w:rFonts w:ascii="Cambria" w:eastAsia="Times New Roman" w:hAnsi="Cambria" w:cs="Arial"/>
          <w:szCs w:val="24"/>
          <w:lang w:eastAsia="en-GB"/>
        </w:rPr>
        <w:t>reported consum</w:t>
      </w:r>
      <w:r w:rsidR="005F57DD" w:rsidRPr="00552D93">
        <w:rPr>
          <w:rFonts w:ascii="Cambria" w:eastAsia="Times New Roman" w:hAnsi="Cambria" w:cs="Arial"/>
          <w:szCs w:val="24"/>
          <w:lang w:eastAsia="en-GB"/>
        </w:rPr>
        <w:t>ing</w:t>
      </w:r>
      <w:r w:rsidR="0078450C" w:rsidRPr="00552D93">
        <w:rPr>
          <w:rFonts w:ascii="Cambria" w:eastAsia="Times New Roman" w:hAnsi="Cambria" w:cs="Arial"/>
          <w:szCs w:val="24"/>
          <w:lang w:eastAsia="en-GB"/>
        </w:rPr>
        <w:t xml:space="preserve"> 51.7</w:t>
      </w:r>
      <w:r w:rsidR="000C1463" w:rsidRPr="00552D93">
        <w:rPr>
          <w:rFonts w:ascii="Cambria" w:eastAsia="Times New Roman" w:hAnsi="Cambria" w:cs="Arial"/>
          <w:szCs w:val="24"/>
          <w:lang w:eastAsia="en-GB"/>
        </w:rPr>
        <w:t xml:space="preserve"> grams to be as drunk as they </w:t>
      </w:r>
      <w:r w:rsidR="005F57DD" w:rsidRPr="00552D93">
        <w:rPr>
          <w:rFonts w:ascii="Cambria" w:eastAsia="Times New Roman" w:hAnsi="Cambria" w:cs="Arial"/>
          <w:szCs w:val="24"/>
          <w:lang w:eastAsia="en-GB"/>
        </w:rPr>
        <w:t>want</w:t>
      </w:r>
      <w:r w:rsidR="000C1463" w:rsidRPr="00552D93">
        <w:rPr>
          <w:rFonts w:ascii="Cambria" w:eastAsia="Times New Roman" w:hAnsi="Cambria" w:cs="Arial"/>
          <w:szCs w:val="24"/>
          <w:lang w:eastAsia="en-GB"/>
        </w:rPr>
        <w:t xml:space="preserve"> to be</w:t>
      </w:r>
      <w:r w:rsidR="009721F5" w:rsidRPr="00552D93">
        <w:rPr>
          <w:rFonts w:ascii="Cambria" w:eastAsia="Times New Roman" w:hAnsi="Cambria" w:cs="Arial"/>
          <w:szCs w:val="24"/>
          <w:lang w:eastAsia="en-GB"/>
        </w:rPr>
        <w:t xml:space="preserve"> (3.3 times the guidelines)</w:t>
      </w:r>
      <w:r w:rsidR="005F57DD" w:rsidRPr="00552D93">
        <w:rPr>
          <w:rFonts w:ascii="Cambria" w:eastAsia="Times New Roman" w:hAnsi="Cambria" w:cs="Arial"/>
          <w:szCs w:val="24"/>
          <w:lang w:eastAsia="en-GB"/>
        </w:rPr>
        <w:t>.</w:t>
      </w:r>
      <w:r w:rsidR="000C1463" w:rsidRPr="00552D93">
        <w:rPr>
          <w:rFonts w:ascii="Cambria" w:eastAsia="Times New Roman" w:hAnsi="Cambria" w:cs="Arial"/>
          <w:szCs w:val="24"/>
          <w:lang w:eastAsia="en-GB"/>
        </w:rPr>
        <w:t xml:space="preserve"> </w:t>
      </w:r>
      <w:r w:rsidR="005F57DD" w:rsidRPr="00552D93">
        <w:rPr>
          <w:rFonts w:ascii="Cambria" w:eastAsia="Times New Roman" w:hAnsi="Cambria" w:cs="Arial"/>
          <w:szCs w:val="24"/>
          <w:lang w:eastAsia="en-GB"/>
        </w:rPr>
        <w:t>M</w:t>
      </w:r>
      <w:r w:rsidR="000C1463" w:rsidRPr="00552D93">
        <w:rPr>
          <w:rFonts w:ascii="Cambria" w:eastAsia="Times New Roman" w:hAnsi="Cambria" w:cs="Arial"/>
          <w:szCs w:val="24"/>
          <w:lang w:eastAsia="en-GB"/>
        </w:rPr>
        <w:t>ale</w:t>
      </w:r>
      <w:r w:rsidR="005F57DD" w:rsidRPr="00552D93">
        <w:rPr>
          <w:rFonts w:ascii="Cambria" w:eastAsia="Times New Roman" w:hAnsi="Cambria" w:cs="Arial"/>
          <w:szCs w:val="24"/>
          <w:lang w:eastAsia="en-GB"/>
        </w:rPr>
        <w:t xml:space="preserve"> respondent</w:t>
      </w:r>
      <w:r w:rsidR="000C1463" w:rsidRPr="00552D93">
        <w:rPr>
          <w:rFonts w:ascii="Cambria" w:eastAsia="Times New Roman" w:hAnsi="Cambria" w:cs="Arial"/>
          <w:szCs w:val="24"/>
          <w:lang w:eastAsia="en-GB"/>
        </w:rPr>
        <w:t xml:space="preserve">s </w:t>
      </w:r>
      <w:r w:rsidR="00A13F22" w:rsidRPr="00552D93">
        <w:rPr>
          <w:rFonts w:ascii="Cambria" w:eastAsia="Times New Roman" w:hAnsi="Cambria" w:cs="Arial"/>
          <w:szCs w:val="24"/>
          <w:lang w:eastAsia="en-GB"/>
        </w:rPr>
        <w:t>reported consum</w:t>
      </w:r>
      <w:r w:rsidR="005F57DD" w:rsidRPr="00552D93">
        <w:rPr>
          <w:rFonts w:ascii="Cambria" w:eastAsia="Times New Roman" w:hAnsi="Cambria" w:cs="Arial"/>
          <w:szCs w:val="24"/>
          <w:lang w:eastAsia="en-GB"/>
        </w:rPr>
        <w:t>ing</w:t>
      </w:r>
      <w:r w:rsidR="00A13F22" w:rsidRPr="00552D93">
        <w:rPr>
          <w:rFonts w:ascii="Cambria" w:eastAsia="Times New Roman" w:hAnsi="Cambria" w:cs="Arial"/>
          <w:szCs w:val="24"/>
          <w:lang w:eastAsia="en-GB"/>
        </w:rPr>
        <w:t xml:space="preserve"> </w:t>
      </w:r>
      <w:r w:rsidR="0078450C" w:rsidRPr="00552D93">
        <w:rPr>
          <w:rFonts w:ascii="Cambria" w:eastAsia="Times New Roman" w:hAnsi="Cambria" w:cs="Arial"/>
          <w:szCs w:val="24"/>
          <w:lang w:eastAsia="en-GB"/>
        </w:rPr>
        <w:t>69.99</w:t>
      </w:r>
      <w:r w:rsidR="000C1463" w:rsidRPr="00552D93">
        <w:rPr>
          <w:rFonts w:ascii="Cambria" w:eastAsia="Times New Roman" w:hAnsi="Cambria" w:cs="Arial"/>
          <w:szCs w:val="24"/>
          <w:lang w:eastAsia="en-GB"/>
        </w:rPr>
        <w:t xml:space="preserve"> grams</w:t>
      </w:r>
      <w:r w:rsidR="005F57DD" w:rsidRPr="00552D93">
        <w:rPr>
          <w:rFonts w:ascii="Cambria" w:eastAsia="Times New Roman" w:hAnsi="Cambria" w:cs="Arial"/>
          <w:szCs w:val="24"/>
          <w:lang w:eastAsia="en-GB"/>
        </w:rPr>
        <w:t xml:space="preserve"> to be as drunk as they want to be</w:t>
      </w:r>
      <w:r w:rsidR="000C1463" w:rsidRPr="00552D93">
        <w:rPr>
          <w:rFonts w:ascii="Cambria" w:eastAsia="Times New Roman" w:hAnsi="Cambria" w:cs="Arial"/>
          <w:szCs w:val="24"/>
          <w:lang w:eastAsia="en-GB"/>
        </w:rPr>
        <w:t xml:space="preserve"> compared to the 24 grams </w:t>
      </w:r>
      <w:r w:rsidRPr="00552D93">
        <w:rPr>
          <w:rFonts w:ascii="Cambria" w:eastAsia="Times New Roman" w:hAnsi="Cambria" w:cs="Arial"/>
          <w:szCs w:val="24"/>
          <w:lang w:eastAsia="en-GB"/>
        </w:rPr>
        <w:t xml:space="preserve">maximum </w:t>
      </w:r>
      <w:r w:rsidR="000C1463" w:rsidRPr="00552D93">
        <w:rPr>
          <w:rFonts w:ascii="Cambria" w:eastAsia="Times New Roman" w:hAnsi="Cambria" w:cs="Arial"/>
          <w:szCs w:val="24"/>
          <w:lang w:eastAsia="en-GB"/>
        </w:rPr>
        <w:t>recommended</w:t>
      </w:r>
      <w:r w:rsidR="00D217E0" w:rsidRPr="00552D93">
        <w:rPr>
          <w:rFonts w:ascii="Cambria" w:eastAsia="Times New Roman" w:hAnsi="Cambria" w:cs="Arial"/>
          <w:szCs w:val="24"/>
          <w:lang w:eastAsia="en-GB"/>
        </w:rPr>
        <w:t xml:space="preserve"> (3.05 times the guidelines)</w:t>
      </w:r>
      <w:r w:rsidR="000C1463" w:rsidRPr="00552D93">
        <w:rPr>
          <w:rFonts w:ascii="Cambria" w:eastAsia="Times New Roman" w:hAnsi="Cambria" w:cs="Arial"/>
          <w:szCs w:val="24"/>
          <w:lang w:eastAsia="en-GB"/>
        </w:rPr>
        <w:t>. To reach the tipping point, some respondents</w:t>
      </w:r>
      <w:r w:rsidR="00D217E0" w:rsidRPr="00552D93">
        <w:rPr>
          <w:rFonts w:ascii="Cambria" w:eastAsia="Times New Roman" w:hAnsi="Cambria" w:cs="Arial"/>
          <w:szCs w:val="24"/>
          <w:lang w:eastAsia="en-GB"/>
        </w:rPr>
        <w:t xml:space="preserve">, </w:t>
      </w:r>
      <w:r w:rsidR="005F57DD" w:rsidRPr="00552D93">
        <w:rPr>
          <w:rFonts w:ascii="Cambria" w:eastAsia="Times New Roman" w:hAnsi="Cambria" w:cs="Arial"/>
          <w:szCs w:val="24"/>
          <w:lang w:eastAsia="en-GB"/>
        </w:rPr>
        <w:t xml:space="preserve">reported </w:t>
      </w:r>
      <w:r w:rsidR="000C1463" w:rsidRPr="00552D93">
        <w:rPr>
          <w:rFonts w:ascii="Cambria" w:eastAsia="Times New Roman" w:hAnsi="Cambria" w:cs="Arial"/>
          <w:szCs w:val="24"/>
          <w:lang w:eastAsia="en-GB"/>
        </w:rPr>
        <w:t>drink</w:t>
      </w:r>
      <w:r w:rsidR="005F57DD" w:rsidRPr="00552D93">
        <w:rPr>
          <w:rFonts w:ascii="Cambria" w:eastAsia="Times New Roman" w:hAnsi="Cambria" w:cs="Arial"/>
          <w:szCs w:val="24"/>
          <w:lang w:eastAsia="en-GB"/>
        </w:rPr>
        <w:t>ing more</w:t>
      </w:r>
      <w:r w:rsidR="000C1463" w:rsidRPr="00552D93">
        <w:rPr>
          <w:rFonts w:ascii="Cambria" w:eastAsia="Times New Roman" w:hAnsi="Cambria" w:cs="Arial"/>
          <w:szCs w:val="24"/>
          <w:lang w:eastAsia="en-GB"/>
        </w:rPr>
        <w:t xml:space="preserve"> </w:t>
      </w:r>
      <w:r w:rsidR="005F57DD" w:rsidRPr="00552D93">
        <w:rPr>
          <w:rFonts w:ascii="Cambria" w:eastAsia="Times New Roman" w:hAnsi="Cambria" w:cs="Arial"/>
          <w:szCs w:val="24"/>
          <w:lang w:eastAsia="en-GB"/>
        </w:rPr>
        <w:t>than</w:t>
      </w:r>
      <w:r w:rsidR="000C1463" w:rsidRPr="00552D93">
        <w:rPr>
          <w:rFonts w:ascii="Cambria" w:eastAsia="Times New Roman" w:hAnsi="Cambria" w:cs="Arial"/>
          <w:szCs w:val="24"/>
          <w:lang w:eastAsia="en-GB"/>
        </w:rPr>
        <w:t xml:space="preserve"> the </w:t>
      </w:r>
      <w:r w:rsidR="000C1463" w:rsidRPr="00552D93">
        <w:rPr>
          <w:rFonts w:ascii="Cambria" w:eastAsia="Times New Roman" w:hAnsi="Cambria" w:cs="Arial"/>
          <w:i/>
          <w:iCs/>
          <w:szCs w:val="24"/>
          <w:lang w:eastAsia="en-GB"/>
        </w:rPr>
        <w:t>weekly</w:t>
      </w:r>
      <w:r w:rsidR="000C1463" w:rsidRPr="00552D93">
        <w:rPr>
          <w:rFonts w:ascii="Cambria" w:eastAsia="Times New Roman" w:hAnsi="Cambria" w:cs="Arial"/>
          <w:szCs w:val="24"/>
          <w:lang w:eastAsia="en-GB"/>
        </w:rPr>
        <w:t xml:space="preserve"> </w:t>
      </w:r>
      <w:r w:rsidR="005F57DD" w:rsidRPr="00552D93">
        <w:rPr>
          <w:rFonts w:ascii="Cambria" w:eastAsia="Times New Roman" w:hAnsi="Cambria" w:cs="Arial"/>
          <w:szCs w:val="24"/>
          <w:lang w:eastAsia="en-GB"/>
        </w:rPr>
        <w:t xml:space="preserve">amount recommended by their </w:t>
      </w:r>
      <w:r w:rsidR="00D217E0" w:rsidRPr="00552D93">
        <w:rPr>
          <w:rFonts w:ascii="Cambria" w:eastAsia="Times New Roman" w:hAnsi="Cambria" w:cs="Arial"/>
          <w:szCs w:val="24"/>
          <w:lang w:eastAsia="en-GB"/>
        </w:rPr>
        <w:t xml:space="preserve">country </w:t>
      </w:r>
      <w:r w:rsidR="000C1463" w:rsidRPr="00552D93">
        <w:rPr>
          <w:rFonts w:ascii="Cambria" w:eastAsia="Times New Roman" w:hAnsi="Cambria" w:cs="Arial"/>
          <w:szCs w:val="24"/>
          <w:lang w:eastAsia="en-GB"/>
        </w:rPr>
        <w:lastRenderedPageBreak/>
        <w:t>guidelines</w:t>
      </w:r>
      <w:r w:rsidR="005F57DD" w:rsidRPr="00552D93">
        <w:rPr>
          <w:rFonts w:ascii="Cambria" w:eastAsia="Times New Roman" w:hAnsi="Cambria" w:cs="Arial"/>
          <w:szCs w:val="24"/>
          <w:lang w:eastAsia="en-GB"/>
        </w:rPr>
        <w:t xml:space="preserve"> within a single session</w:t>
      </w:r>
      <w:r w:rsidR="000C1463" w:rsidRPr="00552D93">
        <w:rPr>
          <w:rFonts w:ascii="Cambria" w:eastAsia="Times New Roman" w:hAnsi="Cambria" w:cs="Arial"/>
          <w:szCs w:val="24"/>
          <w:lang w:eastAsia="en-GB"/>
        </w:rPr>
        <w:t>.</w:t>
      </w:r>
      <w:r w:rsidR="00297275" w:rsidRPr="00552D93">
        <w:rPr>
          <w:rFonts w:ascii="Cambria" w:eastAsia="Times New Roman" w:hAnsi="Cambria" w:cs="Arial"/>
          <w:szCs w:val="24"/>
          <w:lang w:eastAsia="en-GB"/>
        </w:rPr>
        <w:t xml:space="preserve"> </w:t>
      </w:r>
      <w:r w:rsidR="000C1463" w:rsidRPr="00552D93">
        <w:rPr>
          <w:rFonts w:ascii="Cambria" w:eastAsia="Times New Roman" w:hAnsi="Cambria" w:cs="Arial"/>
          <w:szCs w:val="24"/>
          <w:lang w:eastAsia="en-GB"/>
        </w:rPr>
        <w:t>For example</w:t>
      </w:r>
      <w:r w:rsidR="005F57DD" w:rsidRPr="00552D93">
        <w:rPr>
          <w:rFonts w:ascii="Cambria" w:eastAsia="Times New Roman" w:hAnsi="Cambria" w:cs="Arial"/>
          <w:szCs w:val="24"/>
          <w:lang w:eastAsia="en-GB"/>
        </w:rPr>
        <w:t xml:space="preserve"> i</w:t>
      </w:r>
      <w:r w:rsidR="00BA586C" w:rsidRPr="00552D93">
        <w:rPr>
          <w:rFonts w:ascii="Cambria" w:eastAsia="Times New Roman" w:hAnsi="Cambria" w:cs="Arial"/>
          <w:szCs w:val="24"/>
          <w:lang w:eastAsia="en-GB"/>
        </w:rPr>
        <w:t xml:space="preserve">n the UK, the </w:t>
      </w:r>
      <w:r w:rsidR="00F15DFE" w:rsidRPr="00552D93">
        <w:rPr>
          <w:rFonts w:ascii="Cambria" w:eastAsia="Times New Roman" w:hAnsi="Cambria" w:cs="Arial"/>
          <w:szCs w:val="24"/>
          <w:lang w:eastAsia="en-GB"/>
        </w:rPr>
        <w:t>average</w:t>
      </w:r>
      <w:r w:rsidR="00BA586C" w:rsidRPr="00552D93">
        <w:rPr>
          <w:rFonts w:ascii="Cambria" w:eastAsia="Times New Roman" w:hAnsi="Cambria" w:cs="Arial"/>
          <w:szCs w:val="24"/>
          <w:lang w:eastAsia="en-GB"/>
        </w:rPr>
        <w:t xml:space="preserve"> grams </w:t>
      </w:r>
      <w:r w:rsidR="005220B1" w:rsidRPr="00552D93">
        <w:rPr>
          <w:rFonts w:ascii="Cambria" w:eastAsia="Times New Roman" w:hAnsi="Cambria" w:cs="Arial"/>
          <w:szCs w:val="24"/>
          <w:lang w:eastAsia="en-GB"/>
        </w:rPr>
        <w:t xml:space="preserve">of </w:t>
      </w:r>
      <w:r w:rsidR="00D217E0" w:rsidRPr="00552D93">
        <w:rPr>
          <w:rFonts w:ascii="Cambria" w:eastAsia="Times New Roman" w:hAnsi="Cambria" w:cs="Arial"/>
          <w:szCs w:val="24"/>
          <w:lang w:eastAsia="en-GB"/>
        </w:rPr>
        <w:t xml:space="preserve">alcohol </w:t>
      </w:r>
      <w:r w:rsidR="00BA586C" w:rsidRPr="00552D93">
        <w:rPr>
          <w:rFonts w:ascii="Cambria" w:eastAsia="Times New Roman" w:hAnsi="Cambria" w:cs="Arial"/>
          <w:szCs w:val="24"/>
          <w:lang w:eastAsia="en-GB"/>
        </w:rPr>
        <w:t>to</w:t>
      </w:r>
      <w:r w:rsidR="005220B1" w:rsidRPr="00552D93">
        <w:rPr>
          <w:rFonts w:ascii="Cambria" w:eastAsia="Times New Roman" w:hAnsi="Cambria" w:cs="Arial"/>
          <w:szCs w:val="24"/>
          <w:lang w:eastAsia="en-GB"/>
        </w:rPr>
        <w:t xml:space="preserve"> reach the tipping point for males (144.13</w:t>
      </w:r>
      <w:r w:rsidR="00D217E0" w:rsidRPr="00552D93">
        <w:rPr>
          <w:rFonts w:ascii="Cambria" w:eastAsia="Times New Roman" w:hAnsi="Cambria" w:cs="Arial"/>
          <w:szCs w:val="24"/>
          <w:lang w:eastAsia="en-GB"/>
        </w:rPr>
        <w:t>g</w:t>
      </w:r>
      <w:r w:rsidR="00B62DFA" w:rsidRPr="00552D93">
        <w:rPr>
          <w:rFonts w:ascii="Cambria" w:eastAsia="Times New Roman" w:hAnsi="Cambria" w:cs="Arial"/>
          <w:szCs w:val="24"/>
          <w:lang w:eastAsia="en-GB"/>
        </w:rPr>
        <w:t>m</w:t>
      </w:r>
      <w:r w:rsidR="00BA586C" w:rsidRPr="00552D93">
        <w:rPr>
          <w:rFonts w:ascii="Cambria" w:eastAsia="Times New Roman" w:hAnsi="Cambria" w:cs="Arial"/>
          <w:szCs w:val="24"/>
          <w:lang w:eastAsia="en-GB"/>
        </w:rPr>
        <w:t xml:space="preserve">) </w:t>
      </w:r>
      <w:r w:rsidR="00B62DFA" w:rsidRPr="00552D93">
        <w:rPr>
          <w:rFonts w:ascii="Cambria" w:eastAsia="Times New Roman" w:hAnsi="Cambria" w:cs="Arial"/>
          <w:szCs w:val="24"/>
          <w:lang w:eastAsia="en-GB"/>
        </w:rPr>
        <w:t xml:space="preserve">is </w:t>
      </w:r>
      <w:r w:rsidR="00F15DFE" w:rsidRPr="00552D93">
        <w:rPr>
          <w:rFonts w:ascii="Cambria" w:eastAsia="Times New Roman" w:hAnsi="Cambria" w:cs="Arial"/>
          <w:szCs w:val="24"/>
          <w:lang w:eastAsia="en-GB"/>
        </w:rPr>
        <w:t>32</w:t>
      </w:r>
      <w:r w:rsidR="00B62DFA" w:rsidRPr="00552D93">
        <w:rPr>
          <w:rFonts w:ascii="Cambria" w:eastAsia="Times New Roman" w:hAnsi="Cambria" w:cs="Arial"/>
          <w:szCs w:val="24"/>
          <w:lang w:eastAsia="en-GB"/>
        </w:rPr>
        <w:t>gm more t</w:t>
      </w:r>
      <w:r w:rsidR="00E12C9C" w:rsidRPr="00552D93">
        <w:rPr>
          <w:rFonts w:ascii="Cambria" w:eastAsia="Times New Roman" w:hAnsi="Cambria" w:cs="Arial"/>
          <w:szCs w:val="24"/>
          <w:lang w:eastAsia="en-GB"/>
        </w:rPr>
        <w:t>han the 112</w:t>
      </w:r>
      <w:r w:rsidR="00B62DFA" w:rsidRPr="00552D93">
        <w:rPr>
          <w:rFonts w:ascii="Cambria" w:eastAsia="Times New Roman" w:hAnsi="Cambria" w:cs="Arial"/>
          <w:szCs w:val="24"/>
          <w:lang w:eastAsia="en-GB"/>
        </w:rPr>
        <w:t xml:space="preserve">gm recommended weekly </w:t>
      </w:r>
      <w:r w:rsidR="00341B7C" w:rsidRPr="00552D93">
        <w:rPr>
          <w:rFonts w:ascii="Cambria" w:eastAsia="Times New Roman" w:hAnsi="Cambria" w:cs="Arial"/>
          <w:szCs w:val="24"/>
          <w:lang w:eastAsia="en-GB"/>
        </w:rPr>
        <w:t xml:space="preserve">maxium. </w:t>
      </w:r>
      <w:r w:rsidR="00B62DFA" w:rsidRPr="00552D93">
        <w:rPr>
          <w:rFonts w:ascii="Cambria" w:eastAsia="Times New Roman" w:hAnsi="Cambria" w:cs="Arial"/>
          <w:szCs w:val="24"/>
          <w:lang w:eastAsia="en-GB"/>
        </w:rPr>
        <w:t xml:space="preserve"> </w:t>
      </w:r>
    </w:p>
    <w:p w14:paraId="50EE26AF" w14:textId="67FE8F8C" w:rsidR="007D2724" w:rsidRPr="00552D93" w:rsidRDefault="009721F5" w:rsidP="009721F5">
      <w:pPr>
        <w:spacing w:before="100" w:beforeAutospacing="1" w:after="100" w:afterAutospacing="1" w:line="480" w:lineRule="auto"/>
        <w:jc w:val="center"/>
        <w:rPr>
          <w:rFonts w:ascii="Cambria" w:eastAsia="Times New Roman" w:hAnsi="Cambria" w:cs="Times New Roman"/>
          <w:lang w:eastAsia="en-GB"/>
        </w:rPr>
      </w:pPr>
      <w:r w:rsidRPr="00552D93">
        <w:rPr>
          <w:rFonts w:ascii="Cambria" w:eastAsia="Times New Roman" w:hAnsi="Cambria" w:cs="Times New Roman"/>
          <w:lang w:eastAsia="en-GB"/>
        </w:rPr>
        <w:t xml:space="preserve">[Insert </w:t>
      </w:r>
      <w:r w:rsidR="00BA586C" w:rsidRPr="00552D93">
        <w:rPr>
          <w:rFonts w:ascii="Cambria" w:eastAsia="Times New Roman" w:hAnsi="Cambria" w:cs="Times New Roman"/>
          <w:lang w:eastAsia="en-GB"/>
        </w:rPr>
        <w:t xml:space="preserve">Table 2] </w:t>
      </w:r>
    </w:p>
    <w:p w14:paraId="372F4EAD" w14:textId="1803931E" w:rsidR="00564697" w:rsidRPr="00552D93" w:rsidRDefault="00883572" w:rsidP="00564697">
      <w:pPr>
        <w:spacing w:before="100" w:beforeAutospacing="1" w:after="100" w:afterAutospacing="1" w:line="480" w:lineRule="auto"/>
        <w:rPr>
          <w:rFonts w:ascii="Cambria" w:eastAsia="Times New Roman" w:hAnsi="Cambria" w:cs="Arial"/>
          <w:i/>
          <w:szCs w:val="24"/>
          <w:lang w:eastAsia="en-GB"/>
        </w:rPr>
      </w:pPr>
      <w:r w:rsidRPr="00552D93">
        <w:rPr>
          <w:rFonts w:ascii="Cambria" w:eastAsia="Times New Roman" w:hAnsi="Cambria" w:cs="Arial"/>
          <w:i/>
          <w:szCs w:val="24"/>
          <w:lang w:eastAsia="en-GB"/>
        </w:rPr>
        <w:t xml:space="preserve">Comparing alcohol grams </w:t>
      </w:r>
      <w:r w:rsidR="00564697" w:rsidRPr="00552D93">
        <w:rPr>
          <w:rFonts w:ascii="Cambria" w:eastAsia="Times New Roman" w:hAnsi="Cambria" w:cs="Arial"/>
          <w:i/>
          <w:szCs w:val="24"/>
          <w:lang w:eastAsia="en-GB"/>
        </w:rPr>
        <w:t xml:space="preserve">needed to reach each stage of intoxication by </w:t>
      </w:r>
      <w:r w:rsidR="00D27B89" w:rsidRPr="00552D93">
        <w:rPr>
          <w:rFonts w:ascii="Cambria" w:eastAsia="Times New Roman" w:hAnsi="Cambria" w:cs="Arial"/>
          <w:i/>
          <w:szCs w:val="24"/>
          <w:lang w:eastAsia="en-GB"/>
        </w:rPr>
        <w:t>gender</w:t>
      </w:r>
      <w:r w:rsidR="00977ED4" w:rsidRPr="00552D93">
        <w:rPr>
          <w:rFonts w:ascii="Cambria" w:eastAsia="Times New Roman" w:hAnsi="Cambria" w:cs="Arial"/>
          <w:i/>
          <w:szCs w:val="24"/>
          <w:lang w:eastAsia="en-GB"/>
        </w:rPr>
        <w:t xml:space="preserve">, age </w:t>
      </w:r>
      <w:r w:rsidR="00D27B89" w:rsidRPr="00552D93">
        <w:rPr>
          <w:rFonts w:ascii="Cambria" w:eastAsia="Times New Roman" w:hAnsi="Cambria" w:cs="Arial"/>
          <w:i/>
          <w:szCs w:val="24"/>
          <w:lang w:eastAsia="en-GB"/>
        </w:rPr>
        <w:t xml:space="preserve">and AUDIT categories </w:t>
      </w:r>
      <w:r w:rsidR="00E8638F" w:rsidRPr="00552D93">
        <w:rPr>
          <w:rFonts w:ascii="Cambria" w:eastAsia="Times New Roman" w:hAnsi="Cambria" w:cs="Arial"/>
          <w:i/>
          <w:szCs w:val="24"/>
          <w:lang w:eastAsia="en-GB"/>
        </w:rPr>
        <w:t xml:space="preserve">– regardless of country of residence </w:t>
      </w:r>
    </w:p>
    <w:p w14:paraId="41E2F9D8" w14:textId="0D33F76E" w:rsidR="008C7EC3" w:rsidRPr="00552D93" w:rsidRDefault="002130B3" w:rsidP="009A347D">
      <w:pPr>
        <w:spacing w:before="100" w:beforeAutospacing="1" w:after="100" w:afterAutospacing="1" w:line="480" w:lineRule="auto"/>
        <w:rPr>
          <w:rFonts w:ascii="Cambria" w:eastAsia="Times New Roman" w:hAnsi="Cambria" w:cs="Times New Roman"/>
          <w:lang w:eastAsia="en-GB"/>
        </w:rPr>
      </w:pPr>
      <w:r w:rsidRPr="00552D93">
        <w:rPr>
          <w:rFonts w:ascii="Cambria" w:eastAsia="Times New Roman" w:hAnsi="Cambria" w:cs="Times New Roman"/>
          <w:lang w:eastAsia="en-GB"/>
        </w:rPr>
        <w:t xml:space="preserve">In </w:t>
      </w:r>
      <w:r w:rsidR="00883572" w:rsidRPr="00552D93">
        <w:rPr>
          <w:rFonts w:ascii="Cambria" w:eastAsia="Times New Roman" w:hAnsi="Cambria" w:cs="Times New Roman"/>
          <w:lang w:eastAsia="en-GB"/>
        </w:rPr>
        <w:t xml:space="preserve">Table </w:t>
      </w:r>
      <w:r w:rsidR="00045EF9" w:rsidRPr="00552D93">
        <w:rPr>
          <w:rFonts w:ascii="Cambria" w:eastAsia="Times New Roman" w:hAnsi="Cambria" w:cs="Times New Roman"/>
          <w:lang w:eastAsia="en-GB"/>
        </w:rPr>
        <w:t>3</w:t>
      </w:r>
      <w:r w:rsidR="00A13F22" w:rsidRPr="00552D93">
        <w:rPr>
          <w:rFonts w:ascii="Cambria" w:eastAsia="Times New Roman" w:hAnsi="Cambria" w:cs="Times New Roman"/>
          <w:lang w:eastAsia="en-GB"/>
        </w:rPr>
        <w:t>,</w:t>
      </w:r>
      <w:r w:rsidR="00883572" w:rsidRPr="00552D93">
        <w:rPr>
          <w:rFonts w:ascii="Cambria" w:eastAsia="Times New Roman" w:hAnsi="Cambria" w:cs="Times New Roman"/>
          <w:lang w:eastAsia="en-GB"/>
        </w:rPr>
        <w:t xml:space="preserve"> the average grams of alcohol </w:t>
      </w:r>
      <w:r w:rsidR="00A07414" w:rsidRPr="00552D93">
        <w:rPr>
          <w:rFonts w:ascii="Cambria" w:eastAsia="Times New Roman" w:hAnsi="Cambria" w:cs="Times New Roman"/>
          <w:lang w:eastAsia="en-GB"/>
        </w:rPr>
        <w:t>needed to reach each stage of intoxication is</w:t>
      </w:r>
      <w:r w:rsidRPr="00552D93">
        <w:rPr>
          <w:rFonts w:ascii="Cambria" w:eastAsia="Times New Roman" w:hAnsi="Cambria" w:cs="Times New Roman"/>
          <w:lang w:eastAsia="en-GB"/>
        </w:rPr>
        <w:t xml:space="preserve"> compared </w:t>
      </w:r>
      <w:r w:rsidR="009A347D" w:rsidRPr="00552D93">
        <w:rPr>
          <w:rFonts w:ascii="Cambria" w:eastAsia="Times New Roman" w:hAnsi="Cambria" w:cs="Times New Roman"/>
          <w:lang w:eastAsia="en-GB"/>
        </w:rPr>
        <w:t xml:space="preserve">by </w:t>
      </w:r>
      <w:r w:rsidR="00883572" w:rsidRPr="00552D93">
        <w:rPr>
          <w:rFonts w:ascii="Cambria" w:eastAsia="Times New Roman" w:hAnsi="Cambria" w:cs="Times New Roman"/>
          <w:lang w:eastAsia="en-GB"/>
        </w:rPr>
        <w:t>demographic characteristics and AUDIT category.</w:t>
      </w:r>
      <w:r w:rsidR="00297275" w:rsidRPr="00552D93">
        <w:rPr>
          <w:rFonts w:ascii="Cambria" w:eastAsia="Times New Roman" w:hAnsi="Cambria" w:cs="Times New Roman"/>
          <w:lang w:eastAsia="en-GB"/>
        </w:rPr>
        <w:t xml:space="preserve"> </w:t>
      </w:r>
      <w:r w:rsidR="00A73C17" w:rsidRPr="00552D93">
        <w:rPr>
          <w:rFonts w:ascii="Cambria" w:eastAsia="Times New Roman" w:hAnsi="Cambria" w:cs="Times New Roman"/>
          <w:lang w:eastAsia="en-GB"/>
        </w:rPr>
        <w:t>Male</w:t>
      </w:r>
      <w:r w:rsidR="005F57DD" w:rsidRPr="00552D93">
        <w:rPr>
          <w:rFonts w:ascii="Cambria" w:eastAsia="Times New Roman" w:hAnsi="Cambria" w:cs="Times New Roman"/>
          <w:lang w:eastAsia="en-GB"/>
        </w:rPr>
        <w:t xml:space="preserve"> respondent</w:t>
      </w:r>
      <w:r w:rsidR="00A73C17" w:rsidRPr="00552D93">
        <w:rPr>
          <w:rFonts w:ascii="Cambria" w:eastAsia="Times New Roman" w:hAnsi="Cambria" w:cs="Times New Roman"/>
          <w:lang w:eastAsia="en-GB"/>
        </w:rPr>
        <w:t>s reported they consume</w:t>
      </w:r>
      <w:r w:rsidR="005F57DD" w:rsidRPr="00552D93">
        <w:rPr>
          <w:rFonts w:ascii="Cambria" w:eastAsia="Times New Roman" w:hAnsi="Cambria" w:cs="Times New Roman"/>
          <w:lang w:eastAsia="en-GB"/>
        </w:rPr>
        <w:t>d</w:t>
      </w:r>
      <w:r w:rsidR="00A73C17" w:rsidRPr="00552D93">
        <w:rPr>
          <w:rFonts w:ascii="Cambria" w:eastAsia="Times New Roman" w:hAnsi="Cambria" w:cs="Times New Roman"/>
          <w:lang w:eastAsia="en-GB"/>
        </w:rPr>
        <w:t xml:space="preserve"> significantly more alcohol than females to reach each stage.</w:t>
      </w:r>
      <w:r w:rsidR="00297275" w:rsidRPr="00552D93">
        <w:rPr>
          <w:rFonts w:ascii="Cambria" w:eastAsia="Times New Roman" w:hAnsi="Cambria" w:cs="Times New Roman"/>
          <w:lang w:eastAsia="en-GB"/>
        </w:rPr>
        <w:t xml:space="preserve"> </w:t>
      </w:r>
      <w:r w:rsidR="00A73C17" w:rsidRPr="00552D93">
        <w:rPr>
          <w:rFonts w:ascii="Cambria" w:eastAsia="Times New Roman" w:hAnsi="Cambria" w:cs="Times New Roman"/>
          <w:lang w:eastAsia="en-GB"/>
        </w:rPr>
        <w:t>Furthermore</w:t>
      </w:r>
      <w:r w:rsidR="008C0B14" w:rsidRPr="00552D93">
        <w:rPr>
          <w:rFonts w:ascii="Cambria" w:eastAsia="Times New Roman" w:hAnsi="Cambria" w:cs="Times New Roman"/>
          <w:lang w:eastAsia="en-GB"/>
        </w:rPr>
        <w:t>,</w:t>
      </w:r>
      <w:r w:rsidR="00A73C17" w:rsidRPr="00552D93">
        <w:rPr>
          <w:rFonts w:ascii="Cambria" w:eastAsia="Times New Roman" w:hAnsi="Cambria" w:cs="Times New Roman"/>
          <w:lang w:eastAsia="en-GB"/>
        </w:rPr>
        <w:t xml:space="preserve"> male</w:t>
      </w:r>
      <w:r w:rsidR="005F57DD" w:rsidRPr="00552D93">
        <w:rPr>
          <w:rFonts w:ascii="Cambria" w:eastAsia="Times New Roman" w:hAnsi="Cambria" w:cs="Times New Roman"/>
          <w:lang w:eastAsia="en-GB"/>
        </w:rPr>
        <w:t xml:space="preserve"> respondent</w:t>
      </w:r>
      <w:r w:rsidR="00A73C17" w:rsidRPr="00552D93">
        <w:rPr>
          <w:rFonts w:ascii="Cambria" w:eastAsia="Times New Roman" w:hAnsi="Cambria" w:cs="Times New Roman"/>
          <w:lang w:eastAsia="en-GB"/>
        </w:rPr>
        <w:t xml:space="preserve">s </w:t>
      </w:r>
      <w:r w:rsidR="005F57DD" w:rsidRPr="00552D93">
        <w:rPr>
          <w:rFonts w:ascii="Cambria" w:eastAsia="Times New Roman" w:hAnsi="Cambria" w:cs="Times New Roman"/>
          <w:lang w:eastAsia="en-GB"/>
        </w:rPr>
        <w:t xml:space="preserve">consumed </w:t>
      </w:r>
      <w:r w:rsidR="00A73C17" w:rsidRPr="00552D93">
        <w:rPr>
          <w:rFonts w:ascii="Cambria" w:eastAsia="Times New Roman" w:hAnsi="Cambria" w:cs="Times New Roman"/>
          <w:lang w:eastAsia="en-GB"/>
        </w:rPr>
        <w:t xml:space="preserve">about 3.6 times more alcohol to </w:t>
      </w:r>
      <w:r w:rsidR="00EE157C" w:rsidRPr="00552D93">
        <w:rPr>
          <w:rFonts w:ascii="Cambria" w:eastAsia="Times New Roman" w:hAnsi="Cambria" w:cs="Times New Roman"/>
          <w:lang w:eastAsia="en-GB"/>
        </w:rPr>
        <w:t xml:space="preserve">reach </w:t>
      </w:r>
      <w:r w:rsidR="00A73C17" w:rsidRPr="00552D93">
        <w:rPr>
          <w:rFonts w:ascii="Cambria" w:eastAsia="Times New Roman" w:hAnsi="Cambria" w:cs="Times New Roman"/>
          <w:lang w:eastAsia="en-GB"/>
        </w:rPr>
        <w:t>the tipping point than to feel the effects whereas female</w:t>
      </w:r>
      <w:r w:rsidR="005F57DD" w:rsidRPr="00552D93">
        <w:rPr>
          <w:rFonts w:ascii="Cambria" w:eastAsia="Times New Roman" w:hAnsi="Cambria" w:cs="Times New Roman"/>
          <w:lang w:eastAsia="en-GB"/>
        </w:rPr>
        <w:t xml:space="preserve"> respondent</w:t>
      </w:r>
      <w:r w:rsidR="00A73C17" w:rsidRPr="00552D93">
        <w:rPr>
          <w:rFonts w:ascii="Cambria" w:eastAsia="Times New Roman" w:hAnsi="Cambria" w:cs="Times New Roman"/>
          <w:lang w:eastAsia="en-GB"/>
        </w:rPr>
        <w:t xml:space="preserve">s needed 3.2 times more. </w:t>
      </w:r>
      <w:r w:rsidR="003D2E09" w:rsidRPr="00552D93">
        <w:rPr>
          <w:rFonts w:ascii="Cambria" w:eastAsia="Times New Roman" w:hAnsi="Cambria" w:cs="Times New Roman"/>
          <w:lang w:eastAsia="en-GB"/>
        </w:rPr>
        <w:t>Respondents in higher AUDIT categories reported consum</w:t>
      </w:r>
      <w:r w:rsidR="005F57DD" w:rsidRPr="00552D93">
        <w:rPr>
          <w:rFonts w:ascii="Cambria" w:eastAsia="Times New Roman" w:hAnsi="Cambria" w:cs="Times New Roman"/>
          <w:lang w:eastAsia="en-GB"/>
        </w:rPr>
        <w:t>ing</w:t>
      </w:r>
      <w:r w:rsidR="003D2E09" w:rsidRPr="00552D93">
        <w:rPr>
          <w:rFonts w:ascii="Cambria" w:eastAsia="Times New Roman" w:hAnsi="Cambria" w:cs="Times New Roman"/>
          <w:lang w:eastAsia="en-GB"/>
        </w:rPr>
        <w:t xml:space="preserve"> more to reach each stage of intoxication</w:t>
      </w:r>
      <w:r w:rsidR="008C0B14" w:rsidRPr="00552D93">
        <w:rPr>
          <w:rFonts w:ascii="Cambria" w:eastAsia="Times New Roman" w:hAnsi="Cambria" w:cs="Times New Roman"/>
          <w:lang w:eastAsia="en-GB"/>
        </w:rPr>
        <w:t>.</w:t>
      </w:r>
      <w:r w:rsidR="00297275" w:rsidRPr="00552D93">
        <w:rPr>
          <w:rFonts w:ascii="Cambria" w:eastAsia="Times New Roman" w:hAnsi="Cambria" w:cs="Times New Roman"/>
          <w:lang w:eastAsia="en-GB"/>
        </w:rPr>
        <w:t xml:space="preserve"> </w:t>
      </w:r>
      <w:r w:rsidR="003D2E09" w:rsidRPr="00552D93">
        <w:rPr>
          <w:rFonts w:ascii="Cambria" w:eastAsia="Times New Roman" w:hAnsi="Cambria" w:cs="Times New Roman"/>
          <w:lang w:eastAsia="en-GB"/>
        </w:rPr>
        <w:t>Respondents younger than 25 years reported consuming higher amounts to reach each stage when compared to those 25 years and older.</w:t>
      </w:r>
      <w:r w:rsidR="00297275" w:rsidRPr="00552D93">
        <w:rPr>
          <w:rFonts w:ascii="Cambria" w:eastAsia="Times New Roman" w:hAnsi="Cambria" w:cs="Times New Roman"/>
          <w:lang w:eastAsia="en-GB"/>
        </w:rPr>
        <w:t xml:space="preserve"> </w:t>
      </w:r>
      <w:r w:rsidR="003D2E09" w:rsidRPr="00552D93">
        <w:rPr>
          <w:rFonts w:ascii="Cambria" w:eastAsia="Times New Roman" w:hAnsi="Cambria" w:cs="Times New Roman"/>
          <w:lang w:eastAsia="en-GB"/>
        </w:rPr>
        <w:t>When looking a</w:t>
      </w:r>
      <w:r w:rsidR="000B4AC6" w:rsidRPr="00552D93">
        <w:rPr>
          <w:rFonts w:ascii="Cambria" w:eastAsia="Times New Roman" w:hAnsi="Cambria" w:cs="Times New Roman"/>
          <w:lang w:eastAsia="en-GB"/>
        </w:rPr>
        <w:t>t age as a continuous measure, Pearson</w:t>
      </w:r>
      <w:r w:rsidR="003D2E09" w:rsidRPr="00552D93">
        <w:rPr>
          <w:rFonts w:ascii="Cambria" w:eastAsia="Times New Roman" w:hAnsi="Cambria" w:cs="Times New Roman"/>
          <w:lang w:eastAsia="en-GB"/>
        </w:rPr>
        <w:t xml:space="preserve"> correlations confirmed </w:t>
      </w:r>
      <w:r w:rsidR="005D1917" w:rsidRPr="00552D93">
        <w:rPr>
          <w:rFonts w:ascii="Cambria" w:eastAsia="Times New Roman" w:hAnsi="Cambria" w:cs="Times New Roman"/>
          <w:lang w:eastAsia="en-GB"/>
        </w:rPr>
        <w:t>this relationship.</w:t>
      </w:r>
      <w:r w:rsidR="00297275" w:rsidRPr="00552D93">
        <w:rPr>
          <w:rFonts w:ascii="Cambria" w:eastAsia="Times New Roman" w:hAnsi="Cambria" w:cs="Times New Roman"/>
          <w:lang w:eastAsia="en-GB"/>
        </w:rPr>
        <w:t xml:space="preserve"> </w:t>
      </w:r>
      <w:r w:rsidR="005D1917" w:rsidRPr="00552D93">
        <w:rPr>
          <w:rFonts w:ascii="Cambria" w:eastAsia="Times New Roman" w:hAnsi="Cambria" w:cs="Times New Roman"/>
          <w:lang w:eastAsia="en-GB"/>
        </w:rPr>
        <w:t xml:space="preserve">There were weak </w:t>
      </w:r>
      <w:r w:rsidR="003D2E09" w:rsidRPr="00552D93">
        <w:rPr>
          <w:rFonts w:ascii="Cambria" w:eastAsia="Times New Roman" w:hAnsi="Cambria" w:cs="Times New Roman"/>
          <w:lang w:eastAsia="en-GB"/>
        </w:rPr>
        <w:t>significant negative correlation</w:t>
      </w:r>
      <w:r w:rsidR="0084323A" w:rsidRPr="00552D93">
        <w:rPr>
          <w:rFonts w:ascii="Cambria" w:eastAsia="Times New Roman" w:hAnsi="Cambria" w:cs="Times New Roman"/>
          <w:lang w:eastAsia="en-GB"/>
        </w:rPr>
        <w:t>s</w:t>
      </w:r>
      <w:r w:rsidR="003D2E09" w:rsidRPr="00552D93">
        <w:rPr>
          <w:rFonts w:ascii="Cambria" w:eastAsia="Times New Roman" w:hAnsi="Cambria" w:cs="Times New Roman"/>
          <w:lang w:eastAsia="en-GB"/>
        </w:rPr>
        <w:t xml:space="preserve"> between age and alcohol grams for feeling the effects (r</w:t>
      </w:r>
      <w:r w:rsidR="00957F20" w:rsidRPr="00552D93">
        <w:rPr>
          <w:rFonts w:ascii="Cambria" w:eastAsia="Times New Roman" w:hAnsi="Cambria" w:cs="Times New Roman"/>
          <w:lang w:eastAsia="en-GB"/>
        </w:rPr>
        <w:t xml:space="preserve"> = -.123</w:t>
      </w:r>
      <w:r w:rsidR="003D2E09" w:rsidRPr="00552D93">
        <w:rPr>
          <w:rFonts w:ascii="Cambria" w:eastAsia="Times New Roman" w:hAnsi="Cambria" w:cs="Times New Roman"/>
          <w:lang w:eastAsia="en-GB"/>
        </w:rPr>
        <w:t>, p&lt;.001), getting as drunk as you would like to be (r</w:t>
      </w:r>
      <w:r w:rsidR="00957F20" w:rsidRPr="00552D93">
        <w:rPr>
          <w:rFonts w:ascii="Cambria" w:eastAsia="Times New Roman" w:hAnsi="Cambria" w:cs="Times New Roman"/>
          <w:lang w:eastAsia="en-GB"/>
        </w:rPr>
        <w:t xml:space="preserve"> = -.152</w:t>
      </w:r>
      <w:r w:rsidR="003D2E09" w:rsidRPr="00552D93">
        <w:rPr>
          <w:rFonts w:ascii="Cambria" w:eastAsia="Times New Roman" w:hAnsi="Cambria" w:cs="Times New Roman"/>
          <w:lang w:eastAsia="en-GB"/>
        </w:rPr>
        <w:t xml:space="preserve">, p&lt;.001) and </w:t>
      </w:r>
      <w:r w:rsidR="00EE157C" w:rsidRPr="00552D93">
        <w:rPr>
          <w:rFonts w:ascii="Cambria" w:eastAsia="Times New Roman" w:hAnsi="Cambria" w:cs="Times New Roman"/>
          <w:lang w:eastAsia="en-GB"/>
        </w:rPr>
        <w:t>reaching</w:t>
      </w:r>
      <w:r w:rsidR="003D2E09" w:rsidRPr="00552D93">
        <w:rPr>
          <w:rFonts w:ascii="Cambria" w:eastAsia="Times New Roman" w:hAnsi="Cambria" w:cs="Times New Roman"/>
          <w:lang w:eastAsia="en-GB"/>
        </w:rPr>
        <w:t xml:space="preserve"> the tipping point (r</w:t>
      </w:r>
      <w:r w:rsidR="003D2E09" w:rsidRPr="00552D93">
        <w:rPr>
          <w:rFonts w:ascii="Cambria" w:eastAsia="Times New Roman" w:hAnsi="Cambria" w:cs="Times New Roman"/>
          <w:vertAlign w:val="subscript"/>
          <w:lang w:eastAsia="en-GB"/>
        </w:rPr>
        <w:t>s</w:t>
      </w:r>
      <w:r w:rsidR="003D2E09" w:rsidRPr="00552D93">
        <w:rPr>
          <w:rFonts w:ascii="Cambria" w:eastAsia="Times New Roman" w:hAnsi="Cambria" w:cs="Times New Roman"/>
          <w:lang w:eastAsia="en-GB"/>
        </w:rPr>
        <w:t xml:space="preserve"> = -</w:t>
      </w:r>
      <w:r w:rsidR="00957F20" w:rsidRPr="00552D93">
        <w:rPr>
          <w:rFonts w:ascii="Cambria" w:eastAsia="Times New Roman" w:hAnsi="Cambria" w:cs="Times New Roman"/>
          <w:lang w:eastAsia="en-GB"/>
        </w:rPr>
        <w:t>.162</w:t>
      </w:r>
      <w:r w:rsidR="003D2E09" w:rsidRPr="00552D93">
        <w:rPr>
          <w:rFonts w:ascii="Cambria" w:eastAsia="Times New Roman" w:hAnsi="Cambria" w:cs="Times New Roman"/>
          <w:lang w:eastAsia="en-GB"/>
        </w:rPr>
        <w:t>, p&lt;.001).</w:t>
      </w:r>
      <w:r w:rsidR="00B62DFA" w:rsidRPr="00552D93">
        <w:rPr>
          <w:rFonts w:ascii="Cambria" w:eastAsia="Times New Roman" w:hAnsi="Cambria" w:cs="Times New Roman"/>
          <w:lang w:eastAsia="en-GB"/>
        </w:rPr>
        <w:t xml:space="preserve"> </w:t>
      </w:r>
    </w:p>
    <w:p w14:paraId="7C4A0FC1" w14:textId="68858B47" w:rsidR="00646933" w:rsidRPr="00552D93" w:rsidRDefault="00B42FBF" w:rsidP="00333688">
      <w:pPr>
        <w:spacing w:before="100" w:beforeAutospacing="1" w:after="100" w:afterAutospacing="1" w:line="480" w:lineRule="auto"/>
        <w:jc w:val="center"/>
        <w:rPr>
          <w:rFonts w:ascii="Cambria" w:eastAsia="Times New Roman" w:hAnsi="Cambria" w:cs="Times New Roman"/>
          <w:lang w:eastAsia="en-GB"/>
        </w:rPr>
      </w:pPr>
      <w:r w:rsidRPr="00552D93">
        <w:rPr>
          <w:rFonts w:ascii="Cambria" w:eastAsia="Times New Roman" w:hAnsi="Cambria" w:cs="Times New Roman"/>
          <w:lang w:eastAsia="en-GB"/>
        </w:rPr>
        <w:t>[Insert Table 3</w:t>
      </w:r>
      <w:r w:rsidR="009A347D" w:rsidRPr="00552D93">
        <w:rPr>
          <w:rFonts w:ascii="Cambria" w:eastAsia="Times New Roman" w:hAnsi="Cambria" w:cs="Times New Roman"/>
          <w:lang w:eastAsia="en-GB"/>
        </w:rPr>
        <w:t>]</w:t>
      </w:r>
    </w:p>
    <w:p w14:paraId="404B57E6" w14:textId="2775ABA3" w:rsidR="00646933" w:rsidRPr="00552D93" w:rsidRDefault="00ED6426" w:rsidP="00646933">
      <w:pPr>
        <w:spacing w:before="100" w:beforeAutospacing="1" w:after="100" w:afterAutospacing="1" w:line="480" w:lineRule="auto"/>
        <w:rPr>
          <w:rFonts w:ascii="Cambria" w:eastAsia="Times New Roman" w:hAnsi="Cambria" w:cs="Arial"/>
          <w:i/>
          <w:szCs w:val="24"/>
          <w:lang w:eastAsia="en-GB"/>
        </w:rPr>
      </w:pPr>
      <w:r w:rsidRPr="00552D93">
        <w:rPr>
          <w:rFonts w:ascii="Cambria" w:eastAsia="Times New Roman" w:hAnsi="Cambria" w:cs="Arial"/>
          <w:i/>
          <w:szCs w:val="24"/>
          <w:lang w:eastAsia="en-GB"/>
        </w:rPr>
        <w:t>Chi squared tests c</w:t>
      </w:r>
      <w:r w:rsidR="00646933" w:rsidRPr="00552D93">
        <w:rPr>
          <w:rFonts w:ascii="Cambria" w:eastAsia="Times New Roman" w:hAnsi="Cambria" w:cs="Arial"/>
          <w:i/>
          <w:szCs w:val="24"/>
          <w:lang w:eastAsia="en-GB"/>
        </w:rPr>
        <w:t>omparing the frequency of reaching each stage of intoxication</w:t>
      </w:r>
      <w:r w:rsidR="00EF6C7F" w:rsidRPr="00552D93">
        <w:rPr>
          <w:rFonts w:ascii="Cambria" w:eastAsia="Times New Roman" w:hAnsi="Cambria" w:cs="Arial"/>
          <w:i/>
          <w:szCs w:val="24"/>
          <w:lang w:eastAsia="en-GB"/>
        </w:rPr>
        <w:t>.</w:t>
      </w:r>
    </w:p>
    <w:p w14:paraId="1326D69A" w14:textId="159F79C5" w:rsidR="00564697" w:rsidRPr="00552D93" w:rsidRDefault="004E4B45" w:rsidP="00646933">
      <w:pPr>
        <w:spacing w:before="100" w:beforeAutospacing="1" w:after="100" w:afterAutospacing="1" w:line="480" w:lineRule="auto"/>
        <w:rPr>
          <w:rFonts w:ascii="Cambria" w:eastAsia="Times New Roman" w:hAnsi="Cambria" w:cs="Times New Roman"/>
          <w:lang w:eastAsia="en-GB"/>
        </w:rPr>
      </w:pPr>
      <w:r w:rsidRPr="00552D93">
        <w:rPr>
          <w:rFonts w:ascii="Cambria" w:eastAsia="Times New Roman" w:hAnsi="Cambria" w:cs="Times New Roman"/>
          <w:shd w:val="clear" w:color="auto" w:fill="FFFFFF"/>
          <w:lang w:eastAsia="en-GB"/>
        </w:rPr>
        <w:t>After it was established that respondents drank in excess of 60g</w:t>
      </w:r>
      <w:r w:rsidR="0084323A" w:rsidRPr="00552D93">
        <w:rPr>
          <w:rFonts w:ascii="Cambria" w:eastAsia="Times New Roman" w:hAnsi="Cambria" w:cs="Times New Roman"/>
          <w:shd w:val="clear" w:color="auto" w:fill="FFFFFF"/>
          <w:lang w:eastAsia="en-GB"/>
        </w:rPr>
        <w:t>m</w:t>
      </w:r>
      <w:r w:rsidRPr="00552D93">
        <w:rPr>
          <w:rFonts w:ascii="Cambria" w:eastAsia="Times New Roman" w:hAnsi="Cambria" w:cs="Times New Roman"/>
          <w:shd w:val="clear" w:color="auto" w:fill="FFFFFF"/>
          <w:lang w:eastAsia="en-GB"/>
        </w:rPr>
        <w:t xml:space="preserve"> to be as drunk as they </w:t>
      </w:r>
      <w:r w:rsidR="00297275" w:rsidRPr="00552D93">
        <w:rPr>
          <w:rFonts w:ascii="Cambria" w:eastAsia="Times New Roman" w:hAnsi="Cambria" w:cs="Times New Roman"/>
          <w:shd w:val="clear" w:color="auto" w:fill="FFFFFF"/>
          <w:lang w:eastAsia="en-GB"/>
        </w:rPr>
        <w:t>want</w:t>
      </w:r>
      <w:r w:rsidRPr="00552D93">
        <w:rPr>
          <w:rFonts w:ascii="Cambria" w:eastAsia="Times New Roman" w:hAnsi="Cambria" w:cs="Times New Roman"/>
          <w:shd w:val="clear" w:color="auto" w:fill="FFFFFF"/>
          <w:lang w:eastAsia="en-GB"/>
        </w:rPr>
        <w:t xml:space="preserve"> to be and to reach their tipping point, </w:t>
      </w:r>
      <w:r w:rsidR="00CB0740" w:rsidRPr="00552D93">
        <w:rPr>
          <w:rFonts w:ascii="Cambria" w:eastAsia="Times New Roman" w:hAnsi="Cambria" w:cs="Times New Roman"/>
          <w:shd w:val="clear" w:color="auto" w:fill="FFFFFF"/>
          <w:lang w:eastAsia="en-GB"/>
        </w:rPr>
        <w:t xml:space="preserve">it </w:t>
      </w:r>
      <w:r w:rsidRPr="00552D93">
        <w:rPr>
          <w:rFonts w:ascii="Cambria" w:eastAsia="Times New Roman" w:hAnsi="Cambria" w:cs="Times New Roman"/>
          <w:shd w:val="clear" w:color="auto" w:fill="FFFFFF"/>
          <w:lang w:eastAsia="en-GB"/>
        </w:rPr>
        <w:t xml:space="preserve">was </w:t>
      </w:r>
      <w:r w:rsidR="00CB0740" w:rsidRPr="00552D93">
        <w:rPr>
          <w:rFonts w:ascii="Cambria" w:eastAsia="Times New Roman" w:hAnsi="Cambria" w:cs="Times New Roman"/>
          <w:shd w:val="clear" w:color="auto" w:fill="FFFFFF"/>
          <w:lang w:eastAsia="en-GB"/>
        </w:rPr>
        <w:t xml:space="preserve">deemed </w:t>
      </w:r>
      <w:r w:rsidRPr="00552D93">
        <w:rPr>
          <w:rFonts w:ascii="Cambria" w:eastAsia="Times New Roman" w:hAnsi="Cambria" w:cs="Times New Roman"/>
          <w:shd w:val="clear" w:color="auto" w:fill="FFFFFF"/>
          <w:lang w:eastAsia="en-GB"/>
        </w:rPr>
        <w:t xml:space="preserve">pertinent to explore what </w:t>
      </w:r>
      <w:r w:rsidR="0079156A" w:rsidRPr="00552D93">
        <w:rPr>
          <w:rFonts w:ascii="Cambria" w:eastAsia="Times New Roman" w:hAnsi="Cambria" w:cs="Times New Roman"/>
          <w:shd w:val="clear" w:color="auto" w:fill="FFFFFF"/>
          <w:lang w:eastAsia="en-GB"/>
        </w:rPr>
        <w:t xml:space="preserve">factors were linked to </w:t>
      </w:r>
      <w:r w:rsidRPr="00552D93">
        <w:rPr>
          <w:rFonts w:ascii="Cambria" w:eastAsia="Times New Roman" w:hAnsi="Cambria" w:cs="Times New Roman"/>
          <w:shd w:val="clear" w:color="auto" w:fill="FFFFFF"/>
          <w:lang w:eastAsia="en-GB"/>
        </w:rPr>
        <w:t xml:space="preserve">people </w:t>
      </w:r>
      <w:r w:rsidR="0084323A" w:rsidRPr="00552D93">
        <w:rPr>
          <w:rFonts w:ascii="Cambria" w:eastAsia="Times New Roman" w:hAnsi="Cambria" w:cs="Times New Roman"/>
          <w:shd w:val="clear" w:color="auto" w:fill="FFFFFF"/>
          <w:lang w:eastAsia="en-GB"/>
        </w:rPr>
        <w:t>feeling the effects and reaching the tipping point</w:t>
      </w:r>
      <w:r w:rsidR="00297275" w:rsidRPr="00552D93">
        <w:rPr>
          <w:rFonts w:ascii="Cambria" w:eastAsia="Times New Roman" w:hAnsi="Cambria" w:cs="Times New Roman"/>
          <w:shd w:val="clear" w:color="auto" w:fill="FFFFFF"/>
          <w:lang w:eastAsia="en-GB"/>
        </w:rPr>
        <w:t xml:space="preserve"> </w:t>
      </w:r>
      <w:r w:rsidRPr="00552D93">
        <w:rPr>
          <w:rFonts w:ascii="Cambria" w:eastAsia="Times New Roman" w:hAnsi="Cambria" w:cs="Times New Roman"/>
          <w:shd w:val="clear" w:color="auto" w:fill="FFFFFF"/>
          <w:lang w:eastAsia="en-GB"/>
        </w:rPr>
        <w:t>at least on a monthly basis, as they would be at increased risk of acute harms, and thus should be the target for interventions.</w:t>
      </w:r>
      <w:r w:rsidR="00297275" w:rsidRPr="00552D93">
        <w:rPr>
          <w:rFonts w:ascii="Cambria" w:eastAsia="Times New Roman" w:hAnsi="Cambria" w:cs="Times New Roman"/>
          <w:shd w:val="clear" w:color="auto" w:fill="FFFFFF"/>
          <w:lang w:eastAsia="en-GB"/>
        </w:rPr>
        <w:t xml:space="preserve"> </w:t>
      </w:r>
      <w:r w:rsidRPr="00552D93">
        <w:rPr>
          <w:rFonts w:ascii="Cambria" w:eastAsia="Times New Roman" w:hAnsi="Cambria" w:cs="Times New Roman"/>
          <w:shd w:val="clear" w:color="auto" w:fill="FFFFFF"/>
          <w:lang w:eastAsia="en-GB"/>
        </w:rPr>
        <w:t xml:space="preserve">Thus, </w:t>
      </w:r>
      <w:r w:rsidR="00ED6426" w:rsidRPr="00552D93">
        <w:rPr>
          <w:rFonts w:ascii="Cambria" w:eastAsia="Times New Roman" w:hAnsi="Cambria" w:cs="Times New Roman"/>
          <w:shd w:val="clear" w:color="auto" w:fill="FFFFFF"/>
          <w:lang w:eastAsia="en-GB"/>
        </w:rPr>
        <w:t xml:space="preserve">we combined ‘at least weekly’ and at least monthly into one category (often), and ‘at least once a </w:t>
      </w:r>
      <w:r w:rsidR="00ED6426" w:rsidRPr="00552D93">
        <w:rPr>
          <w:rFonts w:ascii="Cambria" w:eastAsia="Times New Roman" w:hAnsi="Cambria" w:cs="Times New Roman"/>
          <w:shd w:val="clear" w:color="auto" w:fill="FFFFFF"/>
          <w:lang w:eastAsia="en-GB"/>
        </w:rPr>
        <w:lastRenderedPageBreak/>
        <w:t>year’, ‘less than once a year’ and ‘never’ into another category (rarely/never).</w:t>
      </w:r>
      <w:r w:rsidR="00297275" w:rsidRPr="00552D93">
        <w:rPr>
          <w:rFonts w:ascii="Cambria" w:eastAsia="Times New Roman" w:hAnsi="Cambria" w:cs="Times New Roman"/>
          <w:shd w:val="clear" w:color="auto" w:fill="FFFFFF"/>
          <w:lang w:eastAsia="en-GB"/>
        </w:rPr>
        <w:t xml:space="preserve"> </w:t>
      </w:r>
      <w:r w:rsidR="00ED6426" w:rsidRPr="00552D93">
        <w:rPr>
          <w:rFonts w:ascii="Cambria" w:eastAsia="Times New Roman" w:hAnsi="Cambria" w:cs="Times New Roman"/>
          <w:lang w:eastAsia="en-GB"/>
        </w:rPr>
        <w:t>The</w:t>
      </w:r>
      <w:r w:rsidR="00646933" w:rsidRPr="00552D93">
        <w:rPr>
          <w:rFonts w:ascii="Cambria" w:eastAsia="Times New Roman" w:hAnsi="Cambria" w:cs="Times New Roman"/>
          <w:lang w:eastAsia="en-GB"/>
        </w:rPr>
        <w:t xml:space="preserve"> frequency of reaching each stage of intoxication </w:t>
      </w:r>
      <w:r w:rsidR="00ED6426" w:rsidRPr="00552D93">
        <w:rPr>
          <w:rFonts w:ascii="Cambria" w:eastAsia="Times New Roman" w:hAnsi="Cambria" w:cs="Times New Roman"/>
          <w:lang w:eastAsia="en-GB"/>
        </w:rPr>
        <w:t xml:space="preserve">often vs rarely/never for </w:t>
      </w:r>
      <w:r w:rsidR="003A6CF1" w:rsidRPr="00552D93">
        <w:rPr>
          <w:rFonts w:ascii="Cambria" w:eastAsia="Times New Roman" w:hAnsi="Cambria" w:cs="Times New Roman"/>
          <w:lang w:eastAsia="en-GB"/>
        </w:rPr>
        <w:t xml:space="preserve">demographic characteristics and </w:t>
      </w:r>
      <w:r w:rsidR="00646933" w:rsidRPr="00552D93">
        <w:rPr>
          <w:rFonts w:ascii="Cambria" w:eastAsia="Times New Roman" w:hAnsi="Cambria" w:cs="Times New Roman"/>
          <w:lang w:eastAsia="en-GB"/>
        </w:rPr>
        <w:t xml:space="preserve">AUDIT category are reported in </w:t>
      </w:r>
      <w:r w:rsidR="00ED6426" w:rsidRPr="00552D93">
        <w:rPr>
          <w:rFonts w:ascii="Cambria" w:eastAsia="Times New Roman" w:hAnsi="Cambria" w:cs="Times New Roman"/>
          <w:lang w:eastAsia="en-GB"/>
        </w:rPr>
        <w:t xml:space="preserve">Table 4 and </w:t>
      </w:r>
      <w:r w:rsidR="00ED6426" w:rsidRPr="00552D93">
        <w:rPr>
          <w:rFonts w:ascii="Calibri" w:hAnsi="Calibri"/>
          <w:lang w:val="en-US"/>
        </w:rPr>
        <w:t>χ</w:t>
      </w:r>
      <w:r w:rsidR="00ED6426" w:rsidRPr="00552D93">
        <w:rPr>
          <w:rFonts w:ascii="Calibri" w:hAnsi="Calibri"/>
          <w:vertAlign w:val="superscript"/>
          <w:lang w:val="en-US"/>
        </w:rPr>
        <w:t xml:space="preserve">2 </w:t>
      </w:r>
      <w:r w:rsidR="00ED6426" w:rsidRPr="00552D93">
        <w:rPr>
          <w:rFonts w:ascii="Cambria" w:eastAsia="Times New Roman" w:hAnsi="Cambria" w:cs="Times New Roman"/>
          <w:lang w:eastAsia="en-GB"/>
        </w:rPr>
        <w:t xml:space="preserve">were used to compare the frequencies without accounting for country of </w:t>
      </w:r>
      <w:r w:rsidR="00297275" w:rsidRPr="00552D93">
        <w:rPr>
          <w:rFonts w:ascii="Cambria" w:eastAsia="Times New Roman" w:hAnsi="Cambria" w:cs="Times New Roman"/>
          <w:lang w:eastAsia="en-GB"/>
        </w:rPr>
        <w:t>residence</w:t>
      </w:r>
      <w:r w:rsidR="00ED6426" w:rsidRPr="00552D93">
        <w:rPr>
          <w:rFonts w:ascii="Cambria" w:eastAsia="Times New Roman" w:hAnsi="Cambria" w:cs="Times New Roman"/>
          <w:lang w:eastAsia="en-GB"/>
        </w:rPr>
        <w:t>.</w:t>
      </w:r>
      <w:r w:rsidR="00297275" w:rsidRPr="00552D93">
        <w:rPr>
          <w:rFonts w:ascii="Cambria" w:eastAsia="Times New Roman" w:hAnsi="Cambria" w:cs="Times New Roman"/>
          <w:lang w:eastAsia="en-GB"/>
        </w:rPr>
        <w:t xml:space="preserve"> </w:t>
      </w:r>
      <w:r w:rsidR="00060C00" w:rsidRPr="00552D93">
        <w:rPr>
          <w:rFonts w:ascii="Cambria" w:eastAsia="Times New Roman" w:hAnsi="Cambria" w:cs="Times New Roman"/>
          <w:lang w:eastAsia="en-GB"/>
        </w:rPr>
        <w:t>Respondents who identified as m</w:t>
      </w:r>
      <w:r w:rsidR="00533F9D" w:rsidRPr="00552D93">
        <w:rPr>
          <w:rFonts w:ascii="Cambria" w:eastAsia="Times New Roman" w:hAnsi="Cambria" w:cs="Times New Roman"/>
          <w:lang w:eastAsia="en-GB"/>
        </w:rPr>
        <w:t xml:space="preserve">ale and </w:t>
      </w:r>
      <w:r w:rsidR="00060C00" w:rsidRPr="00552D93">
        <w:rPr>
          <w:rFonts w:ascii="Cambria" w:eastAsia="Times New Roman" w:hAnsi="Cambria" w:cs="Times New Roman"/>
          <w:lang w:eastAsia="en-GB"/>
        </w:rPr>
        <w:t>those</w:t>
      </w:r>
      <w:r w:rsidR="00977ED4" w:rsidRPr="00552D93">
        <w:rPr>
          <w:rFonts w:ascii="Cambria" w:eastAsia="Times New Roman" w:hAnsi="Cambria" w:cs="Times New Roman"/>
          <w:lang w:eastAsia="en-GB"/>
        </w:rPr>
        <w:t xml:space="preserve"> under </w:t>
      </w:r>
      <w:r w:rsidR="00533F9D" w:rsidRPr="00552D93">
        <w:rPr>
          <w:rFonts w:ascii="Cambria" w:eastAsia="Times New Roman" w:hAnsi="Cambria" w:cs="Times New Roman"/>
          <w:lang w:eastAsia="en-GB"/>
        </w:rPr>
        <w:t xml:space="preserve">25 years </w:t>
      </w:r>
      <w:r w:rsidR="00646933" w:rsidRPr="00552D93">
        <w:rPr>
          <w:rFonts w:ascii="Cambria" w:eastAsia="Times New Roman" w:hAnsi="Cambria" w:cs="Times New Roman"/>
          <w:lang w:eastAsia="en-GB"/>
        </w:rPr>
        <w:t>were more likely to reach each stage at least monthly.</w:t>
      </w:r>
      <w:r w:rsidR="00297275" w:rsidRPr="00552D93">
        <w:rPr>
          <w:rFonts w:ascii="Cambria" w:eastAsia="Times New Roman" w:hAnsi="Cambria" w:cs="Times New Roman"/>
          <w:lang w:eastAsia="en-GB"/>
        </w:rPr>
        <w:t xml:space="preserve"> </w:t>
      </w:r>
      <w:r w:rsidR="00456284" w:rsidRPr="00552D93">
        <w:rPr>
          <w:rFonts w:ascii="Cambria" w:eastAsia="Times New Roman" w:hAnsi="Cambria" w:cs="Times New Roman"/>
          <w:lang w:eastAsia="en-GB"/>
        </w:rPr>
        <w:t>Those in higher AUDIT categories were more likely to report reaching each stage of intoxication at least monthly.</w:t>
      </w:r>
      <w:r w:rsidR="00297275" w:rsidRPr="00552D93">
        <w:rPr>
          <w:rFonts w:ascii="Cambria" w:eastAsia="Times New Roman" w:hAnsi="Cambria" w:cs="Times New Roman"/>
          <w:lang w:eastAsia="en-GB"/>
        </w:rPr>
        <w:t xml:space="preserve"> </w:t>
      </w:r>
    </w:p>
    <w:p w14:paraId="05A17DD3" w14:textId="623E5794" w:rsidR="009072C7" w:rsidRPr="00552D93" w:rsidRDefault="00B42FBF" w:rsidP="009072C7">
      <w:pPr>
        <w:spacing w:before="100" w:beforeAutospacing="1" w:after="100" w:afterAutospacing="1" w:line="480" w:lineRule="auto"/>
        <w:jc w:val="center"/>
        <w:rPr>
          <w:rFonts w:ascii="Cambria" w:eastAsia="Times New Roman" w:hAnsi="Cambria" w:cs="Times New Roman"/>
          <w:lang w:eastAsia="en-GB"/>
        </w:rPr>
      </w:pPr>
      <w:r w:rsidRPr="00552D93">
        <w:rPr>
          <w:rFonts w:ascii="Cambria" w:eastAsia="Times New Roman" w:hAnsi="Cambria" w:cs="Times New Roman"/>
          <w:lang w:eastAsia="en-GB"/>
        </w:rPr>
        <w:t>[Insert Table 4</w:t>
      </w:r>
      <w:r w:rsidR="009072C7" w:rsidRPr="00552D93">
        <w:rPr>
          <w:rFonts w:ascii="Cambria" w:eastAsia="Times New Roman" w:hAnsi="Cambria" w:cs="Times New Roman"/>
          <w:lang w:eastAsia="en-GB"/>
        </w:rPr>
        <w:t>]</w:t>
      </w:r>
    </w:p>
    <w:p w14:paraId="21C1840E" w14:textId="418B716A" w:rsidR="00564697" w:rsidRPr="00552D93" w:rsidRDefault="0079156A" w:rsidP="00646933">
      <w:pPr>
        <w:spacing w:before="100" w:beforeAutospacing="1" w:after="100" w:afterAutospacing="1" w:line="480" w:lineRule="auto"/>
        <w:rPr>
          <w:rFonts w:ascii="Cambria" w:eastAsia="Times New Roman" w:hAnsi="Cambria" w:cs="Times New Roman"/>
          <w:i/>
          <w:lang w:eastAsia="en-GB"/>
        </w:rPr>
      </w:pPr>
      <w:r w:rsidRPr="00552D93">
        <w:rPr>
          <w:rFonts w:ascii="Cambria" w:eastAsia="Times New Roman" w:hAnsi="Cambria" w:cs="Times New Roman"/>
          <w:i/>
          <w:lang w:eastAsia="en-GB"/>
        </w:rPr>
        <w:t>Factors associated with</w:t>
      </w:r>
      <w:r w:rsidR="000A4370" w:rsidRPr="00552D93">
        <w:rPr>
          <w:rFonts w:ascii="Cambria" w:eastAsia="Times New Roman" w:hAnsi="Cambria" w:cs="Times New Roman"/>
          <w:i/>
          <w:lang w:eastAsia="en-GB"/>
        </w:rPr>
        <w:t xml:space="preserve"> </w:t>
      </w:r>
      <w:r w:rsidRPr="00552D93">
        <w:rPr>
          <w:rFonts w:ascii="Cambria" w:eastAsia="Times New Roman" w:hAnsi="Cambria" w:cs="Times New Roman"/>
          <w:i/>
          <w:lang w:eastAsia="en-GB"/>
        </w:rPr>
        <w:t xml:space="preserve">frequency of </w:t>
      </w:r>
      <w:r w:rsidR="00564697" w:rsidRPr="00552D93">
        <w:rPr>
          <w:rFonts w:ascii="Cambria" w:eastAsia="Times New Roman" w:hAnsi="Cambria" w:cs="Times New Roman"/>
          <w:i/>
          <w:lang w:eastAsia="en-GB"/>
        </w:rPr>
        <w:t>reac</w:t>
      </w:r>
      <w:r w:rsidR="000A4370" w:rsidRPr="00552D93">
        <w:rPr>
          <w:rFonts w:ascii="Cambria" w:eastAsia="Times New Roman" w:hAnsi="Cambria" w:cs="Times New Roman"/>
          <w:i/>
          <w:lang w:eastAsia="en-GB"/>
        </w:rPr>
        <w:t xml:space="preserve">hing each stage of intoxication </w:t>
      </w:r>
    </w:p>
    <w:p w14:paraId="2577E4E7" w14:textId="294844A6" w:rsidR="00646933" w:rsidRPr="00552D93" w:rsidRDefault="00B42FBF" w:rsidP="00646933">
      <w:pPr>
        <w:spacing w:before="100" w:beforeAutospacing="1" w:after="100" w:afterAutospacing="1" w:line="480" w:lineRule="auto"/>
        <w:rPr>
          <w:rFonts w:ascii="Cambria" w:eastAsia="Times New Roman" w:hAnsi="Cambria" w:cs="Times New Roman"/>
          <w:lang w:eastAsia="en-GB"/>
        </w:rPr>
      </w:pPr>
      <w:r w:rsidRPr="00552D93">
        <w:rPr>
          <w:rFonts w:ascii="Cambria" w:eastAsia="Times New Roman" w:hAnsi="Cambria" w:cs="Times New Roman"/>
          <w:lang w:eastAsia="en-GB"/>
        </w:rPr>
        <w:t xml:space="preserve">Models are presented in </w:t>
      </w:r>
      <w:r w:rsidR="00297275" w:rsidRPr="00552D93">
        <w:rPr>
          <w:rFonts w:ascii="Cambria" w:eastAsia="Times New Roman" w:hAnsi="Cambria" w:cs="Times New Roman"/>
          <w:lang w:eastAsia="en-GB"/>
        </w:rPr>
        <w:t>T</w:t>
      </w:r>
      <w:r w:rsidRPr="00552D93">
        <w:rPr>
          <w:rFonts w:ascii="Cambria" w:eastAsia="Times New Roman" w:hAnsi="Cambria" w:cs="Times New Roman"/>
          <w:lang w:eastAsia="en-GB"/>
        </w:rPr>
        <w:t>able 5</w:t>
      </w:r>
      <w:r w:rsidR="000A4370" w:rsidRPr="00552D93">
        <w:rPr>
          <w:rFonts w:ascii="Cambria" w:eastAsia="Times New Roman" w:hAnsi="Cambria" w:cs="Times New Roman"/>
          <w:lang w:eastAsia="en-GB"/>
        </w:rPr>
        <w:t>.</w:t>
      </w:r>
      <w:r w:rsidR="00297275" w:rsidRPr="00552D93">
        <w:rPr>
          <w:rFonts w:ascii="Cambria" w:eastAsia="Times New Roman" w:hAnsi="Cambria" w:cs="Times New Roman"/>
          <w:lang w:eastAsia="en-GB"/>
        </w:rPr>
        <w:t xml:space="preserve"> </w:t>
      </w:r>
      <w:r w:rsidRPr="00552D93">
        <w:rPr>
          <w:rFonts w:ascii="Cambria" w:eastAsia="Times New Roman" w:hAnsi="Cambria" w:cs="Times New Roman"/>
          <w:lang w:eastAsia="en-GB"/>
        </w:rPr>
        <w:t xml:space="preserve">Each model compares the likelihood of being in the at least weekly and at least monthly category </w:t>
      </w:r>
      <w:r w:rsidRPr="00552D93">
        <w:rPr>
          <w:rFonts w:ascii="Cambria" w:eastAsia="Times New Roman" w:hAnsi="Cambria" w:cs="Times New Roman"/>
          <w:shd w:val="clear" w:color="auto" w:fill="FFFFFF"/>
          <w:lang w:eastAsia="en-GB"/>
        </w:rPr>
        <w:t>(often), compared to the ‘at least once a year’, ‘less than once a year’ and ‘never’ category (rarely/never).</w:t>
      </w:r>
      <w:r w:rsidR="00297275" w:rsidRPr="00552D93">
        <w:rPr>
          <w:rFonts w:ascii="Cambria" w:eastAsia="Times New Roman" w:hAnsi="Cambria" w:cs="Times New Roman"/>
          <w:shd w:val="clear" w:color="auto" w:fill="FFFFFF"/>
          <w:lang w:eastAsia="en-GB"/>
        </w:rPr>
        <w:t xml:space="preserve"> </w:t>
      </w:r>
      <w:r w:rsidR="00646933" w:rsidRPr="00552D93">
        <w:rPr>
          <w:rFonts w:ascii="Cambria" w:eastAsia="Times New Roman" w:hAnsi="Cambria" w:cs="Times New Roman"/>
          <w:lang w:eastAsia="en-GB"/>
        </w:rPr>
        <w:t>For the frequency of feeling the effects, being</w:t>
      </w:r>
      <w:r w:rsidR="008D1C71" w:rsidRPr="00552D93">
        <w:rPr>
          <w:rFonts w:ascii="Cambria" w:eastAsia="Times New Roman" w:hAnsi="Cambria" w:cs="Times New Roman"/>
          <w:lang w:eastAsia="en-GB"/>
        </w:rPr>
        <w:t xml:space="preserve"> male, </w:t>
      </w:r>
      <w:r w:rsidR="00AC2543" w:rsidRPr="00552D93">
        <w:rPr>
          <w:rFonts w:ascii="Cambria" w:eastAsia="Times New Roman" w:hAnsi="Cambria" w:cs="Times New Roman"/>
          <w:lang w:eastAsia="en-GB"/>
        </w:rPr>
        <w:t>being younger</w:t>
      </w:r>
      <w:r w:rsidR="008D1C71" w:rsidRPr="00552D93">
        <w:rPr>
          <w:rFonts w:ascii="Cambria" w:eastAsia="Times New Roman" w:hAnsi="Cambria" w:cs="Times New Roman"/>
          <w:lang w:eastAsia="en-GB"/>
        </w:rPr>
        <w:t xml:space="preserve">, </w:t>
      </w:r>
      <w:r w:rsidR="00646933" w:rsidRPr="00552D93">
        <w:rPr>
          <w:rFonts w:ascii="Cambria" w:eastAsia="Times New Roman" w:hAnsi="Cambria" w:cs="Times New Roman"/>
          <w:lang w:eastAsia="en-GB"/>
        </w:rPr>
        <w:t>being in the upper three AUDIT categories com</w:t>
      </w:r>
      <w:r w:rsidR="008D1C71" w:rsidRPr="00552D93">
        <w:rPr>
          <w:rFonts w:ascii="Cambria" w:eastAsia="Times New Roman" w:hAnsi="Cambria" w:cs="Times New Roman"/>
          <w:lang w:eastAsia="en-GB"/>
        </w:rPr>
        <w:t xml:space="preserve">pared to the low risk category </w:t>
      </w:r>
      <w:r w:rsidR="00646933" w:rsidRPr="00552D93">
        <w:rPr>
          <w:rFonts w:ascii="Cambria" w:eastAsia="Times New Roman" w:hAnsi="Cambria" w:cs="Times New Roman"/>
          <w:lang w:eastAsia="en-GB"/>
        </w:rPr>
        <w:t>were all associated with reaching this stage of intoxication at least monthly.</w:t>
      </w:r>
      <w:r w:rsidR="00297275" w:rsidRPr="00552D93">
        <w:rPr>
          <w:rFonts w:ascii="Cambria" w:eastAsia="Times New Roman" w:hAnsi="Cambria" w:cs="Times New Roman"/>
          <w:lang w:eastAsia="en-GB"/>
        </w:rPr>
        <w:t xml:space="preserve"> </w:t>
      </w:r>
      <w:r w:rsidR="00AC57FF" w:rsidRPr="00552D93">
        <w:rPr>
          <w:rFonts w:ascii="Cambria" w:eastAsia="Times New Roman" w:hAnsi="Cambria" w:cs="Times New Roman"/>
          <w:lang w:eastAsia="en-GB"/>
        </w:rPr>
        <w:t xml:space="preserve">Being as drunk as you want to be </w:t>
      </w:r>
      <w:r w:rsidR="008D1C71" w:rsidRPr="00552D93">
        <w:rPr>
          <w:rFonts w:ascii="Cambria" w:eastAsia="Times New Roman" w:hAnsi="Cambria" w:cs="Times New Roman"/>
          <w:lang w:eastAsia="en-GB"/>
        </w:rPr>
        <w:t xml:space="preserve">at least monthly was associated with being male, </w:t>
      </w:r>
      <w:r w:rsidR="00AC2543" w:rsidRPr="00552D93">
        <w:rPr>
          <w:rFonts w:ascii="Cambria" w:eastAsia="Times New Roman" w:hAnsi="Cambria" w:cs="Times New Roman"/>
          <w:lang w:eastAsia="en-GB"/>
        </w:rPr>
        <w:t>being younger,</w:t>
      </w:r>
      <w:r w:rsidR="008D1C71" w:rsidRPr="00552D93">
        <w:rPr>
          <w:rFonts w:ascii="Cambria" w:eastAsia="Times New Roman" w:hAnsi="Cambria" w:cs="Times New Roman"/>
          <w:lang w:eastAsia="en-GB"/>
        </w:rPr>
        <w:t xml:space="preserve"> being in the upper three AUDIT categories compared to the low risk category</w:t>
      </w:r>
      <w:r w:rsidR="00DD092E" w:rsidRPr="00552D93">
        <w:rPr>
          <w:rFonts w:ascii="Cambria" w:eastAsia="Times New Roman" w:hAnsi="Cambria" w:cs="Times New Roman"/>
          <w:lang w:eastAsia="en-GB"/>
        </w:rPr>
        <w:t xml:space="preserve">. </w:t>
      </w:r>
      <w:r w:rsidR="008D1C71" w:rsidRPr="00552D93">
        <w:rPr>
          <w:rFonts w:ascii="Cambria" w:eastAsia="Times New Roman" w:hAnsi="Cambria" w:cs="Times New Roman"/>
          <w:lang w:eastAsia="en-GB"/>
        </w:rPr>
        <w:t xml:space="preserve">Reaching the tipping point was associated with being </w:t>
      </w:r>
      <w:r w:rsidR="00AC2543" w:rsidRPr="00552D93">
        <w:rPr>
          <w:rFonts w:ascii="Cambria" w:eastAsia="Times New Roman" w:hAnsi="Cambria" w:cs="Times New Roman"/>
          <w:lang w:eastAsia="en-GB"/>
        </w:rPr>
        <w:t>younger</w:t>
      </w:r>
      <w:r w:rsidR="008D1C71" w:rsidRPr="00552D93">
        <w:rPr>
          <w:rFonts w:ascii="Cambria" w:eastAsia="Times New Roman" w:hAnsi="Cambria" w:cs="Times New Roman"/>
          <w:lang w:eastAsia="en-GB"/>
        </w:rPr>
        <w:t xml:space="preserve">, </w:t>
      </w:r>
      <w:r w:rsidR="00DD092E" w:rsidRPr="00552D93">
        <w:rPr>
          <w:rFonts w:ascii="Cambria" w:eastAsia="Times New Roman" w:hAnsi="Cambria" w:cs="Times New Roman"/>
          <w:lang w:eastAsia="en-GB"/>
        </w:rPr>
        <w:t xml:space="preserve">and higher AUDIT categories. </w:t>
      </w:r>
      <w:r w:rsidR="003B2CA1" w:rsidRPr="00552D93">
        <w:rPr>
          <w:rFonts w:ascii="Cambria" w:eastAsia="Times New Roman" w:hAnsi="Cambria" w:cs="Times New Roman"/>
          <w:lang w:eastAsia="en-GB"/>
        </w:rPr>
        <w:t>D</w:t>
      </w:r>
      <w:r w:rsidR="00646933" w:rsidRPr="00552D93">
        <w:rPr>
          <w:rFonts w:ascii="Cambria" w:eastAsia="Times New Roman" w:hAnsi="Cambria" w:cs="Times New Roman"/>
          <w:lang w:eastAsia="en-GB"/>
        </w:rPr>
        <w:t xml:space="preserve">rinking and feeling no effects </w:t>
      </w:r>
      <w:r w:rsidR="008A26D2" w:rsidRPr="00552D93">
        <w:rPr>
          <w:rFonts w:ascii="Cambria" w:eastAsia="Times New Roman" w:hAnsi="Cambria" w:cs="Times New Roman"/>
          <w:lang w:eastAsia="en-GB"/>
        </w:rPr>
        <w:t xml:space="preserve">was also </w:t>
      </w:r>
      <w:r w:rsidR="008D1C71" w:rsidRPr="00552D93">
        <w:rPr>
          <w:rFonts w:ascii="Cambria" w:eastAsia="Times New Roman" w:hAnsi="Cambria" w:cs="Times New Roman"/>
          <w:lang w:eastAsia="en-GB"/>
        </w:rPr>
        <w:t>associated</w:t>
      </w:r>
      <w:r w:rsidR="003B2CA1" w:rsidRPr="00552D93">
        <w:rPr>
          <w:rFonts w:ascii="Cambria" w:eastAsia="Times New Roman" w:hAnsi="Cambria" w:cs="Times New Roman"/>
          <w:lang w:eastAsia="en-GB"/>
        </w:rPr>
        <w:t xml:space="preserve"> with</w:t>
      </w:r>
      <w:r w:rsidR="008D1C71" w:rsidRPr="00552D93">
        <w:rPr>
          <w:rFonts w:ascii="Cambria" w:eastAsia="Times New Roman" w:hAnsi="Cambria" w:cs="Times New Roman"/>
          <w:lang w:eastAsia="en-GB"/>
        </w:rPr>
        <w:t xml:space="preserve"> being youn</w:t>
      </w:r>
      <w:r w:rsidR="008A26D2" w:rsidRPr="00552D93">
        <w:rPr>
          <w:rFonts w:ascii="Cambria" w:eastAsia="Times New Roman" w:hAnsi="Cambria" w:cs="Times New Roman"/>
          <w:lang w:eastAsia="en-GB"/>
        </w:rPr>
        <w:t>ger and in higher AUDIT categories.</w:t>
      </w:r>
    </w:p>
    <w:p w14:paraId="5BD5D055" w14:textId="035F564C" w:rsidR="00C05707" w:rsidRPr="00552D93" w:rsidRDefault="00646933" w:rsidP="00055011">
      <w:pPr>
        <w:spacing w:before="100" w:beforeAutospacing="1" w:after="100" w:afterAutospacing="1" w:line="480" w:lineRule="auto"/>
        <w:jc w:val="center"/>
        <w:rPr>
          <w:rFonts w:ascii="Cambria" w:eastAsia="Times New Roman" w:hAnsi="Cambria" w:cs="Arial"/>
          <w:lang w:eastAsia="en-GB"/>
        </w:rPr>
      </w:pPr>
      <w:r w:rsidRPr="00552D93">
        <w:rPr>
          <w:rFonts w:ascii="Cambria" w:eastAsia="Times New Roman" w:hAnsi="Cambria" w:cs="Times New Roman"/>
          <w:lang w:eastAsia="en-GB"/>
        </w:rPr>
        <w:t>[Insert Table</w:t>
      </w:r>
      <w:r w:rsidR="009072C7" w:rsidRPr="00552D93">
        <w:rPr>
          <w:rFonts w:ascii="Cambria" w:eastAsia="Times New Roman" w:hAnsi="Cambria" w:cs="Times New Roman"/>
          <w:lang w:eastAsia="en-GB"/>
        </w:rPr>
        <w:t xml:space="preserve"> </w:t>
      </w:r>
      <w:r w:rsidR="00A76424" w:rsidRPr="00552D93">
        <w:rPr>
          <w:rFonts w:ascii="Cambria" w:eastAsia="Times New Roman" w:hAnsi="Cambria" w:cs="Times New Roman"/>
          <w:lang w:eastAsia="en-GB"/>
        </w:rPr>
        <w:t>5</w:t>
      </w:r>
      <w:r w:rsidRPr="00552D93">
        <w:rPr>
          <w:rFonts w:ascii="Cambria" w:eastAsia="Times New Roman" w:hAnsi="Cambria" w:cs="Times New Roman"/>
          <w:lang w:eastAsia="en-GB"/>
        </w:rPr>
        <w:t>]</w:t>
      </w:r>
    </w:p>
    <w:p w14:paraId="0F5D5C1D" w14:textId="38C3DEF7" w:rsidR="006F7259" w:rsidRPr="00552D93" w:rsidRDefault="006F7259" w:rsidP="00646933">
      <w:pPr>
        <w:spacing w:before="100" w:beforeAutospacing="1" w:after="100" w:afterAutospacing="1" w:line="480" w:lineRule="auto"/>
        <w:rPr>
          <w:rFonts w:ascii="Cambria" w:hAnsi="Cambria"/>
          <w:b/>
        </w:rPr>
      </w:pPr>
      <w:r w:rsidRPr="00552D93">
        <w:rPr>
          <w:rFonts w:ascii="Cambria" w:hAnsi="Cambria"/>
          <w:b/>
        </w:rPr>
        <w:t>DISCUSSION</w:t>
      </w:r>
    </w:p>
    <w:p w14:paraId="4CCCA632" w14:textId="33FE9229" w:rsidR="00EB2D11" w:rsidRPr="00552D93" w:rsidRDefault="002978F0" w:rsidP="006567F8">
      <w:pPr>
        <w:spacing w:before="100" w:beforeAutospacing="1" w:after="100" w:afterAutospacing="1" w:line="480" w:lineRule="auto"/>
        <w:rPr>
          <w:rFonts w:ascii="Cambria" w:eastAsia="Times New Roman" w:hAnsi="Cambria" w:cs="Times New Roman"/>
          <w:bCs/>
          <w:lang w:eastAsia="en-GB"/>
        </w:rPr>
      </w:pPr>
      <w:r w:rsidRPr="00552D93">
        <w:rPr>
          <w:rFonts w:ascii="Cambria" w:eastAsia="Times New Roman" w:hAnsi="Cambria" w:cs="Times New Roman"/>
          <w:bCs/>
          <w:lang w:eastAsia="en-GB"/>
        </w:rPr>
        <w:t>T</w:t>
      </w:r>
      <w:r w:rsidR="00075E73" w:rsidRPr="00552D93">
        <w:rPr>
          <w:rFonts w:ascii="Cambria" w:eastAsia="Times New Roman" w:hAnsi="Cambria" w:cs="Times New Roman"/>
          <w:bCs/>
          <w:lang w:eastAsia="en-GB"/>
        </w:rPr>
        <w:t xml:space="preserve">his paper </w:t>
      </w:r>
      <w:r w:rsidR="00182D51" w:rsidRPr="00552D93">
        <w:rPr>
          <w:rFonts w:ascii="Cambria" w:eastAsia="Times New Roman" w:hAnsi="Cambria" w:cs="Times New Roman"/>
          <w:bCs/>
          <w:lang w:eastAsia="en-GB"/>
        </w:rPr>
        <w:t>investigated</w:t>
      </w:r>
      <w:r w:rsidR="00075E73" w:rsidRPr="00552D93">
        <w:rPr>
          <w:rFonts w:ascii="Cambria" w:eastAsia="Times New Roman" w:hAnsi="Cambria" w:cs="Times New Roman"/>
          <w:bCs/>
          <w:lang w:eastAsia="en-GB"/>
        </w:rPr>
        <w:t xml:space="preserve"> </w:t>
      </w:r>
      <w:r w:rsidRPr="00552D93">
        <w:rPr>
          <w:rFonts w:ascii="Cambria" w:eastAsia="Times New Roman" w:hAnsi="Cambria" w:cs="Times New Roman"/>
          <w:bCs/>
          <w:lang w:eastAsia="en-GB"/>
        </w:rPr>
        <w:t xml:space="preserve">the </w:t>
      </w:r>
      <w:r w:rsidR="003B2CA1" w:rsidRPr="00552D93">
        <w:rPr>
          <w:rFonts w:ascii="Cambria" w:eastAsia="Times New Roman" w:hAnsi="Cambria" w:cs="Times New Roman"/>
          <w:bCs/>
          <w:lang w:eastAsia="en-GB"/>
        </w:rPr>
        <w:t xml:space="preserve">amount </w:t>
      </w:r>
      <w:r w:rsidR="005C26C6" w:rsidRPr="00552D93">
        <w:rPr>
          <w:rFonts w:ascii="Cambria" w:eastAsia="Times New Roman" w:hAnsi="Cambria" w:cs="Times New Roman"/>
          <w:bCs/>
          <w:lang w:eastAsia="en-GB"/>
        </w:rPr>
        <w:t>of alcohol</w:t>
      </w:r>
      <w:r w:rsidRPr="00552D93">
        <w:rPr>
          <w:rFonts w:ascii="Cambria" w:eastAsia="Times New Roman" w:hAnsi="Cambria" w:cs="Times New Roman"/>
          <w:bCs/>
          <w:lang w:eastAsia="en-GB"/>
        </w:rPr>
        <w:t xml:space="preserve"> needed</w:t>
      </w:r>
      <w:r w:rsidR="00CB0740" w:rsidRPr="00552D93">
        <w:rPr>
          <w:rFonts w:ascii="Cambria" w:eastAsia="Times New Roman" w:hAnsi="Cambria" w:cs="Times New Roman"/>
          <w:bCs/>
          <w:lang w:eastAsia="en-GB"/>
        </w:rPr>
        <w:t xml:space="preserve"> to reach</w:t>
      </w:r>
      <w:r w:rsidR="003B2CA1" w:rsidRPr="00552D93">
        <w:rPr>
          <w:rFonts w:ascii="Cambria" w:eastAsia="Times New Roman" w:hAnsi="Cambria" w:cs="Times New Roman"/>
          <w:bCs/>
          <w:lang w:eastAsia="en-GB"/>
        </w:rPr>
        <w:t xml:space="preserve"> three different stages of intoxication</w:t>
      </w:r>
      <w:r w:rsidRPr="00552D93">
        <w:rPr>
          <w:rFonts w:ascii="Cambria" w:eastAsia="Times New Roman" w:hAnsi="Cambria" w:cs="Times New Roman"/>
          <w:bCs/>
          <w:lang w:eastAsia="en-GB"/>
        </w:rPr>
        <w:t xml:space="preserve"> </w:t>
      </w:r>
      <w:r w:rsidR="005C26C6" w:rsidRPr="00552D93">
        <w:rPr>
          <w:rFonts w:ascii="Cambria" w:eastAsia="Times New Roman" w:hAnsi="Cambria" w:cs="Times New Roman"/>
          <w:bCs/>
          <w:lang w:eastAsia="en-GB"/>
        </w:rPr>
        <w:t xml:space="preserve">and </w:t>
      </w:r>
      <w:r w:rsidR="003B2CA1" w:rsidRPr="00552D93">
        <w:rPr>
          <w:rFonts w:ascii="Cambria" w:eastAsia="Times New Roman" w:hAnsi="Cambria" w:cs="Times New Roman"/>
          <w:bCs/>
          <w:lang w:eastAsia="en-GB"/>
        </w:rPr>
        <w:t xml:space="preserve">the </w:t>
      </w:r>
      <w:r w:rsidR="005C26C6" w:rsidRPr="00552D93">
        <w:rPr>
          <w:rFonts w:ascii="Cambria" w:eastAsia="Times New Roman" w:hAnsi="Cambria" w:cs="Times New Roman"/>
          <w:bCs/>
          <w:lang w:eastAsia="en-GB"/>
        </w:rPr>
        <w:t>frequency of reaching</w:t>
      </w:r>
      <w:r w:rsidR="003B2CA1" w:rsidRPr="00552D93">
        <w:rPr>
          <w:rFonts w:ascii="Cambria" w:eastAsia="Times New Roman" w:hAnsi="Cambria" w:cs="Times New Roman"/>
          <w:bCs/>
          <w:lang w:eastAsia="en-GB"/>
        </w:rPr>
        <w:t xml:space="preserve"> these</w:t>
      </w:r>
      <w:r w:rsidR="006446C4" w:rsidRPr="00552D93">
        <w:rPr>
          <w:rFonts w:ascii="Cambria" w:eastAsia="Times New Roman" w:hAnsi="Cambria" w:cs="Times New Roman"/>
          <w:bCs/>
          <w:lang w:eastAsia="en-GB"/>
        </w:rPr>
        <w:t xml:space="preserve"> </w:t>
      </w:r>
      <w:r w:rsidR="005C26C6" w:rsidRPr="00552D93">
        <w:rPr>
          <w:rFonts w:ascii="Cambria" w:eastAsia="Times New Roman" w:hAnsi="Cambria" w:cs="Times New Roman"/>
          <w:bCs/>
          <w:lang w:eastAsia="en-GB"/>
        </w:rPr>
        <w:t>in a</w:t>
      </w:r>
      <w:r w:rsidR="00075E73" w:rsidRPr="00552D93">
        <w:rPr>
          <w:rFonts w:ascii="Cambria" w:eastAsia="Times New Roman" w:hAnsi="Cambria" w:cs="Times New Roman"/>
          <w:bCs/>
          <w:lang w:eastAsia="en-GB"/>
        </w:rPr>
        <w:t xml:space="preserve"> large</w:t>
      </w:r>
      <w:r w:rsidRPr="00552D93">
        <w:rPr>
          <w:rFonts w:ascii="Cambria" w:eastAsia="Times New Roman" w:hAnsi="Cambria" w:cs="Times New Roman"/>
          <w:bCs/>
          <w:lang w:eastAsia="en-GB"/>
        </w:rPr>
        <w:t>,</w:t>
      </w:r>
      <w:r w:rsidR="00075E73" w:rsidRPr="00552D93">
        <w:rPr>
          <w:rFonts w:ascii="Cambria" w:eastAsia="Times New Roman" w:hAnsi="Cambria" w:cs="Times New Roman"/>
          <w:bCs/>
          <w:lang w:eastAsia="en-GB"/>
        </w:rPr>
        <w:t xml:space="preserve"> international</w:t>
      </w:r>
      <w:r w:rsidRPr="00552D93">
        <w:rPr>
          <w:rFonts w:ascii="Cambria" w:eastAsia="Times New Roman" w:hAnsi="Cambria" w:cs="Times New Roman"/>
          <w:bCs/>
          <w:lang w:eastAsia="en-GB"/>
        </w:rPr>
        <w:t>,</w:t>
      </w:r>
      <w:r w:rsidR="00075E73" w:rsidRPr="00552D93">
        <w:rPr>
          <w:rFonts w:ascii="Cambria" w:eastAsia="Times New Roman" w:hAnsi="Cambria" w:cs="Times New Roman"/>
          <w:bCs/>
          <w:lang w:eastAsia="en-GB"/>
        </w:rPr>
        <w:t xml:space="preserve"> sample of </w:t>
      </w:r>
      <w:r w:rsidR="00060C00" w:rsidRPr="00552D93">
        <w:rPr>
          <w:rFonts w:ascii="Cambria" w:eastAsia="Times New Roman" w:hAnsi="Cambria" w:cs="Times New Roman"/>
          <w:bCs/>
          <w:lang w:eastAsia="en-GB"/>
        </w:rPr>
        <w:t>people who drink alcohol</w:t>
      </w:r>
      <w:r w:rsidR="00075E73"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r w:rsidR="00651008" w:rsidRPr="00552D93">
        <w:rPr>
          <w:rFonts w:ascii="Cambria" w:eastAsia="Times New Roman" w:hAnsi="Cambria" w:cs="Times New Roman"/>
          <w:bCs/>
          <w:lang w:eastAsia="en-GB"/>
        </w:rPr>
        <w:t>The major finding was that the amount of alcoh</w:t>
      </w:r>
      <w:r w:rsidR="005F4229" w:rsidRPr="00552D93">
        <w:rPr>
          <w:rFonts w:ascii="Cambria" w:eastAsia="Times New Roman" w:hAnsi="Cambria" w:cs="Times New Roman"/>
          <w:bCs/>
          <w:lang w:eastAsia="en-GB"/>
        </w:rPr>
        <w:t>ol typically consumed to reach</w:t>
      </w:r>
      <w:r w:rsidR="00651008" w:rsidRPr="00552D93">
        <w:rPr>
          <w:rFonts w:ascii="Cambria" w:eastAsia="Times New Roman" w:hAnsi="Cambria" w:cs="Times New Roman"/>
          <w:bCs/>
          <w:lang w:eastAsia="en-GB"/>
        </w:rPr>
        <w:t xml:space="preserve"> what respondents considered their optimal level of intoxication</w:t>
      </w:r>
      <w:r w:rsidR="005F4229" w:rsidRPr="00552D93">
        <w:rPr>
          <w:rFonts w:ascii="Cambria" w:eastAsia="Times New Roman" w:hAnsi="Cambria" w:cs="Times New Roman"/>
          <w:bCs/>
          <w:lang w:eastAsia="en-GB"/>
        </w:rPr>
        <w:t xml:space="preserve"> </w:t>
      </w:r>
      <w:r w:rsidR="003B2CA1" w:rsidRPr="00552D93">
        <w:rPr>
          <w:rFonts w:ascii="Cambria" w:eastAsia="Times New Roman" w:hAnsi="Cambria" w:cs="Times New Roman"/>
          <w:bCs/>
          <w:lang w:eastAsia="en-GB"/>
        </w:rPr>
        <w:t xml:space="preserve">(as drunk as they want to be) </w:t>
      </w:r>
      <w:r w:rsidR="00651008" w:rsidRPr="00552D93">
        <w:rPr>
          <w:rFonts w:ascii="Cambria" w:eastAsia="Times New Roman" w:hAnsi="Cambria" w:cs="Times New Roman"/>
          <w:bCs/>
          <w:lang w:eastAsia="en-GB"/>
        </w:rPr>
        <w:t xml:space="preserve">was almost double the upper limit </w:t>
      </w:r>
      <w:r w:rsidR="005F4229" w:rsidRPr="00552D93">
        <w:rPr>
          <w:rFonts w:ascii="Cambria" w:eastAsia="Times New Roman" w:hAnsi="Cambria" w:cs="Times New Roman"/>
          <w:bCs/>
          <w:lang w:eastAsia="en-GB"/>
        </w:rPr>
        <w:t xml:space="preserve">recommended </w:t>
      </w:r>
      <w:r w:rsidR="007B6F02" w:rsidRPr="00552D93">
        <w:rPr>
          <w:rFonts w:ascii="Cambria" w:eastAsia="Times New Roman" w:hAnsi="Cambria" w:cs="Times New Roman"/>
          <w:bCs/>
          <w:lang w:eastAsia="en-GB"/>
        </w:rPr>
        <w:t xml:space="preserve">by governments/health organisations </w:t>
      </w:r>
      <w:r w:rsidR="005F4229" w:rsidRPr="00552D93">
        <w:rPr>
          <w:rFonts w:ascii="Cambria" w:eastAsia="Times New Roman" w:hAnsi="Cambria" w:cs="Times New Roman"/>
          <w:bCs/>
          <w:lang w:eastAsia="en-GB"/>
        </w:rPr>
        <w:t xml:space="preserve">in most </w:t>
      </w:r>
      <w:r w:rsidR="005F4229" w:rsidRPr="00552D93">
        <w:rPr>
          <w:rFonts w:ascii="Cambria" w:eastAsia="Times New Roman" w:hAnsi="Cambria" w:cs="Times New Roman"/>
          <w:bCs/>
          <w:lang w:eastAsia="en-GB"/>
        </w:rPr>
        <w:lastRenderedPageBreak/>
        <w:t>countries</w:t>
      </w:r>
      <w:r w:rsidR="007B6F02" w:rsidRPr="00552D93">
        <w:rPr>
          <w:rFonts w:ascii="Cambria" w:eastAsia="Times New Roman" w:hAnsi="Cambria" w:cs="Times New Roman"/>
          <w:bCs/>
          <w:lang w:eastAsia="en-GB"/>
        </w:rPr>
        <w:t xml:space="preserve"> </w:t>
      </w:r>
      <w:r w:rsidR="005F4229" w:rsidRPr="00552D93">
        <w:rPr>
          <w:rFonts w:ascii="Cambria" w:eastAsia="Times New Roman" w:hAnsi="Cambria" w:cs="Times New Roman"/>
          <w:bCs/>
          <w:lang w:eastAsia="en-GB"/>
        </w:rPr>
        <w:t xml:space="preserve">- </w:t>
      </w:r>
      <w:r w:rsidR="000013F4" w:rsidRPr="00552D93">
        <w:rPr>
          <w:rFonts w:ascii="Cambria" w:eastAsia="Times New Roman" w:hAnsi="Cambria" w:cs="Times New Roman"/>
          <w:bCs/>
          <w:lang w:eastAsia="en-GB"/>
        </w:rPr>
        <w:t xml:space="preserve">at </w:t>
      </w:r>
      <w:r w:rsidR="00651008" w:rsidRPr="00552D93">
        <w:rPr>
          <w:rFonts w:ascii="Cambria" w:eastAsia="Times New Roman" w:hAnsi="Cambria" w:cs="Times New Roman"/>
          <w:bCs/>
          <w:lang w:eastAsia="en-GB"/>
        </w:rPr>
        <w:t>87</w:t>
      </w:r>
      <w:r w:rsidR="00485F85" w:rsidRPr="00552D93">
        <w:rPr>
          <w:rFonts w:ascii="Cambria" w:eastAsia="Times New Roman" w:hAnsi="Cambria" w:cs="Times New Roman"/>
          <w:bCs/>
          <w:lang w:eastAsia="en-GB"/>
        </w:rPr>
        <w:t>.55</w:t>
      </w:r>
      <w:r w:rsidR="00651008" w:rsidRPr="00552D93">
        <w:rPr>
          <w:rFonts w:ascii="Cambria" w:eastAsia="Times New Roman" w:hAnsi="Cambria" w:cs="Times New Roman"/>
          <w:bCs/>
          <w:lang w:eastAsia="en-GB"/>
        </w:rPr>
        <w:t>gm for men and 70</w:t>
      </w:r>
      <w:r w:rsidR="00485F85" w:rsidRPr="00552D93">
        <w:rPr>
          <w:rFonts w:ascii="Cambria" w:eastAsia="Times New Roman" w:hAnsi="Cambria" w:cs="Times New Roman"/>
          <w:bCs/>
          <w:lang w:eastAsia="en-GB"/>
        </w:rPr>
        <w:t>.16</w:t>
      </w:r>
      <w:r w:rsidR="00651008" w:rsidRPr="00552D93">
        <w:rPr>
          <w:rFonts w:ascii="Cambria" w:eastAsia="Times New Roman" w:hAnsi="Cambria" w:cs="Times New Roman"/>
          <w:bCs/>
          <w:lang w:eastAsia="en-GB"/>
        </w:rPr>
        <w:t xml:space="preserve">gm for women </w:t>
      </w:r>
      <w:r w:rsidR="005F4229" w:rsidRPr="00552D93">
        <w:rPr>
          <w:rFonts w:ascii="Cambria" w:eastAsia="Times New Roman" w:hAnsi="Cambria" w:cs="Times New Roman"/>
          <w:bCs/>
          <w:lang w:eastAsia="en-GB"/>
        </w:rPr>
        <w:t>- compared to a maximum of 40gm recommend by</w:t>
      </w:r>
      <w:r w:rsidR="00651008" w:rsidRPr="00552D93">
        <w:rPr>
          <w:rFonts w:ascii="Cambria" w:eastAsia="Times New Roman" w:hAnsi="Cambria" w:cs="Times New Roman"/>
          <w:bCs/>
          <w:lang w:eastAsia="en-GB"/>
        </w:rPr>
        <w:t xml:space="preserve"> some countries and significantly higher than </w:t>
      </w:r>
      <w:r w:rsidR="00F41FAA" w:rsidRPr="00552D93">
        <w:rPr>
          <w:rFonts w:ascii="Cambria" w:eastAsia="Times New Roman" w:hAnsi="Cambria" w:cs="Times New Roman"/>
          <w:bCs/>
          <w:lang w:eastAsia="en-GB"/>
        </w:rPr>
        <w:t xml:space="preserve">the 60gm defined as HED by the WHO </w:t>
      </w:r>
      <w:r w:rsidR="00F41FAA"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&lt;EndNote&gt;&lt;Cite&gt;&lt;Author&gt;WHO&lt;/Author&gt;&lt;Year&gt;2018&lt;/Year&gt;&lt;RecNum&gt;4705&lt;/RecNum&gt;&lt;DisplayText&gt;(WHO, 2018)&lt;/DisplayText&gt;&lt;record&gt;&lt;rec-number&gt;4705&lt;/rec-number&gt;&lt;foreign-keys&gt;&lt;key app="EN" db-id="te5rs0t0nprf99ep09vxza050r9t99faf9td" timestamp="1553083120"&gt;4705&lt;/key&gt;&lt;/foreign-keys&gt;&lt;ref-type name="Report"&gt;27&lt;/ref-type&gt;&lt;contributors&gt;&lt;authors&gt;&lt;author&gt;WHO&lt;/author&gt;&lt;/authors&gt;&lt;/contributors&gt;&lt;titles&gt;&lt;title&gt;Global status report on alcohol and health 2018&lt;/title&gt;&lt;/titles&gt;&lt;dates&gt;&lt;year&gt;2018&lt;/year&gt;&lt;/dates&gt;&lt;pub-location&gt;Geneva&lt;/pub-location&gt;&lt;publisher&gt;World Health Organisation&lt;/publisher&gt;&lt;urls&gt;&lt;/urls&gt;&lt;electronic-resource-num&gt;https://www.who.int/substance_abuse/publications/global_alcohol_report/gsr_2018/en/&lt;/electronic-resource-num&gt;&lt;/record&gt;&lt;/Cite&gt;&lt;/EndNote&gt;</w:instrText>
      </w:r>
      <w:r w:rsidR="00F41FAA"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(WHO, 2018)</w:t>
      </w:r>
      <w:r w:rsidR="00F41FAA" w:rsidRPr="00552D93">
        <w:rPr>
          <w:rFonts w:ascii="Cambria" w:eastAsia="Times New Roman" w:hAnsi="Cambria" w:cs="Times New Roman"/>
          <w:bCs/>
          <w:lang w:eastAsia="en-GB"/>
        </w:rPr>
        <w:fldChar w:fldCharType="end"/>
      </w:r>
      <w:r w:rsidR="005F4229"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r w:rsidR="00667E45" w:rsidRPr="00552D93">
        <w:rPr>
          <w:rFonts w:ascii="Cambria" w:eastAsia="Times New Roman" w:hAnsi="Cambria" w:cs="Times New Roman"/>
          <w:bCs/>
          <w:lang w:eastAsia="en-GB"/>
        </w:rPr>
        <w:t xml:space="preserve">Even the amounts reported </w:t>
      </w:r>
      <w:r w:rsidR="003B2CA1" w:rsidRPr="00552D93">
        <w:rPr>
          <w:rFonts w:ascii="Cambria" w:eastAsia="Times New Roman" w:hAnsi="Cambria" w:cs="Times New Roman"/>
          <w:bCs/>
          <w:lang w:eastAsia="en-GB"/>
        </w:rPr>
        <w:t>to feel the effect of alcohol</w:t>
      </w:r>
      <w:r w:rsidR="001875AF" w:rsidRPr="00552D93">
        <w:rPr>
          <w:rFonts w:ascii="Cambria" w:eastAsia="Times New Roman" w:hAnsi="Cambria" w:cs="Times New Roman"/>
          <w:bCs/>
          <w:lang w:eastAsia="en-GB"/>
        </w:rPr>
        <w:t xml:space="preserve"> </w:t>
      </w:r>
      <w:r w:rsidR="00667E45" w:rsidRPr="00552D93">
        <w:rPr>
          <w:rFonts w:ascii="Cambria" w:eastAsia="Times New Roman" w:hAnsi="Cambria" w:cs="Times New Roman"/>
          <w:bCs/>
          <w:lang w:eastAsia="en-GB"/>
        </w:rPr>
        <w:t>approach</w:t>
      </w:r>
      <w:r w:rsidR="003B2CA1" w:rsidRPr="00552D93">
        <w:rPr>
          <w:rFonts w:ascii="Cambria" w:eastAsia="Times New Roman" w:hAnsi="Cambria" w:cs="Times New Roman"/>
          <w:bCs/>
          <w:lang w:eastAsia="en-GB"/>
        </w:rPr>
        <w:t>ed</w:t>
      </w:r>
      <w:r w:rsidR="00667E45" w:rsidRPr="00552D93">
        <w:rPr>
          <w:rFonts w:ascii="Cambria" w:eastAsia="Times New Roman" w:hAnsi="Cambria" w:cs="Times New Roman"/>
          <w:bCs/>
          <w:lang w:eastAsia="en-GB"/>
        </w:rPr>
        <w:t xml:space="preserve"> the WHO HED level</w:t>
      </w:r>
      <w:r w:rsidR="003B2CA1" w:rsidRPr="00552D93">
        <w:rPr>
          <w:rFonts w:ascii="Cambria" w:eastAsia="Times New Roman" w:hAnsi="Cambria" w:cs="Times New Roman"/>
          <w:bCs/>
          <w:lang w:eastAsia="en-GB"/>
        </w:rPr>
        <w:t xml:space="preserve"> in some cases</w:t>
      </w:r>
      <w:r w:rsidR="00667E45"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r w:rsidR="00F41FAA" w:rsidRPr="00552D93">
        <w:rPr>
          <w:rFonts w:ascii="Cambria" w:eastAsia="Times New Roman" w:hAnsi="Cambria" w:cs="Times New Roman"/>
          <w:bCs/>
          <w:lang w:eastAsia="en-GB"/>
        </w:rPr>
        <w:t xml:space="preserve"> </w:t>
      </w:r>
      <w:r w:rsidR="006567F8" w:rsidRPr="00552D93">
        <w:rPr>
          <w:rFonts w:ascii="Cambria" w:eastAsia="Times New Roman" w:hAnsi="Cambria" w:cs="Times New Roman"/>
          <w:bCs/>
          <w:lang w:eastAsia="en-GB"/>
        </w:rPr>
        <w:t>The amount</w:t>
      </w:r>
      <w:r w:rsidR="003B2CA1" w:rsidRPr="00552D93">
        <w:rPr>
          <w:rFonts w:ascii="Cambria" w:eastAsia="Times New Roman" w:hAnsi="Cambria" w:cs="Times New Roman"/>
          <w:bCs/>
          <w:lang w:eastAsia="en-GB"/>
        </w:rPr>
        <w:t xml:space="preserve"> of alcohol</w:t>
      </w:r>
      <w:r w:rsidR="006567F8" w:rsidRPr="00552D93">
        <w:rPr>
          <w:rFonts w:ascii="Cambria" w:eastAsia="Times New Roman" w:hAnsi="Cambria" w:cs="Times New Roman"/>
          <w:bCs/>
          <w:lang w:eastAsia="en-GB"/>
        </w:rPr>
        <w:t xml:space="preserve"> required to reach the tipping point  oft</w:t>
      </w:r>
      <w:r w:rsidR="001A4F6F" w:rsidRPr="00552D93">
        <w:rPr>
          <w:rFonts w:ascii="Cambria" w:eastAsia="Times New Roman" w:hAnsi="Cambria" w:cs="Times New Roman"/>
          <w:bCs/>
          <w:lang w:eastAsia="en-GB"/>
        </w:rPr>
        <w:t xml:space="preserve">en exceeded the weekly maximum </w:t>
      </w:r>
      <w:r w:rsidR="00D1760D" w:rsidRPr="00552D93">
        <w:rPr>
          <w:rFonts w:ascii="Cambria" w:eastAsia="Times New Roman" w:hAnsi="Cambria" w:cs="Times New Roman"/>
          <w:bCs/>
          <w:lang w:eastAsia="en-GB"/>
        </w:rPr>
        <w:t xml:space="preserve">provided by the respective country </w:t>
      </w:r>
      <w:r w:rsidR="001A4F6F" w:rsidRPr="00552D93">
        <w:rPr>
          <w:rFonts w:ascii="Cambria" w:eastAsia="Times New Roman" w:hAnsi="Cambria" w:cs="Times New Roman"/>
          <w:bCs/>
          <w:lang w:eastAsia="en-GB"/>
        </w:rPr>
        <w:t>guidelines.</w:t>
      </w:r>
      <w:r w:rsidR="00297275" w:rsidRPr="00552D93">
        <w:rPr>
          <w:rFonts w:ascii="Cambria" w:eastAsia="Times New Roman" w:hAnsi="Cambria" w:cs="Times New Roman"/>
          <w:bCs/>
          <w:lang w:eastAsia="en-GB"/>
        </w:rPr>
        <w:t xml:space="preserve"> </w:t>
      </w:r>
      <w:r w:rsidR="006567F8" w:rsidRPr="00552D93">
        <w:rPr>
          <w:rFonts w:ascii="Cambria" w:eastAsia="Times New Roman" w:hAnsi="Cambria" w:cs="Times New Roman"/>
          <w:bCs/>
          <w:lang w:eastAsia="en-GB"/>
        </w:rPr>
        <w:t>That t</w:t>
      </w:r>
      <w:r w:rsidR="000013F4" w:rsidRPr="00552D93">
        <w:rPr>
          <w:rFonts w:ascii="Cambria" w:eastAsia="Times New Roman" w:hAnsi="Cambria" w:cs="Times New Roman"/>
          <w:bCs/>
          <w:lang w:eastAsia="en-GB"/>
        </w:rPr>
        <w:t>he difference between these two</w:t>
      </w:r>
      <w:r w:rsidR="006567F8" w:rsidRPr="00552D93">
        <w:rPr>
          <w:rFonts w:ascii="Cambria" w:eastAsia="Times New Roman" w:hAnsi="Cambria" w:cs="Times New Roman"/>
          <w:bCs/>
          <w:lang w:eastAsia="en-GB"/>
        </w:rPr>
        <w:t xml:space="preserve"> levels was in the region of 30</w:t>
      </w:r>
      <w:r w:rsidR="00665745" w:rsidRPr="00552D93">
        <w:rPr>
          <w:rFonts w:ascii="Cambria" w:eastAsia="Times New Roman" w:hAnsi="Cambria" w:cs="Times New Roman"/>
          <w:bCs/>
          <w:lang w:eastAsia="en-GB"/>
        </w:rPr>
        <w:t xml:space="preserve">gm </w:t>
      </w:r>
      <w:r w:rsidR="006567F8" w:rsidRPr="00552D93">
        <w:rPr>
          <w:rFonts w:ascii="Cambria" w:eastAsia="Times New Roman" w:hAnsi="Cambria" w:cs="Times New Roman"/>
          <w:bCs/>
          <w:lang w:eastAsia="en-GB"/>
        </w:rPr>
        <w:t>for women and 50</w:t>
      </w:r>
      <w:r w:rsidR="00665745" w:rsidRPr="00552D93">
        <w:rPr>
          <w:rFonts w:ascii="Cambria" w:eastAsia="Times New Roman" w:hAnsi="Cambria" w:cs="Times New Roman"/>
          <w:bCs/>
          <w:lang w:eastAsia="en-GB"/>
        </w:rPr>
        <w:t>gm</w:t>
      </w:r>
      <w:r w:rsidR="006567F8" w:rsidRPr="00552D93">
        <w:rPr>
          <w:rFonts w:ascii="Cambria" w:eastAsia="Times New Roman" w:hAnsi="Cambria" w:cs="Times New Roman"/>
          <w:bCs/>
          <w:lang w:eastAsia="en-GB"/>
        </w:rPr>
        <w:t xml:space="preserve"> fo</w:t>
      </w:r>
      <w:r w:rsidR="00665745" w:rsidRPr="00552D93">
        <w:rPr>
          <w:rFonts w:ascii="Cambria" w:eastAsia="Times New Roman" w:hAnsi="Cambria" w:cs="Times New Roman"/>
          <w:bCs/>
          <w:lang w:eastAsia="en-GB"/>
        </w:rPr>
        <w:t xml:space="preserve">r men suggests that there is an </w:t>
      </w:r>
      <w:r w:rsidR="006567F8" w:rsidRPr="00552D93">
        <w:rPr>
          <w:rFonts w:ascii="Cambria" w:eastAsia="Times New Roman" w:hAnsi="Cambria" w:cs="Times New Roman"/>
          <w:bCs/>
          <w:lang w:eastAsia="en-GB"/>
        </w:rPr>
        <w:t xml:space="preserve">opportunity </w:t>
      </w:r>
      <w:r w:rsidR="00665745" w:rsidRPr="00552D93">
        <w:rPr>
          <w:rFonts w:ascii="Cambria" w:eastAsia="Times New Roman" w:hAnsi="Cambria" w:cs="Times New Roman"/>
          <w:bCs/>
          <w:lang w:eastAsia="en-GB"/>
        </w:rPr>
        <w:t xml:space="preserve">for </w:t>
      </w:r>
      <w:r w:rsidR="006567F8" w:rsidRPr="00552D93">
        <w:rPr>
          <w:rFonts w:ascii="Cambria" w:eastAsia="Times New Roman" w:hAnsi="Cambria" w:cs="Times New Roman"/>
          <w:bCs/>
          <w:lang w:eastAsia="en-GB"/>
        </w:rPr>
        <w:t>interventions</w:t>
      </w:r>
      <w:r w:rsidR="00665745" w:rsidRPr="00552D93">
        <w:rPr>
          <w:rFonts w:ascii="Cambria" w:eastAsia="Times New Roman" w:hAnsi="Cambria" w:cs="Times New Roman"/>
          <w:bCs/>
          <w:lang w:eastAsia="en-GB"/>
        </w:rPr>
        <w:t xml:space="preserve"> that discuss ideal and tipping point consumption. </w:t>
      </w:r>
      <w:r w:rsidR="006446C4" w:rsidRPr="00552D93">
        <w:rPr>
          <w:rFonts w:ascii="Cambria" w:eastAsia="Times New Roman" w:hAnsi="Cambria" w:cs="Times New Roman"/>
          <w:bCs/>
          <w:lang w:eastAsia="en-GB"/>
        </w:rPr>
        <w:t>D</w:t>
      </w:r>
      <w:r w:rsidR="006567F8" w:rsidRPr="00552D93">
        <w:rPr>
          <w:rFonts w:ascii="Cambria" w:eastAsia="Times New Roman" w:hAnsi="Cambria" w:cs="Times New Roman"/>
          <w:bCs/>
          <w:lang w:eastAsia="en-GB"/>
        </w:rPr>
        <w:t xml:space="preserve">rinking guidelines may need </w:t>
      </w:r>
      <w:r w:rsidR="00D1760D" w:rsidRPr="00552D93">
        <w:rPr>
          <w:rFonts w:ascii="Cambria" w:eastAsia="Times New Roman" w:hAnsi="Cambria" w:cs="Times New Roman"/>
          <w:bCs/>
          <w:lang w:eastAsia="en-GB"/>
        </w:rPr>
        <w:t xml:space="preserve">to provide more than just </w:t>
      </w:r>
      <w:r w:rsidR="006567F8" w:rsidRPr="00552D93">
        <w:rPr>
          <w:rFonts w:ascii="Cambria" w:eastAsia="Times New Roman" w:hAnsi="Cambria" w:cs="Times New Roman"/>
          <w:bCs/>
          <w:lang w:eastAsia="en-GB"/>
        </w:rPr>
        <w:t xml:space="preserve">low risk drinking limits </w:t>
      </w:r>
      <w:r w:rsidR="00D1760D" w:rsidRPr="00552D93">
        <w:rPr>
          <w:rFonts w:ascii="Cambria" w:eastAsia="Times New Roman" w:hAnsi="Cambria" w:cs="Times New Roman"/>
          <w:bCs/>
          <w:lang w:eastAsia="en-GB"/>
        </w:rPr>
        <w:t>to include relevant advice for</w:t>
      </w:r>
      <w:r w:rsidR="006567F8" w:rsidRPr="00552D93">
        <w:rPr>
          <w:rFonts w:ascii="Cambria" w:eastAsia="Times New Roman" w:hAnsi="Cambria" w:cs="Times New Roman"/>
          <w:bCs/>
          <w:lang w:eastAsia="en-GB"/>
        </w:rPr>
        <w:t xml:space="preserve"> people enjoy drinking at </w:t>
      </w:r>
      <w:r w:rsidR="00D1760D" w:rsidRPr="00552D93">
        <w:rPr>
          <w:rFonts w:ascii="Cambria" w:eastAsia="Times New Roman" w:hAnsi="Cambria" w:cs="Times New Roman"/>
          <w:bCs/>
          <w:lang w:eastAsia="en-GB"/>
        </w:rPr>
        <w:t xml:space="preserve">potentially risky </w:t>
      </w:r>
      <w:r w:rsidR="006567F8" w:rsidRPr="00552D93">
        <w:rPr>
          <w:rFonts w:ascii="Cambria" w:eastAsia="Times New Roman" w:hAnsi="Cambria" w:cs="Times New Roman"/>
          <w:bCs/>
          <w:lang w:eastAsia="en-GB"/>
        </w:rPr>
        <w:t xml:space="preserve">levels. </w:t>
      </w:r>
    </w:p>
    <w:p w14:paraId="5181C069" w14:textId="2E42C328" w:rsidR="003848D6" w:rsidRPr="00552D93" w:rsidRDefault="006567F8" w:rsidP="006567F8">
      <w:pPr>
        <w:spacing w:before="100" w:beforeAutospacing="1" w:after="100" w:afterAutospacing="1" w:line="480" w:lineRule="auto"/>
        <w:rPr>
          <w:rFonts w:ascii="Cambria" w:eastAsia="Times New Roman" w:hAnsi="Cambria" w:cs="Times New Roman"/>
          <w:bCs/>
          <w:lang w:eastAsia="en-GB"/>
        </w:rPr>
      </w:pPr>
      <w:r w:rsidRPr="00552D93">
        <w:rPr>
          <w:rFonts w:ascii="Cambria" w:eastAsia="Times New Roman" w:hAnsi="Cambria" w:cs="Times New Roman"/>
          <w:bCs/>
          <w:lang w:eastAsia="en-GB"/>
        </w:rPr>
        <w:t xml:space="preserve">Exploring </w:t>
      </w:r>
      <w:r w:rsidR="001A4F6F" w:rsidRPr="00552D93">
        <w:rPr>
          <w:rFonts w:ascii="Cambria" w:eastAsia="Times New Roman" w:hAnsi="Cambria" w:cs="Times New Roman"/>
          <w:bCs/>
          <w:lang w:eastAsia="en-GB"/>
        </w:rPr>
        <w:t>the role of education</w:t>
      </w:r>
      <w:r w:rsidR="006725F7" w:rsidRPr="00552D93">
        <w:rPr>
          <w:rFonts w:ascii="Cambria" w:eastAsia="Times New Roman" w:hAnsi="Cambria" w:cs="Times New Roman"/>
          <w:bCs/>
          <w:lang w:eastAsia="en-GB"/>
        </w:rPr>
        <w:t xml:space="preserve">al interventions that </w:t>
      </w:r>
      <w:r w:rsidR="001A4F6F" w:rsidRPr="00552D93">
        <w:rPr>
          <w:rFonts w:ascii="Cambria" w:eastAsia="Times New Roman" w:hAnsi="Cambria" w:cs="Times New Roman"/>
          <w:bCs/>
          <w:lang w:eastAsia="en-GB"/>
        </w:rPr>
        <w:t>encourag</w:t>
      </w:r>
      <w:r w:rsidR="00D1760D" w:rsidRPr="00552D93">
        <w:rPr>
          <w:rFonts w:ascii="Cambria" w:eastAsia="Times New Roman" w:hAnsi="Cambria" w:cs="Times New Roman"/>
          <w:bCs/>
          <w:lang w:eastAsia="en-GB"/>
        </w:rPr>
        <w:t>e</w:t>
      </w:r>
      <w:r w:rsidR="001A4F6F" w:rsidRPr="00552D93">
        <w:rPr>
          <w:rFonts w:ascii="Cambria" w:eastAsia="Times New Roman" w:hAnsi="Cambria" w:cs="Times New Roman"/>
          <w:bCs/>
          <w:lang w:eastAsia="en-GB"/>
        </w:rPr>
        <w:t xml:space="preserve"> </w:t>
      </w:r>
      <w:r w:rsidR="00D1760D" w:rsidRPr="00552D93">
        <w:rPr>
          <w:rFonts w:ascii="Cambria" w:eastAsia="Times New Roman" w:hAnsi="Cambria" w:cs="Times New Roman"/>
          <w:bCs/>
          <w:lang w:eastAsia="en-GB"/>
        </w:rPr>
        <w:t>people with heavy drinking</w:t>
      </w:r>
      <w:r w:rsidR="003848D6" w:rsidRPr="00552D93">
        <w:rPr>
          <w:rFonts w:ascii="Cambria" w:eastAsia="Times New Roman" w:hAnsi="Cambria" w:cs="Times New Roman"/>
          <w:bCs/>
          <w:lang w:eastAsia="en-GB"/>
        </w:rPr>
        <w:t xml:space="preserve"> to drink less</w:t>
      </w:r>
      <w:r w:rsidRPr="00552D93">
        <w:rPr>
          <w:rFonts w:ascii="Cambria" w:eastAsia="Times New Roman" w:hAnsi="Cambria" w:cs="Times New Roman"/>
          <w:bCs/>
          <w:lang w:eastAsia="en-GB"/>
        </w:rPr>
        <w:t>, while still enjoying their alcohol experience will be a challenge for those in public health</w:t>
      </w:r>
      <w:r w:rsidR="007B6F02" w:rsidRPr="00552D93">
        <w:rPr>
          <w:rFonts w:ascii="Cambria" w:eastAsia="Times New Roman" w:hAnsi="Cambria" w:cs="Times New Roman"/>
          <w:bCs/>
          <w:lang w:eastAsia="en-GB"/>
        </w:rPr>
        <w:t>, partly because</w:t>
      </w:r>
      <w:r w:rsidR="00B852F2" w:rsidRPr="00552D93">
        <w:rPr>
          <w:rFonts w:ascii="Cambria" w:eastAsia="Times New Roman" w:hAnsi="Cambria" w:cs="Times New Roman"/>
          <w:bCs/>
          <w:lang w:eastAsia="en-GB"/>
        </w:rPr>
        <w:t xml:space="preserve"> </w:t>
      </w:r>
      <w:r w:rsidR="007B6F02" w:rsidRPr="00552D93">
        <w:rPr>
          <w:rFonts w:ascii="Cambria" w:eastAsia="Times New Roman" w:hAnsi="Cambria" w:cs="Times New Roman"/>
          <w:bCs/>
          <w:lang w:eastAsia="en-GB"/>
        </w:rPr>
        <w:t>a</w:t>
      </w:r>
      <w:r w:rsidR="00B852F2" w:rsidRPr="00552D93">
        <w:rPr>
          <w:rFonts w:ascii="Cambria" w:eastAsia="Times New Roman" w:hAnsi="Cambria" w:cs="Times New Roman"/>
          <w:bCs/>
          <w:lang w:eastAsia="en-GB"/>
        </w:rPr>
        <w:t xml:space="preserve">ny move to increase </w:t>
      </w:r>
      <w:r w:rsidR="00D1760D" w:rsidRPr="00552D93">
        <w:rPr>
          <w:rFonts w:ascii="Cambria" w:eastAsia="Times New Roman" w:hAnsi="Cambria" w:cs="Times New Roman"/>
          <w:bCs/>
          <w:lang w:eastAsia="en-GB"/>
        </w:rPr>
        <w:t xml:space="preserve">the recommended amount of alcohol in </w:t>
      </w:r>
      <w:r w:rsidR="00B852F2" w:rsidRPr="00552D93">
        <w:rPr>
          <w:rFonts w:ascii="Cambria" w:eastAsia="Times New Roman" w:hAnsi="Cambria" w:cs="Times New Roman"/>
          <w:bCs/>
          <w:lang w:eastAsia="en-GB"/>
        </w:rPr>
        <w:t xml:space="preserve">the </w:t>
      </w:r>
      <w:r w:rsidRPr="00552D93">
        <w:rPr>
          <w:rFonts w:ascii="Cambria" w:eastAsia="Times New Roman" w:hAnsi="Cambria" w:cs="Times New Roman"/>
          <w:bCs/>
          <w:lang w:eastAsia="en-GB"/>
        </w:rPr>
        <w:t>current guidelines could be unhelpfully</w:t>
      </w:r>
      <w:r w:rsidR="003231AB" w:rsidRPr="00552D93">
        <w:rPr>
          <w:rFonts w:ascii="Cambria" w:eastAsia="Times New Roman" w:hAnsi="Cambria" w:cs="Times New Roman"/>
          <w:bCs/>
          <w:lang w:eastAsia="en-GB"/>
        </w:rPr>
        <w:t xml:space="preserve"> used by the alcohol industry</w:t>
      </w:r>
      <w:r w:rsidR="00EB2D11" w:rsidRPr="00552D93">
        <w:rPr>
          <w:rFonts w:ascii="Cambria" w:eastAsia="Times New Roman" w:hAnsi="Cambria" w:cs="Times New Roman"/>
          <w:bCs/>
          <w:lang w:eastAsia="en-GB"/>
        </w:rPr>
        <w:t xml:space="preserve"> </w:t>
      </w:r>
      <w:r w:rsidR="00EB2D11" w:rsidRPr="00552D93">
        <w:rPr>
          <w:rFonts w:ascii="Cambria" w:eastAsia="Times New Roman" w:hAnsi="Cambria" w:cs="Times New Roman"/>
          <w:bCs/>
          <w:lang w:eastAsia="en-GB"/>
        </w:rPr>
        <w:fldChar w:fldCharType="begin"/>
      </w:r>
      <w:r w:rsidR="00B10022" w:rsidRPr="00552D93">
        <w:rPr>
          <w:rFonts w:ascii="Cambria" w:eastAsia="Times New Roman" w:hAnsi="Cambria" w:cs="Times New Roman"/>
          <w:bCs/>
          <w:lang w:eastAsia="en-GB"/>
        </w:rPr>
        <w:instrText xml:space="preserve"> ADDIN EN.CITE &lt;EndNote&gt;&lt;Cite&gt;&lt;Author&gt;NHMRC&lt;/Author&gt;&lt;Year&gt;2020&lt;/Year&gt;&lt;RecNum&gt;4918&lt;/RecNum&gt;&lt;DisplayText&gt;(NHMRC, 2020)&lt;/DisplayText&gt;&lt;record&gt;&lt;rec-number&gt;4918&lt;/rec-number&gt;&lt;foreign-keys&gt;&lt;key app="EN" db-id="xpvtts5frwx0z4ezes8pswrxvez090rd0vss" timestamp="1586964168" guid="6cc52736-9d0b-4761-9142-2e71204807c0"&gt;4918&lt;/key&gt;&lt;/foreign-keys&gt;&lt;ref-type name="Report"&gt;27&lt;/ref-type&gt;&lt;contributors&gt;&lt;authors&gt;&lt;author&gt;NHMRC,&lt;/author&gt;&lt;/authors&gt;&lt;/contributors&gt;&lt;titles&gt;&lt;title&gt;Draft Australian Guidelines to Reduce Health Risks from Drinking Alcohol&lt;/title&gt;&lt;/titles&gt;&lt;dates&gt;&lt;year&gt;2020&lt;/year&gt;&lt;/dates&gt;&lt;publisher&gt;Australian Government, National Health and Medical Research Council&lt;/publisher&gt;&lt;urls&gt;&lt;related-urls&gt;&lt;url&gt;https://www.nhmrc.gov.au/health-advice/alcohol&lt;/url&gt;&lt;/related-urls&gt;&lt;/urls&gt;&lt;/record&gt;&lt;/Cite&gt;&lt;/EndNote&gt;</w:instrText>
      </w:r>
      <w:r w:rsidR="00EB2D11" w:rsidRPr="00552D93">
        <w:rPr>
          <w:rFonts w:ascii="Cambria" w:eastAsia="Times New Roman" w:hAnsi="Cambria" w:cs="Times New Roman"/>
          <w:bCs/>
          <w:lang w:eastAsia="en-GB"/>
        </w:rPr>
        <w:fldChar w:fldCharType="separate"/>
      </w:r>
      <w:r w:rsidR="00EB2D11" w:rsidRPr="00552D93">
        <w:rPr>
          <w:rFonts w:ascii="Cambria" w:eastAsia="Times New Roman" w:hAnsi="Cambria" w:cs="Times New Roman"/>
          <w:bCs/>
          <w:noProof/>
          <w:lang w:eastAsia="en-GB"/>
        </w:rPr>
        <w:t>(NHMRC, 2020)</w:t>
      </w:r>
      <w:r w:rsidR="00EB2D11" w:rsidRPr="00552D93">
        <w:rPr>
          <w:rFonts w:ascii="Cambria" w:eastAsia="Times New Roman" w:hAnsi="Cambria" w:cs="Times New Roman"/>
          <w:bCs/>
          <w:lang w:eastAsia="en-GB"/>
        </w:rPr>
        <w:fldChar w:fldCharType="end"/>
      </w:r>
      <w:r w:rsidR="00665745"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r w:rsidR="007B6F02" w:rsidRPr="00552D93">
        <w:rPr>
          <w:rFonts w:ascii="Cambria" w:eastAsia="Times New Roman" w:hAnsi="Cambria" w:cs="Times New Roman"/>
          <w:bCs/>
          <w:lang w:eastAsia="en-GB"/>
        </w:rPr>
        <w:t>Nevertheless, if guidelines do not reflect or represent people’s experiences they are likely to be ignored</w:t>
      </w:r>
      <w:r w:rsidR="00EB2D11" w:rsidRPr="00552D93">
        <w:rPr>
          <w:rFonts w:ascii="Cambria" w:eastAsia="Times New Roman" w:hAnsi="Cambria" w:cs="Times New Roman"/>
          <w:bCs/>
          <w:lang w:eastAsia="en-GB"/>
        </w:rPr>
        <w:t xml:space="preserve"> </w:t>
      </w:r>
      <w:r w:rsidR="00EB2D11" w:rsidRPr="00552D93">
        <w:rPr>
          <w:rFonts w:ascii="Cambria" w:eastAsia="Times New Roman" w:hAnsi="Cambria" w:cs="Times New Roman"/>
          <w:bCs/>
          <w:lang w:eastAsia="en-GB"/>
        </w:rPr>
        <w:fldChar w:fldCharType="begin"/>
      </w:r>
      <w:r w:rsidR="00EB2D11" w:rsidRPr="00552D93">
        <w:rPr>
          <w:rFonts w:ascii="Cambria" w:eastAsia="Times New Roman" w:hAnsi="Cambria" w:cs="Times New Roman"/>
          <w:bCs/>
          <w:lang w:eastAsia="en-GB"/>
        </w:rPr>
        <w:instrText xml:space="preserve"> ADDIN EN.CITE &lt;EndNote&gt;&lt;Cite&gt;&lt;Author&gt;Lovatt&lt;/Author&gt;&lt;Year&gt;2015&lt;/Year&gt;&lt;RecNum&gt;4103&lt;/RecNum&gt;&lt;Prefix&gt;e.g. &lt;/Prefix&gt;&lt;DisplayText&gt;(e.g. Lovatt et al., 2015)&lt;/DisplayText&gt;&lt;record&gt;&lt;rec-number&gt;4103&lt;/rec-number&gt;&lt;foreign-keys&gt;&lt;key app="EN" db-id="xpvtts5frwx0z4ezes8pswrxvez090rd0vss" timestamp="1562695243" guid="32a405e2-d186-46ad-a664-28a7c0639b1e"&gt;4103&lt;/key&gt;&lt;/foreign-keys&gt;&lt;ref-type name="Journal Article"&gt;17&lt;/ref-type&gt;&lt;contributors&gt;&lt;authors&gt;&lt;author&gt;Lovatt, Melanie&lt;/author&gt;&lt;author&gt;Eadie, Douglas&lt;/author&gt;&lt;author&gt;Meier, Petra S.&lt;/author&gt;&lt;author&gt;Li, Jessica&lt;/author&gt;&lt;author&gt;Bauld, Linda&lt;/author&gt;&lt;author&gt;Hastings, Gerard&lt;/author&gt;&lt;author&gt;Holmes, John&lt;/author&gt;&lt;/authors&gt;&lt;/contributors&gt;&lt;titles&gt;&lt;title&gt;Lay epidemiology and the interpretation of low-risk drinking guidelines by adults in the United Kingdom&lt;/title&gt;&lt;secondary-title&gt;Addiction&lt;/secondary-title&gt;&lt;/titles&gt;&lt;periodical&gt;&lt;full-title&gt;Addiction&lt;/full-title&gt;&lt;abbr-1&gt;Addiction&lt;/abbr-1&gt;&lt;/periodical&gt;&lt;pages&gt;1912–1919&lt;/pages&gt;&lt;volume&gt;110&lt;/volume&gt;&lt;number&gt;12&lt;/number&gt;&lt;keywords&gt;&lt;keyword&gt;Alcohol&lt;/keyword&gt;&lt;keyword&gt;drinking practices&lt;/keyword&gt;&lt;keyword&gt;drinking guidelines&lt;/keyword&gt;&lt;keyword&gt;lay epidemiology&lt;/keyword&gt;&lt;keyword&gt;qualitative&lt;/keyword&gt;&lt;keyword&gt;units&lt;/keyword&gt;&lt;/keywords&gt;&lt;dates&gt;&lt;year&gt;2015&lt;/year&gt;&lt;/dates&gt;&lt;isbn&gt;1360-0443&lt;/isbn&gt;&lt;urls&gt;&lt;related-urls&gt;&lt;url&gt;http://dx.doi.org/10.1111/add.13072&lt;/url&gt;&lt;/related-urls&gt;&lt;/urls&gt;&lt;electronic-resource-num&gt;10.1111/add.13072&lt;/electronic-resource-num&gt;&lt;/record&gt;&lt;/Cite&gt;&lt;/EndNote&gt;</w:instrText>
      </w:r>
      <w:r w:rsidR="00EB2D11" w:rsidRPr="00552D93">
        <w:rPr>
          <w:rFonts w:ascii="Cambria" w:eastAsia="Times New Roman" w:hAnsi="Cambria" w:cs="Times New Roman"/>
          <w:bCs/>
          <w:lang w:eastAsia="en-GB"/>
        </w:rPr>
        <w:fldChar w:fldCharType="separate"/>
      </w:r>
      <w:r w:rsidR="00EB2D11" w:rsidRPr="00552D93">
        <w:rPr>
          <w:rFonts w:ascii="Cambria" w:eastAsia="Times New Roman" w:hAnsi="Cambria" w:cs="Times New Roman"/>
          <w:bCs/>
          <w:noProof/>
          <w:lang w:eastAsia="en-GB"/>
        </w:rPr>
        <w:t>(e.g. Lovatt et al., 2015)</w:t>
      </w:r>
      <w:r w:rsidR="00EB2D11" w:rsidRPr="00552D93">
        <w:rPr>
          <w:rFonts w:ascii="Cambria" w:eastAsia="Times New Roman" w:hAnsi="Cambria" w:cs="Times New Roman"/>
          <w:bCs/>
          <w:lang w:eastAsia="en-GB"/>
        </w:rPr>
        <w:fldChar w:fldCharType="end"/>
      </w:r>
      <w:r w:rsidR="007B6F02" w:rsidRPr="00552D93">
        <w:rPr>
          <w:rFonts w:ascii="Cambria" w:eastAsia="Times New Roman" w:hAnsi="Cambria" w:cs="Times New Roman"/>
          <w:bCs/>
          <w:lang w:eastAsia="en-GB"/>
        </w:rPr>
        <w:t>, and are unlikely to lead to the public health goal of reduced consumption. There is evidence from the persuasive communication literature that messages which are not deemed as being personally relevant are not attended to</w:t>
      </w:r>
      <w:r w:rsidR="00D1760D" w:rsidRPr="00552D93">
        <w:rPr>
          <w:rFonts w:ascii="Cambria" w:eastAsia="Times New Roman" w:hAnsi="Cambria" w:cs="Times New Roman"/>
          <w:bCs/>
          <w:lang w:eastAsia="en-GB"/>
        </w:rPr>
        <w:t xml:space="preserve"> </w:t>
      </w:r>
      <w:r w:rsidR="00665745" w:rsidRPr="00552D93">
        <w:rPr>
          <w:rFonts w:ascii="Cambria" w:eastAsia="Times New Roman" w:hAnsi="Cambria" w:cs="Times New Roman"/>
          <w:bCs/>
          <w:lang w:eastAsia="en-GB"/>
        </w:rPr>
        <w:fldChar w:fldCharType="begin"/>
      </w:r>
      <w:r w:rsidR="00EB2D11" w:rsidRPr="00552D93">
        <w:rPr>
          <w:rFonts w:ascii="Cambria" w:eastAsia="Times New Roman" w:hAnsi="Cambria" w:cs="Times New Roman"/>
          <w:bCs/>
          <w:lang w:eastAsia="en-GB"/>
        </w:rPr>
        <w:instrText xml:space="preserve"> ADDIN EN.CITE &lt;EndNote&gt;&lt;Cite&gt;&lt;Author&gt;Harris&lt;/Author&gt;&lt;Year&gt;2005&lt;/Year&gt;&lt;RecNum&gt;4917&lt;/RecNum&gt;&lt;DisplayText&gt;(Harris &amp;amp; Napper, 2005)&lt;/DisplayText&gt;&lt;record&gt;&lt;rec-number&gt;4917&lt;/rec-number&gt;&lt;foreign-keys&gt;&lt;key app="EN" db-id="xpvtts5frwx0z4ezes8pswrxvez090rd0vss" timestamp="1586963644" guid="6b551cfe-fcd2-44e9-b940-c1f90a1c5abb"&gt;4917&lt;/key&gt;&lt;/foreign-keys&gt;&lt;ref-type name="Journal Article"&gt;17&lt;/ref-type&gt;&lt;contributors&gt;&lt;authors&gt;&lt;author&gt;Harris, Peter R.&lt;/author&gt;&lt;author&gt;Napper, Lucy&lt;/author&gt;&lt;/authors&gt;&lt;/contributors&gt;&lt;titles&gt;&lt;title&gt;Self-Affirmation and the Biased Processing of Threatening Health-Risk Information&lt;/title&gt;&lt;secondary-title&gt;Personality and Social Psychology Bulletin&lt;/secondary-title&gt;&lt;/titles&gt;&lt;periodical&gt;&lt;full-title&gt;Personality and Social Psychology Bulletin&lt;/full-title&gt;&lt;/periodical&gt;&lt;pages&gt;1250-1263&lt;/pages&gt;&lt;volume&gt;31&lt;/volume&gt;&lt;number&gt;9&lt;/number&gt;&lt;keywords&gt;&lt;keyword&gt;self-affirmation,defensive processing,perceived risk,optimistic bias,persuasion&lt;/keyword&gt;&lt;/keywords&gt;&lt;dates&gt;&lt;year&gt;2005&lt;/year&gt;&lt;/dates&gt;&lt;accession-num&gt;16055644&lt;/accession-num&gt;&lt;urls&gt;&lt;related-urls&gt;&lt;url&gt;https://journals.sagepub.com/doi/abs/10.1177/0146167205274694&lt;/url&gt;&lt;/related-urls&gt;&lt;/urls&gt;&lt;electronic-resource-num&gt;10.1177/0146167205274694&lt;/electronic-resource-num&gt;&lt;/record&gt;&lt;/Cite&gt;&lt;/EndNote&gt;</w:instrText>
      </w:r>
      <w:r w:rsidR="00665745" w:rsidRPr="00552D93">
        <w:rPr>
          <w:rFonts w:ascii="Cambria" w:eastAsia="Times New Roman" w:hAnsi="Cambria" w:cs="Times New Roman"/>
          <w:bCs/>
          <w:lang w:eastAsia="en-GB"/>
        </w:rPr>
        <w:fldChar w:fldCharType="separate"/>
      </w:r>
      <w:r w:rsidR="00665745" w:rsidRPr="00552D93">
        <w:rPr>
          <w:rFonts w:ascii="Cambria" w:eastAsia="Times New Roman" w:hAnsi="Cambria" w:cs="Times New Roman"/>
          <w:bCs/>
          <w:noProof/>
          <w:lang w:eastAsia="en-GB"/>
        </w:rPr>
        <w:t>(Harris &amp; Napper, 2005)</w:t>
      </w:r>
      <w:r w:rsidR="00665745" w:rsidRPr="00552D93">
        <w:rPr>
          <w:rFonts w:ascii="Cambria" w:eastAsia="Times New Roman" w:hAnsi="Cambria" w:cs="Times New Roman"/>
          <w:bCs/>
          <w:lang w:eastAsia="en-GB"/>
        </w:rPr>
        <w:fldChar w:fldCharType="end"/>
      </w:r>
      <w:r w:rsidR="007B6F02" w:rsidRPr="00552D93">
        <w:rPr>
          <w:rFonts w:ascii="Cambria" w:eastAsia="Times New Roman" w:hAnsi="Cambria" w:cs="Times New Roman"/>
          <w:bCs/>
          <w:lang w:eastAsia="en-GB"/>
        </w:rPr>
        <w:t xml:space="preserve">. </w:t>
      </w:r>
    </w:p>
    <w:p w14:paraId="71D64CC9" w14:textId="38FC3239" w:rsidR="003231AB" w:rsidRPr="00552D93" w:rsidRDefault="003231AB" w:rsidP="006567F8">
      <w:pPr>
        <w:spacing w:before="100" w:beforeAutospacing="1" w:after="100" w:afterAutospacing="1" w:line="480" w:lineRule="auto"/>
        <w:rPr>
          <w:rFonts w:ascii="Cambria" w:eastAsia="Times New Roman" w:hAnsi="Cambria" w:cs="Times New Roman"/>
          <w:bCs/>
          <w:lang w:eastAsia="en-GB"/>
        </w:rPr>
      </w:pPr>
      <w:r w:rsidRPr="00552D93">
        <w:rPr>
          <w:rFonts w:ascii="Cambria" w:eastAsia="Times New Roman" w:hAnsi="Cambria" w:cs="Times New Roman"/>
          <w:bCs/>
          <w:lang w:eastAsia="en-GB"/>
        </w:rPr>
        <w:t>Unsurprisingly</w:t>
      </w:r>
      <w:r w:rsidR="005F4229" w:rsidRPr="00552D93">
        <w:rPr>
          <w:rFonts w:ascii="Cambria" w:eastAsia="Times New Roman" w:hAnsi="Cambria" w:cs="Times New Roman"/>
          <w:bCs/>
          <w:lang w:eastAsia="en-GB"/>
        </w:rPr>
        <w:t>,</w:t>
      </w:r>
      <w:r w:rsidRPr="00552D93">
        <w:rPr>
          <w:rFonts w:ascii="Cambria" w:eastAsia="Times New Roman" w:hAnsi="Cambria" w:cs="Times New Roman"/>
          <w:bCs/>
          <w:lang w:eastAsia="en-GB"/>
        </w:rPr>
        <w:t xml:space="preserve"> and in line with previous research</w:t>
      </w:r>
      <w:r w:rsidR="005F4229" w:rsidRPr="00552D93">
        <w:rPr>
          <w:rFonts w:ascii="Cambria" w:eastAsia="Times New Roman" w:hAnsi="Cambria" w:cs="Times New Roman"/>
          <w:bCs/>
          <w:lang w:eastAsia="en-GB"/>
        </w:rPr>
        <w:t>,</w:t>
      </w:r>
      <w:r w:rsidRPr="00552D93">
        <w:rPr>
          <w:rFonts w:ascii="Cambria" w:eastAsia="Times New Roman" w:hAnsi="Cambria" w:cs="Times New Roman"/>
          <w:bCs/>
          <w:lang w:eastAsia="en-GB"/>
        </w:rPr>
        <w:t xml:space="preserve"> </w:t>
      </w:r>
      <w:r w:rsidR="00D1760D" w:rsidRPr="00552D93">
        <w:rPr>
          <w:rFonts w:ascii="Cambria" w:eastAsia="Times New Roman" w:hAnsi="Cambria" w:cs="Times New Roman"/>
          <w:bCs/>
          <w:lang w:eastAsia="en-GB"/>
        </w:rPr>
        <w:t>the highest amount of alcohol needed to reach</w:t>
      </w:r>
      <w:r w:rsidRPr="00552D93">
        <w:rPr>
          <w:rFonts w:ascii="Cambria" w:eastAsia="Times New Roman" w:hAnsi="Cambria" w:cs="Times New Roman"/>
          <w:bCs/>
          <w:lang w:eastAsia="en-GB"/>
        </w:rPr>
        <w:t xml:space="preserve"> each point of intoxication  </w:t>
      </w:r>
      <w:r w:rsidR="008879B3" w:rsidRPr="00552D93">
        <w:rPr>
          <w:rFonts w:ascii="Cambria" w:eastAsia="Times New Roman" w:hAnsi="Cambria" w:cs="Times New Roman"/>
          <w:bCs/>
          <w:lang w:eastAsia="en-GB"/>
        </w:rPr>
        <w:t xml:space="preserve">associated with </w:t>
      </w:r>
      <w:r w:rsidRPr="00552D93">
        <w:rPr>
          <w:rFonts w:ascii="Cambria" w:eastAsia="Times New Roman" w:hAnsi="Cambria" w:cs="Times New Roman"/>
          <w:bCs/>
          <w:lang w:eastAsia="en-GB"/>
        </w:rPr>
        <w:t>gender, age and AUDIT category.</w:t>
      </w:r>
      <w:r w:rsidR="00297275" w:rsidRPr="00552D93">
        <w:rPr>
          <w:rFonts w:ascii="Cambria" w:eastAsia="Times New Roman" w:hAnsi="Cambria" w:cs="Times New Roman"/>
          <w:bCs/>
          <w:lang w:eastAsia="en-GB"/>
        </w:rPr>
        <w:t xml:space="preserve"> </w:t>
      </w:r>
      <w:r w:rsidR="006446C4" w:rsidRPr="00552D93">
        <w:rPr>
          <w:rFonts w:ascii="Cambria" w:eastAsia="Times New Roman" w:hAnsi="Cambria" w:cs="Times New Roman"/>
          <w:bCs/>
          <w:lang w:eastAsia="en-GB"/>
        </w:rPr>
        <w:t xml:space="preserve">Women are generally </w:t>
      </w:r>
      <w:r w:rsidRPr="00552D93">
        <w:rPr>
          <w:rFonts w:ascii="Cambria" w:eastAsia="Times New Roman" w:hAnsi="Cambria" w:cs="Times New Roman"/>
          <w:bCs/>
          <w:lang w:eastAsia="en-GB"/>
        </w:rPr>
        <w:t xml:space="preserve">less likely </w:t>
      </w:r>
      <w:r w:rsidR="008879B3" w:rsidRPr="00552D93">
        <w:rPr>
          <w:rFonts w:ascii="Cambria" w:eastAsia="Times New Roman" w:hAnsi="Cambria" w:cs="Times New Roman"/>
          <w:bCs/>
          <w:lang w:eastAsia="en-GB"/>
        </w:rPr>
        <w:t xml:space="preserve">than men </w:t>
      </w:r>
      <w:r w:rsidRPr="00552D93">
        <w:rPr>
          <w:rFonts w:ascii="Cambria" w:eastAsia="Times New Roman" w:hAnsi="Cambria" w:cs="Times New Roman"/>
          <w:bCs/>
          <w:lang w:eastAsia="en-GB"/>
        </w:rPr>
        <w:t xml:space="preserve">to engage in HED </w:t>
      </w:r>
      <w:r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&lt;EndNote&gt;&lt;Cite&gt;&lt;Author&gt;Wilsnack&lt;/Author&gt;&lt;Year&gt;2018&lt;/Year&gt;&lt;RecNum&gt;4809&lt;/RecNum&gt;&lt;IDText&gt;Gender Differences in Binge Drinking&lt;/IDText&gt;&lt;DisplayText&gt;(Wilsnack, Wilsnack, Gmel, &amp;amp; Kantor, 2018)&lt;/DisplayText&gt;&lt;record&gt;&lt;rec-number&gt;4809&lt;/rec-number&gt;&lt;foreign-keys&gt;&lt;key app="EN" db-id="te5rs0t0nprf99ep09vxza050r9t99faf9td" timestamp="1562839397"&gt;4809&lt;/key&gt;&lt;/foreign-keys&gt;&lt;ref-type name="Journal Article"&gt;17&lt;/ref-type&gt;&lt;contributors&gt;&lt;authors&gt;&lt;author&gt;Wilsnack, Richard W.&lt;/author&gt;&lt;author&gt;Wilsnack, Sharon C.&lt;/author&gt;&lt;author&gt;Gmel, Gerhard&lt;/author&gt;&lt;author&gt;Kantor, Lori Wolfgang&lt;/author&gt;&lt;/authors&gt;&lt;/contributors&gt;&lt;titles&gt;&lt;title&gt;Gender Differences in Binge Drinking&lt;/title&gt;&lt;secondary-title&gt;Alcohol research : current reviews&lt;/secondary-title&gt;&lt;alt-title&gt;Alcohol Res&lt;/alt-title&gt;&lt;/titles&gt;&lt;periodical&gt;&lt;full-title&gt;Alcohol Res&lt;/full-title&gt;&lt;abbr-1&gt;Alcohol research : current reviews&lt;/abbr-1&gt;&lt;/periodical&gt;&lt;alt-periodical&gt;&lt;full-title&gt;Alcohol Res&lt;/full-title&gt;&lt;abbr-1&gt;Alcohol research : current reviews&lt;/abbr-1&gt;&lt;/alt-periodical&gt;&lt;pages&gt;57-76&lt;/pages&gt;&lt;volume&gt;39&lt;/volume&gt;&lt;number&gt;1&lt;/number&gt;&lt;dates&gt;&lt;year&gt;2018&lt;/year&gt;&lt;/dates&gt;&lt;publisher&gt;National Institute on Alcohol Abuse and Alcoholism&lt;/publisher&gt;&lt;isbn&gt;2169-4796&amp;#xD;2168-3492&lt;/isbn&gt;&lt;accession-num&gt;30557149&lt;/accession-num&gt;&lt;urls&gt;&lt;related-urls&gt;&lt;url&gt;https://www.ncbi.nlm.nih.gov/pubmed/30557149&lt;/url&gt;&lt;url&gt;https://www.ncbi.nlm.nih.gov/pmc/articles/PMC6104960/&lt;/url&gt;&lt;/related-urls&gt;&lt;/urls&gt;&lt;remote-database-name&gt;PubMed&lt;/remote-database-name&gt;&lt;language&gt;eng&lt;/language&gt;&lt;/record&gt;&lt;/Cite&gt;&lt;/EndNote&gt;</w:instrText>
      </w:r>
      <w:r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(Wilsnack, Wilsnack, Gmel, &amp; Kantor, 2018)</w:t>
      </w:r>
      <w:r w:rsidRPr="00552D93">
        <w:rPr>
          <w:rFonts w:ascii="Cambria" w:eastAsia="Times New Roman" w:hAnsi="Cambria" w:cs="Times New Roman"/>
          <w:bCs/>
          <w:lang w:eastAsia="en-GB"/>
        </w:rPr>
        <w:fldChar w:fldCharType="end"/>
      </w:r>
      <w:r w:rsidR="005A7DDE" w:rsidRPr="00552D93">
        <w:rPr>
          <w:rFonts w:ascii="Cambria" w:eastAsia="Times New Roman" w:hAnsi="Cambria" w:cs="Times New Roman"/>
          <w:bCs/>
          <w:lang w:eastAsia="en-GB"/>
        </w:rPr>
        <w:t xml:space="preserve"> and pre-drinking </w:t>
      </w:r>
      <w:r w:rsidR="005A7DDE" w:rsidRPr="00552D93">
        <w:rPr>
          <w:rFonts w:ascii="Cambria" w:eastAsia="Times New Roman" w:hAnsi="Cambria" w:cs="Times New Roman"/>
          <w:bCs/>
          <w:lang w:eastAsia="en-GB"/>
        </w:rPr>
        <w:fldChar w:fldCharType="begin"/>
      </w:r>
      <w:r w:rsidR="006177B8" w:rsidRPr="00552D93">
        <w:rPr>
          <w:rFonts w:ascii="Cambria" w:eastAsia="Times New Roman" w:hAnsi="Cambria" w:cs="Times New Roman"/>
          <w:bCs/>
          <w:lang w:eastAsia="en-GB"/>
        </w:rPr>
        <w:instrText xml:space="preserve"> ADDIN EN.CITE &lt;EndNote&gt;&lt;Cite&gt;&lt;Author&gt;Ferris&lt;/Author&gt;&lt;Year&gt;2019&lt;/Year&gt;&lt;RecNum&gt;4859&lt;/RecNum&gt;&lt;IDText&gt;The Role of Sex and Age on Pre-drinking: An Exploratory International Comparison of 27 Countries&lt;/IDText&gt;&lt;DisplayText&gt;(Ferris, Puljević, Labhart, Winstock, &amp;amp; Kuntsche, 2019)&lt;/DisplayText&gt;&lt;record&gt;&lt;rec-number&gt;4859&lt;/rec-number&gt;&lt;foreign-keys&gt;&lt;key app="EN" db-id="te5rs0t0nprf99ep09vxza050r9t99faf9td" timestamp="1575044298"&gt;4859&lt;/key&gt;&lt;/foreign-keys&gt;&lt;ref-type name="Journal Article"&gt;17&lt;/ref-type&gt;&lt;contributors&gt;&lt;authors&gt;&lt;author&gt;Ferris, J. A.&lt;/author&gt;&lt;author&gt;Puljević, Cheneal&lt;/author&gt;&lt;author&gt;Labhart, Florian&lt;/author&gt;&lt;author&gt;Winstock, Adam&lt;/author&gt;&lt;author&gt;Kuntsche, Emmanuel&lt;/author&gt;&lt;/authors&gt;&lt;/contributors&gt;&lt;titles&gt;&lt;title&gt;The Role of Sex and Age on Pre-drinking: An Exploratory International Comparison of 27 Countries&lt;/title&gt;&lt;secondary-title&gt;Alcohol and Alcoholism&lt;/secondary-title&gt;&lt;/titles&gt;&lt;periodical&gt;&lt;full-title&gt;Alcohol and Alcoholism&lt;/full-title&gt;&lt;/periodical&gt;&lt;pages&gt;378-385&lt;/pages&gt;&lt;volume&gt;54&lt;/volume&gt;&lt;number&gt;4&lt;/number&gt;&lt;dates&gt;&lt;year&gt;2019&lt;/year&gt;&lt;/dates&gt;&lt;isbn&gt;0735-0414&lt;/isbn&gt;&lt;urls&gt;&lt;related-urls&gt;&lt;url&gt;https://doi.org/10.1093/alcalc/agz040&lt;/url&gt;&lt;/related-urls&gt;&lt;/urls&gt;&lt;electronic-resource-num&gt;10.1093/alcalc/agz040&lt;/electronic-resource-num&gt;&lt;access-date&gt;10/31/2019&lt;/access-date&gt;&lt;/record&gt;&lt;/Cite&gt;&lt;/EndNote&gt;</w:instrText>
      </w:r>
      <w:r w:rsidR="005A7DDE" w:rsidRPr="00552D93">
        <w:rPr>
          <w:rFonts w:ascii="Cambria" w:eastAsia="Times New Roman" w:hAnsi="Cambria" w:cs="Times New Roman"/>
          <w:bCs/>
          <w:lang w:eastAsia="en-GB"/>
        </w:rPr>
        <w:fldChar w:fldCharType="separate"/>
      </w:r>
      <w:r w:rsidR="006177B8" w:rsidRPr="00552D93">
        <w:rPr>
          <w:rFonts w:ascii="Cambria" w:eastAsia="Times New Roman" w:hAnsi="Cambria" w:cs="Times New Roman"/>
          <w:bCs/>
          <w:noProof/>
          <w:lang w:eastAsia="en-GB"/>
        </w:rPr>
        <w:t>(Ferris, Puljević, Labhart, Winstock, &amp; Kuntsche, 2019)</w:t>
      </w:r>
      <w:r w:rsidR="005A7DDE" w:rsidRPr="00552D93">
        <w:rPr>
          <w:rFonts w:ascii="Cambria" w:eastAsia="Times New Roman" w:hAnsi="Cambria" w:cs="Times New Roman"/>
          <w:bCs/>
          <w:lang w:eastAsia="en-GB"/>
        </w:rPr>
        <w:fldChar w:fldCharType="end"/>
      </w:r>
      <w:r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r w:rsidRPr="00552D93">
        <w:rPr>
          <w:rFonts w:ascii="Cambria" w:eastAsia="Times New Roman" w:hAnsi="Cambria" w:cs="Times New Roman"/>
          <w:bCs/>
          <w:lang w:eastAsia="en-GB"/>
        </w:rPr>
        <w:t>People under 25 years consistently reported consum</w:t>
      </w:r>
      <w:r w:rsidR="008879B3" w:rsidRPr="00552D93">
        <w:rPr>
          <w:rFonts w:ascii="Cambria" w:eastAsia="Times New Roman" w:hAnsi="Cambria" w:cs="Times New Roman"/>
          <w:bCs/>
          <w:lang w:eastAsia="en-GB"/>
        </w:rPr>
        <w:t>ing</w:t>
      </w:r>
      <w:r w:rsidRPr="00552D93">
        <w:rPr>
          <w:rFonts w:ascii="Cambria" w:eastAsia="Times New Roman" w:hAnsi="Cambria" w:cs="Times New Roman"/>
          <w:bCs/>
          <w:lang w:eastAsia="en-GB"/>
        </w:rPr>
        <w:t xml:space="preserve"> more drinks</w:t>
      </w:r>
      <w:r w:rsidR="008879B3" w:rsidRPr="00552D93">
        <w:rPr>
          <w:rFonts w:ascii="Cambria" w:eastAsia="Times New Roman" w:hAnsi="Cambria" w:cs="Times New Roman"/>
          <w:bCs/>
          <w:lang w:eastAsia="en-GB"/>
        </w:rPr>
        <w:t xml:space="preserve"> than those 25 and older</w:t>
      </w:r>
      <w:r w:rsidRPr="00552D93">
        <w:rPr>
          <w:rFonts w:ascii="Cambria" w:eastAsia="Times New Roman" w:hAnsi="Cambria" w:cs="Times New Roman"/>
          <w:bCs/>
          <w:lang w:eastAsia="en-GB"/>
        </w:rPr>
        <w:t xml:space="preserve"> to reach each stage of intoxication .</w:t>
      </w:r>
      <w:r w:rsidR="00297275" w:rsidRPr="00552D93">
        <w:rPr>
          <w:rFonts w:ascii="Cambria" w:eastAsia="Times New Roman" w:hAnsi="Cambria" w:cs="Times New Roman"/>
          <w:bCs/>
          <w:lang w:eastAsia="en-GB"/>
        </w:rPr>
        <w:t xml:space="preserve"> </w:t>
      </w:r>
      <w:r w:rsidRPr="00552D93">
        <w:rPr>
          <w:rFonts w:ascii="Cambria" w:eastAsia="Times New Roman" w:hAnsi="Cambria" w:cs="Times New Roman"/>
          <w:bCs/>
          <w:lang w:eastAsia="en-GB"/>
        </w:rPr>
        <w:t xml:space="preserve">People who were </w:t>
      </w:r>
      <w:r w:rsidR="008879B3" w:rsidRPr="00552D93">
        <w:rPr>
          <w:rFonts w:ascii="Cambria" w:eastAsia="Times New Roman" w:hAnsi="Cambria" w:cs="Times New Roman"/>
          <w:bCs/>
          <w:lang w:eastAsia="en-GB"/>
        </w:rPr>
        <w:t xml:space="preserve">at </w:t>
      </w:r>
      <w:r w:rsidRPr="00552D93">
        <w:rPr>
          <w:rFonts w:ascii="Cambria" w:eastAsia="Times New Roman" w:hAnsi="Cambria" w:cs="Times New Roman"/>
          <w:bCs/>
          <w:lang w:eastAsia="en-GB"/>
        </w:rPr>
        <w:t xml:space="preserve">higher risk </w:t>
      </w:r>
      <w:r w:rsidR="008879B3" w:rsidRPr="00552D93">
        <w:rPr>
          <w:rFonts w:ascii="Cambria" w:eastAsia="Times New Roman" w:hAnsi="Cambria" w:cs="Times New Roman"/>
          <w:bCs/>
          <w:lang w:eastAsia="en-GB"/>
        </w:rPr>
        <w:t>for an alcohol use disorder</w:t>
      </w:r>
      <w:r w:rsidRPr="00552D93">
        <w:rPr>
          <w:rFonts w:ascii="Cambria" w:eastAsia="Times New Roman" w:hAnsi="Cambria" w:cs="Times New Roman"/>
          <w:bCs/>
          <w:lang w:eastAsia="en-GB"/>
        </w:rPr>
        <w:t xml:space="preserve"> also needed more grams of alcohol to reach each stage of intoxication, perhaps cons</w:t>
      </w:r>
      <w:r w:rsidR="001875AF" w:rsidRPr="00552D93">
        <w:rPr>
          <w:rFonts w:ascii="Cambria" w:eastAsia="Times New Roman" w:hAnsi="Cambria" w:cs="Times New Roman"/>
          <w:bCs/>
          <w:lang w:eastAsia="en-GB"/>
        </w:rPr>
        <w:t>istent with increased tolerance.</w:t>
      </w:r>
    </w:p>
    <w:p w14:paraId="39AE43B3" w14:textId="68D95830" w:rsidR="001B5D19" w:rsidRPr="00552D93" w:rsidRDefault="008879B3" w:rsidP="00F131F2">
      <w:pPr>
        <w:spacing w:before="100" w:beforeAutospacing="1" w:after="100" w:afterAutospacing="1" w:line="480" w:lineRule="auto"/>
        <w:rPr>
          <w:rFonts w:ascii="Cambria" w:eastAsia="Times New Roman" w:hAnsi="Cambria" w:cs="Times New Roman"/>
          <w:bCs/>
          <w:lang w:eastAsia="en-GB"/>
        </w:rPr>
      </w:pPr>
      <w:r w:rsidRPr="00552D93">
        <w:rPr>
          <w:rFonts w:ascii="Cambria" w:eastAsia="Times New Roman" w:hAnsi="Cambria" w:cs="Times New Roman"/>
          <w:bCs/>
          <w:lang w:eastAsia="en-GB"/>
        </w:rPr>
        <w:lastRenderedPageBreak/>
        <w:t>Respondents from t</w:t>
      </w:r>
      <w:r w:rsidR="00BA4E52" w:rsidRPr="00552D93">
        <w:rPr>
          <w:rFonts w:ascii="Cambria" w:eastAsia="Times New Roman" w:hAnsi="Cambria" w:cs="Times New Roman"/>
          <w:bCs/>
          <w:lang w:eastAsia="en-GB"/>
        </w:rPr>
        <w:t xml:space="preserve">he Republic of Ireland </w:t>
      </w:r>
      <w:r w:rsidR="00744E93" w:rsidRPr="00552D93">
        <w:rPr>
          <w:rFonts w:ascii="Cambria" w:eastAsia="Times New Roman" w:hAnsi="Cambria" w:cs="Times New Roman"/>
          <w:bCs/>
          <w:lang w:eastAsia="en-GB"/>
        </w:rPr>
        <w:t>and</w:t>
      </w:r>
      <w:r w:rsidR="007E1C55" w:rsidRPr="00552D93">
        <w:rPr>
          <w:rFonts w:ascii="Cambria" w:eastAsia="Times New Roman" w:hAnsi="Cambria" w:cs="Times New Roman"/>
          <w:bCs/>
          <w:lang w:eastAsia="en-GB"/>
        </w:rPr>
        <w:t xml:space="preserve"> France</w:t>
      </w:r>
      <w:r w:rsidR="00744E93" w:rsidRPr="00552D93">
        <w:rPr>
          <w:rFonts w:ascii="Cambria" w:eastAsia="Times New Roman" w:hAnsi="Cambria" w:cs="Times New Roman"/>
          <w:bCs/>
          <w:lang w:eastAsia="en-GB"/>
        </w:rPr>
        <w:t xml:space="preserve"> </w:t>
      </w:r>
      <w:r w:rsidR="00BA4E52" w:rsidRPr="00552D93">
        <w:rPr>
          <w:rFonts w:ascii="Cambria" w:eastAsia="Times New Roman" w:hAnsi="Cambria" w:cs="Times New Roman"/>
          <w:bCs/>
          <w:lang w:eastAsia="en-GB"/>
        </w:rPr>
        <w:t>got as drunk as they wanted to be most frequently.</w:t>
      </w:r>
      <w:r w:rsidR="00297275" w:rsidRPr="00552D93">
        <w:rPr>
          <w:rFonts w:ascii="Cambria" w:eastAsia="Times New Roman" w:hAnsi="Cambria" w:cs="Times New Roman"/>
          <w:bCs/>
          <w:lang w:eastAsia="en-GB"/>
        </w:rPr>
        <w:t xml:space="preserve"> </w:t>
      </w:r>
      <w:r w:rsidRPr="00552D93">
        <w:rPr>
          <w:rFonts w:ascii="Cambria" w:eastAsia="Times New Roman" w:hAnsi="Cambria" w:cs="Times New Roman"/>
          <w:bCs/>
          <w:lang w:eastAsia="en-GB"/>
        </w:rPr>
        <w:t>Respondents from t</w:t>
      </w:r>
      <w:r w:rsidR="001A0C69" w:rsidRPr="00552D93">
        <w:rPr>
          <w:rFonts w:ascii="Cambria" w:eastAsia="Times New Roman" w:hAnsi="Cambria" w:cs="Times New Roman"/>
          <w:bCs/>
          <w:lang w:eastAsia="en-GB"/>
        </w:rPr>
        <w:t xml:space="preserve">he Republic of Ireland </w:t>
      </w:r>
      <w:r w:rsidR="004F788E" w:rsidRPr="00552D93">
        <w:rPr>
          <w:rFonts w:ascii="Cambria" w:eastAsia="Times New Roman" w:hAnsi="Cambria" w:cs="Times New Roman"/>
          <w:bCs/>
          <w:lang w:eastAsia="en-GB"/>
        </w:rPr>
        <w:t>also had the highest rate</w:t>
      </w:r>
      <w:r w:rsidR="001A0C69" w:rsidRPr="00552D93">
        <w:rPr>
          <w:rFonts w:ascii="Cambria" w:eastAsia="Times New Roman" w:hAnsi="Cambria" w:cs="Times New Roman"/>
          <w:bCs/>
          <w:lang w:eastAsia="en-GB"/>
        </w:rPr>
        <w:t xml:space="preserve"> of reaching the tipping point</w:t>
      </w:r>
      <w:r w:rsidR="00744E93" w:rsidRPr="00552D93">
        <w:rPr>
          <w:rFonts w:ascii="Cambria" w:eastAsia="Times New Roman" w:hAnsi="Cambria" w:cs="Times New Roman"/>
          <w:bCs/>
          <w:lang w:eastAsia="en-GB"/>
        </w:rPr>
        <w:t xml:space="preserve"> at least monthly</w:t>
      </w:r>
      <w:r w:rsidR="001A0C69" w:rsidRPr="00552D93">
        <w:rPr>
          <w:rFonts w:ascii="Cambria" w:eastAsia="Times New Roman" w:hAnsi="Cambria" w:cs="Times New Roman"/>
          <w:bCs/>
          <w:lang w:eastAsia="en-GB"/>
        </w:rPr>
        <w:t xml:space="preserve"> </w:t>
      </w:r>
      <w:r w:rsidR="00BA4E52" w:rsidRPr="00552D93">
        <w:rPr>
          <w:rFonts w:ascii="Cambria" w:eastAsia="Times New Roman" w:hAnsi="Cambria" w:cs="Times New Roman"/>
          <w:bCs/>
          <w:lang w:eastAsia="en-GB"/>
        </w:rPr>
        <w:t>(31.7</w:t>
      </w:r>
      <w:r w:rsidR="001A0C69" w:rsidRPr="00552D93">
        <w:rPr>
          <w:rFonts w:ascii="Cambria" w:eastAsia="Times New Roman" w:hAnsi="Cambria" w:cs="Times New Roman"/>
          <w:bCs/>
          <w:lang w:eastAsia="en-GB"/>
        </w:rPr>
        <w:t>%).</w:t>
      </w:r>
      <w:r w:rsidR="00E60446" w:rsidRPr="00552D93">
        <w:rPr>
          <w:rFonts w:ascii="Cambria" w:eastAsia="Times New Roman" w:hAnsi="Cambria" w:cs="Times New Roman"/>
          <w:bCs/>
          <w:lang w:eastAsia="en-GB"/>
        </w:rPr>
        <w:t xml:space="preserve"> </w:t>
      </w:r>
      <w:r w:rsidR="005A6AC2" w:rsidRPr="00552D93">
        <w:rPr>
          <w:rFonts w:ascii="Cambria" w:eastAsia="Times New Roman" w:hAnsi="Cambria" w:cs="Times New Roman"/>
          <w:bCs/>
          <w:lang w:eastAsia="en-GB"/>
        </w:rPr>
        <w:t>R</w:t>
      </w:r>
      <w:r w:rsidR="00E60446" w:rsidRPr="00552D93">
        <w:rPr>
          <w:rFonts w:ascii="Cambria" w:eastAsia="Times New Roman" w:hAnsi="Cambria" w:cs="Times New Roman"/>
          <w:bCs/>
          <w:lang w:eastAsia="en-GB"/>
        </w:rPr>
        <w:t>esul</w:t>
      </w:r>
      <w:r w:rsidR="00EC0AC4" w:rsidRPr="00552D93">
        <w:rPr>
          <w:rFonts w:ascii="Cambria" w:eastAsia="Times New Roman" w:hAnsi="Cambria" w:cs="Times New Roman"/>
          <w:bCs/>
          <w:lang w:eastAsia="en-GB"/>
        </w:rPr>
        <w:t>ts are similar to data from</w:t>
      </w:r>
      <w:r w:rsidRPr="00552D93">
        <w:rPr>
          <w:rFonts w:ascii="Cambria" w:eastAsia="Times New Roman" w:hAnsi="Cambria" w:cs="Times New Roman"/>
          <w:bCs/>
          <w:lang w:eastAsia="en-GB"/>
        </w:rPr>
        <w:t xml:space="preserve"> the</w:t>
      </w:r>
      <w:r w:rsidR="00EC0AC4" w:rsidRPr="00552D93">
        <w:rPr>
          <w:rFonts w:ascii="Cambria" w:eastAsia="Times New Roman" w:hAnsi="Cambria" w:cs="Times New Roman"/>
          <w:bCs/>
          <w:lang w:eastAsia="en-GB"/>
        </w:rPr>
        <w:t xml:space="preserve"> WHO </w:t>
      </w:r>
      <w:r w:rsidR="00EC0AC4"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 ExcludeAuth="1"&gt;&lt;Author&gt;WHO&lt;/Author&gt;&lt;Year&gt;2018&lt;/Year&gt;&lt;RecNum&gt;4705&lt;/RecNum&gt;&lt;IDText&gt;Global status report on alcohol and health 2018&lt;/IDText&gt;&lt;DisplayText&gt;(2018)&lt;/DisplayText&gt;&lt;record&gt;&lt;rec-number&gt;4705&lt;/rec-number&gt;&lt;foreign-keys&gt;&lt;key app="EN" db-id="te5rs0t0nprf99ep09vxza050r9t99faf9td" timestamp="1553083120"&gt;4705&lt;/key&gt;&lt;/foreign-keys&gt;&lt;ref-type name="Report"&gt;27&lt;/ref-type&gt;&lt;contributors&gt;&lt;authors&gt;&lt;author&gt;WHO&lt;/author&gt;&lt;/authors&gt;&lt;/contributors&gt;&lt;titles&gt;&lt;title&gt;Global status report on alcohol and health 2018&lt;/title&gt;&lt;/titles&gt;&lt;dates&gt;&lt;year&gt;2018&lt;/year&gt;&lt;/dates&gt;&lt;pub-location&gt;Geneva&lt;/pub-location&gt;&lt;publisher&gt;World Health Organisation&lt;/publisher&gt;&lt;urls&gt;&lt;/urls&gt;&lt;electronic-resource-num&gt;https://www.who.int/substance_abuse/publications/global_alcohol_report/gsr_2018/en/&lt;/electronic-resource-num&gt;&lt;/record&gt;&lt;/Cite&gt;&lt;/EndNote&gt;</w:instrText>
      </w:r>
      <w:r w:rsidR="00EC0AC4"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(2018)</w:t>
      </w:r>
      <w:r w:rsidR="00EC0AC4" w:rsidRPr="00552D93">
        <w:rPr>
          <w:rFonts w:ascii="Cambria" w:eastAsia="Times New Roman" w:hAnsi="Cambria" w:cs="Times New Roman"/>
          <w:bCs/>
          <w:lang w:eastAsia="en-GB"/>
        </w:rPr>
        <w:fldChar w:fldCharType="end"/>
      </w:r>
      <w:r w:rsidR="00EC0AC4" w:rsidRPr="00552D93">
        <w:rPr>
          <w:rFonts w:ascii="Cambria" w:eastAsia="Times New Roman" w:hAnsi="Cambria" w:cs="Times New Roman"/>
          <w:bCs/>
          <w:lang w:eastAsia="en-GB"/>
        </w:rPr>
        <w:t xml:space="preserve"> </w:t>
      </w:r>
      <w:r w:rsidR="00E60446" w:rsidRPr="00552D93">
        <w:rPr>
          <w:rFonts w:ascii="Cambria" w:eastAsia="Times New Roman" w:hAnsi="Cambria" w:cs="Times New Roman"/>
          <w:bCs/>
          <w:lang w:eastAsia="en-GB"/>
        </w:rPr>
        <w:t>that</w:t>
      </w:r>
      <w:r w:rsidR="005A6AC2" w:rsidRPr="00552D93">
        <w:rPr>
          <w:rFonts w:ascii="Cambria" w:eastAsia="Times New Roman" w:hAnsi="Cambria" w:cs="Times New Roman"/>
          <w:bCs/>
          <w:lang w:eastAsia="en-GB"/>
        </w:rPr>
        <w:t xml:space="preserve"> show</w:t>
      </w:r>
      <w:r w:rsidRPr="00552D93">
        <w:rPr>
          <w:rFonts w:ascii="Cambria" w:eastAsia="Times New Roman" w:hAnsi="Cambria" w:cs="Times New Roman"/>
          <w:bCs/>
          <w:lang w:eastAsia="en-GB"/>
        </w:rPr>
        <w:t>ed</w:t>
      </w:r>
      <w:r w:rsidR="005A6AC2" w:rsidRPr="00552D93">
        <w:rPr>
          <w:rFonts w:ascii="Cambria" w:eastAsia="Times New Roman" w:hAnsi="Cambria" w:cs="Times New Roman"/>
          <w:bCs/>
          <w:lang w:eastAsia="en-GB"/>
        </w:rPr>
        <w:t xml:space="preserve"> </w:t>
      </w:r>
      <w:r w:rsidRPr="00552D93">
        <w:rPr>
          <w:rFonts w:ascii="Cambria" w:eastAsia="Times New Roman" w:hAnsi="Cambria" w:cs="Times New Roman"/>
          <w:bCs/>
          <w:lang w:eastAsia="en-GB"/>
        </w:rPr>
        <w:t xml:space="preserve">that </w:t>
      </w:r>
      <w:r w:rsidR="00E60446" w:rsidRPr="00552D93">
        <w:rPr>
          <w:rFonts w:ascii="Cambria" w:eastAsia="Times New Roman" w:hAnsi="Cambria" w:cs="Times New Roman"/>
          <w:bCs/>
          <w:lang w:eastAsia="en-GB"/>
        </w:rPr>
        <w:t xml:space="preserve">38% of </w:t>
      </w:r>
      <w:r w:rsidR="00985EA9" w:rsidRPr="00552D93">
        <w:rPr>
          <w:rFonts w:ascii="Cambria" w:eastAsia="Times New Roman" w:hAnsi="Cambria" w:cs="Times New Roman"/>
          <w:bCs/>
          <w:lang w:eastAsia="en-GB"/>
        </w:rPr>
        <w:t>people</w:t>
      </w:r>
      <w:r w:rsidR="005A6AC2" w:rsidRPr="00552D93">
        <w:rPr>
          <w:rFonts w:ascii="Cambria" w:eastAsia="Times New Roman" w:hAnsi="Cambria" w:cs="Times New Roman"/>
          <w:bCs/>
          <w:lang w:eastAsia="en-GB"/>
        </w:rPr>
        <w:t xml:space="preserve"> in Ireland</w:t>
      </w:r>
      <w:r w:rsidR="00E60446" w:rsidRPr="00552D93">
        <w:rPr>
          <w:rFonts w:ascii="Cambria" w:eastAsia="Times New Roman" w:hAnsi="Cambria" w:cs="Times New Roman"/>
          <w:bCs/>
          <w:lang w:eastAsia="en-GB"/>
        </w:rPr>
        <w:t xml:space="preserve"> </w:t>
      </w:r>
      <w:r w:rsidR="00985EA9" w:rsidRPr="00552D93">
        <w:rPr>
          <w:rFonts w:ascii="Cambria" w:eastAsia="Times New Roman" w:hAnsi="Cambria" w:cs="Times New Roman"/>
          <w:bCs/>
          <w:lang w:eastAsia="en-GB"/>
        </w:rPr>
        <w:t xml:space="preserve">who currently drink alcohol </w:t>
      </w:r>
      <w:r w:rsidR="00E60446" w:rsidRPr="00552D93">
        <w:rPr>
          <w:rFonts w:ascii="Cambria" w:eastAsia="Times New Roman" w:hAnsi="Cambria" w:cs="Times New Roman"/>
          <w:bCs/>
          <w:lang w:eastAsia="en-GB"/>
        </w:rPr>
        <w:t xml:space="preserve">reported </w:t>
      </w:r>
      <w:r w:rsidR="00EC0AC4" w:rsidRPr="00552D93">
        <w:rPr>
          <w:rFonts w:ascii="Cambria" w:eastAsia="Times New Roman" w:hAnsi="Cambria" w:cs="Times New Roman"/>
          <w:bCs/>
          <w:lang w:eastAsia="en-GB"/>
        </w:rPr>
        <w:t xml:space="preserve">heavy episodic drinking (HED) </w:t>
      </w:r>
      <w:r w:rsidR="00E60446" w:rsidRPr="00552D93">
        <w:rPr>
          <w:rFonts w:ascii="Cambria" w:eastAsia="Times New Roman" w:hAnsi="Cambria" w:cs="Times New Roman"/>
          <w:bCs/>
          <w:lang w:eastAsia="en-GB"/>
        </w:rPr>
        <w:t>in the past 30 days.</w:t>
      </w:r>
      <w:r w:rsidR="006446C4" w:rsidRPr="00552D93">
        <w:rPr>
          <w:rFonts w:ascii="Cambria" w:eastAsia="Times New Roman" w:hAnsi="Cambria" w:cs="Times New Roman"/>
          <w:bCs/>
          <w:lang w:eastAsia="en-GB"/>
        </w:rPr>
        <w:t xml:space="preserve"> </w:t>
      </w:r>
      <w:r w:rsidR="003E6C97" w:rsidRPr="00552D93">
        <w:rPr>
          <w:rFonts w:ascii="Cambria" w:eastAsia="Times New Roman" w:hAnsi="Cambria" w:cs="Times New Roman"/>
          <w:bCs/>
          <w:lang w:eastAsia="en-GB"/>
        </w:rPr>
        <w:t>It is likely that</w:t>
      </w:r>
      <w:r w:rsidR="00644942" w:rsidRPr="00552D93">
        <w:rPr>
          <w:rFonts w:ascii="Cambria" w:eastAsia="Times New Roman" w:hAnsi="Cambria" w:cs="Times New Roman"/>
          <w:bCs/>
          <w:lang w:eastAsia="en-GB"/>
        </w:rPr>
        <w:t xml:space="preserve"> these</w:t>
      </w:r>
      <w:r w:rsidR="003E6C97" w:rsidRPr="00552D93">
        <w:rPr>
          <w:rFonts w:ascii="Cambria" w:eastAsia="Times New Roman" w:hAnsi="Cambria" w:cs="Times New Roman"/>
          <w:bCs/>
          <w:lang w:eastAsia="en-GB"/>
        </w:rPr>
        <w:t xml:space="preserve"> results </w:t>
      </w:r>
      <w:r w:rsidR="00E60446" w:rsidRPr="00552D93">
        <w:rPr>
          <w:rFonts w:ascii="Cambria" w:eastAsia="Times New Roman" w:hAnsi="Cambria" w:cs="Times New Roman"/>
          <w:bCs/>
          <w:lang w:eastAsia="en-GB"/>
        </w:rPr>
        <w:t xml:space="preserve">reflect cultural differences in </w:t>
      </w:r>
      <w:r w:rsidR="00782D18" w:rsidRPr="00552D93">
        <w:rPr>
          <w:rFonts w:ascii="Cambria" w:eastAsia="Times New Roman" w:hAnsi="Cambria" w:cs="Times New Roman"/>
          <w:bCs/>
          <w:lang w:eastAsia="en-GB"/>
        </w:rPr>
        <w:t>drink</w:t>
      </w:r>
      <w:r w:rsidRPr="00552D93">
        <w:rPr>
          <w:rFonts w:ascii="Cambria" w:eastAsia="Times New Roman" w:hAnsi="Cambria" w:cs="Times New Roman"/>
          <w:bCs/>
          <w:lang w:eastAsia="en-GB"/>
        </w:rPr>
        <w:t>ing</w:t>
      </w:r>
      <w:r w:rsidR="00782D18" w:rsidRPr="00552D93">
        <w:rPr>
          <w:rFonts w:ascii="Cambria" w:eastAsia="Times New Roman" w:hAnsi="Cambria" w:cs="Times New Roman"/>
          <w:bCs/>
          <w:lang w:eastAsia="en-GB"/>
        </w:rPr>
        <w:t xml:space="preserve"> practices</w:t>
      </w:r>
      <w:r w:rsidR="00E60446" w:rsidRPr="00552D93">
        <w:rPr>
          <w:rFonts w:ascii="Cambria" w:eastAsia="Times New Roman" w:hAnsi="Cambria" w:cs="Times New Roman"/>
          <w:bCs/>
          <w:lang w:eastAsia="en-GB"/>
        </w:rPr>
        <w:t xml:space="preserve"> between countries, as well as the acceptance of public drunkenness </w:t>
      </w:r>
      <w:r w:rsidR="00E60446"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&lt;EndNote&gt;&lt;Cite&gt;&lt;Author&gt;Room&lt;/Author&gt;&lt;Year&gt;2000&lt;/Year&gt;&lt;RecNum&gt;3681&lt;/RecNum&gt;&lt;DisplayText&gt;(Measham &amp;amp; Brain, 2005; Room &amp;amp; Makela, 2000)&lt;/DisplayText&gt;&lt;record&gt;&lt;rec-number&gt;3681&lt;/rec-number&gt;&lt;foreign-keys&gt;&lt;key app="EN" db-id="te5rs0t0nprf99ep09vxza050r9t99faf9td" timestamp="1526553761"&gt;3681&lt;/key&gt;&lt;/foreign-keys&gt;&lt;ref-type name="Journal Article"&gt;17&lt;/ref-type&gt;&lt;contributors&gt;&lt;authors&gt;&lt;author&gt;Room, R.&lt;/author&gt;&lt;author&gt;Makela, K.&lt;/author&gt;&lt;/authors&gt;&lt;/contributors&gt;&lt;titles&gt;&lt;title&gt;Typologies of the cultural position of drinking&lt;/title&gt;&lt;secondary-title&gt;Journal of Studies on Alcohol&lt;/secondary-title&gt;&lt;/titles&gt;&lt;periodical&gt;&lt;full-title&gt;Journal of Studies on Alcohol&lt;/full-title&gt;&lt;/periodical&gt;&lt;pages&gt;475-483&lt;/pages&gt;&lt;volume&gt;61&lt;/volume&gt;&lt;number&gt;3&lt;/number&gt;&lt;dates&gt;&lt;year&gt;2000&lt;/year&gt;&lt;pub-dates&gt;&lt;date&gt;May&lt;/date&gt;&lt;/pub-dates&gt;&lt;/dates&gt;&lt;isbn&gt;0096-882X&lt;/isbn&gt;&lt;accession-num&gt;WOS:000086729200016&lt;/accession-num&gt;&lt;urls&gt;&lt;related-urls&gt;&lt;url&gt;&amp;lt;Go to ISI&amp;gt;://WOS:000086729200016&lt;/url&gt;&lt;/related-urls&gt;&lt;/urls&gt;&lt;/record&gt;&lt;/Cite&gt;&lt;Cite&gt;&lt;Author&gt;Measham&lt;/Author&gt;&lt;Year&gt;2005&lt;/Year&gt;&lt;RecNum&gt;4076&lt;/RecNum&gt;&lt;record&gt;&lt;rec-number&gt;4076&lt;/rec-number&gt;&lt;foreign-keys&gt;&lt;key app="EN" db-id="te5rs0t0nprf99ep09vxza050r9t99faf9td" timestamp="1526553791"&gt;4076&lt;/key&gt;&lt;/foreign-keys&gt;&lt;ref-type name="Journal Article"&gt;17&lt;/ref-type&gt;&lt;contributors&gt;&lt;authors&gt;&lt;author&gt;Measham, F.&lt;/author&gt;&lt;author&gt;Brain, Kevin&lt;/author&gt;&lt;/authors&gt;&lt;/contributors&gt;&lt;titles&gt;&lt;title&gt;‘Binge’ drinking, British alcohol policy and the new culture of intoxication&lt;/title&gt;&lt;secondary-title&gt;Crime, Media, Culture&lt;/secondary-title&gt;&lt;/titles&gt;&lt;periodical&gt;&lt;full-title&gt;Crime, Media, Culture&lt;/full-title&gt;&lt;/periodical&gt;&lt;pages&gt;262-283&lt;/pages&gt;&lt;volume&gt;1&lt;/volume&gt;&lt;number&gt;3&lt;/number&gt;&lt;dates&gt;&lt;year&gt;2005&lt;/year&gt;&lt;pub-dates&gt;&lt;date&gt;2005/12/01&lt;/date&gt;&lt;/pub-dates&gt;&lt;/dates&gt;&lt;publisher&gt;SAGE Publications&lt;/publisher&gt;&lt;isbn&gt;1741-6590&lt;/isbn&gt;&lt;urls&gt;&lt;related-urls&gt;&lt;url&gt;http://dx.doi.org/10.1177/1741659005057641&lt;/url&gt;&lt;/related-urls&gt;&lt;/urls&gt;&lt;electronic-resource-num&gt;10.1177/1741659005057641&lt;/electronic-resource-num&gt;&lt;access-date&gt;2017/04/25&lt;/access-date&gt;&lt;/record&gt;&lt;/Cite&gt;&lt;/EndNote&gt;</w:instrText>
      </w:r>
      <w:r w:rsidR="00E60446"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(Measham &amp; Brain, 2005; Room &amp; Makela, 2000)</w:t>
      </w:r>
      <w:r w:rsidR="00E60446" w:rsidRPr="00552D93">
        <w:rPr>
          <w:rFonts w:ascii="Cambria" w:eastAsia="Times New Roman" w:hAnsi="Cambria" w:cs="Times New Roman"/>
          <w:bCs/>
          <w:lang w:eastAsia="en-GB"/>
        </w:rPr>
        <w:fldChar w:fldCharType="end"/>
      </w:r>
      <w:r w:rsidR="00E60446"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p>
    <w:p w14:paraId="01279728" w14:textId="60BAFC9D" w:rsidR="003231AB" w:rsidRPr="00552D93" w:rsidRDefault="002D6C7D" w:rsidP="00F131F2">
      <w:pPr>
        <w:spacing w:before="100" w:beforeAutospacing="1" w:after="100" w:afterAutospacing="1" w:line="480" w:lineRule="auto"/>
        <w:rPr>
          <w:rFonts w:ascii="Cambria" w:eastAsia="Times New Roman" w:hAnsi="Cambria" w:cs="Times New Roman"/>
          <w:bCs/>
          <w:lang w:eastAsia="en-GB"/>
        </w:rPr>
      </w:pPr>
      <w:r w:rsidRPr="00552D93">
        <w:rPr>
          <w:rFonts w:ascii="Cambria" w:eastAsia="Times New Roman" w:hAnsi="Cambria" w:cs="Times New Roman"/>
          <w:bCs/>
          <w:lang w:eastAsia="en-GB"/>
        </w:rPr>
        <w:t>C</w:t>
      </w:r>
      <w:r w:rsidR="003231AB" w:rsidRPr="00552D93">
        <w:rPr>
          <w:rFonts w:ascii="Cambria" w:eastAsia="Times New Roman" w:hAnsi="Cambria" w:cs="Times New Roman"/>
          <w:bCs/>
          <w:lang w:eastAsia="en-GB"/>
        </w:rPr>
        <w:t xml:space="preserve">ultural differences in drinking patterns </w:t>
      </w:r>
      <w:r w:rsidR="003231AB"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&lt;EndNote&gt;&lt;Cite&gt;&lt;Author&gt;Savic&lt;/Author&gt;&lt;Year&gt;2016&lt;/Year&gt;&lt;RecNum&gt;4068&lt;/RecNum&gt;&lt;IDText&gt;Defining “drinking culture”: A critical review of its meaning and connotation in social research on alcohol problems&lt;/IDText&gt;&lt;DisplayText&gt;(Savic, Room, Mugavin, Pennay, &amp;amp; Livingston, 2016)&lt;/DisplayText&gt;&lt;record&gt;&lt;rec-number&gt;4068&lt;/rec-number&gt;&lt;foreign-keys&gt;&lt;key app="EN" db-id="te5rs0t0nprf99ep09vxza050r9t99faf9td" timestamp="1526553791"&gt;4068&lt;/key&gt;&lt;/foreign-keys&gt;&lt;ref-type name="Journal Article"&gt;17&lt;/ref-type&gt;&lt;contributors&gt;&lt;authors&gt;&lt;author&gt;Savic, Michael&lt;/author&gt;&lt;author&gt;Room, Robin&lt;/author&gt;&lt;author&gt;Mugavin, Janette&lt;/author&gt;&lt;author&gt;Pennay, Amy&lt;/author&gt;&lt;author&gt;Livingston, Michael&lt;/author&gt;&lt;/authors&gt;&lt;/contributors&gt;&lt;titles&gt;&lt;title&gt;Defining “drinking culture”: A critical review of its meaning and connotation in social research on alcohol problems&lt;/title&gt;&lt;secondary-title&gt;Drugs: Education, Prevention and Policy&lt;/secondary-title&gt;&lt;/titles&gt;&lt;periodical&gt;&lt;full-title&gt;Drugs: Education, Prevention and Policy&lt;/full-title&gt;&lt;/periodical&gt;&lt;pages&gt;270-282&lt;/pages&gt;&lt;volume&gt;23&lt;/volume&gt;&lt;number&gt;4&lt;/number&gt;&lt;dates&gt;&lt;year&gt;2016&lt;/year&gt;&lt;pub-dates&gt;&lt;date&gt;2016/07/03&lt;/date&gt;&lt;/pub-dates&gt;&lt;/dates&gt;&lt;publisher&gt;Taylor &amp;amp; Francis&lt;/publisher&gt;&lt;isbn&gt;0968-7637&lt;/isbn&gt;&lt;urls&gt;&lt;related-urls&gt;&lt;url&gt;http://dx.doi.org/10.3109/09687637.2016.1153602&lt;/url&gt;&lt;/related-urls&gt;&lt;/urls&gt;&lt;electronic-resource-num&gt;10.3109/09687637.2016.1153602&lt;/electronic-resource-num&gt;&lt;/record&gt;&lt;/Cite&gt;&lt;/EndNote&gt;</w:instrText>
      </w:r>
      <w:r w:rsidR="003231AB"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(Savic, Room, Mugavin, Pennay, &amp; Livingston, 2016)</w:t>
      </w:r>
      <w:r w:rsidR="003231AB" w:rsidRPr="00552D93">
        <w:rPr>
          <w:rFonts w:ascii="Cambria" w:eastAsia="Times New Roman" w:hAnsi="Cambria" w:cs="Times New Roman"/>
          <w:bCs/>
          <w:lang w:eastAsia="en-GB"/>
        </w:rPr>
        <w:fldChar w:fldCharType="end"/>
      </w:r>
      <w:r w:rsidR="003231AB" w:rsidRPr="00552D93">
        <w:rPr>
          <w:rFonts w:ascii="Cambria" w:eastAsia="Times New Roman" w:hAnsi="Cambria" w:cs="Times New Roman"/>
          <w:bCs/>
          <w:lang w:eastAsia="en-GB"/>
        </w:rPr>
        <w:t xml:space="preserve"> </w:t>
      </w:r>
      <w:r w:rsidR="00115493" w:rsidRPr="00552D93">
        <w:rPr>
          <w:rFonts w:ascii="Cambria" w:eastAsia="Times New Roman" w:hAnsi="Cambria" w:cs="Times New Roman"/>
          <w:bCs/>
          <w:lang w:eastAsia="en-GB"/>
        </w:rPr>
        <w:t>and social pressures around drinking</w:t>
      </w:r>
      <w:r w:rsidR="00860D5A" w:rsidRPr="00552D93">
        <w:rPr>
          <w:rFonts w:ascii="Cambria" w:eastAsia="Times New Roman" w:hAnsi="Cambria" w:cs="Times New Roman"/>
          <w:bCs/>
          <w:lang w:eastAsia="en-GB"/>
        </w:rPr>
        <w:t xml:space="preserve"> </w:t>
      </w:r>
      <w:r w:rsidR="00860D5A" w:rsidRPr="00552D93">
        <w:rPr>
          <w:rFonts w:ascii="Cambria" w:eastAsia="Times New Roman" w:hAnsi="Cambria" w:cs="Times New Roman"/>
          <w:bCs/>
          <w:lang w:eastAsia="en-GB"/>
        </w:rPr>
        <w:fldChar w:fldCharType="begin"/>
      </w:r>
      <w:r w:rsidR="00860D5A" w:rsidRPr="00552D93">
        <w:rPr>
          <w:rFonts w:ascii="Cambria" w:eastAsia="Times New Roman" w:hAnsi="Cambria" w:cs="Times New Roman"/>
          <w:bCs/>
          <w:lang w:eastAsia="en-GB"/>
        </w:rPr>
        <w:instrText xml:space="preserve"> ADDIN EN.CITE &lt;EndNote&gt;&lt;Cite&gt;&lt;Author&gt;Dietze&lt;/Author&gt;&lt;Year&gt;2013&lt;/Year&gt;&lt;RecNum&gt;4350&lt;/RecNum&gt;&lt;DisplayText&gt;(Dietze, Ferris, &amp;amp; Room, 2013)&lt;/DisplayText&gt;&lt;record&gt;&lt;rec-number&gt;4350&lt;/rec-number&gt;&lt;foreign-keys&gt;&lt;key app="EN" db-id="xpvtts5frwx0z4ezes8pswrxvez090rd0vss" timestamp="1562695302" guid="74e48e9b-2572-4ceb-96c9-19751ae748cf"&gt;4350&lt;/key&gt;&lt;/foreign-keys&gt;&lt;ref-type name="Journal Article"&gt;17&lt;/ref-type&gt;&lt;contributors&gt;&lt;authors&gt;&lt;author&gt;Dietze, Paul&lt;/author&gt;&lt;author&gt;Ferris, J.A&lt;/author&gt;&lt;author&gt;Room, Robin&lt;/author&gt;&lt;/authors&gt;&lt;/contributors&gt;&lt;titles&gt;&lt;title&gt;Who Suggests Drinking Less? Demographic and National Differences in Informal Social Controls on Drinking&lt;/title&gt;&lt;secondary-title&gt;Journal of Studies on Alcohol and Drugs&lt;/secondary-title&gt;&lt;/titles&gt;&lt;periodical&gt;&lt;full-title&gt;Journal of Studies on Alcohol and Drugs&lt;/full-title&gt;&lt;abbr-1&gt;J. Stud. Alcohol Drugs&lt;/abbr-1&gt;&lt;/periodical&gt;&lt;pages&gt;859-866&lt;/pages&gt;&lt;volume&gt;74&lt;/volume&gt;&lt;number&gt;6&lt;/number&gt;&lt;dates&gt;&lt;year&gt;2013&lt;/year&gt;&lt;pub-dates&gt;&lt;date&gt;11/20/received&amp;#xD;05/12/accepted&lt;/date&gt;&lt;/pub-dates&gt;&lt;/dates&gt;&lt;publisher&gt;Rutgers University&lt;/publisher&gt;&lt;isbn&gt;1937-1888&amp;#xD;1938-4114&lt;/isbn&gt;&lt;accession-num&gt;PMC3817048&lt;/accession-num&gt;&lt;urls&gt;&lt;related-urls&gt;&lt;url&gt;http://www.ncbi.nlm.nih.gov/pmc/articles/PMC3817048/&lt;/url&gt;&lt;/related-urls&gt;&lt;/urls&gt;&lt;remote-database-name&gt;PMC&lt;/remote-database-name&gt;&lt;/record&gt;&lt;/Cite&gt;&lt;/EndNote&gt;</w:instrText>
      </w:r>
      <w:r w:rsidR="00860D5A" w:rsidRPr="00552D93">
        <w:rPr>
          <w:rFonts w:ascii="Cambria" w:eastAsia="Times New Roman" w:hAnsi="Cambria" w:cs="Times New Roman"/>
          <w:bCs/>
          <w:lang w:eastAsia="en-GB"/>
        </w:rPr>
        <w:fldChar w:fldCharType="separate"/>
      </w:r>
      <w:r w:rsidR="00860D5A" w:rsidRPr="00552D93">
        <w:rPr>
          <w:rFonts w:ascii="Cambria" w:eastAsia="Times New Roman" w:hAnsi="Cambria" w:cs="Times New Roman"/>
          <w:bCs/>
          <w:noProof/>
          <w:lang w:eastAsia="en-GB"/>
        </w:rPr>
        <w:t>(Dietze, Ferris, &amp; Room, 2013)</w:t>
      </w:r>
      <w:r w:rsidR="00860D5A" w:rsidRPr="00552D93">
        <w:rPr>
          <w:rFonts w:ascii="Cambria" w:eastAsia="Times New Roman" w:hAnsi="Cambria" w:cs="Times New Roman"/>
          <w:bCs/>
          <w:lang w:eastAsia="en-GB"/>
        </w:rPr>
        <w:fldChar w:fldCharType="end"/>
      </w:r>
      <w:r w:rsidR="00115493" w:rsidRPr="00552D93">
        <w:rPr>
          <w:rFonts w:ascii="Cambria" w:eastAsia="Times New Roman" w:hAnsi="Cambria" w:cs="Times New Roman"/>
          <w:bCs/>
          <w:lang w:eastAsia="en-GB"/>
        </w:rPr>
        <w:t xml:space="preserve"> </w:t>
      </w:r>
      <w:r w:rsidRPr="00552D93">
        <w:rPr>
          <w:rFonts w:ascii="Cambria" w:eastAsia="Times New Roman" w:hAnsi="Cambria" w:cs="Times New Roman"/>
          <w:bCs/>
          <w:lang w:eastAsia="en-GB"/>
        </w:rPr>
        <w:t xml:space="preserve">may </w:t>
      </w:r>
      <w:r w:rsidR="003231AB" w:rsidRPr="00552D93">
        <w:rPr>
          <w:rFonts w:ascii="Cambria" w:eastAsia="Times New Roman" w:hAnsi="Cambria" w:cs="Times New Roman"/>
          <w:bCs/>
          <w:lang w:eastAsia="en-GB"/>
        </w:rPr>
        <w:t xml:space="preserve">influence how much alcohol people drink until they reach their tipping point. Beyond these more objective differences between countries, there are also likely to be subjective differences between countries, particularly around the acceptability of reaching, and exceeding, the tipping point. </w:t>
      </w:r>
      <w:r w:rsidR="00582787" w:rsidRPr="00552D93">
        <w:rPr>
          <w:rFonts w:ascii="Cambria" w:eastAsia="Times New Roman" w:hAnsi="Cambria" w:cs="Times New Roman"/>
          <w:bCs/>
          <w:lang w:eastAsia="en-GB"/>
        </w:rPr>
        <w:t>Previous GDS research found that social embarrassment was a strong motivation for respondents</w:t>
      </w:r>
      <w:r w:rsidR="006A70A7" w:rsidRPr="00552D93">
        <w:rPr>
          <w:rFonts w:ascii="Cambria" w:eastAsia="Times New Roman" w:hAnsi="Cambria" w:cs="Times New Roman"/>
          <w:bCs/>
          <w:lang w:eastAsia="en-GB"/>
        </w:rPr>
        <w:t xml:space="preserve"> in Germany</w:t>
      </w:r>
      <w:r w:rsidR="00582787" w:rsidRPr="00552D93">
        <w:rPr>
          <w:rFonts w:ascii="Cambria" w:eastAsia="Times New Roman" w:hAnsi="Cambria" w:cs="Times New Roman"/>
          <w:bCs/>
          <w:lang w:eastAsia="en-GB"/>
        </w:rPr>
        <w:t xml:space="preserve"> to reduce their drinking </w:t>
      </w:r>
      <w:r w:rsidR="00582787"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&lt;EndNote&gt;&lt;Cite&gt;&lt;Author&gt;Davies&lt;/Author&gt;&lt;Year&gt;2017&lt;/Year&gt;&lt;RecNum&gt;4369&lt;/RecNum&gt;&lt;DisplayText&gt;(Davies, Conroy, Winstock, &amp;amp; Ferris, 2017)&lt;/DisplayText&gt;&lt;record&gt;&lt;rec-number&gt;4369&lt;/rec-number&gt;&lt;foreign-keys&gt;&lt;key app="EN" db-id="te5rs0t0nprf99ep09vxza050r9t99faf9td" timestamp="1526553820"&gt;4369&lt;/key&gt;&lt;/foreign-keys&gt;&lt;ref-type name="Journal Article"&gt;17&lt;/ref-type&gt;&lt;contributors&gt;&lt;authors&gt;&lt;author&gt;Davies, E. L.&lt;/author&gt;&lt;author&gt;Conroy, Dominic&lt;/author&gt;&lt;author&gt;Winstock, Adam R.&lt;/author&gt;&lt;author&gt;Ferris, J.A&lt;/author&gt;&lt;/authors&gt;&lt;/contributors&gt;&lt;titles&gt;&lt;title&gt;Motivations for reducing alcohol consumption: An international survey exploring experiences that may lead to a change in drinking habits&lt;/title&gt;&lt;secondary-title&gt;Addictive Behaviors&lt;/secondary-title&gt;&lt;/titles&gt;&lt;periodical&gt;&lt;full-title&gt;Addictive Behaviors&lt;/full-title&gt;&lt;/periodical&gt;&lt;pages&gt;40-46&lt;/pages&gt;&lt;volume&gt;75&lt;/volume&gt;&lt;keywords&gt;&lt;keyword&gt;Alcohol&lt;/keyword&gt;&lt;keyword&gt;Reducing drinking&lt;/keyword&gt;&lt;keyword&gt;Behaviour change&lt;/keyword&gt;&lt;keyword&gt;Brief interventions&lt;/keyword&gt;&lt;/keywords&gt;&lt;dates&gt;&lt;year&gt;2017&lt;/year&gt;&lt;pub-dates&gt;&lt;date&gt;2017/12/01/&lt;/date&gt;&lt;/pub-dates&gt;&lt;/dates&gt;&lt;isbn&gt;0306-4603&lt;/isbn&gt;&lt;urls&gt;&lt;related-urls&gt;&lt;url&gt;http://www.sciencedirect.com/science/article/pii/S0306460317302411&lt;/url&gt;&lt;/related-urls&gt;&lt;/urls&gt;&lt;electronic-resource-num&gt;http://dx.doi.org/10.1016/j.addbeh.2017.06.019&lt;/electronic-resource-num&gt;&lt;/record&gt;&lt;/Cite&gt;&lt;/EndNote&gt;</w:instrText>
      </w:r>
      <w:r w:rsidR="00582787"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(Davies, Conroy, Winstock, &amp; Ferris, 2017)</w:t>
      </w:r>
      <w:r w:rsidR="00582787" w:rsidRPr="00552D93">
        <w:rPr>
          <w:rFonts w:ascii="Cambria" w:eastAsia="Times New Roman" w:hAnsi="Cambria" w:cs="Times New Roman"/>
          <w:bCs/>
          <w:lang w:eastAsia="en-GB"/>
        </w:rPr>
        <w:fldChar w:fldCharType="end"/>
      </w:r>
      <w:r w:rsidR="00582787" w:rsidRPr="00552D93">
        <w:rPr>
          <w:rFonts w:ascii="Cambria" w:eastAsia="Times New Roman" w:hAnsi="Cambria" w:cs="Times New Roman"/>
          <w:bCs/>
          <w:lang w:eastAsia="en-GB"/>
        </w:rPr>
        <w:t>, which may expla</w:t>
      </w:r>
      <w:r w:rsidR="006A70A7" w:rsidRPr="00552D93">
        <w:rPr>
          <w:rFonts w:ascii="Cambria" w:eastAsia="Times New Roman" w:hAnsi="Cambria" w:cs="Times New Roman"/>
          <w:bCs/>
          <w:lang w:eastAsia="en-GB"/>
        </w:rPr>
        <w:t>i</w:t>
      </w:r>
      <w:r w:rsidR="00582787" w:rsidRPr="00552D93">
        <w:rPr>
          <w:rFonts w:ascii="Cambria" w:eastAsia="Times New Roman" w:hAnsi="Cambria" w:cs="Times New Roman"/>
          <w:bCs/>
          <w:lang w:eastAsia="en-GB"/>
        </w:rPr>
        <w:t xml:space="preserve">n why these respondents avoid reaching the tipping point as frequently as </w:t>
      </w:r>
      <w:r w:rsidR="006446C4" w:rsidRPr="00552D93">
        <w:rPr>
          <w:rFonts w:ascii="Cambria" w:eastAsia="Times New Roman" w:hAnsi="Cambria" w:cs="Times New Roman"/>
          <w:bCs/>
          <w:lang w:eastAsia="en-GB"/>
        </w:rPr>
        <w:t>others.</w:t>
      </w:r>
    </w:p>
    <w:p w14:paraId="1588D31D" w14:textId="0A593864" w:rsidR="00BA5869" w:rsidRPr="00552D93" w:rsidRDefault="00BA5869" w:rsidP="00BA5869">
      <w:pPr>
        <w:spacing w:before="100" w:beforeAutospacing="1" w:after="100" w:afterAutospacing="1" w:line="480" w:lineRule="auto"/>
        <w:rPr>
          <w:rFonts w:ascii="Cambria" w:eastAsia="Times New Roman" w:hAnsi="Cambria" w:cs="Times New Roman"/>
          <w:bCs/>
          <w:i/>
          <w:lang w:eastAsia="en-GB"/>
        </w:rPr>
      </w:pPr>
      <w:r w:rsidRPr="00552D93">
        <w:rPr>
          <w:rFonts w:ascii="Cambria" w:eastAsia="Times New Roman" w:hAnsi="Cambria" w:cs="Times New Roman"/>
          <w:bCs/>
          <w:i/>
          <w:lang w:eastAsia="en-GB"/>
        </w:rPr>
        <w:t>Limitations</w:t>
      </w:r>
    </w:p>
    <w:p w14:paraId="3EC51DC6" w14:textId="69E125FA" w:rsidR="00A32816" w:rsidRPr="00552D93" w:rsidRDefault="00904B59" w:rsidP="00406527">
      <w:pPr>
        <w:spacing w:before="100" w:beforeAutospacing="1" w:after="100" w:afterAutospacing="1" w:line="480" w:lineRule="auto"/>
        <w:rPr>
          <w:rFonts w:ascii="Cambria" w:eastAsia="Times New Roman" w:hAnsi="Cambria" w:cs="Times New Roman"/>
          <w:bCs/>
          <w:lang w:eastAsia="en-GB"/>
        </w:rPr>
      </w:pPr>
      <w:r w:rsidRPr="00552D93">
        <w:rPr>
          <w:rFonts w:ascii="Cambria" w:eastAsia="Times New Roman" w:hAnsi="Cambria" w:cs="Times New Roman"/>
          <w:bCs/>
          <w:lang w:eastAsia="en-GB"/>
        </w:rPr>
        <w:t xml:space="preserve">The self-selecting sample </w:t>
      </w:r>
      <w:r w:rsidR="00BA5869" w:rsidRPr="00552D93">
        <w:rPr>
          <w:rFonts w:ascii="Cambria" w:eastAsia="Times New Roman" w:hAnsi="Cambria" w:cs="Times New Roman"/>
          <w:bCs/>
          <w:lang w:eastAsia="en-GB"/>
        </w:rPr>
        <w:t>and cross</w:t>
      </w:r>
      <w:r w:rsidR="00406EC7" w:rsidRPr="00552D93">
        <w:rPr>
          <w:rFonts w:ascii="Cambria" w:eastAsia="Times New Roman" w:hAnsi="Cambria" w:cs="Times New Roman"/>
          <w:bCs/>
          <w:lang w:eastAsia="en-GB"/>
        </w:rPr>
        <w:t>-</w:t>
      </w:r>
      <w:r w:rsidR="00BA5869" w:rsidRPr="00552D93">
        <w:rPr>
          <w:rFonts w:ascii="Cambria" w:eastAsia="Times New Roman" w:hAnsi="Cambria" w:cs="Times New Roman"/>
          <w:bCs/>
          <w:lang w:eastAsia="en-GB"/>
        </w:rPr>
        <w:t xml:space="preserve">sectional nature of the study are </w:t>
      </w:r>
      <w:r w:rsidR="00406EC7" w:rsidRPr="00552D93">
        <w:rPr>
          <w:rFonts w:ascii="Cambria" w:eastAsia="Times New Roman" w:hAnsi="Cambria" w:cs="Times New Roman"/>
          <w:bCs/>
          <w:lang w:eastAsia="en-GB"/>
        </w:rPr>
        <w:t xml:space="preserve">two </w:t>
      </w:r>
      <w:r w:rsidR="00BA5869" w:rsidRPr="00552D93">
        <w:rPr>
          <w:rFonts w:ascii="Cambria" w:eastAsia="Times New Roman" w:hAnsi="Cambria" w:cs="Times New Roman"/>
          <w:bCs/>
          <w:lang w:eastAsia="en-GB"/>
        </w:rPr>
        <w:t xml:space="preserve">clear limitations. GDS recruits large sample sizes, but due to the nature of recruitment, it is completed </w:t>
      </w:r>
      <w:r w:rsidR="00D45C66" w:rsidRPr="00552D93">
        <w:rPr>
          <w:rFonts w:ascii="Cambria" w:eastAsia="Times New Roman" w:hAnsi="Cambria" w:cs="Times New Roman"/>
          <w:bCs/>
          <w:lang w:eastAsia="en-GB"/>
        </w:rPr>
        <w:t xml:space="preserve">by a </w:t>
      </w:r>
      <w:r w:rsidR="00576EB4" w:rsidRPr="00552D93">
        <w:rPr>
          <w:rFonts w:ascii="Cambria" w:eastAsia="Times New Roman" w:hAnsi="Cambria" w:cs="Times New Roman"/>
          <w:bCs/>
          <w:lang w:eastAsia="en-GB"/>
        </w:rPr>
        <w:t>greater proportion</w:t>
      </w:r>
      <w:r w:rsidR="00BA5869" w:rsidRPr="00552D93">
        <w:rPr>
          <w:rFonts w:ascii="Cambria" w:eastAsia="Times New Roman" w:hAnsi="Cambria" w:cs="Times New Roman"/>
          <w:bCs/>
          <w:lang w:eastAsia="en-GB"/>
        </w:rPr>
        <w:t xml:space="preserve"> of </w:t>
      </w:r>
      <w:r w:rsidR="00406EC7" w:rsidRPr="00552D93">
        <w:rPr>
          <w:rFonts w:ascii="Cambria" w:eastAsia="Times New Roman" w:hAnsi="Cambria" w:cs="Times New Roman"/>
          <w:bCs/>
          <w:lang w:eastAsia="en-GB"/>
        </w:rPr>
        <w:t>people who</w:t>
      </w:r>
      <w:r w:rsidR="00BA5869" w:rsidRPr="00552D93">
        <w:rPr>
          <w:rFonts w:ascii="Cambria" w:eastAsia="Times New Roman" w:hAnsi="Cambria" w:cs="Times New Roman"/>
          <w:bCs/>
          <w:lang w:eastAsia="en-GB"/>
        </w:rPr>
        <w:t xml:space="preserve"> use</w:t>
      </w:r>
      <w:r w:rsidR="00406EC7" w:rsidRPr="00552D93">
        <w:rPr>
          <w:rFonts w:ascii="Cambria" w:eastAsia="Times New Roman" w:hAnsi="Cambria" w:cs="Times New Roman"/>
          <w:bCs/>
          <w:lang w:eastAsia="en-GB"/>
        </w:rPr>
        <w:t xml:space="preserve"> illicit d</w:t>
      </w:r>
      <w:r w:rsidR="00BA5869" w:rsidRPr="00552D93">
        <w:rPr>
          <w:rFonts w:ascii="Cambria" w:eastAsia="Times New Roman" w:hAnsi="Cambria" w:cs="Times New Roman"/>
          <w:bCs/>
          <w:lang w:eastAsia="en-GB"/>
        </w:rPr>
        <w:t>r</w:t>
      </w:r>
      <w:r w:rsidR="00406EC7" w:rsidRPr="00552D93">
        <w:rPr>
          <w:rFonts w:ascii="Cambria" w:eastAsia="Times New Roman" w:hAnsi="Cambria" w:cs="Times New Roman"/>
          <w:bCs/>
          <w:lang w:eastAsia="en-GB"/>
        </w:rPr>
        <w:t>ug</w:t>
      </w:r>
      <w:r w:rsidR="00BA5869" w:rsidRPr="00552D93">
        <w:rPr>
          <w:rFonts w:ascii="Cambria" w:eastAsia="Times New Roman" w:hAnsi="Cambria" w:cs="Times New Roman"/>
          <w:bCs/>
          <w:lang w:eastAsia="en-GB"/>
        </w:rPr>
        <w:t xml:space="preserve">s, compared to the general population </w:t>
      </w:r>
      <w:r w:rsidR="00BA5869"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&lt;EndNote&gt;&lt;Cite&gt;&lt;Author&gt;Barratt&lt;/Author&gt;&lt;Year&gt;2017&lt;/Year&gt;&lt;RecNum&gt;4368&lt;/RecNum&gt;&lt;DisplayText&gt;(Barratt et al., 2017)&lt;/DisplayText&gt;&lt;record&gt;&lt;rec-number&gt;4368&lt;/rec-number&gt;&lt;foreign-keys&gt;&lt;key app="EN" db-id="te5rs0t0nprf99ep09vxza050r9t99faf9td" timestamp="1526553820"&gt;4368&lt;/key&gt;&lt;/foreign-keys&gt;&lt;ref-type name="Journal Article"&gt;17&lt;/ref-type&gt;&lt;contributors&gt;&lt;authors&gt;&lt;author&gt;Barratt, M.J.&lt;/author&gt;&lt;author&gt;Ferris, J.A.&lt;/author&gt;&lt;author&gt;Zahnow, R.&lt;/author&gt;&lt;author&gt;Palamar, J.J.&lt;/author&gt;&lt;author&gt;Maier, L.J.&lt;/author&gt;&lt;author&gt;Winstock, A.R.&lt;/author&gt;&lt;/authors&gt;&lt;/contributors&gt;&lt;titles&gt;&lt;title&gt;Moving on from representativeness: testing the utility of the Global Drug Survey&lt;/title&gt;&lt;secondary-title&gt;Substance Abuse: Research and Treatment &lt;/secondary-title&gt;&lt;/titles&gt;&lt;periodical&gt;&lt;full-title&gt;Substance Abuse: Research and Treatment &lt;/full-title&gt;&lt;/periodical&gt;&lt;dates&gt;&lt;year&gt;2017&lt;/year&gt;&lt;/dates&gt;&lt;urls&gt;&lt;related-urls&gt;&lt;url&gt;&amp;lt;Go to WoS&amp;gt;://WOS:000368839100158&lt;/url&gt;&lt;/related-urls&gt;&lt;/urls&gt;&lt;electronic-resource-num&gt;10.1177/1178221817716391&lt;/electronic-resource-num&gt;&lt;/record&gt;&lt;/Cite&gt;&lt;/EndNote&gt;</w:instrText>
      </w:r>
      <w:r w:rsidR="00BA5869"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(Barratt et al., 2017)</w:t>
      </w:r>
      <w:r w:rsidR="00BA5869" w:rsidRPr="00552D93">
        <w:rPr>
          <w:rFonts w:ascii="Cambria" w:eastAsia="Times New Roman" w:hAnsi="Cambria" w:cs="Times New Roman"/>
          <w:bCs/>
          <w:lang w:eastAsia="en-GB"/>
        </w:rPr>
        <w:fldChar w:fldCharType="end"/>
      </w:r>
      <w:r w:rsidR="00BA5869"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r w:rsidR="0064075E" w:rsidRPr="00552D93">
        <w:rPr>
          <w:rFonts w:ascii="Cambria" w:eastAsia="Times New Roman" w:hAnsi="Cambria" w:cs="Times New Roman"/>
          <w:bCs/>
          <w:lang w:eastAsia="en-GB"/>
        </w:rPr>
        <w:t xml:space="preserve">People who complete GDS are also generally </w:t>
      </w:r>
      <w:r w:rsidR="006A70A7" w:rsidRPr="00552D93">
        <w:rPr>
          <w:rFonts w:ascii="Cambria" w:eastAsia="Times New Roman" w:hAnsi="Cambria" w:cs="Times New Roman"/>
          <w:bCs/>
          <w:lang w:eastAsia="en-GB"/>
        </w:rPr>
        <w:t>better</w:t>
      </w:r>
      <w:r w:rsidR="0064075E" w:rsidRPr="00552D93">
        <w:rPr>
          <w:rFonts w:ascii="Cambria" w:eastAsia="Times New Roman" w:hAnsi="Cambria" w:cs="Times New Roman"/>
          <w:bCs/>
          <w:lang w:eastAsia="en-GB"/>
        </w:rPr>
        <w:t xml:space="preserve"> educated and younger than the general population. </w:t>
      </w:r>
      <w:r w:rsidR="00667E45" w:rsidRPr="00552D93">
        <w:rPr>
          <w:rFonts w:ascii="Cambria" w:eastAsia="Times New Roman" w:hAnsi="Cambria" w:cs="Times New Roman"/>
          <w:bCs/>
          <w:lang w:eastAsia="en-GB"/>
        </w:rPr>
        <w:t>Country comparisons are limited by this lack of representativeness and therefore such comparisons should be interpreted with caution.</w:t>
      </w:r>
      <w:r w:rsidR="00297275" w:rsidRPr="00552D93">
        <w:rPr>
          <w:rFonts w:ascii="Cambria" w:eastAsia="Times New Roman" w:hAnsi="Cambria" w:cs="Times New Roman"/>
          <w:bCs/>
          <w:lang w:eastAsia="en-GB"/>
        </w:rPr>
        <w:t xml:space="preserve"> </w:t>
      </w:r>
      <w:r w:rsidR="00BA5869" w:rsidRPr="00552D93">
        <w:rPr>
          <w:rFonts w:ascii="Cambria" w:eastAsia="Times New Roman" w:hAnsi="Cambria" w:cs="Times New Roman"/>
          <w:bCs/>
          <w:lang w:eastAsia="en-GB"/>
        </w:rPr>
        <w:t xml:space="preserve">Limitations </w:t>
      </w:r>
      <w:r w:rsidR="00667E45" w:rsidRPr="00552D93">
        <w:rPr>
          <w:rFonts w:ascii="Cambria" w:eastAsia="Times New Roman" w:hAnsi="Cambria" w:cs="Times New Roman"/>
          <w:bCs/>
          <w:lang w:eastAsia="en-GB"/>
        </w:rPr>
        <w:t xml:space="preserve">of </w:t>
      </w:r>
      <w:r w:rsidR="00BA5869" w:rsidRPr="00552D93">
        <w:rPr>
          <w:rFonts w:ascii="Cambria" w:eastAsia="Times New Roman" w:hAnsi="Cambria" w:cs="Times New Roman"/>
          <w:bCs/>
          <w:lang w:eastAsia="en-GB"/>
        </w:rPr>
        <w:t xml:space="preserve">the survey items relating to the number of drinks that people selected must be considered. Firstly, people were asked to select their ‘usual drink’, which could clearly vary in both size and alcohol content, </w:t>
      </w:r>
      <w:r w:rsidR="00BA5869" w:rsidRPr="00552D93">
        <w:rPr>
          <w:rFonts w:ascii="Cambria" w:eastAsia="Times New Roman" w:hAnsi="Cambria" w:cs="Times New Roman"/>
          <w:bCs/>
          <w:lang w:eastAsia="en-GB"/>
        </w:rPr>
        <w:lastRenderedPageBreak/>
        <w:t xml:space="preserve">impacting on the number of drinks that a person would need to feel each stage of intoxication. </w:t>
      </w:r>
      <w:r w:rsidR="00371245" w:rsidRPr="00552D93">
        <w:rPr>
          <w:rFonts w:ascii="Cambria" w:eastAsia="Times New Roman" w:hAnsi="Cambria" w:cs="Times New Roman"/>
          <w:bCs/>
          <w:lang w:eastAsia="en-GB"/>
        </w:rPr>
        <w:t xml:space="preserve">Although we asked respondents to pick a </w:t>
      </w:r>
      <w:r w:rsidR="00875B94" w:rsidRPr="00552D93">
        <w:rPr>
          <w:rFonts w:ascii="Cambria" w:eastAsia="Times New Roman" w:hAnsi="Cambria" w:cs="Times New Roman"/>
          <w:bCs/>
          <w:lang w:eastAsia="en-GB"/>
        </w:rPr>
        <w:t xml:space="preserve">size </w:t>
      </w:r>
      <w:r w:rsidR="006A70A7" w:rsidRPr="00552D93">
        <w:rPr>
          <w:rFonts w:ascii="Cambria" w:eastAsia="Times New Roman" w:hAnsi="Cambria" w:cs="Times New Roman"/>
          <w:bCs/>
          <w:lang w:eastAsia="en-GB"/>
        </w:rPr>
        <w:t>indicating the amount</w:t>
      </w:r>
      <w:r w:rsidR="00875B94" w:rsidRPr="00552D93">
        <w:rPr>
          <w:rFonts w:ascii="Cambria" w:eastAsia="Times New Roman" w:hAnsi="Cambria" w:cs="Times New Roman"/>
          <w:bCs/>
          <w:lang w:eastAsia="en-GB"/>
        </w:rPr>
        <w:t xml:space="preserve"> of alcohol</w:t>
      </w:r>
      <w:r w:rsidR="006A70A7" w:rsidRPr="00552D93">
        <w:rPr>
          <w:rFonts w:ascii="Cambria" w:eastAsia="Times New Roman" w:hAnsi="Cambria" w:cs="Times New Roman"/>
          <w:bCs/>
          <w:lang w:eastAsia="en-GB"/>
        </w:rPr>
        <w:t xml:space="preserve"> for each</w:t>
      </w:r>
      <w:r w:rsidR="00875B94" w:rsidRPr="00552D93">
        <w:rPr>
          <w:rFonts w:ascii="Cambria" w:eastAsia="Times New Roman" w:hAnsi="Cambria" w:cs="Times New Roman"/>
          <w:bCs/>
          <w:lang w:eastAsia="en-GB"/>
        </w:rPr>
        <w:t xml:space="preserve">, </w:t>
      </w:r>
      <w:r w:rsidR="00371245" w:rsidRPr="00552D93">
        <w:rPr>
          <w:rFonts w:ascii="Cambria" w:eastAsia="Times New Roman" w:hAnsi="Cambria" w:cs="Times New Roman"/>
          <w:bCs/>
          <w:lang w:eastAsia="en-GB"/>
        </w:rPr>
        <w:t xml:space="preserve">it is possible that they ignored this and assumed we were talking about standard drinks. </w:t>
      </w:r>
      <w:r w:rsidR="00DE793D" w:rsidRPr="00552D93">
        <w:rPr>
          <w:rFonts w:ascii="Cambria" w:eastAsia="Times New Roman" w:hAnsi="Cambria" w:cs="Times New Roman"/>
          <w:bCs/>
          <w:lang w:eastAsia="en-GB"/>
        </w:rPr>
        <w:t>Country</w:t>
      </w:r>
      <w:r w:rsidR="00371245" w:rsidRPr="00552D93">
        <w:rPr>
          <w:rFonts w:ascii="Cambria" w:eastAsia="Times New Roman" w:hAnsi="Cambria" w:cs="Times New Roman"/>
          <w:bCs/>
          <w:lang w:eastAsia="en-GB"/>
        </w:rPr>
        <w:t xml:space="preserve"> differences in standard drink sizes would therefore impact on these findings. </w:t>
      </w:r>
      <w:r w:rsidR="00595D48" w:rsidRPr="00552D93">
        <w:rPr>
          <w:rFonts w:ascii="Cambria" w:eastAsia="Times New Roman" w:hAnsi="Cambria" w:cs="Times New Roman"/>
          <w:bCs/>
          <w:lang w:eastAsia="en-GB"/>
        </w:rPr>
        <w:t xml:space="preserve">Secondly, some people selected ‘other’ as their usual drink size, and their free text responses could not be converted to grams. There were differences between these respondents and the rest of the sample in terms of age, </w:t>
      </w:r>
      <w:r w:rsidR="0095496C" w:rsidRPr="00552D93">
        <w:rPr>
          <w:rFonts w:ascii="Cambria" w:eastAsia="Times New Roman" w:hAnsi="Cambria" w:cs="Times New Roman"/>
          <w:bCs/>
          <w:lang w:eastAsia="en-GB"/>
        </w:rPr>
        <w:t>gender</w:t>
      </w:r>
      <w:r w:rsidR="00595D48" w:rsidRPr="00552D93">
        <w:rPr>
          <w:rFonts w:ascii="Cambria" w:eastAsia="Times New Roman" w:hAnsi="Cambria" w:cs="Times New Roman"/>
          <w:bCs/>
          <w:lang w:eastAsia="en-GB"/>
        </w:rPr>
        <w:t xml:space="preserve"> and AUDIT score, although the effect sizes for these associations were very weak.</w:t>
      </w:r>
      <w:r w:rsidR="00371245" w:rsidRPr="00552D93">
        <w:rPr>
          <w:rFonts w:ascii="Cambria" w:eastAsia="Times New Roman" w:hAnsi="Cambria" w:cs="Times New Roman"/>
          <w:bCs/>
          <w:lang w:eastAsia="en-GB"/>
        </w:rPr>
        <w:t xml:space="preserve"> Thirdly, an </w:t>
      </w:r>
      <w:r w:rsidR="007918A5" w:rsidRPr="00552D93">
        <w:rPr>
          <w:rFonts w:ascii="Cambria" w:eastAsia="Times New Roman" w:hAnsi="Cambria" w:cs="Times New Roman"/>
          <w:bCs/>
          <w:lang w:eastAsia="en-GB"/>
        </w:rPr>
        <w:t xml:space="preserve">administrative </w:t>
      </w:r>
      <w:r w:rsidR="00371245" w:rsidRPr="00552D93">
        <w:rPr>
          <w:rFonts w:ascii="Cambria" w:eastAsia="Times New Roman" w:hAnsi="Cambria" w:cs="Times New Roman"/>
          <w:bCs/>
          <w:lang w:eastAsia="en-GB"/>
        </w:rPr>
        <w:t>error with the survey meant that some people picked more than one usual drink, and we had to average the ABV for each drink type they picked.</w:t>
      </w:r>
      <w:r w:rsidR="00297275" w:rsidRPr="00552D93">
        <w:rPr>
          <w:rFonts w:ascii="Cambria" w:eastAsia="Times New Roman" w:hAnsi="Cambria" w:cs="Times New Roman"/>
          <w:bCs/>
          <w:lang w:eastAsia="en-GB"/>
        </w:rPr>
        <w:t xml:space="preserve"> </w:t>
      </w:r>
      <w:r w:rsidR="00371245" w:rsidRPr="00552D93">
        <w:rPr>
          <w:rFonts w:ascii="Cambria" w:eastAsia="Times New Roman" w:hAnsi="Cambria" w:cs="Times New Roman"/>
          <w:bCs/>
          <w:lang w:eastAsia="en-GB"/>
        </w:rPr>
        <w:t xml:space="preserve">The respondents who selected all four types of alcohol reported consuming significantly more grams of alcohol </w:t>
      </w:r>
      <w:r w:rsidR="006A70A7" w:rsidRPr="00552D93">
        <w:rPr>
          <w:rFonts w:ascii="Cambria" w:eastAsia="Times New Roman" w:hAnsi="Cambria" w:cs="Times New Roman"/>
          <w:bCs/>
          <w:lang w:eastAsia="en-GB"/>
        </w:rPr>
        <w:t xml:space="preserve">to reach </w:t>
      </w:r>
      <w:r w:rsidR="00371245" w:rsidRPr="00552D93">
        <w:rPr>
          <w:rFonts w:ascii="Cambria" w:eastAsia="Times New Roman" w:hAnsi="Cambria" w:cs="Times New Roman"/>
          <w:bCs/>
          <w:lang w:eastAsia="en-GB"/>
        </w:rPr>
        <w:t>each stage of i</w:t>
      </w:r>
      <w:r w:rsidR="001A2E16" w:rsidRPr="00552D93">
        <w:rPr>
          <w:rFonts w:ascii="Cambria" w:eastAsia="Times New Roman" w:hAnsi="Cambria" w:cs="Times New Roman"/>
          <w:bCs/>
          <w:lang w:eastAsia="en-GB"/>
        </w:rPr>
        <w:t xml:space="preserve">ntoxication (although with </w:t>
      </w:r>
      <w:r w:rsidR="00371245" w:rsidRPr="00552D93">
        <w:rPr>
          <w:rFonts w:ascii="Cambria" w:eastAsia="Times New Roman" w:hAnsi="Cambria" w:cs="Times New Roman"/>
          <w:bCs/>
          <w:lang w:eastAsia="en-GB"/>
        </w:rPr>
        <w:t xml:space="preserve">small effect sizes). </w:t>
      </w:r>
      <w:r w:rsidR="00175341" w:rsidRPr="00552D93">
        <w:rPr>
          <w:rFonts w:ascii="Cambria" w:eastAsia="Times New Roman" w:hAnsi="Cambria" w:cs="Times New Roman"/>
          <w:bCs/>
          <w:lang w:eastAsia="en-GB"/>
        </w:rPr>
        <w:t xml:space="preserve">Related to this, many people may drink more than one type of drink on a night out, </w:t>
      </w:r>
      <w:r w:rsidR="00EF50FB" w:rsidRPr="00552D93">
        <w:rPr>
          <w:rFonts w:ascii="Cambria" w:eastAsia="Times New Roman" w:hAnsi="Cambria" w:cs="Times New Roman"/>
          <w:bCs/>
          <w:lang w:eastAsia="en-GB"/>
        </w:rPr>
        <w:t xml:space="preserve">and they may use other drugs at the same time, despite the question asking them to imagine they are only consuming alcohol, </w:t>
      </w:r>
      <w:r w:rsidR="00175341" w:rsidRPr="00552D93">
        <w:rPr>
          <w:rFonts w:ascii="Cambria" w:eastAsia="Times New Roman" w:hAnsi="Cambria" w:cs="Times New Roman"/>
          <w:bCs/>
          <w:lang w:eastAsia="en-GB"/>
        </w:rPr>
        <w:t>and we are not able to account for this in the data.</w:t>
      </w:r>
      <w:r w:rsidR="00297275" w:rsidRPr="00552D93">
        <w:rPr>
          <w:rFonts w:ascii="Cambria" w:eastAsia="Times New Roman" w:hAnsi="Cambria" w:cs="Times New Roman"/>
          <w:bCs/>
          <w:lang w:eastAsia="en-GB"/>
        </w:rPr>
        <w:t xml:space="preserve"> </w:t>
      </w:r>
      <w:r w:rsidR="001A2E16" w:rsidRPr="00552D93">
        <w:rPr>
          <w:rFonts w:ascii="Cambria" w:eastAsia="Times New Roman" w:hAnsi="Cambria" w:cs="Times New Roman"/>
          <w:bCs/>
          <w:lang w:eastAsia="en-GB"/>
        </w:rPr>
        <w:t xml:space="preserve">We acknowledge that using a binary outcome measure comparing weekly/monthly with less frequently reaching each stage of intoxaition is another limitation of the study – in future a contunious measure should be applied. </w:t>
      </w:r>
      <w:r w:rsidR="00793251" w:rsidRPr="00552D93">
        <w:rPr>
          <w:rFonts w:ascii="Cambria" w:eastAsia="Times New Roman" w:hAnsi="Cambria" w:cs="Times New Roman"/>
          <w:bCs/>
          <w:lang w:eastAsia="en-GB"/>
        </w:rPr>
        <w:t xml:space="preserve">It is </w:t>
      </w:r>
      <w:r w:rsidR="001A2E16" w:rsidRPr="00552D93">
        <w:rPr>
          <w:rFonts w:ascii="Cambria" w:eastAsia="Times New Roman" w:hAnsi="Cambria" w:cs="Times New Roman"/>
          <w:bCs/>
          <w:lang w:eastAsia="en-GB"/>
        </w:rPr>
        <w:t xml:space="preserve">also </w:t>
      </w:r>
      <w:r w:rsidR="00793251" w:rsidRPr="00552D93">
        <w:rPr>
          <w:rFonts w:ascii="Cambria" w:eastAsia="Times New Roman" w:hAnsi="Cambria" w:cs="Times New Roman"/>
          <w:bCs/>
          <w:lang w:eastAsia="en-GB"/>
        </w:rPr>
        <w:t>important to acknowled</w:t>
      </w:r>
      <w:r w:rsidR="00AC2AAD" w:rsidRPr="00552D93">
        <w:rPr>
          <w:rFonts w:ascii="Cambria" w:eastAsia="Times New Roman" w:hAnsi="Cambria" w:cs="Times New Roman"/>
          <w:bCs/>
          <w:lang w:eastAsia="en-GB"/>
        </w:rPr>
        <w:t xml:space="preserve">ge that other interpersonal factors, such as fatigue or mental health state, for example </w:t>
      </w:r>
      <w:r w:rsidR="00793251" w:rsidRPr="00552D93">
        <w:rPr>
          <w:rFonts w:ascii="Cambria" w:eastAsia="Times New Roman" w:hAnsi="Cambria" w:cs="Times New Roman"/>
          <w:bCs/>
          <w:lang w:eastAsia="en-GB"/>
        </w:rPr>
        <w:t xml:space="preserve">may influence how </w:t>
      </w:r>
      <w:r w:rsidR="00AC2AAD" w:rsidRPr="00552D93">
        <w:rPr>
          <w:rFonts w:ascii="Cambria" w:eastAsia="Times New Roman" w:hAnsi="Cambria" w:cs="Times New Roman"/>
          <w:bCs/>
          <w:lang w:eastAsia="en-GB"/>
        </w:rPr>
        <w:t xml:space="preserve">intoxicated someone feels on a particular occasion. </w:t>
      </w:r>
      <w:r w:rsidR="00C84D7F" w:rsidRPr="00552D93">
        <w:rPr>
          <w:rFonts w:ascii="Cambria" w:eastAsia="Times New Roman" w:hAnsi="Cambria" w:cs="Times New Roman"/>
          <w:bCs/>
          <w:lang w:eastAsia="en-GB"/>
        </w:rPr>
        <w:t xml:space="preserve">Finally, the countries </w:t>
      </w:r>
      <w:r w:rsidR="0043442F" w:rsidRPr="00552D93">
        <w:rPr>
          <w:rFonts w:ascii="Cambria" w:eastAsia="Times New Roman" w:hAnsi="Cambria" w:cs="Times New Roman"/>
          <w:bCs/>
          <w:lang w:eastAsia="en-GB"/>
        </w:rPr>
        <w:t>included were those where GDS had media and academic partners at the time of the survey,</w:t>
      </w:r>
      <w:r w:rsidR="001C5D7D" w:rsidRPr="00552D93">
        <w:rPr>
          <w:rFonts w:ascii="Cambria" w:eastAsia="Times New Roman" w:hAnsi="Cambria" w:cs="Times New Roman"/>
          <w:bCs/>
          <w:lang w:eastAsia="en-GB"/>
        </w:rPr>
        <w:t xml:space="preserve"> and these countries all happen to be located in regions w</w:t>
      </w:r>
      <w:r w:rsidR="00473B79" w:rsidRPr="00552D93">
        <w:rPr>
          <w:rFonts w:ascii="Cambria" w:eastAsia="Times New Roman" w:hAnsi="Cambria" w:cs="Times New Roman"/>
          <w:bCs/>
          <w:lang w:eastAsia="en-GB"/>
        </w:rPr>
        <w:t>h</w:t>
      </w:r>
      <w:r w:rsidR="001C5D7D" w:rsidRPr="00552D93">
        <w:rPr>
          <w:rFonts w:ascii="Cambria" w:eastAsia="Times New Roman" w:hAnsi="Cambria" w:cs="Times New Roman"/>
          <w:bCs/>
          <w:lang w:eastAsia="en-GB"/>
        </w:rPr>
        <w:t>ere the majority of population current</w:t>
      </w:r>
      <w:r w:rsidR="00406EC7" w:rsidRPr="00552D93">
        <w:rPr>
          <w:rFonts w:ascii="Cambria" w:eastAsia="Times New Roman" w:hAnsi="Cambria" w:cs="Times New Roman"/>
          <w:bCs/>
          <w:lang w:eastAsia="en-GB"/>
        </w:rPr>
        <w:t>ly drink alcohol</w:t>
      </w:r>
      <w:r w:rsidR="001C5D7D" w:rsidRPr="00552D93">
        <w:rPr>
          <w:rFonts w:ascii="Cambria" w:eastAsia="Times New Roman" w:hAnsi="Cambria" w:cs="Times New Roman"/>
          <w:bCs/>
          <w:lang w:eastAsia="en-GB"/>
        </w:rPr>
        <w:t xml:space="preserve"> (WHO, 2018).</w:t>
      </w:r>
      <w:r w:rsidR="00297275" w:rsidRPr="00552D93">
        <w:rPr>
          <w:rFonts w:ascii="Cambria" w:eastAsia="Times New Roman" w:hAnsi="Cambria" w:cs="Times New Roman"/>
          <w:bCs/>
          <w:lang w:eastAsia="en-GB"/>
        </w:rPr>
        <w:t xml:space="preserve"> </w:t>
      </w:r>
      <w:r w:rsidR="00406527" w:rsidRPr="00552D93">
        <w:rPr>
          <w:rFonts w:ascii="Cambria" w:eastAsia="Times New Roman" w:hAnsi="Cambria" w:cs="Times New Roman"/>
          <w:bCs/>
          <w:lang w:eastAsia="en-GB"/>
        </w:rPr>
        <w:t>It is also worth considering that it is not only the number of drinks in a drinking occasion, but the time taken to consume those drinks that may impact on the experience of intoxication</w:t>
      </w:r>
      <w:r w:rsidR="00D43CCD" w:rsidRPr="00552D93">
        <w:rPr>
          <w:rFonts w:ascii="Cambria" w:eastAsia="Times New Roman" w:hAnsi="Cambria" w:cs="Times New Roman"/>
          <w:bCs/>
          <w:lang w:eastAsia="en-GB"/>
        </w:rPr>
        <w:t xml:space="preserve"> </w:t>
      </w:r>
      <w:r w:rsidR="00D43CCD" w:rsidRPr="00552D93">
        <w:rPr>
          <w:rFonts w:ascii="Cambria" w:eastAsia="Times New Roman" w:hAnsi="Cambria" w:cs="Times New Roman"/>
          <w:bCs/>
          <w:lang w:eastAsia="en-GB"/>
        </w:rPr>
        <w:fldChar w:fldCharType="begin">
          <w:fldData xml:space="preserve">PEVuZE5vdGU+PENpdGU+PEF1dGhvcj5LdW50c2NoZTwvQXV0aG9yPjxZZWFyPjIwMDg8L1llYXI+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</w:fldData>
        </w:fldChar>
      </w:r>
      <w:r w:rsidR="001530C8" w:rsidRPr="00552D93">
        <w:rPr>
          <w:rFonts w:ascii="Cambria" w:eastAsia="Times New Roman" w:hAnsi="Cambria" w:cs="Times New Roman"/>
          <w:bCs/>
          <w:lang w:eastAsia="en-GB"/>
        </w:rPr>
        <w:instrText xml:space="preserve"> ADDIN EN.CITE </w:instrText>
      </w:r>
      <w:r w:rsidR="001530C8" w:rsidRPr="00552D93">
        <w:rPr>
          <w:rFonts w:ascii="Cambria" w:eastAsia="Times New Roman" w:hAnsi="Cambria" w:cs="Times New Roman"/>
          <w:bCs/>
          <w:lang w:eastAsia="en-GB"/>
        </w:rPr>
        <w:fldChar w:fldCharType="begin">
          <w:fldData xml:space="preserve">PEVuZE5vdGU+PENpdGU+PEF1dGhvcj5LdW50c2NoZTwvQXV0aG9yPjxZZWFyPjIwMDg8L1llYXI+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</w:fldData>
        </w:fldChar>
      </w:r>
      <w:r w:rsidR="001530C8" w:rsidRPr="00552D93">
        <w:rPr>
          <w:rFonts w:ascii="Cambria" w:eastAsia="Times New Roman" w:hAnsi="Cambria" w:cs="Times New Roman"/>
          <w:bCs/>
          <w:lang w:eastAsia="en-GB"/>
        </w:rPr>
        <w:instrText xml:space="preserve"> ADDIN EN.CITE.DATA </w:instrText>
      </w:r>
      <w:r w:rsidR="001530C8" w:rsidRPr="00552D93">
        <w:rPr>
          <w:rFonts w:ascii="Cambria" w:eastAsia="Times New Roman" w:hAnsi="Cambria" w:cs="Times New Roman"/>
          <w:bCs/>
          <w:lang w:eastAsia="en-GB"/>
        </w:rPr>
      </w:r>
      <w:r w:rsidR="001530C8" w:rsidRPr="00552D93">
        <w:rPr>
          <w:rFonts w:ascii="Cambria" w:eastAsia="Times New Roman" w:hAnsi="Cambria" w:cs="Times New Roman"/>
          <w:bCs/>
          <w:lang w:eastAsia="en-GB"/>
        </w:rPr>
        <w:fldChar w:fldCharType="end"/>
      </w:r>
      <w:r w:rsidR="00D43CCD" w:rsidRPr="00552D93">
        <w:rPr>
          <w:rFonts w:ascii="Cambria" w:eastAsia="Times New Roman" w:hAnsi="Cambria" w:cs="Times New Roman"/>
          <w:bCs/>
          <w:lang w:eastAsia="en-GB"/>
        </w:rPr>
      </w:r>
      <w:r w:rsidR="00D43CCD"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(Kuntsche, Plant, Plant, Miller, &amp; Gmel, 2008)</w:t>
      </w:r>
      <w:r w:rsidR="00D43CCD" w:rsidRPr="00552D93">
        <w:rPr>
          <w:rFonts w:ascii="Cambria" w:eastAsia="Times New Roman" w:hAnsi="Cambria" w:cs="Times New Roman"/>
          <w:bCs/>
          <w:lang w:eastAsia="en-GB"/>
        </w:rPr>
        <w:fldChar w:fldCharType="end"/>
      </w:r>
      <w:r w:rsidR="00406527" w:rsidRPr="00552D93">
        <w:rPr>
          <w:rFonts w:ascii="Cambria" w:eastAsia="Times New Roman" w:hAnsi="Cambria" w:cs="Times New Roman"/>
          <w:bCs/>
          <w:lang w:eastAsia="en-GB"/>
        </w:rPr>
        <w:t xml:space="preserve">. Drinking more in a short </w:t>
      </w:r>
      <w:r w:rsidR="00406EC7" w:rsidRPr="00552D93">
        <w:rPr>
          <w:rFonts w:ascii="Cambria" w:eastAsia="Times New Roman" w:hAnsi="Cambria" w:cs="Times New Roman"/>
          <w:bCs/>
          <w:lang w:eastAsia="en-GB"/>
        </w:rPr>
        <w:t xml:space="preserve">period </w:t>
      </w:r>
      <w:r w:rsidR="00406527" w:rsidRPr="00552D93">
        <w:rPr>
          <w:rFonts w:ascii="Cambria" w:eastAsia="Times New Roman" w:hAnsi="Cambria" w:cs="Times New Roman"/>
          <w:bCs/>
          <w:lang w:eastAsia="en-GB"/>
        </w:rPr>
        <w:t xml:space="preserve">of time </w:t>
      </w:r>
      <w:r w:rsidR="0079156A" w:rsidRPr="00552D93">
        <w:rPr>
          <w:rFonts w:ascii="Cambria" w:eastAsia="Times New Roman" w:hAnsi="Cambria" w:cs="Times New Roman"/>
          <w:bCs/>
          <w:lang w:eastAsia="en-GB"/>
        </w:rPr>
        <w:t xml:space="preserve">increases the likelihood that </w:t>
      </w:r>
      <w:r w:rsidR="00406527" w:rsidRPr="00552D93">
        <w:rPr>
          <w:rFonts w:ascii="Cambria" w:eastAsia="Times New Roman" w:hAnsi="Cambria" w:cs="Times New Roman"/>
          <w:bCs/>
          <w:lang w:eastAsia="en-GB"/>
        </w:rPr>
        <w:t xml:space="preserve">an individual </w:t>
      </w:r>
      <w:r w:rsidR="0079156A" w:rsidRPr="00552D93">
        <w:rPr>
          <w:rFonts w:ascii="Cambria" w:eastAsia="Times New Roman" w:hAnsi="Cambria" w:cs="Times New Roman"/>
          <w:bCs/>
          <w:lang w:eastAsia="en-GB"/>
        </w:rPr>
        <w:t xml:space="preserve">is </w:t>
      </w:r>
      <w:r w:rsidR="00406527" w:rsidRPr="00552D93">
        <w:rPr>
          <w:rFonts w:ascii="Cambria" w:eastAsia="Times New Roman" w:hAnsi="Cambria" w:cs="Times New Roman"/>
          <w:bCs/>
          <w:lang w:eastAsia="en-GB"/>
        </w:rPr>
        <w:t>reaching their tipping point more quickly.</w:t>
      </w:r>
      <w:r w:rsidR="00297275" w:rsidRPr="00552D93">
        <w:rPr>
          <w:rFonts w:ascii="Cambria" w:eastAsia="Times New Roman" w:hAnsi="Cambria" w:cs="Times New Roman"/>
          <w:bCs/>
          <w:lang w:eastAsia="en-GB"/>
        </w:rPr>
        <w:t xml:space="preserve"> </w:t>
      </w:r>
    </w:p>
    <w:p w14:paraId="5C88D838" w14:textId="77777777" w:rsidR="00D31319" w:rsidRPr="00552D93" w:rsidRDefault="00D31319" w:rsidP="00BA5869">
      <w:pPr>
        <w:spacing w:before="100" w:beforeAutospacing="1" w:after="100" w:afterAutospacing="1" w:line="480" w:lineRule="auto"/>
        <w:rPr>
          <w:rFonts w:ascii="Cambria" w:eastAsia="Times New Roman" w:hAnsi="Cambria" w:cs="Times New Roman"/>
          <w:bCs/>
          <w:i/>
          <w:lang w:eastAsia="en-GB"/>
        </w:rPr>
      </w:pPr>
      <w:r w:rsidRPr="00552D93">
        <w:rPr>
          <w:rFonts w:ascii="Cambria" w:eastAsia="Times New Roman" w:hAnsi="Cambria" w:cs="Times New Roman"/>
          <w:bCs/>
          <w:i/>
          <w:lang w:eastAsia="en-GB"/>
        </w:rPr>
        <w:t xml:space="preserve">Strengths and implications </w:t>
      </w:r>
    </w:p>
    <w:p w14:paraId="02C9024E" w14:textId="305956D8" w:rsidR="00764D4C" w:rsidRPr="00552D93" w:rsidRDefault="00DC0E1F" w:rsidP="00BA5869">
      <w:pPr>
        <w:spacing w:before="100" w:beforeAutospacing="1" w:after="100" w:afterAutospacing="1" w:line="480" w:lineRule="auto"/>
        <w:rPr>
          <w:rFonts w:ascii="Cambria" w:eastAsia="Times New Roman" w:hAnsi="Cambria" w:cs="Times New Roman"/>
          <w:bCs/>
          <w:lang w:eastAsia="en-GB"/>
        </w:rPr>
      </w:pPr>
      <w:r w:rsidRPr="00552D93">
        <w:rPr>
          <w:rFonts w:ascii="Cambria" w:eastAsia="Times New Roman" w:hAnsi="Cambria" w:cs="Times New Roman"/>
          <w:bCs/>
          <w:lang w:eastAsia="en-GB"/>
        </w:rPr>
        <w:lastRenderedPageBreak/>
        <w:t>This is the first study to explore the subjective effects of alcohol consumption in respondents from different countries.</w:t>
      </w:r>
      <w:r w:rsidR="00297275" w:rsidRPr="00552D93">
        <w:rPr>
          <w:rFonts w:ascii="Cambria" w:eastAsia="Times New Roman" w:hAnsi="Cambria" w:cs="Times New Roman"/>
          <w:bCs/>
          <w:lang w:eastAsia="en-GB"/>
        </w:rPr>
        <w:t xml:space="preserve"> </w:t>
      </w:r>
      <w:r w:rsidR="00A8682F" w:rsidRPr="00552D93">
        <w:rPr>
          <w:rFonts w:ascii="Cambria" w:eastAsia="Times New Roman" w:hAnsi="Cambria" w:cs="Times New Roman"/>
          <w:bCs/>
          <w:lang w:eastAsia="en-GB"/>
        </w:rPr>
        <w:t>T</w:t>
      </w:r>
      <w:r w:rsidR="006C6DA7" w:rsidRPr="00552D93">
        <w:rPr>
          <w:rFonts w:ascii="Cambria" w:eastAsia="Times New Roman" w:hAnsi="Cambria" w:cs="Times New Roman"/>
          <w:bCs/>
          <w:lang w:eastAsia="en-GB"/>
        </w:rPr>
        <w:t>he study has strength in</w:t>
      </w:r>
      <w:r w:rsidR="00A8682F" w:rsidRPr="00552D93">
        <w:rPr>
          <w:rFonts w:ascii="Cambria" w:eastAsia="Times New Roman" w:hAnsi="Cambria" w:cs="Times New Roman"/>
          <w:bCs/>
          <w:lang w:eastAsia="en-GB"/>
        </w:rPr>
        <w:t xml:space="preserve"> the size of the sample, as well as in </w:t>
      </w:r>
      <w:r w:rsidR="006C6DA7" w:rsidRPr="00552D93">
        <w:rPr>
          <w:rFonts w:ascii="Cambria" w:eastAsia="Times New Roman" w:hAnsi="Cambria" w:cs="Times New Roman"/>
          <w:bCs/>
          <w:lang w:eastAsia="en-GB"/>
        </w:rPr>
        <w:t xml:space="preserve">exploring a novel question about how often people reach a desired and undesired </w:t>
      </w:r>
      <w:r w:rsidR="00415B68" w:rsidRPr="00552D93">
        <w:rPr>
          <w:rFonts w:ascii="Cambria" w:eastAsia="Times New Roman" w:hAnsi="Cambria" w:cs="Times New Roman"/>
          <w:bCs/>
          <w:lang w:eastAsia="en-GB"/>
        </w:rPr>
        <w:t>stage</w:t>
      </w:r>
      <w:r w:rsidRPr="00552D93">
        <w:rPr>
          <w:rFonts w:ascii="Cambria" w:eastAsia="Times New Roman" w:hAnsi="Cambria" w:cs="Times New Roman"/>
          <w:bCs/>
          <w:lang w:eastAsia="en-GB"/>
        </w:rPr>
        <w:t>s</w:t>
      </w:r>
      <w:r w:rsidR="00415B68" w:rsidRPr="00552D93">
        <w:rPr>
          <w:rFonts w:ascii="Cambria" w:eastAsia="Times New Roman" w:hAnsi="Cambria" w:cs="Times New Roman"/>
          <w:bCs/>
          <w:lang w:eastAsia="en-GB"/>
        </w:rPr>
        <w:t xml:space="preserve"> </w:t>
      </w:r>
      <w:r w:rsidR="006C6DA7" w:rsidRPr="00552D93">
        <w:rPr>
          <w:rFonts w:ascii="Cambria" w:eastAsia="Times New Roman" w:hAnsi="Cambria" w:cs="Times New Roman"/>
          <w:bCs/>
          <w:lang w:eastAsia="en-GB"/>
        </w:rPr>
        <w:t xml:space="preserve">of intoxication. </w:t>
      </w:r>
      <w:r w:rsidR="00AC2543" w:rsidRPr="00552D93">
        <w:rPr>
          <w:rFonts w:ascii="Cambria" w:eastAsia="Times New Roman" w:hAnsi="Cambria" w:cs="Times New Roman"/>
          <w:bCs/>
          <w:lang w:eastAsia="en-GB"/>
        </w:rPr>
        <w:t xml:space="preserve">Within this sample, the study has heighted how country of residence may influence consumption. </w:t>
      </w:r>
      <w:r w:rsidR="006C6DA7" w:rsidRPr="00552D93">
        <w:rPr>
          <w:rFonts w:ascii="Cambria" w:eastAsia="Times New Roman" w:hAnsi="Cambria" w:cs="Times New Roman"/>
          <w:bCs/>
          <w:lang w:eastAsia="en-GB"/>
        </w:rPr>
        <w:t>We found 20% of the sample reached their tipping point at least monthly, which means they are</w:t>
      </w:r>
      <w:r w:rsidR="0079156A" w:rsidRPr="00552D93">
        <w:rPr>
          <w:rFonts w:ascii="Cambria" w:eastAsia="Times New Roman" w:hAnsi="Cambria" w:cs="Times New Roman"/>
          <w:bCs/>
          <w:lang w:eastAsia="en-GB"/>
        </w:rPr>
        <w:t xml:space="preserve"> at least once monthly</w:t>
      </w:r>
      <w:r w:rsidR="006C6DA7" w:rsidRPr="00552D93">
        <w:rPr>
          <w:rFonts w:ascii="Cambria" w:eastAsia="Times New Roman" w:hAnsi="Cambria" w:cs="Times New Roman"/>
          <w:bCs/>
          <w:lang w:eastAsia="en-GB"/>
        </w:rPr>
        <w:t xml:space="preserve"> more int</w:t>
      </w:r>
      <w:r w:rsidR="00C434AD" w:rsidRPr="00552D93">
        <w:rPr>
          <w:rFonts w:ascii="Cambria" w:eastAsia="Times New Roman" w:hAnsi="Cambria" w:cs="Times New Roman"/>
          <w:bCs/>
          <w:lang w:eastAsia="en-GB"/>
        </w:rPr>
        <w:t>oxicated than they ideally want</w:t>
      </w:r>
      <w:r w:rsidR="006C6DA7" w:rsidRPr="00552D93">
        <w:rPr>
          <w:rFonts w:ascii="Cambria" w:eastAsia="Times New Roman" w:hAnsi="Cambria" w:cs="Times New Roman"/>
          <w:bCs/>
          <w:lang w:eastAsia="en-GB"/>
        </w:rPr>
        <w:t xml:space="preserve"> to be.</w:t>
      </w:r>
      <w:r w:rsidR="00297275" w:rsidRPr="00552D93">
        <w:rPr>
          <w:rFonts w:ascii="Cambria" w:eastAsia="Times New Roman" w:hAnsi="Cambria" w:cs="Times New Roman"/>
          <w:bCs/>
          <w:lang w:eastAsia="en-GB"/>
        </w:rPr>
        <w:t xml:space="preserve"> </w:t>
      </w:r>
      <w:r w:rsidR="006615F0" w:rsidRPr="00552D93">
        <w:rPr>
          <w:rFonts w:ascii="Cambria" w:eastAsia="Times New Roman" w:hAnsi="Cambria" w:cs="Times New Roman"/>
          <w:bCs/>
          <w:lang w:eastAsia="en-GB"/>
        </w:rPr>
        <w:t xml:space="preserve">Reaching the tipping point at least monthly or weekly was </w:t>
      </w:r>
      <w:r w:rsidR="0079156A" w:rsidRPr="00552D93">
        <w:rPr>
          <w:rFonts w:ascii="Cambria" w:eastAsia="Times New Roman" w:hAnsi="Cambria" w:cs="Times New Roman"/>
          <w:bCs/>
          <w:lang w:eastAsia="en-GB"/>
        </w:rPr>
        <w:t>associated with</w:t>
      </w:r>
      <w:r w:rsidR="006615F0" w:rsidRPr="00552D93">
        <w:rPr>
          <w:rFonts w:ascii="Cambria" w:eastAsia="Times New Roman" w:hAnsi="Cambria" w:cs="Times New Roman"/>
          <w:bCs/>
          <w:lang w:eastAsia="en-GB"/>
        </w:rPr>
        <w:t xml:space="preserve"> age and AUDIT score, but interestingly, gender</w:t>
      </w:r>
      <w:r w:rsidR="00764D4C" w:rsidRPr="00552D93">
        <w:rPr>
          <w:rFonts w:ascii="Cambria" w:eastAsia="Times New Roman" w:hAnsi="Cambria" w:cs="Times New Roman"/>
          <w:bCs/>
          <w:lang w:eastAsia="en-GB"/>
        </w:rPr>
        <w:t xml:space="preserve"> was rendered non-significant in the full</w:t>
      </w:r>
      <w:r w:rsidR="00380A84" w:rsidRPr="00552D93">
        <w:rPr>
          <w:rFonts w:ascii="Cambria" w:eastAsia="Times New Roman" w:hAnsi="Cambria" w:cs="Times New Roman"/>
          <w:bCs/>
          <w:lang w:eastAsia="en-GB"/>
        </w:rPr>
        <w:t xml:space="preserve"> model, adjusting for all co-variates. This suggests that interventions to reduce the frequency of reaching the tipping point need to be targeted at </w:t>
      </w:r>
      <w:r w:rsidR="0079156A" w:rsidRPr="00552D93">
        <w:rPr>
          <w:rFonts w:ascii="Cambria" w:eastAsia="Times New Roman" w:hAnsi="Cambria" w:cs="Times New Roman"/>
          <w:bCs/>
          <w:lang w:eastAsia="en-GB"/>
        </w:rPr>
        <w:t>men and women</w:t>
      </w:r>
      <w:r w:rsidR="00380A84" w:rsidRPr="00552D93">
        <w:rPr>
          <w:rFonts w:ascii="Cambria" w:eastAsia="Times New Roman" w:hAnsi="Cambria" w:cs="Times New Roman"/>
          <w:bCs/>
          <w:lang w:eastAsia="en-GB"/>
        </w:rPr>
        <w:t xml:space="preserve">, focussing on younger </w:t>
      </w:r>
      <w:r w:rsidR="0079156A" w:rsidRPr="00552D93">
        <w:rPr>
          <w:rFonts w:ascii="Cambria" w:eastAsia="Times New Roman" w:hAnsi="Cambria" w:cs="Times New Roman"/>
          <w:bCs/>
          <w:lang w:eastAsia="en-GB"/>
        </w:rPr>
        <w:t xml:space="preserve">people with </w:t>
      </w:r>
      <w:r w:rsidR="00380A84" w:rsidRPr="00552D93">
        <w:rPr>
          <w:rFonts w:ascii="Cambria" w:eastAsia="Times New Roman" w:hAnsi="Cambria" w:cs="Times New Roman"/>
          <w:bCs/>
          <w:lang w:eastAsia="en-GB"/>
        </w:rPr>
        <w:t>heav</w:t>
      </w:r>
      <w:r w:rsidR="0079156A" w:rsidRPr="00552D93">
        <w:rPr>
          <w:rFonts w:ascii="Cambria" w:eastAsia="Times New Roman" w:hAnsi="Cambria" w:cs="Times New Roman"/>
          <w:bCs/>
          <w:lang w:eastAsia="en-GB"/>
        </w:rPr>
        <w:t>y</w:t>
      </w:r>
      <w:r w:rsidR="00380A84" w:rsidRPr="00552D93">
        <w:rPr>
          <w:rFonts w:ascii="Cambria" w:eastAsia="Times New Roman" w:hAnsi="Cambria" w:cs="Times New Roman"/>
          <w:bCs/>
          <w:lang w:eastAsia="en-GB"/>
        </w:rPr>
        <w:t xml:space="preserve"> drink</w:t>
      </w:r>
      <w:r w:rsidR="0079156A" w:rsidRPr="00552D93">
        <w:rPr>
          <w:rFonts w:ascii="Cambria" w:eastAsia="Times New Roman" w:hAnsi="Cambria" w:cs="Times New Roman"/>
          <w:bCs/>
          <w:lang w:eastAsia="en-GB"/>
        </w:rPr>
        <w:t>ing</w:t>
      </w:r>
      <w:r w:rsidR="00380A84" w:rsidRPr="00552D93">
        <w:rPr>
          <w:rFonts w:ascii="Cambria" w:eastAsia="Times New Roman" w:hAnsi="Cambria" w:cs="Times New Roman"/>
          <w:bCs/>
          <w:lang w:eastAsia="en-GB"/>
        </w:rPr>
        <w:t>.</w:t>
      </w:r>
      <w:r w:rsidR="009B051C" w:rsidRPr="00552D93">
        <w:rPr>
          <w:rFonts w:ascii="Cambria" w:eastAsia="Times New Roman" w:hAnsi="Cambria" w:cs="Times New Roman"/>
          <w:bCs/>
          <w:lang w:eastAsia="en-GB"/>
        </w:rPr>
        <w:t xml:space="preserve"> In countries such as the UK, recent data shows that fewer young people are consuming alcohol </w:t>
      </w:r>
      <w:r w:rsidR="00EE47A7" w:rsidRPr="00552D93">
        <w:rPr>
          <w:rFonts w:ascii="Cambria" w:eastAsia="Times New Roman" w:hAnsi="Cambria" w:cs="Times New Roman"/>
          <w:bCs/>
          <w:lang w:eastAsia="en-GB"/>
        </w:rPr>
        <w:fldChar w:fldCharType="begin"/>
      </w:r>
      <w:r w:rsidR="00EE47A7" w:rsidRPr="00552D93">
        <w:rPr>
          <w:rFonts w:ascii="Cambria" w:eastAsia="Times New Roman" w:hAnsi="Cambria" w:cs="Times New Roman"/>
          <w:bCs/>
          <w:lang w:eastAsia="en-GB"/>
        </w:rPr>
        <w:instrText xml:space="preserve"> ADDIN EN.CITE &lt;EndNote&gt;&lt;Cite&gt;&lt;Author&gt;Ng Fat&lt;/Author&gt;&lt;Year&gt;2018&lt;/Year&gt;&lt;RecNum&gt;4889&lt;/RecNum&gt;&lt;DisplayText&gt;(Ng Fat, Shelton, &amp;amp; Cable, 2018)&lt;/DisplayText&gt;&lt;record&gt;&lt;rec-number&gt;4889&lt;/rec-number&gt;&lt;foreign-keys&gt;&lt;key app="EN" db-id="te5rs0t0nprf99ep09vxza050r9t99faf9td" timestamp="1582721563"&gt;4889&lt;/key&gt;&lt;/foreign-keys&gt;&lt;ref-type name="Journal Article"&gt;17&lt;/ref-type&gt;&lt;contributors&gt;&lt;authors&gt;&lt;author&gt;Ng Fat, Linda&lt;/author&gt;&lt;author&gt;Shelton, Nicola&lt;/author&gt;&lt;author&gt;Cable, Noriko&lt;/author&gt;&lt;/authors&gt;&lt;/contributors&gt;&lt;titles&gt;&lt;title&gt;Investigating the growing trend of non-drinking among young people; analysis of repeated cross-sectional surveys in England 2005–2015&lt;/title&gt;&lt;secondary-title&gt;BMC Public Health&lt;/secondary-title&gt;&lt;/titles&gt;&lt;periodical&gt;&lt;full-title&gt;Bmc Public Health&lt;/full-title&gt;&lt;/periodical&gt;&lt;pages&gt;1090&lt;/pages&gt;&lt;volume&gt;18&lt;/volume&gt;&lt;number&gt;1&lt;/number&gt;&lt;dates&gt;&lt;year&gt;2018&lt;/year&gt;&lt;pub-dates&gt;&lt;date&gt;2018/10/10&lt;/date&gt;&lt;/pub-dates&gt;&lt;/dates&gt;&lt;isbn&gt;1471-2458&lt;/isbn&gt;&lt;urls&gt;&lt;related-urls&gt;&lt;url&gt;https://doi.org/10.1186/s12889-018-5995-3&lt;/url&gt;&lt;/related-urls&gt;&lt;/urls&gt;&lt;electronic-resource-num&gt;10.1186/s12889-018-5995-3&lt;/electronic-resource-num&gt;&lt;/record&gt;&lt;/Cite&gt;&lt;/EndNote&gt;</w:instrText>
      </w:r>
      <w:r w:rsidR="00EE47A7" w:rsidRPr="00552D93">
        <w:rPr>
          <w:rFonts w:ascii="Cambria" w:eastAsia="Times New Roman" w:hAnsi="Cambria" w:cs="Times New Roman"/>
          <w:bCs/>
          <w:lang w:eastAsia="en-GB"/>
        </w:rPr>
        <w:fldChar w:fldCharType="separate"/>
      </w:r>
      <w:r w:rsidR="00EE47A7" w:rsidRPr="00552D93">
        <w:rPr>
          <w:rFonts w:ascii="Cambria" w:eastAsia="Times New Roman" w:hAnsi="Cambria" w:cs="Times New Roman"/>
          <w:bCs/>
          <w:noProof/>
          <w:lang w:eastAsia="en-GB"/>
        </w:rPr>
        <w:t>(Ng Fat, Shelton, &amp; Cable, 2018)</w:t>
      </w:r>
      <w:r w:rsidR="00EE47A7" w:rsidRPr="00552D93">
        <w:rPr>
          <w:rFonts w:ascii="Cambria" w:eastAsia="Times New Roman" w:hAnsi="Cambria" w:cs="Times New Roman"/>
          <w:bCs/>
          <w:lang w:eastAsia="en-GB"/>
        </w:rPr>
        <w:fldChar w:fldCharType="end"/>
      </w:r>
      <w:r w:rsidR="00EE47A7"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r w:rsidR="009B051C" w:rsidRPr="00552D93">
        <w:rPr>
          <w:rFonts w:ascii="Cambria" w:eastAsia="Times New Roman" w:hAnsi="Cambria" w:cs="Times New Roman"/>
          <w:bCs/>
          <w:lang w:eastAsia="en-GB"/>
        </w:rPr>
        <w:t xml:space="preserve">Data from the current study suggests that this trend should not be seen as a sign to reduce prevention efforts, as those that do drink </w:t>
      </w:r>
      <w:r w:rsidR="0079156A" w:rsidRPr="00552D93">
        <w:rPr>
          <w:rFonts w:ascii="Cambria" w:eastAsia="Times New Roman" w:hAnsi="Cambria" w:cs="Times New Roman"/>
          <w:bCs/>
          <w:lang w:eastAsia="en-GB"/>
        </w:rPr>
        <w:t xml:space="preserve">potentially </w:t>
      </w:r>
      <w:r w:rsidR="009B051C" w:rsidRPr="00552D93">
        <w:rPr>
          <w:rFonts w:ascii="Cambria" w:eastAsia="Times New Roman" w:hAnsi="Cambria" w:cs="Times New Roman"/>
          <w:bCs/>
          <w:lang w:eastAsia="en-GB"/>
        </w:rPr>
        <w:t>consum</w:t>
      </w:r>
      <w:r w:rsidR="0079156A" w:rsidRPr="00552D93">
        <w:rPr>
          <w:rFonts w:ascii="Cambria" w:eastAsia="Times New Roman" w:hAnsi="Cambria" w:cs="Times New Roman"/>
          <w:bCs/>
          <w:lang w:eastAsia="en-GB"/>
        </w:rPr>
        <w:t>e</w:t>
      </w:r>
      <w:r w:rsidR="009B051C" w:rsidRPr="00552D93">
        <w:rPr>
          <w:rFonts w:ascii="Cambria" w:eastAsia="Times New Roman" w:hAnsi="Cambria" w:cs="Times New Roman"/>
          <w:bCs/>
          <w:lang w:eastAsia="en-GB"/>
        </w:rPr>
        <w:t xml:space="preserve"> at harmful levels. </w:t>
      </w:r>
    </w:p>
    <w:p w14:paraId="570936C3" w14:textId="16FEA930" w:rsidR="006C6DA7" w:rsidRPr="00552D93" w:rsidRDefault="006C6DA7" w:rsidP="00BA5869">
      <w:pPr>
        <w:spacing w:before="100" w:beforeAutospacing="1" w:after="100" w:afterAutospacing="1" w:line="480" w:lineRule="auto"/>
        <w:rPr>
          <w:rFonts w:ascii="Cambria" w:eastAsia="Times New Roman" w:hAnsi="Cambria" w:cs="Times New Roman"/>
          <w:bCs/>
          <w:lang w:eastAsia="en-GB"/>
        </w:rPr>
      </w:pPr>
      <w:r w:rsidRPr="00552D93">
        <w:rPr>
          <w:rFonts w:ascii="Cambria" w:eastAsia="Times New Roman" w:hAnsi="Cambria" w:cs="Times New Roman"/>
          <w:bCs/>
          <w:lang w:eastAsia="en-GB"/>
        </w:rPr>
        <w:t>Reducing instances of reaching the tipping point could be a useful place for targeted interventions and have benefits to long and short term health.</w:t>
      </w:r>
      <w:r w:rsidR="00297275" w:rsidRPr="00552D93">
        <w:rPr>
          <w:rFonts w:ascii="Cambria" w:eastAsia="Times New Roman" w:hAnsi="Cambria" w:cs="Times New Roman"/>
          <w:bCs/>
          <w:lang w:eastAsia="en-GB"/>
        </w:rPr>
        <w:t xml:space="preserve"> </w:t>
      </w:r>
      <w:r w:rsidRPr="00552D93">
        <w:rPr>
          <w:rFonts w:ascii="Cambria" w:eastAsia="Times New Roman" w:hAnsi="Cambria" w:cs="Times New Roman"/>
          <w:bCs/>
          <w:lang w:eastAsia="en-GB"/>
        </w:rPr>
        <w:t>Understanding the motivations to cut down could be a</w:t>
      </w:r>
      <w:r w:rsidR="00ED166E" w:rsidRPr="00552D93">
        <w:rPr>
          <w:rFonts w:ascii="Cambria" w:eastAsia="Times New Roman" w:hAnsi="Cambria" w:cs="Times New Roman"/>
          <w:bCs/>
          <w:lang w:eastAsia="en-GB"/>
        </w:rPr>
        <w:t xml:space="preserve"> way to encourage </w:t>
      </w:r>
      <w:r w:rsidR="0079156A" w:rsidRPr="00552D93">
        <w:rPr>
          <w:rFonts w:ascii="Cambria" w:eastAsia="Times New Roman" w:hAnsi="Cambria" w:cs="Times New Roman"/>
          <w:bCs/>
          <w:lang w:eastAsia="en-GB"/>
        </w:rPr>
        <w:t>moderate alcohol consumption</w:t>
      </w:r>
      <w:r w:rsidR="00ED166E" w:rsidRPr="00552D93">
        <w:rPr>
          <w:rFonts w:ascii="Cambria" w:eastAsia="Times New Roman" w:hAnsi="Cambria" w:cs="Times New Roman"/>
          <w:bCs/>
          <w:lang w:eastAsia="en-GB"/>
        </w:rPr>
        <w:t xml:space="preserve">. For example in a another GDS study, people in higher </w:t>
      </w:r>
      <w:r w:rsidR="00373B28" w:rsidRPr="00552D93">
        <w:rPr>
          <w:rFonts w:ascii="Cambria" w:eastAsia="Times New Roman" w:hAnsi="Cambria" w:cs="Times New Roman"/>
          <w:bCs/>
          <w:lang w:eastAsia="en-GB"/>
        </w:rPr>
        <w:t xml:space="preserve">risk </w:t>
      </w:r>
      <w:r w:rsidR="00ED166E" w:rsidRPr="00552D93">
        <w:rPr>
          <w:rFonts w:ascii="Cambria" w:eastAsia="Times New Roman" w:hAnsi="Cambria" w:cs="Times New Roman"/>
          <w:bCs/>
          <w:lang w:eastAsia="en-GB"/>
        </w:rPr>
        <w:t xml:space="preserve">AUDIT categories were more likely to select motivations to reduce drinking related to violence and mental health issues </w:t>
      </w:r>
      <w:r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&lt;EndNote&gt;&lt;Cite&gt;&lt;Author&gt;Davies&lt;/Author&gt;&lt;Year&gt;2017&lt;/Year&gt;&lt;RecNum&gt;4369&lt;/RecNum&gt;&lt;DisplayText&gt;(Davies et al., 2017)&lt;/DisplayText&gt;&lt;record&gt;&lt;rec-number&gt;4369&lt;/rec-number&gt;&lt;foreign-keys&gt;&lt;key app="EN" db-id="te5rs0t0nprf99ep09vxza050r9t99faf9td" timestamp="1526553820"&gt;4369&lt;/key&gt;&lt;/foreign-keys&gt;&lt;ref-type name="Journal Article"&gt;17&lt;/ref-type&gt;&lt;contributors&gt;&lt;authors&gt;&lt;author&gt;Davies, E. L.&lt;/author&gt;&lt;author&gt;Conroy, Dominic&lt;/author&gt;&lt;author&gt;Winstock, Adam R.&lt;/author&gt;&lt;author&gt;Ferris, J.A&lt;/author&gt;&lt;/authors&gt;&lt;/contributors&gt;&lt;titles&gt;&lt;title&gt;Motivations for reducing alcohol consumption: An international survey exploring experiences that may lead to a change in drinking habits&lt;/title&gt;&lt;secondary-title&gt;Addictive Behaviors&lt;/secondary-title&gt;&lt;/titles&gt;&lt;periodical&gt;&lt;full-title&gt;Addictive Behaviors&lt;/full-title&gt;&lt;/periodical&gt;&lt;pages&gt;40-46&lt;/pages&gt;&lt;volume&gt;75&lt;/volume&gt;&lt;keywords&gt;&lt;keyword&gt;Alcohol&lt;/keyword&gt;&lt;keyword&gt;Reducing drinking&lt;/keyword&gt;&lt;keyword&gt;Behaviour change&lt;/keyword&gt;&lt;keyword&gt;Brief interventions&lt;/keyword&gt;&lt;/keywords&gt;&lt;dates&gt;&lt;year&gt;2017&lt;/year&gt;&lt;pub-dates&gt;&lt;date&gt;2017/12/01/&lt;/date&gt;&lt;/pub-dates&gt;&lt;/dates&gt;&lt;isbn&gt;0306-4603&lt;/isbn&gt;&lt;urls&gt;&lt;related-urls&gt;&lt;url&gt;http://www.sciencedirect.com/science/article/pii/S0306460317302411&lt;/url&gt;&lt;/related-urls&gt;&lt;/urls&gt;&lt;electronic-resource-num&gt;http://dx.doi.org/10.1016/j.addbeh.2017.06.019&lt;/electronic-resource-num&gt;&lt;/record&gt;&lt;/Cite&gt;&lt;/EndNote&gt;</w:instrText>
      </w:r>
      <w:r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(Davies et al., 2017)</w:t>
      </w:r>
      <w:r w:rsidRPr="00552D93">
        <w:rPr>
          <w:rFonts w:ascii="Cambria" w:eastAsia="Times New Roman" w:hAnsi="Cambria" w:cs="Times New Roman"/>
          <w:bCs/>
          <w:lang w:eastAsia="en-GB"/>
        </w:rPr>
        <w:fldChar w:fldCharType="end"/>
      </w:r>
      <w:r w:rsidR="00ED166E"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r w:rsidR="00105F62" w:rsidRPr="00552D93">
        <w:rPr>
          <w:rFonts w:ascii="Cambria" w:eastAsia="Times New Roman" w:hAnsi="Cambria" w:cs="Times New Roman"/>
          <w:bCs/>
          <w:lang w:eastAsia="en-GB"/>
        </w:rPr>
        <w:t>Our data suggests that it is important to target</w:t>
      </w:r>
      <w:r w:rsidR="0079156A" w:rsidRPr="00552D93">
        <w:rPr>
          <w:rFonts w:ascii="Cambria" w:eastAsia="Times New Roman" w:hAnsi="Cambria" w:cs="Times New Roman"/>
          <w:bCs/>
          <w:lang w:eastAsia="en-GB"/>
        </w:rPr>
        <w:t xml:space="preserve"> not only people with</w:t>
      </w:r>
      <w:r w:rsidR="00105F62" w:rsidRPr="00552D93">
        <w:rPr>
          <w:rFonts w:ascii="Cambria" w:eastAsia="Times New Roman" w:hAnsi="Cambria" w:cs="Times New Roman"/>
          <w:bCs/>
          <w:lang w:eastAsia="en-GB"/>
        </w:rPr>
        <w:t xml:space="preserve"> heav</w:t>
      </w:r>
      <w:r w:rsidR="0079156A" w:rsidRPr="00552D93">
        <w:rPr>
          <w:rFonts w:ascii="Cambria" w:eastAsia="Times New Roman" w:hAnsi="Cambria" w:cs="Times New Roman"/>
          <w:bCs/>
          <w:lang w:eastAsia="en-GB"/>
        </w:rPr>
        <w:t>y</w:t>
      </w:r>
      <w:r w:rsidR="00105F62" w:rsidRPr="00552D93">
        <w:rPr>
          <w:rFonts w:ascii="Cambria" w:eastAsia="Times New Roman" w:hAnsi="Cambria" w:cs="Times New Roman"/>
          <w:bCs/>
          <w:lang w:eastAsia="en-GB"/>
        </w:rPr>
        <w:t xml:space="preserve"> drink</w:t>
      </w:r>
      <w:r w:rsidR="0079156A" w:rsidRPr="00552D93">
        <w:rPr>
          <w:rFonts w:ascii="Cambria" w:eastAsia="Times New Roman" w:hAnsi="Cambria" w:cs="Times New Roman"/>
          <w:bCs/>
          <w:lang w:eastAsia="en-GB"/>
        </w:rPr>
        <w:t>ing</w:t>
      </w:r>
      <w:r w:rsidR="00105F62" w:rsidRPr="00552D93">
        <w:rPr>
          <w:rFonts w:ascii="Cambria" w:eastAsia="Times New Roman" w:hAnsi="Cambria" w:cs="Times New Roman"/>
          <w:bCs/>
          <w:lang w:eastAsia="en-GB"/>
        </w:rPr>
        <w:t xml:space="preserve">, but also </w:t>
      </w:r>
      <w:r w:rsidR="0079156A" w:rsidRPr="00552D93">
        <w:rPr>
          <w:rFonts w:ascii="Cambria" w:eastAsia="Times New Roman" w:hAnsi="Cambria" w:cs="Times New Roman"/>
          <w:bCs/>
          <w:lang w:eastAsia="en-GB"/>
        </w:rPr>
        <w:t>people</w:t>
      </w:r>
      <w:r w:rsidR="00105F62" w:rsidRPr="00552D93">
        <w:rPr>
          <w:rFonts w:ascii="Cambria" w:eastAsia="Times New Roman" w:hAnsi="Cambria" w:cs="Times New Roman"/>
          <w:bCs/>
          <w:lang w:eastAsia="en-GB"/>
        </w:rPr>
        <w:t xml:space="preserve"> who reach their tipping point </w:t>
      </w:r>
      <w:r w:rsidR="0079156A" w:rsidRPr="00552D93">
        <w:rPr>
          <w:rFonts w:ascii="Cambria" w:eastAsia="Times New Roman" w:hAnsi="Cambria" w:cs="Times New Roman"/>
          <w:bCs/>
          <w:lang w:eastAsia="en-GB"/>
        </w:rPr>
        <w:t>repeatedly</w:t>
      </w:r>
      <w:r w:rsidR="00105F62" w:rsidRPr="00552D93">
        <w:rPr>
          <w:rFonts w:ascii="Cambria" w:eastAsia="Times New Roman" w:hAnsi="Cambria" w:cs="Times New Roman"/>
          <w:bCs/>
          <w:lang w:eastAsia="en-GB"/>
        </w:rPr>
        <w:t xml:space="preserve">. These </w:t>
      </w:r>
      <w:r w:rsidR="0079156A" w:rsidRPr="00552D93">
        <w:rPr>
          <w:rFonts w:ascii="Cambria" w:eastAsia="Times New Roman" w:hAnsi="Cambria" w:cs="Times New Roman"/>
          <w:bCs/>
          <w:lang w:eastAsia="en-GB"/>
        </w:rPr>
        <w:t xml:space="preserve">people </w:t>
      </w:r>
      <w:r w:rsidR="00105F62" w:rsidRPr="00552D93">
        <w:rPr>
          <w:rFonts w:ascii="Cambria" w:eastAsia="Times New Roman" w:hAnsi="Cambria" w:cs="Times New Roman"/>
          <w:bCs/>
          <w:lang w:eastAsia="en-GB"/>
        </w:rPr>
        <w:t xml:space="preserve">may not reach a threshold AUDIT score that suggests they would benefit from intervention, but their consumption </w:t>
      </w:r>
      <w:r w:rsidR="0079156A" w:rsidRPr="00552D93">
        <w:rPr>
          <w:rFonts w:ascii="Cambria" w:eastAsia="Times New Roman" w:hAnsi="Cambria" w:cs="Times New Roman"/>
          <w:bCs/>
          <w:lang w:eastAsia="en-GB"/>
        </w:rPr>
        <w:t xml:space="preserve">beyond their tipping point </w:t>
      </w:r>
      <w:r w:rsidR="00105F62" w:rsidRPr="00552D93">
        <w:rPr>
          <w:rFonts w:ascii="Cambria" w:eastAsia="Times New Roman" w:hAnsi="Cambria" w:cs="Times New Roman"/>
          <w:bCs/>
          <w:lang w:eastAsia="en-GB"/>
        </w:rPr>
        <w:t xml:space="preserve">may </w:t>
      </w:r>
      <w:r w:rsidR="00B22EDB" w:rsidRPr="00552D93">
        <w:rPr>
          <w:rFonts w:ascii="Cambria" w:eastAsia="Times New Roman" w:hAnsi="Cambria" w:cs="Times New Roman"/>
          <w:bCs/>
          <w:lang w:eastAsia="en-GB"/>
        </w:rPr>
        <w:t>increase the</w:t>
      </w:r>
      <w:r w:rsidR="00105F62" w:rsidRPr="00552D93">
        <w:rPr>
          <w:rFonts w:ascii="Cambria" w:eastAsia="Times New Roman" w:hAnsi="Cambria" w:cs="Times New Roman"/>
          <w:bCs/>
          <w:lang w:eastAsia="en-GB"/>
        </w:rPr>
        <w:t xml:space="preserve"> risk of suffering acute harms.</w:t>
      </w:r>
    </w:p>
    <w:p w14:paraId="34022BC5" w14:textId="329BE338" w:rsidR="00AD602C" w:rsidRPr="00552D93" w:rsidRDefault="006446C4" w:rsidP="003443BC">
      <w:pPr>
        <w:spacing w:before="100" w:beforeAutospacing="1" w:after="100" w:afterAutospacing="1" w:line="480" w:lineRule="auto"/>
        <w:rPr>
          <w:rFonts w:ascii="Cambria" w:eastAsia="Times New Roman" w:hAnsi="Cambria" w:cs="Times New Roman"/>
          <w:bCs/>
          <w:lang w:eastAsia="en-GB"/>
        </w:rPr>
      </w:pPr>
      <w:r w:rsidRPr="00552D93">
        <w:rPr>
          <w:rFonts w:ascii="Cambria" w:eastAsia="Times New Roman" w:hAnsi="Cambria" w:cs="Times New Roman"/>
          <w:bCs/>
          <w:lang w:eastAsia="en-GB"/>
        </w:rPr>
        <w:t>Reaching the t</w:t>
      </w:r>
      <w:r w:rsidR="000C4F73" w:rsidRPr="00552D93">
        <w:rPr>
          <w:rFonts w:ascii="Cambria" w:eastAsia="Times New Roman" w:hAnsi="Cambria" w:cs="Times New Roman"/>
          <w:bCs/>
          <w:lang w:eastAsia="en-GB"/>
        </w:rPr>
        <w:t>ipping point tends to be an unpleasant, negative experience</w:t>
      </w:r>
      <w:r w:rsidR="00F829FD" w:rsidRPr="00552D93">
        <w:rPr>
          <w:rFonts w:ascii="Cambria" w:eastAsia="Times New Roman" w:hAnsi="Cambria" w:cs="Times New Roman"/>
          <w:bCs/>
          <w:lang w:eastAsia="en-GB"/>
        </w:rPr>
        <w:t xml:space="preserve"> </w:t>
      </w:r>
      <w:r w:rsidR="00F4452C"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&lt;EndNote&gt;&lt;Cite&gt;&lt;Author&gt;Burgess&lt;/Author&gt;&lt;Year&gt;2019&lt;/Year&gt;&lt;RecNum&gt;4615&lt;/RecNum&gt;&lt;Prefix&gt;e.g. &lt;/Prefix&gt;&lt;DisplayText&gt;(e.g. Burgess et al., 2019)&lt;/DisplayText&gt;&lt;record&gt;&lt;rec-number&gt;4615&lt;/rec-number&gt;&lt;foreign-keys&gt;&lt;key app="EN" db-id="te5rs0t0nprf99ep09vxza050r9t99faf9td" timestamp="1542191010"&gt;4615&lt;/key&gt;&lt;/foreign-keys&gt;&lt;ref-type name="Journal Article"&gt;17&lt;/ref-type&gt;&lt;contributors&gt;&lt;authors&gt;&lt;author&gt;Burgess, M.&lt;/author&gt;&lt;author&gt;Cooke, R.&lt;/author&gt;&lt;author&gt;Davies, E. L.&lt;/author&gt;&lt;/authors&gt;&lt;/contributors&gt;&lt;titles&gt;&lt;title&gt;My own personal hell: Approaching and exceeding thresholds of too much alcohol&lt;/title&gt;&lt;secondary-title&gt;Psychology &amp;amp; Health&lt;/secondary-title&gt;&lt;/titles&gt;&lt;periodical&gt;&lt;full-title&gt;Psychology &amp;amp; Health&lt;/full-title&gt;&lt;abbr-1&gt;Psychol. Health&lt;/abbr-1&gt;&lt;/periodical&gt;&lt;dates&gt;&lt;year&gt;2019&lt;/year&gt;&lt;/dates&gt;&lt;urls&gt;&lt;/urls&gt;&lt;electronic-resource-num&gt;https://doi.org/10.1080/08870446.2019.1616087&lt;/electronic-resource-num&gt;&lt;/record&gt;&lt;/Cite&gt;&lt;/EndNote&gt;</w:instrText>
      </w:r>
      <w:r w:rsidR="00F4452C"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(e.g. Burgess et al., 2019)</w:t>
      </w:r>
      <w:r w:rsidR="00F4452C" w:rsidRPr="00552D93">
        <w:rPr>
          <w:rFonts w:ascii="Cambria" w:eastAsia="Times New Roman" w:hAnsi="Cambria" w:cs="Times New Roman"/>
          <w:bCs/>
          <w:lang w:eastAsia="en-GB"/>
        </w:rPr>
        <w:fldChar w:fldCharType="end"/>
      </w:r>
      <w:r w:rsidR="00F4452C" w:rsidRPr="00552D93">
        <w:rPr>
          <w:rFonts w:ascii="Cambria" w:eastAsia="Times New Roman" w:hAnsi="Cambria" w:cs="Times New Roman"/>
          <w:bCs/>
          <w:lang w:eastAsia="en-GB"/>
        </w:rPr>
        <w:t xml:space="preserve">. </w:t>
      </w:r>
      <w:r w:rsidR="008F076F" w:rsidRPr="00552D93">
        <w:rPr>
          <w:rFonts w:ascii="Cambria" w:eastAsia="Times New Roman" w:hAnsi="Cambria" w:cs="Times New Roman"/>
          <w:bCs/>
          <w:lang w:eastAsia="en-GB"/>
        </w:rPr>
        <w:t>Tailored intervention</w:t>
      </w:r>
      <w:r w:rsidR="00D31319" w:rsidRPr="00552D93">
        <w:rPr>
          <w:rFonts w:ascii="Cambria" w:eastAsia="Times New Roman" w:hAnsi="Cambria" w:cs="Times New Roman"/>
          <w:bCs/>
          <w:lang w:eastAsia="en-GB"/>
        </w:rPr>
        <w:t xml:space="preserve">s, for </w:t>
      </w:r>
      <w:r w:rsidR="00AD602C" w:rsidRPr="00552D93">
        <w:rPr>
          <w:rFonts w:ascii="Cambria" w:eastAsia="Times New Roman" w:hAnsi="Cambria" w:cs="Times New Roman"/>
          <w:bCs/>
          <w:lang w:eastAsia="en-GB"/>
        </w:rPr>
        <w:t xml:space="preserve">example, ecological momentary interventions (EMI), </w:t>
      </w:r>
      <w:r w:rsidRPr="00552D93">
        <w:rPr>
          <w:rFonts w:ascii="Cambria" w:eastAsia="Times New Roman" w:hAnsi="Cambria" w:cs="Times New Roman"/>
          <w:bCs/>
          <w:lang w:eastAsia="en-GB"/>
        </w:rPr>
        <w:t xml:space="preserve">could be used to help people avoid this state. </w:t>
      </w:r>
      <w:r w:rsidR="00875EAF" w:rsidRPr="00552D93">
        <w:rPr>
          <w:rFonts w:ascii="Cambria" w:eastAsia="Times New Roman" w:hAnsi="Cambria" w:cs="Times New Roman"/>
          <w:bCs/>
          <w:lang w:eastAsia="en-GB"/>
        </w:rPr>
        <w:t xml:space="preserve">A recent study </w:t>
      </w:r>
      <w:r w:rsidR="00DE793D"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&lt;EndNote&gt;&lt;Cite&gt;&lt;Author&gt;Irvine&lt;/Author&gt;&lt;Year&gt;2017&lt;/Year&gt;&lt;RecNum&gt;4774&lt;/RecNum&gt;&lt;IDText&gt;Real Time Monitoring of Engagement with a Text Message Intervention to Reduce Binge Drinking Among Men Living in Socially Disadvantaged Areas of Scotland&lt;/IDText&gt;&lt;DisplayText&gt;(Irvine et al., 2017)&lt;/DisplayText&gt;&lt;record&gt;&lt;rec-number&gt;4774&lt;/rec-number&gt;&lt;foreign-keys&gt;&lt;key app="EN" db-id="te5rs0t0nprf99ep09vxza050r9t99faf9td" timestamp="1560612842"&gt;4774&lt;/key&gt;&lt;/foreign-keys&gt;&lt;ref-type name="Journal Article"&gt;17&lt;/ref-type&gt;&lt;contributors&gt;&lt;authors&gt;&lt;author&gt;Irvine, L.&lt;/author&gt;&lt;author&gt;Melson, A. J.&lt;/author&gt;&lt;author&gt;Williams, B.&lt;/author&gt;&lt;author&gt;Sniehotta, F. F.&lt;/author&gt;&lt;author&gt;McKenzie, A.&lt;/author&gt;&lt;author&gt;Jones, C.&lt;/author&gt;&lt;author&gt;Crombie, I. K.&lt;/author&gt;&lt;/authors&gt;&lt;/contributors&gt;&lt;titles&gt;&lt;title&gt;Real Time Monitoring of Engagement with a Text Message Intervention to Reduce Binge Drinking Among Men Living in Socially Disadvantaged Areas of Scotland&lt;/title&gt;&lt;secondary-title&gt;International Journal of Behavioral Medicine&lt;/secondary-title&gt;&lt;/titles&gt;&lt;periodical&gt;&lt;full-title&gt;International Journal of Behavioral Medicine&lt;/full-title&gt;&lt;/periodical&gt;&lt;pages&gt;713-721&lt;/pages&gt;&lt;volume&gt;24&lt;/volume&gt;&lt;number&gt;5&lt;/number&gt;&lt;dates&gt;&lt;year&gt;2017&lt;/year&gt;&lt;pub-dates&gt;&lt;date&gt;Oct&lt;/date&gt;&lt;/pub-dates&gt;&lt;/dates&gt;&lt;isbn&gt;1070-5503&lt;/isbn&gt;&lt;accession-num&gt;WOS:000411642000009&lt;/accession-num&gt;&lt;urls&gt;&lt;related-urls&gt;&lt;url&gt;&amp;lt;Go to ISI&amp;gt;://WOS:000411642000009&lt;/url&gt;&lt;/related-urls&gt;&lt;/urls&gt;&lt;electronic-resource-num&gt;10.1007/s12529-017-9666-z&lt;/electronic-resource-num&gt;&lt;/record&gt;&lt;/Cite&gt;&lt;/EndNote&gt;</w:instrText>
      </w:r>
      <w:r w:rsidR="00DE793D"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(Irvine et al., 2017)</w:t>
      </w:r>
      <w:r w:rsidR="00DE793D" w:rsidRPr="00552D93">
        <w:rPr>
          <w:rFonts w:ascii="Cambria" w:eastAsia="Times New Roman" w:hAnsi="Cambria" w:cs="Times New Roman"/>
          <w:bCs/>
          <w:lang w:eastAsia="en-GB"/>
        </w:rPr>
        <w:fldChar w:fldCharType="end"/>
      </w:r>
      <w:r w:rsidR="00DE793D" w:rsidRPr="00552D93">
        <w:rPr>
          <w:rFonts w:ascii="Cambria" w:eastAsia="Times New Roman" w:hAnsi="Cambria" w:cs="Times New Roman"/>
          <w:bCs/>
          <w:lang w:eastAsia="en-GB"/>
        </w:rPr>
        <w:t>,</w:t>
      </w:r>
      <w:r w:rsidR="00875EAF" w:rsidRPr="00552D93">
        <w:rPr>
          <w:rFonts w:ascii="Cambria" w:eastAsia="Times New Roman" w:hAnsi="Cambria" w:cs="Times New Roman"/>
          <w:bCs/>
          <w:lang w:eastAsia="en-GB"/>
        </w:rPr>
        <w:t xml:space="preserve"> showed that </w:t>
      </w:r>
      <w:r w:rsidR="00B22EDB" w:rsidRPr="00552D93">
        <w:rPr>
          <w:rFonts w:ascii="Cambria" w:eastAsia="Times New Roman" w:hAnsi="Cambria" w:cs="Times New Roman"/>
          <w:bCs/>
          <w:lang w:eastAsia="en-GB"/>
        </w:rPr>
        <w:t xml:space="preserve">men with </w:t>
      </w:r>
      <w:r w:rsidR="00B22EDB" w:rsidRPr="00552D93">
        <w:rPr>
          <w:rFonts w:ascii="Cambria" w:eastAsia="Times New Roman" w:hAnsi="Cambria" w:cs="Times New Roman"/>
          <w:bCs/>
          <w:lang w:eastAsia="en-GB"/>
        </w:rPr>
        <w:lastRenderedPageBreak/>
        <w:t>risky</w:t>
      </w:r>
      <w:r w:rsidR="00242B15" w:rsidRPr="00552D93">
        <w:rPr>
          <w:rFonts w:ascii="Cambria" w:eastAsia="Times New Roman" w:hAnsi="Cambria" w:cs="Times New Roman"/>
          <w:bCs/>
          <w:lang w:eastAsia="en-GB"/>
        </w:rPr>
        <w:t>drink</w:t>
      </w:r>
      <w:r w:rsidR="00B22EDB" w:rsidRPr="00552D93">
        <w:rPr>
          <w:rFonts w:ascii="Cambria" w:eastAsia="Times New Roman" w:hAnsi="Cambria" w:cs="Times New Roman"/>
          <w:bCs/>
          <w:lang w:eastAsia="en-GB"/>
        </w:rPr>
        <w:t>ing patterns</w:t>
      </w:r>
      <w:r w:rsidR="00242B15" w:rsidRPr="00552D93">
        <w:rPr>
          <w:rFonts w:ascii="Cambria" w:eastAsia="Times New Roman" w:hAnsi="Cambria" w:cs="Times New Roman"/>
          <w:bCs/>
          <w:lang w:eastAsia="en-GB"/>
        </w:rPr>
        <w:t xml:space="preserve"> responded positively in real-time to text messages that delivered behaviour change interventions.</w:t>
      </w:r>
      <w:r w:rsidR="00C45B3F" w:rsidRPr="00552D93">
        <w:rPr>
          <w:rFonts w:ascii="Cambria" w:eastAsia="Times New Roman" w:hAnsi="Cambria" w:cs="Times New Roman"/>
          <w:bCs/>
          <w:lang w:eastAsia="en-GB"/>
        </w:rPr>
        <w:t xml:space="preserve"> More </w:t>
      </w:r>
      <w:r w:rsidR="00D31319" w:rsidRPr="00552D93">
        <w:rPr>
          <w:rFonts w:ascii="Cambria" w:eastAsia="Times New Roman" w:hAnsi="Cambria" w:cs="Times New Roman"/>
          <w:bCs/>
          <w:lang w:eastAsia="en-GB"/>
        </w:rPr>
        <w:t>work on these methods is needed, but they could help</w:t>
      </w:r>
      <w:r w:rsidR="00406EC7" w:rsidRPr="00552D93">
        <w:rPr>
          <w:rFonts w:ascii="Cambria" w:eastAsia="Times New Roman" w:hAnsi="Cambria" w:cs="Times New Roman"/>
          <w:bCs/>
          <w:lang w:eastAsia="en-GB"/>
        </w:rPr>
        <w:t xml:space="preserve"> to prevent</w:t>
      </w:r>
      <w:r w:rsidR="00D31319" w:rsidRPr="00552D93">
        <w:rPr>
          <w:rFonts w:ascii="Cambria" w:eastAsia="Times New Roman" w:hAnsi="Cambria" w:cs="Times New Roman"/>
          <w:bCs/>
          <w:lang w:eastAsia="en-GB"/>
        </w:rPr>
        <w:t xml:space="preserve"> people </w:t>
      </w:r>
      <w:r w:rsidR="00CB3BA7" w:rsidRPr="00552D93">
        <w:rPr>
          <w:rFonts w:ascii="Cambria" w:eastAsia="Times New Roman" w:hAnsi="Cambria" w:cs="Times New Roman"/>
          <w:bCs/>
          <w:lang w:eastAsia="en-GB"/>
        </w:rPr>
        <w:t>from exceeding</w:t>
      </w:r>
      <w:r w:rsidR="00406EC7" w:rsidRPr="00552D93">
        <w:rPr>
          <w:rFonts w:ascii="Cambria" w:eastAsia="Times New Roman" w:hAnsi="Cambria" w:cs="Times New Roman"/>
          <w:bCs/>
          <w:lang w:eastAsia="en-GB"/>
        </w:rPr>
        <w:t xml:space="preserve"> </w:t>
      </w:r>
      <w:r w:rsidR="00C210A4" w:rsidRPr="00552D93">
        <w:rPr>
          <w:rFonts w:ascii="Cambria" w:eastAsia="Times New Roman" w:hAnsi="Cambria" w:cs="Times New Roman"/>
          <w:bCs/>
          <w:lang w:eastAsia="en-GB"/>
        </w:rPr>
        <w:t>their tipping point.</w:t>
      </w:r>
      <w:r w:rsidR="00297275" w:rsidRPr="00552D93">
        <w:rPr>
          <w:rFonts w:ascii="Cambria" w:eastAsia="Times New Roman" w:hAnsi="Cambria" w:cs="Times New Roman"/>
          <w:bCs/>
          <w:lang w:eastAsia="en-GB"/>
        </w:rPr>
        <w:t xml:space="preserve"> </w:t>
      </w:r>
      <w:r w:rsidR="00DC0E1F" w:rsidRPr="00552D93">
        <w:rPr>
          <w:rFonts w:ascii="Cambria" w:eastAsia="Times New Roman" w:hAnsi="Cambria" w:cs="Times New Roman"/>
          <w:bCs/>
          <w:lang w:eastAsia="en-GB"/>
        </w:rPr>
        <w:t>In future th</w:t>
      </w:r>
      <w:r w:rsidR="006F3277" w:rsidRPr="00552D93">
        <w:rPr>
          <w:rFonts w:ascii="Cambria" w:eastAsia="Times New Roman" w:hAnsi="Cambria" w:cs="Times New Roman"/>
          <w:bCs/>
          <w:lang w:eastAsia="en-GB"/>
        </w:rPr>
        <w:t xml:space="preserve">e role of wearable technologies, such as transdermal measuring devices, or mobile phone data </w:t>
      </w:r>
      <w:r w:rsidR="001530C8"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&lt;EndNote&gt;&lt;Cite&gt;&lt;Author&gt;Piasecki&lt;/Author&gt;&lt;Year&gt;2019&lt;/Year&gt;&lt;RecNum&gt;4876&lt;/RecNum&gt;&lt;DisplayText&gt;(Piasecki, 2019)&lt;/DisplayText&gt;&lt;record&gt;&lt;rec-number&gt;4876&lt;/rec-number&gt;&lt;foreign-keys&gt;&lt;key app="EN" db-id="te5rs0t0nprf99ep09vxza050r9t99faf9td" timestamp="1582719740"&gt;4876&lt;/key&gt;&lt;/foreign-keys&gt;&lt;ref-type name="Journal Article"&gt;17&lt;/ref-type&gt;&lt;contributors&gt;&lt;authors&gt;&lt;author&gt;Piasecki, Thomas M.&lt;/author&gt;&lt;/authors&gt;&lt;/contributors&gt;&lt;titles&gt;&lt;title&gt;Assessment of Alcohol Use in the Natural Environment&lt;/title&gt;&lt;secondary-title&gt;Alcoholism: Clinical and Experimental Research&lt;/secondary-title&gt;&lt;/titles&gt;&lt;periodical&gt;&lt;full-title&gt;Alcoholism: Clinical and Experimental Research&lt;/full-title&gt;&lt;/periodical&gt;&lt;pages&gt;564-577&lt;/pages&gt;&lt;volume&gt;43&lt;/volume&gt;&lt;number&gt;4&lt;/number&gt;&lt;dates&gt;&lt;year&gt;2019&lt;/year&gt;&lt;/dates&gt;&lt;isbn&gt;0145-6008&lt;/isbn&gt;&lt;urls&gt;&lt;related-urls&gt;&lt;url&gt;https://onlinelibrary.wiley.com/doi/abs/10.1111/acer.13975&lt;/url&gt;&lt;/related-urls&gt;&lt;/urls&gt;&lt;electronic-resource-num&gt;10.1111/acer.13975&lt;/electronic-resource-num&gt;&lt;/record&gt;&lt;/Cite&gt;&lt;/EndNote&gt;</w:instrText>
      </w:r>
      <w:r w:rsidR="001530C8" w:rsidRPr="00552D93">
        <w:rPr>
          <w:rFonts w:ascii="Cambria" w:eastAsia="Times New Roman" w:hAnsi="Cambria" w:cs="Times New Roman"/>
          <w:bCs/>
          <w:lang w:eastAsia="en-GB"/>
        </w:rPr>
        <w:fldChar w:fldCharType="separate"/>
      </w:r>
      <w:r w:rsidR="001530C8" w:rsidRPr="00552D93">
        <w:rPr>
          <w:rFonts w:ascii="Cambria" w:eastAsia="Times New Roman" w:hAnsi="Cambria" w:cs="Times New Roman"/>
          <w:bCs/>
          <w:noProof/>
          <w:lang w:eastAsia="en-GB"/>
        </w:rPr>
        <w:t>(Piasecki, 2019)</w:t>
      </w:r>
      <w:r w:rsidR="001530C8" w:rsidRPr="00552D93">
        <w:rPr>
          <w:rFonts w:ascii="Cambria" w:eastAsia="Times New Roman" w:hAnsi="Cambria" w:cs="Times New Roman"/>
          <w:bCs/>
          <w:lang w:eastAsia="en-GB"/>
        </w:rPr>
        <w:fldChar w:fldCharType="end"/>
      </w:r>
      <w:r w:rsidR="006F3277" w:rsidRPr="00552D93">
        <w:rPr>
          <w:rFonts w:ascii="Cambria" w:eastAsia="Times New Roman" w:hAnsi="Cambria" w:cs="Times New Roman"/>
          <w:bCs/>
          <w:lang w:eastAsia="en-GB"/>
        </w:rPr>
        <w:t xml:space="preserve"> </w:t>
      </w:r>
      <w:r w:rsidR="00DC0E1F" w:rsidRPr="00552D93">
        <w:rPr>
          <w:rFonts w:ascii="Cambria" w:eastAsia="Times New Roman" w:hAnsi="Cambria" w:cs="Times New Roman"/>
          <w:bCs/>
          <w:lang w:eastAsia="en-GB"/>
        </w:rPr>
        <w:t xml:space="preserve">could be used to flag </w:t>
      </w:r>
      <w:r w:rsidR="00B22EDB" w:rsidRPr="00552D93">
        <w:rPr>
          <w:rFonts w:ascii="Cambria" w:eastAsia="Times New Roman" w:hAnsi="Cambria" w:cs="Times New Roman"/>
          <w:bCs/>
          <w:lang w:eastAsia="en-GB"/>
        </w:rPr>
        <w:t xml:space="preserve">if </w:t>
      </w:r>
      <w:r w:rsidR="00DC0E1F" w:rsidRPr="00552D93">
        <w:rPr>
          <w:rFonts w:ascii="Cambria" w:eastAsia="Times New Roman" w:hAnsi="Cambria" w:cs="Times New Roman"/>
          <w:bCs/>
          <w:lang w:eastAsia="en-GB"/>
        </w:rPr>
        <w:t xml:space="preserve">a person </w:t>
      </w:r>
      <w:r w:rsidR="00B22EDB" w:rsidRPr="00552D93">
        <w:rPr>
          <w:rFonts w:ascii="Cambria" w:eastAsia="Times New Roman" w:hAnsi="Cambria" w:cs="Times New Roman"/>
          <w:bCs/>
          <w:lang w:eastAsia="en-GB"/>
        </w:rPr>
        <w:t>approaches</w:t>
      </w:r>
      <w:r w:rsidR="00DC0E1F" w:rsidRPr="00552D93">
        <w:rPr>
          <w:rFonts w:ascii="Cambria" w:eastAsia="Times New Roman" w:hAnsi="Cambria" w:cs="Times New Roman"/>
          <w:bCs/>
          <w:lang w:eastAsia="en-GB"/>
        </w:rPr>
        <w:t xml:space="preserve"> their tipping point an</w:t>
      </w:r>
      <w:r w:rsidR="006F3277" w:rsidRPr="00552D93">
        <w:rPr>
          <w:rFonts w:ascii="Cambria" w:eastAsia="Times New Roman" w:hAnsi="Cambria" w:cs="Times New Roman"/>
          <w:bCs/>
          <w:lang w:eastAsia="en-GB"/>
        </w:rPr>
        <w:t>d then</w:t>
      </w:r>
      <w:r w:rsidR="00DC0E1F" w:rsidRPr="00552D93">
        <w:rPr>
          <w:rFonts w:ascii="Cambria" w:eastAsia="Times New Roman" w:hAnsi="Cambria" w:cs="Times New Roman"/>
          <w:bCs/>
          <w:lang w:eastAsia="en-GB"/>
        </w:rPr>
        <w:t xml:space="preserve"> alert them to the need to slow down, or stop their consumption.</w:t>
      </w:r>
    </w:p>
    <w:p w14:paraId="00875565" w14:textId="75475BC1" w:rsidR="00AC74DB" w:rsidRPr="00552D93" w:rsidRDefault="0025086D" w:rsidP="00AC74DB">
      <w:pPr>
        <w:spacing w:before="100" w:beforeAutospacing="1" w:after="100" w:afterAutospacing="1" w:line="480" w:lineRule="auto"/>
        <w:rPr>
          <w:rFonts w:ascii="Cambria" w:eastAsia="Times New Roman" w:hAnsi="Cambria" w:cs="Times New Roman"/>
          <w:bCs/>
          <w:lang w:eastAsia="en-GB"/>
        </w:rPr>
      </w:pPr>
      <w:r w:rsidRPr="00552D93">
        <w:rPr>
          <w:rFonts w:ascii="Cambria" w:eastAsia="Times New Roman" w:hAnsi="Cambria" w:cs="Times New Roman"/>
          <w:bCs/>
          <w:lang w:eastAsia="en-GB"/>
        </w:rPr>
        <w:t>In addition to individual-level interventions it is also worth considering the</w:t>
      </w:r>
      <w:r w:rsidR="000C4425" w:rsidRPr="00552D93">
        <w:rPr>
          <w:rFonts w:ascii="Cambria" w:eastAsia="Times New Roman" w:hAnsi="Cambria" w:cs="Times New Roman"/>
          <w:bCs/>
          <w:lang w:eastAsia="en-GB"/>
        </w:rPr>
        <w:t xml:space="preserve"> message</w:t>
      </w:r>
      <w:r w:rsidRPr="00552D93">
        <w:rPr>
          <w:rFonts w:ascii="Cambria" w:eastAsia="Times New Roman" w:hAnsi="Cambria" w:cs="Times New Roman"/>
          <w:bCs/>
          <w:lang w:eastAsia="en-GB"/>
        </w:rPr>
        <w:t>s about alcohol that are currently promoted in public health campaigns.</w:t>
      </w:r>
      <w:r w:rsidR="00B850A7" w:rsidRPr="00552D93">
        <w:rPr>
          <w:rFonts w:ascii="Cambria" w:eastAsia="Times New Roman" w:hAnsi="Cambria" w:cs="Times New Roman"/>
          <w:bCs/>
          <w:lang w:eastAsia="en-GB"/>
        </w:rPr>
        <w:t xml:space="preserve"> Most messages </w:t>
      </w:r>
      <w:r w:rsidR="000823E1" w:rsidRPr="00552D93">
        <w:rPr>
          <w:rFonts w:ascii="Cambria" w:eastAsia="Times New Roman" w:hAnsi="Cambria" w:cs="Times New Roman"/>
          <w:bCs/>
          <w:lang w:eastAsia="en-GB"/>
        </w:rPr>
        <w:t xml:space="preserve">(promoted by alcohol industry) </w:t>
      </w:r>
      <w:r w:rsidR="00B850A7" w:rsidRPr="00552D93">
        <w:rPr>
          <w:rFonts w:ascii="Cambria" w:eastAsia="Times New Roman" w:hAnsi="Cambria" w:cs="Times New Roman"/>
          <w:bCs/>
          <w:lang w:eastAsia="en-GB"/>
        </w:rPr>
        <w:t>advocate ‘responsible’</w:t>
      </w:r>
      <w:r w:rsidR="00406EC7" w:rsidRPr="00552D93">
        <w:rPr>
          <w:rFonts w:ascii="Cambria" w:eastAsia="Times New Roman" w:hAnsi="Cambria" w:cs="Times New Roman"/>
          <w:bCs/>
          <w:lang w:eastAsia="en-GB"/>
        </w:rPr>
        <w:t>, ‘moderate’</w:t>
      </w:r>
      <w:r w:rsidR="00B850A7" w:rsidRPr="00552D93">
        <w:rPr>
          <w:rFonts w:ascii="Cambria" w:eastAsia="Times New Roman" w:hAnsi="Cambria" w:cs="Times New Roman"/>
          <w:bCs/>
          <w:lang w:eastAsia="en-GB"/>
        </w:rPr>
        <w:t xml:space="preserve"> or ‘safe’ drinking with reference to national drinking guidelines</w:t>
      </w:r>
      <w:r w:rsidR="004C324E"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r w:rsidR="00B22EDB" w:rsidRPr="00552D93">
        <w:rPr>
          <w:rFonts w:ascii="Cambria" w:eastAsia="Times New Roman" w:hAnsi="Cambria" w:cs="Times New Roman"/>
          <w:bCs/>
          <w:lang w:eastAsia="en-GB"/>
        </w:rPr>
        <w:t>I</w:t>
      </w:r>
      <w:r w:rsidR="00CB3BA7" w:rsidRPr="00552D93">
        <w:rPr>
          <w:rFonts w:ascii="Cambria" w:eastAsia="Times New Roman" w:hAnsi="Cambria" w:cs="Times New Roman"/>
          <w:bCs/>
          <w:lang w:eastAsia="en-GB"/>
        </w:rPr>
        <w:t xml:space="preserve">n Australia, the alcohol industry </w:t>
      </w:r>
      <w:r w:rsidR="00B22EDB" w:rsidRPr="00552D93">
        <w:rPr>
          <w:rFonts w:ascii="Cambria" w:eastAsia="Times New Roman" w:hAnsi="Cambria" w:cs="Times New Roman"/>
          <w:bCs/>
          <w:lang w:eastAsia="en-GB"/>
        </w:rPr>
        <w:t xml:space="preserve">is </w:t>
      </w:r>
      <w:r w:rsidR="00CB3BA7" w:rsidRPr="00552D93">
        <w:rPr>
          <w:rFonts w:ascii="Cambria" w:eastAsia="Times New Roman" w:hAnsi="Cambria" w:cs="Times New Roman"/>
          <w:bCs/>
          <w:lang w:eastAsia="en-GB"/>
        </w:rPr>
        <w:t>currently lobb</w:t>
      </w:r>
      <w:r w:rsidR="006A54DE" w:rsidRPr="00552D93">
        <w:rPr>
          <w:rFonts w:ascii="Cambria" w:eastAsia="Times New Roman" w:hAnsi="Cambria" w:cs="Times New Roman"/>
          <w:bCs/>
          <w:lang w:eastAsia="en-GB"/>
        </w:rPr>
        <w:t>y</w:t>
      </w:r>
      <w:r w:rsidR="00CB3BA7" w:rsidRPr="00552D93">
        <w:rPr>
          <w:rFonts w:ascii="Cambria" w:eastAsia="Times New Roman" w:hAnsi="Cambria" w:cs="Times New Roman"/>
          <w:bCs/>
          <w:lang w:eastAsia="en-GB"/>
        </w:rPr>
        <w:t xml:space="preserve">ing for </w:t>
      </w:r>
      <w:r w:rsidR="00B22EDB" w:rsidRPr="00552D93">
        <w:rPr>
          <w:rFonts w:ascii="Cambria" w:eastAsia="Times New Roman" w:hAnsi="Cambria" w:cs="Times New Roman"/>
          <w:bCs/>
          <w:lang w:eastAsia="en-GB"/>
        </w:rPr>
        <w:t xml:space="preserve">adjusting the </w:t>
      </w:r>
      <w:r w:rsidR="00CB3BA7" w:rsidRPr="00552D93">
        <w:rPr>
          <w:rFonts w:ascii="Cambria" w:eastAsia="Times New Roman" w:hAnsi="Cambria" w:cs="Times New Roman"/>
          <w:bCs/>
          <w:lang w:eastAsia="en-GB"/>
        </w:rPr>
        <w:t xml:space="preserve">guidelines </w:t>
      </w:r>
      <w:r w:rsidR="00B22EDB" w:rsidRPr="00552D93">
        <w:rPr>
          <w:rFonts w:ascii="Cambria" w:eastAsia="Times New Roman" w:hAnsi="Cambria" w:cs="Times New Roman"/>
          <w:bCs/>
          <w:lang w:eastAsia="en-GB"/>
        </w:rPr>
        <w:t>to include</w:t>
      </w:r>
      <w:r w:rsidR="00CB3BA7" w:rsidRPr="00552D93">
        <w:rPr>
          <w:rFonts w:ascii="Cambria" w:eastAsia="Times New Roman" w:hAnsi="Cambria" w:cs="Times New Roman"/>
          <w:bCs/>
          <w:lang w:eastAsia="en-GB"/>
        </w:rPr>
        <w:t xml:space="preserve"> pleasurable benefits of drinking. </w:t>
      </w:r>
      <w:r w:rsidR="00AC74DB" w:rsidRPr="00552D93">
        <w:rPr>
          <w:rFonts w:ascii="Cambria" w:hAnsi="Cambria"/>
        </w:rPr>
        <w:t>Communicating guidelines</w:t>
      </w:r>
      <w:r w:rsidR="00CB3BA7" w:rsidRPr="00552D93">
        <w:rPr>
          <w:rFonts w:ascii="Cambria" w:hAnsi="Cambria"/>
        </w:rPr>
        <w:t xml:space="preserve"> therefore</w:t>
      </w:r>
      <w:r w:rsidR="00AC74DB" w:rsidRPr="00552D93">
        <w:rPr>
          <w:rFonts w:ascii="Cambria" w:hAnsi="Cambria"/>
        </w:rPr>
        <w:t xml:space="preserve"> involves a delicate balance between pragmatic concerns and scientific evidence </w:t>
      </w:r>
      <w:r w:rsidR="00AC74DB" w:rsidRPr="00552D93">
        <w:rPr>
          <w:rFonts w:ascii="Cambria" w:hAnsi="Cambria"/>
        </w:rPr>
        <w:fldChar w:fldCharType="begin"/>
      </w:r>
      <w:r w:rsidR="001530C8" w:rsidRPr="00552D93">
        <w:rPr>
          <w:rFonts w:ascii="Cambria" w:hAnsi="Cambria"/>
        </w:rPr>
        <w:instrText xml:space="preserve"> ADDIN EN.CITE &lt;EndNote&gt;&lt;Cite&gt;&lt;Author&gt;Holmes&lt;/Author&gt;&lt;Year&gt;2019&lt;/Year&gt;&lt;RecNum&gt;4723&lt;/RecNum&gt;&lt;DisplayText&gt;(Holmes, Angus, Meier, Buykx, &amp;amp; Brennan, 2019)&lt;/DisplayText&gt;&lt;record&gt;&lt;rec-number&gt;4723&lt;/rec-number&gt;&lt;foreign-keys&gt;&lt;key app="EN" db-id="te5rs0t0nprf99ep09vxza050r9t99faf9td" timestamp="1553083121"&gt;4723&lt;/key&gt;&lt;/foreign-keys&gt;&lt;ref-type name="Journal Article"&gt;17&lt;/ref-type&gt;&lt;contributors&gt;&lt;authors&gt;&lt;author&gt;Holmes, John&lt;/author&gt;&lt;author&gt;Angus, Colin&lt;/author&gt;&lt;author&gt;Meier, Petra S.&lt;/author&gt;&lt;author&gt;Buykx, Penny&lt;/author&gt;&lt;author&gt;Brennan, Alan&lt;/author&gt;&lt;/authors&gt;&lt;/contributors&gt;&lt;titles&gt;&lt;title&gt;How should we set consumption thresholds for low risk drinking guidelines? Achieving objectivity and transparency using evidence, expert judgement and pragmatism&lt;/title&gt;&lt;secondary-title&gt;Addiction&lt;/secondary-title&gt;&lt;/titles&gt;&lt;periodical&gt;&lt;full-title&gt;Addiction&lt;/full-title&gt;&lt;abbr-1&gt;Addiction&lt;/abbr-1&gt;&lt;/periodical&gt;&lt;pages&gt;590-600&lt;/pages&gt;&lt;volume&gt;114&lt;/volume&gt;&lt;number&gt;4&lt;/number&gt;&lt;keywords&gt;&lt;keyword&gt;Alcohol&lt;/keyword&gt;&lt;keyword&gt;complex interventions&lt;/keyword&gt;&lt;keyword&gt;drinking guidelines&lt;/keyword&gt;&lt;keyword&gt;guideline development&lt;/keyword&gt;&lt;keyword&gt;health promotion&lt;/keyword&gt;&lt;keyword&gt;risk&lt;/keyword&gt;&lt;/keywords&gt;&lt;dates&gt;&lt;year&gt;2019&lt;/year&gt;&lt;pub-dates&gt;&lt;date&gt;2019/04/01&lt;/date&gt;&lt;/pub-dates&gt;&lt;/dates&gt;&lt;publisher&gt;John Wiley &amp;amp; Sons, Ltd (10.1111)&lt;/publisher&gt;&lt;isbn&gt;0965-2140&lt;/isbn&gt;&lt;urls&gt;&lt;related-urls&gt;&lt;url&gt;https://doi.org/10.1111/add.14381&lt;/url&gt;&lt;/related-urls&gt;&lt;/urls&gt;&lt;electronic-resource-num&gt;10.1111/add.14381&lt;/electronic-resource-num&gt;&lt;access-date&gt;2019/03/15&lt;/access-date&gt;&lt;/record&gt;&lt;/Cite&gt;&lt;/EndNote&gt;</w:instrText>
      </w:r>
      <w:r w:rsidR="00AC74DB" w:rsidRPr="00552D93">
        <w:rPr>
          <w:rFonts w:ascii="Cambria" w:hAnsi="Cambria"/>
        </w:rPr>
        <w:fldChar w:fldCharType="separate"/>
      </w:r>
      <w:r w:rsidR="003E489A" w:rsidRPr="00552D93">
        <w:rPr>
          <w:rFonts w:ascii="Cambria" w:hAnsi="Cambria"/>
          <w:noProof/>
        </w:rPr>
        <w:t>(Holmes, Angus, Meier, Buykx, &amp; Brennan, 2019)</w:t>
      </w:r>
      <w:r w:rsidR="00AC74DB" w:rsidRPr="00552D93">
        <w:rPr>
          <w:rFonts w:ascii="Cambria" w:hAnsi="Cambria"/>
        </w:rPr>
        <w:fldChar w:fldCharType="end"/>
      </w:r>
      <w:r w:rsidR="00AC74DB" w:rsidRPr="00552D93">
        <w:rPr>
          <w:rFonts w:ascii="Cambria" w:hAnsi="Cambria"/>
        </w:rPr>
        <w:t xml:space="preserve">. A pragmatic concern is that </w:t>
      </w:r>
      <w:r w:rsidR="00AC74DB" w:rsidRPr="00552D93">
        <w:rPr>
          <w:rFonts w:ascii="Cambria" w:eastAsia="Times New Roman" w:hAnsi="Cambria" w:cs="Times New Roman"/>
          <w:bCs/>
          <w:lang w:eastAsia="en-GB"/>
        </w:rPr>
        <w:t xml:space="preserve">many </w:t>
      </w:r>
      <w:r w:rsidR="00406EC7" w:rsidRPr="00552D93">
        <w:rPr>
          <w:rFonts w:ascii="Cambria" w:eastAsia="Times New Roman" w:hAnsi="Cambria" w:cs="Times New Roman"/>
          <w:bCs/>
          <w:lang w:eastAsia="en-GB"/>
        </w:rPr>
        <w:t xml:space="preserve">people who drink alcohol </w:t>
      </w:r>
      <w:r w:rsidR="00AC74DB" w:rsidRPr="00552D93">
        <w:rPr>
          <w:rFonts w:ascii="Cambria" w:hAnsi="Cambria"/>
        </w:rPr>
        <w:t xml:space="preserve">exceed </w:t>
      </w:r>
      <w:r w:rsidR="00406EC7" w:rsidRPr="00552D93">
        <w:rPr>
          <w:rFonts w:ascii="Cambria" w:hAnsi="Cambria"/>
        </w:rPr>
        <w:t xml:space="preserve">the recommended amounts provided in the </w:t>
      </w:r>
      <w:r w:rsidR="00AC74DB" w:rsidRPr="00552D93">
        <w:rPr>
          <w:rFonts w:ascii="Cambria" w:hAnsi="Cambria"/>
        </w:rPr>
        <w:t xml:space="preserve">guidelines </w:t>
      </w:r>
      <w:r w:rsidR="00AC74DB" w:rsidRPr="00552D93">
        <w:rPr>
          <w:rFonts w:ascii="Cambria" w:hAnsi="Cambria"/>
        </w:rPr>
        <w:fldChar w:fldCharType="begin"/>
      </w:r>
      <w:r w:rsidR="001530C8" w:rsidRPr="00552D93">
        <w:rPr>
          <w:rFonts w:ascii="Cambria" w:hAnsi="Cambria"/>
        </w:rPr>
        <w:instrText xml:space="preserve"> ADDIN EN.CITE &lt;EndNote&gt;&lt;Cite&gt;&lt;Author&gt;Knott&lt;/Author&gt;&lt;Year&gt;2013&lt;/Year&gt;&lt;RecNum&gt;1069&lt;/RecNum&gt;&lt;DisplayText&gt;(Knott, Scholes, &amp;amp; Shelton, 2013)&lt;/DisplayText&gt;&lt;record&gt;&lt;rec-number&gt;1069&lt;/rec-number&gt;&lt;foreign-keys&gt;&lt;key app="EN" db-id="te5rs0t0nprf99ep09vxza050r9t99faf9td" timestamp="1526553275"&gt;1069&lt;/key&gt;&lt;/foreign-keys&gt;&lt;ref-type name="Journal Article"&gt;17&lt;/ref-type&gt;&lt;contributors&gt;&lt;authors&gt;&lt;author&gt;Knott, C. S.&lt;/author&gt;&lt;author&gt;Scholes, S.&lt;/author&gt;&lt;author&gt;Shelton, N. J.&lt;/author&gt;&lt;/authors&gt;&lt;/contributors&gt;&lt;titles&gt;&lt;title&gt;Could more than three million older people in England be at risk of alcohol-related harm? A cross-sectional analysis of proposed age-specific drinking limits&lt;/title&gt;&lt;secondary-title&gt;Age Ageing&lt;/secondary-title&gt;&lt;/titles&gt;&lt;periodical&gt;&lt;full-title&gt;Age Ageing&lt;/full-title&gt;&lt;/periodical&gt;&lt;volume&gt;42&lt;/volume&gt;&lt;dates&gt;&lt;year&gt;2013&lt;/year&gt;&lt;/dates&gt;&lt;label&gt;Knott2013&lt;/label&gt;&lt;urls&gt;&lt;related-urls&gt;&lt;url&gt;http://dx.doi.org/10.1093/ageing/aft039&lt;/url&gt;&lt;/related-urls&gt;&lt;/urls&gt;&lt;electronic-resource-num&gt;10.1093/ageing/aft039&lt;/electronic-resource-num&gt;&lt;/record&gt;&lt;/Cite&gt;&lt;/EndNote&gt;</w:instrText>
      </w:r>
      <w:r w:rsidR="00AC74DB" w:rsidRPr="00552D93">
        <w:rPr>
          <w:rFonts w:ascii="Cambria" w:hAnsi="Cambria"/>
        </w:rPr>
        <w:fldChar w:fldCharType="separate"/>
      </w:r>
      <w:r w:rsidR="003E489A" w:rsidRPr="00552D93">
        <w:rPr>
          <w:rFonts w:ascii="Cambria" w:hAnsi="Cambria"/>
          <w:noProof/>
        </w:rPr>
        <w:t>(Knott, Scholes, &amp; Shelton, 2013)</w:t>
      </w:r>
      <w:r w:rsidR="00AC74DB" w:rsidRPr="00552D93">
        <w:rPr>
          <w:rFonts w:ascii="Cambria" w:hAnsi="Cambria"/>
        </w:rPr>
        <w:fldChar w:fldCharType="end"/>
      </w:r>
      <w:r w:rsidR="00AC74DB" w:rsidRPr="00552D93">
        <w:rPr>
          <w:rFonts w:ascii="Cambria" w:hAnsi="Cambria"/>
        </w:rPr>
        <w:t xml:space="preserve">, which could reflect a lack of awareness of guidelines </w:t>
      </w:r>
      <w:r w:rsidR="00AC74DB" w:rsidRPr="00552D93">
        <w:rPr>
          <w:rFonts w:ascii="Cambria" w:hAnsi="Cambria"/>
        </w:rPr>
        <w:fldChar w:fldCharType="begin"/>
      </w:r>
      <w:r w:rsidR="001530C8" w:rsidRPr="00552D93">
        <w:rPr>
          <w:rFonts w:ascii="Cambria" w:hAnsi="Cambria"/>
        </w:rPr>
        <w:instrText xml:space="preserve"> ADDIN EN.CITE &lt;EndNote&gt;&lt;Cite&gt;&lt;Author&gt;Buykx&lt;/Author&gt;&lt;Year&gt;2018&lt;/Year&gt;&lt;RecNum&gt;4355&lt;/RecNum&gt;&lt;DisplayText&gt;(Buykx et al., 2018)&lt;/DisplayText&gt;&lt;record&gt;&lt;rec-number&gt;4355&lt;/rec-number&gt;&lt;foreign-keys&gt;&lt;key app="EN" db-id="te5rs0t0nprf99ep09vxza050r9t99faf9td" timestamp="1526553819"&gt;4355&lt;/key&gt;&lt;/foreign-keys&gt;&lt;ref-type name="Journal Article"&gt;17&lt;/ref-type&gt;&lt;contributors&gt;&lt;authors&gt;&lt;author&gt;Buykx, Penny&lt;/author&gt;&lt;author&gt;Li, Jessica&lt;/author&gt;&lt;author&gt;Gavens, Lucy&lt;/author&gt;&lt;author&gt;Hooper, Lucie&lt;/author&gt;&lt;author&gt;Gomes de Matos, Elena&lt;/author&gt;&lt;author&gt;Holmes, John&lt;/author&gt;&lt;/authors&gt;&lt;/contributors&gt;&lt;titles&gt;&lt;title&gt;Self-Reported Knowledge, Correct Knowledge and use of UK Drinking Guidelines Among a Representative Sample of the English Population&lt;/title&gt;&lt;secondary-title&gt;Alcohol and Alcoholism&lt;/secondary-title&gt;&lt;/titles&gt;&lt;periodical&gt;&lt;full-title&gt;Alcohol and Alcoholism&lt;/full-title&gt;&lt;/periodical&gt;&lt;dates&gt;&lt;year&gt;2018&lt;/year&gt;&lt;/dates&gt;&lt;isbn&gt;0735-0414&lt;/isbn&gt;&lt;urls&gt;&lt;related-urls&gt;&lt;url&gt;http://dx.doi.org/10.1093/alcalc/agx127&lt;/url&gt;&lt;/related-urls&gt;&lt;/urls&gt;&lt;electronic-resource-num&gt;10.1093/alcalc/agx127&lt;/electronic-resource-num&gt;&lt;/record&gt;&lt;/Cite&gt;&lt;/EndNote&gt;</w:instrText>
      </w:r>
      <w:r w:rsidR="00AC74DB" w:rsidRPr="00552D93">
        <w:rPr>
          <w:rFonts w:ascii="Cambria" w:hAnsi="Cambria"/>
        </w:rPr>
        <w:fldChar w:fldCharType="separate"/>
      </w:r>
      <w:r w:rsidR="003E489A" w:rsidRPr="00552D93">
        <w:rPr>
          <w:rFonts w:ascii="Cambria" w:hAnsi="Cambria"/>
          <w:noProof/>
        </w:rPr>
        <w:t>(Buykx et al., 2018)</w:t>
      </w:r>
      <w:r w:rsidR="00AC74DB" w:rsidRPr="00552D93">
        <w:rPr>
          <w:rFonts w:ascii="Cambria" w:hAnsi="Cambria"/>
        </w:rPr>
        <w:fldChar w:fldCharType="end"/>
      </w:r>
      <w:r w:rsidR="00AC74DB" w:rsidRPr="00552D93">
        <w:rPr>
          <w:rFonts w:ascii="Cambria" w:hAnsi="Cambria"/>
        </w:rPr>
        <w:t xml:space="preserve"> or rejection of guidelines as relevant for their drinking </w:t>
      </w:r>
      <w:r w:rsidR="00AC74DB" w:rsidRPr="00552D93">
        <w:rPr>
          <w:rFonts w:ascii="Cambria" w:hAnsi="Cambria"/>
        </w:rPr>
        <w:fldChar w:fldCharType="begin"/>
      </w:r>
      <w:r w:rsidR="001530C8" w:rsidRPr="00552D93">
        <w:rPr>
          <w:rFonts w:ascii="Cambria" w:hAnsi="Cambria"/>
        </w:rPr>
        <w:instrText xml:space="preserve"> ADDIN EN.CITE &lt;EndNote&gt;&lt;Cite&gt;&lt;Author&gt;Lovatt&lt;/Author&gt;&lt;Year&gt;2015&lt;/Year&gt;&lt;RecNum&gt;4115&lt;/RecNum&gt;&lt;DisplayText&gt;(Lovatt et al., 2015)&lt;/DisplayText&gt;&lt;record&gt;&lt;rec-number&gt;4115&lt;/rec-number&gt;&lt;foreign-keys&gt;&lt;key app="EN" db-id="te5rs0t0nprf99ep09vxza050r9t99faf9td" timestamp="1526553793"&gt;4115&lt;/key&gt;&lt;/foreign-keys&gt;&lt;ref-type name="Journal Article"&gt;17&lt;/ref-type&gt;&lt;contributors&gt;&lt;authors&gt;&lt;author&gt;Lovatt, Melanie&lt;/author&gt;&lt;author&gt;Eadie, Douglas&lt;/author&gt;&lt;author&gt;Meier, Petra S.&lt;/author&gt;&lt;author&gt;Li, Jessica&lt;/author&gt;&lt;author&gt;Bauld, Linda&lt;/author&gt;&lt;author&gt;Hastings, Gerard&lt;/author&gt;&lt;author&gt;Holmes, John&lt;/author&gt;&lt;/authors&gt;&lt;/contributors&gt;&lt;titles&gt;&lt;title&gt;Lay epidemiology and the interpretation of low-risk drinking guidelines by adults in the United Kingdom&lt;/title&gt;&lt;secondary-title&gt;Addiction&lt;/secondary-title&gt;&lt;/titles&gt;&lt;periodical&gt;&lt;full-title&gt;Addiction&lt;/full-title&gt;&lt;abbr-1&gt;Addiction&lt;/abbr-1&gt;&lt;/periodical&gt;&lt;pages&gt;1912–1919&lt;/pages&gt;&lt;volume&gt;110&lt;/volume&gt;&lt;number&gt;12&lt;/number&gt;&lt;keywords&gt;&lt;keyword&gt;Alcohol&lt;/keyword&gt;&lt;keyword&gt;drinking practices&lt;/keyword&gt;&lt;keyword&gt;drinking guidelines&lt;/keyword&gt;&lt;keyword&gt;lay epidemiology&lt;/keyword&gt;&lt;keyword&gt;qualitative&lt;/keyword&gt;&lt;keyword&gt;units&lt;/keyword&gt;&lt;/keywords&gt;&lt;dates&gt;&lt;year&gt;2015&lt;/year&gt;&lt;/dates&gt;&lt;isbn&gt;1360-0443&lt;/isbn&gt;&lt;urls&gt;&lt;related-urls&gt;&lt;url&gt;http://dx.doi.org/10.1111/add.13072&lt;/url&gt;&lt;/related-urls&gt;&lt;/urls&gt;&lt;electronic-resource-num&gt;10.1111/add.13072&lt;/electronic-resource-num&gt;&lt;/record&gt;&lt;/Cite&gt;&lt;/EndNote&gt;</w:instrText>
      </w:r>
      <w:r w:rsidR="00AC74DB" w:rsidRPr="00552D93">
        <w:rPr>
          <w:rFonts w:ascii="Cambria" w:hAnsi="Cambria"/>
        </w:rPr>
        <w:fldChar w:fldCharType="separate"/>
      </w:r>
      <w:r w:rsidR="003E489A" w:rsidRPr="00552D93">
        <w:rPr>
          <w:rFonts w:ascii="Cambria" w:hAnsi="Cambria"/>
          <w:noProof/>
        </w:rPr>
        <w:t>(Lovatt et al., 2015)</w:t>
      </w:r>
      <w:r w:rsidR="00AC74DB" w:rsidRPr="00552D93">
        <w:rPr>
          <w:rFonts w:ascii="Cambria" w:hAnsi="Cambria"/>
        </w:rPr>
        <w:fldChar w:fldCharType="end"/>
      </w:r>
      <w:r w:rsidR="00AC74DB" w:rsidRPr="00552D93">
        <w:rPr>
          <w:rFonts w:ascii="Cambria" w:hAnsi="Cambria"/>
        </w:rPr>
        <w:t>. It is worth noting that health guidelines shift the onus of responsibility onto the individual</w:t>
      </w:r>
      <w:r w:rsidR="00FF73E9" w:rsidRPr="00552D93">
        <w:rPr>
          <w:rFonts w:ascii="Cambria" w:eastAsia="Times New Roman" w:hAnsi="Cambria" w:cs="Times New Roman"/>
          <w:bCs/>
          <w:lang w:eastAsia="en-GB"/>
        </w:rPr>
        <w:t xml:space="preserve"> </w:t>
      </w:r>
      <w:r w:rsidR="00FF73E9" w:rsidRPr="00552D93">
        <w:rPr>
          <w:rFonts w:ascii="Cambria" w:eastAsia="Times New Roman" w:hAnsi="Cambria" w:cs="Times New Roman"/>
          <w:bCs/>
          <w:lang w:eastAsia="en-GB"/>
        </w:rPr>
        <w:fldChar w:fldCharType="begin"/>
      </w:r>
      <w:r w:rsidR="001530C8" w:rsidRPr="00552D93">
        <w:rPr>
          <w:rFonts w:ascii="Cambria" w:eastAsia="Times New Roman" w:hAnsi="Cambria" w:cs="Times New Roman"/>
          <w:bCs/>
          <w:lang w:eastAsia="en-GB"/>
        </w:rPr>
        <w:instrText xml:space="preserve"> ADDIN EN.CITE &lt;EndNote&gt;&lt;Cite&gt;&lt;Author&gt;Casswell&lt;/Author&gt;&lt;Year&gt;2012&lt;/Year&gt;&lt;RecNum&gt;1073&lt;/RecNum&gt;&lt;DisplayText&gt;(Casswell, 2012)&lt;/DisplayText&gt;&lt;record&gt;&lt;rec-number&gt;1073&lt;/rec-number&gt;&lt;foreign-keys&gt;&lt;key app="EN" db-id="te5rs0t0nprf99ep09vxza050r9t99faf9td" timestamp="1526553275"&gt;1073&lt;/key&gt;&lt;/foreign-keys&gt;&lt;ref-type name="Journal Article"&gt;17&lt;/ref-type&gt;&lt;contributors&gt;&lt;authors&gt;&lt;author&gt;Casswell, Sally&lt;/author&gt;&lt;/authors&gt;&lt;/contributors&gt;&lt;titles&gt;&lt;title&gt;Why have guidelines at all? A critical perspective&lt;/title&gt;&lt;secondary-title&gt;Drug and Alcohol Review&lt;/secondary-title&gt;&lt;/titles&gt;&lt;periodical&gt;&lt;full-title&gt;Drug and Alcohol Review&lt;/full-title&gt;&lt;abbr-1&gt;Drug Alcohol Rev.&lt;/abbr-1&gt;&lt;/periodical&gt;&lt;pages&gt;151-152&lt;/pages&gt;&lt;volume&gt;31&lt;/volume&gt;&lt;number&gt;2&lt;/number&gt;&lt;dates&gt;&lt;year&gt;2012&lt;/year&gt;&lt;pub-dates&gt;&lt;date&gt;Mar&lt;/date&gt;&lt;/pub-dates&gt;&lt;/dates&gt;&lt;isbn&gt;0959-5236&lt;/isbn&gt;&lt;accession-num&gt;WOS:000301049500005&lt;/accession-num&gt;&lt;urls&gt;&lt;related-urls&gt;&lt;url&gt;&amp;lt;Go to ISI&amp;gt;://WOS:000301049500005&lt;/url&gt;&lt;/related-urls&gt;&lt;/urls&gt;&lt;electronic-resource-num&gt;10.1111/j.1465-3362.2011.00376.x&lt;/electronic-resource-num&gt;&lt;/record&gt;&lt;/Cite&gt;&lt;/EndNote&gt;</w:instrText>
      </w:r>
      <w:r w:rsidR="00FF73E9" w:rsidRPr="00552D93">
        <w:rPr>
          <w:rFonts w:ascii="Cambria" w:eastAsia="Times New Roman" w:hAnsi="Cambria" w:cs="Times New Roman"/>
          <w:bCs/>
          <w:lang w:eastAsia="en-GB"/>
        </w:rPr>
        <w:fldChar w:fldCharType="separate"/>
      </w:r>
      <w:r w:rsidR="003E489A" w:rsidRPr="00552D93">
        <w:rPr>
          <w:rFonts w:ascii="Cambria" w:eastAsia="Times New Roman" w:hAnsi="Cambria" w:cs="Times New Roman"/>
          <w:bCs/>
          <w:noProof/>
          <w:lang w:eastAsia="en-GB"/>
        </w:rPr>
        <w:t>(Casswell, 2012)</w:t>
      </w:r>
      <w:r w:rsidR="00FF73E9" w:rsidRPr="00552D93">
        <w:rPr>
          <w:rFonts w:ascii="Cambria" w:eastAsia="Times New Roman" w:hAnsi="Cambria" w:cs="Times New Roman"/>
          <w:bCs/>
          <w:lang w:eastAsia="en-GB"/>
        </w:rPr>
        <w:fldChar w:fldCharType="end"/>
      </w:r>
      <w:r w:rsidR="00AC74DB" w:rsidRPr="00552D93">
        <w:rPr>
          <w:rFonts w:ascii="Cambria" w:eastAsia="Times New Roman" w:hAnsi="Cambria" w:cs="Times New Roman"/>
          <w:bCs/>
          <w:lang w:eastAsia="en-GB"/>
        </w:rPr>
        <w:t>, instead of the state,</w:t>
      </w:r>
      <w:r w:rsidR="00FF73E9" w:rsidRPr="00552D93">
        <w:rPr>
          <w:rFonts w:ascii="Cambria" w:eastAsia="Times New Roman" w:hAnsi="Cambria" w:cs="Times New Roman"/>
          <w:bCs/>
          <w:lang w:eastAsia="en-GB"/>
        </w:rPr>
        <w:t xml:space="preserve"> but if</w:t>
      </w:r>
      <w:r w:rsidR="00AC74DB" w:rsidRPr="00552D93">
        <w:rPr>
          <w:rFonts w:ascii="Cambria" w:eastAsia="Times New Roman" w:hAnsi="Cambria" w:cs="Times New Roman"/>
          <w:bCs/>
          <w:lang w:eastAsia="en-GB"/>
        </w:rPr>
        <w:t xml:space="preserve"> people find guidelines</w:t>
      </w:r>
      <w:r w:rsidR="00FF73E9" w:rsidRPr="00552D93">
        <w:rPr>
          <w:rFonts w:ascii="Cambria" w:eastAsia="Times New Roman" w:hAnsi="Cambria" w:cs="Times New Roman"/>
          <w:bCs/>
          <w:lang w:eastAsia="en-GB"/>
        </w:rPr>
        <w:t xml:space="preserve"> difficult to understand</w:t>
      </w:r>
      <w:r w:rsidR="00406EC7" w:rsidRPr="00552D93">
        <w:rPr>
          <w:rFonts w:ascii="Cambria" w:eastAsia="Times New Roman" w:hAnsi="Cambria" w:cs="Times New Roman"/>
          <w:bCs/>
          <w:lang w:eastAsia="en-GB"/>
        </w:rPr>
        <w:t xml:space="preserve"> or simply </w:t>
      </w:r>
      <w:r w:rsidR="004C324E" w:rsidRPr="00552D93">
        <w:rPr>
          <w:rFonts w:ascii="Cambria" w:eastAsia="Times New Roman" w:hAnsi="Cambria" w:cs="Times New Roman"/>
          <w:bCs/>
          <w:lang w:eastAsia="en-GB"/>
        </w:rPr>
        <w:t xml:space="preserve">do </w:t>
      </w:r>
      <w:r w:rsidR="00406EC7" w:rsidRPr="00552D93">
        <w:rPr>
          <w:rFonts w:ascii="Cambria" w:eastAsia="Times New Roman" w:hAnsi="Cambria" w:cs="Times New Roman"/>
          <w:bCs/>
          <w:lang w:eastAsia="en-GB"/>
        </w:rPr>
        <w:t>not care</w:t>
      </w:r>
      <w:r w:rsidR="00AC74DB" w:rsidRPr="00552D93">
        <w:rPr>
          <w:rFonts w:ascii="Cambria" w:eastAsia="Times New Roman" w:hAnsi="Cambria" w:cs="Times New Roman"/>
          <w:bCs/>
          <w:lang w:eastAsia="en-GB"/>
        </w:rPr>
        <w:t>, then it is reasonable to ask if this approach is likely to be successful. A less healthy, although probably easier to implement, approach would be to communicate messages about staying in a pleasurable zone (i.e., happy drunk)</w:t>
      </w:r>
      <w:r w:rsidR="00406EC7" w:rsidRPr="00552D93">
        <w:rPr>
          <w:rFonts w:ascii="Cambria" w:eastAsia="Times New Roman" w:hAnsi="Cambria" w:cs="Times New Roman"/>
          <w:bCs/>
          <w:lang w:eastAsia="en-GB"/>
        </w:rPr>
        <w:t xml:space="preserve"> and how to reduce the number of occasions where a tipping point is reached</w:t>
      </w:r>
      <w:r w:rsidR="00AC74DB" w:rsidRPr="00552D93">
        <w:rPr>
          <w:rFonts w:ascii="Cambria" w:eastAsia="Times New Roman" w:hAnsi="Cambria" w:cs="Times New Roman"/>
          <w:bCs/>
          <w:lang w:eastAsia="en-GB"/>
        </w:rPr>
        <w:t>.</w:t>
      </w:r>
      <w:r w:rsidR="00297275" w:rsidRPr="00552D93">
        <w:rPr>
          <w:rFonts w:ascii="Cambria" w:eastAsia="Times New Roman" w:hAnsi="Cambria" w:cs="Times New Roman"/>
          <w:bCs/>
          <w:lang w:eastAsia="en-GB"/>
        </w:rPr>
        <w:t xml:space="preserve"> </w:t>
      </w:r>
    </w:p>
    <w:p w14:paraId="26E6BAD5" w14:textId="77777777" w:rsidR="00D63AA1" w:rsidRPr="00552D93" w:rsidRDefault="00D63AA1" w:rsidP="00646933">
      <w:pPr>
        <w:spacing w:before="100" w:beforeAutospacing="1" w:after="100" w:afterAutospacing="1" w:line="480" w:lineRule="auto"/>
        <w:rPr>
          <w:rFonts w:ascii="Cambria" w:eastAsia="Times New Roman" w:hAnsi="Cambria" w:cs="Times New Roman"/>
          <w:bCs/>
          <w:i/>
          <w:lang w:eastAsia="en-GB"/>
        </w:rPr>
      </w:pPr>
      <w:r w:rsidRPr="00552D93">
        <w:rPr>
          <w:rFonts w:ascii="Cambria" w:eastAsia="Times New Roman" w:hAnsi="Cambria" w:cs="Times New Roman"/>
          <w:bCs/>
          <w:i/>
          <w:lang w:eastAsia="en-GB"/>
        </w:rPr>
        <w:t>Conclusions</w:t>
      </w:r>
    </w:p>
    <w:p w14:paraId="45BAEBEA" w14:textId="57E46860" w:rsidR="00646933" w:rsidRPr="00552D93" w:rsidRDefault="00D76873" w:rsidP="00646933">
      <w:pPr>
        <w:spacing w:before="100" w:beforeAutospacing="1" w:after="100" w:afterAutospacing="1" w:line="480" w:lineRule="auto"/>
        <w:rPr>
          <w:rFonts w:ascii="Cambria" w:eastAsia="Times New Roman" w:hAnsi="Cambria" w:cs="Times New Roman"/>
          <w:bCs/>
          <w:lang w:eastAsia="en-GB"/>
        </w:rPr>
      </w:pPr>
      <w:r w:rsidRPr="00552D93">
        <w:rPr>
          <w:rFonts w:ascii="Cambria" w:eastAsia="Times New Roman" w:hAnsi="Cambria" w:cs="Times New Roman"/>
          <w:bCs/>
          <w:lang w:eastAsia="en-GB"/>
        </w:rPr>
        <w:t xml:space="preserve">This study drew on a large sample of </w:t>
      </w:r>
      <w:r w:rsidR="006B08F3" w:rsidRPr="00552D93">
        <w:rPr>
          <w:rFonts w:ascii="Cambria" w:eastAsia="Times New Roman" w:hAnsi="Cambria" w:cs="Times New Roman"/>
          <w:bCs/>
          <w:lang w:eastAsia="en-GB"/>
        </w:rPr>
        <w:t xml:space="preserve">people who drink alcohol </w:t>
      </w:r>
      <w:r w:rsidRPr="00552D93">
        <w:rPr>
          <w:rFonts w:ascii="Cambria" w:eastAsia="Times New Roman" w:hAnsi="Cambria" w:cs="Times New Roman"/>
          <w:bCs/>
          <w:lang w:eastAsia="en-GB"/>
        </w:rPr>
        <w:t xml:space="preserve">and explored a novel question in asking how many drinks it </w:t>
      </w:r>
      <w:r w:rsidR="006B08F3" w:rsidRPr="00552D93">
        <w:rPr>
          <w:rFonts w:ascii="Cambria" w:eastAsia="Times New Roman" w:hAnsi="Cambria" w:cs="Times New Roman"/>
          <w:bCs/>
          <w:lang w:eastAsia="en-GB"/>
        </w:rPr>
        <w:t>takes to get intoxicated</w:t>
      </w:r>
      <w:r w:rsidRPr="00552D93">
        <w:rPr>
          <w:rFonts w:ascii="Cambria" w:eastAsia="Times New Roman" w:hAnsi="Cambria" w:cs="Times New Roman"/>
          <w:bCs/>
          <w:lang w:eastAsia="en-GB"/>
        </w:rPr>
        <w:t xml:space="preserve">, and how frequently people reach different </w:t>
      </w:r>
      <w:r w:rsidR="00415B68" w:rsidRPr="00552D93">
        <w:rPr>
          <w:rFonts w:ascii="Cambria" w:eastAsia="Times New Roman" w:hAnsi="Cambria" w:cs="Times New Roman"/>
          <w:bCs/>
          <w:lang w:eastAsia="en-GB"/>
        </w:rPr>
        <w:lastRenderedPageBreak/>
        <w:t xml:space="preserve">stages </w:t>
      </w:r>
      <w:r w:rsidRPr="00552D93">
        <w:rPr>
          <w:rFonts w:ascii="Cambria" w:eastAsia="Times New Roman" w:hAnsi="Cambria" w:cs="Times New Roman"/>
          <w:bCs/>
          <w:lang w:eastAsia="en-GB"/>
        </w:rPr>
        <w:t>of intoxication.</w:t>
      </w:r>
      <w:r w:rsidR="00297275" w:rsidRPr="00552D93">
        <w:rPr>
          <w:rFonts w:ascii="Cambria" w:eastAsia="Times New Roman" w:hAnsi="Cambria" w:cs="Times New Roman"/>
          <w:bCs/>
          <w:lang w:eastAsia="en-GB"/>
        </w:rPr>
        <w:t xml:space="preserve"> </w:t>
      </w:r>
      <w:r w:rsidRPr="00552D93">
        <w:rPr>
          <w:rFonts w:ascii="Cambria" w:eastAsia="Times New Roman" w:hAnsi="Cambria" w:cs="Times New Roman"/>
          <w:bCs/>
          <w:lang w:eastAsia="en-GB"/>
        </w:rPr>
        <w:t>These findings have relevance for public health interventions to encourag</w:t>
      </w:r>
      <w:r w:rsidR="008C79B5" w:rsidRPr="00552D93">
        <w:rPr>
          <w:rFonts w:ascii="Cambria" w:eastAsia="Times New Roman" w:hAnsi="Cambria" w:cs="Times New Roman"/>
          <w:bCs/>
          <w:lang w:eastAsia="en-GB"/>
        </w:rPr>
        <w:t>e people to reduce drinking, by</w:t>
      </w:r>
      <w:r w:rsidRPr="00552D93">
        <w:rPr>
          <w:rFonts w:ascii="Cambria" w:eastAsia="Times New Roman" w:hAnsi="Cambria" w:cs="Times New Roman"/>
          <w:bCs/>
          <w:lang w:eastAsia="en-GB"/>
        </w:rPr>
        <w:t xml:space="preserve"> focusing on an undesirable state, the ‘tipping point’.</w:t>
      </w:r>
      <w:r w:rsidR="00297275" w:rsidRPr="00552D93">
        <w:rPr>
          <w:rFonts w:ascii="Cambria" w:eastAsia="Times New Roman" w:hAnsi="Cambria" w:cs="Times New Roman"/>
          <w:bCs/>
          <w:lang w:eastAsia="en-GB"/>
        </w:rPr>
        <w:t xml:space="preserve"> </w:t>
      </w:r>
      <w:r w:rsidR="008C79B5" w:rsidRPr="00552D93">
        <w:rPr>
          <w:rFonts w:ascii="Cambria" w:eastAsia="Times New Roman" w:hAnsi="Cambria" w:cs="Times New Roman"/>
          <w:bCs/>
          <w:lang w:eastAsia="en-GB"/>
        </w:rPr>
        <w:t xml:space="preserve"> Findings are also relevant for the communication of low risk drinking guidelines. </w:t>
      </w:r>
      <w:r w:rsidRPr="00552D93">
        <w:rPr>
          <w:rFonts w:ascii="Cambria" w:eastAsia="Times New Roman" w:hAnsi="Cambria" w:cs="Times New Roman"/>
          <w:bCs/>
          <w:lang w:eastAsia="en-GB"/>
        </w:rPr>
        <w:t xml:space="preserve">Further research should examine people’s experiences as they reach stage of intoxication and explore ways to </w:t>
      </w:r>
      <w:r w:rsidR="00682CB5" w:rsidRPr="00552D93">
        <w:rPr>
          <w:rFonts w:ascii="Cambria" w:eastAsia="Times New Roman" w:hAnsi="Cambria" w:cs="Times New Roman"/>
          <w:bCs/>
          <w:lang w:eastAsia="en-GB"/>
        </w:rPr>
        <w:t xml:space="preserve">target </w:t>
      </w:r>
      <w:r w:rsidR="006B08F3" w:rsidRPr="00552D93">
        <w:rPr>
          <w:rFonts w:ascii="Cambria" w:eastAsia="Times New Roman" w:hAnsi="Cambria" w:cs="Times New Roman"/>
          <w:bCs/>
          <w:lang w:eastAsia="en-GB"/>
        </w:rPr>
        <w:t xml:space="preserve">people </w:t>
      </w:r>
      <w:r w:rsidR="00682CB5" w:rsidRPr="00552D93">
        <w:rPr>
          <w:rFonts w:ascii="Cambria" w:eastAsia="Times New Roman" w:hAnsi="Cambria" w:cs="Times New Roman"/>
          <w:bCs/>
          <w:lang w:eastAsia="en-GB"/>
        </w:rPr>
        <w:t xml:space="preserve">who reach their tipping point more frequently in order to reduce alcohol related harms. </w:t>
      </w:r>
    </w:p>
    <w:p w14:paraId="6B390B0F" w14:textId="77777777" w:rsidR="00B1594E" w:rsidRPr="00552D93" w:rsidRDefault="00B1594E">
      <w:pPr>
        <w:rPr>
          <w:rFonts w:ascii="Cambria" w:hAnsi="Cambria"/>
          <w:b/>
        </w:rPr>
      </w:pPr>
      <w:r w:rsidRPr="00552D93">
        <w:rPr>
          <w:rFonts w:ascii="Cambria" w:hAnsi="Cambria"/>
          <w:b/>
        </w:rPr>
        <w:br w:type="page"/>
      </w:r>
    </w:p>
    <w:p w14:paraId="3A409B53" w14:textId="43674118" w:rsidR="003965BA" w:rsidRPr="00552D93" w:rsidRDefault="00AA49E1" w:rsidP="00A24A2C">
      <w:pPr>
        <w:spacing w:before="100" w:beforeAutospacing="1" w:after="100" w:afterAutospacing="1" w:line="480" w:lineRule="auto"/>
        <w:rPr>
          <w:rFonts w:ascii="Cambria" w:hAnsi="Cambria"/>
          <w:b/>
        </w:rPr>
      </w:pPr>
      <w:r w:rsidRPr="00552D93">
        <w:rPr>
          <w:rFonts w:ascii="Cambria" w:hAnsi="Cambria"/>
          <w:b/>
        </w:rPr>
        <w:lastRenderedPageBreak/>
        <w:t>REFERENCES</w:t>
      </w:r>
    </w:p>
    <w:p w14:paraId="2165520C" w14:textId="77777777" w:rsidR="00B10022" w:rsidRPr="00552D93" w:rsidRDefault="003965BA" w:rsidP="00B10022">
      <w:pPr>
        <w:pStyle w:val="EndNoteBibliography"/>
        <w:spacing w:after="0"/>
        <w:ind w:left="720" w:hanging="720"/>
      </w:pPr>
      <w:r w:rsidRPr="00552D93">
        <w:rPr>
          <w:b/>
        </w:rPr>
        <w:fldChar w:fldCharType="begin"/>
      </w:r>
      <w:r w:rsidRPr="00552D93">
        <w:rPr>
          <w:b/>
        </w:rPr>
        <w:instrText xml:space="preserve"> ADDIN EN.REFLIST </w:instrText>
      </w:r>
      <w:r w:rsidRPr="00552D93">
        <w:rPr>
          <w:b/>
        </w:rPr>
        <w:fldChar w:fldCharType="separate"/>
      </w:r>
      <w:r w:rsidR="00B10022" w:rsidRPr="00552D93">
        <w:t xml:space="preserve">Aresi, G., &amp; Pedersen, E. R. (2016). ‘That right level of intoxication’: A Grounded Theory study on young adults’ drinking in nightlife settings. </w:t>
      </w:r>
      <w:r w:rsidR="00B10022" w:rsidRPr="00552D93">
        <w:rPr>
          <w:i/>
        </w:rPr>
        <w:t>Journal of Youth Studies, 19</w:t>
      </w:r>
      <w:r w:rsidR="00B10022" w:rsidRPr="00552D93">
        <w:t>(2), 204-220. doi: 10.1080/13676261.2015.1059931</w:t>
      </w:r>
    </w:p>
    <w:p w14:paraId="51B4C507" w14:textId="77777777" w:rsidR="00B10022" w:rsidRPr="00552D93" w:rsidRDefault="00B10022" w:rsidP="00B10022">
      <w:pPr>
        <w:pStyle w:val="EndNoteBibliography"/>
        <w:spacing w:after="0"/>
        <w:ind w:left="720" w:hanging="720"/>
      </w:pPr>
      <w:r w:rsidRPr="00552D93">
        <w:t xml:space="preserve">Babor, T., Caetano, R., Casswell, S., Edwards, G., Giesbrecht, N., Graham, K., . . . Room, R., Ingeborg. (2010). </w:t>
      </w:r>
      <w:r w:rsidRPr="00552D93">
        <w:rPr>
          <w:i/>
        </w:rPr>
        <w:t>Alcohol No Ordinary Commodity - research and public policy</w:t>
      </w:r>
      <w:r w:rsidRPr="00552D93">
        <w:t>. Oxford, UK: Oxford University Press.</w:t>
      </w:r>
    </w:p>
    <w:p w14:paraId="6EF60365" w14:textId="77777777" w:rsidR="00B10022" w:rsidRPr="00552D93" w:rsidRDefault="00B10022" w:rsidP="00B10022">
      <w:pPr>
        <w:pStyle w:val="EndNoteBibliography"/>
        <w:spacing w:after="0"/>
        <w:ind w:left="720" w:hanging="720"/>
      </w:pPr>
      <w:r w:rsidRPr="00552D93">
        <w:t>Babor, T., Higgins-Biddle, J. C., Saunders, J. B., &amp; Monteiro, M. G. (2001). The Alcohol Use Disorders Identification Test, Guidelines for Use in Primary Care (2nd edition ed.). Geneva: World Health Organization.</w:t>
      </w:r>
    </w:p>
    <w:p w14:paraId="77F1B875" w14:textId="77777777" w:rsidR="00B10022" w:rsidRPr="00552D93" w:rsidRDefault="00B10022" w:rsidP="00B10022">
      <w:pPr>
        <w:pStyle w:val="EndNoteBibliography"/>
        <w:spacing w:after="0"/>
        <w:ind w:left="720" w:hanging="720"/>
      </w:pPr>
      <w:r w:rsidRPr="00552D93">
        <w:t xml:space="preserve">Barratt, M. J., Ferris, J. A., Zahnow, R., Palamar, J. J., Maier, L. J., &amp; Winstock, A. R. (2017). Moving on from representativeness: testing the utility of the Global Drug Survey. </w:t>
      </w:r>
      <w:r w:rsidRPr="00552D93">
        <w:rPr>
          <w:i/>
        </w:rPr>
        <w:t>Substance Abuse: Research and Treatment </w:t>
      </w:r>
      <w:r w:rsidRPr="00552D93">
        <w:t>doi: 10.1177/1178221817716391</w:t>
      </w:r>
    </w:p>
    <w:p w14:paraId="5A1E5C00" w14:textId="77777777" w:rsidR="00B10022" w:rsidRPr="00552D93" w:rsidRDefault="00B10022" w:rsidP="00B10022">
      <w:pPr>
        <w:pStyle w:val="EndNoteBibliography"/>
        <w:spacing w:after="0"/>
        <w:ind w:left="720" w:hanging="720"/>
      </w:pPr>
      <w:r w:rsidRPr="00552D93">
        <w:t xml:space="preserve">Beccaria, F., Petrilli, E., &amp; Rolando, S. (2015). Binge drinking vs. drunkenness. The questionable threshold of excess for young Italians. </w:t>
      </w:r>
      <w:r w:rsidRPr="00552D93">
        <w:rPr>
          <w:i/>
        </w:rPr>
        <w:t>Journal of Youth Studies, 18</w:t>
      </w:r>
      <w:r w:rsidRPr="00552D93">
        <w:t>(7), 823-838. doi: 10.1080/13676261.2014.992321</w:t>
      </w:r>
    </w:p>
    <w:p w14:paraId="6B2E08B7" w14:textId="12A66BD0" w:rsidR="00B10022" w:rsidRPr="00552D93" w:rsidRDefault="00B10022" w:rsidP="00B10022">
      <w:pPr>
        <w:pStyle w:val="EndNoteBibliography"/>
        <w:spacing w:after="0"/>
        <w:ind w:left="720" w:hanging="720"/>
      </w:pPr>
      <w:r w:rsidRPr="00552D93">
        <w:t xml:space="preserve">Burgess, M., Cooke, R., &amp; Davies, E. L. (2019). My own personal hell: Approaching and exceeding thresholds of too much alcohol. </w:t>
      </w:r>
      <w:r w:rsidRPr="00552D93">
        <w:rPr>
          <w:i/>
        </w:rPr>
        <w:t>Psychology &amp; Health</w:t>
      </w:r>
      <w:r w:rsidRPr="00552D93">
        <w:t xml:space="preserve">. doi: </w:t>
      </w:r>
      <w:hyperlink r:id="rId9" w:history="1">
        <w:r w:rsidRPr="00552D93">
          <w:rPr>
            <w:rStyle w:val="Hyperlink"/>
            <w:color w:val="auto"/>
          </w:rPr>
          <w:t>https://doi.org/10.1080/08870446.2019.1616087</w:t>
        </w:r>
      </w:hyperlink>
    </w:p>
    <w:p w14:paraId="73DBAF1D" w14:textId="77777777" w:rsidR="00B10022" w:rsidRPr="00552D93" w:rsidRDefault="00B10022" w:rsidP="00B10022">
      <w:pPr>
        <w:pStyle w:val="EndNoteBibliography"/>
        <w:spacing w:after="0"/>
        <w:ind w:left="720" w:hanging="720"/>
      </w:pPr>
      <w:r w:rsidRPr="00552D93">
        <w:t xml:space="preserve">Buykx, P., Li, J., Gavens, L., Hooper, L., Gomes de Matos, E., &amp; Holmes, J. (2018). Self-Reported Knowledge, Correct Knowledge and use of UK Drinking Guidelines Among a Representative Sample of the English Population. </w:t>
      </w:r>
      <w:r w:rsidRPr="00552D93">
        <w:rPr>
          <w:i/>
        </w:rPr>
        <w:t>Alcohol and Alcoholism</w:t>
      </w:r>
      <w:r w:rsidRPr="00552D93">
        <w:t>. doi: 10.1093/alcalc/agx127</w:t>
      </w:r>
    </w:p>
    <w:p w14:paraId="3C0D4538" w14:textId="77777777" w:rsidR="00B10022" w:rsidRPr="00552D93" w:rsidRDefault="00B10022" w:rsidP="00B10022">
      <w:pPr>
        <w:pStyle w:val="EndNoteBibliography"/>
        <w:spacing w:after="0"/>
        <w:ind w:left="720" w:hanging="720"/>
      </w:pPr>
      <w:r w:rsidRPr="00552D93">
        <w:t xml:space="preserve">Casswell, S. (2012). Why have guidelines at all? A critical perspective. </w:t>
      </w:r>
      <w:r w:rsidRPr="00552D93">
        <w:rPr>
          <w:i/>
        </w:rPr>
        <w:t>Drug and Alcohol Review, 31</w:t>
      </w:r>
      <w:r w:rsidRPr="00552D93">
        <w:t>(2), 151-152. doi: 10.1111/j.1465-3362.2011.00376.x</w:t>
      </w:r>
    </w:p>
    <w:p w14:paraId="11B7580A" w14:textId="77777777" w:rsidR="00B10022" w:rsidRPr="00552D93" w:rsidRDefault="00B10022" w:rsidP="00B10022">
      <w:pPr>
        <w:pStyle w:val="EndNoteBibliography"/>
        <w:spacing w:after="0"/>
        <w:ind w:left="720" w:hanging="720"/>
      </w:pPr>
      <w:r w:rsidRPr="00552D93">
        <w:t xml:space="preserve">Cerrada, C. J., Dzubur, E., Blackman, K. C. A., Mays, V., Shoptaw, S., &amp; Huh, J. (2017). Development of a Just-in-Time Adaptive Intervention for Smoking Cessation Among Korean American Emerging Adults. </w:t>
      </w:r>
      <w:r w:rsidRPr="00552D93">
        <w:rPr>
          <w:i/>
        </w:rPr>
        <w:t>International Journal of Behavioral Medicine, 24</w:t>
      </w:r>
      <w:r w:rsidRPr="00552D93">
        <w:t>(5), 665-672. doi: 10.1007/s12529-016-9628-x</w:t>
      </w:r>
    </w:p>
    <w:p w14:paraId="00492225" w14:textId="77777777" w:rsidR="00B10022" w:rsidRPr="00552D93" w:rsidRDefault="00B10022" w:rsidP="00B10022">
      <w:pPr>
        <w:pStyle w:val="EndNoteBibliography"/>
        <w:spacing w:after="0"/>
        <w:ind w:left="720" w:hanging="720"/>
      </w:pPr>
      <w:r w:rsidRPr="00552D93">
        <w:t xml:space="preserve">Connor, J. (2016). Alcohol consumption as a cause of cancer. </w:t>
      </w:r>
      <w:r w:rsidRPr="00552D93">
        <w:rPr>
          <w:i/>
        </w:rPr>
        <w:t>Addiction, 112</w:t>
      </w:r>
      <w:r w:rsidRPr="00552D93">
        <w:t>(2), 222-228. doi: 10.1111/add.13477</w:t>
      </w:r>
    </w:p>
    <w:p w14:paraId="2654C901" w14:textId="77777777" w:rsidR="00B10022" w:rsidRPr="00552D93" w:rsidRDefault="00B10022" w:rsidP="00B10022">
      <w:pPr>
        <w:pStyle w:val="EndNoteBibliography"/>
        <w:spacing w:after="0"/>
        <w:ind w:left="720" w:hanging="720"/>
      </w:pPr>
      <w:r w:rsidRPr="00552D93">
        <w:t xml:space="preserve">Cooke, R., Beccaria, F., Demant, J., Fernandes-Jesus, M., Fleig, L., Negreiros, J., . . . de Visser, R. (2019). Patterns of alcohol consumption and alcohol-related harm among European university students. </w:t>
      </w:r>
      <w:r w:rsidRPr="00552D93">
        <w:rPr>
          <w:i/>
        </w:rPr>
        <w:t>European Journal of Public Health</w:t>
      </w:r>
      <w:r w:rsidRPr="00552D93">
        <w:t>. doi: 10.1093/eurpub/ckz067</w:t>
      </w:r>
    </w:p>
    <w:p w14:paraId="5951F66B" w14:textId="0E63FD99" w:rsidR="00B10022" w:rsidRPr="00552D93" w:rsidRDefault="00B10022" w:rsidP="00B10022">
      <w:pPr>
        <w:pStyle w:val="EndNoteBibliography"/>
        <w:spacing w:after="0"/>
        <w:ind w:left="720" w:hanging="720"/>
      </w:pPr>
      <w:r w:rsidRPr="00552D93">
        <w:t xml:space="preserve">Davies, E. L., Conroy, D., Winstock, A. R., &amp; Ferris, J. A. (2017). Motivations for reducing alcohol consumption: An international survey exploring experiences that may lead to a change in drinking habits. </w:t>
      </w:r>
      <w:r w:rsidRPr="00552D93">
        <w:rPr>
          <w:i/>
        </w:rPr>
        <w:t>Addictive Behaviors, 75</w:t>
      </w:r>
      <w:r w:rsidRPr="00552D93">
        <w:t xml:space="preserve">, 40-46. doi: </w:t>
      </w:r>
      <w:hyperlink r:id="rId10" w:history="1">
        <w:r w:rsidRPr="00552D93">
          <w:rPr>
            <w:rStyle w:val="Hyperlink"/>
            <w:color w:val="auto"/>
          </w:rPr>
          <w:t>http://dx.doi.org/10.1016/j.addbeh.2017.06.019</w:t>
        </w:r>
      </w:hyperlink>
    </w:p>
    <w:p w14:paraId="3CE61354" w14:textId="77777777" w:rsidR="00B10022" w:rsidRPr="00552D93" w:rsidRDefault="00B10022" w:rsidP="00B10022">
      <w:pPr>
        <w:pStyle w:val="EndNoteBibliography"/>
        <w:spacing w:after="0"/>
        <w:ind w:left="720" w:hanging="720"/>
      </w:pPr>
      <w:r w:rsidRPr="00552D93">
        <w:t>Department of Health. (2016). UK Chief Medical Officers’ Low Risk Drinking Guidelines 2016. London: HM Government.</w:t>
      </w:r>
    </w:p>
    <w:p w14:paraId="10E6AF4A" w14:textId="77777777" w:rsidR="00B10022" w:rsidRPr="00552D93" w:rsidRDefault="00B10022" w:rsidP="00B10022">
      <w:pPr>
        <w:pStyle w:val="EndNoteBibliography"/>
        <w:spacing w:after="0"/>
        <w:ind w:left="720" w:hanging="720"/>
      </w:pPr>
      <w:r w:rsidRPr="00552D93">
        <w:t xml:space="preserve">Dietze, P., Ferris, J. A., &amp; Room, R. (2013). Who Suggests Drinking Less? Demographic and National Differences in Informal Social Controls on Drinking. </w:t>
      </w:r>
      <w:r w:rsidRPr="00552D93">
        <w:rPr>
          <w:i/>
        </w:rPr>
        <w:t>Journal of Studies on Alcohol and Drugs, 74</w:t>
      </w:r>
      <w:r w:rsidRPr="00552D93">
        <w:t xml:space="preserve">(6), 859-866. </w:t>
      </w:r>
    </w:p>
    <w:p w14:paraId="2CD3F6F5" w14:textId="77777777" w:rsidR="00B10022" w:rsidRPr="00552D93" w:rsidRDefault="00B10022" w:rsidP="00B10022">
      <w:pPr>
        <w:pStyle w:val="EndNoteBibliography"/>
        <w:spacing w:after="0"/>
        <w:ind w:left="720" w:hanging="720"/>
      </w:pPr>
      <w:r w:rsidRPr="00552D93">
        <w:t xml:space="preserve">Enser, B. J., Appleton, J. V., &amp; Foxcroft, D. R. (2017). Alcohol-related collateral harm, the unseen dimension? Survey of students aged 16–24 in Southern England. </w:t>
      </w:r>
      <w:r w:rsidRPr="00552D93">
        <w:rPr>
          <w:i/>
        </w:rPr>
        <w:t>Drugs: Education, Prevention and Policy, 24</w:t>
      </w:r>
      <w:r w:rsidRPr="00552D93">
        <w:t>(1), 40-48. doi: 10.1080/09687637.2016.1215409</w:t>
      </w:r>
    </w:p>
    <w:p w14:paraId="29FB9BA3" w14:textId="77777777" w:rsidR="00B10022" w:rsidRPr="00552D93" w:rsidRDefault="00B10022" w:rsidP="00B10022">
      <w:pPr>
        <w:pStyle w:val="EndNoteBibliography"/>
        <w:spacing w:after="0"/>
        <w:ind w:left="720" w:hanging="720"/>
      </w:pPr>
      <w:r w:rsidRPr="00552D93">
        <w:t>Eurocare. (2016). European Report on Alcohol Policy. Brussels: European Alcohol Policy Alliance.</w:t>
      </w:r>
    </w:p>
    <w:p w14:paraId="5851201C" w14:textId="77777777" w:rsidR="00B10022" w:rsidRPr="00552D93" w:rsidRDefault="00B10022" w:rsidP="00B10022">
      <w:pPr>
        <w:pStyle w:val="EndNoteBibliography"/>
        <w:spacing w:after="0"/>
        <w:ind w:left="720" w:hanging="720"/>
      </w:pPr>
      <w:r w:rsidRPr="00552D93">
        <w:t xml:space="preserve">Fagerland, M. W. (2012). t-tests, non-parametric tests, and large studies--a paradox of statistical practice? </w:t>
      </w:r>
      <w:r w:rsidRPr="00552D93">
        <w:rPr>
          <w:i/>
        </w:rPr>
        <w:t>BMC Med Res Methodol, 12</w:t>
      </w:r>
      <w:r w:rsidRPr="00552D93">
        <w:t>, 78. doi: 10.1186/1471-2288-12-78</w:t>
      </w:r>
    </w:p>
    <w:p w14:paraId="6AF46032" w14:textId="77777777" w:rsidR="00B10022" w:rsidRPr="00552D93" w:rsidRDefault="00B10022" w:rsidP="00B10022">
      <w:pPr>
        <w:pStyle w:val="EndNoteBibliography"/>
        <w:spacing w:after="0"/>
        <w:ind w:left="720" w:hanging="720"/>
      </w:pPr>
      <w:r w:rsidRPr="00552D93">
        <w:lastRenderedPageBreak/>
        <w:t xml:space="preserve">Ferris, J. A., Devaney, M., Davis, G., &amp; Mazerolle, L. (2016). Reporting of problematic drinkers and the harm they cause: Assessing the role of alcohol use, sex, and age of those affected by a problematic drinker. </w:t>
      </w:r>
      <w:r w:rsidRPr="00552D93">
        <w:rPr>
          <w:i/>
        </w:rPr>
        <w:t>Exp Clin Psychopharmacol, 24</w:t>
      </w:r>
      <w:r w:rsidRPr="00552D93">
        <w:t>(1), 48-54. doi: 10.1037/pha0000060</w:t>
      </w:r>
    </w:p>
    <w:p w14:paraId="70C17334" w14:textId="77777777" w:rsidR="00B10022" w:rsidRPr="00552D93" w:rsidRDefault="00B10022" w:rsidP="00B10022">
      <w:pPr>
        <w:pStyle w:val="EndNoteBibliography"/>
        <w:spacing w:after="0"/>
        <w:ind w:left="720" w:hanging="720"/>
      </w:pPr>
      <w:r w:rsidRPr="00552D93">
        <w:t xml:space="preserve">Ferris, J. A., Puljević, C., Labhart, F., Winstock, A., &amp; Kuntsche, E. (2019). The Role of Sex and Age on Pre-drinking: An Exploratory International Comparison of 27 Countries. </w:t>
      </w:r>
      <w:r w:rsidRPr="00552D93">
        <w:rPr>
          <w:i/>
        </w:rPr>
        <w:t>Alcohol and Alcoholism, 54</w:t>
      </w:r>
      <w:r w:rsidRPr="00552D93">
        <w:t>(4), 378-385. doi: 10.1093/alcalc/agz040</w:t>
      </w:r>
    </w:p>
    <w:p w14:paraId="3DD6B457" w14:textId="77777777" w:rsidR="00B10022" w:rsidRPr="00552D93" w:rsidRDefault="00B10022" w:rsidP="00B10022">
      <w:pPr>
        <w:pStyle w:val="EndNoteBibliography"/>
        <w:spacing w:after="0"/>
        <w:ind w:left="720" w:hanging="720"/>
      </w:pPr>
      <w:r w:rsidRPr="00552D93">
        <w:t xml:space="preserve">Furtwaengler, N. A. F. F., &amp; de Visser, R. O. (2013). Lack of international consensus in low-risk drinking guidelines. </w:t>
      </w:r>
      <w:r w:rsidRPr="00552D93">
        <w:rPr>
          <w:i/>
        </w:rPr>
        <w:t>Drug and Alcohol Review, 32</w:t>
      </w:r>
      <w:r w:rsidRPr="00552D93">
        <w:t>(1), 11-18. doi: 10.1111/j.1465-3362.2012.00475.x</w:t>
      </w:r>
    </w:p>
    <w:p w14:paraId="6033381A" w14:textId="77777777" w:rsidR="00B10022" w:rsidRPr="00552D93" w:rsidRDefault="00B10022" w:rsidP="00B10022">
      <w:pPr>
        <w:pStyle w:val="EndNoteBibliography"/>
        <w:spacing w:after="0"/>
        <w:ind w:left="720" w:hanging="720"/>
      </w:pPr>
      <w:r w:rsidRPr="00552D93">
        <w:t xml:space="preserve">Garnett, C., Crane, D., West, R., Michie, S., Brown, J., &amp; Winstock, A. (2015). Normative misperceptions about alcohol use in the general population of drinkers: A cross-sectional survey. </w:t>
      </w:r>
      <w:r w:rsidRPr="00552D93">
        <w:rPr>
          <w:i/>
        </w:rPr>
        <w:t>Addictive Behaviors, 42</w:t>
      </w:r>
      <w:r w:rsidRPr="00552D93">
        <w:t>, 203-206. doi: 10.1016/j.addbeh.2014.11.010</w:t>
      </w:r>
    </w:p>
    <w:p w14:paraId="7D0AA8BC" w14:textId="77777777" w:rsidR="00B10022" w:rsidRPr="00552D93" w:rsidRDefault="00B10022" w:rsidP="00B10022">
      <w:pPr>
        <w:pStyle w:val="EndNoteBibliography"/>
        <w:spacing w:after="0"/>
        <w:ind w:left="720" w:hanging="720"/>
      </w:pPr>
      <w:r w:rsidRPr="00552D93">
        <w:t xml:space="preserve">GBD 2016 Alcohol Collaborators. (2018). Alcohol use and burden for 195 countries and territories, 1990- 2016: a systematic analysis for the Global Burden of Disease Study 2016. </w:t>
      </w:r>
      <w:r w:rsidRPr="00552D93">
        <w:rPr>
          <w:i/>
        </w:rPr>
        <w:t>The Lancet, 392</w:t>
      </w:r>
      <w:r w:rsidRPr="00552D93">
        <w:t>(10152), 1015-1035. doi: 10.1016/S0140-6736(18)31310-2</w:t>
      </w:r>
    </w:p>
    <w:p w14:paraId="7578B0EC" w14:textId="77777777" w:rsidR="00B10022" w:rsidRPr="00552D93" w:rsidRDefault="00B10022" w:rsidP="00B10022">
      <w:pPr>
        <w:pStyle w:val="EndNoteBibliography"/>
        <w:spacing w:after="0"/>
        <w:ind w:left="720" w:hanging="720"/>
      </w:pPr>
      <w:r w:rsidRPr="00552D93">
        <w:t xml:space="preserve">Graber, R., de Visser, R. O., Abraham, C., Memon, A., Hart, A., &amp; Hunt, K. (2016). Staying in the 'sweet spot': A resilience-based analysis of the lived experience of low-risk drinking and abstention among British youth. </w:t>
      </w:r>
      <w:r w:rsidRPr="00552D93">
        <w:rPr>
          <w:i/>
        </w:rPr>
        <w:t>Psychology &amp; Health, 31</w:t>
      </w:r>
      <w:r w:rsidRPr="00552D93">
        <w:t>(1), 79-99. doi: 10.1080/08870446.2015.1070852</w:t>
      </w:r>
    </w:p>
    <w:p w14:paraId="1FFC0F5E" w14:textId="77777777" w:rsidR="00B10022" w:rsidRPr="00552D93" w:rsidRDefault="00B10022" w:rsidP="00B10022">
      <w:pPr>
        <w:pStyle w:val="EndNoteBibliography"/>
        <w:spacing w:after="0"/>
        <w:ind w:left="720" w:hanging="720"/>
      </w:pPr>
      <w:r w:rsidRPr="00552D93">
        <w:t xml:space="preserve">Harris, P. R., &amp; Napper, L. (2005). Self-Affirmation and the Biased Processing of Threatening Health-Risk Information. </w:t>
      </w:r>
      <w:r w:rsidRPr="00552D93">
        <w:rPr>
          <w:i/>
        </w:rPr>
        <w:t>Personality and Social Psychology Bulletin, 31</w:t>
      </w:r>
      <w:r w:rsidRPr="00552D93">
        <w:t>(9), 1250-1263. doi: 10.1177/0146167205274694</w:t>
      </w:r>
    </w:p>
    <w:p w14:paraId="141B3F6C" w14:textId="77777777" w:rsidR="00B10022" w:rsidRPr="00552D93" w:rsidRDefault="00B10022" w:rsidP="00B10022">
      <w:pPr>
        <w:pStyle w:val="EndNoteBibliography"/>
        <w:spacing w:after="0"/>
        <w:ind w:left="720" w:hanging="720"/>
      </w:pPr>
      <w:r w:rsidRPr="00552D93">
        <w:t xml:space="preserve">Heron, K. E., &amp; Smyth, J. M. (2010). Ecological momentary interventions: Incorporating mobile technology into psychosocial and health behaviour treatments. </w:t>
      </w:r>
      <w:r w:rsidRPr="00552D93">
        <w:rPr>
          <w:i/>
        </w:rPr>
        <w:t>British Journal of Health Psychology, 15</w:t>
      </w:r>
      <w:r w:rsidRPr="00552D93">
        <w:t>, 1-39. doi: 10.1348/135910709x466063</w:t>
      </w:r>
    </w:p>
    <w:p w14:paraId="702A8E57" w14:textId="77777777" w:rsidR="00B10022" w:rsidRPr="00552D93" w:rsidRDefault="00B10022" w:rsidP="00B10022">
      <w:pPr>
        <w:pStyle w:val="EndNoteBibliography"/>
        <w:spacing w:after="0"/>
        <w:ind w:left="720" w:hanging="720"/>
      </w:pPr>
      <w:r w:rsidRPr="00552D93">
        <w:t xml:space="preserve">Holmes, J., Angus, C., Meier, P. S., Buykx, P., &amp; Brennan, A. (2019). How should we set consumption thresholds for low risk drinking guidelines? Achieving objectivity and transparency using evidence, expert judgement and pragmatism. </w:t>
      </w:r>
      <w:r w:rsidRPr="00552D93">
        <w:rPr>
          <w:i/>
        </w:rPr>
        <w:t>Addiction, 114</w:t>
      </w:r>
      <w:r w:rsidRPr="00552D93">
        <w:t>(4), 590-600. doi: 10.1111/add.14381</w:t>
      </w:r>
    </w:p>
    <w:p w14:paraId="3AE3E199" w14:textId="77777777" w:rsidR="00B10022" w:rsidRPr="00552D93" w:rsidRDefault="00B10022" w:rsidP="00B10022">
      <w:pPr>
        <w:pStyle w:val="EndNoteBibliography"/>
        <w:spacing w:after="0"/>
        <w:ind w:left="720" w:hanging="720"/>
      </w:pPr>
      <w:r w:rsidRPr="00552D93">
        <w:t xml:space="preserve">Hughes, K., Quigg, Z., Ford, K., &amp; Bellis, M. A. (2019). Ideal, expected and perceived descriptive norm drunkenness in UK nightlife environments: a cross-sectional study. </w:t>
      </w:r>
      <w:r w:rsidRPr="00552D93">
        <w:rPr>
          <w:i/>
        </w:rPr>
        <w:t>Bmc Public Health, 19</w:t>
      </w:r>
      <w:r w:rsidRPr="00552D93">
        <w:t>(1), 442. doi: 10.1186/s12889-019-6802-5</w:t>
      </w:r>
    </w:p>
    <w:p w14:paraId="31CDDDA3" w14:textId="6FC81C98" w:rsidR="00B10022" w:rsidRPr="00552D93" w:rsidRDefault="00B10022" w:rsidP="00B10022">
      <w:pPr>
        <w:pStyle w:val="EndNoteBibliography"/>
        <w:spacing w:after="0"/>
        <w:ind w:left="720" w:hanging="720"/>
      </w:pPr>
      <w:r w:rsidRPr="00552D93">
        <w:t xml:space="preserve">IARD. (2019). </w:t>
      </w:r>
      <w:r w:rsidRPr="00552D93">
        <w:rPr>
          <w:i/>
        </w:rPr>
        <w:t>Drinking guidelines: General population</w:t>
      </w:r>
      <w:r w:rsidRPr="00552D93">
        <w:t xml:space="preserve">. from </w:t>
      </w:r>
      <w:hyperlink r:id="rId11" w:history="1">
        <w:r w:rsidRPr="00552D93">
          <w:rPr>
            <w:rStyle w:val="Hyperlink"/>
            <w:color w:val="auto"/>
          </w:rPr>
          <w:t>http://www.iard.org/resources/drinking-guidelines-general-population/</w:t>
        </w:r>
      </w:hyperlink>
    </w:p>
    <w:p w14:paraId="3D15B4A6" w14:textId="77777777" w:rsidR="00B10022" w:rsidRPr="00552D93" w:rsidRDefault="00B10022" w:rsidP="00B10022">
      <w:pPr>
        <w:pStyle w:val="EndNoteBibliography"/>
        <w:spacing w:after="0"/>
        <w:ind w:left="720" w:hanging="720"/>
      </w:pPr>
      <w:r w:rsidRPr="00552D93">
        <w:t xml:space="preserve">Irvine, L., Melson, A. J., Williams, B., Sniehotta, F. F., McKenzie, A., Jones, C., &amp; Crombie, I. K. (2017). Real Time Monitoring of Engagement with a Text Message Intervention to Reduce Binge Drinking Among Men Living in Socially Disadvantaged Areas of Scotland. </w:t>
      </w:r>
      <w:r w:rsidRPr="00552D93">
        <w:rPr>
          <w:i/>
        </w:rPr>
        <w:t>International Journal of Behavioral Medicine, 24</w:t>
      </w:r>
      <w:r w:rsidRPr="00552D93">
        <w:t>(5), 713-721. doi: 10.1007/s12529-017-9666-z</w:t>
      </w:r>
    </w:p>
    <w:p w14:paraId="2D3C1DDD" w14:textId="77777777" w:rsidR="00B10022" w:rsidRPr="00552D93" w:rsidRDefault="00B10022" w:rsidP="00B10022">
      <w:pPr>
        <w:pStyle w:val="EndNoteBibliography"/>
        <w:spacing w:after="0"/>
        <w:ind w:left="720" w:hanging="720"/>
      </w:pPr>
      <w:r w:rsidRPr="00552D93">
        <w:t xml:space="preserve">Kalinowski, A., &amp; Humphreys, K. (2016). Governmental standard drink definitions and low-risk alcohol consumption guidelines in 37 countries. </w:t>
      </w:r>
      <w:r w:rsidRPr="00552D93">
        <w:rPr>
          <w:i/>
        </w:rPr>
        <w:t>Addiction, 111</w:t>
      </w:r>
      <w:r w:rsidRPr="00552D93">
        <w:t>(7), 1293-1298. doi: 10.1111/add.13341</w:t>
      </w:r>
    </w:p>
    <w:p w14:paraId="26B05AB7" w14:textId="77777777" w:rsidR="00B10022" w:rsidRPr="00552D93" w:rsidRDefault="00B10022" w:rsidP="00B10022">
      <w:pPr>
        <w:pStyle w:val="EndNoteBibliography"/>
        <w:spacing w:after="0"/>
        <w:ind w:left="720" w:hanging="720"/>
      </w:pPr>
      <w:r w:rsidRPr="00552D93">
        <w:t xml:space="preserve">Knott, C. S., Scholes, S., &amp; Shelton, N. J. (2013). Could more than three million older people in England be at risk of alcohol-related harm? A cross-sectional analysis of proposed age-specific drinking limits. </w:t>
      </w:r>
      <w:r w:rsidRPr="00552D93">
        <w:rPr>
          <w:i/>
        </w:rPr>
        <w:t>Age Ageing, 42</w:t>
      </w:r>
      <w:r w:rsidRPr="00552D93">
        <w:t>. doi: 10.1093/ageing/aft039</w:t>
      </w:r>
    </w:p>
    <w:p w14:paraId="279F643D" w14:textId="77777777" w:rsidR="00B10022" w:rsidRPr="00552D93" w:rsidRDefault="00B10022" w:rsidP="00B10022">
      <w:pPr>
        <w:pStyle w:val="EndNoteBibliography"/>
        <w:spacing w:after="0"/>
        <w:ind w:left="720" w:hanging="720"/>
      </w:pPr>
      <w:r w:rsidRPr="00552D93">
        <w:t xml:space="preserve">Kuntsche, S., Plant, M. L., Plant, M. A., Miller, P., &amp; Gmel, G. (2008). Spreading or concentrating drinking occasions - Who is most at risk? </w:t>
      </w:r>
      <w:r w:rsidRPr="00552D93">
        <w:rPr>
          <w:i/>
        </w:rPr>
        <w:t>European addiction research, 14</w:t>
      </w:r>
      <w:r w:rsidRPr="00552D93">
        <w:t>(2), 71-81. doi: 10.1159/000113721</w:t>
      </w:r>
    </w:p>
    <w:p w14:paraId="46A442BC" w14:textId="77777777" w:rsidR="00B10022" w:rsidRPr="00552D93" w:rsidRDefault="00B10022" w:rsidP="00B10022">
      <w:pPr>
        <w:pStyle w:val="EndNoteBibliography"/>
        <w:spacing w:after="0"/>
        <w:ind w:left="720" w:hanging="720"/>
      </w:pPr>
      <w:r w:rsidRPr="00552D93">
        <w:t xml:space="preserve">Labhart, F., Ferris, J. A., Winstock, A., &amp; Kuntsche, E. (2017). The country-level effects of drinking, heavy drinking and drink prices on pre-drinking: An international comparison of 25 countries. </w:t>
      </w:r>
      <w:r w:rsidRPr="00552D93">
        <w:rPr>
          <w:i/>
        </w:rPr>
        <w:t>Drug and Alcohol Review, 36</w:t>
      </w:r>
      <w:r w:rsidRPr="00552D93">
        <w:t>(6), 742-750. doi: 10.1111/dar.12525</w:t>
      </w:r>
    </w:p>
    <w:p w14:paraId="4C0B25B1" w14:textId="77777777" w:rsidR="00B10022" w:rsidRPr="00552D93" w:rsidRDefault="00B10022" w:rsidP="00B10022">
      <w:pPr>
        <w:pStyle w:val="EndNoteBibliography"/>
        <w:spacing w:after="0"/>
        <w:ind w:left="720" w:hanging="720"/>
      </w:pPr>
      <w:r w:rsidRPr="00552D93">
        <w:t>Laslett, A. M., Catalano, P., Chikritzhs, T., Dale, C., Doran, C., Ferris, J. A., . . . Matthews, S. (2010). The range and magnitude of alcohol’s harm to others. Fitzroy, Victoria: AER Centre for Alcohol Policy Research, Turning Point Alcohol and Drug Centre, Eastern Health.</w:t>
      </w:r>
    </w:p>
    <w:p w14:paraId="645CE8BC" w14:textId="77777777" w:rsidR="00B10022" w:rsidRPr="00552D93" w:rsidRDefault="00B10022" w:rsidP="00B10022">
      <w:pPr>
        <w:pStyle w:val="EndNoteBibliography"/>
        <w:spacing w:after="0"/>
        <w:ind w:left="720" w:hanging="720"/>
      </w:pPr>
      <w:r w:rsidRPr="00552D93">
        <w:lastRenderedPageBreak/>
        <w:t xml:space="preserve">Lovatt, M., Eadie, D., Meier, P. S., Li, J., Bauld, L., Hastings, G., &amp; Holmes, J. (2015). Lay epidemiology and the interpretation of low-risk drinking guidelines by adults in the United Kingdom. </w:t>
      </w:r>
      <w:r w:rsidRPr="00552D93">
        <w:rPr>
          <w:i/>
        </w:rPr>
        <w:t>Addiction, 110</w:t>
      </w:r>
      <w:r w:rsidRPr="00552D93">
        <w:t>(12), 1912–1919. doi: 10.1111/add.13072</w:t>
      </w:r>
    </w:p>
    <w:p w14:paraId="6E637D49" w14:textId="77777777" w:rsidR="00B10022" w:rsidRPr="00552D93" w:rsidRDefault="00B10022" w:rsidP="00B10022">
      <w:pPr>
        <w:pStyle w:val="EndNoteBibliography"/>
        <w:spacing w:after="0"/>
        <w:ind w:left="720" w:hanging="720"/>
      </w:pPr>
      <w:r w:rsidRPr="00552D93">
        <w:t xml:space="preserve">Lyons, A. C., Emslie, C., &amp; Hunt, K. (2014). Staying ‘in the zone’ but not passing the ‘point of no return’: embodiment, gender and drinking in mid-life. </w:t>
      </w:r>
      <w:r w:rsidRPr="00552D93">
        <w:rPr>
          <w:i/>
        </w:rPr>
        <w:t>Sociology of Health &amp; Illness, 36</w:t>
      </w:r>
      <w:r w:rsidRPr="00552D93">
        <w:t>(2), 264-277. doi: 10.1111/1467-9566.12103</w:t>
      </w:r>
    </w:p>
    <w:p w14:paraId="5F5488D2" w14:textId="77777777" w:rsidR="00B10022" w:rsidRPr="00552D93" w:rsidRDefault="00B10022" w:rsidP="00B10022">
      <w:pPr>
        <w:pStyle w:val="EndNoteBibliography"/>
        <w:spacing w:after="0"/>
        <w:ind w:left="720" w:hanging="720"/>
      </w:pPr>
      <w:r w:rsidRPr="00552D93">
        <w:t xml:space="preserve">Measham, F. (2004). The decline of ecstasy, the rise of ‘binge’ drinking and the persistence of pleasure. </w:t>
      </w:r>
      <w:r w:rsidRPr="00552D93">
        <w:rPr>
          <w:i/>
        </w:rPr>
        <w:t>Probation Journal, 51</w:t>
      </w:r>
      <w:r w:rsidRPr="00552D93">
        <w:t xml:space="preserve">(4), 309-326. </w:t>
      </w:r>
    </w:p>
    <w:p w14:paraId="2749DF3A" w14:textId="77777777" w:rsidR="00B10022" w:rsidRPr="00552D93" w:rsidRDefault="00B10022" w:rsidP="00B10022">
      <w:pPr>
        <w:pStyle w:val="EndNoteBibliography"/>
        <w:spacing w:after="0"/>
        <w:ind w:left="720" w:hanging="720"/>
      </w:pPr>
      <w:r w:rsidRPr="00552D93">
        <w:t xml:space="preserve">Measham, F., &amp; Brain, K. (2005). ‘Binge’ drinking, British alcohol policy and the new culture of intoxication. </w:t>
      </w:r>
      <w:r w:rsidRPr="00552D93">
        <w:rPr>
          <w:i/>
        </w:rPr>
        <w:t>Crime, Media, Culture, 1</w:t>
      </w:r>
      <w:r w:rsidRPr="00552D93">
        <w:t>(3), 262-283. doi: 10.1177/1741659005057641</w:t>
      </w:r>
    </w:p>
    <w:p w14:paraId="640304C7" w14:textId="77777777" w:rsidR="00B10022" w:rsidRPr="00552D93" w:rsidRDefault="00B10022" w:rsidP="00B10022">
      <w:pPr>
        <w:pStyle w:val="EndNoteBibliography"/>
        <w:spacing w:after="0"/>
        <w:ind w:left="720" w:hanging="720"/>
      </w:pPr>
      <w:r w:rsidRPr="00552D93">
        <w:t xml:space="preserve">Mehta, G., &amp; Sheron, N. (2019). No safe level of alcohol consumption &amp;#x2013; Implications for global health. </w:t>
      </w:r>
      <w:r w:rsidRPr="00552D93">
        <w:rPr>
          <w:i/>
        </w:rPr>
        <w:t>Journal of Hepatology</w:t>
      </w:r>
      <w:r w:rsidRPr="00552D93">
        <w:t>. doi: 10.1016/j.jhep.2018.12.021</w:t>
      </w:r>
    </w:p>
    <w:p w14:paraId="42012880" w14:textId="77777777" w:rsidR="00B10022" w:rsidRPr="00552D93" w:rsidRDefault="00B10022" w:rsidP="00B10022">
      <w:pPr>
        <w:pStyle w:val="EndNoteBibliography"/>
        <w:spacing w:after="0"/>
        <w:ind w:left="720" w:hanging="720"/>
      </w:pPr>
      <w:r w:rsidRPr="00552D93">
        <w:t xml:space="preserve">Ng Fat, L., Shelton, N., &amp; Cable, N. (2018). Investigating the growing trend of non-drinking among young people; analysis of repeated cross-sectional surveys in England 2005–2015. </w:t>
      </w:r>
      <w:r w:rsidRPr="00552D93">
        <w:rPr>
          <w:i/>
        </w:rPr>
        <w:t>Bmc Public Health, 18</w:t>
      </w:r>
      <w:r w:rsidRPr="00552D93">
        <w:t>(1), 1090. doi: 10.1186/s12889-018-5995-3</w:t>
      </w:r>
    </w:p>
    <w:p w14:paraId="7336D1BD" w14:textId="77777777" w:rsidR="00B10022" w:rsidRPr="00552D93" w:rsidRDefault="00B10022" w:rsidP="00B10022">
      <w:pPr>
        <w:pStyle w:val="EndNoteBibliography"/>
        <w:spacing w:after="0"/>
        <w:ind w:left="720" w:hanging="720"/>
      </w:pPr>
      <w:r w:rsidRPr="00552D93">
        <w:t>NHMRC. (2020). Draft Australian Guidelines to Reduce Health Risks from Drinking Alcohol: Australian Government, National Health and Medical Research Council.</w:t>
      </w:r>
    </w:p>
    <w:p w14:paraId="5B5A1126" w14:textId="77777777" w:rsidR="00B10022" w:rsidRPr="00552D93" w:rsidRDefault="00B10022" w:rsidP="00B10022">
      <w:pPr>
        <w:pStyle w:val="EndNoteBibliography"/>
        <w:spacing w:after="0"/>
        <w:ind w:left="720" w:hanging="720"/>
      </w:pPr>
      <w:r w:rsidRPr="00552D93">
        <w:t xml:space="preserve">Peele, S., &amp; Brodsky, A. (2000). Exploring psychological benefits associated with moderate alcohol use: a necessary corrective to assessments of drinking outcomes? </w:t>
      </w:r>
      <w:r w:rsidRPr="00552D93">
        <w:rPr>
          <w:i/>
        </w:rPr>
        <w:t>Drug and Alcohol Dependence, 60</w:t>
      </w:r>
      <w:r w:rsidRPr="00552D93">
        <w:t>(3), 221-247. doi: 10.1016/s0376-8716(00)00112-5</w:t>
      </w:r>
    </w:p>
    <w:p w14:paraId="255677FE" w14:textId="77777777" w:rsidR="00B10022" w:rsidRPr="00552D93" w:rsidRDefault="00B10022" w:rsidP="00B10022">
      <w:pPr>
        <w:pStyle w:val="EndNoteBibliography"/>
        <w:spacing w:after="0"/>
        <w:ind w:left="720" w:hanging="720"/>
      </w:pPr>
      <w:r w:rsidRPr="00552D93">
        <w:t xml:space="preserve">Piasecki, T. M. (2019). Assessment of Alcohol Use in the Natural Environment. </w:t>
      </w:r>
      <w:r w:rsidRPr="00552D93">
        <w:rPr>
          <w:i/>
        </w:rPr>
        <w:t>Alcoholism: Clinical and Experimental Research, 43</w:t>
      </w:r>
      <w:r w:rsidRPr="00552D93">
        <w:t>(4), 564-577. doi: 10.1111/acer.13975</w:t>
      </w:r>
    </w:p>
    <w:p w14:paraId="775EA57E" w14:textId="77777777" w:rsidR="00B10022" w:rsidRPr="00552D93" w:rsidRDefault="00B10022" w:rsidP="00B10022">
      <w:pPr>
        <w:pStyle w:val="EndNoteBibliography"/>
        <w:spacing w:after="0"/>
        <w:ind w:left="720" w:hanging="720"/>
      </w:pPr>
      <w:r w:rsidRPr="00552D93">
        <w:t xml:space="preserve">Room, R., &amp; Makela, K. (2000). Typologies of the cultural position of drinking. </w:t>
      </w:r>
      <w:r w:rsidRPr="00552D93">
        <w:rPr>
          <w:i/>
        </w:rPr>
        <w:t>Journal of Studies on Alcohol, 61</w:t>
      </w:r>
      <w:r w:rsidRPr="00552D93">
        <w:t xml:space="preserve">(3), 475-483. </w:t>
      </w:r>
    </w:p>
    <w:p w14:paraId="57EED8CB" w14:textId="77777777" w:rsidR="00B10022" w:rsidRPr="00552D93" w:rsidRDefault="00B10022" w:rsidP="00B10022">
      <w:pPr>
        <w:pStyle w:val="EndNoteBibliography"/>
        <w:spacing w:after="0"/>
        <w:ind w:left="720" w:hanging="720"/>
      </w:pPr>
      <w:r w:rsidRPr="00552D93">
        <w:t xml:space="preserve">Savic, M., Room, R., Mugavin, J., Pennay, A., &amp; Livingston, M. (2016). Defining “drinking culture”: A critical review of its meaning and connotation in social research on alcohol problems. </w:t>
      </w:r>
      <w:r w:rsidRPr="00552D93">
        <w:rPr>
          <w:i/>
        </w:rPr>
        <w:t>Drugs: Education, Prevention and Policy, 23</w:t>
      </w:r>
      <w:r w:rsidRPr="00552D93">
        <w:t>(4), 270-282. doi: 10.3109/09687637.2016.1153602</w:t>
      </w:r>
    </w:p>
    <w:p w14:paraId="6960D8C1" w14:textId="77777777" w:rsidR="00B10022" w:rsidRPr="00552D93" w:rsidRDefault="00B10022" w:rsidP="00B10022">
      <w:pPr>
        <w:pStyle w:val="EndNoteBibliography"/>
        <w:spacing w:after="0"/>
        <w:ind w:left="720" w:hanging="720"/>
      </w:pPr>
      <w:r w:rsidRPr="00552D93">
        <w:t>Swiss Federal Commission on Alcohol Issues. (2018). Orientierungshilfezum Alkoholkonsum – 2018. Bern.</w:t>
      </w:r>
    </w:p>
    <w:p w14:paraId="14DDA01F" w14:textId="77777777" w:rsidR="00B10022" w:rsidRPr="00552D93" w:rsidRDefault="00B10022" w:rsidP="00B10022">
      <w:pPr>
        <w:pStyle w:val="EndNoteBibliography"/>
        <w:spacing w:after="0"/>
        <w:ind w:left="720" w:hanging="720"/>
      </w:pPr>
      <w:r w:rsidRPr="00552D93">
        <w:t>WHO. (2018). Global status report on alcohol and health 2018. Geneva: World Health Organisation.</w:t>
      </w:r>
    </w:p>
    <w:p w14:paraId="57B50C25" w14:textId="77777777" w:rsidR="00B10022" w:rsidRPr="00552D93" w:rsidRDefault="00B10022" w:rsidP="00B10022">
      <w:pPr>
        <w:pStyle w:val="EndNoteBibliography"/>
        <w:spacing w:after="0"/>
        <w:ind w:left="720" w:hanging="720"/>
      </w:pPr>
      <w:r w:rsidRPr="00552D93">
        <w:t xml:space="preserve">Wilsnack, R. W., Wilsnack, S. C., Gmel, G., &amp; Kantor, L. W. (2018). Gender Differences in Binge Drinking. </w:t>
      </w:r>
      <w:r w:rsidRPr="00552D93">
        <w:rPr>
          <w:i/>
        </w:rPr>
        <w:t>Alcohol Res, 39</w:t>
      </w:r>
      <w:r w:rsidRPr="00552D93">
        <w:t xml:space="preserve">(1), 57-76. </w:t>
      </w:r>
    </w:p>
    <w:p w14:paraId="282E08AA" w14:textId="77777777" w:rsidR="00B10022" w:rsidRPr="00552D93" w:rsidRDefault="00B10022" w:rsidP="00B10022">
      <w:pPr>
        <w:pStyle w:val="EndNoteBibliography"/>
        <w:ind w:left="720" w:hanging="720"/>
      </w:pPr>
      <w:r w:rsidRPr="00552D93">
        <w:t xml:space="preserve">Zajdow, G., &amp; MacLean, S. (2014). “I Just Drink for That Tipsy Stage”: Young Adults and Embodied Management of Alcohol Use. </w:t>
      </w:r>
      <w:r w:rsidRPr="00552D93">
        <w:rPr>
          <w:i/>
        </w:rPr>
        <w:t>Contemporary Drug Problems, 41</w:t>
      </w:r>
      <w:r w:rsidRPr="00552D93">
        <w:t xml:space="preserve">(4), 522-535. </w:t>
      </w:r>
    </w:p>
    <w:p w14:paraId="2AB859B1" w14:textId="579FCAA5" w:rsidR="007D2724" w:rsidRPr="00552D93" w:rsidRDefault="003965BA" w:rsidP="00C96A99">
      <w:pPr>
        <w:spacing w:before="100" w:beforeAutospacing="1" w:after="100" w:afterAutospacing="1" w:line="480" w:lineRule="auto"/>
        <w:rPr>
          <w:rFonts w:ascii="Cambria" w:hAnsi="Cambria"/>
          <w:b/>
        </w:rPr>
      </w:pPr>
      <w:r w:rsidRPr="00552D93">
        <w:rPr>
          <w:rFonts w:ascii="Cambria" w:hAnsi="Cambria"/>
          <w:b/>
        </w:rPr>
        <w:fldChar w:fldCharType="end"/>
      </w:r>
      <w:r w:rsidR="007D2724" w:rsidRPr="00552D93">
        <w:rPr>
          <w:rFonts w:ascii="Cambria" w:hAnsi="Cambria"/>
          <w:b/>
        </w:rPr>
        <w:br w:type="page"/>
      </w:r>
    </w:p>
    <w:p w14:paraId="7D55B583" w14:textId="77777777" w:rsidR="007D2724" w:rsidRPr="00552D93" w:rsidRDefault="007D2724" w:rsidP="007D2724">
      <w:pPr>
        <w:spacing w:before="100" w:beforeAutospacing="1" w:after="100" w:afterAutospacing="1" w:line="240" w:lineRule="auto"/>
        <w:rPr>
          <w:rFonts w:ascii="Cambria" w:hAnsi="Cambria"/>
          <w:b/>
        </w:rPr>
        <w:sectPr w:rsidR="007D2724" w:rsidRPr="00552D93">
          <w:headerReference w:type="default" r:id="rId12"/>
          <w:footerReference w:type="default" r:id="rId13"/>
          <w:pgSz w:w="11906" w:h="16838"/>
          <w:pgMar w:top="1440" w:right="1440" w:bottom="1440" w:left="1440" w:header="708" w:footer="708" w:gutter="0"/>
          <w:cols w:space="708"/>
          <w:docGrid w:linePitch="360"/>
        </w:sectPr>
      </w:pPr>
    </w:p>
    <w:p w14:paraId="5C21571A" w14:textId="77777777" w:rsidR="007D2724" w:rsidRPr="00552D93" w:rsidRDefault="007D2724" w:rsidP="007D2724">
      <w:pPr>
        <w:spacing w:before="100" w:beforeAutospacing="1" w:after="100" w:afterAutospacing="1" w:line="240" w:lineRule="auto"/>
        <w:rPr>
          <w:rFonts w:ascii="Cambria" w:hAnsi="Cambria"/>
          <w:b/>
        </w:rPr>
      </w:pPr>
      <w:r w:rsidRPr="00552D93">
        <w:rPr>
          <w:rFonts w:ascii="Cambria" w:hAnsi="Cambria"/>
          <w:b/>
        </w:rPr>
        <w:lastRenderedPageBreak/>
        <w:t>TABLES AND FIGURES</w:t>
      </w:r>
    </w:p>
    <w:p w14:paraId="06176BAC" w14:textId="6BFC7AF7" w:rsidR="007D2724" w:rsidRPr="00552D93" w:rsidRDefault="007D2724" w:rsidP="007D2724">
      <w:pPr>
        <w:spacing w:before="100" w:beforeAutospacing="1" w:after="100" w:afterAutospacing="1" w:line="240" w:lineRule="auto"/>
        <w:rPr>
          <w:rFonts w:ascii="Cambria" w:hAnsi="Cambria"/>
          <w:b/>
        </w:rPr>
      </w:pPr>
      <w:r w:rsidRPr="00552D93">
        <w:rPr>
          <w:rFonts w:ascii="Cambria" w:hAnsi="Cambria"/>
          <w:b/>
        </w:rPr>
        <w:t xml:space="preserve">Table 1: </w:t>
      </w:r>
      <w:r w:rsidRPr="00552D93">
        <w:rPr>
          <w:rFonts w:ascii="Cambria" w:hAnsi="Cambria"/>
          <w:i/>
        </w:rPr>
        <w:t xml:space="preserve">Demographic characteristics of </w:t>
      </w:r>
      <w:r w:rsidR="00C33F45" w:rsidRPr="00552D93">
        <w:rPr>
          <w:rFonts w:ascii="Cambria" w:hAnsi="Cambria"/>
          <w:i/>
        </w:rPr>
        <w:t xml:space="preserve">GDS2015 </w:t>
      </w:r>
      <w:r w:rsidRPr="00552D93">
        <w:rPr>
          <w:rFonts w:ascii="Cambria" w:hAnsi="Cambria"/>
          <w:i/>
        </w:rPr>
        <w:t xml:space="preserve">respondents </w:t>
      </w:r>
      <w:r w:rsidR="00C33F45" w:rsidRPr="00552D93">
        <w:rPr>
          <w:rFonts w:ascii="Cambria" w:hAnsi="Cambria"/>
          <w:i/>
        </w:rPr>
        <w:t>by</w:t>
      </w:r>
      <w:r w:rsidRPr="00552D93">
        <w:rPr>
          <w:rFonts w:ascii="Cambria" w:hAnsi="Cambria"/>
          <w:i/>
        </w:rPr>
        <w:t xml:space="preserve"> country</w:t>
      </w:r>
      <w:r w:rsidR="0025345E" w:rsidRPr="00552D93">
        <w:rPr>
          <w:rFonts w:ascii="Cambria" w:hAnsi="Cambria"/>
          <w:i/>
        </w:rPr>
        <w:t xml:space="preserve"> (N =</w:t>
      </w:r>
      <w:r w:rsidR="00895FBF" w:rsidRPr="00552D93">
        <w:rPr>
          <w:rFonts w:ascii="Cambria" w:hAnsi="Cambria"/>
          <w:i/>
        </w:rPr>
        <w:t>61,043</w:t>
      </w:r>
      <w:r w:rsidR="00C56ACF" w:rsidRPr="00552D93">
        <w:rPr>
          <w:rFonts w:ascii="Cambria" w:hAnsi="Cambria"/>
          <w:i/>
        </w:rPr>
        <w:t>)</w:t>
      </w:r>
      <w:r w:rsidRPr="00552D93">
        <w:rPr>
          <w:rFonts w:ascii="Cambria" w:hAnsi="Cambria"/>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606"/>
        <w:gridCol w:w="936"/>
        <w:gridCol w:w="920"/>
        <w:gridCol w:w="920"/>
        <w:gridCol w:w="920"/>
        <w:gridCol w:w="921"/>
        <w:gridCol w:w="921"/>
        <w:gridCol w:w="921"/>
        <w:gridCol w:w="921"/>
        <w:gridCol w:w="921"/>
        <w:gridCol w:w="921"/>
        <w:gridCol w:w="921"/>
        <w:gridCol w:w="869"/>
      </w:tblGrid>
      <w:tr w:rsidR="00552D93" w:rsidRPr="00552D93" w14:paraId="7D180BEE" w14:textId="77777777" w:rsidTr="001F6D06">
        <w:trPr>
          <w:trHeight w:val="516"/>
        </w:trPr>
        <w:tc>
          <w:tcPr>
            <w:tcW w:w="470" w:type="pct"/>
            <w:shd w:val="clear" w:color="auto" w:fill="auto"/>
            <w:noWrap/>
          </w:tcPr>
          <w:p w14:paraId="41AB740E"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Country</w:t>
            </w:r>
          </w:p>
          <w:p w14:paraId="69900DDB"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p>
        </w:tc>
        <w:tc>
          <w:tcPr>
            <w:tcW w:w="577" w:type="pct"/>
            <w:shd w:val="clear" w:color="auto" w:fill="auto"/>
            <w:noWrap/>
          </w:tcPr>
          <w:p w14:paraId="5670836B"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N( of total sample)</w:t>
            </w:r>
          </w:p>
          <w:p w14:paraId="356E7930"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p>
        </w:tc>
        <w:tc>
          <w:tcPr>
            <w:tcW w:w="331" w:type="pct"/>
          </w:tcPr>
          <w:p w14:paraId="55812CDF" w14:textId="77777777" w:rsidR="00650B88" w:rsidRPr="00552D93" w:rsidRDefault="00650B88" w:rsidP="00650B88">
            <w:pPr>
              <w:spacing w:after="0" w:line="480" w:lineRule="auto"/>
              <w:ind w:right="-284"/>
              <w:jc w:val="center"/>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Mean age</w:t>
            </w:r>
          </w:p>
          <w:p w14:paraId="324A958A" w14:textId="57A34A24" w:rsidR="009D49A0" w:rsidRPr="00552D93" w:rsidRDefault="00650B88" w:rsidP="00650B88">
            <w:pPr>
              <w:spacing w:after="0" w:line="480" w:lineRule="auto"/>
              <w:ind w:right="-284"/>
              <w:jc w:val="center"/>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(SD</w:t>
            </w:r>
            <w:r w:rsidR="009D49A0" w:rsidRPr="00552D93">
              <w:rPr>
                <w:rFonts w:asciiTheme="majorHAnsi" w:eastAsia="Times New Roman" w:hAnsiTheme="majorHAnsi" w:cs="Times New Roman"/>
                <w:sz w:val="16"/>
                <w:szCs w:val="16"/>
                <w:lang w:eastAsia="en-GB"/>
              </w:rPr>
              <w:t>)</w:t>
            </w:r>
          </w:p>
        </w:tc>
        <w:tc>
          <w:tcPr>
            <w:tcW w:w="331" w:type="pct"/>
          </w:tcPr>
          <w:p w14:paraId="72579ABC"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 xml:space="preserve"> male</w:t>
            </w:r>
          </w:p>
        </w:tc>
        <w:tc>
          <w:tcPr>
            <w:tcW w:w="331" w:type="pct"/>
          </w:tcPr>
          <w:p w14:paraId="25D802B4"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 xml:space="preserve"> White</w:t>
            </w:r>
          </w:p>
        </w:tc>
        <w:tc>
          <w:tcPr>
            <w:tcW w:w="331" w:type="pct"/>
          </w:tcPr>
          <w:p w14:paraId="6AEC7626" w14:textId="77777777" w:rsidR="009D49A0" w:rsidRPr="00552D93" w:rsidRDefault="009D49A0" w:rsidP="009D49A0">
            <w:pPr>
              <w:spacing w:after="0" w:line="48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AUDIT Median (P25, P75)</w:t>
            </w:r>
          </w:p>
        </w:tc>
        <w:tc>
          <w:tcPr>
            <w:tcW w:w="331" w:type="pct"/>
          </w:tcPr>
          <w:p w14:paraId="0C7D89F1"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 xml:space="preserve"> AUDIT 0-7</w:t>
            </w:r>
          </w:p>
          <w:p w14:paraId="47219906"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p>
        </w:tc>
        <w:tc>
          <w:tcPr>
            <w:tcW w:w="331" w:type="pct"/>
          </w:tcPr>
          <w:p w14:paraId="6EF8570A"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 xml:space="preserve"> AUDIT 8-15</w:t>
            </w:r>
          </w:p>
        </w:tc>
        <w:tc>
          <w:tcPr>
            <w:tcW w:w="331" w:type="pct"/>
          </w:tcPr>
          <w:p w14:paraId="48300EFF"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 xml:space="preserve"> AUDIT 16-19</w:t>
            </w:r>
          </w:p>
        </w:tc>
        <w:tc>
          <w:tcPr>
            <w:tcW w:w="331" w:type="pct"/>
          </w:tcPr>
          <w:p w14:paraId="76BC29EB"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 xml:space="preserve"> AUDIT 20+</w:t>
            </w:r>
          </w:p>
        </w:tc>
        <w:tc>
          <w:tcPr>
            <w:tcW w:w="331" w:type="pct"/>
          </w:tcPr>
          <w:p w14:paraId="2BA1220B"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 xml:space="preserve">Feeling effects </w:t>
            </w:r>
          </w:p>
          <w:p w14:paraId="2B137F50" w14:textId="77777777" w:rsidR="00650B88" w:rsidRPr="00552D93" w:rsidRDefault="00650B88"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m</w:t>
            </w:r>
            <w:r w:rsidR="009D49A0" w:rsidRPr="00552D93">
              <w:rPr>
                <w:rFonts w:asciiTheme="majorHAnsi" w:eastAsia="Times New Roman" w:hAnsiTheme="majorHAnsi" w:cs="Times New Roman"/>
                <w:sz w:val="16"/>
                <w:szCs w:val="16"/>
                <w:lang w:eastAsia="en-GB"/>
              </w:rPr>
              <w:t>onthly</w:t>
            </w:r>
            <w:r w:rsidRPr="00552D93">
              <w:rPr>
                <w:rFonts w:asciiTheme="majorHAnsi" w:eastAsia="Times New Roman" w:hAnsiTheme="majorHAnsi" w:cs="Times New Roman"/>
                <w:sz w:val="16"/>
                <w:szCs w:val="16"/>
                <w:lang w:eastAsia="en-GB"/>
              </w:rPr>
              <w:t>/</w:t>
            </w:r>
          </w:p>
          <w:p w14:paraId="5FA3DBA2" w14:textId="56C6FE38" w:rsidR="009D49A0" w:rsidRPr="00552D93" w:rsidRDefault="00650B88"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 xml:space="preserve">weekly </w:t>
            </w:r>
          </w:p>
        </w:tc>
        <w:tc>
          <w:tcPr>
            <w:tcW w:w="331" w:type="pct"/>
          </w:tcPr>
          <w:p w14:paraId="2C2DB550" w14:textId="78D9B411" w:rsidR="009D49A0" w:rsidRPr="00552D93" w:rsidRDefault="001875AF"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D</w:t>
            </w:r>
            <w:r w:rsidR="009D49A0" w:rsidRPr="00552D93">
              <w:rPr>
                <w:rFonts w:asciiTheme="majorHAnsi" w:eastAsia="Times New Roman" w:hAnsiTheme="majorHAnsi" w:cs="Times New Roman"/>
                <w:sz w:val="16"/>
                <w:szCs w:val="16"/>
                <w:lang w:eastAsia="en-GB"/>
              </w:rPr>
              <w:t xml:space="preserve">runk </w:t>
            </w:r>
            <w:r w:rsidRPr="00552D93">
              <w:rPr>
                <w:rFonts w:asciiTheme="majorHAnsi" w:eastAsia="Times New Roman" w:hAnsiTheme="majorHAnsi" w:cs="Times New Roman"/>
                <w:sz w:val="16"/>
                <w:szCs w:val="16"/>
                <w:lang w:eastAsia="en-GB"/>
              </w:rPr>
              <w:t>as you want</w:t>
            </w:r>
          </w:p>
          <w:p w14:paraId="5D52A1FC" w14:textId="77777777" w:rsidR="00650B88" w:rsidRPr="00552D93" w:rsidRDefault="00650B88" w:rsidP="00650B88">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monthly/</w:t>
            </w:r>
          </w:p>
          <w:p w14:paraId="70918145" w14:textId="461D1717" w:rsidR="009D49A0" w:rsidRPr="00552D93" w:rsidRDefault="00650B88" w:rsidP="00650B88">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weekly</w:t>
            </w:r>
          </w:p>
        </w:tc>
        <w:tc>
          <w:tcPr>
            <w:tcW w:w="331" w:type="pct"/>
          </w:tcPr>
          <w:p w14:paraId="191931A6" w14:textId="6B6C7C08" w:rsidR="00650B88" w:rsidRPr="00552D93" w:rsidRDefault="009D49A0" w:rsidP="00650B88">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Tipping point</w:t>
            </w:r>
          </w:p>
          <w:p w14:paraId="6846DD16" w14:textId="77777777" w:rsidR="00650B88" w:rsidRPr="00552D93" w:rsidRDefault="00650B88" w:rsidP="00650B88">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monthly/</w:t>
            </w:r>
          </w:p>
          <w:p w14:paraId="3BDF33DF" w14:textId="019C8D8E" w:rsidR="00650B88" w:rsidRPr="00552D93" w:rsidRDefault="00650B88" w:rsidP="00650B88">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weekly</w:t>
            </w:r>
          </w:p>
          <w:p w14:paraId="76927143" w14:textId="5DFBB963" w:rsidR="009D49A0" w:rsidRPr="00552D93" w:rsidRDefault="00650B88"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 xml:space="preserve"> </w:t>
            </w:r>
            <w:r w:rsidR="009D49A0" w:rsidRPr="00552D93">
              <w:rPr>
                <w:rFonts w:asciiTheme="majorHAnsi" w:eastAsia="Times New Roman" w:hAnsiTheme="majorHAnsi" w:cs="Times New Roman"/>
                <w:sz w:val="16"/>
                <w:szCs w:val="16"/>
                <w:lang w:eastAsia="en-GB"/>
              </w:rPr>
              <w:t xml:space="preserve"> </w:t>
            </w:r>
          </w:p>
        </w:tc>
        <w:tc>
          <w:tcPr>
            <w:tcW w:w="312" w:type="pct"/>
          </w:tcPr>
          <w:p w14:paraId="6B100DE0" w14:textId="4E0FE6E5" w:rsidR="009D49A0" w:rsidRPr="00552D93" w:rsidRDefault="00650B88"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F</w:t>
            </w:r>
            <w:r w:rsidR="009D49A0" w:rsidRPr="00552D93">
              <w:rPr>
                <w:rFonts w:asciiTheme="majorHAnsi" w:eastAsia="Times New Roman" w:hAnsiTheme="majorHAnsi" w:cs="Times New Roman"/>
                <w:sz w:val="16"/>
                <w:szCs w:val="16"/>
                <w:lang w:eastAsia="en-GB"/>
              </w:rPr>
              <w:t xml:space="preserve">eel no effect </w:t>
            </w:r>
          </w:p>
          <w:p w14:paraId="72DE0736" w14:textId="77777777" w:rsidR="00650B88" w:rsidRPr="00552D93" w:rsidRDefault="00650B88" w:rsidP="00650B88">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monthly/</w:t>
            </w:r>
          </w:p>
          <w:p w14:paraId="61F13200" w14:textId="4AC785AC" w:rsidR="009D49A0" w:rsidRPr="00552D93" w:rsidRDefault="00650B88" w:rsidP="00650B88">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weekly</w:t>
            </w:r>
          </w:p>
        </w:tc>
      </w:tr>
      <w:tr w:rsidR="00552D93" w:rsidRPr="00552D93" w14:paraId="10EF75B9" w14:textId="77777777" w:rsidTr="001F6D06">
        <w:trPr>
          <w:trHeight w:val="516"/>
        </w:trPr>
        <w:tc>
          <w:tcPr>
            <w:tcW w:w="470" w:type="pct"/>
            <w:shd w:val="clear" w:color="auto" w:fill="auto"/>
            <w:noWrap/>
            <w:hideMark/>
          </w:tcPr>
          <w:p w14:paraId="1E8E92D0"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Australia</w:t>
            </w:r>
          </w:p>
        </w:tc>
        <w:tc>
          <w:tcPr>
            <w:tcW w:w="577" w:type="pct"/>
            <w:shd w:val="clear" w:color="auto" w:fill="auto"/>
            <w:noWrap/>
          </w:tcPr>
          <w:p w14:paraId="5EA2F806"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2629 (4.3)</w:t>
            </w:r>
          </w:p>
        </w:tc>
        <w:tc>
          <w:tcPr>
            <w:tcW w:w="331" w:type="pct"/>
          </w:tcPr>
          <w:p w14:paraId="2D11DC71"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34.9 (14.1)</w:t>
            </w:r>
          </w:p>
        </w:tc>
        <w:tc>
          <w:tcPr>
            <w:tcW w:w="331" w:type="pct"/>
          </w:tcPr>
          <w:p w14:paraId="2142A1DC"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65.5</w:t>
            </w:r>
          </w:p>
        </w:tc>
        <w:tc>
          <w:tcPr>
            <w:tcW w:w="331" w:type="pct"/>
          </w:tcPr>
          <w:p w14:paraId="1448415A"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91.2</w:t>
            </w:r>
          </w:p>
        </w:tc>
        <w:tc>
          <w:tcPr>
            <w:tcW w:w="331" w:type="pct"/>
          </w:tcPr>
          <w:p w14:paraId="32FFD7AA"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8 (5, 13)</w:t>
            </w:r>
          </w:p>
        </w:tc>
        <w:tc>
          <w:tcPr>
            <w:tcW w:w="331" w:type="pct"/>
          </w:tcPr>
          <w:p w14:paraId="1C01508E"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44.60</w:t>
            </w:r>
          </w:p>
        </w:tc>
        <w:tc>
          <w:tcPr>
            <w:tcW w:w="331" w:type="pct"/>
          </w:tcPr>
          <w:p w14:paraId="797C091C"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39.20</w:t>
            </w:r>
          </w:p>
        </w:tc>
        <w:tc>
          <w:tcPr>
            <w:tcW w:w="331" w:type="pct"/>
          </w:tcPr>
          <w:p w14:paraId="267679D9"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8.40</w:t>
            </w:r>
          </w:p>
        </w:tc>
        <w:tc>
          <w:tcPr>
            <w:tcW w:w="331" w:type="pct"/>
          </w:tcPr>
          <w:p w14:paraId="2A2D4B48"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7.70</w:t>
            </w:r>
          </w:p>
        </w:tc>
        <w:tc>
          <w:tcPr>
            <w:tcW w:w="331" w:type="pct"/>
          </w:tcPr>
          <w:p w14:paraId="26ADCDA5"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81.9</w:t>
            </w:r>
          </w:p>
        </w:tc>
        <w:tc>
          <w:tcPr>
            <w:tcW w:w="331" w:type="pct"/>
          </w:tcPr>
          <w:p w14:paraId="74B6E72A"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55.0</w:t>
            </w:r>
          </w:p>
        </w:tc>
        <w:tc>
          <w:tcPr>
            <w:tcW w:w="331" w:type="pct"/>
          </w:tcPr>
          <w:p w14:paraId="27CF2740"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18.4</w:t>
            </w:r>
          </w:p>
        </w:tc>
        <w:tc>
          <w:tcPr>
            <w:tcW w:w="312" w:type="pct"/>
          </w:tcPr>
          <w:p w14:paraId="512198CB"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54.3</w:t>
            </w:r>
          </w:p>
        </w:tc>
      </w:tr>
      <w:tr w:rsidR="00552D93" w:rsidRPr="00552D93" w14:paraId="44AE021D" w14:textId="77777777" w:rsidTr="001F6D06">
        <w:trPr>
          <w:trHeight w:val="516"/>
        </w:trPr>
        <w:tc>
          <w:tcPr>
            <w:tcW w:w="470" w:type="pct"/>
            <w:shd w:val="clear" w:color="auto" w:fill="auto"/>
            <w:noWrap/>
          </w:tcPr>
          <w:p w14:paraId="4D83E2BE"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Austria</w:t>
            </w:r>
          </w:p>
        </w:tc>
        <w:tc>
          <w:tcPr>
            <w:tcW w:w="577" w:type="pct"/>
            <w:shd w:val="clear" w:color="auto" w:fill="auto"/>
            <w:noWrap/>
          </w:tcPr>
          <w:p w14:paraId="579E7720"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987 (1.6)</w:t>
            </w:r>
          </w:p>
        </w:tc>
        <w:tc>
          <w:tcPr>
            <w:tcW w:w="331" w:type="pct"/>
          </w:tcPr>
          <w:p w14:paraId="754CFA3D"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27.4</w:t>
            </w:r>
          </w:p>
          <w:p w14:paraId="2528DA6B"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(8.2)</w:t>
            </w:r>
          </w:p>
        </w:tc>
        <w:tc>
          <w:tcPr>
            <w:tcW w:w="331" w:type="pct"/>
          </w:tcPr>
          <w:p w14:paraId="2B4FEFD9"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66.4</w:t>
            </w:r>
          </w:p>
        </w:tc>
        <w:tc>
          <w:tcPr>
            <w:tcW w:w="331" w:type="pct"/>
          </w:tcPr>
          <w:p w14:paraId="34B11B6B"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97.0</w:t>
            </w:r>
          </w:p>
        </w:tc>
        <w:tc>
          <w:tcPr>
            <w:tcW w:w="331" w:type="pct"/>
          </w:tcPr>
          <w:p w14:paraId="0975AB92"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8(5, 11)</w:t>
            </w:r>
          </w:p>
        </w:tc>
        <w:tc>
          <w:tcPr>
            <w:tcW w:w="331" w:type="pct"/>
          </w:tcPr>
          <w:p w14:paraId="0243AF66"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49.30</w:t>
            </w:r>
          </w:p>
        </w:tc>
        <w:tc>
          <w:tcPr>
            <w:tcW w:w="331" w:type="pct"/>
          </w:tcPr>
          <w:p w14:paraId="79AC87BC"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42.40</w:t>
            </w:r>
          </w:p>
        </w:tc>
        <w:tc>
          <w:tcPr>
            <w:tcW w:w="331" w:type="pct"/>
          </w:tcPr>
          <w:p w14:paraId="6AE03387"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5.40</w:t>
            </w:r>
          </w:p>
        </w:tc>
        <w:tc>
          <w:tcPr>
            <w:tcW w:w="331" w:type="pct"/>
          </w:tcPr>
          <w:p w14:paraId="3625B91B"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2.90</w:t>
            </w:r>
          </w:p>
        </w:tc>
        <w:tc>
          <w:tcPr>
            <w:tcW w:w="331" w:type="pct"/>
          </w:tcPr>
          <w:p w14:paraId="603B0C69"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hAnsiTheme="majorHAnsi" w:cs="Arial"/>
                <w:sz w:val="16"/>
                <w:szCs w:val="16"/>
              </w:rPr>
              <w:t>86.2</w:t>
            </w:r>
          </w:p>
        </w:tc>
        <w:tc>
          <w:tcPr>
            <w:tcW w:w="331" w:type="pct"/>
          </w:tcPr>
          <w:p w14:paraId="5457FC8C"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71.3</w:t>
            </w:r>
          </w:p>
        </w:tc>
        <w:tc>
          <w:tcPr>
            <w:tcW w:w="331" w:type="pct"/>
          </w:tcPr>
          <w:p w14:paraId="4E806FFC"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26.7</w:t>
            </w:r>
          </w:p>
        </w:tc>
        <w:tc>
          <w:tcPr>
            <w:tcW w:w="312" w:type="pct"/>
          </w:tcPr>
          <w:p w14:paraId="3054EA51"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51.4</w:t>
            </w:r>
          </w:p>
        </w:tc>
      </w:tr>
      <w:tr w:rsidR="00552D93" w:rsidRPr="00552D93" w14:paraId="23B2706A" w14:textId="77777777" w:rsidTr="001F6D06">
        <w:trPr>
          <w:trHeight w:val="516"/>
        </w:trPr>
        <w:tc>
          <w:tcPr>
            <w:tcW w:w="470" w:type="pct"/>
            <w:shd w:val="clear" w:color="auto" w:fill="auto"/>
            <w:noWrap/>
          </w:tcPr>
          <w:p w14:paraId="6293E075"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Belgium</w:t>
            </w:r>
          </w:p>
        </w:tc>
        <w:tc>
          <w:tcPr>
            <w:tcW w:w="577" w:type="pct"/>
            <w:shd w:val="clear" w:color="auto" w:fill="auto"/>
            <w:noWrap/>
          </w:tcPr>
          <w:p w14:paraId="5E16E51C"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1,431 (2.3)</w:t>
            </w:r>
          </w:p>
        </w:tc>
        <w:tc>
          <w:tcPr>
            <w:tcW w:w="331" w:type="pct"/>
          </w:tcPr>
          <w:p w14:paraId="2F603FA2"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28.0 (9.6)</w:t>
            </w:r>
          </w:p>
        </w:tc>
        <w:tc>
          <w:tcPr>
            <w:tcW w:w="331" w:type="pct"/>
          </w:tcPr>
          <w:p w14:paraId="1A76093D"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69.5</w:t>
            </w:r>
          </w:p>
        </w:tc>
        <w:tc>
          <w:tcPr>
            <w:tcW w:w="331" w:type="pct"/>
          </w:tcPr>
          <w:p w14:paraId="3D4D2567"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94.9</w:t>
            </w:r>
          </w:p>
        </w:tc>
        <w:tc>
          <w:tcPr>
            <w:tcW w:w="331" w:type="pct"/>
          </w:tcPr>
          <w:p w14:paraId="53A0BBC1"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9 (5, 13)</w:t>
            </w:r>
          </w:p>
        </w:tc>
        <w:tc>
          <w:tcPr>
            <w:tcW w:w="331" w:type="pct"/>
          </w:tcPr>
          <w:p w14:paraId="584FC510"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39.50</w:t>
            </w:r>
          </w:p>
        </w:tc>
        <w:tc>
          <w:tcPr>
            <w:tcW w:w="331" w:type="pct"/>
          </w:tcPr>
          <w:p w14:paraId="0747CA83"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44.00</w:t>
            </w:r>
          </w:p>
        </w:tc>
        <w:tc>
          <w:tcPr>
            <w:tcW w:w="331" w:type="pct"/>
          </w:tcPr>
          <w:p w14:paraId="6830B2F1"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9.60</w:t>
            </w:r>
          </w:p>
        </w:tc>
        <w:tc>
          <w:tcPr>
            <w:tcW w:w="331" w:type="pct"/>
          </w:tcPr>
          <w:p w14:paraId="2F4DBFF6"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7.00</w:t>
            </w:r>
          </w:p>
        </w:tc>
        <w:tc>
          <w:tcPr>
            <w:tcW w:w="331" w:type="pct"/>
          </w:tcPr>
          <w:p w14:paraId="54CA163C"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hAnsiTheme="majorHAnsi" w:cs="Arial"/>
                <w:sz w:val="16"/>
                <w:szCs w:val="16"/>
              </w:rPr>
              <w:t>85.1</w:t>
            </w:r>
          </w:p>
        </w:tc>
        <w:tc>
          <w:tcPr>
            <w:tcW w:w="331" w:type="pct"/>
          </w:tcPr>
          <w:p w14:paraId="67C3DBC7"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59.0</w:t>
            </w:r>
          </w:p>
        </w:tc>
        <w:tc>
          <w:tcPr>
            <w:tcW w:w="331" w:type="pct"/>
          </w:tcPr>
          <w:p w14:paraId="5FD35548"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17.3</w:t>
            </w:r>
          </w:p>
        </w:tc>
        <w:tc>
          <w:tcPr>
            <w:tcW w:w="312" w:type="pct"/>
          </w:tcPr>
          <w:p w14:paraId="497B8BE3"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63.1</w:t>
            </w:r>
          </w:p>
        </w:tc>
      </w:tr>
      <w:tr w:rsidR="00552D93" w:rsidRPr="00552D93" w14:paraId="7108F27C" w14:textId="77777777" w:rsidTr="001F6D06">
        <w:trPr>
          <w:trHeight w:val="516"/>
        </w:trPr>
        <w:tc>
          <w:tcPr>
            <w:tcW w:w="470" w:type="pct"/>
            <w:shd w:val="clear" w:color="auto" w:fill="auto"/>
            <w:noWrap/>
          </w:tcPr>
          <w:p w14:paraId="0F8F4A08"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Brazil</w:t>
            </w:r>
          </w:p>
        </w:tc>
        <w:tc>
          <w:tcPr>
            <w:tcW w:w="577" w:type="pct"/>
            <w:shd w:val="clear" w:color="auto" w:fill="auto"/>
            <w:noWrap/>
          </w:tcPr>
          <w:p w14:paraId="0717DF3D"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3,319 (5.4)</w:t>
            </w:r>
          </w:p>
        </w:tc>
        <w:tc>
          <w:tcPr>
            <w:tcW w:w="331" w:type="pct"/>
          </w:tcPr>
          <w:p w14:paraId="39DBE1D4"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24.6 (6.7)</w:t>
            </w:r>
          </w:p>
        </w:tc>
        <w:tc>
          <w:tcPr>
            <w:tcW w:w="331" w:type="pct"/>
          </w:tcPr>
          <w:p w14:paraId="43736479"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58.3</w:t>
            </w:r>
          </w:p>
        </w:tc>
        <w:tc>
          <w:tcPr>
            <w:tcW w:w="331" w:type="pct"/>
          </w:tcPr>
          <w:p w14:paraId="3CE2435C"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62.9</w:t>
            </w:r>
          </w:p>
        </w:tc>
        <w:tc>
          <w:tcPr>
            <w:tcW w:w="331" w:type="pct"/>
          </w:tcPr>
          <w:p w14:paraId="4F3EEC40"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8 (5, 13)</w:t>
            </w:r>
          </w:p>
        </w:tc>
        <w:tc>
          <w:tcPr>
            <w:tcW w:w="331" w:type="pct"/>
          </w:tcPr>
          <w:p w14:paraId="3BFA2632"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43.50</w:t>
            </w:r>
          </w:p>
        </w:tc>
        <w:tc>
          <w:tcPr>
            <w:tcW w:w="331" w:type="pct"/>
          </w:tcPr>
          <w:p w14:paraId="069828EE"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41.80</w:t>
            </w:r>
          </w:p>
        </w:tc>
        <w:tc>
          <w:tcPr>
            <w:tcW w:w="331" w:type="pct"/>
          </w:tcPr>
          <w:p w14:paraId="1666E0FF"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8.30</w:t>
            </w:r>
          </w:p>
        </w:tc>
        <w:tc>
          <w:tcPr>
            <w:tcW w:w="331" w:type="pct"/>
          </w:tcPr>
          <w:p w14:paraId="03D24266"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6.40</w:t>
            </w:r>
          </w:p>
        </w:tc>
        <w:tc>
          <w:tcPr>
            <w:tcW w:w="331" w:type="pct"/>
          </w:tcPr>
          <w:p w14:paraId="3449F987"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85.5</w:t>
            </w:r>
          </w:p>
        </w:tc>
        <w:tc>
          <w:tcPr>
            <w:tcW w:w="331" w:type="pct"/>
          </w:tcPr>
          <w:p w14:paraId="14F68BE8"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67.6</w:t>
            </w:r>
          </w:p>
        </w:tc>
        <w:tc>
          <w:tcPr>
            <w:tcW w:w="331" w:type="pct"/>
          </w:tcPr>
          <w:p w14:paraId="51621148"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25.2</w:t>
            </w:r>
          </w:p>
        </w:tc>
        <w:tc>
          <w:tcPr>
            <w:tcW w:w="312" w:type="pct"/>
          </w:tcPr>
          <w:p w14:paraId="3A3DD45E"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58.8</w:t>
            </w:r>
          </w:p>
        </w:tc>
      </w:tr>
      <w:tr w:rsidR="00552D93" w:rsidRPr="00552D93" w14:paraId="26243177" w14:textId="77777777" w:rsidTr="001F6D06">
        <w:trPr>
          <w:trHeight w:val="516"/>
        </w:trPr>
        <w:tc>
          <w:tcPr>
            <w:tcW w:w="470" w:type="pct"/>
            <w:shd w:val="clear" w:color="auto" w:fill="auto"/>
            <w:noWrap/>
          </w:tcPr>
          <w:p w14:paraId="7F4B852A"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Canada</w:t>
            </w:r>
          </w:p>
        </w:tc>
        <w:tc>
          <w:tcPr>
            <w:tcW w:w="577" w:type="pct"/>
            <w:shd w:val="clear" w:color="auto" w:fill="auto"/>
            <w:noWrap/>
          </w:tcPr>
          <w:p w14:paraId="0F40A1DC"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893 (1.5)</w:t>
            </w:r>
          </w:p>
        </w:tc>
        <w:tc>
          <w:tcPr>
            <w:tcW w:w="331" w:type="pct"/>
          </w:tcPr>
          <w:p w14:paraId="3D8E234E"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25.4(10.4)</w:t>
            </w:r>
          </w:p>
        </w:tc>
        <w:tc>
          <w:tcPr>
            <w:tcW w:w="331" w:type="pct"/>
          </w:tcPr>
          <w:p w14:paraId="10ED2B86"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38.3</w:t>
            </w:r>
          </w:p>
        </w:tc>
        <w:tc>
          <w:tcPr>
            <w:tcW w:w="331" w:type="pct"/>
          </w:tcPr>
          <w:p w14:paraId="75AB7264"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86.8</w:t>
            </w:r>
          </w:p>
        </w:tc>
        <w:tc>
          <w:tcPr>
            <w:tcW w:w="331" w:type="pct"/>
          </w:tcPr>
          <w:p w14:paraId="4D5067CE"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8 (5,12)</w:t>
            </w:r>
          </w:p>
        </w:tc>
        <w:tc>
          <w:tcPr>
            <w:tcW w:w="331" w:type="pct"/>
          </w:tcPr>
          <w:p w14:paraId="20AB1EE2"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44.10</w:t>
            </w:r>
          </w:p>
        </w:tc>
        <w:tc>
          <w:tcPr>
            <w:tcW w:w="331" w:type="pct"/>
          </w:tcPr>
          <w:p w14:paraId="5FCC7DCB"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43.20</w:t>
            </w:r>
          </w:p>
        </w:tc>
        <w:tc>
          <w:tcPr>
            <w:tcW w:w="331" w:type="pct"/>
          </w:tcPr>
          <w:p w14:paraId="4302CFB4"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8.10</w:t>
            </w:r>
          </w:p>
        </w:tc>
        <w:tc>
          <w:tcPr>
            <w:tcW w:w="331" w:type="pct"/>
          </w:tcPr>
          <w:p w14:paraId="5DE70900"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4.60</w:t>
            </w:r>
          </w:p>
        </w:tc>
        <w:tc>
          <w:tcPr>
            <w:tcW w:w="331" w:type="pct"/>
          </w:tcPr>
          <w:p w14:paraId="03513253"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87.5</w:t>
            </w:r>
          </w:p>
        </w:tc>
        <w:tc>
          <w:tcPr>
            <w:tcW w:w="331" w:type="pct"/>
          </w:tcPr>
          <w:p w14:paraId="5D044E27"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64.2</w:t>
            </w:r>
          </w:p>
        </w:tc>
        <w:tc>
          <w:tcPr>
            <w:tcW w:w="331" w:type="pct"/>
          </w:tcPr>
          <w:p w14:paraId="09370A43"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19.8</w:t>
            </w:r>
          </w:p>
        </w:tc>
        <w:tc>
          <w:tcPr>
            <w:tcW w:w="312" w:type="pct"/>
          </w:tcPr>
          <w:p w14:paraId="1F915986"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52.7</w:t>
            </w:r>
          </w:p>
        </w:tc>
      </w:tr>
      <w:tr w:rsidR="00552D93" w:rsidRPr="00552D93" w14:paraId="1B6B5712" w14:textId="77777777" w:rsidTr="001F6D06">
        <w:trPr>
          <w:trHeight w:val="516"/>
        </w:trPr>
        <w:tc>
          <w:tcPr>
            <w:tcW w:w="470" w:type="pct"/>
            <w:shd w:val="clear" w:color="auto" w:fill="auto"/>
            <w:noWrap/>
          </w:tcPr>
          <w:p w14:paraId="558A5628"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Denmark</w:t>
            </w:r>
          </w:p>
        </w:tc>
        <w:tc>
          <w:tcPr>
            <w:tcW w:w="577" w:type="pct"/>
            <w:shd w:val="clear" w:color="auto" w:fill="auto"/>
            <w:noWrap/>
          </w:tcPr>
          <w:p w14:paraId="371811A7"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325 (0.5)</w:t>
            </w:r>
          </w:p>
        </w:tc>
        <w:tc>
          <w:tcPr>
            <w:tcW w:w="331" w:type="pct"/>
          </w:tcPr>
          <w:p w14:paraId="3169F455"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26.2 (8.0)</w:t>
            </w:r>
          </w:p>
        </w:tc>
        <w:tc>
          <w:tcPr>
            <w:tcW w:w="331" w:type="pct"/>
          </w:tcPr>
          <w:p w14:paraId="48CF315A"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76.3</w:t>
            </w:r>
          </w:p>
        </w:tc>
        <w:tc>
          <w:tcPr>
            <w:tcW w:w="331" w:type="pct"/>
          </w:tcPr>
          <w:p w14:paraId="4FA526AE"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89.5</w:t>
            </w:r>
          </w:p>
        </w:tc>
        <w:tc>
          <w:tcPr>
            <w:tcW w:w="331" w:type="pct"/>
          </w:tcPr>
          <w:p w14:paraId="0DC9CB03"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10 (7,13)</w:t>
            </w:r>
          </w:p>
        </w:tc>
        <w:tc>
          <w:tcPr>
            <w:tcW w:w="331" w:type="pct"/>
          </w:tcPr>
          <w:p w14:paraId="117DF7DA"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31.10</w:t>
            </w:r>
          </w:p>
        </w:tc>
        <w:tc>
          <w:tcPr>
            <w:tcW w:w="331" w:type="pct"/>
          </w:tcPr>
          <w:p w14:paraId="289A1DCB"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52.90</w:t>
            </w:r>
          </w:p>
        </w:tc>
        <w:tc>
          <w:tcPr>
            <w:tcW w:w="331" w:type="pct"/>
          </w:tcPr>
          <w:p w14:paraId="3B75C60B"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8.90</w:t>
            </w:r>
          </w:p>
        </w:tc>
        <w:tc>
          <w:tcPr>
            <w:tcW w:w="331" w:type="pct"/>
          </w:tcPr>
          <w:p w14:paraId="303B70E9"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7.10</w:t>
            </w:r>
          </w:p>
        </w:tc>
        <w:tc>
          <w:tcPr>
            <w:tcW w:w="331" w:type="pct"/>
          </w:tcPr>
          <w:p w14:paraId="7367571C" w14:textId="77777777" w:rsidR="009D49A0" w:rsidRPr="00552D93" w:rsidRDefault="009D49A0" w:rsidP="009D49A0">
            <w:pPr>
              <w:spacing w:after="0" w:line="240" w:lineRule="auto"/>
              <w:jc w:val="right"/>
              <w:rPr>
                <w:rFonts w:asciiTheme="majorHAnsi" w:hAnsiTheme="majorHAnsi" w:cs="Arial"/>
                <w:sz w:val="16"/>
                <w:szCs w:val="16"/>
                <w:highlight w:val="yellow"/>
              </w:rPr>
            </w:pPr>
            <w:r w:rsidRPr="00552D93">
              <w:rPr>
                <w:rFonts w:asciiTheme="majorHAnsi" w:hAnsiTheme="majorHAnsi" w:cs="Arial"/>
                <w:sz w:val="16"/>
                <w:szCs w:val="16"/>
              </w:rPr>
              <w:t>82.2</w:t>
            </w:r>
          </w:p>
        </w:tc>
        <w:tc>
          <w:tcPr>
            <w:tcW w:w="331" w:type="pct"/>
          </w:tcPr>
          <w:p w14:paraId="5E85BD6A"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69.8</w:t>
            </w:r>
          </w:p>
        </w:tc>
        <w:tc>
          <w:tcPr>
            <w:tcW w:w="331" w:type="pct"/>
          </w:tcPr>
          <w:p w14:paraId="4BC0693E"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22.5</w:t>
            </w:r>
          </w:p>
        </w:tc>
        <w:tc>
          <w:tcPr>
            <w:tcW w:w="312" w:type="pct"/>
          </w:tcPr>
          <w:p w14:paraId="2F925248"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49.8</w:t>
            </w:r>
          </w:p>
        </w:tc>
      </w:tr>
      <w:tr w:rsidR="00552D93" w:rsidRPr="00552D93" w14:paraId="41890A4D" w14:textId="77777777" w:rsidTr="001F6D06">
        <w:trPr>
          <w:trHeight w:val="516"/>
        </w:trPr>
        <w:tc>
          <w:tcPr>
            <w:tcW w:w="470" w:type="pct"/>
            <w:shd w:val="clear" w:color="auto" w:fill="auto"/>
            <w:noWrap/>
          </w:tcPr>
          <w:p w14:paraId="7FF808E1"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France</w:t>
            </w:r>
          </w:p>
        </w:tc>
        <w:tc>
          <w:tcPr>
            <w:tcW w:w="577" w:type="pct"/>
            <w:shd w:val="clear" w:color="auto" w:fill="auto"/>
            <w:noWrap/>
          </w:tcPr>
          <w:p w14:paraId="69799A8B"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6,183 (10.1)</w:t>
            </w:r>
          </w:p>
        </w:tc>
        <w:tc>
          <w:tcPr>
            <w:tcW w:w="331" w:type="pct"/>
          </w:tcPr>
          <w:p w14:paraId="792ABB9B"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27.6(9.3)</w:t>
            </w:r>
          </w:p>
        </w:tc>
        <w:tc>
          <w:tcPr>
            <w:tcW w:w="331" w:type="pct"/>
          </w:tcPr>
          <w:p w14:paraId="776C25D6"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61.6</w:t>
            </w:r>
          </w:p>
        </w:tc>
        <w:tc>
          <w:tcPr>
            <w:tcW w:w="331" w:type="pct"/>
          </w:tcPr>
          <w:p w14:paraId="0AF47EC1"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90.8</w:t>
            </w:r>
          </w:p>
        </w:tc>
        <w:tc>
          <w:tcPr>
            <w:tcW w:w="331" w:type="pct"/>
          </w:tcPr>
          <w:p w14:paraId="60AF56E7"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10 (7, 14)</w:t>
            </w:r>
          </w:p>
        </w:tc>
        <w:tc>
          <w:tcPr>
            <w:tcW w:w="331" w:type="pct"/>
          </w:tcPr>
          <w:p w14:paraId="41A5BCE0"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32.30</w:t>
            </w:r>
          </w:p>
        </w:tc>
        <w:tc>
          <w:tcPr>
            <w:tcW w:w="331" w:type="pct"/>
          </w:tcPr>
          <w:p w14:paraId="0E4BB8DE"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50.10</w:t>
            </w:r>
          </w:p>
        </w:tc>
        <w:tc>
          <w:tcPr>
            <w:tcW w:w="331" w:type="pct"/>
          </w:tcPr>
          <w:p w14:paraId="09FFC7D0"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10.10</w:t>
            </w:r>
          </w:p>
        </w:tc>
        <w:tc>
          <w:tcPr>
            <w:tcW w:w="331" w:type="pct"/>
          </w:tcPr>
          <w:p w14:paraId="34A11BA7"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7.50</w:t>
            </w:r>
          </w:p>
        </w:tc>
        <w:tc>
          <w:tcPr>
            <w:tcW w:w="331" w:type="pct"/>
          </w:tcPr>
          <w:p w14:paraId="23AEAC23"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hAnsiTheme="majorHAnsi" w:cs="Arial"/>
                <w:sz w:val="16"/>
                <w:szCs w:val="16"/>
              </w:rPr>
              <w:t>92.2</w:t>
            </w:r>
          </w:p>
        </w:tc>
        <w:tc>
          <w:tcPr>
            <w:tcW w:w="331" w:type="pct"/>
          </w:tcPr>
          <w:p w14:paraId="7F0E85B7"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71.3</w:t>
            </w:r>
          </w:p>
        </w:tc>
        <w:tc>
          <w:tcPr>
            <w:tcW w:w="331" w:type="pct"/>
          </w:tcPr>
          <w:p w14:paraId="6B2CB6DD"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21.6</w:t>
            </w:r>
          </w:p>
        </w:tc>
        <w:tc>
          <w:tcPr>
            <w:tcW w:w="312" w:type="pct"/>
          </w:tcPr>
          <w:p w14:paraId="2D702004"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64.1</w:t>
            </w:r>
          </w:p>
        </w:tc>
      </w:tr>
      <w:tr w:rsidR="00552D93" w:rsidRPr="00552D93" w14:paraId="6FE87122" w14:textId="77777777" w:rsidTr="001F6D06">
        <w:trPr>
          <w:trHeight w:val="516"/>
        </w:trPr>
        <w:tc>
          <w:tcPr>
            <w:tcW w:w="470" w:type="pct"/>
            <w:shd w:val="clear" w:color="auto" w:fill="auto"/>
            <w:noWrap/>
          </w:tcPr>
          <w:p w14:paraId="415D0570"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Greece</w:t>
            </w:r>
          </w:p>
        </w:tc>
        <w:tc>
          <w:tcPr>
            <w:tcW w:w="577" w:type="pct"/>
            <w:shd w:val="clear" w:color="auto" w:fill="auto"/>
            <w:noWrap/>
          </w:tcPr>
          <w:p w14:paraId="28A66EE2"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263 (.04)</w:t>
            </w:r>
          </w:p>
        </w:tc>
        <w:tc>
          <w:tcPr>
            <w:tcW w:w="331" w:type="pct"/>
          </w:tcPr>
          <w:p w14:paraId="13F89BBC"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27.8 (8.2)</w:t>
            </w:r>
          </w:p>
        </w:tc>
        <w:tc>
          <w:tcPr>
            <w:tcW w:w="331" w:type="pct"/>
          </w:tcPr>
          <w:p w14:paraId="437B47A6"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81.4</w:t>
            </w:r>
          </w:p>
        </w:tc>
        <w:tc>
          <w:tcPr>
            <w:tcW w:w="331" w:type="pct"/>
          </w:tcPr>
          <w:p w14:paraId="6B7888AA"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99.2</w:t>
            </w:r>
          </w:p>
        </w:tc>
        <w:tc>
          <w:tcPr>
            <w:tcW w:w="331" w:type="pct"/>
          </w:tcPr>
          <w:p w14:paraId="0A1FC80A"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7 (4, 10)</w:t>
            </w:r>
          </w:p>
        </w:tc>
        <w:tc>
          <w:tcPr>
            <w:tcW w:w="331" w:type="pct"/>
          </w:tcPr>
          <w:p w14:paraId="0049D8DD"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60.10</w:t>
            </w:r>
          </w:p>
        </w:tc>
        <w:tc>
          <w:tcPr>
            <w:tcW w:w="331" w:type="pct"/>
          </w:tcPr>
          <w:p w14:paraId="2C1156BA"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30.40</w:t>
            </w:r>
          </w:p>
        </w:tc>
        <w:tc>
          <w:tcPr>
            <w:tcW w:w="331" w:type="pct"/>
          </w:tcPr>
          <w:p w14:paraId="3038D924"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7.60</w:t>
            </w:r>
          </w:p>
        </w:tc>
        <w:tc>
          <w:tcPr>
            <w:tcW w:w="331" w:type="pct"/>
          </w:tcPr>
          <w:p w14:paraId="0FEF0B74"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1.90</w:t>
            </w:r>
          </w:p>
        </w:tc>
        <w:tc>
          <w:tcPr>
            <w:tcW w:w="331" w:type="pct"/>
          </w:tcPr>
          <w:p w14:paraId="60971EA8" w14:textId="77777777" w:rsidR="009D49A0" w:rsidRPr="00552D93" w:rsidRDefault="009D49A0" w:rsidP="009D49A0">
            <w:pPr>
              <w:spacing w:after="0" w:line="240" w:lineRule="auto"/>
              <w:jc w:val="right"/>
              <w:rPr>
                <w:rFonts w:asciiTheme="majorHAnsi" w:hAnsiTheme="majorHAnsi" w:cs="Arial"/>
                <w:sz w:val="16"/>
                <w:szCs w:val="16"/>
                <w:highlight w:val="yellow"/>
              </w:rPr>
            </w:pPr>
            <w:r w:rsidRPr="00552D93">
              <w:rPr>
                <w:rFonts w:asciiTheme="majorHAnsi" w:hAnsiTheme="majorHAnsi" w:cs="Arial"/>
                <w:sz w:val="16"/>
                <w:szCs w:val="16"/>
              </w:rPr>
              <w:t>68.8</w:t>
            </w:r>
          </w:p>
        </w:tc>
        <w:tc>
          <w:tcPr>
            <w:tcW w:w="331" w:type="pct"/>
          </w:tcPr>
          <w:p w14:paraId="207FF1BE"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36.9</w:t>
            </w:r>
          </w:p>
        </w:tc>
        <w:tc>
          <w:tcPr>
            <w:tcW w:w="331" w:type="pct"/>
          </w:tcPr>
          <w:p w14:paraId="6769D046"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11.4</w:t>
            </w:r>
          </w:p>
        </w:tc>
        <w:tc>
          <w:tcPr>
            <w:tcW w:w="312" w:type="pct"/>
          </w:tcPr>
          <w:p w14:paraId="61680DDB"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72.2</w:t>
            </w:r>
          </w:p>
        </w:tc>
      </w:tr>
      <w:tr w:rsidR="00552D93" w:rsidRPr="00552D93" w14:paraId="5D1B2198" w14:textId="77777777" w:rsidTr="001F6D06">
        <w:trPr>
          <w:trHeight w:val="516"/>
        </w:trPr>
        <w:tc>
          <w:tcPr>
            <w:tcW w:w="470" w:type="pct"/>
            <w:shd w:val="clear" w:color="auto" w:fill="auto"/>
            <w:noWrap/>
          </w:tcPr>
          <w:p w14:paraId="434918BE"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Germany</w:t>
            </w:r>
          </w:p>
        </w:tc>
        <w:tc>
          <w:tcPr>
            <w:tcW w:w="577" w:type="pct"/>
            <w:shd w:val="clear" w:color="auto" w:fill="auto"/>
            <w:noWrap/>
          </w:tcPr>
          <w:p w14:paraId="6647005F"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18,713 (30.7)</w:t>
            </w:r>
          </w:p>
        </w:tc>
        <w:tc>
          <w:tcPr>
            <w:tcW w:w="331" w:type="pct"/>
          </w:tcPr>
          <w:p w14:paraId="4CE62410"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28.3 (9.4)</w:t>
            </w:r>
          </w:p>
        </w:tc>
        <w:tc>
          <w:tcPr>
            <w:tcW w:w="331" w:type="pct"/>
          </w:tcPr>
          <w:p w14:paraId="340254B4"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69.1</w:t>
            </w:r>
          </w:p>
        </w:tc>
        <w:tc>
          <w:tcPr>
            <w:tcW w:w="331" w:type="pct"/>
          </w:tcPr>
          <w:p w14:paraId="58783D87"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95.9</w:t>
            </w:r>
          </w:p>
        </w:tc>
        <w:tc>
          <w:tcPr>
            <w:tcW w:w="331" w:type="pct"/>
          </w:tcPr>
          <w:p w14:paraId="17DD5078"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7 (4, 11)</w:t>
            </w:r>
          </w:p>
        </w:tc>
        <w:tc>
          <w:tcPr>
            <w:tcW w:w="331" w:type="pct"/>
          </w:tcPr>
          <w:p w14:paraId="2064B8B4"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54.20</w:t>
            </w:r>
          </w:p>
        </w:tc>
        <w:tc>
          <w:tcPr>
            <w:tcW w:w="331" w:type="pct"/>
          </w:tcPr>
          <w:p w14:paraId="530E9234"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37.10</w:t>
            </w:r>
          </w:p>
        </w:tc>
        <w:tc>
          <w:tcPr>
            <w:tcW w:w="331" w:type="pct"/>
          </w:tcPr>
          <w:p w14:paraId="710BB34C"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5.60</w:t>
            </w:r>
          </w:p>
        </w:tc>
        <w:tc>
          <w:tcPr>
            <w:tcW w:w="331" w:type="pct"/>
          </w:tcPr>
          <w:p w14:paraId="68EA65B7"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3.10</w:t>
            </w:r>
          </w:p>
        </w:tc>
        <w:tc>
          <w:tcPr>
            <w:tcW w:w="331" w:type="pct"/>
          </w:tcPr>
          <w:p w14:paraId="034D081C"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84.7</w:t>
            </w:r>
          </w:p>
        </w:tc>
        <w:tc>
          <w:tcPr>
            <w:tcW w:w="331" w:type="pct"/>
          </w:tcPr>
          <w:p w14:paraId="3D3CB97E"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68.8</w:t>
            </w:r>
          </w:p>
        </w:tc>
        <w:tc>
          <w:tcPr>
            <w:tcW w:w="331" w:type="pct"/>
          </w:tcPr>
          <w:p w14:paraId="5DA4EDC4"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hAnsiTheme="majorHAnsi" w:cs="Arial"/>
                <w:sz w:val="16"/>
                <w:szCs w:val="16"/>
              </w:rPr>
              <w:t>19.9</w:t>
            </w:r>
          </w:p>
        </w:tc>
        <w:tc>
          <w:tcPr>
            <w:tcW w:w="312" w:type="pct"/>
          </w:tcPr>
          <w:p w14:paraId="1B4264A0"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46.6</w:t>
            </w:r>
          </w:p>
        </w:tc>
      </w:tr>
      <w:tr w:rsidR="00552D93" w:rsidRPr="00552D93" w14:paraId="7E5A3D11" w14:textId="77777777" w:rsidTr="001F6D06">
        <w:trPr>
          <w:trHeight w:val="516"/>
        </w:trPr>
        <w:tc>
          <w:tcPr>
            <w:tcW w:w="470" w:type="pct"/>
            <w:shd w:val="clear" w:color="auto" w:fill="auto"/>
            <w:noWrap/>
          </w:tcPr>
          <w:p w14:paraId="74E4AB64"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Hungary</w:t>
            </w:r>
          </w:p>
        </w:tc>
        <w:tc>
          <w:tcPr>
            <w:tcW w:w="577" w:type="pct"/>
            <w:shd w:val="clear" w:color="auto" w:fill="auto"/>
            <w:noWrap/>
          </w:tcPr>
          <w:p w14:paraId="0390201B"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3,007 (4.9)</w:t>
            </w:r>
          </w:p>
        </w:tc>
        <w:tc>
          <w:tcPr>
            <w:tcW w:w="331" w:type="pct"/>
          </w:tcPr>
          <w:p w14:paraId="4B2C5A30"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27.3 (8.0)</w:t>
            </w:r>
          </w:p>
        </w:tc>
        <w:tc>
          <w:tcPr>
            <w:tcW w:w="331" w:type="pct"/>
          </w:tcPr>
          <w:p w14:paraId="7F8CCDFB"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73.1</w:t>
            </w:r>
          </w:p>
        </w:tc>
        <w:tc>
          <w:tcPr>
            <w:tcW w:w="331" w:type="pct"/>
          </w:tcPr>
          <w:p w14:paraId="57C721A0"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97.9</w:t>
            </w:r>
          </w:p>
        </w:tc>
        <w:tc>
          <w:tcPr>
            <w:tcW w:w="331" w:type="pct"/>
          </w:tcPr>
          <w:p w14:paraId="0D61D251"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8 (5 ,12)</w:t>
            </w:r>
          </w:p>
        </w:tc>
        <w:tc>
          <w:tcPr>
            <w:tcW w:w="331" w:type="pct"/>
          </w:tcPr>
          <w:p w14:paraId="7CCE2312"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43.50</w:t>
            </w:r>
          </w:p>
        </w:tc>
        <w:tc>
          <w:tcPr>
            <w:tcW w:w="331" w:type="pct"/>
          </w:tcPr>
          <w:p w14:paraId="0B246BD8"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41.80</w:t>
            </w:r>
          </w:p>
        </w:tc>
        <w:tc>
          <w:tcPr>
            <w:tcW w:w="331" w:type="pct"/>
          </w:tcPr>
          <w:p w14:paraId="0F49EC27"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8.50</w:t>
            </w:r>
          </w:p>
        </w:tc>
        <w:tc>
          <w:tcPr>
            <w:tcW w:w="331" w:type="pct"/>
          </w:tcPr>
          <w:p w14:paraId="21F54DDD"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6.20</w:t>
            </w:r>
          </w:p>
        </w:tc>
        <w:tc>
          <w:tcPr>
            <w:tcW w:w="331" w:type="pct"/>
          </w:tcPr>
          <w:p w14:paraId="5AB8EBE1"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82.9</w:t>
            </w:r>
          </w:p>
        </w:tc>
        <w:tc>
          <w:tcPr>
            <w:tcW w:w="331" w:type="pct"/>
          </w:tcPr>
          <w:p w14:paraId="033DF35B"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65.5</w:t>
            </w:r>
          </w:p>
        </w:tc>
        <w:tc>
          <w:tcPr>
            <w:tcW w:w="331" w:type="pct"/>
          </w:tcPr>
          <w:p w14:paraId="7AAD8AA6"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21.2</w:t>
            </w:r>
          </w:p>
        </w:tc>
        <w:tc>
          <w:tcPr>
            <w:tcW w:w="312" w:type="pct"/>
          </w:tcPr>
          <w:p w14:paraId="6EAD0308"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55.2</w:t>
            </w:r>
          </w:p>
        </w:tc>
      </w:tr>
      <w:tr w:rsidR="00552D93" w:rsidRPr="00552D93" w14:paraId="6223B63E" w14:textId="77777777" w:rsidTr="001F6D06">
        <w:trPr>
          <w:trHeight w:val="516"/>
        </w:trPr>
        <w:tc>
          <w:tcPr>
            <w:tcW w:w="470" w:type="pct"/>
            <w:shd w:val="clear" w:color="auto" w:fill="auto"/>
            <w:noWrap/>
          </w:tcPr>
          <w:p w14:paraId="66E5BC6B"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 xml:space="preserve">Republic of </w:t>
            </w:r>
          </w:p>
          <w:p w14:paraId="167A4FD5"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Ireland</w:t>
            </w:r>
          </w:p>
        </w:tc>
        <w:tc>
          <w:tcPr>
            <w:tcW w:w="577" w:type="pct"/>
            <w:shd w:val="clear" w:color="auto" w:fill="auto"/>
            <w:noWrap/>
          </w:tcPr>
          <w:p w14:paraId="6D5554A0"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1,764 (2.9)</w:t>
            </w:r>
          </w:p>
        </w:tc>
        <w:tc>
          <w:tcPr>
            <w:tcW w:w="331" w:type="pct"/>
          </w:tcPr>
          <w:p w14:paraId="7D9C6B71"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24.5 (7.8)</w:t>
            </w:r>
          </w:p>
        </w:tc>
        <w:tc>
          <w:tcPr>
            <w:tcW w:w="331" w:type="pct"/>
          </w:tcPr>
          <w:p w14:paraId="74D2CEDA"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53.1</w:t>
            </w:r>
          </w:p>
        </w:tc>
        <w:tc>
          <w:tcPr>
            <w:tcW w:w="331" w:type="pct"/>
          </w:tcPr>
          <w:p w14:paraId="56566453"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96.9</w:t>
            </w:r>
          </w:p>
        </w:tc>
        <w:tc>
          <w:tcPr>
            <w:tcW w:w="331" w:type="pct"/>
          </w:tcPr>
          <w:p w14:paraId="4B53A9FB"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11 (8, 16)</w:t>
            </w:r>
          </w:p>
        </w:tc>
        <w:tc>
          <w:tcPr>
            <w:tcW w:w="331" w:type="pct"/>
          </w:tcPr>
          <w:p w14:paraId="63ACD640"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24.40</w:t>
            </w:r>
          </w:p>
        </w:tc>
        <w:tc>
          <w:tcPr>
            <w:tcW w:w="331" w:type="pct"/>
          </w:tcPr>
          <w:p w14:paraId="78A44DCE"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47.80</w:t>
            </w:r>
          </w:p>
        </w:tc>
        <w:tc>
          <w:tcPr>
            <w:tcW w:w="331" w:type="pct"/>
          </w:tcPr>
          <w:p w14:paraId="5249E201"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15.50</w:t>
            </w:r>
          </w:p>
        </w:tc>
        <w:tc>
          <w:tcPr>
            <w:tcW w:w="331" w:type="pct"/>
          </w:tcPr>
          <w:p w14:paraId="7770181A"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12.30</w:t>
            </w:r>
          </w:p>
        </w:tc>
        <w:tc>
          <w:tcPr>
            <w:tcW w:w="331" w:type="pct"/>
          </w:tcPr>
          <w:p w14:paraId="22599230"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91.5</w:t>
            </w:r>
          </w:p>
        </w:tc>
        <w:tc>
          <w:tcPr>
            <w:tcW w:w="331" w:type="pct"/>
          </w:tcPr>
          <w:p w14:paraId="6149EEE9"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78.3</w:t>
            </w:r>
          </w:p>
        </w:tc>
        <w:tc>
          <w:tcPr>
            <w:tcW w:w="331" w:type="pct"/>
          </w:tcPr>
          <w:p w14:paraId="6C5F58AD"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31.7</w:t>
            </w:r>
          </w:p>
        </w:tc>
        <w:tc>
          <w:tcPr>
            <w:tcW w:w="312" w:type="pct"/>
          </w:tcPr>
          <w:p w14:paraId="20D9E49A"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45.2</w:t>
            </w:r>
          </w:p>
        </w:tc>
      </w:tr>
      <w:tr w:rsidR="00552D93" w:rsidRPr="00552D93" w14:paraId="6C5EDA6C" w14:textId="77777777" w:rsidTr="001F6D06">
        <w:trPr>
          <w:trHeight w:val="516"/>
        </w:trPr>
        <w:tc>
          <w:tcPr>
            <w:tcW w:w="470" w:type="pct"/>
            <w:shd w:val="clear" w:color="auto" w:fill="auto"/>
            <w:noWrap/>
          </w:tcPr>
          <w:p w14:paraId="0F13619C"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lastRenderedPageBreak/>
              <w:t>Italy</w:t>
            </w:r>
          </w:p>
        </w:tc>
        <w:tc>
          <w:tcPr>
            <w:tcW w:w="577" w:type="pct"/>
            <w:shd w:val="clear" w:color="auto" w:fill="auto"/>
            <w:noWrap/>
          </w:tcPr>
          <w:p w14:paraId="75946586"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253 (.04)</w:t>
            </w:r>
          </w:p>
        </w:tc>
        <w:tc>
          <w:tcPr>
            <w:tcW w:w="331" w:type="pct"/>
          </w:tcPr>
          <w:p w14:paraId="5907CD4C"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30.1(10.2)</w:t>
            </w:r>
          </w:p>
        </w:tc>
        <w:tc>
          <w:tcPr>
            <w:tcW w:w="331" w:type="pct"/>
          </w:tcPr>
          <w:p w14:paraId="1B5BD41F"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70.4</w:t>
            </w:r>
          </w:p>
        </w:tc>
        <w:tc>
          <w:tcPr>
            <w:tcW w:w="331" w:type="pct"/>
          </w:tcPr>
          <w:p w14:paraId="2CE5783D"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88.5</w:t>
            </w:r>
          </w:p>
        </w:tc>
        <w:tc>
          <w:tcPr>
            <w:tcW w:w="331" w:type="pct"/>
          </w:tcPr>
          <w:p w14:paraId="7A4280DE"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8 (5, 11)</w:t>
            </w:r>
          </w:p>
        </w:tc>
        <w:tc>
          <w:tcPr>
            <w:tcW w:w="331" w:type="pct"/>
          </w:tcPr>
          <w:p w14:paraId="6456B424"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47.40</w:t>
            </w:r>
          </w:p>
        </w:tc>
        <w:tc>
          <w:tcPr>
            <w:tcW w:w="331" w:type="pct"/>
          </w:tcPr>
          <w:p w14:paraId="6D49ADB4"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38.70</w:t>
            </w:r>
          </w:p>
        </w:tc>
        <w:tc>
          <w:tcPr>
            <w:tcW w:w="331" w:type="pct"/>
          </w:tcPr>
          <w:p w14:paraId="3E99D06C"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8.70</w:t>
            </w:r>
          </w:p>
        </w:tc>
        <w:tc>
          <w:tcPr>
            <w:tcW w:w="331" w:type="pct"/>
          </w:tcPr>
          <w:p w14:paraId="2DDD86CB"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5.10</w:t>
            </w:r>
          </w:p>
        </w:tc>
        <w:tc>
          <w:tcPr>
            <w:tcW w:w="331" w:type="pct"/>
          </w:tcPr>
          <w:p w14:paraId="2688DF22"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85.8</w:t>
            </w:r>
          </w:p>
        </w:tc>
        <w:tc>
          <w:tcPr>
            <w:tcW w:w="331" w:type="pct"/>
          </w:tcPr>
          <w:p w14:paraId="6BE4D678"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58.9</w:t>
            </w:r>
          </w:p>
        </w:tc>
        <w:tc>
          <w:tcPr>
            <w:tcW w:w="331" w:type="pct"/>
          </w:tcPr>
          <w:p w14:paraId="45049F7F"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16.2</w:t>
            </w:r>
          </w:p>
        </w:tc>
        <w:tc>
          <w:tcPr>
            <w:tcW w:w="312" w:type="pct"/>
          </w:tcPr>
          <w:p w14:paraId="5D67A62C"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62.1</w:t>
            </w:r>
          </w:p>
        </w:tc>
      </w:tr>
      <w:tr w:rsidR="00552D93" w:rsidRPr="00552D93" w14:paraId="627D62BB" w14:textId="77777777" w:rsidTr="001F6D06">
        <w:trPr>
          <w:trHeight w:val="516"/>
        </w:trPr>
        <w:tc>
          <w:tcPr>
            <w:tcW w:w="470" w:type="pct"/>
            <w:shd w:val="clear" w:color="auto" w:fill="auto"/>
            <w:noWrap/>
          </w:tcPr>
          <w:p w14:paraId="0DEE456B"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Netherlands</w:t>
            </w:r>
          </w:p>
        </w:tc>
        <w:tc>
          <w:tcPr>
            <w:tcW w:w="577" w:type="pct"/>
            <w:shd w:val="clear" w:color="auto" w:fill="auto"/>
            <w:noWrap/>
          </w:tcPr>
          <w:p w14:paraId="08E9C7CE"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4,411 (7.2)</w:t>
            </w:r>
          </w:p>
        </w:tc>
        <w:tc>
          <w:tcPr>
            <w:tcW w:w="331" w:type="pct"/>
          </w:tcPr>
          <w:p w14:paraId="0BA2EA94"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23.0(6.4)</w:t>
            </w:r>
          </w:p>
        </w:tc>
        <w:tc>
          <w:tcPr>
            <w:tcW w:w="331" w:type="pct"/>
          </w:tcPr>
          <w:p w14:paraId="040DE0D9"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57.0</w:t>
            </w:r>
          </w:p>
        </w:tc>
        <w:tc>
          <w:tcPr>
            <w:tcW w:w="331" w:type="pct"/>
          </w:tcPr>
          <w:p w14:paraId="23779756"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91.4</w:t>
            </w:r>
          </w:p>
        </w:tc>
        <w:tc>
          <w:tcPr>
            <w:tcW w:w="331" w:type="pct"/>
          </w:tcPr>
          <w:p w14:paraId="3DF5820E"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10 (7, 13)</w:t>
            </w:r>
          </w:p>
        </w:tc>
        <w:tc>
          <w:tcPr>
            <w:tcW w:w="331" w:type="pct"/>
          </w:tcPr>
          <w:p w14:paraId="0E8B1553"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32.70</w:t>
            </w:r>
          </w:p>
        </w:tc>
        <w:tc>
          <w:tcPr>
            <w:tcW w:w="331" w:type="pct"/>
          </w:tcPr>
          <w:p w14:paraId="08BDDA83"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50.20</w:t>
            </w:r>
          </w:p>
        </w:tc>
        <w:tc>
          <w:tcPr>
            <w:tcW w:w="331" w:type="pct"/>
          </w:tcPr>
          <w:p w14:paraId="76748065"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10.70</w:t>
            </w:r>
          </w:p>
        </w:tc>
        <w:tc>
          <w:tcPr>
            <w:tcW w:w="331" w:type="pct"/>
          </w:tcPr>
          <w:p w14:paraId="6E6E945B"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6.40</w:t>
            </w:r>
          </w:p>
        </w:tc>
        <w:tc>
          <w:tcPr>
            <w:tcW w:w="331" w:type="pct"/>
          </w:tcPr>
          <w:p w14:paraId="233E5608"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87.3</w:t>
            </w:r>
          </w:p>
        </w:tc>
        <w:tc>
          <w:tcPr>
            <w:tcW w:w="331" w:type="pct"/>
          </w:tcPr>
          <w:p w14:paraId="297724D5"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64.3</w:t>
            </w:r>
          </w:p>
        </w:tc>
        <w:tc>
          <w:tcPr>
            <w:tcW w:w="331" w:type="pct"/>
          </w:tcPr>
          <w:p w14:paraId="5ACCD47F"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hAnsiTheme="majorHAnsi" w:cs="Arial"/>
                <w:sz w:val="16"/>
                <w:szCs w:val="16"/>
              </w:rPr>
              <w:t>18.0</w:t>
            </w:r>
          </w:p>
        </w:tc>
        <w:tc>
          <w:tcPr>
            <w:tcW w:w="312" w:type="pct"/>
          </w:tcPr>
          <w:p w14:paraId="7F00F329"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44.1</w:t>
            </w:r>
          </w:p>
        </w:tc>
      </w:tr>
      <w:tr w:rsidR="00552D93" w:rsidRPr="00552D93" w14:paraId="717D10A1" w14:textId="77777777" w:rsidTr="001F6D06">
        <w:trPr>
          <w:trHeight w:val="516"/>
        </w:trPr>
        <w:tc>
          <w:tcPr>
            <w:tcW w:w="470" w:type="pct"/>
            <w:shd w:val="clear" w:color="auto" w:fill="auto"/>
            <w:noWrap/>
          </w:tcPr>
          <w:p w14:paraId="7F417D11"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New Zealand</w:t>
            </w:r>
          </w:p>
        </w:tc>
        <w:tc>
          <w:tcPr>
            <w:tcW w:w="577" w:type="pct"/>
            <w:shd w:val="clear" w:color="auto" w:fill="auto"/>
            <w:noWrap/>
          </w:tcPr>
          <w:p w14:paraId="0E67ECEA"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2,239 (3.9)</w:t>
            </w:r>
          </w:p>
        </w:tc>
        <w:tc>
          <w:tcPr>
            <w:tcW w:w="331" w:type="pct"/>
          </w:tcPr>
          <w:p w14:paraId="43F88AAD"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34.4(13.5)</w:t>
            </w:r>
          </w:p>
        </w:tc>
        <w:tc>
          <w:tcPr>
            <w:tcW w:w="331" w:type="pct"/>
          </w:tcPr>
          <w:p w14:paraId="30ECD522"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56.4</w:t>
            </w:r>
          </w:p>
        </w:tc>
        <w:tc>
          <w:tcPr>
            <w:tcW w:w="331" w:type="pct"/>
          </w:tcPr>
          <w:p w14:paraId="08B93B5E"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89.1</w:t>
            </w:r>
          </w:p>
        </w:tc>
        <w:tc>
          <w:tcPr>
            <w:tcW w:w="331" w:type="pct"/>
          </w:tcPr>
          <w:p w14:paraId="45273999"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8 (5, 12)</w:t>
            </w:r>
          </w:p>
        </w:tc>
        <w:tc>
          <w:tcPr>
            <w:tcW w:w="331" w:type="pct"/>
          </w:tcPr>
          <w:p w14:paraId="0CD9821E"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47.10</w:t>
            </w:r>
          </w:p>
        </w:tc>
        <w:tc>
          <w:tcPr>
            <w:tcW w:w="331" w:type="pct"/>
          </w:tcPr>
          <w:p w14:paraId="0F618315"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38.50</w:t>
            </w:r>
          </w:p>
        </w:tc>
        <w:tc>
          <w:tcPr>
            <w:tcW w:w="331" w:type="pct"/>
          </w:tcPr>
          <w:p w14:paraId="2AEE695D"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7.10</w:t>
            </w:r>
          </w:p>
        </w:tc>
        <w:tc>
          <w:tcPr>
            <w:tcW w:w="331" w:type="pct"/>
          </w:tcPr>
          <w:p w14:paraId="174CD91F"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7.30</w:t>
            </w:r>
          </w:p>
        </w:tc>
        <w:tc>
          <w:tcPr>
            <w:tcW w:w="331" w:type="pct"/>
          </w:tcPr>
          <w:p w14:paraId="7A3246E9"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78.8</w:t>
            </w:r>
          </w:p>
        </w:tc>
        <w:tc>
          <w:tcPr>
            <w:tcW w:w="331" w:type="pct"/>
          </w:tcPr>
          <w:p w14:paraId="75D751E0"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49.7</w:t>
            </w:r>
          </w:p>
        </w:tc>
        <w:tc>
          <w:tcPr>
            <w:tcW w:w="331" w:type="pct"/>
          </w:tcPr>
          <w:p w14:paraId="606CFAAE"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13.8</w:t>
            </w:r>
          </w:p>
        </w:tc>
        <w:tc>
          <w:tcPr>
            <w:tcW w:w="312" w:type="pct"/>
          </w:tcPr>
          <w:p w14:paraId="4FD9CC3D"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61.1</w:t>
            </w:r>
          </w:p>
        </w:tc>
      </w:tr>
      <w:tr w:rsidR="00552D93" w:rsidRPr="00552D93" w14:paraId="2AEBDC70" w14:textId="77777777" w:rsidTr="001F6D06">
        <w:trPr>
          <w:trHeight w:val="516"/>
        </w:trPr>
        <w:tc>
          <w:tcPr>
            <w:tcW w:w="470" w:type="pct"/>
            <w:shd w:val="clear" w:color="auto" w:fill="auto"/>
            <w:noWrap/>
          </w:tcPr>
          <w:p w14:paraId="65F3F3D6"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Poland</w:t>
            </w:r>
          </w:p>
        </w:tc>
        <w:tc>
          <w:tcPr>
            <w:tcW w:w="577" w:type="pct"/>
            <w:shd w:val="clear" w:color="auto" w:fill="auto"/>
            <w:noWrap/>
          </w:tcPr>
          <w:p w14:paraId="5ADE429D"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288 (0.5)</w:t>
            </w:r>
          </w:p>
        </w:tc>
        <w:tc>
          <w:tcPr>
            <w:tcW w:w="331" w:type="pct"/>
          </w:tcPr>
          <w:p w14:paraId="1BAE7421"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24.7(6.9)</w:t>
            </w:r>
          </w:p>
        </w:tc>
        <w:tc>
          <w:tcPr>
            <w:tcW w:w="331" w:type="pct"/>
          </w:tcPr>
          <w:p w14:paraId="0EA9C978"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75.0</w:t>
            </w:r>
          </w:p>
        </w:tc>
        <w:tc>
          <w:tcPr>
            <w:tcW w:w="331" w:type="pct"/>
          </w:tcPr>
          <w:p w14:paraId="22A2ABE8"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98.3</w:t>
            </w:r>
          </w:p>
        </w:tc>
        <w:tc>
          <w:tcPr>
            <w:tcW w:w="331" w:type="pct"/>
          </w:tcPr>
          <w:p w14:paraId="55A9964E"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9.5 (6,14)</w:t>
            </w:r>
          </w:p>
        </w:tc>
        <w:tc>
          <w:tcPr>
            <w:tcW w:w="331" w:type="pct"/>
          </w:tcPr>
          <w:p w14:paraId="65F822EC"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35.40</w:t>
            </w:r>
          </w:p>
        </w:tc>
        <w:tc>
          <w:tcPr>
            <w:tcW w:w="331" w:type="pct"/>
          </w:tcPr>
          <w:p w14:paraId="7B60A9D9"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44.80</w:t>
            </w:r>
          </w:p>
        </w:tc>
        <w:tc>
          <w:tcPr>
            <w:tcW w:w="331" w:type="pct"/>
          </w:tcPr>
          <w:p w14:paraId="4660DC2C"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9.40</w:t>
            </w:r>
          </w:p>
        </w:tc>
        <w:tc>
          <w:tcPr>
            <w:tcW w:w="331" w:type="pct"/>
          </w:tcPr>
          <w:p w14:paraId="0CEB6505"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10.40</w:t>
            </w:r>
          </w:p>
        </w:tc>
        <w:tc>
          <w:tcPr>
            <w:tcW w:w="331" w:type="pct"/>
          </w:tcPr>
          <w:p w14:paraId="3D8F2CE9"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85.4</w:t>
            </w:r>
          </w:p>
        </w:tc>
        <w:tc>
          <w:tcPr>
            <w:tcW w:w="331" w:type="pct"/>
          </w:tcPr>
          <w:p w14:paraId="38BAB40C"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54.9</w:t>
            </w:r>
          </w:p>
        </w:tc>
        <w:tc>
          <w:tcPr>
            <w:tcW w:w="331" w:type="pct"/>
          </w:tcPr>
          <w:p w14:paraId="6D99FC2F"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17.7</w:t>
            </w:r>
          </w:p>
        </w:tc>
        <w:tc>
          <w:tcPr>
            <w:tcW w:w="312" w:type="pct"/>
          </w:tcPr>
          <w:p w14:paraId="476C9062"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44.1</w:t>
            </w:r>
          </w:p>
        </w:tc>
      </w:tr>
      <w:tr w:rsidR="00552D93" w:rsidRPr="00552D93" w14:paraId="393D9AD1" w14:textId="77777777" w:rsidTr="001F6D06">
        <w:trPr>
          <w:trHeight w:val="516"/>
        </w:trPr>
        <w:tc>
          <w:tcPr>
            <w:tcW w:w="470" w:type="pct"/>
            <w:shd w:val="clear" w:color="auto" w:fill="auto"/>
            <w:noWrap/>
          </w:tcPr>
          <w:p w14:paraId="3574908D"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Portugal</w:t>
            </w:r>
          </w:p>
        </w:tc>
        <w:tc>
          <w:tcPr>
            <w:tcW w:w="577" w:type="pct"/>
            <w:shd w:val="clear" w:color="auto" w:fill="auto"/>
            <w:noWrap/>
          </w:tcPr>
          <w:p w14:paraId="53DA3F39"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802 (1.3)</w:t>
            </w:r>
          </w:p>
        </w:tc>
        <w:tc>
          <w:tcPr>
            <w:tcW w:w="331" w:type="pct"/>
          </w:tcPr>
          <w:p w14:paraId="76B84AEA"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30.4(9.0)</w:t>
            </w:r>
          </w:p>
        </w:tc>
        <w:tc>
          <w:tcPr>
            <w:tcW w:w="331" w:type="pct"/>
          </w:tcPr>
          <w:p w14:paraId="171EF1B7"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64.3</w:t>
            </w:r>
          </w:p>
        </w:tc>
        <w:tc>
          <w:tcPr>
            <w:tcW w:w="331" w:type="pct"/>
          </w:tcPr>
          <w:p w14:paraId="192BB2F4"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89.8</w:t>
            </w:r>
          </w:p>
        </w:tc>
        <w:tc>
          <w:tcPr>
            <w:tcW w:w="331" w:type="pct"/>
          </w:tcPr>
          <w:p w14:paraId="3C7CFA55" w14:textId="77777777" w:rsidR="009D49A0" w:rsidRPr="00552D93" w:rsidRDefault="009D49A0" w:rsidP="009D49A0">
            <w:pPr>
              <w:spacing w:after="0" w:line="240" w:lineRule="auto"/>
              <w:jc w:val="right"/>
              <w:rPr>
                <w:rFonts w:asciiTheme="majorHAnsi" w:eastAsia="Times New Roman" w:hAnsiTheme="majorHAnsi" w:cs="Times New Roman"/>
                <w:sz w:val="16"/>
                <w:szCs w:val="16"/>
                <w:highlight w:val="yellow"/>
                <w:lang w:eastAsia="en-GB"/>
              </w:rPr>
            </w:pPr>
            <w:r w:rsidRPr="00552D93">
              <w:rPr>
                <w:rFonts w:asciiTheme="majorHAnsi" w:eastAsia="Times New Roman" w:hAnsiTheme="majorHAnsi" w:cs="Times New Roman"/>
                <w:sz w:val="16"/>
                <w:szCs w:val="16"/>
                <w:lang w:eastAsia="en-GB"/>
              </w:rPr>
              <w:t>6 (4, 9)</w:t>
            </w:r>
          </w:p>
        </w:tc>
        <w:tc>
          <w:tcPr>
            <w:tcW w:w="331" w:type="pct"/>
          </w:tcPr>
          <w:p w14:paraId="219C517E"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60.60</w:t>
            </w:r>
          </w:p>
        </w:tc>
        <w:tc>
          <w:tcPr>
            <w:tcW w:w="331" w:type="pct"/>
          </w:tcPr>
          <w:p w14:paraId="04EF149C"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32.00</w:t>
            </w:r>
          </w:p>
        </w:tc>
        <w:tc>
          <w:tcPr>
            <w:tcW w:w="331" w:type="pct"/>
          </w:tcPr>
          <w:p w14:paraId="62F6633C"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4.70</w:t>
            </w:r>
          </w:p>
        </w:tc>
        <w:tc>
          <w:tcPr>
            <w:tcW w:w="331" w:type="pct"/>
          </w:tcPr>
          <w:p w14:paraId="2149E857"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2.60</w:t>
            </w:r>
          </w:p>
        </w:tc>
        <w:tc>
          <w:tcPr>
            <w:tcW w:w="331" w:type="pct"/>
          </w:tcPr>
          <w:p w14:paraId="2B630888"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78.2</w:t>
            </w:r>
          </w:p>
        </w:tc>
        <w:tc>
          <w:tcPr>
            <w:tcW w:w="331" w:type="pct"/>
          </w:tcPr>
          <w:p w14:paraId="114B025B"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51.2</w:t>
            </w:r>
          </w:p>
        </w:tc>
        <w:tc>
          <w:tcPr>
            <w:tcW w:w="331" w:type="pct"/>
          </w:tcPr>
          <w:p w14:paraId="05A61256"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13.1</w:t>
            </w:r>
          </w:p>
        </w:tc>
        <w:tc>
          <w:tcPr>
            <w:tcW w:w="312" w:type="pct"/>
          </w:tcPr>
          <w:p w14:paraId="4F1A2656"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73.1</w:t>
            </w:r>
          </w:p>
        </w:tc>
      </w:tr>
      <w:tr w:rsidR="00552D93" w:rsidRPr="00552D93" w14:paraId="3AB9730A" w14:textId="77777777" w:rsidTr="001F6D06">
        <w:trPr>
          <w:trHeight w:val="516"/>
        </w:trPr>
        <w:tc>
          <w:tcPr>
            <w:tcW w:w="470" w:type="pct"/>
            <w:shd w:val="clear" w:color="auto" w:fill="auto"/>
            <w:noWrap/>
          </w:tcPr>
          <w:p w14:paraId="0B691B25"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 xml:space="preserve">Spain </w:t>
            </w:r>
          </w:p>
        </w:tc>
        <w:tc>
          <w:tcPr>
            <w:tcW w:w="577" w:type="pct"/>
            <w:shd w:val="clear" w:color="auto" w:fill="auto"/>
            <w:noWrap/>
          </w:tcPr>
          <w:p w14:paraId="5A431E66"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581 (1.0)</w:t>
            </w:r>
          </w:p>
        </w:tc>
        <w:tc>
          <w:tcPr>
            <w:tcW w:w="331" w:type="pct"/>
          </w:tcPr>
          <w:p w14:paraId="5BF22597"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29.7(10.1)</w:t>
            </w:r>
          </w:p>
        </w:tc>
        <w:tc>
          <w:tcPr>
            <w:tcW w:w="331" w:type="pct"/>
          </w:tcPr>
          <w:p w14:paraId="7398F954"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69.5</w:t>
            </w:r>
          </w:p>
        </w:tc>
        <w:tc>
          <w:tcPr>
            <w:tcW w:w="331" w:type="pct"/>
          </w:tcPr>
          <w:p w14:paraId="4EA205CC"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86.4</w:t>
            </w:r>
          </w:p>
        </w:tc>
        <w:tc>
          <w:tcPr>
            <w:tcW w:w="331" w:type="pct"/>
          </w:tcPr>
          <w:p w14:paraId="38C54DBC"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8 (5, 11)</w:t>
            </w:r>
          </w:p>
        </w:tc>
        <w:tc>
          <w:tcPr>
            <w:tcW w:w="331" w:type="pct"/>
          </w:tcPr>
          <w:p w14:paraId="0443EAFC"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48.20</w:t>
            </w:r>
          </w:p>
        </w:tc>
        <w:tc>
          <w:tcPr>
            <w:tcW w:w="331" w:type="pct"/>
          </w:tcPr>
          <w:p w14:paraId="3C9A762D"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40.30</w:t>
            </w:r>
          </w:p>
        </w:tc>
        <w:tc>
          <w:tcPr>
            <w:tcW w:w="331" w:type="pct"/>
          </w:tcPr>
          <w:p w14:paraId="0CB471C5"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6.40</w:t>
            </w:r>
          </w:p>
        </w:tc>
        <w:tc>
          <w:tcPr>
            <w:tcW w:w="331" w:type="pct"/>
          </w:tcPr>
          <w:p w14:paraId="017D48BE"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5.20</w:t>
            </w:r>
          </w:p>
        </w:tc>
        <w:tc>
          <w:tcPr>
            <w:tcW w:w="331" w:type="pct"/>
          </w:tcPr>
          <w:p w14:paraId="3E5C6103"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88.8</w:t>
            </w:r>
          </w:p>
        </w:tc>
        <w:tc>
          <w:tcPr>
            <w:tcW w:w="331" w:type="pct"/>
          </w:tcPr>
          <w:p w14:paraId="79028E93"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64.0</w:t>
            </w:r>
          </w:p>
        </w:tc>
        <w:tc>
          <w:tcPr>
            <w:tcW w:w="331" w:type="pct"/>
          </w:tcPr>
          <w:p w14:paraId="72248493"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20.3</w:t>
            </w:r>
          </w:p>
        </w:tc>
        <w:tc>
          <w:tcPr>
            <w:tcW w:w="312" w:type="pct"/>
          </w:tcPr>
          <w:p w14:paraId="7DFF003F"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64.4</w:t>
            </w:r>
          </w:p>
        </w:tc>
      </w:tr>
      <w:tr w:rsidR="00552D93" w:rsidRPr="00552D93" w14:paraId="48B07144" w14:textId="77777777" w:rsidTr="001F6D06">
        <w:trPr>
          <w:trHeight w:val="516"/>
        </w:trPr>
        <w:tc>
          <w:tcPr>
            <w:tcW w:w="470" w:type="pct"/>
            <w:shd w:val="clear" w:color="auto" w:fill="auto"/>
            <w:noWrap/>
          </w:tcPr>
          <w:p w14:paraId="777F0DBD"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Sweden</w:t>
            </w:r>
          </w:p>
        </w:tc>
        <w:tc>
          <w:tcPr>
            <w:tcW w:w="577" w:type="pct"/>
            <w:shd w:val="clear" w:color="auto" w:fill="auto"/>
            <w:noWrap/>
          </w:tcPr>
          <w:p w14:paraId="603EF3F5"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383(0.6)</w:t>
            </w:r>
          </w:p>
        </w:tc>
        <w:tc>
          <w:tcPr>
            <w:tcW w:w="331" w:type="pct"/>
          </w:tcPr>
          <w:p w14:paraId="6A21F836"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27.2(8.2)</w:t>
            </w:r>
          </w:p>
        </w:tc>
        <w:tc>
          <w:tcPr>
            <w:tcW w:w="331" w:type="pct"/>
          </w:tcPr>
          <w:p w14:paraId="343C1346"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76.5</w:t>
            </w:r>
          </w:p>
        </w:tc>
        <w:tc>
          <w:tcPr>
            <w:tcW w:w="331" w:type="pct"/>
          </w:tcPr>
          <w:p w14:paraId="7FBC2E3B"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93.5</w:t>
            </w:r>
          </w:p>
        </w:tc>
        <w:tc>
          <w:tcPr>
            <w:tcW w:w="331" w:type="pct"/>
          </w:tcPr>
          <w:p w14:paraId="71468A69"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8 (5, 11)</w:t>
            </w:r>
          </w:p>
        </w:tc>
        <w:tc>
          <w:tcPr>
            <w:tcW w:w="331" w:type="pct"/>
          </w:tcPr>
          <w:p w14:paraId="3A38DD73"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47.50</w:t>
            </w:r>
          </w:p>
        </w:tc>
        <w:tc>
          <w:tcPr>
            <w:tcW w:w="331" w:type="pct"/>
          </w:tcPr>
          <w:p w14:paraId="32944FA2"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39.70</w:t>
            </w:r>
          </w:p>
        </w:tc>
        <w:tc>
          <w:tcPr>
            <w:tcW w:w="331" w:type="pct"/>
          </w:tcPr>
          <w:p w14:paraId="7EBFBEEF"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8.90</w:t>
            </w:r>
          </w:p>
        </w:tc>
        <w:tc>
          <w:tcPr>
            <w:tcW w:w="331" w:type="pct"/>
          </w:tcPr>
          <w:p w14:paraId="1D0CC2CC"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3.90</w:t>
            </w:r>
          </w:p>
        </w:tc>
        <w:tc>
          <w:tcPr>
            <w:tcW w:w="331" w:type="pct"/>
          </w:tcPr>
          <w:p w14:paraId="0D99DC36"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80.2</w:t>
            </w:r>
          </w:p>
        </w:tc>
        <w:tc>
          <w:tcPr>
            <w:tcW w:w="331" w:type="pct"/>
          </w:tcPr>
          <w:p w14:paraId="62A1BDC2"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61.4</w:t>
            </w:r>
          </w:p>
        </w:tc>
        <w:tc>
          <w:tcPr>
            <w:tcW w:w="331" w:type="pct"/>
          </w:tcPr>
          <w:p w14:paraId="71F9B9E1"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10.2</w:t>
            </w:r>
          </w:p>
        </w:tc>
        <w:tc>
          <w:tcPr>
            <w:tcW w:w="312" w:type="pct"/>
          </w:tcPr>
          <w:p w14:paraId="145CD6FD"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39.9</w:t>
            </w:r>
          </w:p>
        </w:tc>
      </w:tr>
      <w:tr w:rsidR="00552D93" w:rsidRPr="00552D93" w14:paraId="6A3FF34E" w14:textId="77777777" w:rsidTr="001F6D06">
        <w:trPr>
          <w:trHeight w:val="516"/>
        </w:trPr>
        <w:tc>
          <w:tcPr>
            <w:tcW w:w="470" w:type="pct"/>
            <w:shd w:val="clear" w:color="auto" w:fill="auto"/>
            <w:noWrap/>
          </w:tcPr>
          <w:p w14:paraId="33F610E0"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Switzerland</w:t>
            </w:r>
          </w:p>
        </w:tc>
        <w:tc>
          <w:tcPr>
            <w:tcW w:w="577" w:type="pct"/>
            <w:shd w:val="clear" w:color="auto" w:fill="auto"/>
            <w:noWrap/>
          </w:tcPr>
          <w:p w14:paraId="01F22CAF"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3,392 (5.6)</w:t>
            </w:r>
          </w:p>
        </w:tc>
        <w:tc>
          <w:tcPr>
            <w:tcW w:w="331" w:type="pct"/>
          </w:tcPr>
          <w:p w14:paraId="42A8D7BE"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28.4(10.3)</w:t>
            </w:r>
          </w:p>
        </w:tc>
        <w:tc>
          <w:tcPr>
            <w:tcW w:w="331" w:type="pct"/>
          </w:tcPr>
          <w:p w14:paraId="62696745"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64.8</w:t>
            </w:r>
          </w:p>
        </w:tc>
        <w:tc>
          <w:tcPr>
            <w:tcW w:w="331" w:type="pct"/>
          </w:tcPr>
          <w:p w14:paraId="00ABAB58"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93.5</w:t>
            </w:r>
          </w:p>
        </w:tc>
        <w:tc>
          <w:tcPr>
            <w:tcW w:w="331" w:type="pct"/>
          </w:tcPr>
          <w:p w14:paraId="54D90A50"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7 (4, 11)</w:t>
            </w:r>
          </w:p>
        </w:tc>
        <w:tc>
          <w:tcPr>
            <w:tcW w:w="331" w:type="pct"/>
          </w:tcPr>
          <w:p w14:paraId="256D7383"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56.30</w:t>
            </w:r>
          </w:p>
        </w:tc>
        <w:tc>
          <w:tcPr>
            <w:tcW w:w="331" w:type="pct"/>
          </w:tcPr>
          <w:p w14:paraId="72F51C5D"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35.50</w:t>
            </w:r>
          </w:p>
        </w:tc>
        <w:tc>
          <w:tcPr>
            <w:tcW w:w="331" w:type="pct"/>
          </w:tcPr>
          <w:p w14:paraId="404E0955"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5.50</w:t>
            </w:r>
          </w:p>
        </w:tc>
        <w:tc>
          <w:tcPr>
            <w:tcW w:w="331" w:type="pct"/>
          </w:tcPr>
          <w:p w14:paraId="0CC8CAF0"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2.70</w:t>
            </w:r>
          </w:p>
        </w:tc>
        <w:tc>
          <w:tcPr>
            <w:tcW w:w="331" w:type="pct"/>
          </w:tcPr>
          <w:p w14:paraId="0E1E107D"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82.0</w:t>
            </w:r>
          </w:p>
        </w:tc>
        <w:tc>
          <w:tcPr>
            <w:tcW w:w="331" w:type="pct"/>
          </w:tcPr>
          <w:p w14:paraId="326B40D6"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60.1</w:t>
            </w:r>
          </w:p>
        </w:tc>
        <w:tc>
          <w:tcPr>
            <w:tcW w:w="331" w:type="pct"/>
          </w:tcPr>
          <w:p w14:paraId="57A318C6"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16.7</w:t>
            </w:r>
          </w:p>
        </w:tc>
        <w:tc>
          <w:tcPr>
            <w:tcW w:w="312" w:type="pct"/>
          </w:tcPr>
          <w:p w14:paraId="26FA4543"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56.6</w:t>
            </w:r>
          </w:p>
        </w:tc>
      </w:tr>
      <w:tr w:rsidR="00552D93" w:rsidRPr="00552D93" w14:paraId="336CFD1B" w14:textId="77777777" w:rsidTr="001F6D06">
        <w:trPr>
          <w:trHeight w:val="516"/>
        </w:trPr>
        <w:tc>
          <w:tcPr>
            <w:tcW w:w="470" w:type="pct"/>
            <w:shd w:val="clear" w:color="auto" w:fill="auto"/>
            <w:noWrap/>
          </w:tcPr>
          <w:p w14:paraId="3265DA9E"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 xml:space="preserve">United Kingdom </w:t>
            </w:r>
          </w:p>
        </w:tc>
        <w:tc>
          <w:tcPr>
            <w:tcW w:w="577" w:type="pct"/>
            <w:shd w:val="clear" w:color="auto" w:fill="auto"/>
            <w:noWrap/>
          </w:tcPr>
          <w:p w14:paraId="0880ACBA"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5,204 (8.5)</w:t>
            </w:r>
          </w:p>
        </w:tc>
        <w:tc>
          <w:tcPr>
            <w:tcW w:w="331" w:type="pct"/>
          </w:tcPr>
          <w:p w14:paraId="4B6F206E"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29.1(11.3)</w:t>
            </w:r>
          </w:p>
        </w:tc>
        <w:tc>
          <w:tcPr>
            <w:tcW w:w="331" w:type="pct"/>
          </w:tcPr>
          <w:p w14:paraId="013BF308"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67.9</w:t>
            </w:r>
          </w:p>
        </w:tc>
        <w:tc>
          <w:tcPr>
            <w:tcW w:w="331" w:type="pct"/>
          </w:tcPr>
          <w:p w14:paraId="73E72FED"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93.7</w:t>
            </w:r>
          </w:p>
        </w:tc>
        <w:tc>
          <w:tcPr>
            <w:tcW w:w="331" w:type="pct"/>
          </w:tcPr>
          <w:p w14:paraId="072695E2" w14:textId="77777777" w:rsidR="009D49A0" w:rsidRPr="00552D93" w:rsidRDefault="009D49A0" w:rsidP="009D49A0">
            <w:pPr>
              <w:spacing w:after="0" w:line="240" w:lineRule="auto"/>
              <w:jc w:val="center"/>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9 (6, 14)</w:t>
            </w:r>
          </w:p>
        </w:tc>
        <w:tc>
          <w:tcPr>
            <w:tcW w:w="331" w:type="pct"/>
          </w:tcPr>
          <w:p w14:paraId="6E50A4A3"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35.30</w:t>
            </w:r>
          </w:p>
        </w:tc>
        <w:tc>
          <w:tcPr>
            <w:tcW w:w="331" w:type="pct"/>
          </w:tcPr>
          <w:p w14:paraId="26C9017E"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47.20</w:t>
            </w:r>
          </w:p>
        </w:tc>
        <w:tc>
          <w:tcPr>
            <w:tcW w:w="331" w:type="pct"/>
          </w:tcPr>
          <w:p w14:paraId="084B176B"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9.80</w:t>
            </w:r>
          </w:p>
        </w:tc>
        <w:tc>
          <w:tcPr>
            <w:tcW w:w="331" w:type="pct"/>
          </w:tcPr>
          <w:p w14:paraId="43CE12C7"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7.70</w:t>
            </w:r>
          </w:p>
        </w:tc>
        <w:tc>
          <w:tcPr>
            <w:tcW w:w="331" w:type="pct"/>
          </w:tcPr>
          <w:p w14:paraId="53B32AE4"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87.5</w:t>
            </w:r>
          </w:p>
        </w:tc>
        <w:tc>
          <w:tcPr>
            <w:tcW w:w="331" w:type="pct"/>
          </w:tcPr>
          <w:p w14:paraId="1B815B6D"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67.1</w:t>
            </w:r>
          </w:p>
        </w:tc>
        <w:tc>
          <w:tcPr>
            <w:tcW w:w="331" w:type="pct"/>
          </w:tcPr>
          <w:p w14:paraId="4C9D1BF8"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22.7</w:t>
            </w:r>
          </w:p>
        </w:tc>
        <w:tc>
          <w:tcPr>
            <w:tcW w:w="312" w:type="pct"/>
          </w:tcPr>
          <w:p w14:paraId="4246DBD9"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49.2</w:t>
            </w:r>
          </w:p>
        </w:tc>
      </w:tr>
      <w:tr w:rsidR="00552D93" w:rsidRPr="00552D93" w14:paraId="37614358" w14:textId="77777777" w:rsidTr="001F6D06">
        <w:trPr>
          <w:trHeight w:val="516"/>
        </w:trPr>
        <w:tc>
          <w:tcPr>
            <w:tcW w:w="470" w:type="pct"/>
            <w:shd w:val="clear" w:color="auto" w:fill="auto"/>
            <w:noWrap/>
          </w:tcPr>
          <w:p w14:paraId="7736D683" w14:textId="77777777" w:rsidR="009D49A0" w:rsidRPr="00552D93" w:rsidRDefault="009D49A0" w:rsidP="009D49A0">
            <w:pPr>
              <w:spacing w:after="0" w:line="48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United States</w:t>
            </w:r>
          </w:p>
        </w:tc>
        <w:tc>
          <w:tcPr>
            <w:tcW w:w="577" w:type="pct"/>
            <w:shd w:val="clear" w:color="auto" w:fill="auto"/>
            <w:noWrap/>
          </w:tcPr>
          <w:p w14:paraId="0DD05A67"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3,976 (6.5)</w:t>
            </w:r>
          </w:p>
        </w:tc>
        <w:tc>
          <w:tcPr>
            <w:tcW w:w="331" w:type="pct"/>
          </w:tcPr>
          <w:p w14:paraId="0D28C9CF"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26.7(11.4)</w:t>
            </w:r>
          </w:p>
        </w:tc>
        <w:tc>
          <w:tcPr>
            <w:tcW w:w="331" w:type="pct"/>
          </w:tcPr>
          <w:p w14:paraId="70D2BA00"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44.6</w:t>
            </w:r>
          </w:p>
        </w:tc>
        <w:tc>
          <w:tcPr>
            <w:tcW w:w="331" w:type="pct"/>
          </w:tcPr>
          <w:p w14:paraId="5F368DDB"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84.8</w:t>
            </w:r>
          </w:p>
        </w:tc>
        <w:tc>
          <w:tcPr>
            <w:tcW w:w="331" w:type="pct"/>
          </w:tcPr>
          <w:p w14:paraId="4AECEE23"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eastAsia="Times New Roman" w:hAnsiTheme="majorHAnsi" w:cs="Times New Roman"/>
                <w:sz w:val="16"/>
                <w:szCs w:val="16"/>
                <w:lang w:eastAsia="en-GB"/>
              </w:rPr>
              <w:t>8 (5, 12)</w:t>
            </w:r>
          </w:p>
        </w:tc>
        <w:tc>
          <w:tcPr>
            <w:tcW w:w="331" w:type="pct"/>
          </w:tcPr>
          <w:p w14:paraId="7E789DE9"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49.00</w:t>
            </w:r>
          </w:p>
        </w:tc>
        <w:tc>
          <w:tcPr>
            <w:tcW w:w="331" w:type="pct"/>
          </w:tcPr>
          <w:p w14:paraId="744EF4BE"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39.30</w:t>
            </w:r>
          </w:p>
        </w:tc>
        <w:tc>
          <w:tcPr>
            <w:tcW w:w="331" w:type="pct"/>
          </w:tcPr>
          <w:p w14:paraId="14101C08"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6.40</w:t>
            </w:r>
          </w:p>
        </w:tc>
        <w:tc>
          <w:tcPr>
            <w:tcW w:w="331" w:type="pct"/>
          </w:tcPr>
          <w:p w14:paraId="49100DE3" w14:textId="77777777" w:rsidR="009D49A0" w:rsidRPr="00552D93" w:rsidRDefault="009D49A0" w:rsidP="009D49A0">
            <w:pPr>
              <w:spacing w:line="240" w:lineRule="auto"/>
              <w:jc w:val="right"/>
              <w:rPr>
                <w:rFonts w:asciiTheme="majorHAnsi" w:hAnsiTheme="majorHAnsi"/>
                <w:sz w:val="16"/>
                <w:szCs w:val="16"/>
              </w:rPr>
            </w:pPr>
            <w:r w:rsidRPr="00552D93">
              <w:rPr>
                <w:rFonts w:asciiTheme="majorHAnsi" w:hAnsiTheme="majorHAnsi"/>
                <w:sz w:val="16"/>
                <w:szCs w:val="16"/>
              </w:rPr>
              <w:t>5.40</w:t>
            </w:r>
          </w:p>
        </w:tc>
        <w:tc>
          <w:tcPr>
            <w:tcW w:w="331" w:type="pct"/>
          </w:tcPr>
          <w:p w14:paraId="07F19309"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84.5</w:t>
            </w:r>
          </w:p>
        </w:tc>
        <w:tc>
          <w:tcPr>
            <w:tcW w:w="331" w:type="pct"/>
          </w:tcPr>
          <w:p w14:paraId="59A28461"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62.8</w:t>
            </w:r>
          </w:p>
        </w:tc>
        <w:tc>
          <w:tcPr>
            <w:tcW w:w="331" w:type="pct"/>
          </w:tcPr>
          <w:p w14:paraId="4ABD5B59" w14:textId="77777777" w:rsidR="009D49A0" w:rsidRPr="00552D93" w:rsidRDefault="009D49A0" w:rsidP="009D49A0">
            <w:pPr>
              <w:spacing w:after="0" w:line="240" w:lineRule="auto"/>
              <w:jc w:val="right"/>
              <w:rPr>
                <w:rFonts w:asciiTheme="majorHAnsi" w:eastAsia="Times New Roman" w:hAnsiTheme="majorHAnsi" w:cs="Times New Roman"/>
                <w:sz w:val="16"/>
                <w:szCs w:val="16"/>
                <w:lang w:eastAsia="en-GB"/>
              </w:rPr>
            </w:pPr>
            <w:r w:rsidRPr="00552D93">
              <w:rPr>
                <w:rFonts w:asciiTheme="majorHAnsi" w:hAnsiTheme="majorHAnsi" w:cs="Arial"/>
                <w:sz w:val="16"/>
                <w:szCs w:val="16"/>
              </w:rPr>
              <w:t>21.2</w:t>
            </w:r>
          </w:p>
        </w:tc>
        <w:tc>
          <w:tcPr>
            <w:tcW w:w="312" w:type="pct"/>
          </w:tcPr>
          <w:p w14:paraId="5D664490" w14:textId="77777777" w:rsidR="009D49A0" w:rsidRPr="00552D93" w:rsidRDefault="009D49A0" w:rsidP="009D49A0">
            <w:pPr>
              <w:spacing w:after="0" w:line="240" w:lineRule="auto"/>
              <w:jc w:val="right"/>
              <w:rPr>
                <w:rFonts w:asciiTheme="majorHAnsi" w:hAnsiTheme="majorHAnsi" w:cs="Arial"/>
                <w:sz w:val="16"/>
                <w:szCs w:val="16"/>
              </w:rPr>
            </w:pPr>
            <w:r w:rsidRPr="00552D93">
              <w:rPr>
                <w:rFonts w:asciiTheme="majorHAnsi" w:hAnsiTheme="majorHAnsi" w:cs="Arial"/>
                <w:sz w:val="16"/>
                <w:szCs w:val="16"/>
              </w:rPr>
              <w:t>51.6</w:t>
            </w:r>
          </w:p>
        </w:tc>
      </w:tr>
      <w:tr w:rsidR="00552D93" w:rsidRPr="00552D93" w14:paraId="4E7D4023" w14:textId="77777777" w:rsidTr="001F6D06">
        <w:trPr>
          <w:trHeight w:val="516"/>
        </w:trPr>
        <w:tc>
          <w:tcPr>
            <w:tcW w:w="470" w:type="pct"/>
            <w:shd w:val="clear" w:color="auto" w:fill="auto"/>
            <w:noWrap/>
          </w:tcPr>
          <w:p w14:paraId="29616A8D" w14:textId="77777777" w:rsidR="009D49A0" w:rsidRPr="00552D93" w:rsidRDefault="009D49A0" w:rsidP="009D49A0">
            <w:pPr>
              <w:spacing w:after="0" w:line="480" w:lineRule="auto"/>
              <w:jc w:val="right"/>
              <w:rPr>
                <w:rFonts w:asciiTheme="majorHAnsi" w:eastAsia="Times New Roman" w:hAnsiTheme="majorHAnsi" w:cs="Times New Roman"/>
                <w:b/>
                <w:sz w:val="16"/>
                <w:szCs w:val="16"/>
                <w:lang w:eastAsia="en-GB"/>
              </w:rPr>
            </w:pPr>
            <w:r w:rsidRPr="00552D93">
              <w:rPr>
                <w:rFonts w:asciiTheme="majorHAnsi" w:eastAsia="Times New Roman" w:hAnsiTheme="majorHAnsi" w:cs="Times New Roman"/>
                <w:b/>
                <w:sz w:val="16"/>
                <w:szCs w:val="16"/>
                <w:lang w:eastAsia="en-GB"/>
              </w:rPr>
              <w:t>Whole sample</w:t>
            </w:r>
          </w:p>
        </w:tc>
        <w:tc>
          <w:tcPr>
            <w:tcW w:w="577" w:type="pct"/>
            <w:shd w:val="clear" w:color="auto" w:fill="auto"/>
            <w:noWrap/>
          </w:tcPr>
          <w:p w14:paraId="19416610" w14:textId="77777777" w:rsidR="009D49A0" w:rsidRPr="00552D93" w:rsidRDefault="009D49A0" w:rsidP="009D49A0">
            <w:pPr>
              <w:spacing w:after="0" w:line="240" w:lineRule="auto"/>
              <w:jc w:val="right"/>
              <w:rPr>
                <w:rFonts w:asciiTheme="majorHAnsi" w:eastAsia="Times New Roman" w:hAnsiTheme="majorHAnsi" w:cs="Times New Roman"/>
                <w:b/>
                <w:sz w:val="16"/>
                <w:szCs w:val="16"/>
                <w:lang w:eastAsia="en-GB"/>
              </w:rPr>
            </w:pPr>
            <w:r w:rsidRPr="00552D93">
              <w:rPr>
                <w:rFonts w:asciiTheme="majorHAnsi" w:eastAsia="Times New Roman" w:hAnsiTheme="majorHAnsi" w:cs="Times New Roman"/>
                <w:b/>
                <w:sz w:val="16"/>
                <w:szCs w:val="16"/>
                <w:lang w:eastAsia="en-GB"/>
              </w:rPr>
              <w:t>61,043</w:t>
            </w:r>
          </w:p>
        </w:tc>
        <w:tc>
          <w:tcPr>
            <w:tcW w:w="331" w:type="pct"/>
          </w:tcPr>
          <w:p w14:paraId="7CF5282F" w14:textId="77777777" w:rsidR="009D49A0" w:rsidRPr="00552D93" w:rsidRDefault="009D49A0" w:rsidP="009D49A0">
            <w:pPr>
              <w:spacing w:after="0" w:line="240" w:lineRule="auto"/>
              <w:jc w:val="right"/>
              <w:rPr>
                <w:rFonts w:asciiTheme="majorHAnsi" w:eastAsia="Times New Roman" w:hAnsiTheme="majorHAnsi" w:cs="Times New Roman"/>
                <w:b/>
                <w:sz w:val="16"/>
                <w:szCs w:val="16"/>
                <w:highlight w:val="yellow"/>
                <w:lang w:eastAsia="en-GB"/>
              </w:rPr>
            </w:pPr>
            <w:r w:rsidRPr="00552D93">
              <w:rPr>
                <w:rFonts w:asciiTheme="majorHAnsi" w:eastAsia="Times New Roman" w:hAnsiTheme="majorHAnsi" w:cs="Times New Roman"/>
                <w:b/>
                <w:sz w:val="16"/>
                <w:szCs w:val="16"/>
                <w:lang w:eastAsia="en-GB"/>
              </w:rPr>
              <w:t>27.9 (10.10)</w:t>
            </w:r>
          </w:p>
        </w:tc>
        <w:tc>
          <w:tcPr>
            <w:tcW w:w="331" w:type="pct"/>
          </w:tcPr>
          <w:p w14:paraId="64139200" w14:textId="77777777" w:rsidR="009D49A0" w:rsidRPr="00552D93" w:rsidRDefault="009D49A0" w:rsidP="009D49A0">
            <w:pPr>
              <w:spacing w:after="0" w:line="240" w:lineRule="auto"/>
              <w:jc w:val="right"/>
              <w:rPr>
                <w:rFonts w:asciiTheme="majorHAnsi" w:eastAsia="Times New Roman" w:hAnsiTheme="majorHAnsi" w:cs="Times New Roman"/>
                <w:b/>
                <w:sz w:val="16"/>
                <w:szCs w:val="16"/>
                <w:highlight w:val="yellow"/>
                <w:lang w:eastAsia="en-GB"/>
              </w:rPr>
            </w:pPr>
            <w:r w:rsidRPr="00552D93">
              <w:rPr>
                <w:rFonts w:asciiTheme="majorHAnsi" w:eastAsia="Times New Roman" w:hAnsiTheme="majorHAnsi" w:cs="Times New Roman"/>
                <w:b/>
                <w:sz w:val="16"/>
                <w:szCs w:val="16"/>
                <w:lang w:eastAsia="en-GB"/>
              </w:rPr>
              <w:t>63.7</w:t>
            </w:r>
          </w:p>
        </w:tc>
        <w:tc>
          <w:tcPr>
            <w:tcW w:w="331" w:type="pct"/>
          </w:tcPr>
          <w:p w14:paraId="5DD4FED0" w14:textId="77777777" w:rsidR="009D49A0" w:rsidRPr="00552D93" w:rsidRDefault="009D49A0" w:rsidP="009D49A0">
            <w:pPr>
              <w:spacing w:after="0" w:line="240" w:lineRule="auto"/>
              <w:jc w:val="right"/>
              <w:rPr>
                <w:rFonts w:asciiTheme="majorHAnsi" w:eastAsia="Times New Roman" w:hAnsiTheme="majorHAnsi" w:cs="Times New Roman"/>
                <w:b/>
                <w:sz w:val="16"/>
                <w:szCs w:val="16"/>
                <w:highlight w:val="yellow"/>
                <w:lang w:eastAsia="en-GB"/>
              </w:rPr>
            </w:pPr>
            <w:r w:rsidRPr="00552D93">
              <w:rPr>
                <w:rFonts w:asciiTheme="majorHAnsi" w:eastAsia="Times New Roman" w:hAnsiTheme="majorHAnsi" w:cs="Times New Roman"/>
                <w:b/>
                <w:sz w:val="16"/>
                <w:szCs w:val="16"/>
                <w:lang w:eastAsia="en-GB"/>
              </w:rPr>
              <w:t>91.5</w:t>
            </w:r>
          </w:p>
        </w:tc>
        <w:tc>
          <w:tcPr>
            <w:tcW w:w="331" w:type="pct"/>
          </w:tcPr>
          <w:p w14:paraId="4F405238" w14:textId="77777777" w:rsidR="009D49A0" w:rsidRPr="00552D93" w:rsidRDefault="009D49A0" w:rsidP="009D49A0">
            <w:pPr>
              <w:spacing w:after="0" w:line="240" w:lineRule="auto"/>
              <w:jc w:val="right"/>
              <w:rPr>
                <w:rFonts w:asciiTheme="majorHAnsi" w:eastAsia="Times New Roman" w:hAnsiTheme="majorHAnsi" w:cs="Times New Roman"/>
                <w:b/>
                <w:sz w:val="16"/>
                <w:szCs w:val="16"/>
                <w:highlight w:val="yellow"/>
                <w:lang w:eastAsia="en-GB"/>
              </w:rPr>
            </w:pPr>
            <w:r w:rsidRPr="00552D93">
              <w:rPr>
                <w:rFonts w:asciiTheme="majorHAnsi" w:eastAsia="Times New Roman" w:hAnsiTheme="majorHAnsi" w:cs="Times New Roman"/>
                <w:b/>
                <w:sz w:val="16"/>
                <w:szCs w:val="16"/>
                <w:lang w:eastAsia="en-GB"/>
              </w:rPr>
              <w:t>8 (5,12)</w:t>
            </w:r>
          </w:p>
        </w:tc>
        <w:tc>
          <w:tcPr>
            <w:tcW w:w="331" w:type="pct"/>
          </w:tcPr>
          <w:p w14:paraId="719F1452" w14:textId="77777777" w:rsidR="009D49A0" w:rsidRPr="00552D93" w:rsidRDefault="009D49A0" w:rsidP="009D49A0">
            <w:pPr>
              <w:spacing w:after="0" w:line="240" w:lineRule="auto"/>
              <w:jc w:val="right"/>
              <w:rPr>
                <w:rFonts w:asciiTheme="majorHAnsi" w:eastAsia="Times New Roman" w:hAnsiTheme="majorHAnsi" w:cs="Times New Roman"/>
                <w:b/>
                <w:sz w:val="16"/>
                <w:szCs w:val="16"/>
                <w:lang w:eastAsia="en-GB"/>
              </w:rPr>
            </w:pPr>
            <w:r w:rsidRPr="00552D93">
              <w:rPr>
                <w:rFonts w:asciiTheme="majorHAnsi" w:eastAsia="Times New Roman" w:hAnsiTheme="majorHAnsi" w:cs="Times New Roman"/>
                <w:b/>
                <w:sz w:val="16"/>
                <w:szCs w:val="16"/>
                <w:lang w:eastAsia="en-GB"/>
              </w:rPr>
              <w:t>45.2</w:t>
            </w:r>
          </w:p>
        </w:tc>
        <w:tc>
          <w:tcPr>
            <w:tcW w:w="331" w:type="pct"/>
          </w:tcPr>
          <w:p w14:paraId="7EDB6FCB" w14:textId="77777777" w:rsidR="009D49A0" w:rsidRPr="00552D93" w:rsidRDefault="009D49A0" w:rsidP="009D49A0">
            <w:pPr>
              <w:spacing w:after="0" w:line="240" w:lineRule="auto"/>
              <w:jc w:val="right"/>
              <w:rPr>
                <w:rFonts w:asciiTheme="majorHAnsi" w:eastAsia="Times New Roman" w:hAnsiTheme="majorHAnsi" w:cs="Times New Roman"/>
                <w:b/>
                <w:sz w:val="16"/>
                <w:szCs w:val="16"/>
                <w:lang w:eastAsia="en-GB"/>
              </w:rPr>
            </w:pPr>
            <w:r w:rsidRPr="00552D93">
              <w:rPr>
                <w:rFonts w:asciiTheme="majorHAnsi" w:eastAsia="Times New Roman" w:hAnsiTheme="majorHAnsi" w:cs="Times New Roman"/>
                <w:b/>
                <w:sz w:val="16"/>
                <w:szCs w:val="16"/>
                <w:lang w:eastAsia="en-GB"/>
              </w:rPr>
              <w:t>41.6</w:t>
            </w:r>
          </w:p>
        </w:tc>
        <w:tc>
          <w:tcPr>
            <w:tcW w:w="331" w:type="pct"/>
          </w:tcPr>
          <w:p w14:paraId="435CAF10" w14:textId="77777777" w:rsidR="009D49A0" w:rsidRPr="00552D93" w:rsidRDefault="009D49A0" w:rsidP="009D49A0">
            <w:pPr>
              <w:spacing w:after="0" w:line="240" w:lineRule="auto"/>
              <w:jc w:val="right"/>
              <w:rPr>
                <w:rFonts w:asciiTheme="majorHAnsi" w:eastAsia="Times New Roman" w:hAnsiTheme="majorHAnsi" w:cs="Times New Roman"/>
                <w:b/>
                <w:sz w:val="16"/>
                <w:szCs w:val="16"/>
                <w:lang w:eastAsia="en-GB"/>
              </w:rPr>
            </w:pPr>
            <w:r w:rsidRPr="00552D93">
              <w:rPr>
                <w:rFonts w:asciiTheme="majorHAnsi" w:eastAsia="Times New Roman" w:hAnsiTheme="majorHAnsi" w:cs="Times New Roman"/>
                <w:b/>
                <w:sz w:val="16"/>
                <w:szCs w:val="16"/>
                <w:lang w:eastAsia="en-GB"/>
              </w:rPr>
              <w:t>7.8</w:t>
            </w:r>
          </w:p>
        </w:tc>
        <w:tc>
          <w:tcPr>
            <w:tcW w:w="331" w:type="pct"/>
          </w:tcPr>
          <w:p w14:paraId="55B4DD71" w14:textId="77777777" w:rsidR="009D49A0" w:rsidRPr="00552D93" w:rsidRDefault="009D49A0" w:rsidP="009D49A0">
            <w:pPr>
              <w:spacing w:after="0" w:line="240" w:lineRule="auto"/>
              <w:jc w:val="right"/>
              <w:rPr>
                <w:rFonts w:asciiTheme="majorHAnsi" w:eastAsia="Times New Roman" w:hAnsiTheme="majorHAnsi" w:cs="Times New Roman"/>
                <w:b/>
                <w:sz w:val="16"/>
                <w:szCs w:val="16"/>
                <w:lang w:eastAsia="en-GB"/>
              </w:rPr>
            </w:pPr>
            <w:r w:rsidRPr="00552D93">
              <w:rPr>
                <w:rFonts w:asciiTheme="majorHAnsi" w:eastAsia="Times New Roman" w:hAnsiTheme="majorHAnsi" w:cs="Times New Roman"/>
                <w:b/>
                <w:sz w:val="16"/>
                <w:szCs w:val="16"/>
                <w:lang w:eastAsia="en-GB"/>
              </w:rPr>
              <w:t>5.4</w:t>
            </w:r>
          </w:p>
        </w:tc>
        <w:tc>
          <w:tcPr>
            <w:tcW w:w="331" w:type="pct"/>
          </w:tcPr>
          <w:p w14:paraId="16A00FB8" w14:textId="77777777" w:rsidR="009D49A0" w:rsidRPr="00552D93" w:rsidRDefault="009D49A0" w:rsidP="009D49A0">
            <w:pPr>
              <w:spacing w:after="0" w:line="240" w:lineRule="auto"/>
              <w:jc w:val="right"/>
              <w:rPr>
                <w:rFonts w:asciiTheme="majorHAnsi" w:eastAsia="Times New Roman" w:hAnsiTheme="majorHAnsi" w:cs="Times New Roman"/>
                <w:b/>
                <w:sz w:val="16"/>
                <w:szCs w:val="16"/>
                <w:lang w:eastAsia="en-GB"/>
              </w:rPr>
            </w:pPr>
            <w:r w:rsidRPr="00552D93">
              <w:rPr>
                <w:rFonts w:asciiTheme="majorHAnsi" w:eastAsia="Times New Roman" w:hAnsiTheme="majorHAnsi" w:cs="Times New Roman"/>
                <w:b/>
                <w:sz w:val="16"/>
                <w:szCs w:val="16"/>
                <w:lang w:eastAsia="en-GB"/>
              </w:rPr>
              <w:t>85.5</w:t>
            </w:r>
          </w:p>
        </w:tc>
        <w:tc>
          <w:tcPr>
            <w:tcW w:w="331" w:type="pct"/>
          </w:tcPr>
          <w:p w14:paraId="1587CD41" w14:textId="77777777" w:rsidR="009D49A0" w:rsidRPr="00552D93" w:rsidRDefault="009D49A0" w:rsidP="009D49A0">
            <w:pPr>
              <w:spacing w:after="0" w:line="240" w:lineRule="auto"/>
              <w:jc w:val="right"/>
              <w:rPr>
                <w:rFonts w:asciiTheme="majorHAnsi" w:eastAsia="Times New Roman" w:hAnsiTheme="majorHAnsi" w:cs="Times New Roman"/>
                <w:b/>
                <w:sz w:val="16"/>
                <w:szCs w:val="16"/>
                <w:lang w:eastAsia="en-GB"/>
              </w:rPr>
            </w:pPr>
            <w:r w:rsidRPr="00552D93">
              <w:rPr>
                <w:rFonts w:asciiTheme="majorHAnsi" w:eastAsia="Times New Roman" w:hAnsiTheme="majorHAnsi" w:cs="Times New Roman"/>
                <w:b/>
                <w:sz w:val="16"/>
                <w:szCs w:val="16"/>
                <w:lang w:eastAsia="en-GB"/>
              </w:rPr>
              <w:t>65.6</w:t>
            </w:r>
          </w:p>
        </w:tc>
        <w:tc>
          <w:tcPr>
            <w:tcW w:w="331" w:type="pct"/>
          </w:tcPr>
          <w:p w14:paraId="15D9EE10" w14:textId="77777777" w:rsidR="009D49A0" w:rsidRPr="00552D93" w:rsidRDefault="009D49A0" w:rsidP="009D49A0">
            <w:pPr>
              <w:spacing w:after="0" w:line="240" w:lineRule="auto"/>
              <w:jc w:val="right"/>
              <w:rPr>
                <w:rFonts w:asciiTheme="majorHAnsi" w:eastAsia="Times New Roman" w:hAnsiTheme="majorHAnsi" w:cs="Times New Roman"/>
                <w:b/>
                <w:sz w:val="16"/>
                <w:szCs w:val="16"/>
                <w:lang w:eastAsia="en-GB"/>
              </w:rPr>
            </w:pPr>
            <w:r w:rsidRPr="00552D93">
              <w:rPr>
                <w:rFonts w:asciiTheme="majorHAnsi" w:eastAsia="Times New Roman" w:hAnsiTheme="majorHAnsi" w:cs="Times New Roman"/>
                <w:b/>
                <w:sz w:val="16"/>
                <w:szCs w:val="16"/>
                <w:lang w:eastAsia="en-GB"/>
              </w:rPr>
              <w:t>20.3</w:t>
            </w:r>
          </w:p>
        </w:tc>
        <w:tc>
          <w:tcPr>
            <w:tcW w:w="312" w:type="pct"/>
          </w:tcPr>
          <w:p w14:paraId="648E9F2C" w14:textId="77777777" w:rsidR="009D49A0" w:rsidRPr="00552D93" w:rsidRDefault="009D49A0" w:rsidP="009D49A0">
            <w:pPr>
              <w:spacing w:after="0" w:line="240" w:lineRule="auto"/>
              <w:jc w:val="right"/>
              <w:rPr>
                <w:rFonts w:asciiTheme="majorHAnsi" w:eastAsia="Times New Roman" w:hAnsiTheme="majorHAnsi" w:cs="Times New Roman"/>
                <w:b/>
                <w:sz w:val="16"/>
                <w:szCs w:val="16"/>
                <w:highlight w:val="yellow"/>
                <w:lang w:eastAsia="en-GB"/>
              </w:rPr>
            </w:pPr>
            <w:r w:rsidRPr="00552D93">
              <w:rPr>
                <w:rFonts w:asciiTheme="majorHAnsi" w:eastAsia="Times New Roman" w:hAnsiTheme="majorHAnsi" w:cs="Times New Roman"/>
                <w:b/>
                <w:sz w:val="16"/>
                <w:szCs w:val="16"/>
                <w:lang w:eastAsia="en-GB"/>
              </w:rPr>
              <w:t>53.3</w:t>
            </w:r>
          </w:p>
        </w:tc>
      </w:tr>
    </w:tbl>
    <w:p w14:paraId="109021E6" w14:textId="77777777" w:rsidR="001716CC" w:rsidRPr="00552D93" w:rsidRDefault="001716CC">
      <w:r w:rsidRPr="00552D93">
        <w:br w:type="page"/>
      </w:r>
    </w:p>
    <w:p w14:paraId="04AEB76A" w14:textId="77777777" w:rsidR="00433082" w:rsidRPr="00552D93" w:rsidRDefault="00433082" w:rsidP="001716CC">
      <w:pPr>
        <w:rPr>
          <w:rFonts w:ascii="Cambria" w:hAnsi="Cambria"/>
          <w:b/>
        </w:rPr>
        <w:sectPr w:rsidR="00433082" w:rsidRPr="00552D93" w:rsidSect="007D2724">
          <w:pgSz w:w="16838" w:h="11906" w:orient="landscape"/>
          <w:pgMar w:top="1440" w:right="1440" w:bottom="1440" w:left="1440" w:header="709" w:footer="709" w:gutter="0"/>
          <w:cols w:space="708"/>
          <w:docGrid w:linePitch="360"/>
        </w:sectPr>
      </w:pPr>
    </w:p>
    <w:p w14:paraId="1849AC4D" w14:textId="7BDB3AEC" w:rsidR="001716CC" w:rsidRPr="00552D93" w:rsidRDefault="001716CC" w:rsidP="001716CC">
      <w:pPr>
        <w:rPr>
          <w:rFonts w:ascii="Cambria" w:hAnsi="Cambria"/>
        </w:rPr>
      </w:pPr>
      <w:r w:rsidRPr="00552D93">
        <w:rPr>
          <w:rFonts w:ascii="Cambria" w:hAnsi="Cambria"/>
          <w:b/>
        </w:rPr>
        <w:lastRenderedPageBreak/>
        <w:t xml:space="preserve">Table </w:t>
      </w:r>
      <w:r w:rsidR="001F578C" w:rsidRPr="00552D93">
        <w:rPr>
          <w:rFonts w:ascii="Cambria" w:hAnsi="Cambria"/>
          <w:b/>
        </w:rPr>
        <w:t>2:</w:t>
      </w:r>
      <w:r w:rsidR="0089502D" w:rsidRPr="00552D93">
        <w:rPr>
          <w:rFonts w:ascii="Cambria" w:hAnsi="Cambria"/>
        </w:rPr>
        <w:t xml:space="preserve"> </w:t>
      </w:r>
      <w:r w:rsidR="0089502D" w:rsidRPr="00552D93">
        <w:rPr>
          <w:rFonts w:ascii="Cambria" w:hAnsi="Cambria"/>
          <w:i/>
        </w:rPr>
        <w:t>Comparison of daily and/or weekly low risk drinking guidelines</w:t>
      </w:r>
      <w:r w:rsidR="00450AA1" w:rsidRPr="00552D93">
        <w:rPr>
          <w:rFonts w:ascii="Cambria" w:hAnsi="Cambria"/>
          <w:i/>
        </w:rPr>
        <w:t xml:space="preserve"> in grams of pure alcohol</w:t>
      </w:r>
      <w:r w:rsidR="0089502D" w:rsidRPr="00552D93">
        <w:rPr>
          <w:rFonts w:ascii="Cambria" w:hAnsi="Cambria"/>
          <w:i/>
        </w:rPr>
        <w:t xml:space="preserve"> between countries included in the study</w:t>
      </w:r>
      <w:r w:rsidR="0089502D" w:rsidRPr="00552D93">
        <w:rPr>
          <w:rFonts w:ascii="Cambria" w:hAnsi="Cambria"/>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99"/>
        <w:gridCol w:w="976"/>
        <w:gridCol w:w="1116"/>
        <w:gridCol w:w="1255"/>
        <w:gridCol w:w="976"/>
        <w:gridCol w:w="1258"/>
        <w:gridCol w:w="1395"/>
        <w:gridCol w:w="1116"/>
        <w:gridCol w:w="1255"/>
        <w:gridCol w:w="1470"/>
        <w:gridCol w:w="932"/>
      </w:tblGrid>
      <w:tr w:rsidR="00552D93" w:rsidRPr="00552D93" w14:paraId="02FF78C8" w14:textId="1BFC7704" w:rsidTr="00F45B2B">
        <w:trPr>
          <w:trHeight w:val="474"/>
        </w:trPr>
        <w:tc>
          <w:tcPr>
            <w:tcW w:w="788" w:type="pct"/>
            <w:shd w:val="clear" w:color="auto" w:fill="auto"/>
            <w:noWrap/>
          </w:tcPr>
          <w:p w14:paraId="235442B9" w14:textId="77777777" w:rsidR="00804E2C" w:rsidRPr="00552D93" w:rsidRDefault="00804E2C" w:rsidP="0089502D">
            <w:pPr>
              <w:spacing w:after="0" w:line="240" w:lineRule="auto"/>
              <w:rPr>
                <w:rFonts w:asciiTheme="majorHAnsi" w:eastAsia="Times New Roman" w:hAnsiTheme="majorHAnsi" w:cs="Times New Roman"/>
                <w:sz w:val="20"/>
                <w:lang w:eastAsia="en-GB"/>
              </w:rPr>
            </w:pPr>
          </w:p>
        </w:tc>
        <w:tc>
          <w:tcPr>
            <w:tcW w:w="750" w:type="pct"/>
            <w:gridSpan w:val="2"/>
            <w:shd w:val="clear" w:color="auto" w:fill="auto"/>
            <w:noWrap/>
          </w:tcPr>
          <w:p w14:paraId="28E297B2" w14:textId="5634F09B" w:rsidR="00804E2C" w:rsidRPr="00552D93" w:rsidRDefault="00804E2C" w:rsidP="0089502D">
            <w:pPr>
              <w:spacing w:after="0" w:line="240" w:lineRule="auto"/>
              <w:ind w:right="-284"/>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Daily</w:t>
            </w:r>
          </w:p>
        </w:tc>
        <w:tc>
          <w:tcPr>
            <w:tcW w:w="800" w:type="pct"/>
            <w:gridSpan w:val="2"/>
          </w:tcPr>
          <w:p w14:paraId="610E7731" w14:textId="45A205FE" w:rsidR="00804E2C" w:rsidRPr="00552D93" w:rsidRDefault="00804E2C"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 xml:space="preserve">Weekly </w:t>
            </w:r>
          </w:p>
        </w:tc>
        <w:tc>
          <w:tcPr>
            <w:tcW w:w="1351" w:type="pct"/>
            <w:gridSpan w:val="3"/>
          </w:tcPr>
          <w:p w14:paraId="4081E779" w14:textId="7426A5D6" w:rsidR="00804E2C" w:rsidRPr="00552D93" w:rsidRDefault="00804E2C"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Mean grams female</w:t>
            </w:r>
          </w:p>
        </w:tc>
        <w:tc>
          <w:tcPr>
            <w:tcW w:w="1311" w:type="pct"/>
            <w:gridSpan w:val="3"/>
          </w:tcPr>
          <w:p w14:paraId="3F6E8A07" w14:textId="685B3DCF" w:rsidR="00804E2C" w:rsidRPr="00552D93" w:rsidRDefault="00804E2C"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Mean grams male</w:t>
            </w:r>
          </w:p>
        </w:tc>
      </w:tr>
      <w:tr w:rsidR="00552D93" w:rsidRPr="00552D93" w14:paraId="62F7DA73" w14:textId="0EB20384" w:rsidTr="00F45B2B">
        <w:trPr>
          <w:trHeight w:val="474"/>
        </w:trPr>
        <w:tc>
          <w:tcPr>
            <w:tcW w:w="788" w:type="pct"/>
            <w:shd w:val="clear" w:color="auto" w:fill="auto"/>
            <w:noWrap/>
          </w:tcPr>
          <w:p w14:paraId="02592F6C" w14:textId="4095B321" w:rsidR="00804E2C" w:rsidRPr="00552D93" w:rsidRDefault="00804E2C"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Country</w:t>
            </w:r>
          </w:p>
        </w:tc>
        <w:tc>
          <w:tcPr>
            <w:tcW w:w="350" w:type="pct"/>
            <w:shd w:val="clear" w:color="auto" w:fill="auto"/>
            <w:noWrap/>
          </w:tcPr>
          <w:p w14:paraId="327CE2D4" w14:textId="77777777" w:rsidR="00804E2C" w:rsidRPr="00552D93" w:rsidRDefault="00804E2C"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Female</w:t>
            </w:r>
          </w:p>
        </w:tc>
        <w:tc>
          <w:tcPr>
            <w:tcW w:w="400" w:type="pct"/>
          </w:tcPr>
          <w:p w14:paraId="7C16B961" w14:textId="77777777" w:rsidR="00804E2C" w:rsidRPr="00552D93" w:rsidRDefault="00804E2C" w:rsidP="0089502D">
            <w:pPr>
              <w:spacing w:after="0" w:line="240" w:lineRule="auto"/>
              <w:ind w:right="-284"/>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Male</w:t>
            </w:r>
          </w:p>
        </w:tc>
        <w:tc>
          <w:tcPr>
            <w:tcW w:w="450" w:type="pct"/>
          </w:tcPr>
          <w:p w14:paraId="0ED2B155" w14:textId="77777777" w:rsidR="00804E2C" w:rsidRPr="00552D93" w:rsidRDefault="00804E2C"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Female</w:t>
            </w:r>
          </w:p>
        </w:tc>
        <w:tc>
          <w:tcPr>
            <w:tcW w:w="350" w:type="pct"/>
          </w:tcPr>
          <w:p w14:paraId="43E9BD5B" w14:textId="77777777" w:rsidR="00804E2C" w:rsidRPr="00552D93" w:rsidRDefault="00804E2C"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Male</w:t>
            </w:r>
          </w:p>
        </w:tc>
        <w:tc>
          <w:tcPr>
            <w:tcW w:w="451" w:type="pct"/>
          </w:tcPr>
          <w:p w14:paraId="4D95ACE5" w14:textId="4AFD6A46" w:rsidR="00804E2C" w:rsidRPr="00552D93" w:rsidRDefault="00804E2C"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Feel effects</w:t>
            </w:r>
          </w:p>
        </w:tc>
        <w:tc>
          <w:tcPr>
            <w:tcW w:w="500" w:type="pct"/>
          </w:tcPr>
          <w:p w14:paraId="0325D4A1" w14:textId="773D432B" w:rsidR="00804E2C" w:rsidRPr="00552D93" w:rsidRDefault="00804E2C"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As drunk as you want to be</w:t>
            </w:r>
          </w:p>
        </w:tc>
        <w:tc>
          <w:tcPr>
            <w:tcW w:w="400" w:type="pct"/>
          </w:tcPr>
          <w:p w14:paraId="757A0ECE" w14:textId="0446B5A5" w:rsidR="00804E2C" w:rsidRPr="00552D93" w:rsidRDefault="00804E2C"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Tipping point</w:t>
            </w:r>
          </w:p>
        </w:tc>
        <w:tc>
          <w:tcPr>
            <w:tcW w:w="450" w:type="pct"/>
          </w:tcPr>
          <w:p w14:paraId="0FFDA2C4" w14:textId="67591939" w:rsidR="00804E2C" w:rsidRPr="00552D93" w:rsidRDefault="00804E2C"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Feel effects</w:t>
            </w:r>
          </w:p>
        </w:tc>
        <w:tc>
          <w:tcPr>
            <w:tcW w:w="527" w:type="pct"/>
          </w:tcPr>
          <w:p w14:paraId="56D1A260" w14:textId="60297DD1" w:rsidR="00804E2C" w:rsidRPr="00552D93" w:rsidRDefault="00804E2C"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As drunk as you want to be</w:t>
            </w:r>
          </w:p>
        </w:tc>
        <w:tc>
          <w:tcPr>
            <w:tcW w:w="334" w:type="pct"/>
          </w:tcPr>
          <w:p w14:paraId="5E3D91AE" w14:textId="32CC9A29" w:rsidR="00804E2C" w:rsidRPr="00552D93" w:rsidRDefault="00804E2C"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Tipping point</w:t>
            </w:r>
          </w:p>
        </w:tc>
      </w:tr>
      <w:tr w:rsidR="00552D93" w:rsidRPr="00552D93" w14:paraId="5D74CA74" w14:textId="7B0A98EC" w:rsidTr="00F45B2B">
        <w:trPr>
          <w:trHeight w:val="395"/>
        </w:trPr>
        <w:tc>
          <w:tcPr>
            <w:tcW w:w="788" w:type="pct"/>
            <w:shd w:val="clear" w:color="auto" w:fill="auto"/>
            <w:noWrap/>
            <w:hideMark/>
          </w:tcPr>
          <w:p w14:paraId="59846B35" w14:textId="77777777"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Australia</w:t>
            </w:r>
          </w:p>
        </w:tc>
        <w:tc>
          <w:tcPr>
            <w:tcW w:w="350" w:type="pct"/>
            <w:shd w:val="clear" w:color="auto" w:fill="auto"/>
            <w:noWrap/>
            <w:vAlign w:val="bottom"/>
          </w:tcPr>
          <w:p w14:paraId="4811ACA4"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20</w:t>
            </w:r>
          </w:p>
        </w:tc>
        <w:tc>
          <w:tcPr>
            <w:tcW w:w="400" w:type="pct"/>
            <w:vAlign w:val="bottom"/>
          </w:tcPr>
          <w:p w14:paraId="6918E7FE"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20</w:t>
            </w:r>
          </w:p>
        </w:tc>
        <w:tc>
          <w:tcPr>
            <w:tcW w:w="450" w:type="pct"/>
            <w:vAlign w:val="bottom"/>
          </w:tcPr>
          <w:p w14:paraId="7B88E1FF" w14:textId="77777777" w:rsidR="006A31A3" w:rsidRPr="00552D93" w:rsidRDefault="006A31A3" w:rsidP="00036136">
            <w:pPr>
              <w:spacing w:line="240" w:lineRule="auto"/>
              <w:jc w:val="right"/>
              <w:rPr>
                <w:rFonts w:asciiTheme="majorHAnsi" w:hAnsiTheme="majorHAnsi"/>
                <w:sz w:val="20"/>
              </w:rPr>
            </w:pPr>
          </w:p>
        </w:tc>
        <w:tc>
          <w:tcPr>
            <w:tcW w:w="350" w:type="pct"/>
            <w:vAlign w:val="bottom"/>
          </w:tcPr>
          <w:p w14:paraId="4D52F4F6" w14:textId="77777777" w:rsidR="006A31A3" w:rsidRPr="00552D93" w:rsidRDefault="006A31A3" w:rsidP="00036136">
            <w:pPr>
              <w:spacing w:line="240" w:lineRule="auto"/>
              <w:jc w:val="right"/>
              <w:rPr>
                <w:rFonts w:asciiTheme="majorHAnsi" w:hAnsiTheme="majorHAnsi"/>
                <w:sz w:val="20"/>
              </w:rPr>
            </w:pPr>
          </w:p>
        </w:tc>
        <w:tc>
          <w:tcPr>
            <w:tcW w:w="451" w:type="pct"/>
            <w:vAlign w:val="bottom"/>
          </w:tcPr>
          <w:p w14:paraId="39943545" w14:textId="5E2A842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33.37</w:t>
            </w:r>
          </w:p>
        </w:tc>
        <w:tc>
          <w:tcPr>
            <w:tcW w:w="500" w:type="pct"/>
            <w:vAlign w:val="bottom"/>
          </w:tcPr>
          <w:p w14:paraId="022FE3FE" w14:textId="497BE9A0"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77.22</w:t>
            </w:r>
          </w:p>
        </w:tc>
        <w:tc>
          <w:tcPr>
            <w:tcW w:w="400" w:type="pct"/>
            <w:vAlign w:val="bottom"/>
          </w:tcPr>
          <w:p w14:paraId="457D5240" w14:textId="7CDC4C7B"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109.44</w:t>
            </w:r>
          </w:p>
        </w:tc>
        <w:tc>
          <w:tcPr>
            <w:tcW w:w="450" w:type="pct"/>
            <w:vAlign w:val="bottom"/>
          </w:tcPr>
          <w:p w14:paraId="66D4CC11" w14:textId="47133E46"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40.2</w:t>
            </w:r>
            <w:r w:rsidR="00C554D0" w:rsidRPr="00552D93">
              <w:rPr>
                <w:rFonts w:asciiTheme="majorHAnsi" w:hAnsiTheme="majorHAnsi"/>
                <w:sz w:val="20"/>
              </w:rPr>
              <w:t>0</w:t>
            </w:r>
          </w:p>
        </w:tc>
        <w:tc>
          <w:tcPr>
            <w:tcW w:w="527" w:type="pct"/>
            <w:vAlign w:val="bottom"/>
          </w:tcPr>
          <w:p w14:paraId="4D7D4CC3" w14:textId="4848E104"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99.8</w:t>
            </w:r>
            <w:r w:rsidR="00C554D0" w:rsidRPr="00552D93">
              <w:rPr>
                <w:rFonts w:asciiTheme="majorHAnsi" w:hAnsiTheme="majorHAnsi"/>
                <w:sz w:val="20"/>
              </w:rPr>
              <w:t>0</w:t>
            </w:r>
          </w:p>
        </w:tc>
        <w:tc>
          <w:tcPr>
            <w:tcW w:w="334" w:type="pct"/>
            <w:vAlign w:val="bottom"/>
          </w:tcPr>
          <w:p w14:paraId="60999855" w14:textId="2638D76C"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149.38</w:t>
            </w:r>
          </w:p>
        </w:tc>
      </w:tr>
      <w:tr w:rsidR="00552D93" w:rsidRPr="00552D93" w14:paraId="4EB6D39D" w14:textId="7F75E5CB" w:rsidTr="00F45B2B">
        <w:trPr>
          <w:trHeight w:val="373"/>
        </w:trPr>
        <w:tc>
          <w:tcPr>
            <w:tcW w:w="788" w:type="pct"/>
            <w:shd w:val="clear" w:color="auto" w:fill="auto"/>
            <w:noWrap/>
          </w:tcPr>
          <w:p w14:paraId="64879A62" w14:textId="77777777"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Austria</w:t>
            </w:r>
          </w:p>
        </w:tc>
        <w:tc>
          <w:tcPr>
            <w:tcW w:w="350" w:type="pct"/>
            <w:shd w:val="clear" w:color="auto" w:fill="auto"/>
            <w:noWrap/>
            <w:vAlign w:val="bottom"/>
          </w:tcPr>
          <w:p w14:paraId="413A7E10"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16</w:t>
            </w:r>
          </w:p>
        </w:tc>
        <w:tc>
          <w:tcPr>
            <w:tcW w:w="400" w:type="pct"/>
            <w:vAlign w:val="bottom"/>
          </w:tcPr>
          <w:p w14:paraId="7C030B31"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24</w:t>
            </w:r>
          </w:p>
        </w:tc>
        <w:tc>
          <w:tcPr>
            <w:tcW w:w="450" w:type="pct"/>
            <w:vAlign w:val="bottom"/>
          </w:tcPr>
          <w:p w14:paraId="1BD15FC6"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112</w:t>
            </w:r>
          </w:p>
        </w:tc>
        <w:tc>
          <w:tcPr>
            <w:tcW w:w="350" w:type="pct"/>
            <w:vAlign w:val="bottom"/>
          </w:tcPr>
          <w:p w14:paraId="4A53E3E7"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168</w:t>
            </w:r>
          </w:p>
        </w:tc>
        <w:tc>
          <w:tcPr>
            <w:tcW w:w="451" w:type="pct"/>
            <w:vAlign w:val="bottom"/>
          </w:tcPr>
          <w:p w14:paraId="0D970CD7" w14:textId="201CC28F"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26.32</w:t>
            </w:r>
          </w:p>
        </w:tc>
        <w:tc>
          <w:tcPr>
            <w:tcW w:w="500" w:type="pct"/>
            <w:vAlign w:val="bottom"/>
          </w:tcPr>
          <w:p w14:paraId="7651F730" w14:textId="7020754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51.7</w:t>
            </w:r>
            <w:r w:rsidR="00C554D0" w:rsidRPr="00552D93">
              <w:rPr>
                <w:rFonts w:asciiTheme="majorHAnsi" w:hAnsiTheme="majorHAnsi"/>
                <w:sz w:val="20"/>
              </w:rPr>
              <w:t>0</w:t>
            </w:r>
          </w:p>
        </w:tc>
        <w:tc>
          <w:tcPr>
            <w:tcW w:w="400" w:type="pct"/>
            <w:vAlign w:val="bottom"/>
          </w:tcPr>
          <w:p w14:paraId="072C72B7" w14:textId="2A6F0438"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86.98</w:t>
            </w:r>
          </w:p>
        </w:tc>
        <w:tc>
          <w:tcPr>
            <w:tcW w:w="450" w:type="pct"/>
            <w:vAlign w:val="bottom"/>
          </w:tcPr>
          <w:p w14:paraId="490DB869" w14:textId="522B3FFF"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33.01</w:t>
            </w:r>
          </w:p>
        </w:tc>
        <w:tc>
          <w:tcPr>
            <w:tcW w:w="527" w:type="pct"/>
            <w:vAlign w:val="bottom"/>
          </w:tcPr>
          <w:p w14:paraId="45C5ED4E" w14:textId="639BCFED"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69.99</w:t>
            </w:r>
          </w:p>
        </w:tc>
        <w:tc>
          <w:tcPr>
            <w:tcW w:w="334" w:type="pct"/>
            <w:vAlign w:val="bottom"/>
          </w:tcPr>
          <w:p w14:paraId="68FD92AE" w14:textId="6DAD14EF"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117.42</w:t>
            </w:r>
          </w:p>
        </w:tc>
      </w:tr>
      <w:tr w:rsidR="00552D93" w:rsidRPr="00552D93" w14:paraId="0EA2F93A" w14:textId="62F119D1" w:rsidTr="00F45B2B">
        <w:trPr>
          <w:trHeight w:val="352"/>
        </w:trPr>
        <w:tc>
          <w:tcPr>
            <w:tcW w:w="788" w:type="pct"/>
            <w:shd w:val="clear" w:color="auto" w:fill="auto"/>
            <w:noWrap/>
          </w:tcPr>
          <w:p w14:paraId="56E11EBA" w14:textId="77777777"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Belgium</w:t>
            </w:r>
          </w:p>
        </w:tc>
        <w:tc>
          <w:tcPr>
            <w:tcW w:w="350" w:type="pct"/>
            <w:shd w:val="clear" w:color="auto" w:fill="auto"/>
            <w:noWrap/>
            <w:vAlign w:val="bottom"/>
          </w:tcPr>
          <w:p w14:paraId="1564A69B" w14:textId="53735253"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w:t>
            </w:r>
          </w:p>
        </w:tc>
        <w:tc>
          <w:tcPr>
            <w:tcW w:w="400" w:type="pct"/>
            <w:vAlign w:val="bottom"/>
          </w:tcPr>
          <w:p w14:paraId="51584466" w14:textId="7F3D581E"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w:t>
            </w:r>
          </w:p>
        </w:tc>
        <w:tc>
          <w:tcPr>
            <w:tcW w:w="450" w:type="pct"/>
            <w:vAlign w:val="bottom"/>
          </w:tcPr>
          <w:p w14:paraId="4244F0D2"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100</w:t>
            </w:r>
          </w:p>
        </w:tc>
        <w:tc>
          <w:tcPr>
            <w:tcW w:w="350" w:type="pct"/>
            <w:vAlign w:val="bottom"/>
          </w:tcPr>
          <w:p w14:paraId="69D7741D"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100</w:t>
            </w:r>
          </w:p>
        </w:tc>
        <w:tc>
          <w:tcPr>
            <w:tcW w:w="451" w:type="pct"/>
            <w:vAlign w:val="bottom"/>
          </w:tcPr>
          <w:p w14:paraId="4B4BF3F6" w14:textId="0A609B21"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36.31</w:t>
            </w:r>
          </w:p>
        </w:tc>
        <w:tc>
          <w:tcPr>
            <w:tcW w:w="500" w:type="pct"/>
            <w:vAlign w:val="bottom"/>
          </w:tcPr>
          <w:p w14:paraId="2040D84F" w14:textId="71CC1D91"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75.76</w:t>
            </w:r>
          </w:p>
        </w:tc>
        <w:tc>
          <w:tcPr>
            <w:tcW w:w="400" w:type="pct"/>
            <w:vAlign w:val="bottom"/>
          </w:tcPr>
          <w:p w14:paraId="6F34793D" w14:textId="406D95A9"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109.4</w:t>
            </w:r>
            <w:r w:rsidR="00C554D0" w:rsidRPr="00552D93">
              <w:rPr>
                <w:rFonts w:asciiTheme="majorHAnsi" w:hAnsiTheme="majorHAnsi"/>
                <w:sz w:val="20"/>
              </w:rPr>
              <w:t>0</w:t>
            </w:r>
          </w:p>
        </w:tc>
        <w:tc>
          <w:tcPr>
            <w:tcW w:w="450" w:type="pct"/>
            <w:vAlign w:val="bottom"/>
          </w:tcPr>
          <w:p w14:paraId="78A63ED3" w14:textId="2EED2B46"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43.7</w:t>
            </w:r>
            <w:r w:rsidR="00C554D0" w:rsidRPr="00552D93">
              <w:rPr>
                <w:rFonts w:asciiTheme="majorHAnsi" w:hAnsiTheme="majorHAnsi"/>
                <w:sz w:val="20"/>
              </w:rPr>
              <w:t>0</w:t>
            </w:r>
          </w:p>
        </w:tc>
        <w:tc>
          <w:tcPr>
            <w:tcW w:w="527" w:type="pct"/>
            <w:vAlign w:val="bottom"/>
          </w:tcPr>
          <w:p w14:paraId="512D7A4A" w14:textId="6B849CFF"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99.72</w:t>
            </w:r>
          </w:p>
        </w:tc>
        <w:tc>
          <w:tcPr>
            <w:tcW w:w="334" w:type="pct"/>
            <w:vAlign w:val="bottom"/>
          </w:tcPr>
          <w:p w14:paraId="56784363" w14:textId="240918B3"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149.57</w:t>
            </w:r>
          </w:p>
        </w:tc>
      </w:tr>
      <w:tr w:rsidR="00552D93" w:rsidRPr="00552D93" w14:paraId="600E1CF6" w14:textId="5EBE0C59" w:rsidTr="00F45B2B">
        <w:trPr>
          <w:trHeight w:val="292"/>
        </w:trPr>
        <w:tc>
          <w:tcPr>
            <w:tcW w:w="788" w:type="pct"/>
            <w:shd w:val="clear" w:color="auto" w:fill="auto"/>
            <w:noWrap/>
          </w:tcPr>
          <w:p w14:paraId="1D3FDECB" w14:textId="77777777"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Brazil</w:t>
            </w:r>
          </w:p>
        </w:tc>
        <w:tc>
          <w:tcPr>
            <w:tcW w:w="350" w:type="pct"/>
            <w:shd w:val="clear" w:color="auto" w:fill="auto"/>
            <w:noWrap/>
            <w:vAlign w:val="bottom"/>
          </w:tcPr>
          <w:p w14:paraId="3652D87B"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20</w:t>
            </w:r>
          </w:p>
        </w:tc>
        <w:tc>
          <w:tcPr>
            <w:tcW w:w="400" w:type="pct"/>
            <w:vAlign w:val="bottom"/>
          </w:tcPr>
          <w:p w14:paraId="2347AC25"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30</w:t>
            </w:r>
          </w:p>
        </w:tc>
        <w:tc>
          <w:tcPr>
            <w:tcW w:w="450" w:type="pct"/>
            <w:vAlign w:val="bottom"/>
          </w:tcPr>
          <w:p w14:paraId="0FA3C988" w14:textId="77777777" w:rsidR="006A31A3" w:rsidRPr="00552D93" w:rsidRDefault="006A31A3" w:rsidP="00036136">
            <w:pPr>
              <w:spacing w:line="240" w:lineRule="auto"/>
              <w:jc w:val="right"/>
              <w:rPr>
                <w:rFonts w:asciiTheme="majorHAnsi" w:hAnsiTheme="majorHAnsi"/>
                <w:sz w:val="20"/>
              </w:rPr>
            </w:pPr>
          </w:p>
        </w:tc>
        <w:tc>
          <w:tcPr>
            <w:tcW w:w="350" w:type="pct"/>
            <w:vAlign w:val="bottom"/>
          </w:tcPr>
          <w:p w14:paraId="197721D4" w14:textId="77777777" w:rsidR="006A31A3" w:rsidRPr="00552D93" w:rsidRDefault="006A31A3" w:rsidP="00036136">
            <w:pPr>
              <w:spacing w:line="240" w:lineRule="auto"/>
              <w:jc w:val="right"/>
              <w:rPr>
                <w:rFonts w:asciiTheme="majorHAnsi" w:hAnsiTheme="majorHAnsi"/>
                <w:sz w:val="20"/>
              </w:rPr>
            </w:pPr>
          </w:p>
        </w:tc>
        <w:tc>
          <w:tcPr>
            <w:tcW w:w="451" w:type="pct"/>
            <w:vAlign w:val="bottom"/>
          </w:tcPr>
          <w:p w14:paraId="5B8AC699" w14:textId="372BF6CA"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43.65</w:t>
            </w:r>
          </w:p>
        </w:tc>
        <w:tc>
          <w:tcPr>
            <w:tcW w:w="500" w:type="pct"/>
            <w:vAlign w:val="bottom"/>
          </w:tcPr>
          <w:p w14:paraId="73F4D1D5" w14:textId="5037725C"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84.6</w:t>
            </w:r>
            <w:r w:rsidR="00C554D0" w:rsidRPr="00552D93">
              <w:rPr>
                <w:rFonts w:asciiTheme="majorHAnsi" w:hAnsiTheme="majorHAnsi"/>
                <w:sz w:val="20"/>
              </w:rPr>
              <w:t>0</w:t>
            </w:r>
          </w:p>
        </w:tc>
        <w:tc>
          <w:tcPr>
            <w:tcW w:w="400" w:type="pct"/>
            <w:vAlign w:val="bottom"/>
          </w:tcPr>
          <w:p w14:paraId="101CD580" w14:textId="59F59F93"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133.71</w:t>
            </w:r>
          </w:p>
        </w:tc>
        <w:tc>
          <w:tcPr>
            <w:tcW w:w="450" w:type="pct"/>
            <w:vAlign w:val="bottom"/>
          </w:tcPr>
          <w:p w14:paraId="535189A6" w14:textId="0486155B"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49.57</w:t>
            </w:r>
          </w:p>
        </w:tc>
        <w:tc>
          <w:tcPr>
            <w:tcW w:w="527" w:type="pct"/>
            <w:vAlign w:val="bottom"/>
          </w:tcPr>
          <w:p w14:paraId="5638E544" w14:textId="5987E409"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103.85</w:t>
            </w:r>
          </w:p>
        </w:tc>
        <w:tc>
          <w:tcPr>
            <w:tcW w:w="334" w:type="pct"/>
            <w:vAlign w:val="bottom"/>
          </w:tcPr>
          <w:p w14:paraId="3BEC94F0" w14:textId="0C0558E2"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172.26</w:t>
            </w:r>
          </w:p>
        </w:tc>
      </w:tr>
      <w:tr w:rsidR="00552D93" w:rsidRPr="00552D93" w14:paraId="6062D4F0" w14:textId="7E1A9686" w:rsidTr="00F45B2B">
        <w:trPr>
          <w:trHeight w:val="294"/>
        </w:trPr>
        <w:tc>
          <w:tcPr>
            <w:tcW w:w="788" w:type="pct"/>
            <w:shd w:val="clear" w:color="auto" w:fill="auto"/>
            <w:noWrap/>
          </w:tcPr>
          <w:p w14:paraId="187A030E" w14:textId="77777777"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Canada</w:t>
            </w:r>
          </w:p>
        </w:tc>
        <w:tc>
          <w:tcPr>
            <w:tcW w:w="350" w:type="pct"/>
            <w:shd w:val="clear" w:color="auto" w:fill="auto"/>
            <w:noWrap/>
            <w:vAlign w:val="bottom"/>
          </w:tcPr>
          <w:p w14:paraId="1BD3E2F7"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27</w:t>
            </w:r>
          </w:p>
        </w:tc>
        <w:tc>
          <w:tcPr>
            <w:tcW w:w="400" w:type="pct"/>
            <w:vAlign w:val="bottom"/>
          </w:tcPr>
          <w:p w14:paraId="2AB6DE05"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40.7</w:t>
            </w:r>
          </w:p>
        </w:tc>
        <w:tc>
          <w:tcPr>
            <w:tcW w:w="450" w:type="pct"/>
            <w:vAlign w:val="bottom"/>
          </w:tcPr>
          <w:p w14:paraId="447039D0"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136</w:t>
            </w:r>
          </w:p>
        </w:tc>
        <w:tc>
          <w:tcPr>
            <w:tcW w:w="350" w:type="pct"/>
            <w:vAlign w:val="bottom"/>
          </w:tcPr>
          <w:p w14:paraId="2066ABCB"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204</w:t>
            </w:r>
          </w:p>
        </w:tc>
        <w:tc>
          <w:tcPr>
            <w:tcW w:w="451" w:type="pct"/>
            <w:vAlign w:val="bottom"/>
          </w:tcPr>
          <w:p w14:paraId="551A3E49" w14:textId="2CA766E5"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33.57</w:t>
            </w:r>
          </w:p>
        </w:tc>
        <w:tc>
          <w:tcPr>
            <w:tcW w:w="500" w:type="pct"/>
            <w:vAlign w:val="bottom"/>
          </w:tcPr>
          <w:p w14:paraId="5D4BE457" w14:textId="7A2B18F2"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78.5</w:t>
            </w:r>
            <w:r w:rsidR="00C554D0" w:rsidRPr="00552D93">
              <w:rPr>
                <w:rFonts w:asciiTheme="majorHAnsi" w:hAnsiTheme="majorHAnsi"/>
                <w:sz w:val="20"/>
              </w:rPr>
              <w:t>0</w:t>
            </w:r>
          </w:p>
        </w:tc>
        <w:tc>
          <w:tcPr>
            <w:tcW w:w="400" w:type="pct"/>
            <w:vAlign w:val="bottom"/>
          </w:tcPr>
          <w:p w14:paraId="0DDA4DEF" w14:textId="3EF7BBC5"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113.77</w:t>
            </w:r>
          </w:p>
        </w:tc>
        <w:tc>
          <w:tcPr>
            <w:tcW w:w="450" w:type="pct"/>
            <w:vAlign w:val="bottom"/>
          </w:tcPr>
          <w:p w14:paraId="699FF12A" w14:textId="26EE03D3"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36.62</w:t>
            </w:r>
          </w:p>
        </w:tc>
        <w:tc>
          <w:tcPr>
            <w:tcW w:w="527" w:type="pct"/>
            <w:vAlign w:val="bottom"/>
          </w:tcPr>
          <w:p w14:paraId="6E82209A" w14:textId="4D4421C8"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93.52</w:t>
            </w:r>
          </w:p>
        </w:tc>
        <w:tc>
          <w:tcPr>
            <w:tcW w:w="334" w:type="pct"/>
            <w:vAlign w:val="bottom"/>
          </w:tcPr>
          <w:p w14:paraId="5D0D7CA0" w14:textId="159B135D"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137.9</w:t>
            </w:r>
            <w:r w:rsidR="00AE362A" w:rsidRPr="00552D93">
              <w:rPr>
                <w:rFonts w:asciiTheme="majorHAnsi" w:hAnsiTheme="majorHAnsi"/>
                <w:sz w:val="20"/>
              </w:rPr>
              <w:t>0</w:t>
            </w:r>
          </w:p>
        </w:tc>
      </w:tr>
      <w:tr w:rsidR="00552D93" w:rsidRPr="00552D93" w14:paraId="2555F7B3" w14:textId="69730055" w:rsidTr="00F45B2B">
        <w:trPr>
          <w:trHeight w:val="294"/>
        </w:trPr>
        <w:tc>
          <w:tcPr>
            <w:tcW w:w="788" w:type="pct"/>
            <w:shd w:val="clear" w:color="auto" w:fill="auto"/>
            <w:noWrap/>
          </w:tcPr>
          <w:p w14:paraId="16E0290D" w14:textId="69AF4736"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Denmark</w:t>
            </w:r>
          </w:p>
        </w:tc>
        <w:tc>
          <w:tcPr>
            <w:tcW w:w="350" w:type="pct"/>
            <w:shd w:val="clear" w:color="auto" w:fill="auto"/>
            <w:noWrap/>
            <w:vAlign w:val="bottom"/>
          </w:tcPr>
          <w:p w14:paraId="3093A5E0" w14:textId="018DDF79" w:rsidR="006A31A3" w:rsidRPr="00552D93" w:rsidRDefault="00E12C9C" w:rsidP="00036136">
            <w:pPr>
              <w:spacing w:line="240" w:lineRule="auto"/>
              <w:jc w:val="right"/>
              <w:rPr>
                <w:rFonts w:asciiTheme="majorHAnsi" w:hAnsiTheme="majorHAnsi"/>
                <w:sz w:val="20"/>
              </w:rPr>
            </w:pPr>
            <w:r w:rsidRPr="00552D93">
              <w:rPr>
                <w:rFonts w:asciiTheme="majorHAnsi" w:hAnsiTheme="majorHAnsi"/>
                <w:sz w:val="20"/>
              </w:rPr>
              <w:t>12</w:t>
            </w:r>
          </w:p>
        </w:tc>
        <w:tc>
          <w:tcPr>
            <w:tcW w:w="400" w:type="pct"/>
            <w:vAlign w:val="bottom"/>
          </w:tcPr>
          <w:p w14:paraId="2B4F4729" w14:textId="6680DC6D" w:rsidR="006A31A3" w:rsidRPr="00552D93" w:rsidRDefault="00E12C9C" w:rsidP="00036136">
            <w:pPr>
              <w:spacing w:line="240" w:lineRule="auto"/>
              <w:jc w:val="right"/>
              <w:rPr>
                <w:rFonts w:asciiTheme="majorHAnsi" w:hAnsiTheme="majorHAnsi"/>
                <w:sz w:val="20"/>
              </w:rPr>
            </w:pPr>
            <w:r w:rsidRPr="00552D93">
              <w:rPr>
                <w:rFonts w:asciiTheme="majorHAnsi" w:hAnsiTheme="majorHAnsi"/>
                <w:sz w:val="20"/>
              </w:rPr>
              <w:t>24</w:t>
            </w:r>
          </w:p>
        </w:tc>
        <w:tc>
          <w:tcPr>
            <w:tcW w:w="450" w:type="pct"/>
            <w:vAlign w:val="bottom"/>
          </w:tcPr>
          <w:p w14:paraId="1B69BFFF" w14:textId="1131E54F"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84</w:t>
            </w:r>
          </w:p>
        </w:tc>
        <w:tc>
          <w:tcPr>
            <w:tcW w:w="350" w:type="pct"/>
            <w:vAlign w:val="bottom"/>
          </w:tcPr>
          <w:p w14:paraId="42F753C8" w14:textId="48AEDF68"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168</w:t>
            </w:r>
          </w:p>
        </w:tc>
        <w:tc>
          <w:tcPr>
            <w:tcW w:w="451" w:type="pct"/>
            <w:vAlign w:val="bottom"/>
          </w:tcPr>
          <w:p w14:paraId="6E04AC20" w14:textId="2D232BEB"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36.75</w:t>
            </w:r>
          </w:p>
        </w:tc>
        <w:tc>
          <w:tcPr>
            <w:tcW w:w="500" w:type="pct"/>
            <w:vAlign w:val="bottom"/>
          </w:tcPr>
          <w:p w14:paraId="323D9E44" w14:textId="626900D6"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72.6</w:t>
            </w:r>
            <w:r w:rsidR="00C554D0" w:rsidRPr="00552D93">
              <w:rPr>
                <w:rFonts w:asciiTheme="majorHAnsi" w:hAnsiTheme="majorHAnsi"/>
                <w:sz w:val="20"/>
              </w:rPr>
              <w:t>0</w:t>
            </w:r>
          </w:p>
        </w:tc>
        <w:tc>
          <w:tcPr>
            <w:tcW w:w="400" w:type="pct"/>
            <w:vAlign w:val="bottom"/>
          </w:tcPr>
          <w:p w14:paraId="2D08AAB9" w14:textId="40EB5573"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120.14</w:t>
            </w:r>
          </w:p>
        </w:tc>
        <w:tc>
          <w:tcPr>
            <w:tcW w:w="450" w:type="pct"/>
            <w:vAlign w:val="bottom"/>
          </w:tcPr>
          <w:p w14:paraId="20BE38CD" w14:textId="5BA1E795"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41.2</w:t>
            </w:r>
            <w:r w:rsidR="00C554D0" w:rsidRPr="00552D93">
              <w:rPr>
                <w:rFonts w:asciiTheme="majorHAnsi" w:hAnsiTheme="majorHAnsi"/>
                <w:sz w:val="20"/>
              </w:rPr>
              <w:t>0</w:t>
            </w:r>
          </w:p>
        </w:tc>
        <w:tc>
          <w:tcPr>
            <w:tcW w:w="527" w:type="pct"/>
            <w:vAlign w:val="bottom"/>
          </w:tcPr>
          <w:p w14:paraId="0769CD8F" w14:textId="49D0E0CE"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106.33</w:t>
            </w:r>
          </w:p>
        </w:tc>
        <w:tc>
          <w:tcPr>
            <w:tcW w:w="334" w:type="pct"/>
            <w:vAlign w:val="bottom"/>
          </w:tcPr>
          <w:p w14:paraId="7BE0A088" w14:textId="79428670"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172.4</w:t>
            </w:r>
            <w:r w:rsidR="00AE362A" w:rsidRPr="00552D93">
              <w:rPr>
                <w:rFonts w:asciiTheme="majorHAnsi" w:hAnsiTheme="majorHAnsi"/>
                <w:sz w:val="20"/>
              </w:rPr>
              <w:t>0</w:t>
            </w:r>
          </w:p>
        </w:tc>
      </w:tr>
      <w:tr w:rsidR="00552D93" w:rsidRPr="00552D93" w14:paraId="688B60C1" w14:textId="737B7192" w:rsidTr="00F45B2B">
        <w:trPr>
          <w:trHeight w:val="271"/>
        </w:trPr>
        <w:tc>
          <w:tcPr>
            <w:tcW w:w="788" w:type="pct"/>
            <w:shd w:val="clear" w:color="auto" w:fill="auto"/>
            <w:noWrap/>
          </w:tcPr>
          <w:p w14:paraId="4A8FD7E0" w14:textId="77777777"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France</w:t>
            </w:r>
          </w:p>
        </w:tc>
        <w:tc>
          <w:tcPr>
            <w:tcW w:w="350" w:type="pct"/>
            <w:shd w:val="clear" w:color="auto" w:fill="auto"/>
            <w:noWrap/>
            <w:vAlign w:val="bottom"/>
          </w:tcPr>
          <w:p w14:paraId="0B597A4E"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20</w:t>
            </w:r>
          </w:p>
        </w:tc>
        <w:tc>
          <w:tcPr>
            <w:tcW w:w="400" w:type="pct"/>
            <w:vAlign w:val="bottom"/>
          </w:tcPr>
          <w:p w14:paraId="02B5B238"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30</w:t>
            </w:r>
          </w:p>
        </w:tc>
        <w:tc>
          <w:tcPr>
            <w:tcW w:w="450" w:type="pct"/>
            <w:vAlign w:val="bottom"/>
          </w:tcPr>
          <w:p w14:paraId="0F82C472"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140</w:t>
            </w:r>
          </w:p>
        </w:tc>
        <w:tc>
          <w:tcPr>
            <w:tcW w:w="350" w:type="pct"/>
            <w:vAlign w:val="bottom"/>
          </w:tcPr>
          <w:p w14:paraId="26B70270"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210</w:t>
            </w:r>
          </w:p>
        </w:tc>
        <w:tc>
          <w:tcPr>
            <w:tcW w:w="451" w:type="pct"/>
            <w:vAlign w:val="bottom"/>
          </w:tcPr>
          <w:p w14:paraId="3C91EB97" w14:textId="3958B036"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34.99</w:t>
            </w:r>
          </w:p>
        </w:tc>
        <w:tc>
          <w:tcPr>
            <w:tcW w:w="500" w:type="pct"/>
            <w:vAlign w:val="bottom"/>
          </w:tcPr>
          <w:p w14:paraId="2B99A8FF" w14:textId="607AAA5E"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76.22</w:t>
            </w:r>
          </w:p>
        </w:tc>
        <w:tc>
          <w:tcPr>
            <w:tcW w:w="400" w:type="pct"/>
            <w:vAlign w:val="bottom"/>
          </w:tcPr>
          <w:p w14:paraId="16241C94" w14:textId="1F39F14C"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115.74</w:t>
            </w:r>
          </w:p>
        </w:tc>
        <w:tc>
          <w:tcPr>
            <w:tcW w:w="450" w:type="pct"/>
            <w:vAlign w:val="bottom"/>
          </w:tcPr>
          <w:p w14:paraId="59B60580" w14:textId="17BEE283"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37.79</w:t>
            </w:r>
          </w:p>
        </w:tc>
        <w:tc>
          <w:tcPr>
            <w:tcW w:w="527" w:type="pct"/>
            <w:vAlign w:val="bottom"/>
          </w:tcPr>
          <w:p w14:paraId="690AB6CF" w14:textId="6D4D0EEF"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90.56</w:t>
            </w:r>
          </w:p>
        </w:tc>
        <w:tc>
          <w:tcPr>
            <w:tcW w:w="334" w:type="pct"/>
            <w:vAlign w:val="bottom"/>
          </w:tcPr>
          <w:p w14:paraId="61C0EB18" w14:textId="445D837E"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140.98</w:t>
            </w:r>
          </w:p>
        </w:tc>
      </w:tr>
      <w:tr w:rsidR="00552D93" w:rsidRPr="00552D93" w14:paraId="6040386D" w14:textId="4107D7B4" w:rsidTr="00F45B2B">
        <w:trPr>
          <w:trHeight w:val="271"/>
        </w:trPr>
        <w:tc>
          <w:tcPr>
            <w:tcW w:w="788" w:type="pct"/>
            <w:shd w:val="clear" w:color="auto" w:fill="auto"/>
            <w:noWrap/>
          </w:tcPr>
          <w:p w14:paraId="7FBDF717" w14:textId="10C87F15"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Greece</w:t>
            </w:r>
          </w:p>
        </w:tc>
        <w:tc>
          <w:tcPr>
            <w:tcW w:w="350" w:type="pct"/>
            <w:shd w:val="clear" w:color="auto" w:fill="auto"/>
            <w:noWrap/>
            <w:vAlign w:val="bottom"/>
          </w:tcPr>
          <w:p w14:paraId="35BD3461" w14:textId="1FEF2B45" w:rsidR="006A31A3" w:rsidRPr="00552D93" w:rsidRDefault="00E12C9C" w:rsidP="00036136">
            <w:pPr>
              <w:spacing w:line="240" w:lineRule="auto"/>
              <w:jc w:val="right"/>
              <w:rPr>
                <w:rFonts w:asciiTheme="majorHAnsi" w:hAnsiTheme="majorHAnsi"/>
                <w:sz w:val="20"/>
              </w:rPr>
            </w:pPr>
            <w:r w:rsidRPr="00552D93">
              <w:rPr>
                <w:rFonts w:asciiTheme="majorHAnsi" w:hAnsiTheme="majorHAnsi"/>
                <w:sz w:val="20"/>
              </w:rPr>
              <w:t>20-32</w:t>
            </w:r>
          </w:p>
        </w:tc>
        <w:tc>
          <w:tcPr>
            <w:tcW w:w="400" w:type="pct"/>
            <w:vAlign w:val="bottom"/>
          </w:tcPr>
          <w:p w14:paraId="368F2D01" w14:textId="7B0FF1B7" w:rsidR="006A31A3" w:rsidRPr="00552D93" w:rsidRDefault="00E12C9C" w:rsidP="00E12C9C">
            <w:pPr>
              <w:spacing w:line="240" w:lineRule="auto"/>
              <w:jc w:val="right"/>
              <w:rPr>
                <w:rFonts w:asciiTheme="majorHAnsi" w:hAnsiTheme="majorHAnsi"/>
                <w:sz w:val="20"/>
              </w:rPr>
            </w:pPr>
            <w:r w:rsidRPr="00552D93">
              <w:rPr>
                <w:rFonts w:asciiTheme="majorHAnsi" w:hAnsiTheme="majorHAnsi"/>
                <w:sz w:val="20"/>
              </w:rPr>
              <w:t>30-48</w:t>
            </w:r>
          </w:p>
        </w:tc>
        <w:tc>
          <w:tcPr>
            <w:tcW w:w="450" w:type="pct"/>
            <w:vAlign w:val="bottom"/>
          </w:tcPr>
          <w:p w14:paraId="2DBE48F2" w14:textId="1809C5AB" w:rsidR="006A31A3" w:rsidRPr="00552D93" w:rsidRDefault="00E12C9C" w:rsidP="00036136">
            <w:pPr>
              <w:spacing w:line="240" w:lineRule="auto"/>
              <w:jc w:val="right"/>
              <w:rPr>
                <w:rFonts w:asciiTheme="majorHAnsi" w:hAnsiTheme="majorHAnsi"/>
                <w:sz w:val="20"/>
              </w:rPr>
            </w:pPr>
            <w:r w:rsidRPr="00552D93">
              <w:rPr>
                <w:rFonts w:asciiTheme="majorHAnsi" w:hAnsiTheme="majorHAnsi"/>
                <w:sz w:val="20"/>
              </w:rPr>
              <w:t xml:space="preserve"> </w:t>
            </w:r>
          </w:p>
        </w:tc>
        <w:tc>
          <w:tcPr>
            <w:tcW w:w="350" w:type="pct"/>
            <w:vAlign w:val="bottom"/>
          </w:tcPr>
          <w:p w14:paraId="78012DA0" w14:textId="77777777" w:rsidR="006A31A3" w:rsidRPr="00552D93" w:rsidRDefault="006A31A3" w:rsidP="00036136">
            <w:pPr>
              <w:spacing w:line="240" w:lineRule="auto"/>
              <w:jc w:val="right"/>
              <w:rPr>
                <w:rFonts w:asciiTheme="majorHAnsi" w:hAnsiTheme="majorHAnsi"/>
                <w:sz w:val="20"/>
                <w:highlight w:val="yellow"/>
              </w:rPr>
            </w:pPr>
          </w:p>
        </w:tc>
        <w:tc>
          <w:tcPr>
            <w:tcW w:w="451" w:type="pct"/>
            <w:vAlign w:val="bottom"/>
          </w:tcPr>
          <w:p w14:paraId="5B22DD38" w14:textId="1A6CD94B" w:rsidR="006A31A3" w:rsidRPr="00552D93" w:rsidRDefault="006A31A3" w:rsidP="00036136">
            <w:pPr>
              <w:spacing w:line="240" w:lineRule="auto"/>
              <w:jc w:val="right"/>
              <w:rPr>
                <w:rFonts w:asciiTheme="majorHAnsi" w:hAnsiTheme="majorHAnsi"/>
                <w:sz w:val="20"/>
                <w:highlight w:val="yellow"/>
              </w:rPr>
            </w:pPr>
            <w:r w:rsidRPr="00552D93">
              <w:rPr>
                <w:rFonts w:asciiTheme="majorHAnsi" w:hAnsiTheme="majorHAnsi"/>
                <w:sz w:val="20"/>
              </w:rPr>
              <w:t>37.06</w:t>
            </w:r>
          </w:p>
        </w:tc>
        <w:tc>
          <w:tcPr>
            <w:tcW w:w="500" w:type="pct"/>
            <w:vAlign w:val="bottom"/>
          </w:tcPr>
          <w:p w14:paraId="1126F222" w14:textId="7151F492" w:rsidR="006A31A3" w:rsidRPr="00552D93" w:rsidRDefault="006A31A3" w:rsidP="00036136">
            <w:pPr>
              <w:spacing w:line="240" w:lineRule="auto"/>
              <w:jc w:val="right"/>
              <w:rPr>
                <w:rFonts w:asciiTheme="majorHAnsi" w:hAnsiTheme="majorHAnsi"/>
                <w:sz w:val="20"/>
                <w:highlight w:val="yellow"/>
              </w:rPr>
            </w:pPr>
            <w:r w:rsidRPr="00552D93">
              <w:rPr>
                <w:rFonts w:asciiTheme="majorHAnsi" w:hAnsiTheme="majorHAnsi"/>
                <w:sz w:val="20"/>
              </w:rPr>
              <w:t>69.3</w:t>
            </w:r>
            <w:r w:rsidR="00C554D0" w:rsidRPr="00552D93">
              <w:rPr>
                <w:rFonts w:asciiTheme="majorHAnsi" w:hAnsiTheme="majorHAnsi"/>
                <w:sz w:val="20"/>
              </w:rPr>
              <w:t>0</w:t>
            </w:r>
          </w:p>
        </w:tc>
        <w:tc>
          <w:tcPr>
            <w:tcW w:w="400" w:type="pct"/>
            <w:vAlign w:val="bottom"/>
          </w:tcPr>
          <w:p w14:paraId="12E038B1" w14:textId="5A2CE12C" w:rsidR="006A31A3" w:rsidRPr="00552D93" w:rsidRDefault="006A31A3" w:rsidP="00036136">
            <w:pPr>
              <w:spacing w:line="240" w:lineRule="auto"/>
              <w:jc w:val="right"/>
              <w:rPr>
                <w:rFonts w:asciiTheme="majorHAnsi" w:hAnsiTheme="majorHAnsi"/>
                <w:sz w:val="20"/>
                <w:highlight w:val="yellow"/>
              </w:rPr>
            </w:pPr>
            <w:r w:rsidRPr="00552D93">
              <w:rPr>
                <w:rFonts w:asciiTheme="majorHAnsi" w:hAnsiTheme="majorHAnsi"/>
                <w:sz w:val="20"/>
              </w:rPr>
              <w:t>99</w:t>
            </w:r>
            <w:r w:rsidR="00F45B2B" w:rsidRPr="00552D93">
              <w:rPr>
                <w:rFonts w:asciiTheme="majorHAnsi" w:hAnsiTheme="majorHAnsi"/>
                <w:sz w:val="20"/>
              </w:rPr>
              <w:t>.00</w:t>
            </w:r>
          </w:p>
        </w:tc>
        <w:tc>
          <w:tcPr>
            <w:tcW w:w="450" w:type="pct"/>
            <w:vAlign w:val="bottom"/>
          </w:tcPr>
          <w:p w14:paraId="42797C6F" w14:textId="11047A88" w:rsidR="006A31A3" w:rsidRPr="00552D93" w:rsidRDefault="006A31A3" w:rsidP="00036136">
            <w:pPr>
              <w:spacing w:line="240" w:lineRule="auto"/>
              <w:jc w:val="right"/>
              <w:rPr>
                <w:rFonts w:asciiTheme="majorHAnsi" w:hAnsiTheme="majorHAnsi"/>
                <w:sz w:val="20"/>
                <w:highlight w:val="yellow"/>
              </w:rPr>
            </w:pPr>
            <w:r w:rsidRPr="00552D93">
              <w:rPr>
                <w:rFonts w:asciiTheme="majorHAnsi" w:hAnsiTheme="majorHAnsi"/>
                <w:sz w:val="20"/>
              </w:rPr>
              <w:t>51.26</w:t>
            </w:r>
          </w:p>
        </w:tc>
        <w:tc>
          <w:tcPr>
            <w:tcW w:w="527" w:type="pct"/>
            <w:vAlign w:val="bottom"/>
          </w:tcPr>
          <w:p w14:paraId="2E51670C" w14:textId="4042C755" w:rsidR="006A31A3" w:rsidRPr="00552D93" w:rsidRDefault="006A31A3" w:rsidP="00036136">
            <w:pPr>
              <w:spacing w:line="240" w:lineRule="auto"/>
              <w:jc w:val="right"/>
              <w:rPr>
                <w:rFonts w:asciiTheme="majorHAnsi" w:hAnsiTheme="majorHAnsi"/>
                <w:sz w:val="20"/>
                <w:highlight w:val="yellow"/>
              </w:rPr>
            </w:pPr>
            <w:r w:rsidRPr="00552D93">
              <w:rPr>
                <w:rFonts w:asciiTheme="majorHAnsi" w:hAnsiTheme="majorHAnsi"/>
                <w:sz w:val="20"/>
              </w:rPr>
              <w:t>93.55</w:t>
            </w:r>
          </w:p>
        </w:tc>
        <w:tc>
          <w:tcPr>
            <w:tcW w:w="334" w:type="pct"/>
            <w:vAlign w:val="bottom"/>
          </w:tcPr>
          <w:p w14:paraId="64EAE204" w14:textId="528A5EE6" w:rsidR="006A31A3" w:rsidRPr="00552D93" w:rsidRDefault="006A31A3" w:rsidP="00036136">
            <w:pPr>
              <w:spacing w:line="240" w:lineRule="auto"/>
              <w:jc w:val="right"/>
              <w:rPr>
                <w:rFonts w:asciiTheme="majorHAnsi" w:hAnsiTheme="majorHAnsi"/>
                <w:sz w:val="20"/>
                <w:highlight w:val="yellow"/>
              </w:rPr>
            </w:pPr>
            <w:r w:rsidRPr="00552D93">
              <w:rPr>
                <w:rFonts w:asciiTheme="majorHAnsi" w:hAnsiTheme="majorHAnsi"/>
                <w:sz w:val="20"/>
              </w:rPr>
              <w:t>139.72</w:t>
            </w:r>
          </w:p>
        </w:tc>
      </w:tr>
      <w:tr w:rsidR="00552D93" w:rsidRPr="00552D93" w14:paraId="0F1FEA93" w14:textId="21ED9430" w:rsidTr="00F45B2B">
        <w:trPr>
          <w:trHeight w:val="392"/>
        </w:trPr>
        <w:tc>
          <w:tcPr>
            <w:tcW w:w="788" w:type="pct"/>
            <w:shd w:val="clear" w:color="auto" w:fill="auto"/>
            <w:noWrap/>
          </w:tcPr>
          <w:p w14:paraId="460BCAAB" w14:textId="77777777"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Hungary</w:t>
            </w:r>
          </w:p>
        </w:tc>
        <w:tc>
          <w:tcPr>
            <w:tcW w:w="350" w:type="pct"/>
            <w:shd w:val="clear" w:color="auto" w:fill="auto"/>
            <w:noWrap/>
            <w:vAlign w:val="bottom"/>
          </w:tcPr>
          <w:p w14:paraId="4D6AD3F1" w14:textId="7D14A0F1"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17</w:t>
            </w:r>
          </w:p>
        </w:tc>
        <w:tc>
          <w:tcPr>
            <w:tcW w:w="400" w:type="pct"/>
            <w:vAlign w:val="bottom"/>
          </w:tcPr>
          <w:p w14:paraId="1651ABE1" w14:textId="087078AC"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34</w:t>
            </w:r>
          </w:p>
        </w:tc>
        <w:tc>
          <w:tcPr>
            <w:tcW w:w="450" w:type="pct"/>
            <w:vAlign w:val="bottom"/>
          </w:tcPr>
          <w:p w14:paraId="563B9CB8" w14:textId="73B74BAD"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w:t>
            </w:r>
          </w:p>
        </w:tc>
        <w:tc>
          <w:tcPr>
            <w:tcW w:w="350" w:type="pct"/>
            <w:vAlign w:val="bottom"/>
          </w:tcPr>
          <w:p w14:paraId="47F831B5" w14:textId="0631D685"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w:t>
            </w:r>
          </w:p>
        </w:tc>
        <w:tc>
          <w:tcPr>
            <w:tcW w:w="451" w:type="pct"/>
            <w:vAlign w:val="bottom"/>
          </w:tcPr>
          <w:p w14:paraId="4B171EC0" w14:textId="592E8B4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32.7</w:t>
            </w:r>
            <w:r w:rsidR="00C554D0" w:rsidRPr="00552D93">
              <w:rPr>
                <w:rFonts w:asciiTheme="majorHAnsi" w:hAnsiTheme="majorHAnsi"/>
                <w:sz w:val="20"/>
              </w:rPr>
              <w:t>0</w:t>
            </w:r>
          </w:p>
        </w:tc>
        <w:tc>
          <w:tcPr>
            <w:tcW w:w="500" w:type="pct"/>
            <w:vAlign w:val="bottom"/>
          </w:tcPr>
          <w:p w14:paraId="5B8A719C" w14:textId="19BCE348"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65.45</w:t>
            </w:r>
          </w:p>
        </w:tc>
        <w:tc>
          <w:tcPr>
            <w:tcW w:w="400" w:type="pct"/>
            <w:vAlign w:val="bottom"/>
          </w:tcPr>
          <w:p w14:paraId="6DA08F56" w14:textId="25C476B1"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102.65</w:t>
            </w:r>
          </w:p>
        </w:tc>
        <w:tc>
          <w:tcPr>
            <w:tcW w:w="450" w:type="pct"/>
            <w:vAlign w:val="bottom"/>
          </w:tcPr>
          <w:p w14:paraId="3B9DFF3D" w14:textId="73DD7D0F"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39.65</w:t>
            </w:r>
          </w:p>
        </w:tc>
        <w:tc>
          <w:tcPr>
            <w:tcW w:w="527" w:type="pct"/>
            <w:vAlign w:val="bottom"/>
          </w:tcPr>
          <w:p w14:paraId="6A283868" w14:textId="5CE5DFEB"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85.23</w:t>
            </w:r>
          </w:p>
        </w:tc>
        <w:tc>
          <w:tcPr>
            <w:tcW w:w="334" w:type="pct"/>
            <w:vAlign w:val="bottom"/>
          </w:tcPr>
          <w:p w14:paraId="325ABC05" w14:textId="21678D80"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137.99</w:t>
            </w:r>
          </w:p>
        </w:tc>
      </w:tr>
      <w:tr w:rsidR="00552D93" w:rsidRPr="00552D93" w14:paraId="546CC181" w14:textId="5DEBE9B3" w:rsidTr="00F45B2B">
        <w:trPr>
          <w:trHeight w:val="370"/>
        </w:trPr>
        <w:tc>
          <w:tcPr>
            <w:tcW w:w="788" w:type="pct"/>
            <w:shd w:val="clear" w:color="auto" w:fill="auto"/>
            <w:noWrap/>
          </w:tcPr>
          <w:p w14:paraId="26273F2B" w14:textId="39F054A8"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Republic of Ireland</w:t>
            </w:r>
          </w:p>
        </w:tc>
        <w:tc>
          <w:tcPr>
            <w:tcW w:w="350" w:type="pct"/>
            <w:shd w:val="clear" w:color="auto" w:fill="auto"/>
            <w:noWrap/>
            <w:vAlign w:val="bottom"/>
          </w:tcPr>
          <w:p w14:paraId="4AAF1BBA" w14:textId="4F8285BC"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w:t>
            </w:r>
          </w:p>
        </w:tc>
        <w:tc>
          <w:tcPr>
            <w:tcW w:w="400" w:type="pct"/>
            <w:vAlign w:val="bottom"/>
          </w:tcPr>
          <w:p w14:paraId="3AC796DF" w14:textId="5D516C44"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w:t>
            </w:r>
          </w:p>
        </w:tc>
        <w:tc>
          <w:tcPr>
            <w:tcW w:w="450" w:type="pct"/>
            <w:vAlign w:val="bottom"/>
          </w:tcPr>
          <w:p w14:paraId="15F3BCDC"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110</w:t>
            </w:r>
          </w:p>
        </w:tc>
        <w:tc>
          <w:tcPr>
            <w:tcW w:w="350" w:type="pct"/>
            <w:vAlign w:val="bottom"/>
          </w:tcPr>
          <w:p w14:paraId="42A10137"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170</w:t>
            </w:r>
          </w:p>
        </w:tc>
        <w:tc>
          <w:tcPr>
            <w:tcW w:w="451" w:type="pct"/>
            <w:vAlign w:val="bottom"/>
          </w:tcPr>
          <w:p w14:paraId="0EC9E7CC" w14:textId="0314DCA9"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39.76</w:t>
            </w:r>
          </w:p>
        </w:tc>
        <w:tc>
          <w:tcPr>
            <w:tcW w:w="500" w:type="pct"/>
            <w:vAlign w:val="bottom"/>
          </w:tcPr>
          <w:p w14:paraId="3BAC2245" w14:textId="7E680B08"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84.56</w:t>
            </w:r>
          </w:p>
        </w:tc>
        <w:tc>
          <w:tcPr>
            <w:tcW w:w="400" w:type="pct"/>
            <w:vAlign w:val="bottom"/>
          </w:tcPr>
          <w:p w14:paraId="1822AD71" w14:textId="7D0A3E49"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119.04</w:t>
            </w:r>
          </w:p>
        </w:tc>
        <w:tc>
          <w:tcPr>
            <w:tcW w:w="450" w:type="pct"/>
            <w:vAlign w:val="bottom"/>
          </w:tcPr>
          <w:p w14:paraId="6C8F7D57" w14:textId="1313977F"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49.42</w:t>
            </w:r>
          </w:p>
        </w:tc>
        <w:tc>
          <w:tcPr>
            <w:tcW w:w="527" w:type="pct"/>
            <w:vAlign w:val="bottom"/>
          </w:tcPr>
          <w:p w14:paraId="035A0859" w14:textId="79CC249E"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109.85</w:t>
            </w:r>
          </w:p>
        </w:tc>
        <w:tc>
          <w:tcPr>
            <w:tcW w:w="334" w:type="pct"/>
            <w:vAlign w:val="bottom"/>
          </w:tcPr>
          <w:p w14:paraId="3E7168B8" w14:textId="1CAC293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159.11</w:t>
            </w:r>
          </w:p>
        </w:tc>
      </w:tr>
      <w:tr w:rsidR="00552D93" w:rsidRPr="00552D93" w14:paraId="1B667FCA" w14:textId="1FCB3BE1" w:rsidTr="00F45B2B">
        <w:trPr>
          <w:trHeight w:val="370"/>
        </w:trPr>
        <w:tc>
          <w:tcPr>
            <w:tcW w:w="788" w:type="pct"/>
            <w:shd w:val="clear" w:color="auto" w:fill="auto"/>
            <w:noWrap/>
          </w:tcPr>
          <w:p w14:paraId="36BBCAE8" w14:textId="46413868"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Italy</w:t>
            </w:r>
          </w:p>
        </w:tc>
        <w:tc>
          <w:tcPr>
            <w:tcW w:w="350" w:type="pct"/>
            <w:shd w:val="clear" w:color="auto" w:fill="auto"/>
            <w:noWrap/>
            <w:vAlign w:val="bottom"/>
          </w:tcPr>
          <w:p w14:paraId="5D6405F7" w14:textId="06ACDE64"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20</w:t>
            </w:r>
          </w:p>
        </w:tc>
        <w:tc>
          <w:tcPr>
            <w:tcW w:w="400" w:type="pct"/>
            <w:vAlign w:val="bottom"/>
          </w:tcPr>
          <w:p w14:paraId="6145ACD8" w14:textId="30DC4A91"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36</w:t>
            </w:r>
          </w:p>
        </w:tc>
        <w:tc>
          <w:tcPr>
            <w:tcW w:w="450" w:type="pct"/>
            <w:vAlign w:val="bottom"/>
          </w:tcPr>
          <w:p w14:paraId="4904CBAF" w14:textId="17A30E3B"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w:t>
            </w:r>
          </w:p>
        </w:tc>
        <w:tc>
          <w:tcPr>
            <w:tcW w:w="350" w:type="pct"/>
            <w:vAlign w:val="bottom"/>
          </w:tcPr>
          <w:p w14:paraId="5806E405" w14:textId="65659FB5"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w:t>
            </w:r>
          </w:p>
        </w:tc>
        <w:tc>
          <w:tcPr>
            <w:tcW w:w="451" w:type="pct"/>
            <w:vAlign w:val="bottom"/>
          </w:tcPr>
          <w:p w14:paraId="6E3B78DB" w14:textId="5261E4C8"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34.67</w:t>
            </w:r>
          </w:p>
        </w:tc>
        <w:tc>
          <w:tcPr>
            <w:tcW w:w="500" w:type="pct"/>
            <w:vAlign w:val="bottom"/>
          </w:tcPr>
          <w:p w14:paraId="32D142E0" w14:textId="787C35DA"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69.82</w:t>
            </w:r>
          </w:p>
        </w:tc>
        <w:tc>
          <w:tcPr>
            <w:tcW w:w="400" w:type="pct"/>
            <w:vAlign w:val="bottom"/>
          </w:tcPr>
          <w:p w14:paraId="7B25D8BD" w14:textId="0D047C7F"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109.26</w:t>
            </w:r>
          </w:p>
        </w:tc>
        <w:tc>
          <w:tcPr>
            <w:tcW w:w="450" w:type="pct"/>
            <w:vAlign w:val="bottom"/>
          </w:tcPr>
          <w:p w14:paraId="3D935BD9" w14:textId="71A79E1A"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35.62</w:t>
            </w:r>
          </w:p>
        </w:tc>
        <w:tc>
          <w:tcPr>
            <w:tcW w:w="527" w:type="pct"/>
            <w:vAlign w:val="bottom"/>
          </w:tcPr>
          <w:p w14:paraId="60C37890" w14:textId="6D3E2015"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76.6</w:t>
            </w:r>
            <w:r w:rsidR="00C554D0" w:rsidRPr="00552D93">
              <w:rPr>
                <w:rFonts w:asciiTheme="majorHAnsi" w:hAnsiTheme="majorHAnsi"/>
                <w:sz w:val="20"/>
              </w:rPr>
              <w:t>0</w:t>
            </w:r>
          </w:p>
        </w:tc>
        <w:tc>
          <w:tcPr>
            <w:tcW w:w="334" w:type="pct"/>
            <w:vAlign w:val="bottom"/>
          </w:tcPr>
          <w:p w14:paraId="52C4E2D4" w14:textId="13B5E1EC"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120.99</w:t>
            </w:r>
          </w:p>
        </w:tc>
      </w:tr>
      <w:tr w:rsidR="00552D93" w:rsidRPr="00552D93" w14:paraId="0F6D42DE" w14:textId="663ED2C7" w:rsidTr="00F45B2B">
        <w:trPr>
          <w:trHeight w:val="406"/>
        </w:trPr>
        <w:tc>
          <w:tcPr>
            <w:tcW w:w="788" w:type="pct"/>
            <w:shd w:val="clear" w:color="auto" w:fill="auto"/>
            <w:noWrap/>
          </w:tcPr>
          <w:p w14:paraId="6B4845EE" w14:textId="77777777"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Netherlands</w:t>
            </w:r>
          </w:p>
        </w:tc>
        <w:tc>
          <w:tcPr>
            <w:tcW w:w="350" w:type="pct"/>
            <w:shd w:val="clear" w:color="auto" w:fill="auto"/>
            <w:noWrap/>
            <w:vAlign w:val="bottom"/>
          </w:tcPr>
          <w:p w14:paraId="4EAFB405"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20</w:t>
            </w:r>
          </w:p>
        </w:tc>
        <w:tc>
          <w:tcPr>
            <w:tcW w:w="400" w:type="pct"/>
            <w:vAlign w:val="bottom"/>
          </w:tcPr>
          <w:p w14:paraId="459A07B2"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30</w:t>
            </w:r>
          </w:p>
        </w:tc>
        <w:tc>
          <w:tcPr>
            <w:tcW w:w="450" w:type="pct"/>
            <w:vAlign w:val="bottom"/>
          </w:tcPr>
          <w:p w14:paraId="41261660" w14:textId="77777777" w:rsidR="006A31A3" w:rsidRPr="00552D93" w:rsidRDefault="006A31A3" w:rsidP="00036136">
            <w:pPr>
              <w:spacing w:line="240" w:lineRule="auto"/>
              <w:jc w:val="right"/>
              <w:rPr>
                <w:rFonts w:asciiTheme="majorHAnsi" w:hAnsiTheme="majorHAnsi"/>
                <w:sz w:val="20"/>
              </w:rPr>
            </w:pPr>
          </w:p>
        </w:tc>
        <w:tc>
          <w:tcPr>
            <w:tcW w:w="350" w:type="pct"/>
            <w:vAlign w:val="bottom"/>
          </w:tcPr>
          <w:p w14:paraId="6D352B20" w14:textId="77777777" w:rsidR="006A31A3" w:rsidRPr="00552D93" w:rsidRDefault="006A31A3" w:rsidP="00036136">
            <w:pPr>
              <w:spacing w:line="240" w:lineRule="auto"/>
              <w:jc w:val="right"/>
              <w:rPr>
                <w:rFonts w:asciiTheme="majorHAnsi" w:hAnsiTheme="majorHAnsi"/>
                <w:sz w:val="20"/>
              </w:rPr>
            </w:pPr>
          </w:p>
        </w:tc>
        <w:tc>
          <w:tcPr>
            <w:tcW w:w="451" w:type="pct"/>
            <w:vAlign w:val="bottom"/>
          </w:tcPr>
          <w:p w14:paraId="422FC5D5" w14:textId="1092BF01"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42.49</w:t>
            </w:r>
          </w:p>
        </w:tc>
        <w:tc>
          <w:tcPr>
            <w:tcW w:w="500" w:type="pct"/>
            <w:vAlign w:val="bottom"/>
          </w:tcPr>
          <w:p w14:paraId="7DDB432E" w14:textId="502AE774"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94.63</w:t>
            </w:r>
          </w:p>
        </w:tc>
        <w:tc>
          <w:tcPr>
            <w:tcW w:w="400" w:type="pct"/>
            <w:vAlign w:val="bottom"/>
          </w:tcPr>
          <w:p w14:paraId="61C551E6" w14:textId="0028BEED"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136.05</w:t>
            </w:r>
          </w:p>
        </w:tc>
        <w:tc>
          <w:tcPr>
            <w:tcW w:w="450" w:type="pct"/>
            <w:vAlign w:val="bottom"/>
          </w:tcPr>
          <w:p w14:paraId="3BAB715C" w14:textId="466949C6"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48.11</w:t>
            </w:r>
          </w:p>
        </w:tc>
        <w:tc>
          <w:tcPr>
            <w:tcW w:w="527" w:type="pct"/>
            <w:vAlign w:val="bottom"/>
          </w:tcPr>
          <w:p w14:paraId="64FC8C33" w14:textId="1A82DF68"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116.22</w:t>
            </w:r>
          </w:p>
        </w:tc>
        <w:tc>
          <w:tcPr>
            <w:tcW w:w="334" w:type="pct"/>
            <w:vAlign w:val="bottom"/>
          </w:tcPr>
          <w:p w14:paraId="13290E7D" w14:textId="43A8E464"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174.66</w:t>
            </w:r>
          </w:p>
        </w:tc>
      </w:tr>
      <w:tr w:rsidR="00552D93" w:rsidRPr="00552D93" w14:paraId="4EBEBE80" w14:textId="291D7DFF" w:rsidTr="00F45B2B">
        <w:trPr>
          <w:trHeight w:val="384"/>
        </w:trPr>
        <w:tc>
          <w:tcPr>
            <w:tcW w:w="788" w:type="pct"/>
            <w:shd w:val="clear" w:color="auto" w:fill="auto"/>
            <w:noWrap/>
          </w:tcPr>
          <w:p w14:paraId="6DAB060D" w14:textId="77777777"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New Zealand</w:t>
            </w:r>
          </w:p>
        </w:tc>
        <w:tc>
          <w:tcPr>
            <w:tcW w:w="350" w:type="pct"/>
            <w:shd w:val="clear" w:color="auto" w:fill="auto"/>
            <w:noWrap/>
            <w:vAlign w:val="bottom"/>
          </w:tcPr>
          <w:p w14:paraId="551424E5"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20</w:t>
            </w:r>
          </w:p>
        </w:tc>
        <w:tc>
          <w:tcPr>
            <w:tcW w:w="400" w:type="pct"/>
            <w:vAlign w:val="bottom"/>
          </w:tcPr>
          <w:p w14:paraId="00D84EEB"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30</w:t>
            </w:r>
          </w:p>
        </w:tc>
        <w:tc>
          <w:tcPr>
            <w:tcW w:w="450" w:type="pct"/>
            <w:vAlign w:val="bottom"/>
          </w:tcPr>
          <w:p w14:paraId="05584C2A"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100</w:t>
            </w:r>
          </w:p>
        </w:tc>
        <w:tc>
          <w:tcPr>
            <w:tcW w:w="350" w:type="pct"/>
            <w:vAlign w:val="bottom"/>
          </w:tcPr>
          <w:p w14:paraId="276EA2FB"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150</w:t>
            </w:r>
          </w:p>
        </w:tc>
        <w:tc>
          <w:tcPr>
            <w:tcW w:w="451" w:type="pct"/>
            <w:vAlign w:val="bottom"/>
          </w:tcPr>
          <w:p w14:paraId="54840B4B" w14:textId="0361C77C"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36.3</w:t>
            </w:r>
            <w:r w:rsidR="00C554D0" w:rsidRPr="00552D93">
              <w:rPr>
                <w:rFonts w:asciiTheme="majorHAnsi" w:hAnsiTheme="majorHAnsi"/>
                <w:sz w:val="20"/>
              </w:rPr>
              <w:t>0</w:t>
            </w:r>
          </w:p>
        </w:tc>
        <w:tc>
          <w:tcPr>
            <w:tcW w:w="500" w:type="pct"/>
            <w:vAlign w:val="bottom"/>
          </w:tcPr>
          <w:p w14:paraId="11FA87B0" w14:textId="18FE1F5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79.92</w:t>
            </w:r>
          </w:p>
        </w:tc>
        <w:tc>
          <w:tcPr>
            <w:tcW w:w="400" w:type="pct"/>
            <w:vAlign w:val="bottom"/>
          </w:tcPr>
          <w:p w14:paraId="640E57B4" w14:textId="363132B6"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112.62</w:t>
            </w:r>
          </w:p>
        </w:tc>
        <w:tc>
          <w:tcPr>
            <w:tcW w:w="450" w:type="pct"/>
            <w:vAlign w:val="bottom"/>
          </w:tcPr>
          <w:p w14:paraId="217ABD79" w14:textId="5040145C"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46.43</w:t>
            </w:r>
          </w:p>
        </w:tc>
        <w:tc>
          <w:tcPr>
            <w:tcW w:w="527" w:type="pct"/>
            <w:vAlign w:val="bottom"/>
          </w:tcPr>
          <w:p w14:paraId="2FBE049D" w14:textId="29C14CEF"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112.11</w:t>
            </w:r>
          </w:p>
        </w:tc>
        <w:tc>
          <w:tcPr>
            <w:tcW w:w="334" w:type="pct"/>
            <w:vAlign w:val="bottom"/>
          </w:tcPr>
          <w:p w14:paraId="6B775608" w14:textId="414E9902"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164.89</w:t>
            </w:r>
          </w:p>
        </w:tc>
      </w:tr>
      <w:tr w:rsidR="00552D93" w:rsidRPr="00552D93" w14:paraId="0B66ACA7" w14:textId="5C2C6C29" w:rsidTr="00F45B2B">
        <w:trPr>
          <w:trHeight w:val="406"/>
        </w:trPr>
        <w:tc>
          <w:tcPr>
            <w:tcW w:w="788" w:type="pct"/>
            <w:shd w:val="clear" w:color="auto" w:fill="auto"/>
            <w:noWrap/>
          </w:tcPr>
          <w:p w14:paraId="4DC13CB3" w14:textId="7CFA41AE"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Poland</w:t>
            </w:r>
          </w:p>
        </w:tc>
        <w:tc>
          <w:tcPr>
            <w:tcW w:w="350" w:type="pct"/>
            <w:shd w:val="clear" w:color="auto" w:fill="auto"/>
            <w:noWrap/>
            <w:vAlign w:val="bottom"/>
          </w:tcPr>
          <w:p w14:paraId="094290C6" w14:textId="4B9CF604"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20</w:t>
            </w:r>
          </w:p>
        </w:tc>
        <w:tc>
          <w:tcPr>
            <w:tcW w:w="400" w:type="pct"/>
            <w:vAlign w:val="bottom"/>
          </w:tcPr>
          <w:p w14:paraId="59B8A510" w14:textId="0CF9DEC6"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40</w:t>
            </w:r>
          </w:p>
        </w:tc>
        <w:tc>
          <w:tcPr>
            <w:tcW w:w="450" w:type="pct"/>
            <w:vAlign w:val="bottom"/>
          </w:tcPr>
          <w:p w14:paraId="1BA14C4D" w14:textId="46C4501C" w:rsidR="006A31A3" w:rsidRPr="00552D93" w:rsidRDefault="00E12C9C" w:rsidP="00036136">
            <w:pPr>
              <w:spacing w:line="240" w:lineRule="auto"/>
              <w:jc w:val="right"/>
              <w:rPr>
                <w:rFonts w:asciiTheme="majorHAnsi" w:hAnsiTheme="majorHAnsi"/>
                <w:sz w:val="20"/>
              </w:rPr>
            </w:pPr>
            <w:r w:rsidRPr="00552D93">
              <w:rPr>
                <w:rFonts w:asciiTheme="majorHAnsi" w:hAnsiTheme="majorHAnsi"/>
                <w:sz w:val="20"/>
              </w:rPr>
              <w:t>1</w:t>
            </w:r>
            <w:r w:rsidR="006A31A3" w:rsidRPr="00552D93">
              <w:rPr>
                <w:rFonts w:asciiTheme="majorHAnsi" w:hAnsiTheme="majorHAnsi"/>
                <w:sz w:val="20"/>
              </w:rPr>
              <w:t>40</w:t>
            </w:r>
          </w:p>
        </w:tc>
        <w:tc>
          <w:tcPr>
            <w:tcW w:w="350" w:type="pct"/>
            <w:vAlign w:val="bottom"/>
          </w:tcPr>
          <w:p w14:paraId="15F8F89F" w14:textId="1C7378C1"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280</w:t>
            </w:r>
          </w:p>
        </w:tc>
        <w:tc>
          <w:tcPr>
            <w:tcW w:w="451" w:type="pct"/>
            <w:vAlign w:val="bottom"/>
          </w:tcPr>
          <w:p w14:paraId="14E34633" w14:textId="3109C422"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33.92</w:t>
            </w:r>
          </w:p>
        </w:tc>
        <w:tc>
          <w:tcPr>
            <w:tcW w:w="500" w:type="pct"/>
            <w:vAlign w:val="bottom"/>
          </w:tcPr>
          <w:p w14:paraId="146818B0" w14:textId="68050A0B"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81.21</w:t>
            </w:r>
          </w:p>
        </w:tc>
        <w:tc>
          <w:tcPr>
            <w:tcW w:w="400" w:type="pct"/>
            <w:vAlign w:val="bottom"/>
          </w:tcPr>
          <w:p w14:paraId="7181D1E9" w14:textId="187334D5"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112.55</w:t>
            </w:r>
          </w:p>
        </w:tc>
        <w:tc>
          <w:tcPr>
            <w:tcW w:w="450" w:type="pct"/>
            <w:vAlign w:val="bottom"/>
          </w:tcPr>
          <w:p w14:paraId="75A7B988" w14:textId="4559E8AF"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37.61</w:t>
            </w:r>
          </w:p>
        </w:tc>
        <w:tc>
          <w:tcPr>
            <w:tcW w:w="527" w:type="pct"/>
            <w:vAlign w:val="bottom"/>
          </w:tcPr>
          <w:p w14:paraId="1B2CD0B1" w14:textId="77B1307B"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95.29</w:t>
            </w:r>
          </w:p>
        </w:tc>
        <w:tc>
          <w:tcPr>
            <w:tcW w:w="334" w:type="pct"/>
            <w:vAlign w:val="bottom"/>
          </w:tcPr>
          <w:p w14:paraId="2F3E5975" w14:textId="7F50C2E8"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142.32</w:t>
            </w:r>
          </w:p>
        </w:tc>
      </w:tr>
      <w:tr w:rsidR="00552D93" w:rsidRPr="00552D93" w14:paraId="62967365" w14:textId="05FA9AF3" w:rsidTr="00F45B2B">
        <w:trPr>
          <w:trHeight w:val="406"/>
        </w:trPr>
        <w:tc>
          <w:tcPr>
            <w:tcW w:w="788" w:type="pct"/>
            <w:shd w:val="clear" w:color="auto" w:fill="auto"/>
            <w:noWrap/>
          </w:tcPr>
          <w:p w14:paraId="069F14C9" w14:textId="77777777"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Portugal</w:t>
            </w:r>
          </w:p>
        </w:tc>
        <w:tc>
          <w:tcPr>
            <w:tcW w:w="350" w:type="pct"/>
            <w:shd w:val="clear" w:color="auto" w:fill="auto"/>
            <w:noWrap/>
            <w:vAlign w:val="bottom"/>
          </w:tcPr>
          <w:p w14:paraId="1FED2628"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10--24</w:t>
            </w:r>
          </w:p>
        </w:tc>
        <w:tc>
          <w:tcPr>
            <w:tcW w:w="400" w:type="pct"/>
            <w:vAlign w:val="bottom"/>
          </w:tcPr>
          <w:p w14:paraId="67DD9CC7"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10--24</w:t>
            </w:r>
          </w:p>
        </w:tc>
        <w:tc>
          <w:tcPr>
            <w:tcW w:w="450" w:type="pct"/>
            <w:vAlign w:val="bottom"/>
          </w:tcPr>
          <w:p w14:paraId="3BD46CBD" w14:textId="77777777" w:rsidR="006A31A3" w:rsidRPr="00552D93" w:rsidRDefault="006A31A3" w:rsidP="00036136">
            <w:pPr>
              <w:spacing w:line="240" w:lineRule="auto"/>
              <w:jc w:val="right"/>
              <w:rPr>
                <w:rFonts w:asciiTheme="majorHAnsi" w:hAnsiTheme="majorHAnsi"/>
                <w:sz w:val="20"/>
              </w:rPr>
            </w:pPr>
          </w:p>
        </w:tc>
        <w:tc>
          <w:tcPr>
            <w:tcW w:w="350" w:type="pct"/>
            <w:vAlign w:val="bottom"/>
          </w:tcPr>
          <w:p w14:paraId="5F5C5E75" w14:textId="77777777" w:rsidR="006A31A3" w:rsidRPr="00552D93" w:rsidRDefault="006A31A3" w:rsidP="00036136">
            <w:pPr>
              <w:spacing w:line="240" w:lineRule="auto"/>
              <w:jc w:val="right"/>
              <w:rPr>
                <w:rFonts w:asciiTheme="majorHAnsi" w:hAnsiTheme="majorHAnsi"/>
                <w:sz w:val="20"/>
              </w:rPr>
            </w:pPr>
          </w:p>
        </w:tc>
        <w:tc>
          <w:tcPr>
            <w:tcW w:w="451" w:type="pct"/>
            <w:vAlign w:val="bottom"/>
          </w:tcPr>
          <w:p w14:paraId="6286DBB0" w14:textId="5EB622D1"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35.13</w:t>
            </w:r>
          </w:p>
        </w:tc>
        <w:tc>
          <w:tcPr>
            <w:tcW w:w="500" w:type="pct"/>
            <w:vAlign w:val="bottom"/>
          </w:tcPr>
          <w:p w14:paraId="0D87C831" w14:textId="284028E5"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68.7</w:t>
            </w:r>
            <w:r w:rsidR="00C554D0" w:rsidRPr="00552D93">
              <w:rPr>
                <w:rFonts w:asciiTheme="majorHAnsi" w:hAnsiTheme="majorHAnsi"/>
                <w:sz w:val="20"/>
              </w:rPr>
              <w:t>0</w:t>
            </w:r>
          </w:p>
        </w:tc>
        <w:tc>
          <w:tcPr>
            <w:tcW w:w="400" w:type="pct"/>
            <w:vAlign w:val="bottom"/>
          </w:tcPr>
          <w:p w14:paraId="7DB96F82" w14:textId="16BE8089"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108.09</w:t>
            </w:r>
          </w:p>
        </w:tc>
        <w:tc>
          <w:tcPr>
            <w:tcW w:w="450" w:type="pct"/>
            <w:vAlign w:val="bottom"/>
          </w:tcPr>
          <w:p w14:paraId="2617EE9C" w14:textId="2540648E"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46.04</w:t>
            </w:r>
          </w:p>
        </w:tc>
        <w:tc>
          <w:tcPr>
            <w:tcW w:w="527" w:type="pct"/>
            <w:vAlign w:val="bottom"/>
          </w:tcPr>
          <w:p w14:paraId="69F282AF" w14:textId="639DDFB5"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93.26</w:t>
            </w:r>
          </w:p>
        </w:tc>
        <w:tc>
          <w:tcPr>
            <w:tcW w:w="334" w:type="pct"/>
            <w:vAlign w:val="bottom"/>
          </w:tcPr>
          <w:p w14:paraId="7A170DA7" w14:textId="58522EAC"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153.01</w:t>
            </w:r>
          </w:p>
        </w:tc>
      </w:tr>
      <w:tr w:rsidR="00552D93" w:rsidRPr="00552D93" w14:paraId="157F241B" w14:textId="6173B468" w:rsidTr="00F45B2B">
        <w:trPr>
          <w:trHeight w:val="384"/>
        </w:trPr>
        <w:tc>
          <w:tcPr>
            <w:tcW w:w="788" w:type="pct"/>
            <w:shd w:val="clear" w:color="auto" w:fill="auto"/>
            <w:noWrap/>
          </w:tcPr>
          <w:p w14:paraId="40D5DE94" w14:textId="77777777"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 xml:space="preserve">Spain </w:t>
            </w:r>
          </w:p>
        </w:tc>
        <w:tc>
          <w:tcPr>
            <w:tcW w:w="350" w:type="pct"/>
            <w:shd w:val="clear" w:color="auto" w:fill="auto"/>
            <w:noWrap/>
            <w:vAlign w:val="bottom"/>
          </w:tcPr>
          <w:p w14:paraId="67C8BB64" w14:textId="0EE39DA5"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w:t>
            </w:r>
          </w:p>
        </w:tc>
        <w:tc>
          <w:tcPr>
            <w:tcW w:w="400" w:type="pct"/>
            <w:vAlign w:val="bottom"/>
          </w:tcPr>
          <w:p w14:paraId="1AC9CD30" w14:textId="59B0808A"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w:t>
            </w:r>
          </w:p>
        </w:tc>
        <w:tc>
          <w:tcPr>
            <w:tcW w:w="450" w:type="pct"/>
            <w:vAlign w:val="bottom"/>
          </w:tcPr>
          <w:p w14:paraId="4AD16674"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110</w:t>
            </w:r>
          </w:p>
        </w:tc>
        <w:tc>
          <w:tcPr>
            <w:tcW w:w="350" w:type="pct"/>
            <w:vAlign w:val="bottom"/>
          </w:tcPr>
          <w:p w14:paraId="5E545CEF"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170</w:t>
            </w:r>
          </w:p>
        </w:tc>
        <w:tc>
          <w:tcPr>
            <w:tcW w:w="451" w:type="pct"/>
            <w:vAlign w:val="bottom"/>
          </w:tcPr>
          <w:p w14:paraId="1DBBB196" w14:textId="0C629D4C"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32.61</w:t>
            </w:r>
          </w:p>
        </w:tc>
        <w:tc>
          <w:tcPr>
            <w:tcW w:w="500" w:type="pct"/>
            <w:vAlign w:val="bottom"/>
          </w:tcPr>
          <w:p w14:paraId="007685C8" w14:textId="761121D1"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66.28</w:t>
            </w:r>
          </w:p>
        </w:tc>
        <w:tc>
          <w:tcPr>
            <w:tcW w:w="400" w:type="pct"/>
            <w:vAlign w:val="bottom"/>
          </w:tcPr>
          <w:p w14:paraId="338F6820" w14:textId="2555C13E"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96.19</w:t>
            </w:r>
          </w:p>
        </w:tc>
        <w:tc>
          <w:tcPr>
            <w:tcW w:w="450" w:type="pct"/>
            <w:vAlign w:val="bottom"/>
          </w:tcPr>
          <w:p w14:paraId="7B79D960" w14:textId="325E736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36.41</w:t>
            </w:r>
          </w:p>
        </w:tc>
        <w:tc>
          <w:tcPr>
            <w:tcW w:w="527" w:type="pct"/>
            <w:vAlign w:val="bottom"/>
          </w:tcPr>
          <w:p w14:paraId="7D9C6081" w14:textId="3A9C1ADD"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80.82</w:t>
            </w:r>
          </w:p>
        </w:tc>
        <w:tc>
          <w:tcPr>
            <w:tcW w:w="334" w:type="pct"/>
            <w:vAlign w:val="bottom"/>
          </w:tcPr>
          <w:p w14:paraId="2EDCD39F" w14:textId="63D56801"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118.17</w:t>
            </w:r>
          </w:p>
        </w:tc>
      </w:tr>
      <w:tr w:rsidR="00552D93" w:rsidRPr="00552D93" w14:paraId="5AEA4230" w14:textId="68AF4C6E" w:rsidTr="00F45B2B">
        <w:trPr>
          <w:trHeight w:val="380"/>
        </w:trPr>
        <w:tc>
          <w:tcPr>
            <w:tcW w:w="788" w:type="pct"/>
            <w:shd w:val="clear" w:color="auto" w:fill="auto"/>
            <w:noWrap/>
          </w:tcPr>
          <w:p w14:paraId="4998CCFD" w14:textId="77777777"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lastRenderedPageBreak/>
              <w:t>Sweden</w:t>
            </w:r>
          </w:p>
        </w:tc>
        <w:tc>
          <w:tcPr>
            <w:tcW w:w="350" w:type="pct"/>
            <w:shd w:val="clear" w:color="auto" w:fill="auto"/>
            <w:noWrap/>
            <w:vAlign w:val="bottom"/>
          </w:tcPr>
          <w:p w14:paraId="05FCF40F"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10</w:t>
            </w:r>
          </w:p>
        </w:tc>
        <w:tc>
          <w:tcPr>
            <w:tcW w:w="400" w:type="pct"/>
            <w:vAlign w:val="bottom"/>
          </w:tcPr>
          <w:p w14:paraId="542B9760"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20</w:t>
            </w:r>
          </w:p>
        </w:tc>
        <w:tc>
          <w:tcPr>
            <w:tcW w:w="450" w:type="pct"/>
            <w:vAlign w:val="bottom"/>
          </w:tcPr>
          <w:p w14:paraId="275B12FF" w14:textId="7BB50880"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w:t>
            </w:r>
          </w:p>
        </w:tc>
        <w:tc>
          <w:tcPr>
            <w:tcW w:w="350" w:type="pct"/>
            <w:vAlign w:val="bottom"/>
          </w:tcPr>
          <w:p w14:paraId="6BF4814C" w14:textId="4DA7FF29"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w:t>
            </w:r>
          </w:p>
        </w:tc>
        <w:tc>
          <w:tcPr>
            <w:tcW w:w="451" w:type="pct"/>
            <w:vAlign w:val="bottom"/>
          </w:tcPr>
          <w:p w14:paraId="291F88DA" w14:textId="3E391944"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28.04</w:t>
            </w:r>
          </w:p>
        </w:tc>
        <w:tc>
          <w:tcPr>
            <w:tcW w:w="500" w:type="pct"/>
            <w:vAlign w:val="bottom"/>
          </w:tcPr>
          <w:p w14:paraId="65C1A563" w14:textId="0A4B4EFB"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64.53</w:t>
            </w:r>
          </w:p>
        </w:tc>
        <w:tc>
          <w:tcPr>
            <w:tcW w:w="400" w:type="pct"/>
            <w:vAlign w:val="bottom"/>
          </w:tcPr>
          <w:p w14:paraId="7FBCFE8D" w14:textId="65E32736"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102.77</w:t>
            </w:r>
          </w:p>
        </w:tc>
        <w:tc>
          <w:tcPr>
            <w:tcW w:w="450" w:type="pct"/>
            <w:vAlign w:val="bottom"/>
          </w:tcPr>
          <w:p w14:paraId="4FE6536E" w14:textId="6C7E0BC2"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33.68</w:t>
            </w:r>
          </w:p>
        </w:tc>
        <w:tc>
          <w:tcPr>
            <w:tcW w:w="527" w:type="pct"/>
            <w:vAlign w:val="bottom"/>
          </w:tcPr>
          <w:p w14:paraId="71FA429D" w14:textId="11BF70A5"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89.31</w:t>
            </w:r>
          </w:p>
        </w:tc>
        <w:tc>
          <w:tcPr>
            <w:tcW w:w="334" w:type="pct"/>
            <w:vAlign w:val="bottom"/>
          </w:tcPr>
          <w:p w14:paraId="281417B7" w14:textId="0D03E14F"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142.06</w:t>
            </w:r>
          </w:p>
        </w:tc>
      </w:tr>
      <w:tr w:rsidR="00552D93" w:rsidRPr="00552D93" w14:paraId="478642DF" w14:textId="25DE95B5" w:rsidTr="00F45B2B">
        <w:trPr>
          <w:trHeight w:val="332"/>
        </w:trPr>
        <w:tc>
          <w:tcPr>
            <w:tcW w:w="788" w:type="pct"/>
            <w:shd w:val="clear" w:color="auto" w:fill="auto"/>
            <w:noWrap/>
          </w:tcPr>
          <w:p w14:paraId="67FA13BC" w14:textId="77777777"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Switzerland</w:t>
            </w:r>
          </w:p>
        </w:tc>
        <w:tc>
          <w:tcPr>
            <w:tcW w:w="350" w:type="pct"/>
            <w:shd w:val="clear" w:color="auto" w:fill="auto"/>
            <w:noWrap/>
            <w:vAlign w:val="bottom"/>
          </w:tcPr>
          <w:p w14:paraId="7FD40D80" w14:textId="5AEC3E6F"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20-24</w:t>
            </w:r>
          </w:p>
        </w:tc>
        <w:tc>
          <w:tcPr>
            <w:tcW w:w="400" w:type="pct"/>
            <w:vAlign w:val="bottom"/>
          </w:tcPr>
          <w:p w14:paraId="0516F186" w14:textId="79633B3E"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30-36</w:t>
            </w:r>
          </w:p>
        </w:tc>
        <w:tc>
          <w:tcPr>
            <w:tcW w:w="450" w:type="pct"/>
            <w:vAlign w:val="bottom"/>
          </w:tcPr>
          <w:p w14:paraId="5C3C4545" w14:textId="03865471"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w:t>
            </w:r>
          </w:p>
        </w:tc>
        <w:tc>
          <w:tcPr>
            <w:tcW w:w="350" w:type="pct"/>
            <w:vAlign w:val="bottom"/>
          </w:tcPr>
          <w:p w14:paraId="0F3A4CA0" w14:textId="491149A6"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w:t>
            </w:r>
          </w:p>
        </w:tc>
        <w:tc>
          <w:tcPr>
            <w:tcW w:w="451" w:type="pct"/>
            <w:vAlign w:val="bottom"/>
          </w:tcPr>
          <w:p w14:paraId="44F54A26" w14:textId="2F8B296F"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32.31</w:t>
            </w:r>
          </w:p>
        </w:tc>
        <w:tc>
          <w:tcPr>
            <w:tcW w:w="500" w:type="pct"/>
            <w:vAlign w:val="bottom"/>
          </w:tcPr>
          <w:p w14:paraId="0A2C0CB0" w14:textId="0621B6FF"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62.32</w:t>
            </w:r>
          </w:p>
        </w:tc>
        <w:tc>
          <w:tcPr>
            <w:tcW w:w="400" w:type="pct"/>
            <w:vAlign w:val="bottom"/>
          </w:tcPr>
          <w:p w14:paraId="592516DE" w14:textId="56642B9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98.22</w:t>
            </w:r>
          </w:p>
        </w:tc>
        <w:tc>
          <w:tcPr>
            <w:tcW w:w="450" w:type="pct"/>
            <w:vAlign w:val="bottom"/>
          </w:tcPr>
          <w:p w14:paraId="05E29B61" w14:textId="3A960D69"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37.79</w:t>
            </w:r>
          </w:p>
        </w:tc>
        <w:tc>
          <w:tcPr>
            <w:tcW w:w="527" w:type="pct"/>
            <w:vAlign w:val="bottom"/>
          </w:tcPr>
          <w:p w14:paraId="60945ECE" w14:textId="7851340B"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80.05</w:t>
            </w:r>
          </w:p>
        </w:tc>
        <w:tc>
          <w:tcPr>
            <w:tcW w:w="334" w:type="pct"/>
            <w:vAlign w:val="bottom"/>
          </w:tcPr>
          <w:p w14:paraId="67220C81" w14:textId="68E7393C"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129.64</w:t>
            </w:r>
          </w:p>
        </w:tc>
      </w:tr>
      <w:tr w:rsidR="00552D93" w:rsidRPr="00552D93" w14:paraId="4EBFA6FF" w14:textId="2046A335" w:rsidTr="00F45B2B">
        <w:trPr>
          <w:trHeight w:val="296"/>
        </w:trPr>
        <w:tc>
          <w:tcPr>
            <w:tcW w:w="788" w:type="pct"/>
            <w:shd w:val="clear" w:color="auto" w:fill="auto"/>
            <w:noWrap/>
          </w:tcPr>
          <w:p w14:paraId="04C03E41" w14:textId="77777777"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 xml:space="preserve">United Kingdom </w:t>
            </w:r>
          </w:p>
        </w:tc>
        <w:tc>
          <w:tcPr>
            <w:tcW w:w="350" w:type="pct"/>
            <w:shd w:val="clear" w:color="auto" w:fill="auto"/>
            <w:noWrap/>
            <w:vAlign w:val="bottom"/>
          </w:tcPr>
          <w:p w14:paraId="5E2103E6" w14:textId="77BD7E88"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w:t>
            </w:r>
          </w:p>
        </w:tc>
        <w:tc>
          <w:tcPr>
            <w:tcW w:w="400" w:type="pct"/>
            <w:vAlign w:val="bottom"/>
          </w:tcPr>
          <w:p w14:paraId="339F88EA" w14:textId="3BAC1ADF"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w:t>
            </w:r>
          </w:p>
        </w:tc>
        <w:tc>
          <w:tcPr>
            <w:tcW w:w="450" w:type="pct"/>
            <w:vAlign w:val="bottom"/>
          </w:tcPr>
          <w:p w14:paraId="0A54443D"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112</w:t>
            </w:r>
          </w:p>
        </w:tc>
        <w:tc>
          <w:tcPr>
            <w:tcW w:w="350" w:type="pct"/>
            <w:vAlign w:val="bottom"/>
          </w:tcPr>
          <w:p w14:paraId="5DCA99B9"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112</w:t>
            </w:r>
          </w:p>
        </w:tc>
        <w:tc>
          <w:tcPr>
            <w:tcW w:w="451" w:type="pct"/>
            <w:vAlign w:val="bottom"/>
          </w:tcPr>
          <w:p w14:paraId="2491DB0C" w14:textId="08C1581A"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34</w:t>
            </w:r>
          </w:p>
        </w:tc>
        <w:tc>
          <w:tcPr>
            <w:tcW w:w="500" w:type="pct"/>
            <w:vAlign w:val="bottom"/>
          </w:tcPr>
          <w:p w14:paraId="3BE817CA" w14:textId="567616DF"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79.14</w:t>
            </w:r>
          </w:p>
        </w:tc>
        <w:tc>
          <w:tcPr>
            <w:tcW w:w="400" w:type="pct"/>
            <w:vAlign w:val="bottom"/>
          </w:tcPr>
          <w:p w14:paraId="1EECBF59" w14:textId="5BE92C0D"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113.2</w:t>
            </w:r>
          </w:p>
        </w:tc>
        <w:tc>
          <w:tcPr>
            <w:tcW w:w="450" w:type="pct"/>
            <w:vAlign w:val="bottom"/>
          </w:tcPr>
          <w:p w14:paraId="0DE2AD94" w14:textId="298D3968"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40.43</w:t>
            </w:r>
          </w:p>
        </w:tc>
        <w:tc>
          <w:tcPr>
            <w:tcW w:w="527" w:type="pct"/>
            <w:vAlign w:val="bottom"/>
          </w:tcPr>
          <w:p w14:paraId="778A0106" w14:textId="5E467C7C"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99.74</w:t>
            </w:r>
          </w:p>
        </w:tc>
        <w:tc>
          <w:tcPr>
            <w:tcW w:w="334" w:type="pct"/>
            <w:vAlign w:val="bottom"/>
          </w:tcPr>
          <w:p w14:paraId="50EFE2C6" w14:textId="098BB314"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144.13</w:t>
            </w:r>
          </w:p>
        </w:tc>
      </w:tr>
      <w:tr w:rsidR="00552D93" w:rsidRPr="00552D93" w14:paraId="3D673959" w14:textId="1DDB9A74" w:rsidTr="00F45B2B">
        <w:trPr>
          <w:trHeight w:val="274"/>
        </w:trPr>
        <w:tc>
          <w:tcPr>
            <w:tcW w:w="788" w:type="pct"/>
            <w:shd w:val="clear" w:color="auto" w:fill="auto"/>
            <w:noWrap/>
          </w:tcPr>
          <w:p w14:paraId="2976624C" w14:textId="77777777"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United States</w:t>
            </w:r>
          </w:p>
        </w:tc>
        <w:tc>
          <w:tcPr>
            <w:tcW w:w="350" w:type="pct"/>
            <w:shd w:val="clear" w:color="auto" w:fill="auto"/>
            <w:noWrap/>
            <w:vAlign w:val="bottom"/>
          </w:tcPr>
          <w:p w14:paraId="3DA5D966"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42</w:t>
            </w:r>
          </w:p>
        </w:tc>
        <w:tc>
          <w:tcPr>
            <w:tcW w:w="400" w:type="pct"/>
            <w:vAlign w:val="bottom"/>
          </w:tcPr>
          <w:p w14:paraId="1E91E517"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56</w:t>
            </w:r>
          </w:p>
        </w:tc>
        <w:tc>
          <w:tcPr>
            <w:tcW w:w="450" w:type="pct"/>
            <w:vAlign w:val="bottom"/>
          </w:tcPr>
          <w:p w14:paraId="5E0E5E53"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98</w:t>
            </w:r>
          </w:p>
        </w:tc>
        <w:tc>
          <w:tcPr>
            <w:tcW w:w="350" w:type="pct"/>
            <w:vAlign w:val="bottom"/>
          </w:tcPr>
          <w:p w14:paraId="68456E1E"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196</w:t>
            </w:r>
          </w:p>
        </w:tc>
        <w:tc>
          <w:tcPr>
            <w:tcW w:w="451" w:type="pct"/>
            <w:vAlign w:val="bottom"/>
          </w:tcPr>
          <w:p w14:paraId="60B876D3" w14:textId="7C5D8993"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33.17</w:t>
            </w:r>
          </w:p>
        </w:tc>
        <w:tc>
          <w:tcPr>
            <w:tcW w:w="500" w:type="pct"/>
            <w:vAlign w:val="bottom"/>
          </w:tcPr>
          <w:p w14:paraId="6CBC80CC" w14:textId="0B5858BC"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73.13</w:t>
            </w:r>
          </w:p>
        </w:tc>
        <w:tc>
          <w:tcPr>
            <w:tcW w:w="400" w:type="pct"/>
            <w:vAlign w:val="bottom"/>
          </w:tcPr>
          <w:p w14:paraId="6662AA43" w14:textId="1B4BD3A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104.94</w:t>
            </w:r>
          </w:p>
        </w:tc>
        <w:tc>
          <w:tcPr>
            <w:tcW w:w="450" w:type="pct"/>
            <w:vAlign w:val="bottom"/>
          </w:tcPr>
          <w:p w14:paraId="7B7B246B" w14:textId="29E010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34.88</w:t>
            </w:r>
          </w:p>
        </w:tc>
        <w:tc>
          <w:tcPr>
            <w:tcW w:w="527" w:type="pct"/>
            <w:vAlign w:val="bottom"/>
          </w:tcPr>
          <w:p w14:paraId="7CE53273" w14:textId="51228FDD"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87.06</w:t>
            </w:r>
          </w:p>
        </w:tc>
        <w:tc>
          <w:tcPr>
            <w:tcW w:w="334" w:type="pct"/>
            <w:vAlign w:val="bottom"/>
          </w:tcPr>
          <w:p w14:paraId="0CC1036D" w14:textId="4F61B88B"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128.84</w:t>
            </w:r>
          </w:p>
        </w:tc>
      </w:tr>
      <w:tr w:rsidR="00552D93" w:rsidRPr="00552D93" w14:paraId="61EB7435" w14:textId="63AD1150" w:rsidTr="00F45B2B">
        <w:trPr>
          <w:trHeight w:val="65"/>
        </w:trPr>
        <w:tc>
          <w:tcPr>
            <w:tcW w:w="788" w:type="pct"/>
            <w:shd w:val="clear" w:color="auto" w:fill="auto"/>
            <w:noWrap/>
          </w:tcPr>
          <w:p w14:paraId="3C0FDFC7" w14:textId="77777777" w:rsidR="006A31A3" w:rsidRPr="00552D93" w:rsidRDefault="006A31A3" w:rsidP="0089502D">
            <w:pPr>
              <w:spacing w:after="0" w:line="240" w:lineRule="auto"/>
              <w:rPr>
                <w:rFonts w:asciiTheme="majorHAnsi" w:eastAsia="Times New Roman" w:hAnsiTheme="majorHAnsi" w:cs="Times New Roman"/>
                <w:sz w:val="20"/>
                <w:lang w:eastAsia="en-GB"/>
              </w:rPr>
            </w:pPr>
            <w:r w:rsidRPr="00552D93">
              <w:rPr>
                <w:rFonts w:asciiTheme="majorHAnsi" w:eastAsia="Times New Roman" w:hAnsiTheme="majorHAnsi" w:cs="Times New Roman"/>
                <w:sz w:val="20"/>
                <w:lang w:eastAsia="en-GB"/>
              </w:rPr>
              <w:t xml:space="preserve">Germany </w:t>
            </w:r>
          </w:p>
        </w:tc>
        <w:tc>
          <w:tcPr>
            <w:tcW w:w="350" w:type="pct"/>
            <w:shd w:val="clear" w:color="auto" w:fill="auto"/>
            <w:noWrap/>
            <w:vAlign w:val="bottom"/>
          </w:tcPr>
          <w:p w14:paraId="4808A3F8"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12</w:t>
            </w:r>
          </w:p>
        </w:tc>
        <w:tc>
          <w:tcPr>
            <w:tcW w:w="400" w:type="pct"/>
            <w:vAlign w:val="bottom"/>
          </w:tcPr>
          <w:p w14:paraId="0E87304C" w14:textId="77777777"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24</w:t>
            </w:r>
          </w:p>
        </w:tc>
        <w:tc>
          <w:tcPr>
            <w:tcW w:w="450" w:type="pct"/>
            <w:vAlign w:val="bottom"/>
          </w:tcPr>
          <w:p w14:paraId="735486DC" w14:textId="77777777" w:rsidR="006A31A3" w:rsidRPr="00552D93" w:rsidRDefault="006A31A3" w:rsidP="00036136">
            <w:pPr>
              <w:spacing w:line="240" w:lineRule="auto"/>
              <w:jc w:val="right"/>
              <w:rPr>
                <w:rFonts w:asciiTheme="majorHAnsi" w:hAnsiTheme="majorHAnsi"/>
                <w:sz w:val="20"/>
              </w:rPr>
            </w:pPr>
          </w:p>
        </w:tc>
        <w:tc>
          <w:tcPr>
            <w:tcW w:w="350" w:type="pct"/>
            <w:vAlign w:val="bottom"/>
          </w:tcPr>
          <w:p w14:paraId="0CC6890E" w14:textId="77777777" w:rsidR="006A31A3" w:rsidRPr="00552D93" w:rsidRDefault="006A31A3" w:rsidP="00036136">
            <w:pPr>
              <w:spacing w:line="240" w:lineRule="auto"/>
              <w:jc w:val="right"/>
              <w:rPr>
                <w:rFonts w:asciiTheme="majorHAnsi" w:hAnsiTheme="majorHAnsi"/>
                <w:sz w:val="20"/>
              </w:rPr>
            </w:pPr>
          </w:p>
        </w:tc>
        <w:tc>
          <w:tcPr>
            <w:tcW w:w="451" w:type="pct"/>
            <w:vAlign w:val="bottom"/>
          </w:tcPr>
          <w:p w14:paraId="42DDF9D6" w14:textId="2B73CC15"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25.26</w:t>
            </w:r>
          </w:p>
        </w:tc>
        <w:tc>
          <w:tcPr>
            <w:tcW w:w="500" w:type="pct"/>
            <w:vAlign w:val="bottom"/>
          </w:tcPr>
          <w:p w14:paraId="7A6D0C27" w14:textId="5750D11A"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49.89</w:t>
            </w:r>
          </w:p>
        </w:tc>
        <w:tc>
          <w:tcPr>
            <w:tcW w:w="400" w:type="pct"/>
            <w:vAlign w:val="bottom"/>
          </w:tcPr>
          <w:p w14:paraId="6AB1734F" w14:textId="47037AD8"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84.53</w:t>
            </w:r>
          </w:p>
        </w:tc>
        <w:tc>
          <w:tcPr>
            <w:tcW w:w="450" w:type="pct"/>
            <w:vAlign w:val="bottom"/>
          </w:tcPr>
          <w:p w14:paraId="7EE1804D" w14:textId="13E47C3A"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32.92</w:t>
            </w:r>
          </w:p>
        </w:tc>
        <w:tc>
          <w:tcPr>
            <w:tcW w:w="527" w:type="pct"/>
            <w:vAlign w:val="bottom"/>
          </w:tcPr>
          <w:p w14:paraId="06B135CB" w14:textId="35F603ED"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70.71</w:t>
            </w:r>
          </w:p>
        </w:tc>
        <w:tc>
          <w:tcPr>
            <w:tcW w:w="334" w:type="pct"/>
            <w:vAlign w:val="bottom"/>
          </w:tcPr>
          <w:p w14:paraId="017E040E" w14:textId="72F181C3" w:rsidR="006A31A3" w:rsidRPr="00552D93" w:rsidRDefault="006A31A3" w:rsidP="00036136">
            <w:pPr>
              <w:spacing w:line="240" w:lineRule="auto"/>
              <w:jc w:val="right"/>
              <w:rPr>
                <w:rFonts w:asciiTheme="majorHAnsi" w:hAnsiTheme="majorHAnsi"/>
                <w:sz w:val="20"/>
              </w:rPr>
            </w:pPr>
            <w:r w:rsidRPr="00552D93">
              <w:rPr>
                <w:rFonts w:asciiTheme="majorHAnsi" w:hAnsiTheme="majorHAnsi"/>
                <w:sz w:val="20"/>
              </w:rPr>
              <w:t>121.73</w:t>
            </w:r>
          </w:p>
        </w:tc>
      </w:tr>
    </w:tbl>
    <w:p w14:paraId="66E4463D" w14:textId="2873AB44" w:rsidR="00433082" w:rsidRPr="00552D93" w:rsidRDefault="00800CD7">
      <w:pPr>
        <w:rPr>
          <w:rFonts w:ascii="Cambria" w:hAnsi="Cambria"/>
          <w:b/>
          <w:lang w:val="en-US"/>
        </w:rPr>
        <w:sectPr w:rsidR="00433082" w:rsidRPr="00552D93" w:rsidSect="00804E2C">
          <w:pgSz w:w="16838" w:h="11906" w:orient="landscape"/>
          <w:pgMar w:top="1440" w:right="1440" w:bottom="1440" w:left="1440" w:header="709" w:footer="709" w:gutter="0"/>
          <w:cols w:space="708"/>
          <w:docGrid w:linePitch="360"/>
        </w:sectPr>
      </w:pPr>
      <w:r w:rsidRPr="00552D93">
        <w:rPr>
          <w:rFonts w:ascii="Cambria" w:hAnsi="Cambria"/>
          <w:b/>
          <w:lang w:val="en-US"/>
        </w:rPr>
        <w:t>Information gathered from multiple s</w:t>
      </w:r>
      <w:r w:rsidR="00036136" w:rsidRPr="00552D93">
        <w:rPr>
          <w:rFonts w:ascii="Cambria" w:hAnsi="Cambria"/>
          <w:b/>
          <w:lang w:val="en-US"/>
        </w:rPr>
        <w:t>ources</w:t>
      </w:r>
      <w:r w:rsidRPr="00552D93">
        <w:rPr>
          <w:rFonts w:ascii="Cambria" w:hAnsi="Cambria"/>
          <w:b/>
          <w:lang w:val="en-US"/>
        </w:rPr>
        <w:t xml:space="preserve"> </w:t>
      </w:r>
      <w:r w:rsidRPr="00552D93">
        <w:rPr>
          <w:rFonts w:ascii="Cambria" w:hAnsi="Cambria"/>
          <w:b/>
          <w:lang w:val="en-US"/>
        </w:rPr>
        <w:fldChar w:fldCharType="begin">
          <w:fldData xml:space="preserve">PEVuZE5vdGU+PENpdGU+PEF1dGhvcj5XSE88L0F1dGhvcj48WWVhcj4yMDE4PC9ZZWFyPjxSZWNO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</w:fldData>
        </w:fldChar>
      </w:r>
      <w:r w:rsidR="00EB2D11" w:rsidRPr="00552D93">
        <w:rPr>
          <w:rFonts w:ascii="Cambria" w:hAnsi="Cambria"/>
          <w:b/>
          <w:lang w:val="en-US"/>
        </w:rPr>
        <w:instrText xml:space="preserve"> ADDIN EN.CITE </w:instrText>
      </w:r>
      <w:r w:rsidR="00EB2D11" w:rsidRPr="00552D93">
        <w:rPr>
          <w:rFonts w:ascii="Cambria" w:hAnsi="Cambria"/>
          <w:b/>
          <w:lang w:val="en-US"/>
        </w:rPr>
        <w:fldChar w:fldCharType="begin">
          <w:fldData xml:space="preserve">PEVuZE5vdGU+PENpdGU+PEF1dGhvcj5XSE88L0F1dGhvcj48WWVhcj4yMDE4PC9ZZWFyPjxSZWNO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</w:fldData>
        </w:fldChar>
      </w:r>
      <w:r w:rsidR="00EB2D11" w:rsidRPr="00552D93">
        <w:rPr>
          <w:rFonts w:ascii="Cambria" w:hAnsi="Cambria"/>
          <w:b/>
          <w:lang w:val="en-US"/>
        </w:rPr>
        <w:instrText xml:space="preserve"> ADDIN EN.CITE.DATA </w:instrText>
      </w:r>
      <w:r w:rsidR="00EB2D11" w:rsidRPr="00552D93">
        <w:rPr>
          <w:rFonts w:ascii="Cambria" w:hAnsi="Cambria"/>
          <w:b/>
          <w:lang w:val="en-US"/>
        </w:rPr>
      </w:r>
      <w:r w:rsidR="00EB2D11" w:rsidRPr="00552D93">
        <w:rPr>
          <w:rFonts w:ascii="Cambria" w:hAnsi="Cambria"/>
          <w:b/>
          <w:lang w:val="en-US"/>
        </w:rPr>
        <w:fldChar w:fldCharType="end"/>
      </w:r>
      <w:r w:rsidRPr="00552D93">
        <w:rPr>
          <w:rFonts w:ascii="Cambria" w:hAnsi="Cambria"/>
          <w:b/>
          <w:lang w:val="en-US"/>
        </w:rPr>
      </w:r>
      <w:r w:rsidRPr="00552D93">
        <w:rPr>
          <w:rFonts w:ascii="Cambria" w:hAnsi="Cambria"/>
          <w:b/>
          <w:lang w:val="en-US"/>
        </w:rPr>
        <w:fldChar w:fldCharType="separate"/>
      </w:r>
      <w:r w:rsidR="00E12C9C" w:rsidRPr="00552D93">
        <w:rPr>
          <w:rFonts w:ascii="Cambria" w:hAnsi="Cambria"/>
          <w:b/>
          <w:noProof/>
          <w:lang w:val="en-US"/>
        </w:rPr>
        <w:t>(Eurocare, 2016; Furtwaengler &amp; de Visser, 2013; Kalinowski &amp; Humphreys, 2016; WHO, 2018)</w:t>
      </w:r>
      <w:r w:rsidRPr="00552D93">
        <w:rPr>
          <w:rFonts w:ascii="Cambria" w:hAnsi="Cambria"/>
          <w:b/>
          <w:lang w:val="en-US"/>
        </w:rPr>
        <w:fldChar w:fldCharType="end"/>
      </w:r>
    </w:p>
    <w:p w14:paraId="45E068A1" w14:textId="49816FA4" w:rsidR="00845B8C" w:rsidRPr="00552D93" w:rsidRDefault="00845B8C" w:rsidP="00845B8C">
      <w:pPr>
        <w:jc w:val="center"/>
        <w:rPr>
          <w:rFonts w:ascii="Cambria" w:hAnsi="Cambria"/>
          <w:i/>
          <w:lang w:val="en-US"/>
        </w:rPr>
      </w:pPr>
      <w:r w:rsidRPr="00552D93">
        <w:rPr>
          <w:rFonts w:ascii="Cambria" w:hAnsi="Cambria"/>
          <w:b/>
          <w:lang w:val="en-US"/>
        </w:rPr>
        <w:lastRenderedPageBreak/>
        <w:t>Table 3:</w:t>
      </w:r>
      <w:r w:rsidRPr="00552D93">
        <w:rPr>
          <w:rFonts w:ascii="Cambria" w:hAnsi="Cambria"/>
          <w:i/>
          <w:lang w:val="en-US"/>
        </w:rPr>
        <w:t xml:space="preserve"> Comparisons between the mean grams of alcohol for each stage of intoxication for all respondents in the sample by gender, age group and AUDIT category</w:t>
      </w:r>
      <w:r w:rsidR="008C7EC3" w:rsidRPr="00552D93">
        <w:rPr>
          <w:rFonts w:ascii="Cambria" w:hAnsi="Cambria"/>
          <w:i/>
          <w:lang w:val="en-US"/>
        </w:rPr>
        <w:t xml:space="preserve"> (regardless of country of residence)</w:t>
      </w:r>
      <w:r w:rsidRPr="00552D93">
        <w:rPr>
          <w:rFonts w:ascii="Cambria" w:hAnsi="Cambria"/>
          <w:i/>
          <w:lang w:val="en-US"/>
        </w:rPr>
        <w:t>.</w:t>
      </w:r>
    </w:p>
    <w:p w14:paraId="5A20C35C" w14:textId="77777777" w:rsidR="00E66921" w:rsidRPr="00552D93" w:rsidRDefault="00E66921" w:rsidP="00845B8C">
      <w:pPr>
        <w:rPr>
          <w:rFonts w:ascii="Cambria" w:hAnsi="Cambria"/>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749"/>
        <w:gridCol w:w="3749"/>
        <w:gridCol w:w="3749"/>
      </w:tblGrid>
      <w:tr w:rsidR="00552D93" w:rsidRPr="00552D93" w14:paraId="2B438988" w14:textId="77777777" w:rsidTr="00D176BB">
        <w:tc>
          <w:tcPr>
            <w:tcW w:w="968" w:type="pct"/>
          </w:tcPr>
          <w:p w14:paraId="1886B730" w14:textId="77777777" w:rsidR="00E66921" w:rsidRPr="00552D93" w:rsidRDefault="00E66921" w:rsidP="004825D2">
            <w:pPr>
              <w:spacing w:line="240" w:lineRule="auto"/>
              <w:contextualSpacing/>
              <w:rPr>
                <w:rFonts w:ascii="Cambria" w:hAnsi="Cambria"/>
                <w:lang w:val="en-US"/>
              </w:rPr>
            </w:pPr>
          </w:p>
        </w:tc>
        <w:tc>
          <w:tcPr>
            <w:tcW w:w="1344" w:type="pct"/>
          </w:tcPr>
          <w:p w14:paraId="032E745F" w14:textId="77777777" w:rsidR="00E66921" w:rsidRPr="00552D93" w:rsidRDefault="00E66921" w:rsidP="004825D2">
            <w:pPr>
              <w:spacing w:line="240" w:lineRule="auto"/>
              <w:contextualSpacing/>
              <w:rPr>
                <w:rFonts w:ascii="Cambria" w:hAnsi="Cambria"/>
                <w:lang w:val="en-US"/>
              </w:rPr>
            </w:pPr>
          </w:p>
        </w:tc>
        <w:tc>
          <w:tcPr>
            <w:tcW w:w="1344" w:type="pct"/>
          </w:tcPr>
          <w:p w14:paraId="28332260" w14:textId="77777777" w:rsidR="00E66921" w:rsidRPr="00552D93" w:rsidRDefault="00E66921" w:rsidP="004825D2">
            <w:pPr>
              <w:spacing w:line="240" w:lineRule="auto"/>
              <w:contextualSpacing/>
              <w:rPr>
                <w:rFonts w:ascii="Cambria" w:hAnsi="Cambria"/>
                <w:b/>
                <w:lang w:val="en-US"/>
              </w:rPr>
            </w:pPr>
            <w:r w:rsidRPr="00552D93">
              <w:rPr>
                <w:rFonts w:ascii="Cambria" w:hAnsi="Cambria"/>
                <w:b/>
                <w:lang w:val="en-US"/>
              </w:rPr>
              <w:t>Stage of intoxication</w:t>
            </w:r>
          </w:p>
        </w:tc>
        <w:tc>
          <w:tcPr>
            <w:tcW w:w="1344" w:type="pct"/>
          </w:tcPr>
          <w:p w14:paraId="4CBA89C1" w14:textId="77777777" w:rsidR="00E66921" w:rsidRPr="00552D93" w:rsidRDefault="00E66921" w:rsidP="004825D2">
            <w:pPr>
              <w:spacing w:line="240" w:lineRule="auto"/>
              <w:contextualSpacing/>
              <w:rPr>
                <w:rFonts w:ascii="Cambria" w:hAnsi="Cambria"/>
                <w:lang w:val="en-US"/>
              </w:rPr>
            </w:pPr>
          </w:p>
        </w:tc>
      </w:tr>
      <w:tr w:rsidR="00552D93" w:rsidRPr="00552D93" w14:paraId="0B32B18C" w14:textId="77777777" w:rsidTr="00D176BB">
        <w:tc>
          <w:tcPr>
            <w:tcW w:w="968" w:type="pct"/>
          </w:tcPr>
          <w:p w14:paraId="58FFE6C5" w14:textId="77777777" w:rsidR="00E66921" w:rsidRPr="00552D93" w:rsidRDefault="00E66921" w:rsidP="004825D2">
            <w:pPr>
              <w:spacing w:line="240" w:lineRule="auto"/>
              <w:contextualSpacing/>
              <w:rPr>
                <w:rFonts w:ascii="Cambria" w:hAnsi="Cambria"/>
                <w:lang w:val="en-US"/>
              </w:rPr>
            </w:pPr>
          </w:p>
        </w:tc>
        <w:tc>
          <w:tcPr>
            <w:tcW w:w="1344" w:type="pct"/>
          </w:tcPr>
          <w:p w14:paraId="6C44EE87" w14:textId="77777777" w:rsidR="00E66921" w:rsidRPr="00552D93" w:rsidRDefault="00E66921" w:rsidP="004825D2">
            <w:pPr>
              <w:spacing w:line="240" w:lineRule="auto"/>
              <w:contextualSpacing/>
              <w:rPr>
                <w:rFonts w:ascii="Cambria" w:hAnsi="Cambria"/>
                <w:lang w:val="en-US"/>
              </w:rPr>
            </w:pPr>
            <w:r w:rsidRPr="00552D93">
              <w:rPr>
                <w:rFonts w:ascii="Cambria" w:hAnsi="Cambria"/>
                <w:lang w:val="en-US"/>
              </w:rPr>
              <w:t>Feel the effects M (SD)</w:t>
            </w:r>
          </w:p>
        </w:tc>
        <w:tc>
          <w:tcPr>
            <w:tcW w:w="1344" w:type="pct"/>
          </w:tcPr>
          <w:p w14:paraId="2B7F9E84" w14:textId="77777777" w:rsidR="00E66921" w:rsidRPr="00552D93" w:rsidRDefault="00E66921" w:rsidP="004825D2">
            <w:pPr>
              <w:spacing w:line="240" w:lineRule="auto"/>
              <w:contextualSpacing/>
              <w:rPr>
                <w:rFonts w:ascii="Cambria" w:hAnsi="Cambria"/>
                <w:lang w:val="en-US"/>
              </w:rPr>
            </w:pPr>
            <w:r w:rsidRPr="00552D93">
              <w:rPr>
                <w:rFonts w:ascii="Cambria" w:hAnsi="Cambria"/>
                <w:lang w:val="en-US"/>
              </w:rPr>
              <w:t>Feel happy drunk M (SD)</w:t>
            </w:r>
          </w:p>
        </w:tc>
        <w:tc>
          <w:tcPr>
            <w:tcW w:w="1344" w:type="pct"/>
          </w:tcPr>
          <w:p w14:paraId="59F0EFF7" w14:textId="77777777" w:rsidR="00E66921" w:rsidRPr="00552D93" w:rsidRDefault="00E66921" w:rsidP="004825D2">
            <w:pPr>
              <w:spacing w:line="240" w:lineRule="auto"/>
              <w:contextualSpacing/>
              <w:rPr>
                <w:rFonts w:ascii="Cambria" w:hAnsi="Cambria"/>
                <w:lang w:val="en-US"/>
              </w:rPr>
            </w:pPr>
            <w:r w:rsidRPr="00552D93">
              <w:rPr>
                <w:rFonts w:ascii="Cambria" w:hAnsi="Cambria"/>
                <w:lang w:val="en-US"/>
              </w:rPr>
              <w:t>The tipping point M(SD)</w:t>
            </w:r>
          </w:p>
        </w:tc>
      </w:tr>
      <w:tr w:rsidR="00552D93" w:rsidRPr="00552D93" w14:paraId="376209F4" w14:textId="77777777" w:rsidTr="00D176BB">
        <w:tc>
          <w:tcPr>
            <w:tcW w:w="968" w:type="pct"/>
          </w:tcPr>
          <w:p w14:paraId="32D20108" w14:textId="77777777" w:rsidR="00E66921" w:rsidRPr="00552D93" w:rsidRDefault="00E66921" w:rsidP="004825D2">
            <w:pPr>
              <w:spacing w:line="240" w:lineRule="auto"/>
              <w:contextualSpacing/>
              <w:rPr>
                <w:rFonts w:ascii="Cambria" w:hAnsi="Cambria"/>
                <w:lang w:val="en-US"/>
              </w:rPr>
            </w:pPr>
          </w:p>
        </w:tc>
        <w:tc>
          <w:tcPr>
            <w:tcW w:w="1344" w:type="pct"/>
          </w:tcPr>
          <w:p w14:paraId="3D7E5A16" w14:textId="77777777" w:rsidR="00E66921" w:rsidRPr="00552D93" w:rsidRDefault="00E66921" w:rsidP="004825D2">
            <w:pPr>
              <w:spacing w:line="240" w:lineRule="auto"/>
              <w:contextualSpacing/>
              <w:rPr>
                <w:rFonts w:ascii="Cambria" w:hAnsi="Cambria"/>
                <w:lang w:val="en-US"/>
              </w:rPr>
            </w:pPr>
          </w:p>
        </w:tc>
        <w:tc>
          <w:tcPr>
            <w:tcW w:w="1344" w:type="pct"/>
          </w:tcPr>
          <w:p w14:paraId="3352D117" w14:textId="77777777" w:rsidR="00E66921" w:rsidRPr="00552D93" w:rsidRDefault="00E66921" w:rsidP="004825D2">
            <w:pPr>
              <w:spacing w:line="240" w:lineRule="auto"/>
              <w:contextualSpacing/>
              <w:rPr>
                <w:rFonts w:ascii="Cambria" w:hAnsi="Cambria"/>
                <w:lang w:val="en-US"/>
              </w:rPr>
            </w:pPr>
          </w:p>
        </w:tc>
        <w:tc>
          <w:tcPr>
            <w:tcW w:w="1344" w:type="pct"/>
          </w:tcPr>
          <w:p w14:paraId="0B2C23B2" w14:textId="77777777" w:rsidR="00E66921" w:rsidRPr="00552D93" w:rsidRDefault="00E66921" w:rsidP="004825D2">
            <w:pPr>
              <w:spacing w:line="240" w:lineRule="auto"/>
              <w:contextualSpacing/>
              <w:rPr>
                <w:rFonts w:ascii="Cambria" w:hAnsi="Cambria"/>
                <w:lang w:val="en-US"/>
              </w:rPr>
            </w:pPr>
          </w:p>
        </w:tc>
      </w:tr>
      <w:tr w:rsidR="00552D93" w:rsidRPr="00552D93" w14:paraId="4453D1CD" w14:textId="77777777" w:rsidTr="00D176BB">
        <w:tc>
          <w:tcPr>
            <w:tcW w:w="968" w:type="pct"/>
          </w:tcPr>
          <w:p w14:paraId="4724A883" w14:textId="61652A25" w:rsidR="00E66921" w:rsidRPr="00552D93" w:rsidRDefault="003E24BF" w:rsidP="004825D2">
            <w:pPr>
              <w:spacing w:line="240" w:lineRule="auto"/>
              <w:contextualSpacing/>
              <w:rPr>
                <w:rFonts w:ascii="Cambria" w:hAnsi="Cambria"/>
                <w:lang w:val="en-US"/>
              </w:rPr>
            </w:pPr>
            <w:r w:rsidRPr="00552D93">
              <w:rPr>
                <w:rFonts w:ascii="Cambria" w:hAnsi="Cambria"/>
                <w:lang w:val="en-US"/>
              </w:rPr>
              <w:t>Male (N =38</w:t>
            </w:r>
            <w:r w:rsidR="00E66921" w:rsidRPr="00552D93">
              <w:rPr>
                <w:rFonts w:ascii="Cambria" w:hAnsi="Cambria"/>
                <w:lang w:val="en-US"/>
              </w:rPr>
              <w:t>,</w:t>
            </w:r>
            <w:r w:rsidRPr="00552D93">
              <w:rPr>
                <w:rFonts w:ascii="Cambria" w:hAnsi="Cambria"/>
                <w:lang w:val="en-US"/>
              </w:rPr>
              <w:t>874</w:t>
            </w:r>
            <w:r w:rsidR="00E66921" w:rsidRPr="00552D93">
              <w:rPr>
                <w:rFonts w:ascii="Cambria" w:hAnsi="Cambria"/>
                <w:lang w:val="en-US"/>
              </w:rPr>
              <w:t>)</w:t>
            </w:r>
          </w:p>
        </w:tc>
        <w:tc>
          <w:tcPr>
            <w:tcW w:w="1344" w:type="pct"/>
          </w:tcPr>
          <w:p w14:paraId="64617F61" w14:textId="6EA19DA1" w:rsidR="00E66921" w:rsidRPr="00552D93" w:rsidRDefault="003E24BF" w:rsidP="004825D2">
            <w:pPr>
              <w:spacing w:line="240" w:lineRule="auto"/>
              <w:contextualSpacing/>
              <w:rPr>
                <w:rFonts w:ascii="Cambria" w:hAnsi="Cambria"/>
                <w:lang w:val="en-US"/>
              </w:rPr>
            </w:pPr>
            <w:r w:rsidRPr="00552D93">
              <w:rPr>
                <w:rFonts w:ascii="Cambria" w:hAnsi="Cambria"/>
                <w:lang w:val="en-US"/>
              </w:rPr>
              <w:t>38.51 (20.50</w:t>
            </w:r>
            <w:r w:rsidR="00E66921" w:rsidRPr="00552D93">
              <w:rPr>
                <w:rFonts w:ascii="Cambria" w:hAnsi="Cambria"/>
                <w:lang w:val="en-US"/>
              </w:rPr>
              <w:t>)</w:t>
            </w:r>
          </w:p>
        </w:tc>
        <w:tc>
          <w:tcPr>
            <w:tcW w:w="1344" w:type="pct"/>
          </w:tcPr>
          <w:p w14:paraId="0B60AB9F" w14:textId="48378E3D" w:rsidR="00E66921" w:rsidRPr="00552D93" w:rsidRDefault="00F1538A" w:rsidP="004825D2">
            <w:pPr>
              <w:spacing w:line="240" w:lineRule="auto"/>
              <w:contextualSpacing/>
              <w:rPr>
                <w:rFonts w:ascii="Cambria" w:hAnsi="Cambria"/>
                <w:lang w:val="en-US"/>
              </w:rPr>
            </w:pPr>
            <w:r w:rsidRPr="00552D93">
              <w:rPr>
                <w:rFonts w:ascii="Cambria" w:hAnsi="Cambria"/>
                <w:lang w:val="en-US"/>
              </w:rPr>
              <w:t>87.55 (42.81</w:t>
            </w:r>
            <w:r w:rsidR="00E66921" w:rsidRPr="00552D93">
              <w:rPr>
                <w:rFonts w:ascii="Cambria" w:hAnsi="Cambria"/>
                <w:lang w:val="en-US"/>
              </w:rPr>
              <w:t>)</w:t>
            </w:r>
          </w:p>
        </w:tc>
        <w:tc>
          <w:tcPr>
            <w:tcW w:w="1344" w:type="pct"/>
          </w:tcPr>
          <w:p w14:paraId="16A49E26" w14:textId="4AD162FE" w:rsidR="00E66921" w:rsidRPr="00552D93" w:rsidRDefault="005D1C12" w:rsidP="004825D2">
            <w:pPr>
              <w:spacing w:line="240" w:lineRule="auto"/>
              <w:contextualSpacing/>
              <w:rPr>
                <w:rFonts w:ascii="Cambria" w:hAnsi="Cambria"/>
                <w:lang w:val="en-US"/>
              </w:rPr>
            </w:pPr>
            <w:r w:rsidRPr="00552D93">
              <w:rPr>
                <w:rFonts w:ascii="Cambria" w:hAnsi="Cambria"/>
                <w:lang w:val="en-US"/>
              </w:rPr>
              <w:t>138.65 (66.94</w:t>
            </w:r>
            <w:r w:rsidR="00E66921" w:rsidRPr="00552D93">
              <w:rPr>
                <w:rFonts w:ascii="Cambria" w:hAnsi="Cambria"/>
                <w:lang w:val="en-US"/>
              </w:rPr>
              <w:t>)</w:t>
            </w:r>
          </w:p>
        </w:tc>
      </w:tr>
      <w:tr w:rsidR="00552D93" w:rsidRPr="00552D93" w14:paraId="35E8C386" w14:textId="77777777" w:rsidTr="00D176BB">
        <w:tc>
          <w:tcPr>
            <w:tcW w:w="968" w:type="pct"/>
          </w:tcPr>
          <w:p w14:paraId="5EA46F93" w14:textId="595BF8A5" w:rsidR="00E66921" w:rsidRPr="00552D93" w:rsidRDefault="003E24BF" w:rsidP="004825D2">
            <w:pPr>
              <w:spacing w:line="240" w:lineRule="auto"/>
              <w:contextualSpacing/>
              <w:rPr>
                <w:rFonts w:ascii="Cambria" w:hAnsi="Cambria"/>
                <w:lang w:val="en-US"/>
              </w:rPr>
            </w:pPr>
            <w:r w:rsidRPr="00552D93">
              <w:rPr>
                <w:rFonts w:ascii="Cambria" w:hAnsi="Cambria"/>
                <w:lang w:val="en-US"/>
              </w:rPr>
              <w:t>Female (N =22</w:t>
            </w:r>
            <w:r w:rsidR="00E66921" w:rsidRPr="00552D93">
              <w:rPr>
                <w:rFonts w:ascii="Cambria" w:hAnsi="Cambria"/>
                <w:lang w:val="en-US"/>
              </w:rPr>
              <w:t>,</w:t>
            </w:r>
            <w:r w:rsidRPr="00552D93">
              <w:rPr>
                <w:rFonts w:ascii="Cambria" w:hAnsi="Cambria"/>
                <w:lang w:val="en-US"/>
              </w:rPr>
              <w:t>169</w:t>
            </w:r>
            <w:r w:rsidR="00E66921" w:rsidRPr="00552D93">
              <w:rPr>
                <w:rFonts w:ascii="Cambria" w:hAnsi="Cambria"/>
                <w:lang w:val="en-US"/>
              </w:rPr>
              <w:t>)</w:t>
            </w:r>
          </w:p>
        </w:tc>
        <w:tc>
          <w:tcPr>
            <w:tcW w:w="1344" w:type="pct"/>
          </w:tcPr>
          <w:p w14:paraId="65594CE4" w14:textId="1E25C234" w:rsidR="00E66921" w:rsidRPr="00552D93" w:rsidRDefault="003E24BF" w:rsidP="004825D2">
            <w:pPr>
              <w:spacing w:line="240" w:lineRule="auto"/>
              <w:contextualSpacing/>
              <w:rPr>
                <w:rFonts w:ascii="Cambria" w:hAnsi="Cambria"/>
                <w:lang w:val="en-US"/>
              </w:rPr>
            </w:pPr>
            <w:r w:rsidRPr="00552D93">
              <w:rPr>
                <w:rFonts w:ascii="Cambria" w:hAnsi="Cambria"/>
                <w:lang w:val="en-US"/>
              </w:rPr>
              <w:t>33.14 (18.79</w:t>
            </w:r>
            <w:r w:rsidR="00E66921" w:rsidRPr="00552D93">
              <w:rPr>
                <w:rFonts w:ascii="Cambria" w:hAnsi="Cambria"/>
                <w:lang w:val="en-US"/>
              </w:rPr>
              <w:t>)</w:t>
            </w:r>
          </w:p>
        </w:tc>
        <w:tc>
          <w:tcPr>
            <w:tcW w:w="1344" w:type="pct"/>
          </w:tcPr>
          <w:p w14:paraId="2DE7B5A6" w14:textId="0419BAA4" w:rsidR="00E66921" w:rsidRPr="00552D93" w:rsidRDefault="00F1538A" w:rsidP="004825D2">
            <w:pPr>
              <w:spacing w:line="240" w:lineRule="auto"/>
              <w:contextualSpacing/>
              <w:rPr>
                <w:rFonts w:ascii="Cambria" w:hAnsi="Cambria"/>
                <w:lang w:val="en-US"/>
              </w:rPr>
            </w:pPr>
            <w:r w:rsidRPr="00552D93">
              <w:rPr>
                <w:rFonts w:ascii="Cambria" w:hAnsi="Cambria"/>
                <w:lang w:val="en-US"/>
              </w:rPr>
              <w:t>70.16 (37.01</w:t>
            </w:r>
            <w:r w:rsidR="00E66921" w:rsidRPr="00552D93">
              <w:rPr>
                <w:rFonts w:ascii="Cambria" w:hAnsi="Cambria"/>
                <w:lang w:val="en-US"/>
              </w:rPr>
              <w:t>)</w:t>
            </w:r>
          </w:p>
        </w:tc>
        <w:tc>
          <w:tcPr>
            <w:tcW w:w="1344" w:type="pct"/>
          </w:tcPr>
          <w:p w14:paraId="2D306D95" w14:textId="688AA5EE" w:rsidR="00E66921" w:rsidRPr="00552D93" w:rsidRDefault="005D1C12" w:rsidP="004825D2">
            <w:pPr>
              <w:spacing w:line="240" w:lineRule="auto"/>
              <w:contextualSpacing/>
              <w:rPr>
                <w:rFonts w:ascii="Cambria" w:hAnsi="Cambria"/>
                <w:lang w:val="en-US"/>
              </w:rPr>
            </w:pPr>
            <w:r w:rsidRPr="00552D93">
              <w:rPr>
                <w:rFonts w:ascii="Cambria" w:hAnsi="Cambria"/>
                <w:lang w:val="en-US"/>
              </w:rPr>
              <w:t>106.54</w:t>
            </w:r>
            <w:r w:rsidR="007C2344" w:rsidRPr="00552D93">
              <w:rPr>
                <w:rFonts w:ascii="Cambria" w:hAnsi="Cambria"/>
                <w:lang w:val="en-US"/>
              </w:rPr>
              <w:t xml:space="preserve"> (54.98</w:t>
            </w:r>
            <w:r w:rsidR="00E66921" w:rsidRPr="00552D93">
              <w:rPr>
                <w:rFonts w:ascii="Cambria" w:hAnsi="Cambria"/>
                <w:lang w:val="en-US"/>
              </w:rPr>
              <w:t>)</w:t>
            </w:r>
          </w:p>
        </w:tc>
      </w:tr>
      <w:tr w:rsidR="00552D93" w:rsidRPr="00552D93" w14:paraId="6A3002A4" w14:textId="77777777" w:rsidTr="00D176BB">
        <w:tc>
          <w:tcPr>
            <w:tcW w:w="968" w:type="pct"/>
          </w:tcPr>
          <w:p w14:paraId="3DA1AFB7" w14:textId="77777777" w:rsidR="00E66921" w:rsidRPr="00552D93" w:rsidRDefault="00E66921" w:rsidP="004825D2">
            <w:pPr>
              <w:spacing w:line="240" w:lineRule="auto"/>
              <w:contextualSpacing/>
              <w:rPr>
                <w:rFonts w:ascii="Cambria" w:hAnsi="Cambria"/>
                <w:lang w:val="en-US"/>
              </w:rPr>
            </w:pPr>
            <w:r w:rsidRPr="00552D93">
              <w:rPr>
                <w:rFonts w:ascii="Cambria" w:hAnsi="Cambria"/>
                <w:lang w:val="en-US"/>
              </w:rPr>
              <w:t xml:space="preserve">Test statistic, </w:t>
            </w:r>
            <w:r w:rsidRPr="00552D93">
              <w:rPr>
                <w:rFonts w:ascii="Cambria" w:hAnsi="Cambria"/>
                <w:i/>
                <w:lang w:val="en-US"/>
              </w:rPr>
              <w:t xml:space="preserve">p, </w:t>
            </w:r>
            <w:r w:rsidRPr="00552D93">
              <w:rPr>
                <w:rFonts w:ascii="Cambria" w:hAnsi="Cambria"/>
                <w:lang w:val="en-US"/>
              </w:rPr>
              <w:t>effect size</w:t>
            </w:r>
          </w:p>
        </w:tc>
        <w:tc>
          <w:tcPr>
            <w:tcW w:w="1344" w:type="pct"/>
          </w:tcPr>
          <w:p w14:paraId="7EDED69E" w14:textId="7AF28EB9" w:rsidR="00E66921" w:rsidRPr="00552D93" w:rsidRDefault="00F1538A" w:rsidP="003E24BF">
            <w:pPr>
              <w:spacing w:line="240" w:lineRule="auto"/>
              <w:contextualSpacing/>
              <w:rPr>
                <w:rFonts w:ascii="Cambria" w:hAnsi="Cambria"/>
                <w:lang w:val="en-US"/>
              </w:rPr>
            </w:pPr>
            <w:r w:rsidRPr="00552D93">
              <w:rPr>
                <w:rFonts w:ascii="Cambria" w:hAnsi="Cambria"/>
                <w:lang w:val="en-US"/>
              </w:rPr>
              <w:t>t</w:t>
            </w:r>
            <w:r w:rsidR="003E24BF" w:rsidRPr="00552D93">
              <w:rPr>
                <w:rFonts w:ascii="Cambria" w:hAnsi="Cambria"/>
                <w:lang w:val="en-US"/>
              </w:rPr>
              <w:t>=32.84</w:t>
            </w:r>
            <w:r w:rsidR="00E66921" w:rsidRPr="00552D93">
              <w:rPr>
                <w:rFonts w:ascii="Cambria" w:hAnsi="Cambria"/>
                <w:lang w:val="en-US"/>
              </w:rPr>
              <w:t xml:space="preserve">, p&lt;.001, </w:t>
            </w:r>
            <w:r w:rsidR="003E24BF" w:rsidRPr="00552D93">
              <w:rPr>
                <w:rFonts w:ascii="Cambria" w:hAnsi="Cambria"/>
                <w:i/>
                <w:lang w:val="en-US"/>
              </w:rPr>
              <w:t>d</w:t>
            </w:r>
            <w:r w:rsidR="003E24BF" w:rsidRPr="00552D93">
              <w:rPr>
                <w:rFonts w:ascii="Cambria" w:hAnsi="Cambria"/>
                <w:lang w:val="en-US"/>
              </w:rPr>
              <w:t>=.273</w:t>
            </w:r>
          </w:p>
        </w:tc>
        <w:tc>
          <w:tcPr>
            <w:tcW w:w="1344" w:type="pct"/>
          </w:tcPr>
          <w:p w14:paraId="45DC751E" w14:textId="4485ED41" w:rsidR="00E66921" w:rsidRPr="00552D93" w:rsidRDefault="00F1538A" w:rsidP="00F1538A">
            <w:pPr>
              <w:spacing w:line="240" w:lineRule="auto"/>
              <w:contextualSpacing/>
              <w:rPr>
                <w:rFonts w:ascii="Cambria" w:hAnsi="Cambria"/>
                <w:lang w:val="en-US"/>
              </w:rPr>
            </w:pPr>
            <w:r w:rsidRPr="00552D93">
              <w:rPr>
                <w:rFonts w:ascii="Cambria" w:hAnsi="Cambria"/>
                <w:lang w:val="en-US"/>
              </w:rPr>
              <w:t>t=52.69</w:t>
            </w:r>
            <w:r w:rsidR="00E66921" w:rsidRPr="00552D93">
              <w:rPr>
                <w:rFonts w:ascii="Cambria" w:hAnsi="Cambria"/>
                <w:lang w:val="en-US"/>
              </w:rPr>
              <w:t xml:space="preserve">, p&lt;.001, </w:t>
            </w:r>
            <w:r w:rsidR="003E24BF" w:rsidRPr="00552D93">
              <w:rPr>
                <w:rFonts w:ascii="Cambria" w:hAnsi="Cambria"/>
                <w:i/>
                <w:lang w:val="en-US"/>
              </w:rPr>
              <w:t xml:space="preserve">d </w:t>
            </w:r>
            <w:r w:rsidR="003E24BF" w:rsidRPr="00552D93">
              <w:rPr>
                <w:rFonts w:ascii="Cambria" w:hAnsi="Cambria"/>
                <w:lang w:val="en-US"/>
              </w:rPr>
              <w:t>=</w:t>
            </w:r>
            <w:r w:rsidRPr="00552D93">
              <w:rPr>
                <w:rFonts w:ascii="Cambria" w:hAnsi="Cambria"/>
                <w:lang w:val="en-US"/>
              </w:rPr>
              <w:t xml:space="preserve"> .435</w:t>
            </w:r>
          </w:p>
        </w:tc>
        <w:tc>
          <w:tcPr>
            <w:tcW w:w="1344" w:type="pct"/>
          </w:tcPr>
          <w:p w14:paraId="3585D458" w14:textId="40F22409" w:rsidR="00E66921" w:rsidRPr="00552D93" w:rsidRDefault="005D1C12" w:rsidP="005D1C12">
            <w:pPr>
              <w:spacing w:line="240" w:lineRule="auto"/>
              <w:contextualSpacing/>
              <w:rPr>
                <w:rFonts w:ascii="Cambria" w:hAnsi="Cambria"/>
                <w:lang w:val="en-US"/>
              </w:rPr>
            </w:pPr>
            <w:r w:rsidRPr="00552D93">
              <w:rPr>
                <w:rFonts w:ascii="Cambria" w:hAnsi="Cambria"/>
                <w:lang w:val="en-US"/>
              </w:rPr>
              <w:t xml:space="preserve">t=64.03, p&lt;.001, </w:t>
            </w:r>
            <w:r w:rsidRPr="00552D93">
              <w:rPr>
                <w:rFonts w:ascii="Cambria" w:hAnsi="Cambria"/>
                <w:i/>
                <w:lang w:val="en-US"/>
              </w:rPr>
              <w:t xml:space="preserve">d </w:t>
            </w:r>
            <w:r w:rsidRPr="00552D93">
              <w:rPr>
                <w:rFonts w:ascii="Cambria" w:hAnsi="Cambria"/>
                <w:lang w:val="en-US"/>
              </w:rPr>
              <w:t>= .</w:t>
            </w:r>
            <w:r w:rsidR="007C2344" w:rsidRPr="00552D93">
              <w:rPr>
                <w:rFonts w:ascii="Cambria" w:hAnsi="Cambria"/>
                <w:lang w:val="en-US"/>
              </w:rPr>
              <w:t>524</w:t>
            </w:r>
          </w:p>
        </w:tc>
      </w:tr>
      <w:tr w:rsidR="00552D93" w:rsidRPr="00552D93" w14:paraId="4429D095" w14:textId="77777777" w:rsidTr="00D176BB">
        <w:tc>
          <w:tcPr>
            <w:tcW w:w="968" w:type="pct"/>
          </w:tcPr>
          <w:p w14:paraId="4EE24324" w14:textId="77777777" w:rsidR="00E66921" w:rsidRPr="00552D93" w:rsidRDefault="00E66921" w:rsidP="004825D2">
            <w:pPr>
              <w:spacing w:line="240" w:lineRule="auto"/>
              <w:contextualSpacing/>
              <w:rPr>
                <w:rFonts w:ascii="Cambria" w:hAnsi="Cambria"/>
                <w:highlight w:val="yellow"/>
                <w:lang w:val="en-US"/>
              </w:rPr>
            </w:pPr>
          </w:p>
        </w:tc>
        <w:tc>
          <w:tcPr>
            <w:tcW w:w="1344" w:type="pct"/>
          </w:tcPr>
          <w:p w14:paraId="593695B1" w14:textId="77777777" w:rsidR="00E66921" w:rsidRPr="00552D93" w:rsidRDefault="00E66921" w:rsidP="004825D2">
            <w:pPr>
              <w:spacing w:line="240" w:lineRule="auto"/>
              <w:contextualSpacing/>
              <w:rPr>
                <w:rFonts w:ascii="Cambria" w:hAnsi="Cambria"/>
                <w:highlight w:val="yellow"/>
                <w:lang w:val="en-US"/>
              </w:rPr>
            </w:pPr>
          </w:p>
        </w:tc>
        <w:tc>
          <w:tcPr>
            <w:tcW w:w="1344" w:type="pct"/>
          </w:tcPr>
          <w:p w14:paraId="1E198A6F" w14:textId="77777777" w:rsidR="00E66921" w:rsidRPr="00552D93" w:rsidRDefault="00E66921" w:rsidP="004825D2">
            <w:pPr>
              <w:spacing w:line="240" w:lineRule="auto"/>
              <w:contextualSpacing/>
              <w:rPr>
                <w:rFonts w:ascii="Cambria" w:hAnsi="Cambria"/>
                <w:highlight w:val="yellow"/>
                <w:lang w:val="en-US"/>
              </w:rPr>
            </w:pPr>
          </w:p>
        </w:tc>
        <w:tc>
          <w:tcPr>
            <w:tcW w:w="1344" w:type="pct"/>
          </w:tcPr>
          <w:p w14:paraId="54E083B6" w14:textId="77777777" w:rsidR="00E66921" w:rsidRPr="00552D93" w:rsidRDefault="00E66921" w:rsidP="004825D2">
            <w:pPr>
              <w:spacing w:line="240" w:lineRule="auto"/>
              <w:contextualSpacing/>
              <w:rPr>
                <w:rFonts w:ascii="Cambria" w:hAnsi="Cambria"/>
                <w:highlight w:val="yellow"/>
                <w:lang w:val="en-US"/>
              </w:rPr>
            </w:pPr>
          </w:p>
        </w:tc>
      </w:tr>
      <w:tr w:rsidR="00552D93" w:rsidRPr="00552D93" w14:paraId="6279A3E6" w14:textId="77777777" w:rsidTr="00B139F5">
        <w:tc>
          <w:tcPr>
            <w:tcW w:w="968" w:type="pct"/>
          </w:tcPr>
          <w:p w14:paraId="1333BA73" w14:textId="239CDF92" w:rsidR="00E66921" w:rsidRPr="00552D93" w:rsidRDefault="00316D8D" w:rsidP="004825D2">
            <w:pPr>
              <w:spacing w:line="240" w:lineRule="auto"/>
              <w:contextualSpacing/>
              <w:rPr>
                <w:rFonts w:ascii="Cambria" w:hAnsi="Cambria"/>
                <w:lang w:val="en-US"/>
              </w:rPr>
            </w:pPr>
            <w:r w:rsidRPr="00552D93">
              <w:rPr>
                <w:rFonts w:ascii="Cambria" w:hAnsi="Cambria"/>
                <w:lang w:val="en-US"/>
              </w:rPr>
              <w:t>Age &lt;25 (N =29,714</w:t>
            </w:r>
            <w:r w:rsidR="00E66921" w:rsidRPr="00552D93">
              <w:rPr>
                <w:rFonts w:ascii="Cambria" w:hAnsi="Cambria"/>
                <w:lang w:val="en-US"/>
              </w:rPr>
              <w:t>)</w:t>
            </w:r>
          </w:p>
        </w:tc>
        <w:tc>
          <w:tcPr>
            <w:tcW w:w="1344" w:type="pct"/>
          </w:tcPr>
          <w:p w14:paraId="42848AD8" w14:textId="7403D87D" w:rsidR="00E66921" w:rsidRPr="00552D93" w:rsidRDefault="00316D8D" w:rsidP="004825D2">
            <w:pPr>
              <w:spacing w:line="240" w:lineRule="auto"/>
              <w:contextualSpacing/>
              <w:rPr>
                <w:rFonts w:ascii="Cambria" w:hAnsi="Cambria"/>
                <w:lang w:val="en-US"/>
              </w:rPr>
            </w:pPr>
            <w:r w:rsidRPr="00552D93">
              <w:rPr>
                <w:rFonts w:ascii="Cambria" w:hAnsi="Cambria"/>
                <w:lang w:val="en-US"/>
              </w:rPr>
              <w:t>39.61 (20.86</w:t>
            </w:r>
            <w:r w:rsidR="00E66921" w:rsidRPr="00552D93">
              <w:rPr>
                <w:rFonts w:ascii="Cambria" w:hAnsi="Cambria"/>
                <w:lang w:val="en-US"/>
              </w:rPr>
              <w:t>)</w:t>
            </w:r>
          </w:p>
        </w:tc>
        <w:tc>
          <w:tcPr>
            <w:tcW w:w="1344" w:type="pct"/>
          </w:tcPr>
          <w:p w14:paraId="71CF5BBB" w14:textId="3B54E807" w:rsidR="00E66921" w:rsidRPr="00552D93" w:rsidRDefault="00342D98" w:rsidP="004825D2">
            <w:pPr>
              <w:spacing w:line="240" w:lineRule="auto"/>
              <w:contextualSpacing/>
              <w:rPr>
                <w:rFonts w:ascii="Cambria" w:hAnsi="Cambria"/>
                <w:lang w:val="en-US"/>
              </w:rPr>
            </w:pPr>
            <w:r w:rsidRPr="00552D93">
              <w:rPr>
                <w:rFonts w:ascii="Cambria" w:hAnsi="Cambria"/>
                <w:lang w:val="en-US"/>
              </w:rPr>
              <w:t>88.44 (42.59</w:t>
            </w:r>
            <w:r w:rsidR="00E66921" w:rsidRPr="00552D93">
              <w:rPr>
                <w:rFonts w:ascii="Cambria" w:hAnsi="Cambria"/>
                <w:lang w:val="en-US"/>
              </w:rPr>
              <w:t>)</w:t>
            </w:r>
          </w:p>
        </w:tc>
        <w:tc>
          <w:tcPr>
            <w:tcW w:w="1344" w:type="pct"/>
            <w:shd w:val="clear" w:color="auto" w:fill="auto"/>
          </w:tcPr>
          <w:p w14:paraId="3AFEF7EA" w14:textId="6ECD536C" w:rsidR="00E66921" w:rsidRPr="00552D93" w:rsidRDefault="00B139F5" w:rsidP="004825D2">
            <w:pPr>
              <w:spacing w:line="240" w:lineRule="auto"/>
              <w:contextualSpacing/>
              <w:rPr>
                <w:rFonts w:ascii="Cambria" w:hAnsi="Cambria"/>
                <w:lang w:val="en-US"/>
              </w:rPr>
            </w:pPr>
            <w:r w:rsidRPr="00552D93">
              <w:rPr>
                <w:rFonts w:ascii="Cambria" w:hAnsi="Cambria"/>
                <w:lang w:val="en-US"/>
              </w:rPr>
              <w:t>136.99 (66.05</w:t>
            </w:r>
            <w:r w:rsidR="00E66921" w:rsidRPr="00552D93">
              <w:rPr>
                <w:rFonts w:ascii="Cambria" w:hAnsi="Cambria"/>
                <w:lang w:val="en-US"/>
              </w:rPr>
              <w:t>)</w:t>
            </w:r>
          </w:p>
        </w:tc>
      </w:tr>
      <w:tr w:rsidR="00552D93" w:rsidRPr="00552D93" w14:paraId="44277939" w14:textId="77777777" w:rsidTr="00B139F5">
        <w:tc>
          <w:tcPr>
            <w:tcW w:w="968" w:type="pct"/>
          </w:tcPr>
          <w:p w14:paraId="6F918ADD" w14:textId="6CCCF7BE" w:rsidR="00E66921" w:rsidRPr="00552D93" w:rsidRDefault="00316D8D" w:rsidP="004825D2">
            <w:pPr>
              <w:spacing w:line="240" w:lineRule="auto"/>
              <w:contextualSpacing/>
              <w:rPr>
                <w:rFonts w:ascii="Cambria" w:hAnsi="Cambria"/>
                <w:lang w:val="en-US"/>
              </w:rPr>
            </w:pPr>
            <w:r w:rsidRPr="00552D93">
              <w:rPr>
                <w:rFonts w:ascii="Cambria" w:hAnsi="Cambria"/>
                <w:lang w:val="en-US"/>
              </w:rPr>
              <w:t>Age 25+ (N = 31,105</w:t>
            </w:r>
            <w:r w:rsidR="00E66921" w:rsidRPr="00552D93">
              <w:rPr>
                <w:rFonts w:ascii="Cambria" w:hAnsi="Cambria"/>
                <w:lang w:val="en-US"/>
              </w:rPr>
              <w:t>)</w:t>
            </w:r>
          </w:p>
        </w:tc>
        <w:tc>
          <w:tcPr>
            <w:tcW w:w="1344" w:type="pct"/>
          </w:tcPr>
          <w:p w14:paraId="3D893819" w14:textId="14500303" w:rsidR="00E66921" w:rsidRPr="00552D93" w:rsidRDefault="00316D8D" w:rsidP="004825D2">
            <w:pPr>
              <w:spacing w:line="240" w:lineRule="auto"/>
              <w:contextualSpacing/>
              <w:rPr>
                <w:rFonts w:ascii="Cambria" w:hAnsi="Cambria"/>
                <w:lang w:val="en-US"/>
              </w:rPr>
            </w:pPr>
            <w:r w:rsidRPr="00552D93">
              <w:rPr>
                <w:rFonts w:ascii="Cambria" w:hAnsi="Cambria"/>
                <w:lang w:val="en-US"/>
              </w:rPr>
              <w:t>33.66 (18.82</w:t>
            </w:r>
            <w:r w:rsidR="00E66921" w:rsidRPr="00552D93">
              <w:rPr>
                <w:rFonts w:ascii="Cambria" w:hAnsi="Cambria"/>
                <w:lang w:val="en-US"/>
              </w:rPr>
              <w:t>)</w:t>
            </w:r>
          </w:p>
        </w:tc>
        <w:tc>
          <w:tcPr>
            <w:tcW w:w="1344" w:type="pct"/>
          </w:tcPr>
          <w:p w14:paraId="5439DBA4" w14:textId="732A5D3D" w:rsidR="00E66921" w:rsidRPr="00552D93" w:rsidRDefault="00342D98" w:rsidP="004825D2">
            <w:pPr>
              <w:spacing w:line="240" w:lineRule="auto"/>
              <w:contextualSpacing/>
              <w:rPr>
                <w:rFonts w:ascii="Cambria" w:hAnsi="Cambria"/>
                <w:lang w:val="en-US"/>
              </w:rPr>
            </w:pPr>
            <w:r w:rsidRPr="00552D93">
              <w:rPr>
                <w:rFonts w:ascii="Cambria" w:hAnsi="Cambria"/>
                <w:lang w:val="en-US"/>
              </w:rPr>
              <w:t>74.39 (39.52</w:t>
            </w:r>
            <w:r w:rsidR="00E66921" w:rsidRPr="00552D93">
              <w:rPr>
                <w:rFonts w:ascii="Cambria" w:hAnsi="Cambria"/>
                <w:lang w:val="en-US"/>
              </w:rPr>
              <w:t>)</w:t>
            </w:r>
          </w:p>
        </w:tc>
        <w:tc>
          <w:tcPr>
            <w:tcW w:w="1344" w:type="pct"/>
            <w:shd w:val="clear" w:color="auto" w:fill="auto"/>
          </w:tcPr>
          <w:p w14:paraId="4AAC0422" w14:textId="6747032F" w:rsidR="00E66921" w:rsidRPr="00552D93" w:rsidRDefault="00B139F5" w:rsidP="004825D2">
            <w:pPr>
              <w:spacing w:line="240" w:lineRule="auto"/>
              <w:contextualSpacing/>
              <w:rPr>
                <w:rFonts w:ascii="Cambria" w:hAnsi="Cambria"/>
                <w:lang w:val="en-US"/>
              </w:rPr>
            </w:pPr>
            <w:r w:rsidRPr="00552D93">
              <w:rPr>
                <w:rFonts w:ascii="Cambria" w:hAnsi="Cambria"/>
                <w:lang w:val="en-US"/>
              </w:rPr>
              <w:t>117.47 (61.94</w:t>
            </w:r>
            <w:r w:rsidR="00E66921" w:rsidRPr="00552D93">
              <w:rPr>
                <w:rFonts w:ascii="Cambria" w:hAnsi="Cambria"/>
                <w:lang w:val="en-US"/>
              </w:rPr>
              <w:t>)</w:t>
            </w:r>
          </w:p>
        </w:tc>
      </w:tr>
      <w:tr w:rsidR="00552D93" w:rsidRPr="00552D93" w14:paraId="20A5EE9B" w14:textId="77777777" w:rsidTr="00B139F5">
        <w:tc>
          <w:tcPr>
            <w:tcW w:w="968" w:type="pct"/>
          </w:tcPr>
          <w:p w14:paraId="396256A0" w14:textId="77777777" w:rsidR="00E66921" w:rsidRPr="00552D93" w:rsidRDefault="00E66921" w:rsidP="004825D2">
            <w:pPr>
              <w:spacing w:line="240" w:lineRule="auto"/>
              <w:contextualSpacing/>
              <w:rPr>
                <w:rFonts w:ascii="Cambria" w:hAnsi="Cambria"/>
                <w:lang w:val="en-US"/>
              </w:rPr>
            </w:pPr>
            <w:r w:rsidRPr="00552D93">
              <w:rPr>
                <w:rFonts w:ascii="Cambria" w:hAnsi="Cambria"/>
                <w:lang w:val="en-US"/>
              </w:rPr>
              <w:t xml:space="preserve">Test statistic, </w:t>
            </w:r>
            <w:r w:rsidRPr="00552D93">
              <w:rPr>
                <w:rFonts w:ascii="Cambria" w:hAnsi="Cambria"/>
                <w:i/>
                <w:lang w:val="en-US"/>
              </w:rPr>
              <w:t xml:space="preserve">p, </w:t>
            </w:r>
            <w:r w:rsidRPr="00552D93">
              <w:rPr>
                <w:rFonts w:ascii="Cambria" w:hAnsi="Cambria"/>
                <w:lang w:val="en-US"/>
              </w:rPr>
              <w:t>effect size</w:t>
            </w:r>
          </w:p>
        </w:tc>
        <w:tc>
          <w:tcPr>
            <w:tcW w:w="1344" w:type="pct"/>
          </w:tcPr>
          <w:p w14:paraId="0CA20694" w14:textId="26DB5B3A" w:rsidR="00E66921" w:rsidRPr="00552D93" w:rsidRDefault="00316D8D" w:rsidP="004825D2">
            <w:pPr>
              <w:spacing w:line="240" w:lineRule="auto"/>
              <w:contextualSpacing/>
              <w:rPr>
                <w:rFonts w:ascii="Cambria" w:hAnsi="Cambria"/>
                <w:lang w:val="en-US"/>
              </w:rPr>
            </w:pPr>
            <w:r w:rsidRPr="00552D93">
              <w:rPr>
                <w:rFonts w:ascii="Cambria" w:hAnsi="Cambria"/>
                <w:lang w:val="en-US"/>
              </w:rPr>
              <w:t xml:space="preserve">t=36.89, p&lt;.001, </w:t>
            </w:r>
            <w:r w:rsidRPr="00552D93">
              <w:rPr>
                <w:rFonts w:ascii="Cambria" w:hAnsi="Cambria"/>
                <w:i/>
                <w:lang w:val="en-US"/>
              </w:rPr>
              <w:t>d</w:t>
            </w:r>
            <w:r w:rsidRPr="00552D93">
              <w:rPr>
                <w:rFonts w:ascii="Cambria" w:hAnsi="Cambria"/>
                <w:lang w:val="en-US"/>
              </w:rPr>
              <w:t>=.300</w:t>
            </w:r>
          </w:p>
        </w:tc>
        <w:tc>
          <w:tcPr>
            <w:tcW w:w="1344" w:type="pct"/>
          </w:tcPr>
          <w:p w14:paraId="3EE3160F" w14:textId="1C79B08A" w:rsidR="00E66921" w:rsidRPr="00552D93" w:rsidRDefault="00316D8D" w:rsidP="004825D2">
            <w:pPr>
              <w:spacing w:line="240" w:lineRule="auto"/>
              <w:contextualSpacing/>
              <w:rPr>
                <w:rFonts w:ascii="Cambria" w:hAnsi="Cambria"/>
                <w:lang w:val="en-US"/>
              </w:rPr>
            </w:pPr>
            <w:r w:rsidRPr="00552D93">
              <w:rPr>
                <w:rFonts w:ascii="Cambria" w:hAnsi="Cambria"/>
                <w:lang w:val="en-US"/>
              </w:rPr>
              <w:t>t=</w:t>
            </w:r>
            <w:r w:rsidR="0022370B" w:rsidRPr="00552D93">
              <w:rPr>
                <w:rFonts w:ascii="Cambria" w:hAnsi="Cambria"/>
                <w:lang w:val="en-US"/>
              </w:rPr>
              <w:t>42.13</w:t>
            </w:r>
            <w:r w:rsidRPr="00552D93">
              <w:rPr>
                <w:rFonts w:ascii="Cambria" w:hAnsi="Cambria"/>
                <w:lang w:val="en-US"/>
              </w:rPr>
              <w:t xml:space="preserve">, p&lt;.001, </w:t>
            </w:r>
            <w:r w:rsidRPr="00552D93">
              <w:rPr>
                <w:rFonts w:ascii="Cambria" w:hAnsi="Cambria"/>
                <w:i/>
                <w:lang w:val="en-US"/>
              </w:rPr>
              <w:t>d</w:t>
            </w:r>
            <w:r w:rsidRPr="00552D93">
              <w:rPr>
                <w:rFonts w:ascii="Cambria" w:hAnsi="Cambria"/>
                <w:lang w:val="en-US"/>
              </w:rPr>
              <w:t>=</w:t>
            </w:r>
            <w:r w:rsidR="00342D98" w:rsidRPr="00552D93">
              <w:rPr>
                <w:rFonts w:ascii="Cambria" w:hAnsi="Cambria"/>
                <w:lang w:val="en-US"/>
              </w:rPr>
              <w:t>.</w:t>
            </w:r>
            <w:r w:rsidR="0022370B" w:rsidRPr="00552D93">
              <w:rPr>
                <w:rFonts w:ascii="Cambria" w:hAnsi="Cambria"/>
                <w:lang w:val="en-US"/>
              </w:rPr>
              <w:t>342</w:t>
            </w:r>
          </w:p>
        </w:tc>
        <w:tc>
          <w:tcPr>
            <w:tcW w:w="1344" w:type="pct"/>
            <w:shd w:val="clear" w:color="auto" w:fill="auto"/>
          </w:tcPr>
          <w:p w14:paraId="28D2236E" w14:textId="359D32C1" w:rsidR="00E66921" w:rsidRPr="00552D93" w:rsidRDefault="00316D8D" w:rsidP="004825D2">
            <w:pPr>
              <w:spacing w:line="240" w:lineRule="auto"/>
              <w:contextualSpacing/>
              <w:rPr>
                <w:rFonts w:ascii="Cambria" w:hAnsi="Cambria"/>
                <w:lang w:val="en-US"/>
              </w:rPr>
            </w:pPr>
            <w:r w:rsidRPr="00552D93">
              <w:rPr>
                <w:rFonts w:ascii="Cambria" w:hAnsi="Cambria"/>
                <w:lang w:val="en-US"/>
              </w:rPr>
              <w:t>t=</w:t>
            </w:r>
            <w:r w:rsidR="00B139F5" w:rsidRPr="00552D93">
              <w:rPr>
                <w:rFonts w:ascii="Cambria" w:hAnsi="Cambria"/>
                <w:lang w:val="en-US"/>
              </w:rPr>
              <w:t>37</w:t>
            </w:r>
            <w:r w:rsidRPr="00552D93">
              <w:rPr>
                <w:rFonts w:ascii="Cambria" w:hAnsi="Cambria"/>
                <w:lang w:val="en-US"/>
              </w:rPr>
              <w:t>.</w:t>
            </w:r>
            <w:r w:rsidR="00B139F5" w:rsidRPr="00552D93">
              <w:rPr>
                <w:rFonts w:ascii="Cambria" w:hAnsi="Cambria"/>
                <w:lang w:val="en-US"/>
              </w:rPr>
              <w:t>55</w:t>
            </w:r>
            <w:r w:rsidRPr="00552D93">
              <w:rPr>
                <w:rFonts w:ascii="Cambria" w:hAnsi="Cambria"/>
                <w:lang w:val="en-US"/>
              </w:rPr>
              <w:t xml:space="preserve">, p&lt;.001, </w:t>
            </w:r>
            <w:r w:rsidRPr="00552D93">
              <w:rPr>
                <w:rFonts w:ascii="Cambria" w:hAnsi="Cambria"/>
                <w:i/>
                <w:lang w:val="en-US"/>
              </w:rPr>
              <w:t>d</w:t>
            </w:r>
            <w:r w:rsidRPr="00552D93">
              <w:rPr>
                <w:rFonts w:ascii="Cambria" w:hAnsi="Cambria"/>
                <w:lang w:val="en-US"/>
              </w:rPr>
              <w:t>=</w:t>
            </w:r>
            <w:r w:rsidR="00342D98" w:rsidRPr="00552D93">
              <w:rPr>
                <w:rFonts w:ascii="Cambria" w:hAnsi="Cambria"/>
                <w:lang w:val="en-US"/>
              </w:rPr>
              <w:t>.</w:t>
            </w:r>
            <w:r w:rsidR="00B139F5" w:rsidRPr="00552D93">
              <w:rPr>
                <w:rFonts w:ascii="Cambria" w:hAnsi="Cambria"/>
                <w:lang w:val="en-US"/>
              </w:rPr>
              <w:t>305</w:t>
            </w:r>
          </w:p>
        </w:tc>
      </w:tr>
      <w:tr w:rsidR="00552D93" w:rsidRPr="00552D93" w14:paraId="4FD7077E" w14:textId="77777777" w:rsidTr="00D176BB">
        <w:tc>
          <w:tcPr>
            <w:tcW w:w="968" w:type="pct"/>
          </w:tcPr>
          <w:p w14:paraId="18BF7A44" w14:textId="77777777" w:rsidR="00E66921" w:rsidRPr="00552D93" w:rsidRDefault="00E66921" w:rsidP="004825D2">
            <w:pPr>
              <w:spacing w:line="240" w:lineRule="auto"/>
              <w:contextualSpacing/>
              <w:rPr>
                <w:rFonts w:ascii="Cambria" w:hAnsi="Cambria"/>
                <w:highlight w:val="yellow"/>
                <w:lang w:val="en-US"/>
              </w:rPr>
            </w:pPr>
          </w:p>
        </w:tc>
        <w:tc>
          <w:tcPr>
            <w:tcW w:w="1344" w:type="pct"/>
          </w:tcPr>
          <w:p w14:paraId="04C240E6" w14:textId="77777777" w:rsidR="00E66921" w:rsidRPr="00552D93" w:rsidRDefault="00E66921" w:rsidP="004825D2">
            <w:pPr>
              <w:spacing w:line="240" w:lineRule="auto"/>
              <w:contextualSpacing/>
              <w:rPr>
                <w:rFonts w:ascii="Cambria" w:hAnsi="Cambria"/>
                <w:highlight w:val="yellow"/>
                <w:lang w:val="en-US"/>
              </w:rPr>
            </w:pPr>
          </w:p>
        </w:tc>
        <w:tc>
          <w:tcPr>
            <w:tcW w:w="1344" w:type="pct"/>
          </w:tcPr>
          <w:p w14:paraId="2B4061E4" w14:textId="77777777" w:rsidR="00E66921" w:rsidRPr="00552D93" w:rsidRDefault="00E66921" w:rsidP="004825D2">
            <w:pPr>
              <w:spacing w:line="240" w:lineRule="auto"/>
              <w:contextualSpacing/>
              <w:rPr>
                <w:rFonts w:ascii="Cambria" w:hAnsi="Cambria"/>
                <w:highlight w:val="yellow"/>
                <w:lang w:val="en-US"/>
              </w:rPr>
            </w:pPr>
          </w:p>
        </w:tc>
        <w:tc>
          <w:tcPr>
            <w:tcW w:w="1344" w:type="pct"/>
          </w:tcPr>
          <w:p w14:paraId="5FF8335B" w14:textId="77777777" w:rsidR="00E66921" w:rsidRPr="00552D93" w:rsidRDefault="00E66921" w:rsidP="004825D2">
            <w:pPr>
              <w:spacing w:line="240" w:lineRule="auto"/>
              <w:contextualSpacing/>
              <w:rPr>
                <w:rFonts w:ascii="Cambria" w:hAnsi="Cambria"/>
                <w:highlight w:val="yellow"/>
                <w:lang w:val="en-US"/>
              </w:rPr>
            </w:pPr>
          </w:p>
        </w:tc>
      </w:tr>
      <w:tr w:rsidR="00552D93" w:rsidRPr="00552D93" w14:paraId="4DC80485" w14:textId="77777777" w:rsidTr="00D176BB">
        <w:tc>
          <w:tcPr>
            <w:tcW w:w="968" w:type="pct"/>
          </w:tcPr>
          <w:p w14:paraId="07475A06" w14:textId="6B0E8603" w:rsidR="00E66921" w:rsidRPr="00552D93" w:rsidRDefault="008D086D" w:rsidP="004825D2">
            <w:pPr>
              <w:spacing w:line="240" w:lineRule="auto"/>
              <w:contextualSpacing/>
              <w:rPr>
                <w:rFonts w:ascii="Cambria" w:hAnsi="Cambria"/>
                <w:lang w:val="en-US"/>
              </w:rPr>
            </w:pPr>
            <w:r w:rsidRPr="00552D93">
              <w:rPr>
                <w:rFonts w:ascii="Cambria" w:hAnsi="Cambria"/>
                <w:lang w:val="en-US"/>
              </w:rPr>
              <w:t>AUDIT 0-7 (N =27,574</w:t>
            </w:r>
            <w:r w:rsidR="00E66921" w:rsidRPr="00552D93">
              <w:rPr>
                <w:rFonts w:ascii="Cambria" w:hAnsi="Cambria"/>
                <w:lang w:val="en-US"/>
              </w:rPr>
              <w:t>)</w:t>
            </w:r>
          </w:p>
        </w:tc>
        <w:tc>
          <w:tcPr>
            <w:tcW w:w="1344" w:type="pct"/>
          </w:tcPr>
          <w:p w14:paraId="57554536" w14:textId="183A4238" w:rsidR="00E66921" w:rsidRPr="00552D93" w:rsidRDefault="00AA072F" w:rsidP="004825D2">
            <w:pPr>
              <w:spacing w:line="240" w:lineRule="auto"/>
              <w:contextualSpacing/>
              <w:rPr>
                <w:rFonts w:ascii="Cambria" w:hAnsi="Cambria"/>
                <w:lang w:val="en-US"/>
              </w:rPr>
            </w:pPr>
            <w:r w:rsidRPr="00552D93">
              <w:rPr>
                <w:rFonts w:ascii="Cambria" w:hAnsi="Cambria"/>
                <w:lang w:val="en-US"/>
              </w:rPr>
              <w:t>30.69 (17.12</w:t>
            </w:r>
            <w:r w:rsidR="00E66921" w:rsidRPr="00552D93">
              <w:rPr>
                <w:rFonts w:ascii="Cambria" w:hAnsi="Cambria"/>
                <w:lang w:val="en-US"/>
              </w:rPr>
              <w:t xml:space="preserve">) </w:t>
            </w:r>
          </w:p>
        </w:tc>
        <w:tc>
          <w:tcPr>
            <w:tcW w:w="1344" w:type="pct"/>
          </w:tcPr>
          <w:p w14:paraId="7D4D08D2" w14:textId="0DC63872" w:rsidR="00E66921" w:rsidRPr="00552D93" w:rsidRDefault="00AA072F" w:rsidP="004825D2">
            <w:pPr>
              <w:spacing w:line="240" w:lineRule="auto"/>
              <w:contextualSpacing/>
              <w:rPr>
                <w:rFonts w:ascii="Cambria" w:hAnsi="Cambria"/>
                <w:lang w:val="en-US"/>
              </w:rPr>
            </w:pPr>
            <w:r w:rsidRPr="00552D93">
              <w:rPr>
                <w:rFonts w:ascii="Cambria" w:hAnsi="Cambria"/>
                <w:lang w:val="en-US"/>
              </w:rPr>
              <w:t>65.02 (34.16</w:t>
            </w:r>
            <w:r w:rsidR="00E66921" w:rsidRPr="00552D93">
              <w:rPr>
                <w:rFonts w:ascii="Cambria" w:hAnsi="Cambria"/>
                <w:lang w:val="en-US"/>
              </w:rPr>
              <w:t>)</w:t>
            </w:r>
          </w:p>
        </w:tc>
        <w:tc>
          <w:tcPr>
            <w:tcW w:w="1344" w:type="pct"/>
          </w:tcPr>
          <w:p w14:paraId="0F586930" w14:textId="79A30DAF" w:rsidR="00E66921" w:rsidRPr="00552D93" w:rsidRDefault="00AA072F" w:rsidP="004825D2">
            <w:pPr>
              <w:spacing w:line="240" w:lineRule="auto"/>
              <w:contextualSpacing/>
              <w:rPr>
                <w:rFonts w:ascii="Cambria" w:hAnsi="Cambria"/>
                <w:highlight w:val="yellow"/>
                <w:lang w:val="en-US"/>
              </w:rPr>
            </w:pPr>
            <w:r w:rsidRPr="00552D93">
              <w:rPr>
                <w:rFonts w:ascii="Cambria" w:hAnsi="Cambria"/>
                <w:lang w:val="en-US"/>
              </w:rPr>
              <w:t>102.94 (52.67</w:t>
            </w:r>
            <w:r w:rsidR="00E66921" w:rsidRPr="00552D93">
              <w:rPr>
                <w:rFonts w:ascii="Cambria" w:hAnsi="Cambria"/>
                <w:lang w:val="en-US"/>
              </w:rPr>
              <w:t>)</w:t>
            </w:r>
          </w:p>
        </w:tc>
      </w:tr>
      <w:tr w:rsidR="00552D93" w:rsidRPr="00552D93" w14:paraId="111E2960" w14:textId="77777777" w:rsidTr="00D176BB">
        <w:tc>
          <w:tcPr>
            <w:tcW w:w="968" w:type="pct"/>
          </w:tcPr>
          <w:p w14:paraId="0D6230FF" w14:textId="4B73919A" w:rsidR="00E66921" w:rsidRPr="00552D93" w:rsidRDefault="008D086D" w:rsidP="004825D2">
            <w:pPr>
              <w:spacing w:line="240" w:lineRule="auto"/>
              <w:contextualSpacing/>
              <w:rPr>
                <w:rFonts w:ascii="Cambria" w:hAnsi="Cambria"/>
                <w:lang w:val="en-US"/>
              </w:rPr>
            </w:pPr>
            <w:r w:rsidRPr="00552D93">
              <w:rPr>
                <w:rFonts w:ascii="Cambria" w:hAnsi="Cambria"/>
                <w:lang w:val="en-US"/>
              </w:rPr>
              <w:t>AUDIT 8-16 (N =25,408</w:t>
            </w:r>
            <w:r w:rsidR="00E66921" w:rsidRPr="00552D93">
              <w:rPr>
                <w:rFonts w:ascii="Cambria" w:hAnsi="Cambria"/>
                <w:lang w:val="en-US"/>
              </w:rPr>
              <w:t>)</w:t>
            </w:r>
          </w:p>
        </w:tc>
        <w:tc>
          <w:tcPr>
            <w:tcW w:w="1344" w:type="pct"/>
          </w:tcPr>
          <w:p w14:paraId="0AFE4F7A" w14:textId="30AAEBDF" w:rsidR="00E66921" w:rsidRPr="00552D93" w:rsidRDefault="00AA072F" w:rsidP="004825D2">
            <w:pPr>
              <w:spacing w:line="240" w:lineRule="auto"/>
              <w:contextualSpacing/>
              <w:rPr>
                <w:rFonts w:ascii="Cambria" w:hAnsi="Cambria"/>
                <w:lang w:val="en-US"/>
              </w:rPr>
            </w:pPr>
            <w:r w:rsidRPr="00552D93">
              <w:rPr>
                <w:rFonts w:ascii="Cambria" w:hAnsi="Cambria"/>
                <w:lang w:val="en-US"/>
              </w:rPr>
              <w:t>39.66 (19.71</w:t>
            </w:r>
            <w:r w:rsidR="00E66921" w:rsidRPr="00552D93">
              <w:rPr>
                <w:rFonts w:ascii="Cambria" w:hAnsi="Cambria"/>
                <w:lang w:val="en-US"/>
              </w:rPr>
              <w:t xml:space="preserve">) </w:t>
            </w:r>
          </w:p>
        </w:tc>
        <w:tc>
          <w:tcPr>
            <w:tcW w:w="1344" w:type="pct"/>
          </w:tcPr>
          <w:p w14:paraId="593BAE92" w14:textId="5E9EB1E3" w:rsidR="00E66921" w:rsidRPr="00552D93" w:rsidRDefault="00AA072F" w:rsidP="004825D2">
            <w:pPr>
              <w:spacing w:line="240" w:lineRule="auto"/>
              <w:contextualSpacing/>
              <w:rPr>
                <w:rFonts w:ascii="Cambria" w:hAnsi="Cambria"/>
                <w:lang w:val="en-US"/>
              </w:rPr>
            </w:pPr>
            <w:r w:rsidRPr="00552D93">
              <w:rPr>
                <w:rFonts w:ascii="Cambria" w:hAnsi="Cambria"/>
                <w:lang w:val="en-US"/>
              </w:rPr>
              <w:t>90.16 (39.75</w:t>
            </w:r>
            <w:r w:rsidR="00E66921" w:rsidRPr="00552D93">
              <w:rPr>
                <w:rFonts w:ascii="Cambria" w:hAnsi="Cambria"/>
                <w:lang w:val="en-US"/>
              </w:rPr>
              <w:t>)</w:t>
            </w:r>
          </w:p>
        </w:tc>
        <w:tc>
          <w:tcPr>
            <w:tcW w:w="1344" w:type="pct"/>
          </w:tcPr>
          <w:p w14:paraId="61A4FA2B" w14:textId="7B4B32E0" w:rsidR="00E66921" w:rsidRPr="00552D93" w:rsidRDefault="00AA072F" w:rsidP="004825D2">
            <w:pPr>
              <w:spacing w:line="240" w:lineRule="auto"/>
              <w:contextualSpacing/>
              <w:rPr>
                <w:rFonts w:ascii="Cambria" w:hAnsi="Cambria"/>
                <w:lang w:val="en-US"/>
              </w:rPr>
            </w:pPr>
            <w:r w:rsidRPr="00552D93">
              <w:rPr>
                <w:rFonts w:ascii="Cambria" w:hAnsi="Cambria"/>
                <w:lang w:val="en-US"/>
              </w:rPr>
              <w:t>140.12 (62.25</w:t>
            </w:r>
            <w:r w:rsidR="00E66921" w:rsidRPr="00552D93">
              <w:rPr>
                <w:rFonts w:ascii="Cambria" w:hAnsi="Cambria"/>
                <w:lang w:val="en-US"/>
              </w:rPr>
              <w:t>)</w:t>
            </w:r>
          </w:p>
        </w:tc>
      </w:tr>
      <w:tr w:rsidR="00552D93" w:rsidRPr="00552D93" w14:paraId="4797715F" w14:textId="77777777" w:rsidTr="00D176BB">
        <w:tc>
          <w:tcPr>
            <w:tcW w:w="968" w:type="pct"/>
          </w:tcPr>
          <w:p w14:paraId="4D2614FA" w14:textId="02C18D7F" w:rsidR="00E66921" w:rsidRPr="00552D93" w:rsidRDefault="008D086D" w:rsidP="004825D2">
            <w:pPr>
              <w:spacing w:line="240" w:lineRule="auto"/>
              <w:contextualSpacing/>
              <w:rPr>
                <w:rFonts w:ascii="Cambria" w:hAnsi="Cambria"/>
                <w:lang w:val="en-US"/>
              </w:rPr>
            </w:pPr>
            <w:r w:rsidRPr="00552D93">
              <w:rPr>
                <w:rFonts w:ascii="Cambria" w:hAnsi="Cambria"/>
                <w:lang w:val="en-US"/>
              </w:rPr>
              <w:t>AUDIT 16-19 (N =4,747</w:t>
            </w:r>
            <w:r w:rsidR="00E66921" w:rsidRPr="00552D93">
              <w:rPr>
                <w:rFonts w:ascii="Cambria" w:hAnsi="Cambria"/>
                <w:lang w:val="en-US"/>
              </w:rPr>
              <w:t>)</w:t>
            </w:r>
          </w:p>
        </w:tc>
        <w:tc>
          <w:tcPr>
            <w:tcW w:w="1344" w:type="pct"/>
          </w:tcPr>
          <w:p w14:paraId="48FF9123" w14:textId="3925C857" w:rsidR="00E66921" w:rsidRPr="00552D93" w:rsidRDefault="00AA072F" w:rsidP="004825D2">
            <w:pPr>
              <w:spacing w:line="240" w:lineRule="auto"/>
              <w:contextualSpacing/>
              <w:rPr>
                <w:rFonts w:ascii="Cambria" w:hAnsi="Cambria"/>
                <w:lang w:val="en-US"/>
              </w:rPr>
            </w:pPr>
            <w:r w:rsidRPr="00552D93">
              <w:rPr>
                <w:rFonts w:ascii="Cambria" w:hAnsi="Cambria"/>
                <w:lang w:val="en-US"/>
              </w:rPr>
              <w:t>44.89 (22.18</w:t>
            </w:r>
            <w:r w:rsidR="00E66921" w:rsidRPr="00552D93">
              <w:rPr>
                <w:rFonts w:ascii="Cambria" w:hAnsi="Cambria"/>
                <w:lang w:val="en-US"/>
              </w:rPr>
              <w:t xml:space="preserve">) </w:t>
            </w:r>
          </w:p>
        </w:tc>
        <w:tc>
          <w:tcPr>
            <w:tcW w:w="1344" w:type="pct"/>
          </w:tcPr>
          <w:p w14:paraId="0F6FCF26" w14:textId="4B4154C4" w:rsidR="00E66921" w:rsidRPr="00552D93" w:rsidRDefault="00AA072F" w:rsidP="004825D2">
            <w:pPr>
              <w:spacing w:line="240" w:lineRule="auto"/>
              <w:contextualSpacing/>
              <w:rPr>
                <w:rFonts w:ascii="Cambria" w:hAnsi="Cambria"/>
                <w:lang w:val="en-US"/>
              </w:rPr>
            </w:pPr>
            <w:r w:rsidRPr="00552D93">
              <w:rPr>
                <w:rFonts w:ascii="Cambria" w:hAnsi="Cambria"/>
                <w:lang w:val="en-US"/>
              </w:rPr>
              <w:t>104.19 (45.01</w:t>
            </w:r>
            <w:r w:rsidR="00E66921" w:rsidRPr="00552D93">
              <w:rPr>
                <w:rFonts w:ascii="Cambria" w:hAnsi="Cambria"/>
                <w:lang w:val="en-US"/>
              </w:rPr>
              <w:t>)</w:t>
            </w:r>
          </w:p>
        </w:tc>
        <w:tc>
          <w:tcPr>
            <w:tcW w:w="1344" w:type="pct"/>
          </w:tcPr>
          <w:p w14:paraId="4F6A99B4" w14:textId="301E0391" w:rsidR="00E66921" w:rsidRPr="00552D93" w:rsidRDefault="00AA072F" w:rsidP="004825D2">
            <w:pPr>
              <w:spacing w:line="240" w:lineRule="auto"/>
              <w:contextualSpacing/>
              <w:rPr>
                <w:rFonts w:ascii="Cambria" w:hAnsi="Cambria"/>
                <w:lang w:val="en-US"/>
              </w:rPr>
            </w:pPr>
            <w:r w:rsidRPr="00552D93">
              <w:rPr>
                <w:rFonts w:ascii="Cambria" w:hAnsi="Cambria"/>
                <w:lang w:val="en-US"/>
              </w:rPr>
              <w:t>161.18 (71.56</w:t>
            </w:r>
            <w:r w:rsidR="00E66921" w:rsidRPr="00552D93">
              <w:rPr>
                <w:rFonts w:ascii="Cambria" w:hAnsi="Cambria"/>
                <w:lang w:val="en-US"/>
              </w:rPr>
              <w:t>)</w:t>
            </w:r>
          </w:p>
        </w:tc>
      </w:tr>
      <w:tr w:rsidR="00552D93" w:rsidRPr="00552D93" w14:paraId="28E8AA37" w14:textId="77777777" w:rsidTr="00D176BB">
        <w:tc>
          <w:tcPr>
            <w:tcW w:w="968" w:type="pct"/>
          </w:tcPr>
          <w:p w14:paraId="17E52155" w14:textId="43D50B08" w:rsidR="00E66921" w:rsidRPr="00552D93" w:rsidRDefault="008D086D" w:rsidP="004825D2">
            <w:pPr>
              <w:spacing w:line="240" w:lineRule="auto"/>
              <w:contextualSpacing/>
              <w:rPr>
                <w:rFonts w:ascii="Cambria" w:hAnsi="Cambria"/>
                <w:lang w:val="en-US"/>
              </w:rPr>
            </w:pPr>
            <w:r w:rsidRPr="00552D93">
              <w:rPr>
                <w:rFonts w:ascii="Cambria" w:hAnsi="Cambria"/>
                <w:lang w:val="en-US"/>
              </w:rPr>
              <w:t>AUDIT 20+ (N =3,314</w:t>
            </w:r>
            <w:r w:rsidR="00E66921" w:rsidRPr="00552D93">
              <w:rPr>
                <w:rFonts w:ascii="Cambria" w:hAnsi="Cambria"/>
                <w:lang w:val="en-US"/>
              </w:rPr>
              <w:t>)</w:t>
            </w:r>
          </w:p>
        </w:tc>
        <w:tc>
          <w:tcPr>
            <w:tcW w:w="1344" w:type="pct"/>
          </w:tcPr>
          <w:p w14:paraId="4C3C68DC" w14:textId="43587274" w:rsidR="00E66921" w:rsidRPr="00552D93" w:rsidRDefault="00AA072F" w:rsidP="004825D2">
            <w:pPr>
              <w:spacing w:line="240" w:lineRule="auto"/>
              <w:contextualSpacing/>
              <w:rPr>
                <w:rFonts w:ascii="Cambria" w:hAnsi="Cambria"/>
                <w:lang w:val="en-US"/>
              </w:rPr>
            </w:pPr>
            <w:r w:rsidRPr="00552D93">
              <w:rPr>
                <w:rFonts w:ascii="Cambria" w:hAnsi="Cambria"/>
                <w:lang w:val="en-US"/>
              </w:rPr>
              <w:t>49.76 (25.67</w:t>
            </w:r>
            <w:r w:rsidR="00E66921" w:rsidRPr="00552D93">
              <w:rPr>
                <w:rFonts w:ascii="Cambria" w:hAnsi="Cambria"/>
                <w:lang w:val="en-US"/>
              </w:rPr>
              <w:t xml:space="preserve">) </w:t>
            </w:r>
          </w:p>
        </w:tc>
        <w:tc>
          <w:tcPr>
            <w:tcW w:w="1344" w:type="pct"/>
          </w:tcPr>
          <w:p w14:paraId="448F957D" w14:textId="098899AD" w:rsidR="00E66921" w:rsidRPr="00552D93" w:rsidRDefault="00AA072F" w:rsidP="004825D2">
            <w:pPr>
              <w:spacing w:line="240" w:lineRule="auto"/>
              <w:contextualSpacing/>
              <w:rPr>
                <w:rFonts w:ascii="Cambria" w:hAnsi="Cambria"/>
                <w:lang w:val="en-US"/>
              </w:rPr>
            </w:pPr>
            <w:r w:rsidRPr="00552D93">
              <w:rPr>
                <w:rFonts w:ascii="Cambria" w:hAnsi="Cambria"/>
                <w:lang w:val="en-US"/>
              </w:rPr>
              <w:t>114.80 (50.46</w:t>
            </w:r>
            <w:r w:rsidR="00E66921" w:rsidRPr="00552D93">
              <w:rPr>
                <w:rFonts w:ascii="Cambria" w:hAnsi="Cambria"/>
                <w:lang w:val="en-US"/>
              </w:rPr>
              <w:t>)</w:t>
            </w:r>
          </w:p>
        </w:tc>
        <w:tc>
          <w:tcPr>
            <w:tcW w:w="1344" w:type="pct"/>
          </w:tcPr>
          <w:p w14:paraId="5366C6E2" w14:textId="0F0D4BE4" w:rsidR="00E66921" w:rsidRPr="00552D93" w:rsidRDefault="00AA072F" w:rsidP="004825D2">
            <w:pPr>
              <w:spacing w:line="240" w:lineRule="auto"/>
              <w:contextualSpacing/>
              <w:rPr>
                <w:rFonts w:ascii="Cambria" w:hAnsi="Cambria"/>
                <w:lang w:val="en-US"/>
              </w:rPr>
            </w:pPr>
            <w:r w:rsidRPr="00552D93">
              <w:rPr>
                <w:rFonts w:ascii="Cambria" w:hAnsi="Cambria"/>
                <w:lang w:val="en-US"/>
              </w:rPr>
              <w:t>177.48 (</w:t>
            </w:r>
            <w:r w:rsidR="00C02118" w:rsidRPr="00552D93">
              <w:rPr>
                <w:rFonts w:ascii="Cambria" w:hAnsi="Cambria"/>
                <w:lang w:val="en-US"/>
              </w:rPr>
              <w:t>81.87</w:t>
            </w:r>
            <w:r w:rsidR="00E66921" w:rsidRPr="00552D93">
              <w:rPr>
                <w:rFonts w:ascii="Cambria" w:hAnsi="Cambria"/>
                <w:lang w:val="en-US"/>
              </w:rPr>
              <w:t>)</w:t>
            </w:r>
          </w:p>
        </w:tc>
      </w:tr>
      <w:tr w:rsidR="00552D93" w:rsidRPr="00552D93" w14:paraId="36F75AED" w14:textId="77777777" w:rsidTr="00D176BB">
        <w:trPr>
          <w:trHeight w:val="147"/>
        </w:trPr>
        <w:tc>
          <w:tcPr>
            <w:tcW w:w="968" w:type="pct"/>
          </w:tcPr>
          <w:p w14:paraId="00D6B8DB" w14:textId="77777777" w:rsidR="00E66921" w:rsidRPr="00552D93" w:rsidRDefault="00E66921" w:rsidP="004825D2">
            <w:pPr>
              <w:spacing w:line="240" w:lineRule="auto"/>
              <w:contextualSpacing/>
              <w:rPr>
                <w:rFonts w:ascii="Cambria" w:hAnsi="Cambria"/>
                <w:lang w:val="en-US"/>
              </w:rPr>
            </w:pPr>
            <w:r w:rsidRPr="00552D93">
              <w:rPr>
                <w:rFonts w:ascii="Cambria" w:hAnsi="Cambria"/>
                <w:lang w:val="en-US"/>
              </w:rPr>
              <w:t xml:space="preserve">Test statistic, </w:t>
            </w:r>
            <w:r w:rsidRPr="00552D93">
              <w:rPr>
                <w:rFonts w:ascii="Cambria" w:hAnsi="Cambria"/>
                <w:i/>
                <w:lang w:val="en-US"/>
              </w:rPr>
              <w:t xml:space="preserve">p, </w:t>
            </w:r>
            <w:r w:rsidRPr="00552D93">
              <w:rPr>
                <w:rFonts w:ascii="Cambria" w:hAnsi="Cambria"/>
                <w:lang w:val="en-US"/>
              </w:rPr>
              <w:t xml:space="preserve">effect size </w:t>
            </w:r>
          </w:p>
        </w:tc>
        <w:tc>
          <w:tcPr>
            <w:tcW w:w="1344" w:type="pct"/>
          </w:tcPr>
          <w:p w14:paraId="3BD9AC5A" w14:textId="77777777" w:rsidR="00684942" w:rsidRPr="00552D93" w:rsidRDefault="00684942" w:rsidP="004825D2">
            <w:pPr>
              <w:spacing w:line="240" w:lineRule="auto"/>
              <w:contextualSpacing/>
              <w:rPr>
                <w:rFonts w:ascii="Cambria" w:hAnsi="Cambria"/>
                <w:lang w:val="en-US"/>
              </w:rPr>
            </w:pPr>
            <w:r w:rsidRPr="00552D93">
              <w:rPr>
                <w:rFonts w:ascii="Cambria" w:hAnsi="Cambria"/>
                <w:lang w:val="en-US"/>
              </w:rPr>
              <w:t>F= 1900.61</w:t>
            </w:r>
            <w:r w:rsidR="00E66921" w:rsidRPr="00552D93">
              <w:rPr>
                <w:rFonts w:ascii="Cambria" w:hAnsi="Cambria"/>
                <w:lang w:val="en-US"/>
              </w:rPr>
              <w:t xml:space="preserve"> p&lt;.001 </w:t>
            </w:r>
          </w:p>
          <w:p w14:paraId="31FD9CDE" w14:textId="5C5F8236" w:rsidR="00E66921" w:rsidRPr="00552D93" w:rsidRDefault="00684942" w:rsidP="004825D2">
            <w:pPr>
              <w:spacing w:line="240" w:lineRule="auto"/>
              <w:contextualSpacing/>
              <w:rPr>
                <w:rFonts w:ascii="Cambria" w:hAnsi="Cambria"/>
                <w:lang w:val="en-US"/>
              </w:rPr>
            </w:pPr>
            <w:r w:rsidRPr="00552D93">
              <w:rPr>
                <w:rFonts w:ascii="Cambria" w:hAnsi="Cambria"/>
                <w:lang w:val="en-US"/>
              </w:rPr>
              <w:t xml:space="preserve">eta squared = .085 </w:t>
            </w:r>
            <w:r w:rsidRPr="00552D93">
              <w:rPr>
                <w:rFonts w:ascii="Cambria" w:hAnsi="Cambria"/>
                <w:sz w:val="20"/>
                <w:szCs w:val="20"/>
                <w:lang w:val="en-US"/>
              </w:rPr>
              <w:t>¥</w:t>
            </w:r>
          </w:p>
        </w:tc>
        <w:tc>
          <w:tcPr>
            <w:tcW w:w="1344" w:type="pct"/>
          </w:tcPr>
          <w:p w14:paraId="631B3AC6" w14:textId="69CF9D5E" w:rsidR="00684942" w:rsidRPr="00552D93" w:rsidRDefault="00684942" w:rsidP="00684942">
            <w:pPr>
              <w:spacing w:line="240" w:lineRule="auto"/>
              <w:contextualSpacing/>
              <w:rPr>
                <w:rFonts w:ascii="Cambria" w:hAnsi="Cambria"/>
                <w:lang w:val="en-US"/>
              </w:rPr>
            </w:pPr>
            <w:r w:rsidRPr="00552D93">
              <w:rPr>
                <w:rFonts w:ascii="Cambria" w:hAnsi="Cambria"/>
                <w:lang w:val="en-US"/>
              </w:rPr>
              <w:t xml:space="preserve">F= 3491.72 p&lt;.001 </w:t>
            </w:r>
          </w:p>
          <w:p w14:paraId="31E54300" w14:textId="7BEE67C8" w:rsidR="00E66921" w:rsidRPr="00552D93" w:rsidRDefault="00684942" w:rsidP="004825D2">
            <w:pPr>
              <w:spacing w:line="240" w:lineRule="auto"/>
              <w:contextualSpacing/>
              <w:rPr>
                <w:rFonts w:ascii="Cambria" w:hAnsi="Cambria"/>
                <w:lang w:val="en-US"/>
              </w:rPr>
            </w:pPr>
            <w:r w:rsidRPr="00552D93">
              <w:rPr>
                <w:rFonts w:ascii="Cambria" w:hAnsi="Cambria"/>
                <w:lang w:val="en-US"/>
              </w:rPr>
              <w:t xml:space="preserve">eta squared = .146 </w:t>
            </w:r>
            <w:r w:rsidR="00E66921" w:rsidRPr="00552D93">
              <w:rPr>
                <w:rFonts w:ascii="Cambria" w:hAnsi="Cambria"/>
                <w:sz w:val="20"/>
                <w:szCs w:val="20"/>
                <w:lang w:val="en-US"/>
              </w:rPr>
              <w:t>¥</w:t>
            </w:r>
          </w:p>
        </w:tc>
        <w:tc>
          <w:tcPr>
            <w:tcW w:w="1344" w:type="pct"/>
          </w:tcPr>
          <w:p w14:paraId="32975FFC" w14:textId="2DE8A738" w:rsidR="00684942" w:rsidRPr="00552D93" w:rsidRDefault="00684942" w:rsidP="00684942">
            <w:pPr>
              <w:spacing w:line="240" w:lineRule="auto"/>
              <w:contextualSpacing/>
              <w:rPr>
                <w:rFonts w:ascii="Cambria" w:hAnsi="Cambria"/>
                <w:lang w:val="en-US"/>
              </w:rPr>
            </w:pPr>
            <w:r w:rsidRPr="00552D93">
              <w:rPr>
                <w:rFonts w:ascii="Cambria" w:hAnsi="Cambria"/>
                <w:lang w:val="en-US"/>
              </w:rPr>
              <w:t xml:space="preserve">F= 3153.76 p&lt;.001 </w:t>
            </w:r>
          </w:p>
          <w:p w14:paraId="40D498D1" w14:textId="7B932D5D" w:rsidR="00E66921" w:rsidRPr="00552D93" w:rsidRDefault="00684942" w:rsidP="00684942">
            <w:pPr>
              <w:spacing w:line="240" w:lineRule="auto"/>
              <w:contextualSpacing/>
              <w:rPr>
                <w:rFonts w:ascii="Cambria" w:hAnsi="Cambria"/>
                <w:lang w:val="en-US"/>
              </w:rPr>
            </w:pPr>
            <w:r w:rsidRPr="00552D93">
              <w:rPr>
                <w:rFonts w:ascii="Cambria" w:hAnsi="Cambria"/>
                <w:lang w:val="en-US"/>
              </w:rPr>
              <w:t xml:space="preserve">eta squared = .134 </w:t>
            </w:r>
            <w:r w:rsidRPr="00552D93">
              <w:rPr>
                <w:rFonts w:ascii="Cambria" w:hAnsi="Cambria"/>
                <w:sz w:val="20"/>
                <w:szCs w:val="20"/>
                <w:lang w:val="en-US"/>
              </w:rPr>
              <w:t>¥</w:t>
            </w:r>
          </w:p>
        </w:tc>
      </w:tr>
      <w:tr w:rsidR="00D048F9" w:rsidRPr="00552D93" w14:paraId="21BC6A80" w14:textId="77777777" w:rsidTr="00D176BB">
        <w:tc>
          <w:tcPr>
            <w:tcW w:w="968" w:type="pct"/>
          </w:tcPr>
          <w:p w14:paraId="4A67F723" w14:textId="016C4F79" w:rsidR="00E66921" w:rsidRPr="00552D93" w:rsidRDefault="00791D98" w:rsidP="004825D2">
            <w:pPr>
              <w:spacing w:line="240" w:lineRule="auto"/>
              <w:contextualSpacing/>
              <w:rPr>
                <w:rFonts w:ascii="Cambria" w:hAnsi="Cambria"/>
                <w:b/>
                <w:highlight w:val="yellow"/>
                <w:lang w:val="en-US"/>
              </w:rPr>
            </w:pPr>
            <w:r w:rsidRPr="00552D93">
              <w:rPr>
                <w:rFonts w:ascii="Cambria" w:hAnsi="Cambria"/>
                <w:b/>
                <w:lang w:val="en-US"/>
              </w:rPr>
              <w:t>Total N = 61,043</w:t>
            </w:r>
          </w:p>
        </w:tc>
        <w:tc>
          <w:tcPr>
            <w:tcW w:w="1344" w:type="pct"/>
          </w:tcPr>
          <w:p w14:paraId="1180C6AB" w14:textId="77777777" w:rsidR="00E66921" w:rsidRPr="00552D93" w:rsidRDefault="00E66921" w:rsidP="004825D2">
            <w:pPr>
              <w:spacing w:line="240" w:lineRule="auto"/>
              <w:contextualSpacing/>
              <w:rPr>
                <w:rFonts w:ascii="Cambria" w:hAnsi="Cambria"/>
                <w:highlight w:val="yellow"/>
                <w:lang w:val="en-US"/>
              </w:rPr>
            </w:pPr>
          </w:p>
        </w:tc>
        <w:tc>
          <w:tcPr>
            <w:tcW w:w="1344" w:type="pct"/>
          </w:tcPr>
          <w:p w14:paraId="14525681" w14:textId="77777777" w:rsidR="00E66921" w:rsidRPr="00552D93" w:rsidRDefault="00E66921" w:rsidP="004825D2">
            <w:pPr>
              <w:spacing w:line="240" w:lineRule="auto"/>
              <w:contextualSpacing/>
              <w:rPr>
                <w:rFonts w:ascii="Cambria" w:hAnsi="Cambria"/>
                <w:highlight w:val="yellow"/>
                <w:lang w:val="en-US"/>
              </w:rPr>
            </w:pPr>
          </w:p>
        </w:tc>
        <w:tc>
          <w:tcPr>
            <w:tcW w:w="1344" w:type="pct"/>
          </w:tcPr>
          <w:p w14:paraId="35CD582C" w14:textId="77777777" w:rsidR="00E66921" w:rsidRPr="00552D93" w:rsidRDefault="00E66921" w:rsidP="004825D2">
            <w:pPr>
              <w:spacing w:line="240" w:lineRule="auto"/>
              <w:contextualSpacing/>
              <w:rPr>
                <w:rFonts w:ascii="Cambria" w:hAnsi="Cambria"/>
                <w:highlight w:val="yellow"/>
                <w:lang w:val="en-US"/>
              </w:rPr>
            </w:pPr>
          </w:p>
        </w:tc>
      </w:tr>
    </w:tbl>
    <w:p w14:paraId="35F3795D" w14:textId="77777777" w:rsidR="00E66921" w:rsidRPr="00552D93" w:rsidRDefault="00E66921" w:rsidP="00845B8C">
      <w:pPr>
        <w:rPr>
          <w:rFonts w:ascii="Cambria" w:hAnsi="Cambria"/>
          <w:sz w:val="20"/>
          <w:szCs w:val="20"/>
          <w:lang w:val="en-US"/>
        </w:rPr>
      </w:pPr>
    </w:p>
    <w:p w14:paraId="40620822" w14:textId="6C6E4954" w:rsidR="00845B8C" w:rsidRPr="00552D93" w:rsidRDefault="00845B8C" w:rsidP="00845B8C">
      <w:pPr>
        <w:rPr>
          <w:rFonts w:ascii="Cambria" w:hAnsi="Cambria"/>
          <w:sz w:val="20"/>
          <w:szCs w:val="20"/>
          <w:lang w:val="en-US"/>
        </w:rPr>
      </w:pPr>
      <w:r w:rsidRPr="00552D93">
        <w:rPr>
          <w:rFonts w:ascii="Cambria" w:hAnsi="Cambria"/>
          <w:sz w:val="20"/>
          <w:szCs w:val="20"/>
          <w:lang w:val="en-US"/>
        </w:rPr>
        <w:t>Notes: ¥ = post hoc tests showed that all four AUDIT groups were significantly different from each other on the number of drinks reported to reach each stage</w:t>
      </w:r>
      <w:r w:rsidR="00926A5F" w:rsidRPr="00552D93">
        <w:rPr>
          <w:rFonts w:ascii="Cambria" w:hAnsi="Cambria"/>
          <w:sz w:val="20"/>
          <w:szCs w:val="20"/>
          <w:lang w:val="en-US"/>
        </w:rPr>
        <w:t xml:space="preserve"> of intoxication</w:t>
      </w:r>
    </w:p>
    <w:p w14:paraId="5DFFFBB9" w14:textId="3E8E7E81" w:rsidR="00926A5F" w:rsidRPr="00552D93" w:rsidRDefault="00926A5F" w:rsidP="00845B8C">
      <w:pPr>
        <w:rPr>
          <w:rFonts w:ascii="Cambria" w:hAnsi="Cambria"/>
          <w:sz w:val="20"/>
          <w:szCs w:val="20"/>
          <w:lang w:val="en-US"/>
        </w:rPr>
      </w:pPr>
      <w:r w:rsidRPr="00552D93">
        <w:rPr>
          <w:rFonts w:ascii="Cambria" w:hAnsi="Cambria"/>
          <w:sz w:val="20"/>
          <w:szCs w:val="20"/>
          <w:lang w:val="en-US"/>
        </w:rPr>
        <w:t>Effect sizes: d is reported for t-tests - a value of .2 represents a small effect size, .5 a medium effect and .8 a large effect; eta squared is reported for ANOVAs – a value or .01 represents a small effect size, .06 a medium effect and &gt;.14 a large effect size.</w:t>
      </w:r>
    </w:p>
    <w:p w14:paraId="7CCD7059" w14:textId="77777777" w:rsidR="00845B8C" w:rsidRPr="00552D93" w:rsidRDefault="00845B8C">
      <w:pPr>
        <w:rPr>
          <w:rFonts w:ascii="Cambria" w:hAnsi="Cambria"/>
          <w:b/>
          <w:lang w:val="en-US"/>
        </w:rPr>
      </w:pPr>
      <w:r w:rsidRPr="00552D93">
        <w:rPr>
          <w:rFonts w:ascii="Cambria" w:hAnsi="Cambria"/>
          <w:b/>
          <w:lang w:val="en-US"/>
        </w:rPr>
        <w:br w:type="page"/>
      </w:r>
    </w:p>
    <w:p w14:paraId="26A6F195" w14:textId="0BDEC8E3" w:rsidR="009A347D" w:rsidRPr="00552D93" w:rsidRDefault="009A347D" w:rsidP="009A347D">
      <w:pPr>
        <w:spacing w:after="0"/>
        <w:rPr>
          <w:rFonts w:ascii="Cambria" w:hAnsi="Cambria"/>
          <w:b/>
          <w:lang w:val="en-US"/>
        </w:rPr>
      </w:pPr>
      <w:r w:rsidRPr="00552D93">
        <w:rPr>
          <w:rFonts w:ascii="Cambria" w:hAnsi="Cambria"/>
          <w:b/>
          <w:lang w:val="en-US"/>
        </w:rPr>
        <w:lastRenderedPageBreak/>
        <w:t xml:space="preserve">Table </w:t>
      </w:r>
      <w:r w:rsidR="008F1247" w:rsidRPr="00552D93">
        <w:rPr>
          <w:rFonts w:ascii="Cambria" w:hAnsi="Cambria"/>
          <w:b/>
          <w:lang w:val="en-US"/>
        </w:rPr>
        <w:t>4</w:t>
      </w:r>
      <w:r w:rsidRPr="00552D93">
        <w:rPr>
          <w:rFonts w:ascii="Cambria" w:hAnsi="Cambria"/>
          <w:b/>
          <w:lang w:val="en-US"/>
        </w:rPr>
        <w:t>:</w:t>
      </w:r>
      <w:r w:rsidRPr="00552D93">
        <w:rPr>
          <w:rFonts w:ascii="Cambria" w:hAnsi="Cambria"/>
          <w:lang w:val="en-US"/>
        </w:rPr>
        <w:t xml:space="preserve"> </w:t>
      </w:r>
      <w:r w:rsidR="00A15E77" w:rsidRPr="00552D93">
        <w:rPr>
          <w:rFonts w:ascii="Cambria" w:hAnsi="Cambria"/>
          <w:i/>
          <w:lang w:val="en-US"/>
        </w:rPr>
        <w:t xml:space="preserve">Chi square tests to compare </w:t>
      </w:r>
      <w:r w:rsidRPr="00552D93">
        <w:rPr>
          <w:rFonts w:ascii="Cambria" w:hAnsi="Cambria"/>
          <w:i/>
          <w:lang w:val="en-US"/>
        </w:rPr>
        <w:t xml:space="preserve">frequency of reaching each stage of intoxication </w:t>
      </w:r>
      <w:r w:rsidR="00A15E77" w:rsidRPr="00552D93">
        <w:rPr>
          <w:rFonts w:ascii="Cambria" w:hAnsi="Cambria"/>
          <w:i/>
          <w:lang w:val="en-US"/>
        </w:rPr>
        <w:t>weekly/monthly vs yearly or less frequently by socio</w:t>
      </w:r>
      <w:r w:rsidRPr="00552D93">
        <w:rPr>
          <w:rFonts w:ascii="Cambria" w:hAnsi="Cambria"/>
          <w:i/>
          <w:lang w:val="en-US"/>
        </w:rPr>
        <w:t xml:space="preserve">-demographic </w:t>
      </w:r>
      <w:r w:rsidR="00977ED4" w:rsidRPr="00552D93">
        <w:rPr>
          <w:rFonts w:ascii="Cambria" w:hAnsi="Cambria"/>
          <w:i/>
          <w:lang w:val="en-US"/>
        </w:rPr>
        <w:t>characteristics</w:t>
      </w:r>
      <w:r w:rsidR="00A15E77" w:rsidRPr="00552D93">
        <w:rPr>
          <w:rFonts w:ascii="Cambria" w:hAnsi="Cambria"/>
          <w:i/>
          <w:lang w:val="en-US"/>
        </w:rPr>
        <w:t xml:space="preserve"> – not accounting for country differences </w:t>
      </w:r>
    </w:p>
    <w:tbl>
      <w:tblPr>
        <w:tblW w:w="5000" w:type="pct"/>
        <w:tblBorders>
          <w:top w:val="single" w:sz="4" w:space="0" w:color="auto"/>
          <w:bottom w:val="single" w:sz="4" w:space="0" w:color="auto"/>
        </w:tblBorders>
        <w:tblLook w:val="04A0" w:firstRow="1" w:lastRow="0" w:firstColumn="1" w:lastColumn="0" w:noHBand="0" w:noVBand="1"/>
      </w:tblPr>
      <w:tblGrid>
        <w:gridCol w:w="2242"/>
        <w:gridCol w:w="854"/>
        <w:gridCol w:w="1181"/>
        <w:gridCol w:w="1265"/>
        <w:gridCol w:w="1262"/>
        <w:gridCol w:w="1270"/>
        <w:gridCol w:w="1270"/>
        <w:gridCol w:w="1094"/>
        <w:gridCol w:w="1256"/>
        <w:gridCol w:w="1209"/>
        <w:gridCol w:w="1055"/>
      </w:tblGrid>
      <w:tr w:rsidR="00552D93" w:rsidRPr="00552D93" w14:paraId="591B043E" w14:textId="77777777" w:rsidTr="008D1C71">
        <w:tc>
          <w:tcPr>
            <w:tcW w:w="1109" w:type="pct"/>
            <w:gridSpan w:val="2"/>
            <w:tcBorders>
              <w:bottom w:val="nil"/>
            </w:tcBorders>
          </w:tcPr>
          <w:p w14:paraId="6D8EB0ED"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3891" w:type="pct"/>
            <w:gridSpan w:val="9"/>
            <w:tcBorders>
              <w:bottom w:val="nil"/>
            </w:tcBorders>
          </w:tcPr>
          <w:p w14:paraId="16265F19" w14:textId="23582719" w:rsidR="009A347D" w:rsidRPr="00552D93" w:rsidRDefault="00333688" w:rsidP="00462BEB">
            <w:pPr>
              <w:spacing w:line="240" w:lineRule="auto"/>
              <w:contextualSpacing/>
              <w:rPr>
                <w:rFonts w:ascii="Cambria" w:hAnsi="Cambria"/>
                <w:sz w:val="18"/>
                <w:szCs w:val="18"/>
                <w:lang w:val="en-US"/>
              </w:rPr>
            </w:pPr>
            <w:r w:rsidRPr="00552D93">
              <w:rPr>
                <w:rFonts w:ascii="Cambria" w:hAnsi="Cambria"/>
                <w:sz w:val="18"/>
                <w:szCs w:val="18"/>
                <w:lang w:val="en-US"/>
              </w:rPr>
              <w:t xml:space="preserve">                                                                            Stage of intoxication N(%)</w:t>
            </w:r>
          </w:p>
        </w:tc>
      </w:tr>
      <w:tr w:rsidR="00552D93" w:rsidRPr="00552D93" w14:paraId="3A69F1F2" w14:textId="77777777" w:rsidTr="002108E4">
        <w:tc>
          <w:tcPr>
            <w:tcW w:w="1109" w:type="pct"/>
            <w:gridSpan w:val="2"/>
            <w:tcBorders>
              <w:top w:val="nil"/>
              <w:bottom w:val="nil"/>
            </w:tcBorders>
          </w:tcPr>
          <w:p w14:paraId="7C7EA745" w14:textId="77777777" w:rsidR="009A347D" w:rsidRPr="00552D93" w:rsidRDefault="009A347D" w:rsidP="00462BEB">
            <w:pPr>
              <w:spacing w:line="240" w:lineRule="auto"/>
              <w:contextualSpacing/>
              <w:rPr>
                <w:rFonts w:ascii="Cambria" w:hAnsi="Cambria"/>
                <w:sz w:val="18"/>
                <w:szCs w:val="18"/>
                <w:lang w:val="en-US"/>
              </w:rPr>
            </w:pPr>
          </w:p>
        </w:tc>
        <w:tc>
          <w:tcPr>
            <w:tcW w:w="1328" w:type="pct"/>
            <w:gridSpan w:val="3"/>
            <w:tcBorders>
              <w:top w:val="nil"/>
              <w:bottom w:val="nil"/>
            </w:tcBorders>
          </w:tcPr>
          <w:p w14:paraId="21E3FFB9" w14:textId="77777777" w:rsidR="009A347D" w:rsidRPr="00552D93" w:rsidRDefault="009A347D" w:rsidP="00462BEB">
            <w:pPr>
              <w:spacing w:line="240" w:lineRule="auto"/>
              <w:contextualSpacing/>
              <w:rPr>
                <w:rFonts w:ascii="Cambria" w:hAnsi="Cambria"/>
                <w:b/>
                <w:sz w:val="18"/>
                <w:szCs w:val="18"/>
                <w:lang w:val="en-US"/>
              </w:rPr>
            </w:pPr>
            <w:r w:rsidRPr="00552D93">
              <w:rPr>
                <w:rFonts w:ascii="Cambria" w:hAnsi="Cambria"/>
                <w:b/>
                <w:sz w:val="18"/>
                <w:szCs w:val="18"/>
                <w:lang w:val="en-US"/>
              </w:rPr>
              <w:t xml:space="preserve">Feel the effects </w:t>
            </w:r>
          </w:p>
        </w:tc>
        <w:tc>
          <w:tcPr>
            <w:tcW w:w="1302" w:type="pct"/>
            <w:gridSpan w:val="3"/>
            <w:tcBorders>
              <w:top w:val="nil"/>
              <w:bottom w:val="nil"/>
            </w:tcBorders>
          </w:tcPr>
          <w:p w14:paraId="42D62736" w14:textId="2E2CE759" w:rsidR="009A347D" w:rsidRPr="00552D93" w:rsidRDefault="00D91887" w:rsidP="00462BEB">
            <w:pPr>
              <w:spacing w:line="240" w:lineRule="auto"/>
              <w:contextualSpacing/>
              <w:rPr>
                <w:rFonts w:ascii="Cambria" w:hAnsi="Cambria"/>
                <w:b/>
                <w:sz w:val="18"/>
                <w:szCs w:val="18"/>
                <w:lang w:val="en-US"/>
              </w:rPr>
            </w:pPr>
            <w:r w:rsidRPr="00552D93">
              <w:rPr>
                <w:rFonts w:ascii="Cambria" w:hAnsi="Cambria"/>
                <w:b/>
                <w:sz w:val="18"/>
                <w:szCs w:val="18"/>
                <w:lang w:val="en-US"/>
              </w:rPr>
              <w:t>As drunk as you want to be</w:t>
            </w:r>
          </w:p>
        </w:tc>
        <w:tc>
          <w:tcPr>
            <w:tcW w:w="1261" w:type="pct"/>
            <w:gridSpan w:val="3"/>
            <w:tcBorders>
              <w:top w:val="nil"/>
              <w:bottom w:val="nil"/>
            </w:tcBorders>
          </w:tcPr>
          <w:p w14:paraId="2CAB15A4" w14:textId="77777777" w:rsidR="009A347D" w:rsidRPr="00552D93" w:rsidRDefault="009A347D" w:rsidP="00462BEB">
            <w:pPr>
              <w:spacing w:line="240" w:lineRule="auto"/>
              <w:contextualSpacing/>
              <w:rPr>
                <w:rFonts w:ascii="Cambria" w:hAnsi="Cambria"/>
                <w:b/>
                <w:sz w:val="18"/>
                <w:szCs w:val="18"/>
                <w:lang w:val="en-US"/>
              </w:rPr>
            </w:pPr>
            <w:r w:rsidRPr="00552D93">
              <w:rPr>
                <w:rFonts w:ascii="Cambria" w:hAnsi="Cambria"/>
                <w:b/>
                <w:sz w:val="18"/>
                <w:szCs w:val="18"/>
                <w:lang w:val="en-US"/>
              </w:rPr>
              <w:t xml:space="preserve">Tipping point </w:t>
            </w:r>
          </w:p>
        </w:tc>
      </w:tr>
      <w:tr w:rsidR="00552D93" w:rsidRPr="00552D93" w14:paraId="0ED517D0" w14:textId="77777777" w:rsidTr="002108E4">
        <w:tc>
          <w:tcPr>
            <w:tcW w:w="803" w:type="pct"/>
            <w:tcBorders>
              <w:top w:val="nil"/>
              <w:bottom w:val="single" w:sz="4" w:space="0" w:color="auto"/>
            </w:tcBorders>
          </w:tcPr>
          <w:p w14:paraId="0D73A1B1" w14:textId="77777777" w:rsidR="009A347D" w:rsidRPr="00552D93" w:rsidRDefault="009A347D" w:rsidP="00462BEB">
            <w:pPr>
              <w:spacing w:line="240" w:lineRule="auto"/>
              <w:contextualSpacing/>
              <w:rPr>
                <w:rFonts w:ascii="Cambria" w:hAnsi="Cambria"/>
                <w:sz w:val="18"/>
                <w:szCs w:val="18"/>
                <w:lang w:val="en-US"/>
              </w:rPr>
            </w:pPr>
          </w:p>
          <w:p w14:paraId="280EAF6F" w14:textId="77777777" w:rsidR="009A347D" w:rsidRPr="00552D93" w:rsidRDefault="009A347D" w:rsidP="00462BEB">
            <w:pPr>
              <w:spacing w:line="240" w:lineRule="auto"/>
              <w:contextualSpacing/>
              <w:rPr>
                <w:rFonts w:ascii="Cambria" w:hAnsi="Cambria"/>
                <w:sz w:val="18"/>
                <w:szCs w:val="18"/>
                <w:lang w:val="en-US"/>
              </w:rPr>
            </w:pPr>
            <w:r w:rsidRPr="00552D93">
              <w:rPr>
                <w:rFonts w:ascii="Cambria" w:hAnsi="Cambria"/>
                <w:sz w:val="18"/>
                <w:szCs w:val="18"/>
                <w:lang w:val="en-US"/>
              </w:rPr>
              <w:t xml:space="preserve">Demographic measure </w:t>
            </w:r>
          </w:p>
        </w:tc>
        <w:tc>
          <w:tcPr>
            <w:tcW w:w="306" w:type="pct"/>
            <w:tcBorders>
              <w:top w:val="nil"/>
              <w:bottom w:val="single" w:sz="4" w:space="0" w:color="auto"/>
            </w:tcBorders>
          </w:tcPr>
          <w:p w14:paraId="566D0EA3" w14:textId="77777777" w:rsidR="009A347D" w:rsidRPr="00552D93" w:rsidRDefault="009A347D" w:rsidP="00462BEB">
            <w:pPr>
              <w:spacing w:line="240" w:lineRule="auto"/>
              <w:contextualSpacing/>
              <w:rPr>
                <w:rFonts w:ascii="Cambria" w:hAnsi="Cambria"/>
                <w:sz w:val="18"/>
                <w:szCs w:val="18"/>
                <w:lang w:val="en-US"/>
              </w:rPr>
            </w:pPr>
          </w:p>
          <w:p w14:paraId="30D770D6" w14:textId="77777777" w:rsidR="009A347D" w:rsidRPr="00552D93" w:rsidRDefault="009A347D" w:rsidP="00462BEB">
            <w:pPr>
              <w:spacing w:line="240" w:lineRule="auto"/>
              <w:contextualSpacing/>
              <w:rPr>
                <w:rFonts w:ascii="Cambria" w:hAnsi="Cambria"/>
                <w:sz w:val="18"/>
                <w:szCs w:val="18"/>
                <w:lang w:val="en-US"/>
              </w:rPr>
            </w:pPr>
            <w:r w:rsidRPr="00552D93">
              <w:rPr>
                <w:rFonts w:ascii="Cambria" w:hAnsi="Cambria"/>
                <w:sz w:val="18"/>
                <w:szCs w:val="18"/>
                <w:lang w:val="en-US"/>
              </w:rPr>
              <w:t>N</w:t>
            </w:r>
          </w:p>
        </w:tc>
        <w:tc>
          <w:tcPr>
            <w:tcW w:w="423" w:type="pct"/>
            <w:tcBorders>
              <w:top w:val="nil"/>
              <w:bottom w:val="single" w:sz="4" w:space="0" w:color="auto"/>
            </w:tcBorders>
          </w:tcPr>
          <w:p w14:paraId="5410919D" w14:textId="77777777" w:rsidR="009A347D" w:rsidRPr="00552D93" w:rsidRDefault="009A347D" w:rsidP="00462BEB">
            <w:pPr>
              <w:spacing w:line="240" w:lineRule="auto"/>
              <w:contextualSpacing/>
              <w:rPr>
                <w:rFonts w:ascii="Cambria" w:hAnsi="Cambria"/>
                <w:sz w:val="18"/>
                <w:szCs w:val="18"/>
                <w:lang w:val="en-US"/>
              </w:rPr>
            </w:pPr>
            <w:r w:rsidRPr="00552D93">
              <w:rPr>
                <w:rFonts w:ascii="Cambria" w:hAnsi="Cambria"/>
                <w:sz w:val="18"/>
                <w:szCs w:val="18"/>
                <w:lang w:val="en-US"/>
              </w:rPr>
              <w:t xml:space="preserve">Yearly or less frequently  </w:t>
            </w:r>
          </w:p>
        </w:tc>
        <w:tc>
          <w:tcPr>
            <w:tcW w:w="453" w:type="pct"/>
            <w:tcBorders>
              <w:top w:val="nil"/>
              <w:bottom w:val="single" w:sz="4" w:space="0" w:color="auto"/>
            </w:tcBorders>
          </w:tcPr>
          <w:p w14:paraId="6E8E4513" w14:textId="77777777" w:rsidR="00A15E77" w:rsidRPr="00552D93" w:rsidRDefault="00A15E77" w:rsidP="00462BEB">
            <w:pPr>
              <w:spacing w:line="240" w:lineRule="auto"/>
              <w:contextualSpacing/>
              <w:rPr>
                <w:rFonts w:ascii="Cambria" w:hAnsi="Cambria"/>
                <w:sz w:val="18"/>
                <w:szCs w:val="18"/>
                <w:lang w:val="en-US"/>
              </w:rPr>
            </w:pPr>
            <w:r w:rsidRPr="00552D93">
              <w:rPr>
                <w:rFonts w:ascii="Cambria" w:hAnsi="Cambria"/>
                <w:sz w:val="18"/>
                <w:szCs w:val="18"/>
                <w:lang w:val="en-US"/>
              </w:rPr>
              <w:t>Weekly</w:t>
            </w:r>
          </w:p>
          <w:p w14:paraId="1AAF2601" w14:textId="62FCE2FC" w:rsidR="009A347D" w:rsidRPr="00552D93" w:rsidRDefault="00A15E77" w:rsidP="00462BEB">
            <w:pPr>
              <w:spacing w:line="240" w:lineRule="auto"/>
              <w:contextualSpacing/>
              <w:rPr>
                <w:rFonts w:ascii="Cambria" w:hAnsi="Cambria"/>
                <w:sz w:val="18"/>
                <w:szCs w:val="18"/>
                <w:lang w:val="en-US"/>
              </w:rPr>
            </w:pPr>
            <w:r w:rsidRPr="00552D93">
              <w:rPr>
                <w:rFonts w:ascii="Cambria" w:hAnsi="Cambria"/>
                <w:sz w:val="18"/>
                <w:szCs w:val="18"/>
                <w:lang w:val="en-US"/>
              </w:rPr>
              <w:t xml:space="preserve">/monthly </w:t>
            </w:r>
            <w:r w:rsidR="009A347D" w:rsidRPr="00552D93">
              <w:rPr>
                <w:rFonts w:ascii="Cambria" w:hAnsi="Cambria"/>
                <w:sz w:val="18"/>
                <w:szCs w:val="18"/>
                <w:lang w:val="en-US"/>
              </w:rPr>
              <w:t xml:space="preserve"> </w:t>
            </w:r>
          </w:p>
        </w:tc>
        <w:tc>
          <w:tcPr>
            <w:tcW w:w="452" w:type="pct"/>
            <w:tcBorders>
              <w:top w:val="nil"/>
              <w:bottom w:val="single" w:sz="4" w:space="0" w:color="auto"/>
            </w:tcBorders>
          </w:tcPr>
          <w:p w14:paraId="4C51B267" w14:textId="7E462139" w:rsidR="009A347D" w:rsidRPr="00552D93" w:rsidRDefault="009A347D" w:rsidP="00462BEB">
            <w:pPr>
              <w:spacing w:line="240" w:lineRule="auto"/>
              <w:contextualSpacing/>
              <w:rPr>
                <w:rFonts w:ascii="Cambria" w:hAnsi="Cambria"/>
                <w:sz w:val="18"/>
                <w:szCs w:val="18"/>
                <w:lang w:val="en-US"/>
              </w:rPr>
            </w:pPr>
            <w:r w:rsidRPr="00552D93">
              <w:rPr>
                <w:rFonts w:ascii="Cambria" w:hAnsi="Cambria"/>
                <w:i/>
                <w:sz w:val="18"/>
                <w:szCs w:val="18"/>
                <w:lang w:val="en-US"/>
              </w:rPr>
              <w:t>χ</w:t>
            </w:r>
            <w:r w:rsidRPr="00552D93">
              <w:rPr>
                <w:rFonts w:ascii="Cambria" w:hAnsi="Cambria"/>
                <w:i/>
                <w:sz w:val="18"/>
                <w:szCs w:val="18"/>
                <w:vertAlign w:val="superscript"/>
                <w:lang w:val="en-US"/>
              </w:rPr>
              <w:t xml:space="preserve">2 </w:t>
            </w:r>
            <w:r w:rsidRPr="00552D93">
              <w:rPr>
                <w:rFonts w:ascii="Cambria" w:hAnsi="Cambria"/>
                <w:sz w:val="18"/>
                <w:szCs w:val="18"/>
                <w:lang w:val="en-US"/>
              </w:rPr>
              <w:t xml:space="preserve"> </w:t>
            </w:r>
            <w:r w:rsidRPr="00552D93">
              <w:rPr>
                <w:rFonts w:ascii="Cambria" w:hAnsi="Cambria"/>
                <w:i/>
                <w:sz w:val="18"/>
                <w:szCs w:val="18"/>
                <w:lang w:val="en-US"/>
              </w:rPr>
              <w:t>p</w:t>
            </w:r>
            <w:r w:rsidR="008D1C71" w:rsidRPr="00552D93">
              <w:rPr>
                <w:rFonts w:ascii="Cambria" w:hAnsi="Cambria"/>
                <w:i/>
                <w:sz w:val="18"/>
                <w:szCs w:val="18"/>
                <w:lang w:val="en-US"/>
              </w:rPr>
              <w:t xml:space="preserve"> effect size </w:t>
            </w:r>
          </w:p>
        </w:tc>
        <w:tc>
          <w:tcPr>
            <w:tcW w:w="455" w:type="pct"/>
            <w:tcBorders>
              <w:top w:val="nil"/>
              <w:bottom w:val="single" w:sz="4" w:space="0" w:color="auto"/>
            </w:tcBorders>
          </w:tcPr>
          <w:p w14:paraId="7536028A" w14:textId="77777777" w:rsidR="009A347D" w:rsidRPr="00552D93" w:rsidRDefault="009A347D" w:rsidP="00462BEB">
            <w:pPr>
              <w:spacing w:line="240" w:lineRule="auto"/>
              <w:contextualSpacing/>
              <w:rPr>
                <w:rFonts w:ascii="Cambria" w:hAnsi="Cambria"/>
                <w:sz w:val="18"/>
                <w:szCs w:val="18"/>
                <w:lang w:val="en-US"/>
              </w:rPr>
            </w:pPr>
            <w:r w:rsidRPr="00552D93">
              <w:rPr>
                <w:rFonts w:ascii="Cambria" w:hAnsi="Cambria"/>
                <w:sz w:val="18"/>
                <w:szCs w:val="18"/>
                <w:lang w:val="en-US"/>
              </w:rPr>
              <w:t xml:space="preserve">Yearly or less frequently  </w:t>
            </w:r>
          </w:p>
        </w:tc>
        <w:tc>
          <w:tcPr>
            <w:tcW w:w="455" w:type="pct"/>
            <w:tcBorders>
              <w:top w:val="nil"/>
              <w:bottom w:val="single" w:sz="4" w:space="0" w:color="auto"/>
            </w:tcBorders>
          </w:tcPr>
          <w:p w14:paraId="1A9CCBC5" w14:textId="77777777" w:rsidR="00A15E77" w:rsidRPr="00552D93" w:rsidRDefault="00A15E77" w:rsidP="00462BEB">
            <w:pPr>
              <w:spacing w:line="240" w:lineRule="auto"/>
              <w:contextualSpacing/>
              <w:rPr>
                <w:rFonts w:ascii="Cambria" w:hAnsi="Cambria"/>
                <w:sz w:val="18"/>
                <w:szCs w:val="18"/>
                <w:lang w:val="en-US"/>
              </w:rPr>
            </w:pPr>
            <w:r w:rsidRPr="00552D93">
              <w:rPr>
                <w:rFonts w:ascii="Cambria" w:hAnsi="Cambria"/>
                <w:sz w:val="18"/>
                <w:szCs w:val="18"/>
                <w:lang w:val="en-US"/>
              </w:rPr>
              <w:t>Weekly</w:t>
            </w:r>
          </w:p>
          <w:p w14:paraId="340C6244" w14:textId="0C41FF77" w:rsidR="009A347D" w:rsidRPr="00552D93" w:rsidRDefault="00A15E77" w:rsidP="00462BEB">
            <w:pPr>
              <w:spacing w:line="240" w:lineRule="auto"/>
              <w:contextualSpacing/>
              <w:rPr>
                <w:rFonts w:ascii="Cambria" w:hAnsi="Cambria"/>
                <w:sz w:val="18"/>
                <w:szCs w:val="18"/>
                <w:lang w:val="en-US"/>
              </w:rPr>
            </w:pPr>
            <w:r w:rsidRPr="00552D93">
              <w:rPr>
                <w:rFonts w:ascii="Cambria" w:hAnsi="Cambria"/>
                <w:sz w:val="18"/>
                <w:szCs w:val="18"/>
                <w:lang w:val="en-US"/>
              </w:rPr>
              <w:t xml:space="preserve">/monthly  </w:t>
            </w:r>
          </w:p>
        </w:tc>
        <w:tc>
          <w:tcPr>
            <w:tcW w:w="392" w:type="pct"/>
            <w:tcBorders>
              <w:top w:val="nil"/>
              <w:bottom w:val="single" w:sz="4" w:space="0" w:color="auto"/>
            </w:tcBorders>
          </w:tcPr>
          <w:p w14:paraId="5A22A78A" w14:textId="67025F81" w:rsidR="009A347D" w:rsidRPr="00552D93" w:rsidRDefault="009A347D" w:rsidP="00462BEB">
            <w:pPr>
              <w:spacing w:line="240" w:lineRule="auto"/>
              <w:contextualSpacing/>
              <w:rPr>
                <w:rFonts w:ascii="Cambria" w:hAnsi="Cambria"/>
                <w:sz w:val="18"/>
                <w:szCs w:val="18"/>
                <w:lang w:val="en-US"/>
              </w:rPr>
            </w:pPr>
            <w:r w:rsidRPr="00552D93">
              <w:rPr>
                <w:rFonts w:ascii="Cambria" w:hAnsi="Cambria"/>
                <w:i/>
                <w:sz w:val="18"/>
                <w:szCs w:val="18"/>
                <w:lang w:val="en-US"/>
              </w:rPr>
              <w:t>χ</w:t>
            </w:r>
            <w:r w:rsidRPr="00552D93">
              <w:rPr>
                <w:rFonts w:ascii="Cambria" w:hAnsi="Cambria"/>
                <w:i/>
                <w:sz w:val="18"/>
                <w:szCs w:val="18"/>
                <w:vertAlign w:val="superscript"/>
                <w:lang w:val="en-US"/>
              </w:rPr>
              <w:t xml:space="preserve">2 </w:t>
            </w:r>
            <w:r w:rsidRPr="00552D93">
              <w:rPr>
                <w:rFonts w:ascii="Cambria" w:hAnsi="Cambria"/>
                <w:sz w:val="18"/>
                <w:szCs w:val="18"/>
                <w:lang w:val="en-US"/>
              </w:rPr>
              <w:t xml:space="preserve"> </w:t>
            </w:r>
            <w:r w:rsidRPr="00552D93">
              <w:rPr>
                <w:rFonts w:ascii="Cambria" w:hAnsi="Cambria"/>
                <w:i/>
                <w:sz w:val="18"/>
                <w:szCs w:val="18"/>
                <w:lang w:val="en-US"/>
              </w:rPr>
              <w:t>p</w:t>
            </w:r>
            <w:r w:rsidR="008D1C71" w:rsidRPr="00552D93">
              <w:rPr>
                <w:rFonts w:ascii="Cambria" w:hAnsi="Cambria"/>
                <w:i/>
                <w:sz w:val="18"/>
                <w:szCs w:val="18"/>
                <w:lang w:val="en-US"/>
              </w:rPr>
              <w:t xml:space="preserve"> effect size</w:t>
            </w:r>
          </w:p>
        </w:tc>
        <w:tc>
          <w:tcPr>
            <w:tcW w:w="450" w:type="pct"/>
            <w:tcBorders>
              <w:top w:val="nil"/>
              <w:bottom w:val="single" w:sz="4" w:space="0" w:color="auto"/>
            </w:tcBorders>
          </w:tcPr>
          <w:p w14:paraId="7E8234FE" w14:textId="77777777" w:rsidR="009A347D" w:rsidRPr="00552D93" w:rsidRDefault="009A347D" w:rsidP="00462BEB">
            <w:pPr>
              <w:spacing w:line="240" w:lineRule="auto"/>
              <w:contextualSpacing/>
              <w:rPr>
                <w:rFonts w:ascii="Cambria" w:hAnsi="Cambria"/>
                <w:sz w:val="18"/>
                <w:szCs w:val="18"/>
                <w:lang w:val="en-US"/>
              </w:rPr>
            </w:pPr>
            <w:r w:rsidRPr="00552D93">
              <w:rPr>
                <w:rFonts w:ascii="Cambria" w:hAnsi="Cambria"/>
                <w:sz w:val="18"/>
                <w:szCs w:val="18"/>
                <w:lang w:val="en-US"/>
              </w:rPr>
              <w:t xml:space="preserve">Yearly or less frequently  </w:t>
            </w:r>
          </w:p>
        </w:tc>
        <w:tc>
          <w:tcPr>
            <w:tcW w:w="433" w:type="pct"/>
            <w:tcBorders>
              <w:top w:val="nil"/>
              <w:bottom w:val="single" w:sz="4" w:space="0" w:color="auto"/>
            </w:tcBorders>
          </w:tcPr>
          <w:p w14:paraId="5AF222DD" w14:textId="77777777" w:rsidR="00A15E77" w:rsidRPr="00552D93" w:rsidRDefault="00A15E77" w:rsidP="00462BEB">
            <w:pPr>
              <w:spacing w:line="240" w:lineRule="auto"/>
              <w:contextualSpacing/>
              <w:rPr>
                <w:rFonts w:ascii="Cambria" w:hAnsi="Cambria"/>
                <w:sz w:val="18"/>
                <w:szCs w:val="18"/>
                <w:lang w:val="en-US"/>
              </w:rPr>
            </w:pPr>
            <w:r w:rsidRPr="00552D93">
              <w:rPr>
                <w:rFonts w:ascii="Cambria" w:hAnsi="Cambria"/>
                <w:sz w:val="18"/>
                <w:szCs w:val="18"/>
                <w:lang w:val="en-US"/>
              </w:rPr>
              <w:t>Weekly</w:t>
            </w:r>
          </w:p>
          <w:p w14:paraId="6437E8A3" w14:textId="16305FB0" w:rsidR="009A347D" w:rsidRPr="00552D93" w:rsidRDefault="00A15E77" w:rsidP="00462BEB">
            <w:pPr>
              <w:spacing w:line="240" w:lineRule="auto"/>
              <w:contextualSpacing/>
              <w:rPr>
                <w:rFonts w:ascii="Cambria" w:hAnsi="Cambria"/>
                <w:sz w:val="18"/>
                <w:szCs w:val="18"/>
                <w:lang w:val="en-US"/>
              </w:rPr>
            </w:pPr>
            <w:r w:rsidRPr="00552D93">
              <w:rPr>
                <w:rFonts w:ascii="Cambria" w:hAnsi="Cambria"/>
                <w:sz w:val="18"/>
                <w:szCs w:val="18"/>
                <w:lang w:val="en-US"/>
              </w:rPr>
              <w:t xml:space="preserve">/monthly  </w:t>
            </w:r>
          </w:p>
        </w:tc>
        <w:tc>
          <w:tcPr>
            <w:tcW w:w="378" w:type="pct"/>
            <w:tcBorders>
              <w:top w:val="nil"/>
              <w:bottom w:val="single" w:sz="4" w:space="0" w:color="auto"/>
            </w:tcBorders>
          </w:tcPr>
          <w:p w14:paraId="4FE49280" w14:textId="3EDFD5BC" w:rsidR="009A347D" w:rsidRPr="00552D93" w:rsidRDefault="009A347D" w:rsidP="00462BEB">
            <w:pPr>
              <w:spacing w:line="240" w:lineRule="auto"/>
              <w:contextualSpacing/>
              <w:rPr>
                <w:rFonts w:ascii="Cambria" w:hAnsi="Cambria"/>
                <w:i/>
                <w:sz w:val="18"/>
                <w:szCs w:val="18"/>
                <w:lang w:val="en-US"/>
              </w:rPr>
            </w:pPr>
            <w:r w:rsidRPr="00552D93">
              <w:rPr>
                <w:rFonts w:ascii="Cambria" w:hAnsi="Cambria"/>
                <w:i/>
                <w:sz w:val="18"/>
                <w:szCs w:val="18"/>
                <w:lang w:val="en-US"/>
              </w:rPr>
              <w:t>χ</w:t>
            </w:r>
            <w:r w:rsidRPr="00552D93">
              <w:rPr>
                <w:rFonts w:ascii="Cambria" w:hAnsi="Cambria"/>
                <w:i/>
                <w:sz w:val="18"/>
                <w:szCs w:val="18"/>
                <w:vertAlign w:val="superscript"/>
                <w:lang w:val="en-US"/>
              </w:rPr>
              <w:t xml:space="preserve">2 </w:t>
            </w:r>
            <w:r w:rsidRPr="00552D93">
              <w:rPr>
                <w:rFonts w:ascii="Cambria" w:hAnsi="Cambria"/>
                <w:sz w:val="18"/>
                <w:szCs w:val="18"/>
                <w:lang w:val="en-US"/>
              </w:rPr>
              <w:t xml:space="preserve"> </w:t>
            </w:r>
            <w:r w:rsidRPr="00552D93">
              <w:rPr>
                <w:rFonts w:ascii="Cambria" w:hAnsi="Cambria"/>
                <w:i/>
                <w:sz w:val="18"/>
                <w:szCs w:val="18"/>
                <w:lang w:val="en-US"/>
              </w:rPr>
              <w:t>p</w:t>
            </w:r>
            <w:r w:rsidR="008D1C71" w:rsidRPr="00552D93">
              <w:rPr>
                <w:rFonts w:ascii="Cambria" w:hAnsi="Cambria"/>
                <w:i/>
                <w:sz w:val="18"/>
                <w:szCs w:val="18"/>
                <w:lang w:val="en-US"/>
              </w:rPr>
              <w:t xml:space="preserve"> effect size</w:t>
            </w:r>
          </w:p>
        </w:tc>
      </w:tr>
      <w:tr w:rsidR="00552D93" w:rsidRPr="00552D93" w14:paraId="23DAB4B8" w14:textId="77777777" w:rsidTr="002108E4">
        <w:tc>
          <w:tcPr>
            <w:tcW w:w="803" w:type="pct"/>
            <w:tcBorders>
              <w:top w:val="single" w:sz="4" w:space="0" w:color="auto"/>
            </w:tcBorders>
          </w:tcPr>
          <w:p w14:paraId="1FFF3BD7" w14:textId="77777777" w:rsidR="009A347D" w:rsidRPr="00552D93" w:rsidRDefault="009A347D" w:rsidP="00462BEB">
            <w:pPr>
              <w:spacing w:line="240" w:lineRule="auto"/>
              <w:contextualSpacing/>
              <w:rPr>
                <w:rFonts w:ascii="Cambria" w:hAnsi="Cambria"/>
                <w:sz w:val="18"/>
                <w:szCs w:val="18"/>
                <w:lang w:val="en-US"/>
              </w:rPr>
            </w:pPr>
            <w:r w:rsidRPr="00552D93">
              <w:rPr>
                <w:rFonts w:ascii="Cambria" w:hAnsi="Cambria"/>
                <w:sz w:val="18"/>
                <w:szCs w:val="18"/>
                <w:lang w:val="en-US"/>
              </w:rPr>
              <w:t>AUDIT</w:t>
            </w:r>
          </w:p>
        </w:tc>
        <w:tc>
          <w:tcPr>
            <w:tcW w:w="306" w:type="pct"/>
            <w:tcBorders>
              <w:top w:val="single" w:sz="4" w:space="0" w:color="auto"/>
            </w:tcBorders>
          </w:tcPr>
          <w:p w14:paraId="1DA76034" w14:textId="77777777" w:rsidR="009A347D" w:rsidRPr="00552D93" w:rsidRDefault="009A347D" w:rsidP="00462BEB">
            <w:pPr>
              <w:spacing w:line="240" w:lineRule="auto"/>
              <w:contextualSpacing/>
              <w:rPr>
                <w:rFonts w:ascii="Cambria" w:hAnsi="Cambria"/>
                <w:b/>
                <w:sz w:val="18"/>
                <w:szCs w:val="18"/>
                <w:highlight w:val="yellow"/>
                <w:lang w:val="en-US"/>
              </w:rPr>
            </w:pPr>
          </w:p>
        </w:tc>
        <w:tc>
          <w:tcPr>
            <w:tcW w:w="423" w:type="pct"/>
            <w:tcBorders>
              <w:top w:val="single" w:sz="4" w:space="0" w:color="auto"/>
            </w:tcBorders>
          </w:tcPr>
          <w:p w14:paraId="39226E1A" w14:textId="77777777" w:rsidR="009A347D" w:rsidRPr="00552D93" w:rsidRDefault="009A347D" w:rsidP="00462BEB">
            <w:pPr>
              <w:spacing w:line="240" w:lineRule="auto"/>
              <w:contextualSpacing/>
              <w:rPr>
                <w:rFonts w:ascii="Cambria" w:hAnsi="Cambria"/>
                <w:sz w:val="18"/>
                <w:szCs w:val="18"/>
                <w:lang w:val="en-US"/>
              </w:rPr>
            </w:pPr>
          </w:p>
        </w:tc>
        <w:tc>
          <w:tcPr>
            <w:tcW w:w="453" w:type="pct"/>
            <w:tcBorders>
              <w:top w:val="single" w:sz="4" w:space="0" w:color="auto"/>
            </w:tcBorders>
          </w:tcPr>
          <w:p w14:paraId="78E6B2A9" w14:textId="77777777" w:rsidR="009A347D" w:rsidRPr="00552D93" w:rsidRDefault="009A347D" w:rsidP="00462BEB">
            <w:pPr>
              <w:spacing w:line="240" w:lineRule="auto"/>
              <w:contextualSpacing/>
              <w:rPr>
                <w:rFonts w:ascii="Cambria" w:hAnsi="Cambria"/>
                <w:sz w:val="18"/>
                <w:szCs w:val="18"/>
                <w:lang w:val="en-US"/>
              </w:rPr>
            </w:pPr>
          </w:p>
        </w:tc>
        <w:tc>
          <w:tcPr>
            <w:tcW w:w="452" w:type="pct"/>
            <w:tcBorders>
              <w:top w:val="single" w:sz="4" w:space="0" w:color="auto"/>
            </w:tcBorders>
          </w:tcPr>
          <w:p w14:paraId="4560E7B8" w14:textId="4354CC2B" w:rsidR="009A347D" w:rsidRPr="00552D93" w:rsidRDefault="00571C2B" w:rsidP="00462BEB">
            <w:pPr>
              <w:spacing w:line="240" w:lineRule="auto"/>
              <w:contextualSpacing/>
              <w:rPr>
                <w:rFonts w:ascii="Cambria" w:hAnsi="Cambria"/>
                <w:sz w:val="18"/>
                <w:szCs w:val="18"/>
                <w:lang w:val="en-US"/>
              </w:rPr>
            </w:pPr>
            <w:r w:rsidRPr="00552D93">
              <w:rPr>
                <w:rFonts w:ascii="Cambria" w:hAnsi="Cambria"/>
                <w:sz w:val="18"/>
                <w:szCs w:val="18"/>
                <w:lang w:val="en-US"/>
              </w:rPr>
              <w:t>7541.77</w:t>
            </w:r>
            <w:r w:rsidR="009A347D" w:rsidRPr="00552D93">
              <w:rPr>
                <w:rFonts w:ascii="Cambria" w:hAnsi="Cambria"/>
                <w:sz w:val="18"/>
                <w:szCs w:val="18"/>
                <w:lang w:val="en-US"/>
              </w:rPr>
              <w:t xml:space="preserve"> *</w:t>
            </w:r>
            <w:r w:rsidR="00401E2D" w:rsidRPr="00552D93">
              <w:rPr>
                <w:rFonts w:ascii="Cambria" w:hAnsi="Cambria"/>
                <w:sz w:val="18"/>
                <w:szCs w:val="18"/>
                <w:lang w:val="en-US"/>
              </w:rPr>
              <w:t xml:space="preserve"> V=</w:t>
            </w:r>
            <w:r w:rsidRPr="00552D93">
              <w:rPr>
                <w:rFonts w:ascii="Cambria" w:hAnsi="Cambria"/>
                <w:sz w:val="18"/>
                <w:szCs w:val="18"/>
                <w:lang w:val="en-US"/>
              </w:rPr>
              <w:t>.352</w:t>
            </w:r>
          </w:p>
        </w:tc>
        <w:tc>
          <w:tcPr>
            <w:tcW w:w="455" w:type="pct"/>
            <w:tcBorders>
              <w:top w:val="single" w:sz="4" w:space="0" w:color="auto"/>
            </w:tcBorders>
          </w:tcPr>
          <w:p w14:paraId="31A64E18"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5" w:type="pct"/>
            <w:tcBorders>
              <w:top w:val="single" w:sz="4" w:space="0" w:color="auto"/>
            </w:tcBorders>
          </w:tcPr>
          <w:p w14:paraId="540EB6CD"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392" w:type="pct"/>
            <w:tcBorders>
              <w:top w:val="single" w:sz="4" w:space="0" w:color="auto"/>
            </w:tcBorders>
          </w:tcPr>
          <w:p w14:paraId="5387A645" w14:textId="0515FDED" w:rsidR="009A347D" w:rsidRPr="00552D93" w:rsidRDefault="00571C2B" w:rsidP="00462BEB">
            <w:pPr>
              <w:spacing w:line="240" w:lineRule="auto"/>
              <w:contextualSpacing/>
              <w:rPr>
                <w:rFonts w:ascii="Cambria" w:hAnsi="Cambria"/>
                <w:sz w:val="18"/>
                <w:szCs w:val="18"/>
                <w:highlight w:val="yellow"/>
                <w:lang w:val="en-US"/>
              </w:rPr>
            </w:pPr>
            <w:r w:rsidRPr="00552D93">
              <w:rPr>
                <w:rFonts w:ascii="Cambria" w:hAnsi="Cambria"/>
                <w:sz w:val="18"/>
                <w:szCs w:val="18"/>
                <w:lang w:val="en-US"/>
              </w:rPr>
              <w:t>15010.71</w:t>
            </w:r>
            <w:r w:rsidR="009A347D" w:rsidRPr="00552D93">
              <w:rPr>
                <w:rFonts w:ascii="Cambria" w:hAnsi="Cambria"/>
                <w:sz w:val="18"/>
                <w:szCs w:val="18"/>
                <w:lang w:val="en-US"/>
              </w:rPr>
              <w:t>*</w:t>
            </w:r>
            <w:r w:rsidRPr="00552D93">
              <w:rPr>
                <w:rFonts w:ascii="Cambria" w:hAnsi="Cambria"/>
                <w:sz w:val="18"/>
                <w:szCs w:val="18"/>
                <w:lang w:val="en-US"/>
              </w:rPr>
              <w:t xml:space="preserve"> V =.497</w:t>
            </w:r>
          </w:p>
        </w:tc>
        <w:tc>
          <w:tcPr>
            <w:tcW w:w="450" w:type="pct"/>
            <w:tcBorders>
              <w:top w:val="single" w:sz="4" w:space="0" w:color="auto"/>
            </w:tcBorders>
          </w:tcPr>
          <w:p w14:paraId="16029011"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33" w:type="pct"/>
            <w:tcBorders>
              <w:top w:val="single" w:sz="4" w:space="0" w:color="auto"/>
            </w:tcBorders>
          </w:tcPr>
          <w:p w14:paraId="7B5D9E56"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378" w:type="pct"/>
            <w:tcBorders>
              <w:top w:val="single" w:sz="4" w:space="0" w:color="auto"/>
            </w:tcBorders>
          </w:tcPr>
          <w:p w14:paraId="519031FE" w14:textId="04CB54E9" w:rsidR="009A347D" w:rsidRPr="00552D93" w:rsidRDefault="00571C2B" w:rsidP="00462BEB">
            <w:pPr>
              <w:spacing w:line="240" w:lineRule="auto"/>
              <w:contextualSpacing/>
              <w:rPr>
                <w:rFonts w:ascii="Cambria" w:hAnsi="Cambria"/>
                <w:sz w:val="18"/>
                <w:szCs w:val="18"/>
                <w:highlight w:val="yellow"/>
                <w:lang w:val="en-US"/>
              </w:rPr>
            </w:pPr>
            <w:r w:rsidRPr="00552D93">
              <w:rPr>
                <w:rFonts w:ascii="Cambria" w:hAnsi="Cambria"/>
                <w:sz w:val="18"/>
                <w:szCs w:val="18"/>
                <w:lang w:val="en-US"/>
              </w:rPr>
              <w:t>15519.16</w:t>
            </w:r>
            <w:r w:rsidR="009A347D" w:rsidRPr="00552D93">
              <w:rPr>
                <w:rFonts w:ascii="Cambria" w:hAnsi="Cambria"/>
                <w:sz w:val="18"/>
                <w:szCs w:val="18"/>
                <w:lang w:val="en-US"/>
              </w:rPr>
              <w:t>*</w:t>
            </w:r>
            <w:r w:rsidRPr="00552D93">
              <w:rPr>
                <w:rFonts w:ascii="Cambria" w:hAnsi="Cambria"/>
                <w:sz w:val="18"/>
                <w:szCs w:val="18"/>
                <w:lang w:val="en-US"/>
              </w:rPr>
              <w:t xml:space="preserve"> V =.505</w:t>
            </w:r>
          </w:p>
        </w:tc>
      </w:tr>
      <w:tr w:rsidR="00552D93" w:rsidRPr="00552D93" w14:paraId="28BB48FC" w14:textId="77777777" w:rsidTr="002108E4">
        <w:tc>
          <w:tcPr>
            <w:tcW w:w="803" w:type="pct"/>
          </w:tcPr>
          <w:p w14:paraId="1853A959" w14:textId="77777777" w:rsidR="009A347D" w:rsidRPr="00552D93" w:rsidRDefault="009A347D" w:rsidP="00462BEB">
            <w:pPr>
              <w:spacing w:line="240" w:lineRule="auto"/>
              <w:contextualSpacing/>
              <w:rPr>
                <w:rFonts w:ascii="Cambria" w:hAnsi="Cambria"/>
                <w:sz w:val="18"/>
                <w:szCs w:val="18"/>
                <w:lang w:val="en-US"/>
              </w:rPr>
            </w:pPr>
            <w:r w:rsidRPr="00552D93">
              <w:rPr>
                <w:rFonts w:ascii="Cambria" w:hAnsi="Cambria"/>
                <w:sz w:val="18"/>
                <w:szCs w:val="18"/>
                <w:lang w:val="en-US"/>
              </w:rPr>
              <w:t>Lower risk (0-7)</w:t>
            </w:r>
          </w:p>
        </w:tc>
        <w:tc>
          <w:tcPr>
            <w:tcW w:w="306" w:type="pct"/>
          </w:tcPr>
          <w:p w14:paraId="5C947F24" w14:textId="121628FB" w:rsidR="009A347D" w:rsidRPr="00552D93" w:rsidRDefault="007F2DA5" w:rsidP="00462BEB">
            <w:pPr>
              <w:spacing w:line="240" w:lineRule="auto"/>
              <w:contextualSpacing/>
              <w:rPr>
                <w:rFonts w:ascii="Cambria" w:hAnsi="Cambria"/>
                <w:b/>
                <w:sz w:val="18"/>
                <w:szCs w:val="18"/>
                <w:lang w:val="en-US"/>
              </w:rPr>
            </w:pPr>
            <w:r w:rsidRPr="00552D93">
              <w:rPr>
                <w:rFonts w:ascii="Cambria" w:hAnsi="Cambria"/>
                <w:b/>
                <w:sz w:val="18"/>
                <w:szCs w:val="18"/>
                <w:lang w:val="en-US"/>
              </w:rPr>
              <w:t>22,574</w:t>
            </w:r>
          </w:p>
        </w:tc>
        <w:tc>
          <w:tcPr>
            <w:tcW w:w="423" w:type="pct"/>
          </w:tcPr>
          <w:p w14:paraId="47DE70AE" w14:textId="41EA1E09" w:rsidR="009A347D" w:rsidRPr="00552D93" w:rsidRDefault="007F2DA5" w:rsidP="00462BEB">
            <w:pPr>
              <w:spacing w:line="240" w:lineRule="auto"/>
              <w:contextualSpacing/>
              <w:rPr>
                <w:rFonts w:ascii="Cambria" w:hAnsi="Cambria"/>
                <w:sz w:val="18"/>
                <w:szCs w:val="18"/>
                <w:lang w:val="en-US"/>
              </w:rPr>
            </w:pPr>
            <w:r w:rsidRPr="00552D93">
              <w:rPr>
                <w:rFonts w:ascii="Cambria" w:hAnsi="Cambria"/>
                <w:sz w:val="18"/>
                <w:szCs w:val="18"/>
                <w:lang w:val="en-US"/>
              </w:rPr>
              <w:t>7,769 (28.2</w:t>
            </w:r>
            <w:r w:rsidR="009A347D" w:rsidRPr="00552D93">
              <w:rPr>
                <w:rFonts w:ascii="Cambria" w:hAnsi="Cambria"/>
                <w:sz w:val="18"/>
                <w:szCs w:val="18"/>
                <w:lang w:val="en-US"/>
              </w:rPr>
              <w:t>)</w:t>
            </w:r>
          </w:p>
        </w:tc>
        <w:tc>
          <w:tcPr>
            <w:tcW w:w="453" w:type="pct"/>
          </w:tcPr>
          <w:p w14:paraId="3B958C91" w14:textId="18EB2161" w:rsidR="009A347D" w:rsidRPr="00552D93" w:rsidRDefault="007F2DA5" w:rsidP="00462BEB">
            <w:pPr>
              <w:spacing w:line="240" w:lineRule="auto"/>
              <w:contextualSpacing/>
              <w:rPr>
                <w:rFonts w:ascii="Cambria" w:hAnsi="Cambria"/>
                <w:sz w:val="18"/>
                <w:szCs w:val="18"/>
                <w:lang w:val="en-US"/>
              </w:rPr>
            </w:pPr>
            <w:r w:rsidRPr="00552D93">
              <w:rPr>
                <w:rFonts w:ascii="Cambria" w:hAnsi="Cambria"/>
                <w:sz w:val="18"/>
                <w:szCs w:val="18"/>
                <w:lang w:val="en-US"/>
              </w:rPr>
              <w:t>19,805</w:t>
            </w:r>
            <w:r w:rsidR="009A347D" w:rsidRPr="00552D93">
              <w:rPr>
                <w:rFonts w:ascii="Cambria" w:hAnsi="Cambria"/>
                <w:sz w:val="18"/>
                <w:szCs w:val="18"/>
                <w:lang w:val="en-US"/>
              </w:rPr>
              <w:t xml:space="preserve"> (</w:t>
            </w:r>
            <w:r w:rsidRPr="00552D93">
              <w:rPr>
                <w:rFonts w:ascii="Cambria" w:hAnsi="Cambria"/>
                <w:sz w:val="18"/>
                <w:szCs w:val="18"/>
                <w:lang w:val="en-US"/>
              </w:rPr>
              <w:t>71.8</w:t>
            </w:r>
            <w:r w:rsidR="009A347D" w:rsidRPr="00552D93">
              <w:rPr>
                <w:rFonts w:ascii="Cambria" w:hAnsi="Cambria"/>
                <w:sz w:val="18"/>
                <w:szCs w:val="18"/>
                <w:lang w:val="en-US"/>
              </w:rPr>
              <w:t>)</w:t>
            </w:r>
          </w:p>
        </w:tc>
        <w:tc>
          <w:tcPr>
            <w:tcW w:w="452" w:type="pct"/>
          </w:tcPr>
          <w:p w14:paraId="733E69D8" w14:textId="77777777" w:rsidR="009A347D" w:rsidRPr="00552D93" w:rsidRDefault="009A347D" w:rsidP="00462BEB">
            <w:pPr>
              <w:spacing w:line="240" w:lineRule="auto"/>
              <w:contextualSpacing/>
              <w:rPr>
                <w:rFonts w:ascii="Cambria" w:hAnsi="Cambria"/>
                <w:sz w:val="18"/>
                <w:szCs w:val="18"/>
                <w:lang w:val="en-US"/>
              </w:rPr>
            </w:pPr>
          </w:p>
        </w:tc>
        <w:tc>
          <w:tcPr>
            <w:tcW w:w="455" w:type="pct"/>
          </w:tcPr>
          <w:p w14:paraId="3C6F7523" w14:textId="6B288B7F" w:rsidR="009A347D" w:rsidRPr="00552D93" w:rsidRDefault="00081A7F" w:rsidP="00462BEB">
            <w:pPr>
              <w:spacing w:line="240" w:lineRule="auto"/>
              <w:contextualSpacing/>
              <w:rPr>
                <w:rFonts w:ascii="Cambria" w:hAnsi="Cambria"/>
                <w:sz w:val="18"/>
                <w:szCs w:val="18"/>
                <w:lang w:val="en-US"/>
              </w:rPr>
            </w:pPr>
            <w:r w:rsidRPr="00552D93">
              <w:rPr>
                <w:rFonts w:ascii="Cambria" w:hAnsi="Cambria"/>
                <w:sz w:val="18"/>
                <w:szCs w:val="18"/>
                <w:lang w:val="en-US"/>
              </w:rPr>
              <w:t>16,511 (59.9</w:t>
            </w:r>
            <w:r w:rsidR="009A347D" w:rsidRPr="00552D93">
              <w:rPr>
                <w:rFonts w:ascii="Cambria" w:hAnsi="Cambria"/>
                <w:sz w:val="18"/>
                <w:szCs w:val="18"/>
                <w:lang w:val="en-US"/>
              </w:rPr>
              <w:t>)</w:t>
            </w:r>
          </w:p>
        </w:tc>
        <w:tc>
          <w:tcPr>
            <w:tcW w:w="455" w:type="pct"/>
          </w:tcPr>
          <w:p w14:paraId="1AED8853" w14:textId="5C90ACDE" w:rsidR="009A347D" w:rsidRPr="00552D93" w:rsidRDefault="00081A7F" w:rsidP="00462BEB">
            <w:pPr>
              <w:spacing w:line="240" w:lineRule="auto"/>
              <w:contextualSpacing/>
              <w:rPr>
                <w:rFonts w:ascii="Cambria" w:hAnsi="Cambria"/>
                <w:sz w:val="18"/>
                <w:szCs w:val="18"/>
                <w:lang w:val="en-US"/>
              </w:rPr>
            </w:pPr>
            <w:r w:rsidRPr="00552D93">
              <w:rPr>
                <w:rFonts w:ascii="Cambria" w:hAnsi="Cambria"/>
                <w:sz w:val="18"/>
                <w:szCs w:val="18"/>
                <w:lang w:val="en-US"/>
              </w:rPr>
              <w:t>11,063 (40.1</w:t>
            </w:r>
            <w:r w:rsidR="009A347D" w:rsidRPr="00552D93">
              <w:rPr>
                <w:rFonts w:ascii="Cambria" w:hAnsi="Cambria"/>
                <w:sz w:val="18"/>
                <w:szCs w:val="18"/>
                <w:lang w:val="en-US"/>
              </w:rPr>
              <w:t>)</w:t>
            </w:r>
          </w:p>
        </w:tc>
        <w:tc>
          <w:tcPr>
            <w:tcW w:w="392" w:type="pct"/>
          </w:tcPr>
          <w:p w14:paraId="25938C01"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0" w:type="pct"/>
          </w:tcPr>
          <w:p w14:paraId="286ED084" w14:textId="362C42C2" w:rsidR="009A347D" w:rsidRPr="00552D93" w:rsidRDefault="002108E4" w:rsidP="00462BEB">
            <w:pPr>
              <w:spacing w:line="240" w:lineRule="auto"/>
              <w:contextualSpacing/>
              <w:rPr>
                <w:rFonts w:ascii="Cambria" w:hAnsi="Cambria"/>
                <w:sz w:val="18"/>
                <w:szCs w:val="18"/>
                <w:lang w:val="en-US"/>
              </w:rPr>
            </w:pPr>
            <w:r w:rsidRPr="00552D93">
              <w:rPr>
                <w:rFonts w:ascii="Cambria" w:hAnsi="Cambria"/>
                <w:sz w:val="18"/>
                <w:szCs w:val="18"/>
                <w:lang w:val="en-US"/>
              </w:rPr>
              <w:t>26,642 (96.6</w:t>
            </w:r>
            <w:r w:rsidR="009A347D" w:rsidRPr="00552D93">
              <w:rPr>
                <w:rFonts w:ascii="Cambria" w:hAnsi="Cambria"/>
                <w:sz w:val="18"/>
                <w:szCs w:val="18"/>
                <w:lang w:val="en-US"/>
              </w:rPr>
              <w:t>)</w:t>
            </w:r>
          </w:p>
        </w:tc>
        <w:tc>
          <w:tcPr>
            <w:tcW w:w="433" w:type="pct"/>
          </w:tcPr>
          <w:p w14:paraId="3E421CBD" w14:textId="435F272A" w:rsidR="009A347D" w:rsidRPr="00552D93" w:rsidRDefault="002108E4" w:rsidP="00462BEB">
            <w:pPr>
              <w:spacing w:line="240" w:lineRule="auto"/>
              <w:contextualSpacing/>
              <w:rPr>
                <w:rFonts w:ascii="Cambria" w:hAnsi="Cambria"/>
                <w:sz w:val="18"/>
                <w:szCs w:val="18"/>
                <w:lang w:val="en-US"/>
              </w:rPr>
            </w:pPr>
            <w:r w:rsidRPr="00552D93">
              <w:rPr>
                <w:rFonts w:ascii="Cambria" w:hAnsi="Cambria"/>
                <w:sz w:val="18"/>
                <w:szCs w:val="18"/>
                <w:lang w:val="en-US"/>
              </w:rPr>
              <w:t>932 (3.4</w:t>
            </w:r>
            <w:r w:rsidR="009A347D" w:rsidRPr="00552D93">
              <w:rPr>
                <w:rFonts w:ascii="Cambria" w:hAnsi="Cambria"/>
                <w:sz w:val="18"/>
                <w:szCs w:val="18"/>
                <w:lang w:val="en-US"/>
              </w:rPr>
              <w:t>)</w:t>
            </w:r>
          </w:p>
        </w:tc>
        <w:tc>
          <w:tcPr>
            <w:tcW w:w="378" w:type="pct"/>
          </w:tcPr>
          <w:p w14:paraId="09554EC3" w14:textId="77777777" w:rsidR="009A347D" w:rsidRPr="00552D93" w:rsidRDefault="009A347D" w:rsidP="00462BEB">
            <w:pPr>
              <w:spacing w:line="240" w:lineRule="auto"/>
              <w:contextualSpacing/>
              <w:rPr>
                <w:rFonts w:ascii="Cambria" w:hAnsi="Cambria"/>
                <w:sz w:val="18"/>
                <w:szCs w:val="18"/>
                <w:highlight w:val="yellow"/>
                <w:lang w:val="en-US"/>
              </w:rPr>
            </w:pPr>
          </w:p>
        </w:tc>
      </w:tr>
      <w:tr w:rsidR="00552D93" w:rsidRPr="00552D93" w14:paraId="584BC9D7" w14:textId="77777777" w:rsidTr="002108E4">
        <w:tc>
          <w:tcPr>
            <w:tcW w:w="803" w:type="pct"/>
          </w:tcPr>
          <w:p w14:paraId="33EBC397" w14:textId="77777777" w:rsidR="009A347D" w:rsidRPr="00552D93" w:rsidRDefault="009A347D" w:rsidP="00462BEB">
            <w:pPr>
              <w:spacing w:line="240" w:lineRule="auto"/>
              <w:contextualSpacing/>
              <w:rPr>
                <w:rFonts w:ascii="Cambria" w:hAnsi="Cambria"/>
                <w:sz w:val="18"/>
                <w:szCs w:val="18"/>
                <w:lang w:val="en-US"/>
              </w:rPr>
            </w:pPr>
            <w:r w:rsidRPr="00552D93">
              <w:rPr>
                <w:rFonts w:ascii="Cambria" w:hAnsi="Cambria"/>
                <w:sz w:val="18"/>
                <w:szCs w:val="18"/>
                <w:lang w:val="en-US"/>
              </w:rPr>
              <w:t>Increasing risk (8-15)</w:t>
            </w:r>
          </w:p>
        </w:tc>
        <w:tc>
          <w:tcPr>
            <w:tcW w:w="306" w:type="pct"/>
          </w:tcPr>
          <w:p w14:paraId="76BB3BBD" w14:textId="45CC5C45" w:rsidR="009A347D" w:rsidRPr="00552D93" w:rsidRDefault="007F2DA5" w:rsidP="00462BEB">
            <w:pPr>
              <w:spacing w:line="240" w:lineRule="auto"/>
              <w:contextualSpacing/>
              <w:rPr>
                <w:rFonts w:ascii="Cambria" w:hAnsi="Cambria"/>
                <w:b/>
                <w:sz w:val="18"/>
                <w:szCs w:val="18"/>
                <w:lang w:val="en-US"/>
              </w:rPr>
            </w:pPr>
            <w:r w:rsidRPr="00552D93">
              <w:rPr>
                <w:rFonts w:ascii="Cambria" w:hAnsi="Cambria"/>
                <w:b/>
                <w:sz w:val="18"/>
                <w:szCs w:val="18"/>
                <w:lang w:val="en-US"/>
              </w:rPr>
              <w:t>25,408</w:t>
            </w:r>
          </w:p>
        </w:tc>
        <w:tc>
          <w:tcPr>
            <w:tcW w:w="423" w:type="pct"/>
          </w:tcPr>
          <w:p w14:paraId="07EFB13B" w14:textId="74F04A51" w:rsidR="009A347D" w:rsidRPr="00552D93" w:rsidRDefault="00081A7F" w:rsidP="00462BEB">
            <w:pPr>
              <w:spacing w:line="240" w:lineRule="auto"/>
              <w:contextualSpacing/>
              <w:rPr>
                <w:rFonts w:ascii="Cambria" w:hAnsi="Cambria"/>
                <w:sz w:val="18"/>
                <w:szCs w:val="18"/>
                <w:lang w:val="en-US"/>
              </w:rPr>
            </w:pPr>
            <w:r w:rsidRPr="00552D93">
              <w:rPr>
                <w:rFonts w:ascii="Cambria" w:hAnsi="Cambria"/>
                <w:sz w:val="18"/>
                <w:szCs w:val="18"/>
                <w:lang w:val="en-US"/>
              </w:rPr>
              <w:t>993 (3.9</w:t>
            </w:r>
            <w:r w:rsidR="009A347D" w:rsidRPr="00552D93">
              <w:rPr>
                <w:rFonts w:ascii="Cambria" w:hAnsi="Cambria"/>
                <w:sz w:val="18"/>
                <w:szCs w:val="18"/>
                <w:lang w:val="en-US"/>
              </w:rPr>
              <w:t>)</w:t>
            </w:r>
          </w:p>
        </w:tc>
        <w:tc>
          <w:tcPr>
            <w:tcW w:w="453" w:type="pct"/>
          </w:tcPr>
          <w:p w14:paraId="116EE9BF" w14:textId="04B5F69F" w:rsidR="009A347D" w:rsidRPr="00552D93" w:rsidRDefault="00081A7F" w:rsidP="00462BEB">
            <w:pPr>
              <w:spacing w:line="240" w:lineRule="auto"/>
              <w:contextualSpacing/>
              <w:rPr>
                <w:rFonts w:ascii="Cambria" w:hAnsi="Cambria"/>
                <w:sz w:val="18"/>
                <w:szCs w:val="18"/>
                <w:lang w:val="en-US"/>
              </w:rPr>
            </w:pPr>
            <w:r w:rsidRPr="00552D93">
              <w:rPr>
                <w:rFonts w:ascii="Cambria" w:hAnsi="Cambria"/>
                <w:sz w:val="18"/>
                <w:szCs w:val="18"/>
                <w:lang w:val="en-US"/>
              </w:rPr>
              <w:t>24,415 (96.1</w:t>
            </w:r>
            <w:r w:rsidR="009A347D" w:rsidRPr="00552D93">
              <w:rPr>
                <w:rFonts w:ascii="Cambria" w:hAnsi="Cambria"/>
                <w:sz w:val="18"/>
                <w:szCs w:val="18"/>
                <w:lang w:val="en-US"/>
              </w:rPr>
              <w:t>)</w:t>
            </w:r>
          </w:p>
        </w:tc>
        <w:tc>
          <w:tcPr>
            <w:tcW w:w="452" w:type="pct"/>
          </w:tcPr>
          <w:p w14:paraId="6709F889"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5" w:type="pct"/>
          </w:tcPr>
          <w:p w14:paraId="049089CC" w14:textId="1871F8CD" w:rsidR="009A347D" w:rsidRPr="00552D93" w:rsidRDefault="00081A7F" w:rsidP="00462BEB">
            <w:pPr>
              <w:spacing w:line="240" w:lineRule="auto"/>
              <w:contextualSpacing/>
              <w:rPr>
                <w:rFonts w:ascii="Cambria" w:hAnsi="Cambria"/>
                <w:sz w:val="18"/>
                <w:szCs w:val="18"/>
                <w:lang w:val="en-US"/>
              </w:rPr>
            </w:pPr>
            <w:r w:rsidRPr="00552D93">
              <w:rPr>
                <w:rFonts w:ascii="Cambria" w:hAnsi="Cambria"/>
                <w:sz w:val="18"/>
                <w:szCs w:val="18"/>
                <w:lang w:val="en-US"/>
              </w:rPr>
              <w:t>4,244 (</w:t>
            </w:r>
            <w:r w:rsidR="002108E4" w:rsidRPr="00552D93">
              <w:rPr>
                <w:rFonts w:ascii="Cambria" w:hAnsi="Cambria"/>
                <w:sz w:val="18"/>
                <w:szCs w:val="18"/>
                <w:lang w:val="en-US"/>
              </w:rPr>
              <w:t>16.7</w:t>
            </w:r>
            <w:r w:rsidR="009A347D" w:rsidRPr="00552D93">
              <w:rPr>
                <w:rFonts w:ascii="Cambria" w:hAnsi="Cambria"/>
                <w:sz w:val="18"/>
                <w:szCs w:val="18"/>
                <w:lang w:val="en-US"/>
              </w:rPr>
              <w:t>)</w:t>
            </w:r>
          </w:p>
        </w:tc>
        <w:tc>
          <w:tcPr>
            <w:tcW w:w="455" w:type="pct"/>
          </w:tcPr>
          <w:p w14:paraId="38030B69" w14:textId="7883B393" w:rsidR="009A347D" w:rsidRPr="00552D93" w:rsidRDefault="002108E4" w:rsidP="00462BEB">
            <w:pPr>
              <w:spacing w:line="240" w:lineRule="auto"/>
              <w:contextualSpacing/>
              <w:rPr>
                <w:rFonts w:ascii="Cambria" w:hAnsi="Cambria"/>
                <w:sz w:val="18"/>
                <w:szCs w:val="18"/>
                <w:lang w:val="en-US"/>
              </w:rPr>
            </w:pPr>
            <w:r w:rsidRPr="00552D93">
              <w:rPr>
                <w:rFonts w:ascii="Cambria" w:hAnsi="Cambria"/>
                <w:sz w:val="18"/>
                <w:szCs w:val="18"/>
                <w:lang w:val="en-US"/>
              </w:rPr>
              <w:t>21,164 (83.3</w:t>
            </w:r>
            <w:r w:rsidR="009A347D" w:rsidRPr="00552D93">
              <w:rPr>
                <w:rFonts w:ascii="Cambria" w:hAnsi="Cambria"/>
                <w:sz w:val="18"/>
                <w:szCs w:val="18"/>
                <w:lang w:val="en-US"/>
              </w:rPr>
              <w:t>)</w:t>
            </w:r>
          </w:p>
        </w:tc>
        <w:tc>
          <w:tcPr>
            <w:tcW w:w="392" w:type="pct"/>
          </w:tcPr>
          <w:p w14:paraId="67D98CBD"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0" w:type="pct"/>
          </w:tcPr>
          <w:p w14:paraId="1FF92772" w14:textId="5A84BA93" w:rsidR="009A347D" w:rsidRPr="00552D93" w:rsidRDefault="00545659" w:rsidP="00462BEB">
            <w:pPr>
              <w:spacing w:line="240" w:lineRule="auto"/>
              <w:contextualSpacing/>
              <w:rPr>
                <w:rFonts w:ascii="Cambria" w:hAnsi="Cambria"/>
                <w:sz w:val="18"/>
                <w:szCs w:val="18"/>
                <w:lang w:val="en-US"/>
              </w:rPr>
            </w:pPr>
            <w:r w:rsidRPr="00552D93">
              <w:rPr>
                <w:rFonts w:ascii="Cambria" w:hAnsi="Cambria"/>
                <w:sz w:val="18"/>
                <w:szCs w:val="18"/>
                <w:lang w:val="en-US"/>
              </w:rPr>
              <w:t>19,141 (75.3</w:t>
            </w:r>
            <w:r w:rsidR="009A347D" w:rsidRPr="00552D93">
              <w:rPr>
                <w:rFonts w:ascii="Cambria" w:hAnsi="Cambria"/>
                <w:sz w:val="18"/>
                <w:szCs w:val="18"/>
                <w:lang w:val="en-US"/>
              </w:rPr>
              <w:t>)</w:t>
            </w:r>
          </w:p>
        </w:tc>
        <w:tc>
          <w:tcPr>
            <w:tcW w:w="433" w:type="pct"/>
          </w:tcPr>
          <w:p w14:paraId="346B12C3" w14:textId="4B36DE0A" w:rsidR="009A347D" w:rsidRPr="00552D93" w:rsidRDefault="00545659" w:rsidP="00462BEB">
            <w:pPr>
              <w:spacing w:line="240" w:lineRule="auto"/>
              <w:contextualSpacing/>
              <w:rPr>
                <w:rFonts w:ascii="Cambria" w:hAnsi="Cambria"/>
                <w:sz w:val="18"/>
                <w:szCs w:val="18"/>
                <w:lang w:val="en-US"/>
              </w:rPr>
            </w:pPr>
            <w:r w:rsidRPr="00552D93">
              <w:rPr>
                <w:rFonts w:ascii="Cambria" w:hAnsi="Cambria"/>
                <w:sz w:val="18"/>
                <w:szCs w:val="18"/>
                <w:lang w:val="en-US"/>
              </w:rPr>
              <w:t>6,267 (24.7</w:t>
            </w:r>
            <w:r w:rsidR="009A347D" w:rsidRPr="00552D93">
              <w:rPr>
                <w:rFonts w:ascii="Cambria" w:hAnsi="Cambria"/>
                <w:sz w:val="18"/>
                <w:szCs w:val="18"/>
                <w:lang w:val="en-US"/>
              </w:rPr>
              <w:t>)</w:t>
            </w:r>
          </w:p>
        </w:tc>
        <w:tc>
          <w:tcPr>
            <w:tcW w:w="378" w:type="pct"/>
          </w:tcPr>
          <w:p w14:paraId="0ABB8E39" w14:textId="77777777" w:rsidR="009A347D" w:rsidRPr="00552D93" w:rsidRDefault="009A347D" w:rsidP="00462BEB">
            <w:pPr>
              <w:spacing w:line="240" w:lineRule="auto"/>
              <w:contextualSpacing/>
              <w:rPr>
                <w:rFonts w:ascii="Cambria" w:hAnsi="Cambria"/>
                <w:sz w:val="18"/>
                <w:szCs w:val="18"/>
                <w:highlight w:val="yellow"/>
                <w:lang w:val="en-US"/>
              </w:rPr>
            </w:pPr>
          </w:p>
        </w:tc>
      </w:tr>
      <w:tr w:rsidR="00552D93" w:rsidRPr="00552D93" w14:paraId="12B8028C" w14:textId="77777777" w:rsidTr="002108E4">
        <w:tc>
          <w:tcPr>
            <w:tcW w:w="803" w:type="pct"/>
          </w:tcPr>
          <w:p w14:paraId="6E8B3297" w14:textId="77777777" w:rsidR="009A347D" w:rsidRPr="00552D93" w:rsidRDefault="009A347D" w:rsidP="00462BEB">
            <w:pPr>
              <w:spacing w:line="240" w:lineRule="auto"/>
              <w:contextualSpacing/>
              <w:rPr>
                <w:rFonts w:ascii="Cambria" w:hAnsi="Cambria"/>
                <w:sz w:val="18"/>
                <w:szCs w:val="18"/>
                <w:lang w:val="en-US"/>
              </w:rPr>
            </w:pPr>
            <w:r w:rsidRPr="00552D93">
              <w:rPr>
                <w:rFonts w:ascii="Cambria" w:hAnsi="Cambria"/>
                <w:sz w:val="18"/>
                <w:szCs w:val="18"/>
                <w:lang w:val="en-US"/>
              </w:rPr>
              <w:t>Higher risk (16-19)</w:t>
            </w:r>
          </w:p>
        </w:tc>
        <w:tc>
          <w:tcPr>
            <w:tcW w:w="306" w:type="pct"/>
          </w:tcPr>
          <w:p w14:paraId="6D20C3DD" w14:textId="59CD71EE" w:rsidR="009A347D" w:rsidRPr="00552D93" w:rsidRDefault="007F2DA5" w:rsidP="00462BEB">
            <w:pPr>
              <w:spacing w:line="240" w:lineRule="auto"/>
              <w:contextualSpacing/>
              <w:rPr>
                <w:rFonts w:ascii="Cambria" w:hAnsi="Cambria"/>
                <w:b/>
                <w:sz w:val="18"/>
                <w:szCs w:val="18"/>
                <w:lang w:val="en-US"/>
              </w:rPr>
            </w:pPr>
            <w:r w:rsidRPr="00552D93">
              <w:rPr>
                <w:rFonts w:ascii="Cambria" w:hAnsi="Cambria"/>
                <w:b/>
                <w:sz w:val="18"/>
                <w:szCs w:val="18"/>
                <w:lang w:val="en-US"/>
              </w:rPr>
              <w:t>4,747</w:t>
            </w:r>
          </w:p>
        </w:tc>
        <w:tc>
          <w:tcPr>
            <w:tcW w:w="423" w:type="pct"/>
          </w:tcPr>
          <w:p w14:paraId="1D06DC9D" w14:textId="067DFC2B" w:rsidR="009A347D" w:rsidRPr="00552D93" w:rsidRDefault="00081A7F" w:rsidP="00462BEB">
            <w:pPr>
              <w:spacing w:line="240" w:lineRule="auto"/>
              <w:contextualSpacing/>
              <w:rPr>
                <w:rFonts w:ascii="Cambria" w:hAnsi="Cambria"/>
                <w:sz w:val="18"/>
                <w:szCs w:val="18"/>
                <w:lang w:val="en-US"/>
              </w:rPr>
            </w:pPr>
            <w:r w:rsidRPr="00552D93">
              <w:rPr>
                <w:rFonts w:ascii="Cambria" w:hAnsi="Cambria"/>
                <w:sz w:val="18"/>
                <w:szCs w:val="18"/>
                <w:lang w:val="en-US"/>
              </w:rPr>
              <w:t>56 (1.2</w:t>
            </w:r>
            <w:r w:rsidR="009A347D" w:rsidRPr="00552D93">
              <w:rPr>
                <w:rFonts w:ascii="Cambria" w:hAnsi="Cambria"/>
                <w:sz w:val="18"/>
                <w:szCs w:val="18"/>
                <w:lang w:val="en-US"/>
              </w:rPr>
              <w:t>)</w:t>
            </w:r>
          </w:p>
        </w:tc>
        <w:tc>
          <w:tcPr>
            <w:tcW w:w="453" w:type="pct"/>
          </w:tcPr>
          <w:p w14:paraId="2B4A3918" w14:textId="1EE6C6B0" w:rsidR="009A347D" w:rsidRPr="00552D93" w:rsidRDefault="00081A7F" w:rsidP="00462BEB">
            <w:pPr>
              <w:spacing w:line="240" w:lineRule="auto"/>
              <w:contextualSpacing/>
              <w:rPr>
                <w:rFonts w:ascii="Cambria" w:hAnsi="Cambria"/>
                <w:sz w:val="18"/>
                <w:szCs w:val="18"/>
                <w:lang w:val="en-US"/>
              </w:rPr>
            </w:pPr>
            <w:r w:rsidRPr="00552D93">
              <w:rPr>
                <w:rFonts w:ascii="Cambria" w:hAnsi="Cambria"/>
                <w:sz w:val="18"/>
                <w:szCs w:val="18"/>
                <w:lang w:val="en-US"/>
              </w:rPr>
              <w:t>4,691 (98.8</w:t>
            </w:r>
            <w:r w:rsidR="009A347D" w:rsidRPr="00552D93">
              <w:rPr>
                <w:rFonts w:ascii="Cambria" w:hAnsi="Cambria"/>
                <w:sz w:val="18"/>
                <w:szCs w:val="18"/>
                <w:lang w:val="en-US"/>
              </w:rPr>
              <w:t>)</w:t>
            </w:r>
          </w:p>
        </w:tc>
        <w:tc>
          <w:tcPr>
            <w:tcW w:w="452" w:type="pct"/>
          </w:tcPr>
          <w:p w14:paraId="597D2130"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5" w:type="pct"/>
          </w:tcPr>
          <w:p w14:paraId="306F159D" w14:textId="6601B102" w:rsidR="009A347D" w:rsidRPr="00552D93" w:rsidRDefault="002108E4" w:rsidP="00462BEB">
            <w:pPr>
              <w:spacing w:line="240" w:lineRule="auto"/>
              <w:contextualSpacing/>
              <w:rPr>
                <w:rFonts w:ascii="Cambria" w:hAnsi="Cambria"/>
                <w:sz w:val="18"/>
                <w:szCs w:val="18"/>
                <w:lang w:val="en-US"/>
              </w:rPr>
            </w:pPr>
            <w:r w:rsidRPr="00552D93">
              <w:rPr>
                <w:rFonts w:ascii="Cambria" w:hAnsi="Cambria"/>
                <w:sz w:val="18"/>
                <w:szCs w:val="18"/>
                <w:lang w:val="en-US"/>
              </w:rPr>
              <w:t>148 (3.1</w:t>
            </w:r>
            <w:r w:rsidR="009A347D" w:rsidRPr="00552D93">
              <w:rPr>
                <w:rFonts w:ascii="Cambria" w:hAnsi="Cambria"/>
                <w:sz w:val="18"/>
                <w:szCs w:val="18"/>
                <w:lang w:val="en-US"/>
              </w:rPr>
              <w:t>)</w:t>
            </w:r>
          </w:p>
        </w:tc>
        <w:tc>
          <w:tcPr>
            <w:tcW w:w="455" w:type="pct"/>
          </w:tcPr>
          <w:p w14:paraId="309D0672" w14:textId="07FC36C3" w:rsidR="009A347D" w:rsidRPr="00552D93" w:rsidRDefault="002108E4" w:rsidP="00462BEB">
            <w:pPr>
              <w:spacing w:line="240" w:lineRule="auto"/>
              <w:contextualSpacing/>
              <w:rPr>
                <w:rFonts w:ascii="Cambria" w:hAnsi="Cambria"/>
                <w:sz w:val="18"/>
                <w:szCs w:val="18"/>
                <w:lang w:val="en-US"/>
              </w:rPr>
            </w:pPr>
            <w:r w:rsidRPr="00552D93">
              <w:rPr>
                <w:rFonts w:ascii="Cambria" w:hAnsi="Cambria"/>
                <w:sz w:val="18"/>
                <w:szCs w:val="18"/>
                <w:lang w:val="en-US"/>
              </w:rPr>
              <w:t>4,599 (96.9</w:t>
            </w:r>
            <w:r w:rsidR="009A347D" w:rsidRPr="00552D93">
              <w:rPr>
                <w:rFonts w:ascii="Cambria" w:hAnsi="Cambria"/>
                <w:sz w:val="18"/>
                <w:szCs w:val="18"/>
                <w:lang w:val="en-US"/>
              </w:rPr>
              <w:t>)</w:t>
            </w:r>
          </w:p>
        </w:tc>
        <w:tc>
          <w:tcPr>
            <w:tcW w:w="392" w:type="pct"/>
          </w:tcPr>
          <w:p w14:paraId="130D1829" w14:textId="77777777" w:rsidR="009A347D" w:rsidRPr="00552D93" w:rsidRDefault="009A347D" w:rsidP="00462BEB">
            <w:pPr>
              <w:spacing w:line="240" w:lineRule="auto"/>
              <w:contextualSpacing/>
              <w:rPr>
                <w:rFonts w:ascii="Cambria" w:hAnsi="Cambria"/>
                <w:sz w:val="18"/>
                <w:szCs w:val="18"/>
                <w:lang w:val="en-US"/>
              </w:rPr>
            </w:pPr>
          </w:p>
        </w:tc>
        <w:tc>
          <w:tcPr>
            <w:tcW w:w="450" w:type="pct"/>
          </w:tcPr>
          <w:p w14:paraId="7864A113" w14:textId="0FFA5873" w:rsidR="009A347D" w:rsidRPr="00552D93" w:rsidRDefault="00545659" w:rsidP="00462BEB">
            <w:pPr>
              <w:spacing w:line="240" w:lineRule="auto"/>
              <w:contextualSpacing/>
              <w:rPr>
                <w:rFonts w:ascii="Cambria" w:hAnsi="Cambria"/>
                <w:sz w:val="18"/>
                <w:szCs w:val="18"/>
                <w:lang w:val="en-US"/>
              </w:rPr>
            </w:pPr>
            <w:r w:rsidRPr="00552D93">
              <w:rPr>
                <w:rFonts w:ascii="Cambria" w:hAnsi="Cambria"/>
                <w:sz w:val="18"/>
                <w:szCs w:val="18"/>
                <w:lang w:val="en-US"/>
              </w:rPr>
              <w:t>2,119 (44.6</w:t>
            </w:r>
            <w:r w:rsidR="009A347D" w:rsidRPr="00552D93">
              <w:rPr>
                <w:rFonts w:ascii="Cambria" w:hAnsi="Cambria"/>
                <w:sz w:val="18"/>
                <w:szCs w:val="18"/>
                <w:lang w:val="en-US"/>
              </w:rPr>
              <w:t>)</w:t>
            </w:r>
          </w:p>
        </w:tc>
        <w:tc>
          <w:tcPr>
            <w:tcW w:w="433" w:type="pct"/>
          </w:tcPr>
          <w:p w14:paraId="47846158" w14:textId="2F629533" w:rsidR="009A347D" w:rsidRPr="00552D93" w:rsidRDefault="00545659" w:rsidP="00462BEB">
            <w:pPr>
              <w:spacing w:line="240" w:lineRule="auto"/>
              <w:contextualSpacing/>
              <w:rPr>
                <w:rFonts w:ascii="Cambria" w:hAnsi="Cambria"/>
                <w:sz w:val="18"/>
                <w:szCs w:val="18"/>
                <w:lang w:val="en-US"/>
              </w:rPr>
            </w:pPr>
            <w:r w:rsidRPr="00552D93">
              <w:rPr>
                <w:rFonts w:ascii="Cambria" w:hAnsi="Cambria"/>
                <w:sz w:val="18"/>
                <w:szCs w:val="18"/>
                <w:lang w:val="en-US"/>
              </w:rPr>
              <w:t>2,628 (55.4</w:t>
            </w:r>
            <w:r w:rsidR="009A347D" w:rsidRPr="00552D93">
              <w:rPr>
                <w:rFonts w:ascii="Cambria" w:hAnsi="Cambria"/>
                <w:sz w:val="18"/>
                <w:szCs w:val="18"/>
                <w:lang w:val="en-US"/>
              </w:rPr>
              <w:t>)</w:t>
            </w:r>
          </w:p>
        </w:tc>
        <w:tc>
          <w:tcPr>
            <w:tcW w:w="378" w:type="pct"/>
          </w:tcPr>
          <w:p w14:paraId="3C974828" w14:textId="77777777" w:rsidR="009A347D" w:rsidRPr="00552D93" w:rsidRDefault="009A347D" w:rsidP="00462BEB">
            <w:pPr>
              <w:spacing w:line="240" w:lineRule="auto"/>
              <w:contextualSpacing/>
              <w:rPr>
                <w:rFonts w:ascii="Cambria" w:hAnsi="Cambria"/>
                <w:sz w:val="18"/>
                <w:szCs w:val="18"/>
                <w:lang w:val="en-US"/>
              </w:rPr>
            </w:pPr>
          </w:p>
        </w:tc>
      </w:tr>
      <w:tr w:rsidR="00552D93" w:rsidRPr="00552D93" w14:paraId="3B88C83A" w14:textId="77777777" w:rsidTr="002108E4">
        <w:tc>
          <w:tcPr>
            <w:tcW w:w="803" w:type="pct"/>
          </w:tcPr>
          <w:p w14:paraId="006DF94C" w14:textId="2B4BE9EF" w:rsidR="009A347D" w:rsidRPr="00552D93" w:rsidRDefault="009A347D" w:rsidP="00462BEB">
            <w:pPr>
              <w:spacing w:line="240" w:lineRule="auto"/>
              <w:contextualSpacing/>
              <w:rPr>
                <w:rFonts w:ascii="Cambria" w:hAnsi="Cambria"/>
                <w:sz w:val="18"/>
                <w:szCs w:val="18"/>
                <w:lang w:val="en-US"/>
              </w:rPr>
            </w:pPr>
            <w:r w:rsidRPr="00552D93">
              <w:rPr>
                <w:rFonts w:ascii="Cambria" w:hAnsi="Cambria"/>
                <w:sz w:val="18"/>
                <w:szCs w:val="18"/>
                <w:lang w:val="en-US"/>
              </w:rPr>
              <w:t>Possible dependence (20+)</w:t>
            </w:r>
          </w:p>
        </w:tc>
        <w:tc>
          <w:tcPr>
            <w:tcW w:w="306" w:type="pct"/>
          </w:tcPr>
          <w:p w14:paraId="16018B57" w14:textId="55DD7B88" w:rsidR="009A347D" w:rsidRPr="00552D93" w:rsidRDefault="007F2DA5" w:rsidP="00462BEB">
            <w:pPr>
              <w:spacing w:line="240" w:lineRule="auto"/>
              <w:contextualSpacing/>
              <w:rPr>
                <w:rFonts w:ascii="Cambria" w:hAnsi="Cambria"/>
                <w:b/>
                <w:sz w:val="18"/>
                <w:szCs w:val="18"/>
                <w:lang w:val="en-US"/>
              </w:rPr>
            </w:pPr>
            <w:r w:rsidRPr="00552D93">
              <w:rPr>
                <w:rFonts w:ascii="Cambria" w:hAnsi="Cambria"/>
                <w:b/>
                <w:sz w:val="18"/>
                <w:szCs w:val="18"/>
                <w:lang w:val="en-US"/>
              </w:rPr>
              <w:t>3,314</w:t>
            </w:r>
          </w:p>
        </w:tc>
        <w:tc>
          <w:tcPr>
            <w:tcW w:w="423" w:type="pct"/>
          </w:tcPr>
          <w:p w14:paraId="544B3AF5" w14:textId="201831FF" w:rsidR="009A347D" w:rsidRPr="00552D93" w:rsidRDefault="00081A7F" w:rsidP="00462BEB">
            <w:pPr>
              <w:spacing w:line="240" w:lineRule="auto"/>
              <w:contextualSpacing/>
              <w:rPr>
                <w:rFonts w:ascii="Cambria" w:hAnsi="Cambria"/>
                <w:sz w:val="18"/>
                <w:szCs w:val="18"/>
                <w:lang w:val="en-US"/>
              </w:rPr>
            </w:pPr>
            <w:r w:rsidRPr="00552D93">
              <w:rPr>
                <w:rFonts w:ascii="Cambria" w:hAnsi="Cambria"/>
                <w:sz w:val="18"/>
                <w:szCs w:val="18"/>
                <w:lang w:val="en-US"/>
              </w:rPr>
              <w:t>54 (1.6</w:t>
            </w:r>
            <w:r w:rsidR="009A347D" w:rsidRPr="00552D93">
              <w:rPr>
                <w:rFonts w:ascii="Cambria" w:hAnsi="Cambria"/>
                <w:sz w:val="18"/>
                <w:szCs w:val="18"/>
                <w:lang w:val="en-US"/>
              </w:rPr>
              <w:t>)</w:t>
            </w:r>
          </w:p>
        </w:tc>
        <w:tc>
          <w:tcPr>
            <w:tcW w:w="453" w:type="pct"/>
          </w:tcPr>
          <w:p w14:paraId="6521B0BD" w14:textId="6D0AFEB7" w:rsidR="009A347D" w:rsidRPr="00552D93" w:rsidRDefault="00081A7F" w:rsidP="00462BEB">
            <w:pPr>
              <w:spacing w:line="240" w:lineRule="auto"/>
              <w:contextualSpacing/>
              <w:rPr>
                <w:rFonts w:ascii="Cambria" w:hAnsi="Cambria"/>
                <w:sz w:val="18"/>
                <w:szCs w:val="18"/>
                <w:lang w:val="en-US"/>
              </w:rPr>
            </w:pPr>
            <w:r w:rsidRPr="00552D93">
              <w:rPr>
                <w:rFonts w:ascii="Cambria" w:hAnsi="Cambria"/>
                <w:sz w:val="18"/>
                <w:szCs w:val="18"/>
                <w:lang w:val="en-US"/>
              </w:rPr>
              <w:t>3,260 (98.4</w:t>
            </w:r>
            <w:r w:rsidR="009A347D" w:rsidRPr="00552D93">
              <w:rPr>
                <w:rFonts w:ascii="Cambria" w:hAnsi="Cambria"/>
                <w:sz w:val="18"/>
                <w:szCs w:val="18"/>
                <w:lang w:val="en-US"/>
              </w:rPr>
              <w:t>)</w:t>
            </w:r>
          </w:p>
        </w:tc>
        <w:tc>
          <w:tcPr>
            <w:tcW w:w="452" w:type="pct"/>
          </w:tcPr>
          <w:p w14:paraId="58864230"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5" w:type="pct"/>
          </w:tcPr>
          <w:p w14:paraId="31A60B1F" w14:textId="3D36637A" w:rsidR="009A347D" w:rsidRPr="00552D93" w:rsidRDefault="002108E4" w:rsidP="00462BEB">
            <w:pPr>
              <w:spacing w:line="240" w:lineRule="auto"/>
              <w:contextualSpacing/>
              <w:rPr>
                <w:rFonts w:ascii="Cambria" w:hAnsi="Cambria"/>
                <w:sz w:val="18"/>
                <w:szCs w:val="18"/>
                <w:lang w:val="en-US"/>
              </w:rPr>
            </w:pPr>
            <w:r w:rsidRPr="00552D93">
              <w:rPr>
                <w:rFonts w:ascii="Cambria" w:hAnsi="Cambria"/>
                <w:sz w:val="18"/>
                <w:szCs w:val="18"/>
                <w:lang w:val="en-US"/>
              </w:rPr>
              <w:t>67 (2.0</w:t>
            </w:r>
            <w:r w:rsidR="009A347D" w:rsidRPr="00552D93">
              <w:rPr>
                <w:rFonts w:ascii="Cambria" w:hAnsi="Cambria"/>
                <w:sz w:val="18"/>
                <w:szCs w:val="18"/>
                <w:lang w:val="en-US"/>
              </w:rPr>
              <w:t>)</w:t>
            </w:r>
          </w:p>
        </w:tc>
        <w:tc>
          <w:tcPr>
            <w:tcW w:w="455" w:type="pct"/>
          </w:tcPr>
          <w:p w14:paraId="4A057C61" w14:textId="45DA8CF9" w:rsidR="009A347D" w:rsidRPr="00552D93" w:rsidRDefault="002108E4" w:rsidP="00462BEB">
            <w:pPr>
              <w:spacing w:line="240" w:lineRule="auto"/>
              <w:contextualSpacing/>
              <w:rPr>
                <w:rFonts w:ascii="Cambria" w:hAnsi="Cambria"/>
                <w:sz w:val="18"/>
                <w:szCs w:val="18"/>
                <w:lang w:val="en-US"/>
              </w:rPr>
            </w:pPr>
            <w:r w:rsidRPr="00552D93">
              <w:rPr>
                <w:rFonts w:ascii="Cambria" w:hAnsi="Cambria"/>
                <w:sz w:val="18"/>
                <w:szCs w:val="18"/>
                <w:lang w:val="en-US"/>
              </w:rPr>
              <w:t>3,247 (98.0</w:t>
            </w:r>
            <w:r w:rsidR="009A347D" w:rsidRPr="00552D93">
              <w:rPr>
                <w:rFonts w:ascii="Cambria" w:hAnsi="Cambria"/>
                <w:sz w:val="18"/>
                <w:szCs w:val="18"/>
                <w:lang w:val="en-US"/>
              </w:rPr>
              <w:t>)</w:t>
            </w:r>
          </w:p>
        </w:tc>
        <w:tc>
          <w:tcPr>
            <w:tcW w:w="392" w:type="pct"/>
          </w:tcPr>
          <w:p w14:paraId="4F816017" w14:textId="77777777" w:rsidR="009A347D" w:rsidRPr="00552D93" w:rsidRDefault="009A347D" w:rsidP="00462BEB">
            <w:pPr>
              <w:spacing w:line="240" w:lineRule="auto"/>
              <w:contextualSpacing/>
              <w:rPr>
                <w:rFonts w:ascii="Cambria" w:hAnsi="Cambria"/>
                <w:sz w:val="18"/>
                <w:szCs w:val="18"/>
                <w:lang w:val="en-US"/>
              </w:rPr>
            </w:pPr>
          </w:p>
        </w:tc>
        <w:tc>
          <w:tcPr>
            <w:tcW w:w="450" w:type="pct"/>
          </w:tcPr>
          <w:p w14:paraId="31503DCE" w14:textId="497D9199" w:rsidR="009A347D" w:rsidRPr="00552D93" w:rsidRDefault="00545659" w:rsidP="00462BEB">
            <w:pPr>
              <w:spacing w:line="240" w:lineRule="auto"/>
              <w:contextualSpacing/>
              <w:rPr>
                <w:rFonts w:ascii="Cambria" w:hAnsi="Cambria"/>
                <w:sz w:val="18"/>
                <w:szCs w:val="18"/>
                <w:lang w:val="en-US"/>
              </w:rPr>
            </w:pPr>
            <w:r w:rsidRPr="00552D93">
              <w:rPr>
                <w:rFonts w:ascii="Cambria" w:hAnsi="Cambria"/>
                <w:sz w:val="18"/>
                <w:szCs w:val="18"/>
                <w:lang w:val="en-US"/>
              </w:rPr>
              <w:t>730 (22.0</w:t>
            </w:r>
            <w:r w:rsidR="009A347D" w:rsidRPr="00552D93">
              <w:rPr>
                <w:rFonts w:ascii="Cambria" w:hAnsi="Cambria"/>
                <w:sz w:val="18"/>
                <w:szCs w:val="18"/>
                <w:lang w:val="en-US"/>
              </w:rPr>
              <w:t>)</w:t>
            </w:r>
          </w:p>
        </w:tc>
        <w:tc>
          <w:tcPr>
            <w:tcW w:w="433" w:type="pct"/>
          </w:tcPr>
          <w:p w14:paraId="6E5FCD71" w14:textId="6AD76C2C" w:rsidR="009A347D" w:rsidRPr="00552D93" w:rsidRDefault="00545659" w:rsidP="00462BEB">
            <w:pPr>
              <w:spacing w:line="240" w:lineRule="auto"/>
              <w:contextualSpacing/>
              <w:rPr>
                <w:rFonts w:ascii="Cambria" w:hAnsi="Cambria"/>
                <w:sz w:val="18"/>
                <w:szCs w:val="18"/>
                <w:lang w:val="en-US"/>
              </w:rPr>
            </w:pPr>
            <w:r w:rsidRPr="00552D93">
              <w:rPr>
                <w:rFonts w:ascii="Cambria" w:hAnsi="Cambria"/>
                <w:sz w:val="18"/>
                <w:szCs w:val="18"/>
                <w:lang w:val="en-US"/>
              </w:rPr>
              <w:t>2,584 (78.0</w:t>
            </w:r>
            <w:r w:rsidR="009A347D" w:rsidRPr="00552D93">
              <w:rPr>
                <w:rFonts w:ascii="Cambria" w:hAnsi="Cambria"/>
                <w:sz w:val="18"/>
                <w:szCs w:val="18"/>
                <w:lang w:val="en-US"/>
              </w:rPr>
              <w:t>)</w:t>
            </w:r>
          </w:p>
        </w:tc>
        <w:tc>
          <w:tcPr>
            <w:tcW w:w="378" w:type="pct"/>
          </w:tcPr>
          <w:p w14:paraId="6C595E6F" w14:textId="77777777" w:rsidR="009A347D" w:rsidRPr="00552D93" w:rsidRDefault="009A347D" w:rsidP="00462BEB">
            <w:pPr>
              <w:spacing w:line="240" w:lineRule="auto"/>
              <w:contextualSpacing/>
              <w:rPr>
                <w:rFonts w:ascii="Cambria" w:hAnsi="Cambria"/>
                <w:sz w:val="18"/>
                <w:szCs w:val="18"/>
                <w:highlight w:val="yellow"/>
                <w:lang w:val="en-US"/>
              </w:rPr>
            </w:pPr>
          </w:p>
        </w:tc>
      </w:tr>
      <w:tr w:rsidR="00552D93" w:rsidRPr="00552D93" w14:paraId="33E702AA" w14:textId="77777777" w:rsidTr="002108E4">
        <w:tc>
          <w:tcPr>
            <w:tcW w:w="803" w:type="pct"/>
          </w:tcPr>
          <w:p w14:paraId="1008F658" w14:textId="77777777" w:rsidR="007F2DA5" w:rsidRPr="00552D93" w:rsidRDefault="007F2DA5" w:rsidP="00462BEB">
            <w:pPr>
              <w:spacing w:line="240" w:lineRule="auto"/>
              <w:contextualSpacing/>
              <w:rPr>
                <w:rFonts w:ascii="Cambria" w:hAnsi="Cambria"/>
                <w:sz w:val="18"/>
                <w:szCs w:val="18"/>
                <w:highlight w:val="yellow"/>
                <w:lang w:val="en-US"/>
              </w:rPr>
            </w:pPr>
          </w:p>
        </w:tc>
        <w:tc>
          <w:tcPr>
            <w:tcW w:w="306" w:type="pct"/>
          </w:tcPr>
          <w:p w14:paraId="42DF3FCC" w14:textId="77777777" w:rsidR="007F2DA5" w:rsidRPr="00552D93" w:rsidRDefault="007F2DA5" w:rsidP="00462BEB">
            <w:pPr>
              <w:spacing w:line="240" w:lineRule="auto"/>
              <w:contextualSpacing/>
              <w:rPr>
                <w:rFonts w:ascii="Cambria" w:hAnsi="Cambria"/>
                <w:b/>
                <w:sz w:val="18"/>
                <w:szCs w:val="18"/>
                <w:highlight w:val="yellow"/>
                <w:lang w:val="en-US"/>
              </w:rPr>
            </w:pPr>
          </w:p>
        </w:tc>
        <w:tc>
          <w:tcPr>
            <w:tcW w:w="423" w:type="pct"/>
          </w:tcPr>
          <w:p w14:paraId="099F46EF" w14:textId="77777777" w:rsidR="007F2DA5" w:rsidRPr="00552D93" w:rsidRDefault="007F2DA5" w:rsidP="00462BEB">
            <w:pPr>
              <w:spacing w:line="240" w:lineRule="auto"/>
              <w:contextualSpacing/>
              <w:rPr>
                <w:rFonts w:ascii="Cambria" w:hAnsi="Cambria"/>
                <w:sz w:val="18"/>
                <w:szCs w:val="18"/>
                <w:highlight w:val="yellow"/>
                <w:lang w:val="en-US"/>
              </w:rPr>
            </w:pPr>
          </w:p>
        </w:tc>
        <w:tc>
          <w:tcPr>
            <w:tcW w:w="453" w:type="pct"/>
          </w:tcPr>
          <w:p w14:paraId="3E70FFCA" w14:textId="77777777" w:rsidR="007F2DA5" w:rsidRPr="00552D93" w:rsidRDefault="007F2DA5" w:rsidP="00462BEB">
            <w:pPr>
              <w:spacing w:line="240" w:lineRule="auto"/>
              <w:contextualSpacing/>
              <w:rPr>
                <w:rFonts w:ascii="Cambria" w:hAnsi="Cambria"/>
                <w:sz w:val="18"/>
                <w:szCs w:val="18"/>
                <w:highlight w:val="yellow"/>
                <w:lang w:val="en-US"/>
              </w:rPr>
            </w:pPr>
          </w:p>
        </w:tc>
        <w:tc>
          <w:tcPr>
            <w:tcW w:w="452" w:type="pct"/>
          </w:tcPr>
          <w:p w14:paraId="1011AE5E" w14:textId="77777777" w:rsidR="007F2DA5" w:rsidRPr="00552D93" w:rsidRDefault="007F2DA5" w:rsidP="00462BEB">
            <w:pPr>
              <w:spacing w:line="240" w:lineRule="auto"/>
              <w:contextualSpacing/>
              <w:rPr>
                <w:rFonts w:ascii="Cambria" w:hAnsi="Cambria"/>
                <w:sz w:val="18"/>
                <w:szCs w:val="18"/>
                <w:highlight w:val="yellow"/>
                <w:lang w:val="en-US"/>
              </w:rPr>
            </w:pPr>
          </w:p>
        </w:tc>
        <w:tc>
          <w:tcPr>
            <w:tcW w:w="455" w:type="pct"/>
          </w:tcPr>
          <w:p w14:paraId="115B18A7" w14:textId="77777777" w:rsidR="007F2DA5" w:rsidRPr="00552D93" w:rsidRDefault="007F2DA5" w:rsidP="00462BEB">
            <w:pPr>
              <w:spacing w:line="240" w:lineRule="auto"/>
              <w:contextualSpacing/>
              <w:rPr>
                <w:rFonts w:ascii="Cambria" w:hAnsi="Cambria"/>
                <w:sz w:val="18"/>
                <w:szCs w:val="18"/>
                <w:highlight w:val="yellow"/>
                <w:lang w:val="en-US"/>
              </w:rPr>
            </w:pPr>
          </w:p>
        </w:tc>
        <w:tc>
          <w:tcPr>
            <w:tcW w:w="455" w:type="pct"/>
          </w:tcPr>
          <w:p w14:paraId="6ECD8399" w14:textId="77777777" w:rsidR="007F2DA5" w:rsidRPr="00552D93" w:rsidRDefault="007F2DA5" w:rsidP="00462BEB">
            <w:pPr>
              <w:spacing w:line="240" w:lineRule="auto"/>
              <w:contextualSpacing/>
              <w:rPr>
                <w:rFonts w:ascii="Cambria" w:hAnsi="Cambria"/>
                <w:sz w:val="18"/>
                <w:szCs w:val="18"/>
                <w:highlight w:val="yellow"/>
                <w:lang w:val="en-US"/>
              </w:rPr>
            </w:pPr>
          </w:p>
        </w:tc>
        <w:tc>
          <w:tcPr>
            <w:tcW w:w="392" w:type="pct"/>
          </w:tcPr>
          <w:p w14:paraId="5D3E88FB" w14:textId="77777777" w:rsidR="007F2DA5" w:rsidRPr="00552D93" w:rsidRDefault="007F2DA5" w:rsidP="00462BEB">
            <w:pPr>
              <w:spacing w:line="240" w:lineRule="auto"/>
              <w:contextualSpacing/>
              <w:rPr>
                <w:rFonts w:ascii="Cambria" w:hAnsi="Cambria"/>
                <w:sz w:val="18"/>
                <w:szCs w:val="18"/>
                <w:highlight w:val="yellow"/>
                <w:lang w:val="en-US"/>
              </w:rPr>
            </w:pPr>
          </w:p>
        </w:tc>
        <w:tc>
          <w:tcPr>
            <w:tcW w:w="450" w:type="pct"/>
          </w:tcPr>
          <w:p w14:paraId="4319DD86" w14:textId="77777777" w:rsidR="007F2DA5" w:rsidRPr="00552D93" w:rsidRDefault="007F2DA5" w:rsidP="00462BEB">
            <w:pPr>
              <w:spacing w:line="240" w:lineRule="auto"/>
              <w:contextualSpacing/>
              <w:rPr>
                <w:rFonts w:ascii="Cambria" w:hAnsi="Cambria"/>
                <w:sz w:val="18"/>
                <w:szCs w:val="18"/>
                <w:highlight w:val="yellow"/>
                <w:lang w:val="en-US"/>
              </w:rPr>
            </w:pPr>
          </w:p>
        </w:tc>
        <w:tc>
          <w:tcPr>
            <w:tcW w:w="433" w:type="pct"/>
          </w:tcPr>
          <w:p w14:paraId="52543D70" w14:textId="77777777" w:rsidR="007F2DA5" w:rsidRPr="00552D93" w:rsidRDefault="007F2DA5" w:rsidP="00462BEB">
            <w:pPr>
              <w:spacing w:line="240" w:lineRule="auto"/>
              <w:contextualSpacing/>
              <w:rPr>
                <w:rFonts w:ascii="Cambria" w:hAnsi="Cambria"/>
                <w:sz w:val="18"/>
                <w:szCs w:val="18"/>
                <w:highlight w:val="yellow"/>
                <w:lang w:val="en-US"/>
              </w:rPr>
            </w:pPr>
          </w:p>
        </w:tc>
        <w:tc>
          <w:tcPr>
            <w:tcW w:w="378" w:type="pct"/>
          </w:tcPr>
          <w:p w14:paraId="04C5D0C7" w14:textId="77777777" w:rsidR="007F2DA5" w:rsidRPr="00552D93" w:rsidRDefault="007F2DA5" w:rsidP="00462BEB">
            <w:pPr>
              <w:spacing w:line="240" w:lineRule="auto"/>
              <w:contextualSpacing/>
              <w:rPr>
                <w:rFonts w:ascii="Cambria" w:hAnsi="Cambria"/>
                <w:sz w:val="18"/>
                <w:szCs w:val="18"/>
                <w:highlight w:val="yellow"/>
                <w:lang w:val="en-US"/>
              </w:rPr>
            </w:pPr>
          </w:p>
        </w:tc>
      </w:tr>
      <w:tr w:rsidR="00552D93" w:rsidRPr="00552D93" w14:paraId="17DD142F" w14:textId="77777777" w:rsidTr="002108E4">
        <w:tc>
          <w:tcPr>
            <w:tcW w:w="803" w:type="pct"/>
          </w:tcPr>
          <w:p w14:paraId="09763550" w14:textId="23CAEE92" w:rsidR="009A347D" w:rsidRPr="00552D93" w:rsidRDefault="0095496C" w:rsidP="00462BEB">
            <w:pPr>
              <w:spacing w:line="240" w:lineRule="auto"/>
              <w:contextualSpacing/>
              <w:rPr>
                <w:rFonts w:ascii="Cambria" w:hAnsi="Cambria"/>
                <w:sz w:val="18"/>
                <w:szCs w:val="18"/>
                <w:lang w:val="en-US"/>
              </w:rPr>
            </w:pPr>
            <w:r w:rsidRPr="00552D93">
              <w:rPr>
                <w:rFonts w:ascii="Cambria" w:hAnsi="Cambria"/>
                <w:sz w:val="18"/>
                <w:szCs w:val="18"/>
                <w:lang w:val="en-US"/>
              </w:rPr>
              <w:t>Gender</w:t>
            </w:r>
          </w:p>
        </w:tc>
        <w:tc>
          <w:tcPr>
            <w:tcW w:w="306" w:type="pct"/>
          </w:tcPr>
          <w:p w14:paraId="16E7E22E" w14:textId="77777777" w:rsidR="009A347D" w:rsidRPr="00552D93" w:rsidRDefault="009A347D" w:rsidP="00462BEB">
            <w:pPr>
              <w:spacing w:line="240" w:lineRule="auto"/>
              <w:contextualSpacing/>
              <w:rPr>
                <w:rFonts w:ascii="Cambria" w:hAnsi="Cambria"/>
                <w:b/>
                <w:sz w:val="18"/>
                <w:szCs w:val="18"/>
                <w:lang w:val="en-US"/>
              </w:rPr>
            </w:pPr>
          </w:p>
        </w:tc>
        <w:tc>
          <w:tcPr>
            <w:tcW w:w="423" w:type="pct"/>
          </w:tcPr>
          <w:p w14:paraId="58DCC751"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3" w:type="pct"/>
          </w:tcPr>
          <w:p w14:paraId="28D748A4"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2" w:type="pct"/>
          </w:tcPr>
          <w:p w14:paraId="660A89BA" w14:textId="4C730B7B" w:rsidR="009A347D" w:rsidRPr="00552D93" w:rsidRDefault="00571C2B" w:rsidP="00462BEB">
            <w:pPr>
              <w:spacing w:line="240" w:lineRule="auto"/>
              <w:contextualSpacing/>
              <w:rPr>
                <w:rFonts w:ascii="Cambria" w:hAnsi="Cambria"/>
                <w:sz w:val="18"/>
                <w:szCs w:val="18"/>
                <w:highlight w:val="yellow"/>
                <w:lang w:val="en-US"/>
              </w:rPr>
            </w:pPr>
            <w:r w:rsidRPr="00552D93">
              <w:rPr>
                <w:rFonts w:ascii="Cambria" w:hAnsi="Cambria"/>
                <w:sz w:val="18"/>
                <w:szCs w:val="18"/>
                <w:lang w:val="en-US"/>
              </w:rPr>
              <w:t>116.32</w:t>
            </w:r>
            <w:r w:rsidR="009A347D" w:rsidRPr="00552D93">
              <w:rPr>
                <w:rFonts w:ascii="Cambria" w:hAnsi="Cambria"/>
                <w:sz w:val="18"/>
                <w:szCs w:val="18"/>
                <w:lang w:val="en-US"/>
              </w:rPr>
              <w:t>*</w:t>
            </w:r>
            <w:r w:rsidR="00401E2D" w:rsidRPr="00552D93">
              <w:rPr>
                <w:rFonts w:ascii="Cambria" w:hAnsi="Cambria"/>
                <w:sz w:val="18"/>
                <w:szCs w:val="18"/>
                <w:lang w:val="en-US"/>
              </w:rPr>
              <w:t xml:space="preserve"> V</w:t>
            </w:r>
            <w:r w:rsidRPr="00552D93">
              <w:rPr>
                <w:rFonts w:ascii="Cambria" w:hAnsi="Cambria"/>
                <w:sz w:val="18"/>
                <w:szCs w:val="18"/>
                <w:lang w:val="en-US"/>
              </w:rPr>
              <w:t xml:space="preserve"> =.044</w:t>
            </w:r>
          </w:p>
        </w:tc>
        <w:tc>
          <w:tcPr>
            <w:tcW w:w="455" w:type="pct"/>
          </w:tcPr>
          <w:p w14:paraId="3D528FB8"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5" w:type="pct"/>
          </w:tcPr>
          <w:p w14:paraId="236055F2"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392" w:type="pct"/>
          </w:tcPr>
          <w:p w14:paraId="41CDDF0F" w14:textId="23DC1997" w:rsidR="009A347D" w:rsidRPr="00552D93" w:rsidRDefault="00571C2B" w:rsidP="00462BEB">
            <w:pPr>
              <w:spacing w:line="240" w:lineRule="auto"/>
              <w:contextualSpacing/>
              <w:rPr>
                <w:rFonts w:ascii="Cambria" w:hAnsi="Cambria"/>
                <w:sz w:val="18"/>
                <w:szCs w:val="18"/>
                <w:highlight w:val="yellow"/>
                <w:lang w:val="en-US"/>
              </w:rPr>
            </w:pPr>
            <w:r w:rsidRPr="00552D93">
              <w:rPr>
                <w:rFonts w:ascii="Cambria" w:hAnsi="Cambria"/>
                <w:sz w:val="18"/>
                <w:szCs w:val="18"/>
                <w:lang w:val="en-US"/>
              </w:rPr>
              <w:t>266.94</w:t>
            </w:r>
            <w:r w:rsidR="009A347D" w:rsidRPr="00552D93">
              <w:rPr>
                <w:rFonts w:ascii="Cambria" w:hAnsi="Cambria"/>
                <w:sz w:val="18"/>
                <w:szCs w:val="18"/>
                <w:lang w:val="en-US"/>
              </w:rPr>
              <w:t>*</w:t>
            </w:r>
            <w:r w:rsidRPr="00552D93">
              <w:rPr>
                <w:rFonts w:ascii="Cambria" w:hAnsi="Cambria"/>
                <w:sz w:val="18"/>
                <w:szCs w:val="18"/>
                <w:lang w:val="en-US"/>
              </w:rPr>
              <w:t xml:space="preserve"> V =.066</w:t>
            </w:r>
          </w:p>
        </w:tc>
        <w:tc>
          <w:tcPr>
            <w:tcW w:w="450" w:type="pct"/>
          </w:tcPr>
          <w:p w14:paraId="11F31A7E"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33" w:type="pct"/>
          </w:tcPr>
          <w:p w14:paraId="364C17A9"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378" w:type="pct"/>
          </w:tcPr>
          <w:p w14:paraId="2034779A" w14:textId="0318DA0B" w:rsidR="009A347D" w:rsidRPr="00552D93" w:rsidRDefault="00571C2B" w:rsidP="00462BEB">
            <w:pPr>
              <w:spacing w:line="240" w:lineRule="auto"/>
              <w:contextualSpacing/>
              <w:rPr>
                <w:rFonts w:ascii="Cambria" w:hAnsi="Cambria"/>
                <w:sz w:val="18"/>
                <w:szCs w:val="18"/>
                <w:highlight w:val="yellow"/>
                <w:lang w:val="en-US"/>
              </w:rPr>
            </w:pPr>
            <w:r w:rsidRPr="00552D93">
              <w:rPr>
                <w:rFonts w:ascii="Cambria" w:hAnsi="Cambria"/>
                <w:sz w:val="18"/>
                <w:szCs w:val="18"/>
                <w:lang w:val="en-US"/>
              </w:rPr>
              <w:t>66.19</w:t>
            </w:r>
            <w:r w:rsidR="009A347D" w:rsidRPr="00552D93">
              <w:rPr>
                <w:rFonts w:ascii="Cambria" w:hAnsi="Cambria"/>
                <w:sz w:val="18"/>
                <w:szCs w:val="18"/>
                <w:lang w:val="en-US"/>
              </w:rPr>
              <w:t>*</w:t>
            </w:r>
            <w:r w:rsidRPr="00552D93">
              <w:rPr>
                <w:rFonts w:ascii="Cambria" w:hAnsi="Cambria"/>
                <w:sz w:val="18"/>
                <w:szCs w:val="18"/>
                <w:lang w:val="en-US"/>
              </w:rPr>
              <w:t xml:space="preserve"> V =.033</w:t>
            </w:r>
          </w:p>
        </w:tc>
      </w:tr>
      <w:tr w:rsidR="00552D93" w:rsidRPr="00552D93" w14:paraId="2D962684" w14:textId="77777777" w:rsidTr="002108E4">
        <w:tc>
          <w:tcPr>
            <w:tcW w:w="803" w:type="pct"/>
          </w:tcPr>
          <w:p w14:paraId="175BFC42" w14:textId="77777777" w:rsidR="009A347D" w:rsidRPr="00552D93" w:rsidRDefault="009A347D" w:rsidP="00462BEB">
            <w:pPr>
              <w:spacing w:line="240" w:lineRule="auto"/>
              <w:contextualSpacing/>
              <w:rPr>
                <w:rFonts w:ascii="Cambria" w:hAnsi="Cambria"/>
                <w:sz w:val="18"/>
                <w:szCs w:val="18"/>
                <w:lang w:val="en-US"/>
              </w:rPr>
            </w:pPr>
            <w:r w:rsidRPr="00552D93">
              <w:rPr>
                <w:rFonts w:ascii="Cambria" w:hAnsi="Cambria"/>
                <w:sz w:val="18"/>
                <w:szCs w:val="18"/>
                <w:lang w:val="en-US"/>
              </w:rPr>
              <w:t>Female</w:t>
            </w:r>
          </w:p>
        </w:tc>
        <w:tc>
          <w:tcPr>
            <w:tcW w:w="306" w:type="pct"/>
          </w:tcPr>
          <w:p w14:paraId="3EE937C2" w14:textId="62DFE7E1" w:rsidR="009A347D" w:rsidRPr="00552D93" w:rsidRDefault="00545659" w:rsidP="00462BEB">
            <w:pPr>
              <w:spacing w:line="240" w:lineRule="auto"/>
              <w:contextualSpacing/>
              <w:rPr>
                <w:rFonts w:ascii="Cambria" w:hAnsi="Cambria"/>
                <w:b/>
                <w:sz w:val="18"/>
                <w:szCs w:val="18"/>
                <w:lang w:val="en-US"/>
              </w:rPr>
            </w:pPr>
            <w:r w:rsidRPr="00552D93">
              <w:rPr>
                <w:rFonts w:ascii="Cambria" w:hAnsi="Cambria"/>
                <w:b/>
                <w:sz w:val="18"/>
                <w:szCs w:val="18"/>
                <w:lang w:val="en-US"/>
              </w:rPr>
              <w:t>22,169</w:t>
            </w:r>
          </w:p>
        </w:tc>
        <w:tc>
          <w:tcPr>
            <w:tcW w:w="423" w:type="pct"/>
          </w:tcPr>
          <w:p w14:paraId="140CE7C5" w14:textId="736A1C07" w:rsidR="009A347D" w:rsidRPr="00552D93" w:rsidRDefault="00545659" w:rsidP="00462BEB">
            <w:pPr>
              <w:spacing w:line="240" w:lineRule="auto"/>
              <w:contextualSpacing/>
              <w:rPr>
                <w:rFonts w:ascii="Cambria" w:hAnsi="Cambria"/>
                <w:sz w:val="18"/>
                <w:szCs w:val="18"/>
                <w:lang w:val="en-US"/>
              </w:rPr>
            </w:pPr>
            <w:r w:rsidRPr="00552D93">
              <w:rPr>
                <w:rFonts w:ascii="Cambria" w:hAnsi="Cambria"/>
                <w:sz w:val="18"/>
                <w:szCs w:val="18"/>
                <w:lang w:val="en-US"/>
              </w:rPr>
              <w:t>3,677 (16.6</w:t>
            </w:r>
            <w:r w:rsidR="009A347D" w:rsidRPr="00552D93">
              <w:rPr>
                <w:rFonts w:ascii="Cambria" w:hAnsi="Cambria"/>
                <w:sz w:val="18"/>
                <w:szCs w:val="18"/>
                <w:lang w:val="en-US"/>
              </w:rPr>
              <w:t>)</w:t>
            </w:r>
          </w:p>
        </w:tc>
        <w:tc>
          <w:tcPr>
            <w:tcW w:w="453" w:type="pct"/>
          </w:tcPr>
          <w:p w14:paraId="4E241F52" w14:textId="23D53FE0" w:rsidR="009A347D" w:rsidRPr="00552D93" w:rsidRDefault="00545659" w:rsidP="00462BEB">
            <w:pPr>
              <w:spacing w:line="240" w:lineRule="auto"/>
              <w:contextualSpacing/>
              <w:rPr>
                <w:rFonts w:ascii="Cambria" w:hAnsi="Cambria"/>
                <w:sz w:val="18"/>
                <w:szCs w:val="18"/>
                <w:lang w:val="en-US"/>
              </w:rPr>
            </w:pPr>
            <w:r w:rsidRPr="00552D93">
              <w:rPr>
                <w:rFonts w:ascii="Cambria" w:hAnsi="Cambria"/>
                <w:sz w:val="18"/>
                <w:szCs w:val="18"/>
                <w:lang w:val="en-US"/>
              </w:rPr>
              <w:t>18,492 (83.4</w:t>
            </w:r>
            <w:r w:rsidR="009A347D" w:rsidRPr="00552D93">
              <w:rPr>
                <w:rFonts w:ascii="Cambria" w:hAnsi="Cambria"/>
                <w:sz w:val="18"/>
                <w:szCs w:val="18"/>
                <w:lang w:val="en-US"/>
              </w:rPr>
              <w:t>)</w:t>
            </w:r>
          </w:p>
        </w:tc>
        <w:tc>
          <w:tcPr>
            <w:tcW w:w="452" w:type="pct"/>
          </w:tcPr>
          <w:p w14:paraId="5AD273D0"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5" w:type="pct"/>
          </w:tcPr>
          <w:p w14:paraId="56B1E966" w14:textId="4DA28601" w:rsidR="009A347D" w:rsidRPr="00552D93" w:rsidRDefault="00545659" w:rsidP="00462BEB">
            <w:pPr>
              <w:spacing w:line="240" w:lineRule="auto"/>
              <w:contextualSpacing/>
              <w:rPr>
                <w:rFonts w:ascii="Cambria" w:hAnsi="Cambria"/>
                <w:sz w:val="18"/>
                <w:szCs w:val="18"/>
                <w:lang w:val="en-US"/>
              </w:rPr>
            </w:pPr>
            <w:r w:rsidRPr="00552D93">
              <w:rPr>
                <w:rFonts w:ascii="Cambria" w:hAnsi="Cambria"/>
                <w:sz w:val="18"/>
                <w:szCs w:val="18"/>
                <w:lang w:val="en-US"/>
              </w:rPr>
              <w:t>8,543 (38.5</w:t>
            </w:r>
            <w:r w:rsidR="009A347D" w:rsidRPr="00552D93">
              <w:rPr>
                <w:rFonts w:ascii="Cambria" w:hAnsi="Cambria"/>
                <w:sz w:val="18"/>
                <w:szCs w:val="18"/>
                <w:lang w:val="en-US"/>
              </w:rPr>
              <w:t>)</w:t>
            </w:r>
          </w:p>
        </w:tc>
        <w:tc>
          <w:tcPr>
            <w:tcW w:w="455" w:type="pct"/>
          </w:tcPr>
          <w:p w14:paraId="0253CB0B" w14:textId="51419889" w:rsidR="009A347D" w:rsidRPr="00552D93" w:rsidRDefault="00545659" w:rsidP="00462BEB">
            <w:pPr>
              <w:spacing w:line="240" w:lineRule="auto"/>
              <w:contextualSpacing/>
              <w:rPr>
                <w:rFonts w:ascii="Cambria" w:hAnsi="Cambria"/>
                <w:sz w:val="18"/>
                <w:szCs w:val="18"/>
                <w:lang w:val="en-US"/>
              </w:rPr>
            </w:pPr>
            <w:r w:rsidRPr="00552D93">
              <w:rPr>
                <w:rFonts w:ascii="Cambria" w:hAnsi="Cambria"/>
                <w:sz w:val="18"/>
                <w:szCs w:val="18"/>
                <w:lang w:val="en-US"/>
              </w:rPr>
              <w:t>13,626 (61</w:t>
            </w:r>
            <w:r w:rsidR="009A347D" w:rsidRPr="00552D93">
              <w:rPr>
                <w:rFonts w:ascii="Cambria" w:hAnsi="Cambria"/>
                <w:sz w:val="18"/>
                <w:szCs w:val="18"/>
                <w:lang w:val="en-US"/>
              </w:rPr>
              <w:t>.5)</w:t>
            </w:r>
          </w:p>
        </w:tc>
        <w:tc>
          <w:tcPr>
            <w:tcW w:w="392" w:type="pct"/>
          </w:tcPr>
          <w:p w14:paraId="63A1286E"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0" w:type="pct"/>
          </w:tcPr>
          <w:p w14:paraId="3898F016" w14:textId="0C2083BE" w:rsidR="009A347D" w:rsidRPr="00552D93" w:rsidRDefault="00545659" w:rsidP="00462BEB">
            <w:pPr>
              <w:spacing w:line="240" w:lineRule="auto"/>
              <w:contextualSpacing/>
              <w:rPr>
                <w:rFonts w:ascii="Cambria" w:hAnsi="Cambria"/>
                <w:sz w:val="18"/>
                <w:szCs w:val="18"/>
                <w:lang w:val="en-US"/>
              </w:rPr>
            </w:pPr>
            <w:r w:rsidRPr="00552D93">
              <w:rPr>
                <w:rFonts w:ascii="Cambria" w:hAnsi="Cambria"/>
                <w:sz w:val="18"/>
                <w:szCs w:val="18"/>
                <w:lang w:val="en-US"/>
              </w:rPr>
              <w:t>18,052 (81.4</w:t>
            </w:r>
            <w:r w:rsidR="009A347D" w:rsidRPr="00552D93">
              <w:rPr>
                <w:rFonts w:ascii="Cambria" w:hAnsi="Cambria"/>
                <w:sz w:val="18"/>
                <w:szCs w:val="18"/>
                <w:lang w:val="en-US"/>
              </w:rPr>
              <w:t>)</w:t>
            </w:r>
          </w:p>
        </w:tc>
        <w:tc>
          <w:tcPr>
            <w:tcW w:w="433" w:type="pct"/>
          </w:tcPr>
          <w:p w14:paraId="5E3F4A97" w14:textId="2A34D531" w:rsidR="009A347D" w:rsidRPr="00552D93" w:rsidRDefault="00545659" w:rsidP="00462BEB">
            <w:pPr>
              <w:spacing w:line="240" w:lineRule="auto"/>
              <w:contextualSpacing/>
              <w:rPr>
                <w:rFonts w:ascii="Cambria" w:hAnsi="Cambria"/>
                <w:sz w:val="18"/>
                <w:szCs w:val="18"/>
                <w:lang w:val="en-US"/>
              </w:rPr>
            </w:pPr>
            <w:r w:rsidRPr="00552D93">
              <w:rPr>
                <w:rFonts w:ascii="Cambria" w:hAnsi="Cambria"/>
                <w:sz w:val="18"/>
                <w:szCs w:val="18"/>
                <w:lang w:val="en-US"/>
              </w:rPr>
              <w:t>4,117 (18.6</w:t>
            </w:r>
            <w:r w:rsidR="009A347D" w:rsidRPr="00552D93">
              <w:rPr>
                <w:rFonts w:ascii="Cambria" w:hAnsi="Cambria"/>
                <w:sz w:val="18"/>
                <w:szCs w:val="18"/>
                <w:lang w:val="en-US"/>
              </w:rPr>
              <w:t>)</w:t>
            </w:r>
          </w:p>
        </w:tc>
        <w:tc>
          <w:tcPr>
            <w:tcW w:w="378" w:type="pct"/>
          </w:tcPr>
          <w:p w14:paraId="3D1D7173" w14:textId="77777777" w:rsidR="009A347D" w:rsidRPr="00552D93" w:rsidRDefault="009A347D" w:rsidP="00462BEB">
            <w:pPr>
              <w:spacing w:line="240" w:lineRule="auto"/>
              <w:contextualSpacing/>
              <w:rPr>
                <w:rFonts w:ascii="Cambria" w:hAnsi="Cambria"/>
                <w:sz w:val="18"/>
                <w:szCs w:val="18"/>
                <w:highlight w:val="yellow"/>
                <w:lang w:val="en-US"/>
              </w:rPr>
            </w:pPr>
          </w:p>
        </w:tc>
      </w:tr>
      <w:tr w:rsidR="00552D93" w:rsidRPr="00552D93" w14:paraId="433F16E7" w14:textId="77777777" w:rsidTr="002108E4">
        <w:tc>
          <w:tcPr>
            <w:tcW w:w="803" w:type="pct"/>
          </w:tcPr>
          <w:p w14:paraId="74505258" w14:textId="77777777" w:rsidR="009A347D" w:rsidRPr="00552D93" w:rsidRDefault="009A347D" w:rsidP="00462BEB">
            <w:pPr>
              <w:spacing w:line="240" w:lineRule="auto"/>
              <w:contextualSpacing/>
              <w:rPr>
                <w:rFonts w:ascii="Cambria" w:hAnsi="Cambria"/>
                <w:sz w:val="18"/>
                <w:szCs w:val="18"/>
                <w:lang w:val="en-US"/>
              </w:rPr>
            </w:pPr>
            <w:r w:rsidRPr="00552D93">
              <w:rPr>
                <w:rFonts w:ascii="Cambria" w:hAnsi="Cambria"/>
                <w:sz w:val="18"/>
                <w:szCs w:val="18"/>
                <w:lang w:val="en-US"/>
              </w:rPr>
              <w:t>Male</w:t>
            </w:r>
          </w:p>
          <w:p w14:paraId="20E1A34F" w14:textId="77777777" w:rsidR="009A347D" w:rsidRPr="00552D93" w:rsidRDefault="009A347D" w:rsidP="00462BEB">
            <w:pPr>
              <w:spacing w:line="240" w:lineRule="auto"/>
              <w:contextualSpacing/>
              <w:rPr>
                <w:rFonts w:ascii="Cambria" w:hAnsi="Cambria"/>
                <w:sz w:val="18"/>
                <w:szCs w:val="18"/>
                <w:lang w:val="en-US"/>
              </w:rPr>
            </w:pPr>
          </w:p>
        </w:tc>
        <w:tc>
          <w:tcPr>
            <w:tcW w:w="306" w:type="pct"/>
          </w:tcPr>
          <w:p w14:paraId="0B42C2C1" w14:textId="214C9CA4" w:rsidR="009A347D" w:rsidRPr="00552D93" w:rsidRDefault="00545659" w:rsidP="00462BEB">
            <w:pPr>
              <w:spacing w:line="240" w:lineRule="auto"/>
              <w:contextualSpacing/>
              <w:rPr>
                <w:rFonts w:ascii="Cambria" w:hAnsi="Cambria"/>
                <w:b/>
                <w:sz w:val="18"/>
                <w:szCs w:val="18"/>
                <w:lang w:val="en-US"/>
              </w:rPr>
            </w:pPr>
            <w:r w:rsidRPr="00552D93">
              <w:rPr>
                <w:rFonts w:ascii="Cambria" w:hAnsi="Cambria"/>
                <w:b/>
                <w:sz w:val="18"/>
                <w:szCs w:val="18"/>
                <w:lang w:val="en-US"/>
              </w:rPr>
              <w:t>38,874</w:t>
            </w:r>
          </w:p>
        </w:tc>
        <w:tc>
          <w:tcPr>
            <w:tcW w:w="423" w:type="pct"/>
          </w:tcPr>
          <w:p w14:paraId="1B360A4E" w14:textId="17CCB5FC" w:rsidR="009A347D" w:rsidRPr="00552D93" w:rsidRDefault="00545659" w:rsidP="00462BEB">
            <w:pPr>
              <w:spacing w:line="240" w:lineRule="auto"/>
              <w:contextualSpacing/>
              <w:rPr>
                <w:rFonts w:ascii="Cambria" w:hAnsi="Cambria"/>
                <w:sz w:val="18"/>
                <w:szCs w:val="18"/>
                <w:lang w:val="en-US"/>
              </w:rPr>
            </w:pPr>
            <w:r w:rsidRPr="00552D93">
              <w:rPr>
                <w:rFonts w:ascii="Cambria" w:hAnsi="Cambria"/>
                <w:sz w:val="18"/>
                <w:szCs w:val="18"/>
                <w:lang w:val="en-US"/>
              </w:rPr>
              <w:t>5,195 (13.4</w:t>
            </w:r>
            <w:r w:rsidR="009A347D" w:rsidRPr="00552D93">
              <w:rPr>
                <w:rFonts w:ascii="Cambria" w:hAnsi="Cambria"/>
                <w:sz w:val="18"/>
                <w:szCs w:val="18"/>
                <w:lang w:val="en-US"/>
              </w:rPr>
              <w:t>)</w:t>
            </w:r>
          </w:p>
        </w:tc>
        <w:tc>
          <w:tcPr>
            <w:tcW w:w="453" w:type="pct"/>
          </w:tcPr>
          <w:p w14:paraId="033621EA" w14:textId="36154A66" w:rsidR="009A347D" w:rsidRPr="00552D93" w:rsidRDefault="00545659" w:rsidP="00462BEB">
            <w:pPr>
              <w:spacing w:line="240" w:lineRule="auto"/>
              <w:contextualSpacing/>
              <w:rPr>
                <w:rFonts w:ascii="Cambria" w:hAnsi="Cambria"/>
                <w:sz w:val="18"/>
                <w:szCs w:val="18"/>
                <w:lang w:val="en-US"/>
              </w:rPr>
            </w:pPr>
            <w:r w:rsidRPr="00552D93">
              <w:rPr>
                <w:rFonts w:ascii="Cambria" w:hAnsi="Cambria"/>
                <w:sz w:val="18"/>
                <w:szCs w:val="18"/>
                <w:lang w:val="en-US"/>
              </w:rPr>
              <w:t>33,679 (86.6</w:t>
            </w:r>
            <w:r w:rsidR="009A347D" w:rsidRPr="00552D93">
              <w:rPr>
                <w:rFonts w:ascii="Cambria" w:hAnsi="Cambria"/>
                <w:sz w:val="18"/>
                <w:szCs w:val="18"/>
                <w:lang w:val="en-US"/>
              </w:rPr>
              <w:t>)</w:t>
            </w:r>
          </w:p>
        </w:tc>
        <w:tc>
          <w:tcPr>
            <w:tcW w:w="452" w:type="pct"/>
          </w:tcPr>
          <w:p w14:paraId="4EBFBDBD"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5" w:type="pct"/>
          </w:tcPr>
          <w:p w14:paraId="2CDECA30" w14:textId="1E80D977" w:rsidR="009A347D" w:rsidRPr="00552D93" w:rsidRDefault="00545659" w:rsidP="00462BEB">
            <w:pPr>
              <w:spacing w:line="240" w:lineRule="auto"/>
              <w:contextualSpacing/>
              <w:rPr>
                <w:rFonts w:ascii="Cambria" w:hAnsi="Cambria"/>
                <w:sz w:val="18"/>
                <w:szCs w:val="18"/>
                <w:lang w:val="en-US"/>
              </w:rPr>
            </w:pPr>
            <w:r w:rsidRPr="00552D93">
              <w:rPr>
                <w:rFonts w:ascii="Cambria" w:hAnsi="Cambria"/>
                <w:sz w:val="18"/>
                <w:szCs w:val="18"/>
                <w:lang w:val="en-US"/>
              </w:rPr>
              <w:t>12,427 (32.0</w:t>
            </w:r>
            <w:r w:rsidR="009A347D" w:rsidRPr="00552D93">
              <w:rPr>
                <w:rFonts w:ascii="Cambria" w:hAnsi="Cambria"/>
                <w:sz w:val="18"/>
                <w:szCs w:val="18"/>
                <w:lang w:val="en-US"/>
              </w:rPr>
              <w:t>)</w:t>
            </w:r>
          </w:p>
        </w:tc>
        <w:tc>
          <w:tcPr>
            <w:tcW w:w="455" w:type="pct"/>
          </w:tcPr>
          <w:p w14:paraId="79FF6BB3" w14:textId="420FB7AA" w:rsidR="009A347D" w:rsidRPr="00552D93" w:rsidRDefault="00545659" w:rsidP="00462BEB">
            <w:pPr>
              <w:spacing w:line="240" w:lineRule="auto"/>
              <w:contextualSpacing/>
              <w:rPr>
                <w:rFonts w:ascii="Cambria" w:hAnsi="Cambria"/>
                <w:sz w:val="18"/>
                <w:szCs w:val="18"/>
                <w:lang w:val="en-US"/>
              </w:rPr>
            </w:pPr>
            <w:r w:rsidRPr="00552D93">
              <w:rPr>
                <w:rFonts w:ascii="Cambria" w:hAnsi="Cambria"/>
                <w:sz w:val="18"/>
                <w:szCs w:val="18"/>
                <w:lang w:val="en-US"/>
              </w:rPr>
              <w:t>26</w:t>
            </w:r>
            <w:r w:rsidR="00977ED4" w:rsidRPr="00552D93">
              <w:rPr>
                <w:rFonts w:ascii="Cambria" w:hAnsi="Cambria"/>
                <w:sz w:val="18"/>
                <w:szCs w:val="18"/>
                <w:lang w:val="en-US"/>
              </w:rPr>
              <w:t>,</w:t>
            </w:r>
            <w:r w:rsidRPr="00552D93">
              <w:rPr>
                <w:rFonts w:ascii="Cambria" w:hAnsi="Cambria"/>
                <w:sz w:val="18"/>
                <w:szCs w:val="18"/>
                <w:lang w:val="en-US"/>
              </w:rPr>
              <w:t>447 (68.0</w:t>
            </w:r>
            <w:r w:rsidR="009A347D" w:rsidRPr="00552D93">
              <w:rPr>
                <w:rFonts w:ascii="Cambria" w:hAnsi="Cambria"/>
                <w:sz w:val="18"/>
                <w:szCs w:val="18"/>
                <w:lang w:val="en-US"/>
              </w:rPr>
              <w:t>)</w:t>
            </w:r>
          </w:p>
        </w:tc>
        <w:tc>
          <w:tcPr>
            <w:tcW w:w="392" w:type="pct"/>
          </w:tcPr>
          <w:p w14:paraId="56D3B12E"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0" w:type="pct"/>
          </w:tcPr>
          <w:p w14:paraId="124114FE" w14:textId="5B284B43" w:rsidR="009A347D" w:rsidRPr="00552D93" w:rsidRDefault="00545659" w:rsidP="00462BEB">
            <w:pPr>
              <w:spacing w:line="240" w:lineRule="auto"/>
              <w:contextualSpacing/>
              <w:rPr>
                <w:rFonts w:ascii="Cambria" w:hAnsi="Cambria"/>
                <w:sz w:val="18"/>
                <w:szCs w:val="18"/>
                <w:lang w:val="en-US"/>
              </w:rPr>
            </w:pPr>
            <w:r w:rsidRPr="00552D93">
              <w:rPr>
                <w:rFonts w:ascii="Cambria" w:hAnsi="Cambria"/>
                <w:sz w:val="18"/>
                <w:szCs w:val="18"/>
                <w:lang w:val="en-US"/>
              </w:rPr>
              <w:t>30,580 (78.7</w:t>
            </w:r>
            <w:r w:rsidR="009A347D" w:rsidRPr="00552D93">
              <w:rPr>
                <w:rFonts w:ascii="Cambria" w:hAnsi="Cambria"/>
                <w:sz w:val="18"/>
                <w:szCs w:val="18"/>
                <w:lang w:val="en-US"/>
              </w:rPr>
              <w:t>)</w:t>
            </w:r>
          </w:p>
        </w:tc>
        <w:tc>
          <w:tcPr>
            <w:tcW w:w="433" w:type="pct"/>
          </w:tcPr>
          <w:p w14:paraId="65CF2199" w14:textId="3F8FDCE7" w:rsidR="009A347D" w:rsidRPr="00552D93" w:rsidRDefault="00545659" w:rsidP="00462BEB">
            <w:pPr>
              <w:spacing w:line="240" w:lineRule="auto"/>
              <w:contextualSpacing/>
              <w:rPr>
                <w:rFonts w:ascii="Cambria" w:hAnsi="Cambria"/>
                <w:sz w:val="18"/>
                <w:szCs w:val="18"/>
                <w:lang w:val="en-US"/>
              </w:rPr>
            </w:pPr>
            <w:r w:rsidRPr="00552D93">
              <w:rPr>
                <w:rFonts w:ascii="Cambria" w:hAnsi="Cambria"/>
                <w:sz w:val="18"/>
                <w:szCs w:val="18"/>
                <w:lang w:val="en-US"/>
              </w:rPr>
              <w:t>8,294 (21.3</w:t>
            </w:r>
            <w:r w:rsidR="009A347D" w:rsidRPr="00552D93">
              <w:rPr>
                <w:rFonts w:ascii="Cambria" w:hAnsi="Cambria"/>
                <w:sz w:val="18"/>
                <w:szCs w:val="18"/>
                <w:lang w:val="en-US"/>
              </w:rPr>
              <w:t>)</w:t>
            </w:r>
          </w:p>
        </w:tc>
        <w:tc>
          <w:tcPr>
            <w:tcW w:w="378" w:type="pct"/>
          </w:tcPr>
          <w:p w14:paraId="5648D5CE" w14:textId="77777777" w:rsidR="009A347D" w:rsidRPr="00552D93" w:rsidRDefault="009A347D" w:rsidP="00462BEB">
            <w:pPr>
              <w:spacing w:line="240" w:lineRule="auto"/>
              <w:contextualSpacing/>
              <w:rPr>
                <w:rFonts w:ascii="Cambria" w:hAnsi="Cambria"/>
                <w:sz w:val="18"/>
                <w:szCs w:val="18"/>
                <w:highlight w:val="yellow"/>
                <w:lang w:val="en-US"/>
              </w:rPr>
            </w:pPr>
          </w:p>
        </w:tc>
      </w:tr>
      <w:tr w:rsidR="00552D93" w:rsidRPr="00552D93" w14:paraId="68D46B2D" w14:textId="77777777" w:rsidTr="002108E4">
        <w:tc>
          <w:tcPr>
            <w:tcW w:w="803" w:type="pct"/>
          </w:tcPr>
          <w:p w14:paraId="665E784D" w14:textId="77777777" w:rsidR="009A347D" w:rsidRPr="00552D93" w:rsidRDefault="009A347D" w:rsidP="00462BEB">
            <w:pPr>
              <w:spacing w:line="240" w:lineRule="auto"/>
              <w:contextualSpacing/>
              <w:rPr>
                <w:rFonts w:ascii="Cambria" w:hAnsi="Cambria"/>
                <w:sz w:val="18"/>
                <w:szCs w:val="18"/>
                <w:lang w:val="en-US"/>
              </w:rPr>
            </w:pPr>
            <w:r w:rsidRPr="00552D93">
              <w:rPr>
                <w:rFonts w:ascii="Cambria" w:hAnsi="Cambria"/>
                <w:sz w:val="18"/>
                <w:szCs w:val="18"/>
                <w:lang w:val="en-US"/>
              </w:rPr>
              <w:t>Age</w:t>
            </w:r>
          </w:p>
        </w:tc>
        <w:tc>
          <w:tcPr>
            <w:tcW w:w="306" w:type="pct"/>
          </w:tcPr>
          <w:p w14:paraId="513A20C0" w14:textId="77777777" w:rsidR="009A347D" w:rsidRPr="00552D93" w:rsidRDefault="009A347D" w:rsidP="00462BEB">
            <w:pPr>
              <w:spacing w:line="240" w:lineRule="auto"/>
              <w:contextualSpacing/>
              <w:rPr>
                <w:rFonts w:ascii="Cambria" w:hAnsi="Cambria"/>
                <w:b/>
                <w:sz w:val="18"/>
                <w:szCs w:val="18"/>
                <w:highlight w:val="yellow"/>
                <w:lang w:val="en-US"/>
              </w:rPr>
            </w:pPr>
          </w:p>
        </w:tc>
        <w:tc>
          <w:tcPr>
            <w:tcW w:w="423" w:type="pct"/>
          </w:tcPr>
          <w:p w14:paraId="3E074C7A"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3" w:type="pct"/>
          </w:tcPr>
          <w:p w14:paraId="390DBF49"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2" w:type="pct"/>
          </w:tcPr>
          <w:p w14:paraId="5F701AA0" w14:textId="2E950C20" w:rsidR="009A347D" w:rsidRPr="00552D93" w:rsidRDefault="00571C2B" w:rsidP="00462BEB">
            <w:pPr>
              <w:spacing w:line="240" w:lineRule="auto"/>
              <w:contextualSpacing/>
              <w:rPr>
                <w:rFonts w:ascii="Cambria" w:hAnsi="Cambria"/>
                <w:sz w:val="18"/>
                <w:szCs w:val="18"/>
                <w:highlight w:val="yellow"/>
                <w:lang w:val="en-US"/>
              </w:rPr>
            </w:pPr>
            <w:r w:rsidRPr="00552D93">
              <w:rPr>
                <w:rFonts w:ascii="Cambria" w:hAnsi="Cambria"/>
                <w:sz w:val="18"/>
                <w:szCs w:val="18"/>
                <w:lang w:val="en-US"/>
              </w:rPr>
              <w:t>361.56</w:t>
            </w:r>
            <w:r w:rsidR="009A347D" w:rsidRPr="00552D93">
              <w:rPr>
                <w:rFonts w:ascii="Cambria" w:hAnsi="Cambria"/>
                <w:sz w:val="18"/>
                <w:szCs w:val="18"/>
                <w:lang w:val="en-US"/>
              </w:rPr>
              <w:t>*</w:t>
            </w:r>
            <w:r w:rsidRPr="00552D93">
              <w:rPr>
                <w:rFonts w:ascii="Cambria" w:hAnsi="Cambria"/>
                <w:sz w:val="18"/>
                <w:szCs w:val="18"/>
                <w:lang w:val="en-US"/>
              </w:rPr>
              <w:t xml:space="preserve"> V =.077</w:t>
            </w:r>
          </w:p>
        </w:tc>
        <w:tc>
          <w:tcPr>
            <w:tcW w:w="455" w:type="pct"/>
          </w:tcPr>
          <w:p w14:paraId="6ABA546C"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5" w:type="pct"/>
          </w:tcPr>
          <w:p w14:paraId="0945AD72" w14:textId="77777777" w:rsidR="009A347D" w:rsidRPr="00552D93" w:rsidRDefault="009A347D" w:rsidP="00462BEB">
            <w:pPr>
              <w:spacing w:line="240" w:lineRule="auto"/>
              <w:contextualSpacing/>
              <w:rPr>
                <w:rFonts w:ascii="Cambria" w:hAnsi="Cambria"/>
                <w:sz w:val="18"/>
                <w:szCs w:val="18"/>
                <w:lang w:val="en-US"/>
              </w:rPr>
            </w:pPr>
          </w:p>
        </w:tc>
        <w:tc>
          <w:tcPr>
            <w:tcW w:w="392" w:type="pct"/>
          </w:tcPr>
          <w:p w14:paraId="511BABB4" w14:textId="4D5A76CF" w:rsidR="009A347D" w:rsidRPr="00552D93" w:rsidRDefault="00571C2B" w:rsidP="00462BEB">
            <w:pPr>
              <w:spacing w:line="240" w:lineRule="auto"/>
              <w:contextualSpacing/>
              <w:rPr>
                <w:rFonts w:ascii="Cambria" w:hAnsi="Cambria"/>
                <w:sz w:val="18"/>
                <w:szCs w:val="18"/>
                <w:lang w:val="en-US"/>
              </w:rPr>
            </w:pPr>
            <w:r w:rsidRPr="00552D93">
              <w:rPr>
                <w:rFonts w:ascii="Cambria" w:hAnsi="Cambria"/>
                <w:sz w:val="18"/>
                <w:szCs w:val="18"/>
                <w:lang w:val="en-US"/>
              </w:rPr>
              <w:t>1145.93</w:t>
            </w:r>
            <w:r w:rsidR="009A347D" w:rsidRPr="00552D93">
              <w:rPr>
                <w:rFonts w:ascii="Cambria" w:hAnsi="Cambria"/>
                <w:sz w:val="18"/>
                <w:szCs w:val="18"/>
                <w:lang w:val="en-US"/>
              </w:rPr>
              <w:t>*</w:t>
            </w:r>
            <w:r w:rsidR="007A7AF9" w:rsidRPr="00552D93">
              <w:rPr>
                <w:rFonts w:ascii="Cambria" w:hAnsi="Cambria"/>
                <w:sz w:val="18"/>
                <w:szCs w:val="18"/>
                <w:lang w:val="en-US"/>
              </w:rPr>
              <w:t xml:space="preserve"> V=.137</w:t>
            </w:r>
          </w:p>
        </w:tc>
        <w:tc>
          <w:tcPr>
            <w:tcW w:w="450" w:type="pct"/>
          </w:tcPr>
          <w:p w14:paraId="2D97088F"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33" w:type="pct"/>
          </w:tcPr>
          <w:p w14:paraId="16302C92"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378" w:type="pct"/>
          </w:tcPr>
          <w:p w14:paraId="512A8F9D" w14:textId="4320CDA9" w:rsidR="009A347D" w:rsidRPr="00552D93" w:rsidRDefault="00571C2B" w:rsidP="00462BEB">
            <w:pPr>
              <w:spacing w:line="240" w:lineRule="auto"/>
              <w:contextualSpacing/>
              <w:rPr>
                <w:rFonts w:ascii="Cambria" w:hAnsi="Cambria"/>
                <w:sz w:val="18"/>
                <w:szCs w:val="18"/>
                <w:highlight w:val="yellow"/>
                <w:lang w:val="en-US"/>
              </w:rPr>
            </w:pPr>
            <w:r w:rsidRPr="00552D93">
              <w:rPr>
                <w:rFonts w:ascii="Cambria" w:hAnsi="Cambria"/>
                <w:sz w:val="18"/>
                <w:szCs w:val="18"/>
                <w:lang w:val="en-US"/>
              </w:rPr>
              <w:t>380.95</w:t>
            </w:r>
            <w:r w:rsidR="009A347D" w:rsidRPr="00552D93">
              <w:rPr>
                <w:rFonts w:ascii="Cambria" w:hAnsi="Cambria"/>
                <w:sz w:val="18"/>
                <w:szCs w:val="18"/>
                <w:lang w:val="en-US"/>
              </w:rPr>
              <w:t>*</w:t>
            </w:r>
            <w:r w:rsidR="007A7AF9" w:rsidRPr="00552D93">
              <w:rPr>
                <w:rFonts w:ascii="Cambria" w:hAnsi="Cambria"/>
                <w:sz w:val="18"/>
                <w:szCs w:val="18"/>
                <w:lang w:val="en-US"/>
              </w:rPr>
              <w:t xml:space="preserve"> V =.079</w:t>
            </w:r>
          </w:p>
        </w:tc>
      </w:tr>
      <w:tr w:rsidR="00552D93" w:rsidRPr="00552D93" w14:paraId="0670D8D3" w14:textId="77777777" w:rsidTr="002108E4">
        <w:tc>
          <w:tcPr>
            <w:tcW w:w="803" w:type="pct"/>
          </w:tcPr>
          <w:p w14:paraId="382081D4" w14:textId="77777777" w:rsidR="009A347D" w:rsidRPr="00552D93" w:rsidRDefault="009A347D" w:rsidP="00462BEB">
            <w:pPr>
              <w:spacing w:line="240" w:lineRule="auto"/>
              <w:contextualSpacing/>
              <w:rPr>
                <w:rFonts w:ascii="Cambria" w:hAnsi="Cambria"/>
                <w:sz w:val="18"/>
                <w:szCs w:val="18"/>
                <w:lang w:val="en-US"/>
              </w:rPr>
            </w:pPr>
            <w:r w:rsidRPr="00552D93">
              <w:rPr>
                <w:rFonts w:ascii="Cambria" w:hAnsi="Cambria"/>
                <w:sz w:val="18"/>
                <w:szCs w:val="18"/>
                <w:lang w:val="en-US"/>
              </w:rPr>
              <w:t>&lt;25</w:t>
            </w:r>
          </w:p>
        </w:tc>
        <w:tc>
          <w:tcPr>
            <w:tcW w:w="306" w:type="pct"/>
          </w:tcPr>
          <w:p w14:paraId="52216BBF" w14:textId="0C0DA145" w:rsidR="009A347D" w:rsidRPr="00552D93" w:rsidRDefault="00545659" w:rsidP="00462BEB">
            <w:pPr>
              <w:spacing w:line="240" w:lineRule="auto"/>
              <w:contextualSpacing/>
              <w:rPr>
                <w:rFonts w:ascii="Cambria" w:hAnsi="Cambria"/>
                <w:b/>
                <w:sz w:val="18"/>
                <w:szCs w:val="18"/>
                <w:lang w:val="en-US"/>
              </w:rPr>
            </w:pPr>
            <w:r w:rsidRPr="00552D93">
              <w:rPr>
                <w:rFonts w:ascii="Cambria" w:hAnsi="Cambria"/>
                <w:b/>
                <w:sz w:val="18"/>
                <w:szCs w:val="18"/>
                <w:lang w:val="en-US"/>
              </w:rPr>
              <w:t>29,714</w:t>
            </w:r>
          </w:p>
        </w:tc>
        <w:tc>
          <w:tcPr>
            <w:tcW w:w="423" w:type="pct"/>
          </w:tcPr>
          <w:p w14:paraId="672F4E09" w14:textId="3DEBEA86" w:rsidR="009A347D" w:rsidRPr="00552D93" w:rsidRDefault="00571C2B" w:rsidP="00462BEB">
            <w:pPr>
              <w:spacing w:line="240" w:lineRule="auto"/>
              <w:contextualSpacing/>
              <w:rPr>
                <w:rFonts w:ascii="Cambria" w:hAnsi="Cambria"/>
                <w:sz w:val="18"/>
                <w:szCs w:val="18"/>
                <w:lang w:val="en-US"/>
              </w:rPr>
            </w:pPr>
            <w:r w:rsidRPr="00552D93">
              <w:rPr>
                <w:rFonts w:ascii="Cambria" w:hAnsi="Cambria"/>
                <w:sz w:val="18"/>
                <w:szCs w:val="18"/>
                <w:lang w:val="en-US"/>
              </w:rPr>
              <w:t>3,486 (11.7</w:t>
            </w:r>
            <w:r w:rsidR="009A347D" w:rsidRPr="00552D93">
              <w:rPr>
                <w:rFonts w:ascii="Cambria" w:hAnsi="Cambria"/>
                <w:sz w:val="18"/>
                <w:szCs w:val="18"/>
                <w:lang w:val="en-US"/>
              </w:rPr>
              <w:t>)</w:t>
            </w:r>
          </w:p>
        </w:tc>
        <w:tc>
          <w:tcPr>
            <w:tcW w:w="453" w:type="pct"/>
          </w:tcPr>
          <w:p w14:paraId="1CD18C55" w14:textId="43F80EBC" w:rsidR="009A347D" w:rsidRPr="00552D93" w:rsidRDefault="00571C2B" w:rsidP="00462BEB">
            <w:pPr>
              <w:spacing w:line="240" w:lineRule="auto"/>
              <w:contextualSpacing/>
              <w:rPr>
                <w:rFonts w:ascii="Cambria" w:hAnsi="Cambria"/>
                <w:sz w:val="18"/>
                <w:szCs w:val="18"/>
                <w:lang w:val="en-US"/>
              </w:rPr>
            </w:pPr>
            <w:r w:rsidRPr="00552D93">
              <w:rPr>
                <w:rFonts w:ascii="Cambria" w:hAnsi="Cambria"/>
                <w:sz w:val="18"/>
                <w:szCs w:val="18"/>
                <w:lang w:val="en-US"/>
              </w:rPr>
              <w:t>26,228 (88.3</w:t>
            </w:r>
            <w:r w:rsidR="009A347D" w:rsidRPr="00552D93">
              <w:rPr>
                <w:rFonts w:ascii="Cambria" w:hAnsi="Cambria"/>
                <w:sz w:val="18"/>
                <w:szCs w:val="18"/>
                <w:lang w:val="en-US"/>
              </w:rPr>
              <w:t>)</w:t>
            </w:r>
          </w:p>
        </w:tc>
        <w:tc>
          <w:tcPr>
            <w:tcW w:w="452" w:type="pct"/>
          </w:tcPr>
          <w:p w14:paraId="2E016349"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5" w:type="pct"/>
          </w:tcPr>
          <w:p w14:paraId="064AA929" w14:textId="70E28C14" w:rsidR="009A347D" w:rsidRPr="00552D93" w:rsidRDefault="00571C2B" w:rsidP="00462BEB">
            <w:pPr>
              <w:spacing w:line="240" w:lineRule="auto"/>
              <w:contextualSpacing/>
              <w:rPr>
                <w:rFonts w:ascii="Cambria" w:hAnsi="Cambria"/>
                <w:sz w:val="18"/>
                <w:szCs w:val="18"/>
                <w:lang w:val="en-US"/>
              </w:rPr>
            </w:pPr>
            <w:r w:rsidRPr="00552D93">
              <w:rPr>
                <w:rFonts w:ascii="Cambria" w:hAnsi="Cambria"/>
                <w:sz w:val="18"/>
                <w:szCs w:val="18"/>
                <w:lang w:val="en-US"/>
              </w:rPr>
              <w:t>8,217 (27.7</w:t>
            </w:r>
            <w:r w:rsidR="009A347D" w:rsidRPr="00552D93">
              <w:rPr>
                <w:rFonts w:ascii="Cambria" w:hAnsi="Cambria"/>
                <w:sz w:val="18"/>
                <w:szCs w:val="18"/>
                <w:lang w:val="en-US"/>
              </w:rPr>
              <w:t>)</w:t>
            </w:r>
          </w:p>
        </w:tc>
        <w:tc>
          <w:tcPr>
            <w:tcW w:w="455" w:type="pct"/>
          </w:tcPr>
          <w:p w14:paraId="794841DD" w14:textId="68C5C8A2" w:rsidR="009A347D" w:rsidRPr="00552D93" w:rsidRDefault="00571C2B" w:rsidP="00462BEB">
            <w:pPr>
              <w:spacing w:line="240" w:lineRule="auto"/>
              <w:contextualSpacing/>
              <w:rPr>
                <w:rFonts w:ascii="Cambria" w:hAnsi="Cambria"/>
                <w:sz w:val="18"/>
                <w:szCs w:val="18"/>
                <w:lang w:val="en-US"/>
              </w:rPr>
            </w:pPr>
            <w:r w:rsidRPr="00552D93">
              <w:rPr>
                <w:rFonts w:ascii="Cambria" w:hAnsi="Cambria"/>
                <w:sz w:val="18"/>
                <w:szCs w:val="18"/>
                <w:lang w:val="en-US"/>
              </w:rPr>
              <w:t>21,497 (72.3</w:t>
            </w:r>
            <w:r w:rsidR="009A347D" w:rsidRPr="00552D93">
              <w:rPr>
                <w:rFonts w:ascii="Cambria" w:hAnsi="Cambria"/>
                <w:sz w:val="18"/>
                <w:szCs w:val="18"/>
                <w:lang w:val="en-US"/>
              </w:rPr>
              <w:t>)</w:t>
            </w:r>
          </w:p>
        </w:tc>
        <w:tc>
          <w:tcPr>
            <w:tcW w:w="392" w:type="pct"/>
          </w:tcPr>
          <w:p w14:paraId="6413AF6C"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0" w:type="pct"/>
          </w:tcPr>
          <w:p w14:paraId="623DB10D" w14:textId="3ABAAE99" w:rsidR="009A347D" w:rsidRPr="00552D93" w:rsidRDefault="00571C2B" w:rsidP="00462BEB">
            <w:pPr>
              <w:spacing w:line="240" w:lineRule="auto"/>
              <w:contextualSpacing/>
              <w:rPr>
                <w:rFonts w:ascii="Cambria" w:hAnsi="Cambria"/>
                <w:sz w:val="18"/>
                <w:szCs w:val="18"/>
                <w:lang w:val="en-US"/>
              </w:rPr>
            </w:pPr>
            <w:r w:rsidRPr="00552D93">
              <w:rPr>
                <w:rFonts w:ascii="Cambria" w:hAnsi="Cambria"/>
                <w:sz w:val="18"/>
                <w:szCs w:val="18"/>
                <w:lang w:val="en-US"/>
              </w:rPr>
              <w:t>22,703</w:t>
            </w:r>
            <w:r w:rsidR="009A347D" w:rsidRPr="00552D93">
              <w:rPr>
                <w:rFonts w:ascii="Cambria" w:hAnsi="Cambria"/>
                <w:sz w:val="18"/>
                <w:szCs w:val="18"/>
                <w:lang w:val="en-US"/>
              </w:rPr>
              <w:t xml:space="preserve"> (76.4)</w:t>
            </w:r>
          </w:p>
        </w:tc>
        <w:tc>
          <w:tcPr>
            <w:tcW w:w="433" w:type="pct"/>
          </w:tcPr>
          <w:p w14:paraId="73BE325C" w14:textId="096560D5" w:rsidR="009A347D" w:rsidRPr="00552D93" w:rsidRDefault="00571C2B" w:rsidP="00462BEB">
            <w:pPr>
              <w:spacing w:line="240" w:lineRule="auto"/>
              <w:contextualSpacing/>
              <w:rPr>
                <w:rFonts w:ascii="Cambria" w:hAnsi="Cambria"/>
                <w:sz w:val="18"/>
                <w:szCs w:val="18"/>
                <w:lang w:val="en-US"/>
              </w:rPr>
            </w:pPr>
            <w:r w:rsidRPr="00552D93">
              <w:rPr>
                <w:rFonts w:ascii="Cambria" w:hAnsi="Cambria"/>
                <w:sz w:val="18"/>
                <w:szCs w:val="18"/>
                <w:lang w:val="en-US"/>
              </w:rPr>
              <w:t>7,011</w:t>
            </w:r>
            <w:r w:rsidR="009A347D" w:rsidRPr="00552D93">
              <w:rPr>
                <w:rFonts w:ascii="Cambria" w:hAnsi="Cambria"/>
                <w:sz w:val="18"/>
                <w:szCs w:val="18"/>
                <w:lang w:val="en-US"/>
              </w:rPr>
              <w:t xml:space="preserve"> (23.6)</w:t>
            </w:r>
          </w:p>
        </w:tc>
        <w:tc>
          <w:tcPr>
            <w:tcW w:w="378" w:type="pct"/>
          </w:tcPr>
          <w:p w14:paraId="629EF02D" w14:textId="77777777" w:rsidR="009A347D" w:rsidRPr="00552D93" w:rsidRDefault="009A347D" w:rsidP="00462BEB">
            <w:pPr>
              <w:spacing w:line="240" w:lineRule="auto"/>
              <w:contextualSpacing/>
              <w:rPr>
                <w:rFonts w:ascii="Cambria" w:hAnsi="Cambria"/>
                <w:sz w:val="18"/>
                <w:szCs w:val="18"/>
                <w:highlight w:val="yellow"/>
                <w:lang w:val="en-US"/>
              </w:rPr>
            </w:pPr>
          </w:p>
        </w:tc>
      </w:tr>
      <w:tr w:rsidR="00552D93" w:rsidRPr="00552D93" w14:paraId="764E3C81" w14:textId="77777777" w:rsidTr="002108E4">
        <w:tc>
          <w:tcPr>
            <w:tcW w:w="803" w:type="pct"/>
          </w:tcPr>
          <w:p w14:paraId="323ACE66" w14:textId="77777777" w:rsidR="009A347D" w:rsidRPr="00552D93" w:rsidRDefault="009A347D" w:rsidP="00462BEB">
            <w:pPr>
              <w:spacing w:line="240" w:lineRule="auto"/>
              <w:contextualSpacing/>
              <w:rPr>
                <w:rFonts w:ascii="Cambria" w:hAnsi="Cambria"/>
                <w:sz w:val="18"/>
                <w:szCs w:val="18"/>
                <w:lang w:val="en-US"/>
              </w:rPr>
            </w:pPr>
            <w:r w:rsidRPr="00552D93">
              <w:rPr>
                <w:rFonts w:ascii="Cambria" w:hAnsi="Cambria"/>
                <w:sz w:val="18"/>
                <w:szCs w:val="18"/>
                <w:lang w:val="en-US"/>
              </w:rPr>
              <w:t>25 +</w:t>
            </w:r>
          </w:p>
          <w:p w14:paraId="2E84318E" w14:textId="77777777" w:rsidR="009A347D" w:rsidRPr="00552D93" w:rsidRDefault="009A347D" w:rsidP="00462BEB">
            <w:pPr>
              <w:spacing w:line="240" w:lineRule="auto"/>
              <w:contextualSpacing/>
              <w:rPr>
                <w:rFonts w:ascii="Cambria" w:hAnsi="Cambria"/>
                <w:sz w:val="18"/>
                <w:szCs w:val="18"/>
                <w:lang w:val="en-US"/>
              </w:rPr>
            </w:pPr>
          </w:p>
        </w:tc>
        <w:tc>
          <w:tcPr>
            <w:tcW w:w="306" w:type="pct"/>
          </w:tcPr>
          <w:p w14:paraId="206DD1CE" w14:textId="4E9D602C" w:rsidR="009A347D" w:rsidRPr="00552D93" w:rsidRDefault="00571C2B" w:rsidP="00462BEB">
            <w:pPr>
              <w:spacing w:line="240" w:lineRule="auto"/>
              <w:contextualSpacing/>
              <w:rPr>
                <w:rFonts w:ascii="Cambria" w:hAnsi="Cambria"/>
                <w:b/>
                <w:sz w:val="18"/>
                <w:szCs w:val="18"/>
                <w:lang w:val="en-US"/>
              </w:rPr>
            </w:pPr>
            <w:r w:rsidRPr="00552D93">
              <w:rPr>
                <w:rFonts w:ascii="Cambria" w:hAnsi="Cambria"/>
                <w:b/>
                <w:sz w:val="18"/>
                <w:szCs w:val="18"/>
                <w:lang w:val="en-US"/>
              </w:rPr>
              <w:t>31,105</w:t>
            </w:r>
          </w:p>
        </w:tc>
        <w:tc>
          <w:tcPr>
            <w:tcW w:w="423" w:type="pct"/>
          </w:tcPr>
          <w:p w14:paraId="30168EAC" w14:textId="2DF9DE36" w:rsidR="009A347D" w:rsidRPr="00552D93" w:rsidRDefault="00571C2B" w:rsidP="00462BEB">
            <w:pPr>
              <w:spacing w:line="240" w:lineRule="auto"/>
              <w:contextualSpacing/>
              <w:rPr>
                <w:rFonts w:ascii="Cambria" w:hAnsi="Cambria"/>
                <w:sz w:val="18"/>
                <w:szCs w:val="18"/>
                <w:lang w:val="en-US"/>
              </w:rPr>
            </w:pPr>
            <w:r w:rsidRPr="00552D93">
              <w:rPr>
                <w:rFonts w:ascii="Cambria" w:hAnsi="Cambria"/>
                <w:sz w:val="18"/>
                <w:szCs w:val="18"/>
                <w:lang w:val="en-US"/>
              </w:rPr>
              <w:t>5,339 (17.2</w:t>
            </w:r>
            <w:r w:rsidR="009A347D" w:rsidRPr="00552D93">
              <w:rPr>
                <w:rFonts w:ascii="Cambria" w:hAnsi="Cambria"/>
                <w:sz w:val="18"/>
                <w:szCs w:val="18"/>
                <w:lang w:val="en-US"/>
              </w:rPr>
              <w:t>)</w:t>
            </w:r>
          </w:p>
        </w:tc>
        <w:tc>
          <w:tcPr>
            <w:tcW w:w="453" w:type="pct"/>
          </w:tcPr>
          <w:p w14:paraId="6C6C3738" w14:textId="77881136" w:rsidR="009A347D" w:rsidRPr="00552D93" w:rsidRDefault="00571C2B" w:rsidP="00462BEB">
            <w:pPr>
              <w:spacing w:line="240" w:lineRule="auto"/>
              <w:contextualSpacing/>
              <w:rPr>
                <w:rFonts w:ascii="Cambria" w:hAnsi="Cambria"/>
                <w:sz w:val="18"/>
                <w:szCs w:val="18"/>
                <w:lang w:val="en-US"/>
              </w:rPr>
            </w:pPr>
            <w:r w:rsidRPr="00552D93">
              <w:rPr>
                <w:rFonts w:ascii="Cambria" w:hAnsi="Cambria"/>
                <w:sz w:val="18"/>
                <w:szCs w:val="18"/>
                <w:lang w:val="en-US"/>
              </w:rPr>
              <w:t>25,766 (82.8</w:t>
            </w:r>
            <w:r w:rsidR="009A347D" w:rsidRPr="00552D93">
              <w:rPr>
                <w:rFonts w:ascii="Cambria" w:hAnsi="Cambria"/>
                <w:sz w:val="18"/>
                <w:szCs w:val="18"/>
                <w:lang w:val="en-US"/>
              </w:rPr>
              <w:t>)</w:t>
            </w:r>
          </w:p>
        </w:tc>
        <w:tc>
          <w:tcPr>
            <w:tcW w:w="452" w:type="pct"/>
          </w:tcPr>
          <w:p w14:paraId="0E8F5E47" w14:textId="77777777" w:rsidR="009A347D" w:rsidRPr="00552D93" w:rsidRDefault="009A347D" w:rsidP="00462BEB">
            <w:pPr>
              <w:spacing w:line="240" w:lineRule="auto"/>
              <w:contextualSpacing/>
              <w:rPr>
                <w:rFonts w:ascii="Cambria" w:hAnsi="Cambria"/>
                <w:sz w:val="18"/>
                <w:szCs w:val="18"/>
                <w:lang w:val="en-US"/>
              </w:rPr>
            </w:pPr>
          </w:p>
        </w:tc>
        <w:tc>
          <w:tcPr>
            <w:tcW w:w="455" w:type="pct"/>
          </w:tcPr>
          <w:p w14:paraId="2D2071E2" w14:textId="3A634317" w:rsidR="009A347D" w:rsidRPr="00552D93" w:rsidRDefault="00571C2B" w:rsidP="00462BEB">
            <w:pPr>
              <w:spacing w:line="240" w:lineRule="auto"/>
              <w:contextualSpacing/>
              <w:rPr>
                <w:rFonts w:ascii="Cambria" w:hAnsi="Cambria"/>
                <w:sz w:val="18"/>
                <w:szCs w:val="18"/>
                <w:lang w:val="en-US"/>
              </w:rPr>
            </w:pPr>
            <w:r w:rsidRPr="00552D93">
              <w:rPr>
                <w:rFonts w:ascii="Cambria" w:hAnsi="Cambria"/>
                <w:sz w:val="18"/>
                <w:szCs w:val="18"/>
                <w:lang w:val="en-US"/>
              </w:rPr>
              <w:t>12,657 (40.7</w:t>
            </w:r>
            <w:r w:rsidR="009A347D" w:rsidRPr="00552D93">
              <w:rPr>
                <w:rFonts w:ascii="Cambria" w:hAnsi="Cambria"/>
                <w:sz w:val="18"/>
                <w:szCs w:val="18"/>
                <w:lang w:val="en-US"/>
              </w:rPr>
              <w:t>)</w:t>
            </w:r>
          </w:p>
        </w:tc>
        <w:tc>
          <w:tcPr>
            <w:tcW w:w="455" w:type="pct"/>
          </w:tcPr>
          <w:p w14:paraId="50BDA565" w14:textId="634485D3" w:rsidR="009A347D" w:rsidRPr="00552D93" w:rsidRDefault="00571C2B" w:rsidP="00462BEB">
            <w:pPr>
              <w:spacing w:line="240" w:lineRule="auto"/>
              <w:contextualSpacing/>
              <w:rPr>
                <w:rFonts w:ascii="Cambria" w:hAnsi="Cambria"/>
                <w:sz w:val="18"/>
                <w:szCs w:val="18"/>
                <w:lang w:val="en-US"/>
              </w:rPr>
            </w:pPr>
            <w:r w:rsidRPr="00552D93">
              <w:rPr>
                <w:rFonts w:ascii="Cambria" w:hAnsi="Cambria"/>
                <w:sz w:val="18"/>
                <w:szCs w:val="18"/>
                <w:lang w:val="en-US"/>
              </w:rPr>
              <w:t>18,448 (59.3</w:t>
            </w:r>
            <w:r w:rsidR="009A347D" w:rsidRPr="00552D93">
              <w:rPr>
                <w:rFonts w:ascii="Cambria" w:hAnsi="Cambria"/>
                <w:sz w:val="18"/>
                <w:szCs w:val="18"/>
                <w:lang w:val="en-US"/>
              </w:rPr>
              <w:t>)</w:t>
            </w:r>
          </w:p>
        </w:tc>
        <w:tc>
          <w:tcPr>
            <w:tcW w:w="392" w:type="pct"/>
          </w:tcPr>
          <w:p w14:paraId="167EF9AC" w14:textId="77777777" w:rsidR="009A347D" w:rsidRPr="00552D93" w:rsidRDefault="009A347D" w:rsidP="00462BEB">
            <w:pPr>
              <w:spacing w:line="240" w:lineRule="auto"/>
              <w:contextualSpacing/>
              <w:rPr>
                <w:rFonts w:ascii="Cambria" w:hAnsi="Cambria"/>
                <w:sz w:val="18"/>
                <w:szCs w:val="18"/>
                <w:highlight w:val="yellow"/>
                <w:lang w:val="en-US"/>
              </w:rPr>
            </w:pPr>
          </w:p>
        </w:tc>
        <w:tc>
          <w:tcPr>
            <w:tcW w:w="450" w:type="pct"/>
          </w:tcPr>
          <w:p w14:paraId="203CF721" w14:textId="772D0548" w:rsidR="009A347D" w:rsidRPr="00552D93" w:rsidRDefault="00571C2B" w:rsidP="00462BEB">
            <w:pPr>
              <w:spacing w:line="240" w:lineRule="auto"/>
              <w:contextualSpacing/>
              <w:rPr>
                <w:rFonts w:ascii="Cambria" w:hAnsi="Cambria"/>
                <w:sz w:val="18"/>
                <w:szCs w:val="18"/>
                <w:lang w:val="en-US"/>
              </w:rPr>
            </w:pPr>
            <w:r w:rsidRPr="00552D93">
              <w:rPr>
                <w:rFonts w:ascii="Cambria" w:hAnsi="Cambria"/>
                <w:sz w:val="18"/>
                <w:szCs w:val="18"/>
                <w:lang w:val="en-US"/>
              </w:rPr>
              <w:t>25,748 (82.8</w:t>
            </w:r>
            <w:r w:rsidR="009A347D" w:rsidRPr="00552D93">
              <w:rPr>
                <w:rFonts w:ascii="Cambria" w:hAnsi="Cambria"/>
                <w:sz w:val="18"/>
                <w:szCs w:val="18"/>
                <w:lang w:val="en-US"/>
              </w:rPr>
              <w:t>)</w:t>
            </w:r>
          </w:p>
        </w:tc>
        <w:tc>
          <w:tcPr>
            <w:tcW w:w="433" w:type="pct"/>
          </w:tcPr>
          <w:p w14:paraId="5DE176F1" w14:textId="3E159D52" w:rsidR="009A347D" w:rsidRPr="00552D93" w:rsidRDefault="00571C2B" w:rsidP="00462BEB">
            <w:pPr>
              <w:spacing w:line="240" w:lineRule="auto"/>
              <w:contextualSpacing/>
              <w:rPr>
                <w:rFonts w:ascii="Cambria" w:hAnsi="Cambria"/>
                <w:sz w:val="18"/>
                <w:szCs w:val="18"/>
                <w:lang w:val="en-US"/>
              </w:rPr>
            </w:pPr>
            <w:r w:rsidRPr="00552D93">
              <w:rPr>
                <w:rFonts w:ascii="Cambria" w:hAnsi="Cambria"/>
                <w:sz w:val="18"/>
                <w:szCs w:val="18"/>
                <w:lang w:val="en-US"/>
              </w:rPr>
              <w:t>5,357 (17.2</w:t>
            </w:r>
            <w:r w:rsidR="009A347D" w:rsidRPr="00552D93">
              <w:rPr>
                <w:rFonts w:ascii="Cambria" w:hAnsi="Cambria"/>
                <w:sz w:val="18"/>
                <w:szCs w:val="18"/>
                <w:lang w:val="en-US"/>
              </w:rPr>
              <w:t>)</w:t>
            </w:r>
          </w:p>
        </w:tc>
        <w:tc>
          <w:tcPr>
            <w:tcW w:w="378" w:type="pct"/>
          </w:tcPr>
          <w:p w14:paraId="2D9CE01B" w14:textId="77777777" w:rsidR="009A347D" w:rsidRPr="00552D93" w:rsidRDefault="009A347D" w:rsidP="00462BEB">
            <w:pPr>
              <w:spacing w:line="240" w:lineRule="auto"/>
              <w:contextualSpacing/>
              <w:rPr>
                <w:rFonts w:ascii="Cambria" w:hAnsi="Cambria"/>
                <w:sz w:val="18"/>
                <w:szCs w:val="18"/>
                <w:highlight w:val="yellow"/>
                <w:lang w:val="en-US"/>
              </w:rPr>
            </w:pPr>
          </w:p>
        </w:tc>
      </w:tr>
    </w:tbl>
    <w:p w14:paraId="782F8008" w14:textId="03CAC6B6" w:rsidR="009A347D" w:rsidRPr="00552D93" w:rsidRDefault="009A347D" w:rsidP="009A347D">
      <w:pPr>
        <w:rPr>
          <w:rFonts w:asciiTheme="majorHAnsi" w:hAnsiTheme="majorHAnsi"/>
          <w:lang w:val="en-US"/>
        </w:rPr>
      </w:pPr>
      <w:r w:rsidRPr="00552D93">
        <w:rPr>
          <w:rFonts w:asciiTheme="majorHAnsi" w:hAnsiTheme="majorHAnsi"/>
          <w:lang w:val="en-US"/>
        </w:rPr>
        <w:t>Notes: * p&lt;001</w:t>
      </w:r>
      <w:r w:rsidR="005D3470" w:rsidRPr="00552D93">
        <w:rPr>
          <w:rFonts w:asciiTheme="majorHAnsi" w:hAnsiTheme="majorHAnsi"/>
          <w:lang w:val="en-US"/>
        </w:rPr>
        <w:t xml:space="preserve">. </w:t>
      </w:r>
      <w:r w:rsidR="00A92A6B" w:rsidRPr="00552D93">
        <w:rPr>
          <w:rFonts w:asciiTheme="majorHAnsi" w:hAnsiTheme="majorHAnsi"/>
          <w:lang w:val="en-US"/>
        </w:rPr>
        <w:t xml:space="preserve">Effect sizes: Cramer’s V is reported –for 1 DF (age and </w:t>
      </w:r>
      <w:r w:rsidR="0095496C" w:rsidRPr="00552D93">
        <w:rPr>
          <w:rFonts w:asciiTheme="majorHAnsi" w:hAnsiTheme="majorHAnsi"/>
          <w:lang w:val="en-US"/>
        </w:rPr>
        <w:t>gender</w:t>
      </w:r>
      <w:r w:rsidR="00A92A6B" w:rsidRPr="00552D93">
        <w:rPr>
          <w:rFonts w:asciiTheme="majorHAnsi" w:hAnsiTheme="majorHAnsi"/>
          <w:lang w:val="en-US"/>
        </w:rPr>
        <w:t>) a value of .1 is a small effect, .3 is a medium effect and .5 a large effect. For 3 DF (AUDIT) .06 is a small effect,</w:t>
      </w:r>
      <w:r w:rsidR="005D3470" w:rsidRPr="00552D93">
        <w:rPr>
          <w:rFonts w:asciiTheme="majorHAnsi" w:hAnsiTheme="majorHAnsi"/>
          <w:lang w:val="en-US"/>
        </w:rPr>
        <w:t xml:space="preserve"> .17 is a medium effect and .29 a large effect. </w:t>
      </w:r>
      <w:r w:rsidRPr="00552D93">
        <w:rPr>
          <w:rFonts w:asciiTheme="majorHAnsi" w:hAnsiTheme="majorHAnsi"/>
          <w:lang w:val="en-US"/>
        </w:rPr>
        <w:t xml:space="preserve">  </w:t>
      </w:r>
    </w:p>
    <w:p w14:paraId="6C09A499" w14:textId="1554806F" w:rsidR="002962C5" w:rsidRPr="00552D93" w:rsidRDefault="002962C5">
      <w:pPr>
        <w:rPr>
          <w:rFonts w:ascii="Cambria" w:hAnsi="Cambria"/>
          <w:b/>
          <w:lang w:val="en-US"/>
        </w:rPr>
      </w:pPr>
      <w:r w:rsidRPr="00552D93">
        <w:rPr>
          <w:rFonts w:ascii="Cambria" w:hAnsi="Cambria"/>
          <w:b/>
          <w:lang w:val="en-US"/>
        </w:rPr>
        <w:br w:type="page"/>
      </w:r>
    </w:p>
    <w:p w14:paraId="2ACE6B97" w14:textId="511383D9" w:rsidR="00BC4ADC" w:rsidRPr="00552D93" w:rsidRDefault="009A347D" w:rsidP="00BC4ADC">
      <w:pPr>
        <w:jc w:val="center"/>
        <w:rPr>
          <w:rFonts w:ascii="Cambria" w:hAnsi="Cambria"/>
          <w:lang w:val="en-US"/>
        </w:rPr>
      </w:pPr>
      <w:r w:rsidRPr="00552D93">
        <w:rPr>
          <w:rFonts w:ascii="Cambria" w:hAnsi="Cambria"/>
          <w:b/>
          <w:lang w:val="en-US"/>
        </w:rPr>
        <w:lastRenderedPageBreak/>
        <w:t xml:space="preserve">Table </w:t>
      </w:r>
      <w:r w:rsidR="008F1247" w:rsidRPr="00552D93">
        <w:rPr>
          <w:rFonts w:ascii="Cambria" w:hAnsi="Cambria"/>
          <w:b/>
          <w:lang w:val="en-US"/>
        </w:rPr>
        <w:t>5</w:t>
      </w:r>
      <w:r w:rsidR="00BC4ADC" w:rsidRPr="00552D93">
        <w:rPr>
          <w:rFonts w:ascii="Cambria" w:hAnsi="Cambria"/>
          <w:b/>
          <w:lang w:val="en-US"/>
        </w:rPr>
        <w:t>:</w:t>
      </w:r>
      <w:r w:rsidR="00BC4ADC" w:rsidRPr="00552D93">
        <w:rPr>
          <w:rFonts w:ascii="Cambria" w:hAnsi="Cambria"/>
          <w:lang w:val="en-US"/>
        </w:rPr>
        <w:t xml:space="preserve"> </w:t>
      </w:r>
      <w:r w:rsidR="00BC4ADC" w:rsidRPr="00552D93">
        <w:rPr>
          <w:rFonts w:ascii="Cambria" w:hAnsi="Cambria"/>
          <w:i/>
          <w:lang w:val="en-US"/>
        </w:rPr>
        <w:t xml:space="preserve">Results of </w:t>
      </w:r>
      <w:r w:rsidR="006422AC" w:rsidRPr="00552D93">
        <w:rPr>
          <w:rFonts w:ascii="Cambria" w:hAnsi="Cambria"/>
          <w:i/>
          <w:lang w:val="en-US"/>
        </w:rPr>
        <w:t xml:space="preserve">multi-level </w:t>
      </w:r>
      <w:r w:rsidR="005A46FD" w:rsidRPr="00552D93">
        <w:rPr>
          <w:rFonts w:ascii="Cambria" w:hAnsi="Cambria"/>
          <w:i/>
          <w:lang w:val="en-US"/>
        </w:rPr>
        <w:t xml:space="preserve">logistic </w:t>
      </w:r>
      <w:r w:rsidR="00BC4ADC" w:rsidRPr="00552D93">
        <w:rPr>
          <w:rFonts w:ascii="Cambria" w:hAnsi="Cambria"/>
          <w:i/>
          <w:lang w:val="en-US"/>
        </w:rPr>
        <w:t xml:space="preserve">regression models </w:t>
      </w:r>
      <w:r w:rsidR="005A46FD" w:rsidRPr="00552D93">
        <w:rPr>
          <w:rFonts w:ascii="Cambria" w:hAnsi="Cambria"/>
          <w:i/>
          <w:lang w:val="en-US"/>
        </w:rPr>
        <w:t>with country included as a random effect</w:t>
      </w:r>
      <w:r w:rsidR="00BC4ADC" w:rsidRPr="00552D93">
        <w:rPr>
          <w:rFonts w:ascii="Cambria" w:hAnsi="Cambria"/>
          <w:i/>
          <w:lang w:val="en-US"/>
        </w:rPr>
        <w:t xml:space="preserve">. Table presents odds ratios, confidence intervals  and significance of the showing variables associated with frequency of feeling each stage of intoxication at least </w:t>
      </w:r>
      <w:r w:rsidR="00AB2B9B" w:rsidRPr="00552D93">
        <w:rPr>
          <w:rFonts w:ascii="Cambria" w:hAnsi="Cambria"/>
          <w:b/>
          <w:i/>
          <w:lang w:val="en-US"/>
        </w:rPr>
        <w:t>weekly/</w:t>
      </w:r>
      <w:r w:rsidR="00BC4ADC" w:rsidRPr="00552D93">
        <w:rPr>
          <w:rFonts w:ascii="Cambria" w:hAnsi="Cambria"/>
          <w:b/>
          <w:i/>
          <w:lang w:val="en-US"/>
        </w:rPr>
        <w:t>monthly</w:t>
      </w:r>
      <w:r w:rsidR="00BC4ADC" w:rsidRPr="00552D93">
        <w:rPr>
          <w:rFonts w:ascii="Cambria" w:hAnsi="Cambria"/>
          <w:i/>
          <w:lang w:val="en-US"/>
        </w:rPr>
        <w:t xml:space="preserve"> compared to </w:t>
      </w:r>
      <w:r w:rsidR="00BC4ADC" w:rsidRPr="00552D93">
        <w:rPr>
          <w:rFonts w:ascii="Cambria" w:hAnsi="Cambria"/>
          <w:b/>
          <w:i/>
          <w:lang w:val="en-US"/>
        </w:rPr>
        <w:t>yearly or less frequently.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55"/>
        <w:gridCol w:w="2958"/>
        <w:gridCol w:w="2954"/>
        <w:gridCol w:w="2954"/>
      </w:tblGrid>
      <w:tr w:rsidR="00552D93" w:rsidRPr="00552D93" w14:paraId="5E43C4D0" w14:textId="77777777" w:rsidTr="00A9207F">
        <w:tc>
          <w:tcPr>
            <w:tcW w:w="762" w:type="pct"/>
          </w:tcPr>
          <w:p w14:paraId="4C024CA8" w14:textId="77777777" w:rsidR="00BC4ADC" w:rsidRPr="00552D93" w:rsidRDefault="00BC4ADC" w:rsidP="005A7DDE">
            <w:pPr>
              <w:spacing w:line="240" w:lineRule="auto"/>
              <w:contextualSpacing/>
              <w:rPr>
                <w:rFonts w:ascii="Cambria" w:hAnsi="Cambria"/>
                <w:lang w:val="en-US"/>
              </w:rPr>
            </w:pPr>
          </w:p>
        </w:tc>
        <w:tc>
          <w:tcPr>
            <w:tcW w:w="1059" w:type="pct"/>
          </w:tcPr>
          <w:p w14:paraId="0F43A9D8" w14:textId="77777777" w:rsidR="00BC4ADC" w:rsidRPr="00552D93" w:rsidRDefault="00BC4ADC" w:rsidP="005A7DDE">
            <w:pPr>
              <w:spacing w:line="240" w:lineRule="auto"/>
              <w:contextualSpacing/>
              <w:rPr>
                <w:rFonts w:ascii="Cambria" w:hAnsi="Cambria"/>
                <w:lang w:val="en-US"/>
              </w:rPr>
            </w:pPr>
          </w:p>
        </w:tc>
        <w:tc>
          <w:tcPr>
            <w:tcW w:w="1060" w:type="pct"/>
          </w:tcPr>
          <w:p w14:paraId="31D76AA8" w14:textId="77777777" w:rsidR="00BC4ADC" w:rsidRPr="00552D93" w:rsidRDefault="00BC4ADC" w:rsidP="005A7DDE">
            <w:pPr>
              <w:spacing w:line="240" w:lineRule="auto"/>
              <w:contextualSpacing/>
              <w:rPr>
                <w:rFonts w:ascii="Cambria" w:hAnsi="Cambria"/>
                <w:lang w:val="en-US"/>
              </w:rPr>
            </w:pPr>
            <w:r w:rsidRPr="00552D93">
              <w:rPr>
                <w:rFonts w:ascii="Cambria" w:hAnsi="Cambria"/>
                <w:lang w:val="en-US"/>
              </w:rPr>
              <w:t xml:space="preserve">Stage of intoxication </w:t>
            </w:r>
          </w:p>
        </w:tc>
        <w:tc>
          <w:tcPr>
            <w:tcW w:w="2118" w:type="pct"/>
            <w:gridSpan w:val="2"/>
          </w:tcPr>
          <w:p w14:paraId="302388CC" w14:textId="77777777" w:rsidR="00BC4ADC" w:rsidRPr="00552D93" w:rsidRDefault="00BC4ADC" w:rsidP="005A7DDE">
            <w:pPr>
              <w:spacing w:line="240" w:lineRule="auto"/>
              <w:contextualSpacing/>
              <w:rPr>
                <w:rFonts w:ascii="Cambria" w:hAnsi="Cambria"/>
                <w:lang w:val="en-US"/>
              </w:rPr>
            </w:pPr>
          </w:p>
        </w:tc>
      </w:tr>
      <w:tr w:rsidR="00552D93" w:rsidRPr="00552D93" w14:paraId="1F878BC7" w14:textId="77777777" w:rsidTr="00A9207F">
        <w:tc>
          <w:tcPr>
            <w:tcW w:w="762" w:type="pct"/>
          </w:tcPr>
          <w:p w14:paraId="68E23D12" w14:textId="77777777" w:rsidR="00BC4ADC" w:rsidRPr="00552D93" w:rsidRDefault="00BC4ADC" w:rsidP="005A7DDE">
            <w:pPr>
              <w:spacing w:line="240" w:lineRule="auto"/>
              <w:contextualSpacing/>
              <w:rPr>
                <w:rFonts w:ascii="Cambria" w:hAnsi="Cambria"/>
                <w:highlight w:val="yellow"/>
                <w:lang w:val="en-US"/>
              </w:rPr>
            </w:pPr>
          </w:p>
        </w:tc>
        <w:tc>
          <w:tcPr>
            <w:tcW w:w="1059" w:type="pct"/>
          </w:tcPr>
          <w:p w14:paraId="4A4DCFC1" w14:textId="4B95C8D5" w:rsidR="00BC4ADC" w:rsidRPr="00552D93" w:rsidRDefault="00BC4ADC" w:rsidP="00AB2B9B">
            <w:pPr>
              <w:spacing w:line="240" w:lineRule="auto"/>
              <w:contextualSpacing/>
              <w:rPr>
                <w:rFonts w:ascii="Cambria" w:hAnsi="Cambria"/>
                <w:lang w:val="en-US"/>
              </w:rPr>
            </w:pPr>
            <w:r w:rsidRPr="00552D93">
              <w:rPr>
                <w:rFonts w:ascii="Cambria" w:hAnsi="Cambria"/>
                <w:lang w:val="en-US"/>
              </w:rPr>
              <w:t>Feel effects</w:t>
            </w:r>
            <w:r w:rsidR="00AB2B9B" w:rsidRPr="00552D93">
              <w:rPr>
                <w:rFonts w:ascii="Cambria" w:hAnsi="Cambria"/>
                <w:lang w:val="en-US"/>
              </w:rPr>
              <w:t xml:space="preserve"> </w:t>
            </w:r>
          </w:p>
        </w:tc>
        <w:tc>
          <w:tcPr>
            <w:tcW w:w="1060" w:type="pct"/>
          </w:tcPr>
          <w:p w14:paraId="2627EE64" w14:textId="77777777" w:rsidR="00BC4ADC" w:rsidRPr="00552D93" w:rsidRDefault="00BC4ADC" w:rsidP="005A7DDE">
            <w:pPr>
              <w:spacing w:line="240" w:lineRule="auto"/>
              <w:contextualSpacing/>
              <w:rPr>
                <w:rFonts w:ascii="Cambria" w:hAnsi="Cambria"/>
                <w:lang w:val="en-US"/>
              </w:rPr>
            </w:pPr>
            <w:r w:rsidRPr="00552D93">
              <w:rPr>
                <w:rFonts w:ascii="Cambria" w:hAnsi="Cambria"/>
                <w:lang w:val="en-US"/>
              </w:rPr>
              <w:t>Happy drunk</w:t>
            </w:r>
          </w:p>
        </w:tc>
        <w:tc>
          <w:tcPr>
            <w:tcW w:w="1059" w:type="pct"/>
          </w:tcPr>
          <w:p w14:paraId="64F12C8C" w14:textId="77777777" w:rsidR="00BC4ADC" w:rsidRPr="00552D93" w:rsidRDefault="00BC4ADC" w:rsidP="005A7DDE">
            <w:pPr>
              <w:spacing w:line="240" w:lineRule="auto"/>
              <w:contextualSpacing/>
              <w:rPr>
                <w:rFonts w:ascii="Cambria" w:hAnsi="Cambria"/>
                <w:lang w:val="en-US"/>
              </w:rPr>
            </w:pPr>
            <w:r w:rsidRPr="00552D93">
              <w:rPr>
                <w:rFonts w:ascii="Cambria" w:hAnsi="Cambria"/>
                <w:lang w:val="en-US"/>
              </w:rPr>
              <w:t xml:space="preserve">Tipping point </w:t>
            </w:r>
          </w:p>
        </w:tc>
        <w:tc>
          <w:tcPr>
            <w:tcW w:w="1059" w:type="pct"/>
          </w:tcPr>
          <w:p w14:paraId="1346D5DF" w14:textId="77777777" w:rsidR="00BC4ADC" w:rsidRPr="00552D93" w:rsidRDefault="00BC4ADC" w:rsidP="005A7DDE">
            <w:pPr>
              <w:spacing w:line="240" w:lineRule="auto"/>
              <w:contextualSpacing/>
              <w:rPr>
                <w:rFonts w:ascii="Cambria" w:hAnsi="Cambria"/>
                <w:lang w:val="en-US"/>
              </w:rPr>
            </w:pPr>
            <w:r w:rsidRPr="00552D93">
              <w:rPr>
                <w:rFonts w:ascii="Cambria" w:hAnsi="Cambria"/>
                <w:lang w:val="en-US"/>
              </w:rPr>
              <w:t xml:space="preserve">Feel no effects </w:t>
            </w:r>
          </w:p>
        </w:tc>
      </w:tr>
      <w:tr w:rsidR="00552D93" w:rsidRPr="00552D93" w14:paraId="19EFFD0D" w14:textId="77777777" w:rsidTr="00A9207F">
        <w:tc>
          <w:tcPr>
            <w:tcW w:w="762" w:type="pct"/>
          </w:tcPr>
          <w:p w14:paraId="2E0A1AE0" w14:textId="77777777" w:rsidR="00BC4ADC" w:rsidRPr="00552D93" w:rsidRDefault="00BC4ADC" w:rsidP="005A7DDE">
            <w:pPr>
              <w:spacing w:line="240" w:lineRule="auto"/>
              <w:contextualSpacing/>
              <w:rPr>
                <w:rFonts w:ascii="Cambria" w:hAnsi="Cambria"/>
                <w:highlight w:val="yellow"/>
                <w:lang w:val="en-US"/>
              </w:rPr>
            </w:pPr>
          </w:p>
        </w:tc>
        <w:tc>
          <w:tcPr>
            <w:tcW w:w="1059" w:type="pct"/>
          </w:tcPr>
          <w:p w14:paraId="54B5C516" w14:textId="77777777" w:rsidR="00BC4ADC" w:rsidRPr="00552D93" w:rsidRDefault="00BC4ADC" w:rsidP="005A7DDE">
            <w:pPr>
              <w:spacing w:line="240" w:lineRule="auto"/>
              <w:contextualSpacing/>
              <w:rPr>
                <w:rFonts w:ascii="Cambria" w:hAnsi="Cambria"/>
                <w:lang w:val="en-US"/>
              </w:rPr>
            </w:pPr>
            <w:r w:rsidRPr="00552D93">
              <w:rPr>
                <w:rFonts w:ascii="Cambria" w:hAnsi="Cambria"/>
                <w:lang w:val="en-US"/>
              </w:rPr>
              <w:t>AOR (95% CI) p</w:t>
            </w:r>
          </w:p>
          <w:p w14:paraId="5C56C24B" w14:textId="77777777" w:rsidR="00BC4ADC" w:rsidRPr="00552D93" w:rsidRDefault="00BC4ADC" w:rsidP="005A7DDE">
            <w:pPr>
              <w:spacing w:line="240" w:lineRule="auto"/>
              <w:contextualSpacing/>
              <w:rPr>
                <w:rFonts w:ascii="Cambria" w:hAnsi="Cambria"/>
                <w:lang w:val="en-US"/>
              </w:rPr>
            </w:pPr>
          </w:p>
        </w:tc>
        <w:tc>
          <w:tcPr>
            <w:tcW w:w="1060" w:type="pct"/>
          </w:tcPr>
          <w:p w14:paraId="0768A745" w14:textId="77777777" w:rsidR="00BC4ADC" w:rsidRPr="00552D93" w:rsidRDefault="00BC4ADC" w:rsidP="005A7DDE">
            <w:pPr>
              <w:spacing w:line="240" w:lineRule="auto"/>
              <w:contextualSpacing/>
              <w:rPr>
                <w:rFonts w:ascii="Cambria" w:hAnsi="Cambria"/>
                <w:lang w:val="en-US"/>
              </w:rPr>
            </w:pPr>
            <w:r w:rsidRPr="00552D93">
              <w:rPr>
                <w:rFonts w:ascii="Cambria" w:hAnsi="Cambria"/>
                <w:lang w:val="en-US"/>
              </w:rPr>
              <w:t>AOR (95% CI) p</w:t>
            </w:r>
          </w:p>
        </w:tc>
        <w:tc>
          <w:tcPr>
            <w:tcW w:w="1059" w:type="pct"/>
          </w:tcPr>
          <w:p w14:paraId="54E5A462" w14:textId="77777777" w:rsidR="00BC4ADC" w:rsidRPr="00552D93" w:rsidRDefault="00BC4ADC" w:rsidP="005A7DDE">
            <w:pPr>
              <w:spacing w:line="240" w:lineRule="auto"/>
              <w:contextualSpacing/>
              <w:rPr>
                <w:rFonts w:ascii="Cambria" w:hAnsi="Cambria"/>
                <w:lang w:val="en-US"/>
              </w:rPr>
            </w:pPr>
            <w:r w:rsidRPr="00552D93">
              <w:rPr>
                <w:rFonts w:ascii="Cambria" w:hAnsi="Cambria"/>
                <w:lang w:val="en-US"/>
              </w:rPr>
              <w:t>AOR (95% CI) p</w:t>
            </w:r>
          </w:p>
        </w:tc>
        <w:tc>
          <w:tcPr>
            <w:tcW w:w="1059" w:type="pct"/>
          </w:tcPr>
          <w:p w14:paraId="08E024CA" w14:textId="77777777" w:rsidR="00BC4ADC" w:rsidRPr="00552D93" w:rsidRDefault="00BC4ADC" w:rsidP="005A7DDE">
            <w:pPr>
              <w:spacing w:line="240" w:lineRule="auto"/>
              <w:contextualSpacing/>
              <w:rPr>
                <w:rFonts w:ascii="Cambria" w:hAnsi="Cambria"/>
                <w:lang w:val="en-US"/>
              </w:rPr>
            </w:pPr>
            <w:r w:rsidRPr="00552D93">
              <w:rPr>
                <w:rFonts w:ascii="Cambria" w:hAnsi="Cambria"/>
                <w:lang w:val="en-US"/>
              </w:rPr>
              <w:t>AOR (95% CI) p</w:t>
            </w:r>
          </w:p>
        </w:tc>
      </w:tr>
      <w:tr w:rsidR="00552D93" w:rsidRPr="00552D93" w14:paraId="5DF9E8E1" w14:textId="77777777" w:rsidTr="00A9207F">
        <w:tc>
          <w:tcPr>
            <w:tcW w:w="762" w:type="pct"/>
          </w:tcPr>
          <w:p w14:paraId="26CBA0E2" w14:textId="77777777" w:rsidR="00BC4ADC" w:rsidRPr="00552D93" w:rsidRDefault="00BC4ADC" w:rsidP="005A7DDE">
            <w:pPr>
              <w:spacing w:line="240" w:lineRule="auto"/>
              <w:contextualSpacing/>
              <w:rPr>
                <w:rFonts w:ascii="Cambria" w:hAnsi="Cambria"/>
                <w:lang w:val="en-US"/>
              </w:rPr>
            </w:pPr>
            <w:r w:rsidRPr="00552D93">
              <w:rPr>
                <w:rFonts w:ascii="Cambria" w:hAnsi="Cambria"/>
                <w:lang w:val="en-US"/>
              </w:rPr>
              <w:t>Male</w:t>
            </w:r>
          </w:p>
          <w:p w14:paraId="6CE7CAAD" w14:textId="77777777" w:rsidR="00BC4ADC" w:rsidRPr="00552D93" w:rsidRDefault="00BC4ADC" w:rsidP="005A7DDE">
            <w:pPr>
              <w:spacing w:line="240" w:lineRule="auto"/>
              <w:contextualSpacing/>
              <w:rPr>
                <w:rFonts w:ascii="Cambria" w:hAnsi="Cambria"/>
                <w:lang w:val="en-US"/>
              </w:rPr>
            </w:pPr>
            <w:r w:rsidRPr="00552D93">
              <w:rPr>
                <w:rFonts w:ascii="Cambria" w:hAnsi="Cambria"/>
                <w:lang w:val="en-US"/>
              </w:rPr>
              <w:t xml:space="preserve"> </w:t>
            </w:r>
          </w:p>
        </w:tc>
        <w:tc>
          <w:tcPr>
            <w:tcW w:w="1059" w:type="pct"/>
          </w:tcPr>
          <w:p w14:paraId="1357411E" w14:textId="566FA55B" w:rsidR="00BC4ADC" w:rsidRPr="00552D93" w:rsidRDefault="00300103" w:rsidP="005A7DDE">
            <w:pPr>
              <w:autoSpaceDE w:val="0"/>
              <w:autoSpaceDN w:val="0"/>
              <w:adjustRightInd w:val="0"/>
              <w:spacing w:line="240" w:lineRule="auto"/>
              <w:ind w:left="60" w:right="60"/>
              <w:contextualSpacing/>
              <w:rPr>
                <w:rFonts w:ascii="Cambria" w:hAnsi="Cambria" w:cs="Arial"/>
                <w:lang w:val="en-US"/>
              </w:rPr>
            </w:pPr>
            <w:r w:rsidRPr="00552D93">
              <w:rPr>
                <w:rFonts w:ascii="Cambria" w:hAnsi="Cambria" w:cs="Arial"/>
                <w:lang w:val="en-US"/>
              </w:rPr>
              <w:t>1.12 (1.07-1.18</w:t>
            </w:r>
            <w:r w:rsidR="00BC4ADC" w:rsidRPr="00552D93">
              <w:rPr>
                <w:rFonts w:ascii="Cambria" w:hAnsi="Cambria" w:cs="Arial"/>
                <w:lang w:val="en-US"/>
              </w:rPr>
              <w:t xml:space="preserve">), </w:t>
            </w:r>
            <w:r w:rsidR="00BC4ADC" w:rsidRPr="00552D93">
              <w:rPr>
                <w:rFonts w:ascii="Cambria" w:hAnsi="Cambria" w:cs="Arial"/>
                <w:szCs w:val="18"/>
                <w:lang w:val="en-US"/>
              </w:rPr>
              <w:t>*</w:t>
            </w:r>
          </w:p>
        </w:tc>
        <w:tc>
          <w:tcPr>
            <w:tcW w:w="1060" w:type="pct"/>
            <w:shd w:val="clear" w:color="auto" w:fill="auto"/>
          </w:tcPr>
          <w:p w14:paraId="1569CF87" w14:textId="1CCB55C7" w:rsidR="00BC4ADC" w:rsidRPr="00552D93" w:rsidRDefault="00E33B5F" w:rsidP="005A7DDE">
            <w:pPr>
              <w:autoSpaceDE w:val="0"/>
              <w:autoSpaceDN w:val="0"/>
              <w:adjustRightInd w:val="0"/>
              <w:spacing w:line="240" w:lineRule="auto"/>
              <w:ind w:left="60" w:right="60"/>
              <w:contextualSpacing/>
              <w:rPr>
                <w:rFonts w:ascii="Cambria" w:hAnsi="Cambria" w:cs="Arial"/>
                <w:szCs w:val="18"/>
                <w:highlight w:val="yellow"/>
                <w:lang w:val="en-US"/>
              </w:rPr>
            </w:pPr>
            <w:r w:rsidRPr="00552D93">
              <w:rPr>
                <w:rFonts w:ascii="Cambria" w:hAnsi="Cambria" w:cs="Arial"/>
                <w:szCs w:val="18"/>
                <w:lang w:val="en-US"/>
              </w:rPr>
              <w:t>1.18 (1.13-1.23</w:t>
            </w:r>
            <w:r w:rsidR="00BC4ADC" w:rsidRPr="00552D93">
              <w:rPr>
                <w:rFonts w:ascii="Cambria" w:hAnsi="Cambria" w:cs="Arial"/>
                <w:szCs w:val="18"/>
                <w:lang w:val="en-US"/>
              </w:rPr>
              <w:t>) *</w:t>
            </w:r>
          </w:p>
        </w:tc>
        <w:tc>
          <w:tcPr>
            <w:tcW w:w="1059" w:type="pct"/>
          </w:tcPr>
          <w:p w14:paraId="174B274A" w14:textId="722EA6D3" w:rsidR="00BC4ADC" w:rsidRPr="00552D93" w:rsidRDefault="00E33B5F" w:rsidP="005A7DDE">
            <w:pPr>
              <w:autoSpaceDE w:val="0"/>
              <w:autoSpaceDN w:val="0"/>
              <w:adjustRightInd w:val="0"/>
              <w:spacing w:line="240" w:lineRule="auto"/>
              <w:ind w:left="60" w:right="60"/>
              <w:contextualSpacing/>
              <w:rPr>
                <w:rFonts w:ascii="Cambria" w:hAnsi="Cambria" w:cs="Arial"/>
                <w:szCs w:val="18"/>
                <w:highlight w:val="yellow"/>
                <w:lang w:val="en-US"/>
              </w:rPr>
            </w:pPr>
            <w:r w:rsidRPr="00552D93">
              <w:rPr>
                <w:rFonts w:ascii="Cambria" w:hAnsi="Cambria" w:cs="Arial"/>
                <w:szCs w:val="18"/>
                <w:lang w:val="en-US"/>
              </w:rPr>
              <w:t>.96 (.91</w:t>
            </w:r>
            <w:r w:rsidR="00BC4ADC" w:rsidRPr="00552D93">
              <w:rPr>
                <w:rFonts w:ascii="Cambria" w:hAnsi="Cambria" w:cs="Arial"/>
                <w:szCs w:val="18"/>
                <w:lang w:val="en-US"/>
              </w:rPr>
              <w:t xml:space="preserve">-1.01) </w:t>
            </w:r>
          </w:p>
        </w:tc>
        <w:tc>
          <w:tcPr>
            <w:tcW w:w="1059" w:type="pct"/>
          </w:tcPr>
          <w:p w14:paraId="392F1308" w14:textId="11C09617" w:rsidR="00BC4ADC" w:rsidRPr="00552D93" w:rsidRDefault="00330CEB" w:rsidP="005A7DDE">
            <w:pPr>
              <w:autoSpaceDE w:val="0"/>
              <w:autoSpaceDN w:val="0"/>
              <w:adjustRightInd w:val="0"/>
              <w:spacing w:line="240" w:lineRule="auto"/>
              <w:ind w:left="60" w:right="60"/>
              <w:contextualSpacing/>
              <w:rPr>
                <w:rFonts w:ascii="Cambria" w:hAnsi="Cambria" w:cs="Arial"/>
                <w:szCs w:val="18"/>
                <w:lang w:val="en-US"/>
              </w:rPr>
            </w:pPr>
            <w:r w:rsidRPr="00552D93">
              <w:rPr>
                <w:rFonts w:ascii="Cambria" w:hAnsi="Cambria" w:cs="Arial"/>
                <w:szCs w:val="18"/>
                <w:lang w:val="en-US"/>
              </w:rPr>
              <w:t>1.03 (1.00-1.07</w:t>
            </w:r>
            <w:r w:rsidR="00BC4ADC" w:rsidRPr="00552D93">
              <w:rPr>
                <w:rFonts w:ascii="Cambria" w:hAnsi="Cambria" w:cs="Arial"/>
                <w:szCs w:val="18"/>
                <w:lang w:val="en-US"/>
              </w:rPr>
              <w:t xml:space="preserve">) </w:t>
            </w:r>
          </w:p>
        </w:tc>
      </w:tr>
      <w:tr w:rsidR="00552D93" w:rsidRPr="00552D93" w14:paraId="0EC6EF3F" w14:textId="77777777" w:rsidTr="00A9207F">
        <w:tc>
          <w:tcPr>
            <w:tcW w:w="762" w:type="pct"/>
          </w:tcPr>
          <w:p w14:paraId="5767EACF" w14:textId="77777777" w:rsidR="00BC4ADC" w:rsidRPr="00552D93" w:rsidRDefault="00BC4ADC" w:rsidP="005A7DDE">
            <w:pPr>
              <w:spacing w:line="240" w:lineRule="auto"/>
              <w:contextualSpacing/>
              <w:rPr>
                <w:rFonts w:ascii="Cambria" w:hAnsi="Cambria"/>
                <w:lang w:val="en-US"/>
              </w:rPr>
            </w:pPr>
            <w:r w:rsidRPr="00552D93">
              <w:rPr>
                <w:rFonts w:ascii="Cambria" w:hAnsi="Cambria"/>
                <w:lang w:val="en-US"/>
              </w:rPr>
              <w:t>Age</w:t>
            </w:r>
          </w:p>
        </w:tc>
        <w:tc>
          <w:tcPr>
            <w:tcW w:w="1059" w:type="pct"/>
          </w:tcPr>
          <w:p w14:paraId="48A7F6B1" w14:textId="77777777" w:rsidR="00BC4ADC" w:rsidRPr="00552D93" w:rsidRDefault="00BC4ADC" w:rsidP="005A7DDE">
            <w:pPr>
              <w:autoSpaceDE w:val="0"/>
              <w:autoSpaceDN w:val="0"/>
              <w:adjustRightInd w:val="0"/>
              <w:spacing w:line="240" w:lineRule="auto"/>
              <w:ind w:left="60" w:right="60"/>
              <w:contextualSpacing/>
              <w:rPr>
                <w:rFonts w:ascii="Cambria" w:hAnsi="Cambria" w:cs="Arial"/>
                <w:lang w:val="en-US"/>
              </w:rPr>
            </w:pPr>
            <w:r w:rsidRPr="00552D93">
              <w:rPr>
                <w:rFonts w:ascii="Cambria" w:hAnsi="Cambria" w:cs="Arial"/>
                <w:lang w:val="en-US"/>
              </w:rPr>
              <w:t xml:space="preserve">.99 (.99-.99) </w:t>
            </w:r>
            <w:r w:rsidRPr="00552D93">
              <w:rPr>
                <w:rFonts w:ascii="Cambria" w:hAnsi="Cambria" w:cs="Arial"/>
                <w:szCs w:val="18"/>
                <w:lang w:val="en-US"/>
              </w:rPr>
              <w:t>*</w:t>
            </w:r>
          </w:p>
        </w:tc>
        <w:tc>
          <w:tcPr>
            <w:tcW w:w="1060" w:type="pct"/>
          </w:tcPr>
          <w:p w14:paraId="6EAFC8ED" w14:textId="6147788C" w:rsidR="00BC4ADC" w:rsidRPr="00552D93" w:rsidRDefault="00E33B5F" w:rsidP="005A7DDE">
            <w:pPr>
              <w:autoSpaceDE w:val="0"/>
              <w:autoSpaceDN w:val="0"/>
              <w:adjustRightInd w:val="0"/>
              <w:spacing w:line="240" w:lineRule="auto"/>
              <w:ind w:left="60" w:right="60"/>
              <w:contextualSpacing/>
              <w:rPr>
                <w:rFonts w:ascii="Cambria" w:hAnsi="Cambria" w:cs="Arial"/>
                <w:szCs w:val="18"/>
                <w:highlight w:val="yellow"/>
                <w:lang w:val="en-US"/>
              </w:rPr>
            </w:pPr>
            <w:r w:rsidRPr="00552D93">
              <w:rPr>
                <w:rFonts w:ascii="Cambria" w:hAnsi="Cambria" w:cs="Arial"/>
                <w:szCs w:val="18"/>
                <w:lang w:val="en-US"/>
              </w:rPr>
              <w:t>.97 (.97-.97</w:t>
            </w:r>
            <w:r w:rsidR="00BC4ADC" w:rsidRPr="00552D93">
              <w:rPr>
                <w:rFonts w:ascii="Cambria" w:hAnsi="Cambria" w:cs="Arial"/>
                <w:szCs w:val="18"/>
                <w:lang w:val="en-US"/>
              </w:rPr>
              <w:t>) *</w:t>
            </w:r>
          </w:p>
        </w:tc>
        <w:tc>
          <w:tcPr>
            <w:tcW w:w="1059" w:type="pct"/>
          </w:tcPr>
          <w:p w14:paraId="68BC2A20" w14:textId="77777777" w:rsidR="00BC4ADC" w:rsidRPr="00552D93" w:rsidRDefault="00BC4ADC" w:rsidP="005A7DDE">
            <w:pPr>
              <w:autoSpaceDE w:val="0"/>
              <w:autoSpaceDN w:val="0"/>
              <w:adjustRightInd w:val="0"/>
              <w:spacing w:line="240" w:lineRule="auto"/>
              <w:ind w:left="60" w:right="60"/>
              <w:contextualSpacing/>
              <w:rPr>
                <w:rFonts w:ascii="Cambria" w:hAnsi="Cambria" w:cs="Arial"/>
                <w:szCs w:val="18"/>
                <w:highlight w:val="yellow"/>
                <w:lang w:val="en-US"/>
              </w:rPr>
            </w:pPr>
            <w:r w:rsidRPr="00552D93">
              <w:rPr>
                <w:rFonts w:ascii="Cambria" w:hAnsi="Cambria" w:cs="Arial"/>
                <w:szCs w:val="18"/>
                <w:lang w:val="en-US"/>
              </w:rPr>
              <w:t>.99 (.98-.99) *</w:t>
            </w:r>
          </w:p>
        </w:tc>
        <w:tc>
          <w:tcPr>
            <w:tcW w:w="1059" w:type="pct"/>
          </w:tcPr>
          <w:p w14:paraId="15A8FB8C" w14:textId="77777777" w:rsidR="00BC4ADC" w:rsidRPr="00552D93" w:rsidRDefault="00BC4ADC" w:rsidP="005A7DDE">
            <w:pPr>
              <w:autoSpaceDE w:val="0"/>
              <w:autoSpaceDN w:val="0"/>
              <w:adjustRightInd w:val="0"/>
              <w:spacing w:line="240" w:lineRule="auto"/>
              <w:ind w:left="60" w:right="60"/>
              <w:contextualSpacing/>
              <w:rPr>
                <w:rFonts w:ascii="Cambria" w:hAnsi="Cambria" w:cs="Arial"/>
                <w:szCs w:val="18"/>
                <w:lang w:val="en-US"/>
              </w:rPr>
            </w:pPr>
            <w:r w:rsidRPr="00552D93">
              <w:rPr>
                <w:rFonts w:ascii="Cambria" w:hAnsi="Cambria" w:cs="Arial"/>
                <w:szCs w:val="18"/>
                <w:lang w:val="en-US"/>
              </w:rPr>
              <w:t xml:space="preserve">1.00 (1.00-1.00) </w:t>
            </w:r>
          </w:p>
        </w:tc>
      </w:tr>
      <w:tr w:rsidR="00552D93" w:rsidRPr="00552D93" w14:paraId="4C22C0DB" w14:textId="77777777" w:rsidTr="00A9207F">
        <w:tc>
          <w:tcPr>
            <w:tcW w:w="762" w:type="pct"/>
          </w:tcPr>
          <w:p w14:paraId="00D4FF02" w14:textId="77777777" w:rsidR="00BC4ADC" w:rsidRPr="00552D93" w:rsidRDefault="00BC4ADC" w:rsidP="005A7DDE">
            <w:pPr>
              <w:spacing w:line="240" w:lineRule="auto"/>
              <w:contextualSpacing/>
              <w:rPr>
                <w:rFonts w:ascii="Cambria" w:hAnsi="Cambria"/>
                <w:lang w:val="en-US"/>
              </w:rPr>
            </w:pPr>
            <w:r w:rsidRPr="00552D93">
              <w:rPr>
                <w:rFonts w:ascii="Cambria" w:hAnsi="Cambria"/>
                <w:lang w:val="en-US"/>
              </w:rPr>
              <w:t>AUDIT 8-15</w:t>
            </w:r>
          </w:p>
          <w:p w14:paraId="0647AF45" w14:textId="77777777" w:rsidR="00BC4ADC" w:rsidRPr="00552D93" w:rsidRDefault="00BC4ADC" w:rsidP="005A7DDE">
            <w:pPr>
              <w:spacing w:line="240" w:lineRule="auto"/>
              <w:contextualSpacing/>
              <w:rPr>
                <w:rFonts w:ascii="Cambria" w:hAnsi="Cambria"/>
                <w:lang w:val="en-US"/>
              </w:rPr>
            </w:pPr>
          </w:p>
        </w:tc>
        <w:tc>
          <w:tcPr>
            <w:tcW w:w="1059" w:type="pct"/>
            <w:shd w:val="clear" w:color="auto" w:fill="auto"/>
          </w:tcPr>
          <w:p w14:paraId="071B9EBF" w14:textId="3EC7DC9A" w:rsidR="00BC4ADC" w:rsidRPr="00552D93" w:rsidRDefault="00300103" w:rsidP="005A7DDE">
            <w:pPr>
              <w:autoSpaceDE w:val="0"/>
              <w:autoSpaceDN w:val="0"/>
              <w:adjustRightInd w:val="0"/>
              <w:spacing w:line="240" w:lineRule="auto"/>
              <w:ind w:left="60" w:right="60"/>
              <w:contextualSpacing/>
              <w:rPr>
                <w:rFonts w:ascii="Cambria" w:hAnsi="Cambria" w:cs="Arial"/>
                <w:highlight w:val="yellow"/>
                <w:lang w:val="en-US"/>
              </w:rPr>
            </w:pPr>
            <w:r w:rsidRPr="00552D93">
              <w:rPr>
                <w:rFonts w:ascii="Cambria" w:hAnsi="Cambria" w:cs="Arial"/>
                <w:lang w:val="en-US"/>
              </w:rPr>
              <w:t>9.30 (8.67-9.98</w:t>
            </w:r>
            <w:r w:rsidR="00BC4ADC" w:rsidRPr="00552D93">
              <w:rPr>
                <w:rFonts w:ascii="Cambria" w:hAnsi="Cambria" w:cs="Arial"/>
                <w:lang w:val="en-US"/>
              </w:rPr>
              <w:t>)</w:t>
            </w:r>
            <w:r w:rsidR="00BC4ADC" w:rsidRPr="00552D93">
              <w:rPr>
                <w:rFonts w:ascii="Cambria" w:hAnsi="Cambria" w:cs="Arial"/>
                <w:szCs w:val="18"/>
                <w:lang w:val="en-US"/>
              </w:rPr>
              <w:t xml:space="preserve"> *</w:t>
            </w:r>
          </w:p>
        </w:tc>
        <w:tc>
          <w:tcPr>
            <w:tcW w:w="1060" w:type="pct"/>
          </w:tcPr>
          <w:p w14:paraId="49A5B898" w14:textId="20E07818" w:rsidR="00BC4ADC" w:rsidRPr="00552D93" w:rsidRDefault="00E33B5F" w:rsidP="005A7DDE">
            <w:pPr>
              <w:autoSpaceDE w:val="0"/>
              <w:autoSpaceDN w:val="0"/>
              <w:adjustRightInd w:val="0"/>
              <w:spacing w:line="240" w:lineRule="auto"/>
              <w:ind w:left="60" w:right="60"/>
              <w:contextualSpacing/>
              <w:rPr>
                <w:rFonts w:ascii="Cambria" w:hAnsi="Cambria" w:cs="Arial"/>
                <w:szCs w:val="18"/>
                <w:highlight w:val="yellow"/>
                <w:lang w:val="en-US"/>
              </w:rPr>
            </w:pPr>
            <w:r w:rsidRPr="00552D93">
              <w:rPr>
                <w:rFonts w:ascii="Cambria" w:hAnsi="Cambria" w:cs="Arial"/>
                <w:szCs w:val="18"/>
                <w:lang w:val="en-US"/>
              </w:rPr>
              <w:t>7.91 (7.57-8.23</w:t>
            </w:r>
            <w:r w:rsidR="00BC4ADC" w:rsidRPr="00552D93">
              <w:rPr>
                <w:rFonts w:ascii="Cambria" w:hAnsi="Cambria" w:cs="Arial"/>
                <w:szCs w:val="18"/>
                <w:lang w:val="en-US"/>
              </w:rPr>
              <w:t>) *</w:t>
            </w:r>
          </w:p>
        </w:tc>
        <w:tc>
          <w:tcPr>
            <w:tcW w:w="1059" w:type="pct"/>
          </w:tcPr>
          <w:p w14:paraId="75A78A6B" w14:textId="52DFC798" w:rsidR="00BC4ADC" w:rsidRPr="00552D93" w:rsidRDefault="00E33B5F" w:rsidP="005A7DDE">
            <w:pPr>
              <w:autoSpaceDE w:val="0"/>
              <w:autoSpaceDN w:val="0"/>
              <w:adjustRightInd w:val="0"/>
              <w:spacing w:line="240" w:lineRule="auto"/>
              <w:ind w:left="60" w:right="60"/>
              <w:contextualSpacing/>
              <w:rPr>
                <w:rFonts w:ascii="Cambria" w:hAnsi="Cambria" w:cs="Arial"/>
                <w:szCs w:val="18"/>
                <w:highlight w:val="yellow"/>
                <w:lang w:val="en-US"/>
              </w:rPr>
            </w:pPr>
            <w:r w:rsidRPr="00552D93">
              <w:rPr>
                <w:rFonts w:ascii="Cambria" w:hAnsi="Cambria" w:cs="Arial"/>
                <w:szCs w:val="18"/>
                <w:lang w:val="en-US"/>
              </w:rPr>
              <w:t>9.82 (9.13-10.56</w:t>
            </w:r>
            <w:r w:rsidR="00BC4ADC" w:rsidRPr="00552D93">
              <w:rPr>
                <w:rFonts w:ascii="Cambria" w:hAnsi="Cambria" w:cs="Arial"/>
                <w:szCs w:val="18"/>
                <w:lang w:val="en-US"/>
              </w:rPr>
              <w:t>) *</w:t>
            </w:r>
          </w:p>
        </w:tc>
        <w:tc>
          <w:tcPr>
            <w:tcW w:w="1059" w:type="pct"/>
          </w:tcPr>
          <w:p w14:paraId="3776302B" w14:textId="1C826B32" w:rsidR="00BC4ADC" w:rsidRPr="00552D93" w:rsidRDefault="00330CEB" w:rsidP="005A7DDE">
            <w:pPr>
              <w:autoSpaceDE w:val="0"/>
              <w:autoSpaceDN w:val="0"/>
              <w:adjustRightInd w:val="0"/>
              <w:spacing w:line="240" w:lineRule="auto"/>
              <w:ind w:left="60" w:right="60"/>
              <w:contextualSpacing/>
              <w:rPr>
                <w:rFonts w:ascii="Cambria" w:hAnsi="Cambria" w:cs="Arial"/>
                <w:szCs w:val="18"/>
                <w:highlight w:val="yellow"/>
                <w:lang w:val="en-US"/>
              </w:rPr>
            </w:pPr>
            <w:r w:rsidRPr="00552D93">
              <w:rPr>
                <w:rFonts w:ascii="Cambria" w:hAnsi="Cambria" w:cs="Arial"/>
                <w:szCs w:val="18"/>
                <w:lang w:val="en-US"/>
              </w:rPr>
              <w:t>1.52 (1.47-1.57</w:t>
            </w:r>
            <w:r w:rsidR="00BC4ADC" w:rsidRPr="00552D93">
              <w:rPr>
                <w:rFonts w:ascii="Cambria" w:hAnsi="Cambria" w:cs="Arial"/>
                <w:szCs w:val="18"/>
                <w:lang w:val="en-US"/>
              </w:rPr>
              <w:t>) *</w:t>
            </w:r>
          </w:p>
        </w:tc>
      </w:tr>
      <w:tr w:rsidR="00552D93" w:rsidRPr="00552D93" w14:paraId="063F2C04" w14:textId="77777777" w:rsidTr="00A9207F">
        <w:tc>
          <w:tcPr>
            <w:tcW w:w="762" w:type="pct"/>
          </w:tcPr>
          <w:p w14:paraId="6C4D663A" w14:textId="77777777" w:rsidR="00BC4ADC" w:rsidRPr="00552D93" w:rsidRDefault="00BC4ADC" w:rsidP="005A7DDE">
            <w:pPr>
              <w:spacing w:line="240" w:lineRule="auto"/>
              <w:contextualSpacing/>
              <w:rPr>
                <w:rFonts w:ascii="Cambria" w:hAnsi="Cambria"/>
                <w:lang w:val="en-US"/>
              </w:rPr>
            </w:pPr>
            <w:r w:rsidRPr="00552D93">
              <w:rPr>
                <w:rFonts w:ascii="Cambria" w:hAnsi="Cambria"/>
                <w:lang w:val="en-US"/>
              </w:rPr>
              <w:t>AUDIT 16-19</w:t>
            </w:r>
          </w:p>
          <w:p w14:paraId="7057A2A6" w14:textId="77777777" w:rsidR="00BC4ADC" w:rsidRPr="00552D93" w:rsidRDefault="00BC4ADC" w:rsidP="005A7DDE">
            <w:pPr>
              <w:spacing w:line="240" w:lineRule="auto"/>
              <w:contextualSpacing/>
              <w:rPr>
                <w:rFonts w:ascii="Cambria" w:hAnsi="Cambria"/>
                <w:lang w:val="en-US"/>
              </w:rPr>
            </w:pPr>
          </w:p>
        </w:tc>
        <w:tc>
          <w:tcPr>
            <w:tcW w:w="1059" w:type="pct"/>
          </w:tcPr>
          <w:p w14:paraId="6D07A394" w14:textId="4DB9FBE5" w:rsidR="00BC4ADC" w:rsidRPr="00552D93" w:rsidRDefault="00357416" w:rsidP="005A7DDE">
            <w:pPr>
              <w:autoSpaceDE w:val="0"/>
              <w:autoSpaceDN w:val="0"/>
              <w:adjustRightInd w:val="0"/>
              <w:spacing w:line="240" w:lineRule="auto"/>
              <w:ind w:left="60" w:right="60"/>
              <w:contextualSpacing/>
              <w:rPr>
                <w:rFonts w:ascii="Cambria" w:hAnsi="Cambria" w:cs="Arial"/>
                <w:highlight w:val="yellow"/>
                <w:lang w:val="en-US"/>
              </w:rPr>
            </w:pPr>
            <w:r w:rsidRPr="00552D93">
              <w:rPr>
                <w:rFonts w:ascii="Cambria" w:hAnsi="Cambria" w:cs="Arial"/>
                <w:lang w:val="en-US"/>
              </w:rPr>
              <w:t>31.72 (24.33-41.36</w:t>
            </w:r>
            <w:r w:rsidR="00BC4ADC" w:rsidRPr="00552D93">
              <w:rPr>
                <w:rFonts w:ascii="Cambria" w:hAnsi="Cambria" w:cs="Arial"/>
                <w:lang w:val="en-US"/>
              </w:rPr>
              <w:t>)</w:t>
            </w:r>
            <w:r w:rsidR="00BC4ADC" w:rsidRPr="00552D93">
              <w:rPr>
                <w:rFonts w:ascii="Cambria" w:hAnsi="Cambria" w:cs="Arial"/>
                <w:szCs w:val="18"/>
                <w:lang w:val="en-US"/>
              </w:rPr>
              <w:t xml:space="preserve"> *</w:t>
            </w:r>
          </w:p>
        </w:tc>
        <w:tc>
          <w:tcPr>
            <w:tcW w:w="1060" w:type="pct"/>
          </w:tcPr>
          <w:p w14:paraId="591B468C" w14:textId="5CDAE802" w:rsidR="00BC4ADC" w:rsidRPr="00552D93" w:rsidRDefault="00E33B5F" w:rsidP="00E33B5F">
            <w:pPr>
              <w:autoSpaceDE w:val="0"/>
              <w:autoSpaceDN w:val="0"/>
              <w:adjustRightInd w:val="0"/>
              <w:spacing w:line="240" w:lineRule="auto"/>
              <w:ind w:left="60" w:right="60"/>
              <w:contextualSpacing/>
              <w:rPr>
                <w:rFonts w:ascii="Cambria" w:hAnsi="Cambria" w:cs="Arial"/>
                <w:szCs w:val="18"/>
                <w:highlight w:val="yellow"/>
                <w:lang w:val="en-US"/>
              </w:rPr>
            </w:pPr>
            <w:r w:rsidRPr="00552D93">
              <w:rPr>
                <w:rFonts w:ascii="Cambria" w:hAnsi="Cambria" w:cs="Arial"/>
                <w:szCs w:val="18"/>
                <w:lang w:val="en-US"/>
              </w:rPr>
              <w:t>52.53</w:t>
            </w:r>
            <w:r w:rsidR="00BC4ADC" w:rsidRPr="00552D93">
              <w:rPr>
                <w:rFonts w:ascii="Cambria" w:hAnsi="Cambria" w:cs="Arial"/>
                <w:szCs w:val="18"/>
                <w:lang w:val="en-US"/>
              </w:rPr>
              <w:t xml:space="preserve"> (</w:t>
            </w:r>
            <w:r w:rsidRPr="00552D93">
              <w:rPr>
                <w:rFonts w:ascii="Cambria" w:hAnsi="Cambria" w:cs="Arial"/>
                <w:szCs w:val="18"/>
                <w:lang w:val="en-US"/>
              </w:rPr>
              <w:t>44.44-62.08</w:t>
            </w:r>
            <w:r w:rsidR="00BC4ADC" w:rsidRPr="00552D93">
              <w:rPr>
                <w:rFonts w:ascii="Cambria" w:hAnsi="Cambria" w:cs="Arial"/>
                <w:szCs w:val="18"/>
                <w:lang w:val="en-US"/>
              </w:rPr>
              <w:t>) *</w:t>
            </w:r>
          </w:p>
        </w:tc>
        <w:tc>
          <w:tcPr>
            <w:tcW w:w="1059" w:type="pct"/>
          </w:tcPr>
          <w:p w14:paraId="066E445A" w14:textId="72DAA660" w:rsidR="00BC4ADC" w:rsidRPr="00552D93" w:rsidRDefault="00E33B5F" w:rsidP="005A7DDE">
            <w:pPr>
              <w:autoSpaceDE w:val="0"/>
              <w:autoSpaceDN w:val="0"/>
              <w:adjustRightInd w:val="0"/>
              <w:spacing w:line="240" w:lineRule="auto"/>
              <w:ind w:left="60" w:right="60"/>
              <w:contextualSpacing/>
              <w:rPr>
                <w:rFonts w:ascii="Cambria" w:hAnsi="Cambria" w:cs="Arial"/>
                <w:szCs w:val="18"/>
                <w:lang w:val="en-US"/>
              </w:rPr>
            </w:pPr>
            <w:r w:rsidRPr="00552D93">
              <w:rPr>
                <w:rFonts w:ascii="Cambria" w:hAnsi="Cambria" w:cs="Arial"/>
                <w:szCs w:val="18"/>
                <w:lang w:val="en-US"/>
              </w:rPr>
              <w:t>39.82 (36.41-43.56</w:t>
            </w:r>
            <w:r w:rsidR="00BC4ADC" w:rsidRPr="00552D93">
              <w:rPr>
                <w:rFonts w:ascii="Cambria" w:hAnsi="Cambria" w:cs="Arial"/>
                <w:szCs w:val="18"/>
                <w:lang w:val="en-US"/>
              </w:rPr>
              <w:t>) *</w:t>
            </w:r>
          </w:p>
        </w:tc>
        <w:tc>
          <w:tcPr>
            <w:tcW w:w="1059" w:type="pct"/>
          </w:tcPr>
          <w:p w14:paraId="4F40DBDA" w14:textId="14F23BE7" w:rsidR="00BC4ADC" w:rsidRPr="00552D93" w:rsidRDefault="00330CEB" w:rsidP="005A7DDE">
            <w:pPr>
              <w:autoSpaceDE w:val="0"/>
              <w:autoSpaceDN w:val="0"/>
              <w:adjustRightInd w:val="0"/>
              <w:spacing w:line="240" w:lineRule="auto"/>
              <w:ind w:left="60" w:right="60"/>
              <w:contextualSpacing/>
              <w:rPr>
                <w:rFonts w:ascii="Cambria" w:hAnsi="Cambria" w:cs="Arial"/>
                <w:szCs w:val="18"/>
                <w:highlight w:val="yellow"/>
                <w:lang w:val="en-US"/>
              </w:rPr>
            </w:pPr>
            <w:r w:rsidRPr="00552D93">
              <w:rPr>
                <w:rFonts w:ascii="Cambria" w:hAnsi="Cambria" w:cs="Arial"/>
                <w:szCs w:val="18"/>
                <w:lang w:val="en-US"/>
              </w:rPr>
              <w:t>1.57 (1.47-1.68</w:t>
            </w:r>
            <w:r w:rsidR="00BC4ADC" w:rsidRPr="00552D93">
              <w:rPr>
                <w:rFonts w:ascii="Cambria" w:hAnsi="Cambria" w:cs="Arial"/>
                <w:szCs w:val="18"/>
                <w:lang w:val="en-US"/>
              </w:rPr>
              <w:t>) *</w:t>
            </w:r>
          </w:p>
        </w:tc>
      </w:tr>
      <w:tr w:rsidR="00552D93" w:rsidRPr="00552D93" w14:paraId="1D63C08A" w14:textId="77777777" w:rsidTr="00330CEB">
        <w:trPr>
          <w:trHeight w:val="96"/>
        </w:trPr>
        <w:tc>
          <w:tcPr>
            <w:tcW w:w="762" w:type="pct"/>
          </w:tcPr>
          <w:p w14:paraId="4088458F" w14:textId="77777777" w:rsidR="00BC4ADC" w:rsidRPr="00552D93" w:rsidRDefault="00BC4ADC" w:rsidP="005A7DDE">
            <w:pPr>
              <w:spacing w:line="240" w:lineRule="auto"/>
              <w:contextualSpacing/>
              <w:rPr>
                <w:rFonts w:ascii="Cambria" w:hAnsi="Cambria"/>
                <w:lang w:val="en-US"/>
              </w:rPr>
            </w:pPr>
            <w:r w:rsidRPr="00552D93">
              <w:rPr>
                <w:rFonts w:ascii="Cambria" w:hAnsi="Cambria"/>
                <w:lang w:val="en-US"/>
              </w:rPr>
              <w:t>AUDIT 20+</w:t>
            </w:r>
          </w:p>
          <w:p w14:paraId="46E149F4" w14:textId="77777777" w:rsidR="00BC4ADC" w:rsidRPr="00552D93" w:rsidRDefault="00BC4ADC" w:rsidP="005A7DDE">
            <w:pPr>
              <w:spacing w:line="240" w:lineRule="auto"/>
              <w:contextualSpacing/>
              <w:rPr>
                <w:rFonts w:ascii="Cambria" w:hAnsi="Cambria"/>
                <w:lang w:val="en-US"/>
              </w:rPr>
            </w:pPr>
          </w:p>
        </w:tc>
        <w:tc>
          <w:tcPr>
            <w:tcW w:w="1059" w:type="pct"/>
          </w:tcPr>
          <w:p w14:paraId="4BDEE8A9" w14:textId="615547E4" w:rsidR="00BC4ADC" w:rsidRPr="00552D93" w:rsidRDefault="00357416" w:rsidP="005A7DDE">
            <w:pPr>
              <w:autoSpaceDE w:val="0"/>
              <w:autoSpaceDN w:val="0"/>
              <w:adjustRightInd w:val="0"/>
              <w:spacing w:line="240" w:lineRule="auto"/>
              <w:ind w:left="60" w:right="60"/>
              <w:contextualSpacing/>
              <w:rPr>
                <w:rFonts w:ascii="Cambria" w:hAnsi="Cambria" w:cs="Arial"/>
                <w:lang w:val="en-US"/>
              </w:rPr>
            </w:pPr>
            <w:r w:rsidRPr="00552D93">
              <w:rPr>
                <w:rFonts w:ascii="Cambria" w:hAnsi="Cambria" w:cs="Arial"/>
                <w:lang w:val="en-US"/>
              </w:rPr>
              <w:t>23.71(18.04-31.17</w:t>
            </w:r>
            <w:r w:rsidR="00BC4ADC" w:rsidRPr="00552D93">
              <w:rPr>
                <w:rFonts w:ascii="Cambria" w:hAnsi="Cambria" w:cs="Arial"/>
                <w:lang w:val="en-US"/>
              </w:rPr>
              <w:t xml:space="preserve">) </w:t>
            </w:r>
            <w:r w:rsidR="00BC4ADC" w:rsidRPr="00552D93">
              <w:rPr>
                <w:rFonts w:ascii="Cambria" w:hAnsi="Cambria" w:cs="Arial"/>
                <w:szCs w:val="18"/>
                <w:lang w:val="en-US"/>
              </w:rPr>
              <w:t>*</w:t>
            </w:r>
          </w:p>
        </w:tc>
        <w:tc>
          <w:tcPr>
            <w:tcW w:w="1060" w:type="pct"/>
          </w:tcPr>
          <w:p w14:paraId="41907F20" w14:textId="5EE15B8B" w:rsidR="00BC4ADC" w:rsidRPr="00552D93" w:rsidRDefault="00E33B5F" w:rsidP="00E33B5F">
            <w:pPr>
              <w:autoSpaceDE w:val="0"/>
              <w:autoSpaceDN w:val="0"/>
              <w:adjustRightInd w:val="0"/>
              <w:spacing w:line="240" w:lineRule="auto"/>
              <w:ind w:left="60" w:right="60"/>
              <w:contextualSpacing/>
              <w:rPr>
                <w:rFonts w:ascii="Cambria" w:hAnsi="Cambria" w:cs="Arial"/>
                <w:szCs w:val="18"/>
                <w:lang w:val="en-US"/>
              </w:rPr>
            </w:pPr>
            <w:r w:rsidRPr="00552D93">
              <w:rPr>
                <w:rFonts w:ascii="Cambria" w:hAnsi="Cambria" w:cs="Arial"/>
                <w:szCs w:val="18"/>
                <w:lang w:val="en-US"/>
              </w:rPr>
              <w:t>86.93</w:t>
            </w:r>
            <w:r w:rsidR="00BC4ADC" w:rsidRPr="00552D93">
              <w:rPr>
                <w:rFonts w:ascii="Cambria" w:hAnsi="Cambria" w:cs="Arial"/>
                <w:szCs w:val="18"/>
                <w:lang w:val="en-US"/>
              </w:rPr>
              <w:t xml:space="preserve"> (</w:t>
            </w:r>
            <w:r w:rsidRPr="00552D93">
              <w:rPr>
                <w:rFonts w:ascii="Cambria" w:hAnsi="Cambria" w:cs="Arial"/>
                <w:szCs w:val="18"/>
                <w:lang w:val="en-US"/>
              </w:rPr>
              <w:t>68.06-111.03</w:t>
            </w:r>
            <w:r w:rsidR="00BC4ADC" w:rsidRPr="00552D93">
              <w:rPr>
                <w:rFonts w:ascii="Cambria" w:hAnsi="Cambria" w:cs="Arial"/>
                <w:szCs w:val="18"/>
                <w:lang w:val="en-US"/>
              </w:rPr>
              <w:t>) *</w:t>
            </w:r>
          </w:p>
        </w:tc>
        <w:tc>
          <w:tcPr>
            <w:tcW w:w="1059" w:type="pct"/>
          </w:tcPr>
          <w:p w14:paraId="5F69BF65" w14:textId="618D9A33" w:rsidR="00BC4ADC" w:rsidRPr="00552D93" w:rsidRDefault="00BC4ADC" w:rsidP="005A7DDE">
            <w:pPr>
              <w:autoSpaceDE w:val="0"/>
              <w:autoSpaceDN w:val="0"/>
              <w:adjustRightInd w:val="0"/>
              <w:spacing w:line="240" w:lineRule="auto"/>
              <w:ind w:left="60" w:right="60"/>
              <w:contextualSpacing/>
              <w:rPr>
                <w:rFonts w:ascii="Cambria" w:hAnsi="Cambria" w:cs="Arial"/>
                <w:szCs w:val="18"/>
                <w:lang w:val="en-US"/>
              </w:rPr>
            </w:pPr>
            <w:r w:rsidRPr="00552D93">
              <w:rPr>
                <w:rFonts w:ascii="Cambria" w:hAnsi="Cambria" w:cs="Arial"/>
                <w:szCs w:val="18"/>
                <w:lang w:val="en-US"/>
              </w:rPr>
              <w:t>1</w:t>
            </w:r>
            <w:r w:rsidR="00E33B5F" w:rsidRPr="00552D93">
              <w:rPr>
                <w:rFonts w:ascii="Cambria" w:hAnsi="Cambria" w:cs="Arial"/>
                <w:szCs w:val="18"/>
                <w:lang w:val="en-US"/>
              </w:rPr>
              <w:t>20.42 (108.04-134.21</w:t>
            </w:r>
            <w:r w:rsidRPr="00552D93">
              <w:rPr>
                <w:rFonts w:ascii="Cambria" w:hAnsi="Cambria" w:cs="Arial"/>
                <w:szCs w:val="18"/>
                <w:lang w:val="en-US"/>
              </w:rPr>
              <w:t>) *</w:t>
            </w:r>
          </w:p>
        </w:tc>
        <w:tc>
          <w:tcPr>
            <w:tcW w:w="1059" w:type="pct"/>
          </w:tcPr>
          <w:p w14:paraId="76E07E8C" w14:textId="66E206F9" w:rsidR="00BC4ADC" w:rsidRPr="00552D93" w:rsidRDefault="001D4C06" w:rsidP="005A7DDE">
            <w:pPr>
              <w:autoSpaceDE w:val="0"/>
              <w:autoSpaceDN w:val="0"/>
              <w:adjustRightInd w:val="0"/>
              <w:spacing w:line="240" w:lineRule="auto"/>
              <w:ind w:left="60" w:right="60"/>
              <w:contextualSpacing/>
              <w:rPr>
                <w:rFonts w:ascii="Cambria" w:hAnsi="Cambria" w:cs="Arial"/>
                <w:szCs w:val="18"/>
                <w:highlight w:val="yellow"/>
                <w:lang w:val="en-US"/>
              </w:rPr>
            </w:pPr>
            <w:r w:rsidRPr="00552D93">
              <w:rPr>
                <w:rFonts w:ascii="Cambria" w:hAnsi="Cambria" w:cs="Arial"/>
                <w:szCs w:val="18"/>
                <w:lang w:val="en-US"/>
              </w:rPr>
              <w:t>1.66</w:t>
            </w:r>
            <w:r w:rsidR="00330CEB" w:rsidRPr="00552D93">
              <w:rPr>
                <w:rFonts w:ascii="Cambria" w:hAnsi="Cambria" w:cs="Arial"/>
                <w:szCs w:val="18"/>
                <w:lang w:val="en-US"/>
              </w:rPr>
              <w:t xml:space="preserve"> (1.54-1.78</w:t>
            </w:r>
            <w:r w:rsidR="00BC4ADC" w:rsidRPr="00552D93">
              <w:rPr>
                <w:rFonts w:ascii="Cambria" w:hAnsi="Cambria" w:cs="Arial"/>
                <w:szCs w:val="18"/>
                <w:lang w:val="en-US"/>
              </w:rPr>
              <w:t>) *</w:t>
            </w:r>
          </w:p>
        </w:tc>
      </w:tr>
      <w:tr w:rsidR="00552D93" w:rsidRPr="00552D93" w14:paraId="472CA1BA" w14:textId="77777777" w:rsidTr="00A9207F">
        <w:tc>
          <w:tcPr>
            <w:tcW w:w="762" w:type="pct"/>
          </w:tcPr>
          <w:p w14:paraId="16DE3564" w14:textId="77777777" w:rsidR="00BC4ADC" w:rsidRPr="00552D93" w:rsidRDefault="00BC4ADC" w:rsidP="005A7DDE">
            <w:pPr>
              <w:spacing w:line="240" w:lineRule="auto"/>
              <w:contextualSpacing/>
              <w:rPr>
                <w:rFonts w:ascii="Cambria" w:hAnsi="Cambria"/>
                <w:highlight w:val="yellow"/>
                <w:lang w:val="en-US"/>
              </w:rPr>
            </w:pPr>
            <w:r w:rsidRPr="00552D93">
              <w:rPr>
                <w:rFonts w:ascii="Cambria" w:hAnsi="Cambria"/>
                <w:lang w:val="en-US"/>
              </w:rPr>
              <w:t xml:space="preserve">Intercept </w:t>
            </w:r>
          </w:p>
        </w:tc>
        <w:tc>
          <w:tcPr>
            <w:tcW w:w="1059" w:type="pct"/>
          </w:tcPr>
          <w:p w14:paraId="65B30D33" w14:textId="36FD822B" w:rsidR="00BC4ADC" w:rsidRPr="00552D93" w:rsidRDefault="00357416" w:rsidP="005A7DDE">
            <w:pPr>
              <w:autoSpaceDE w:val="0"/>
              <w:autoSpaceDN w:val="0"/>
              <w:adjustRightInd w:val="0"/>
              <w:spacing w:line="240" w:lineRule="auto"/>
              <w:ind w:left="60" w:right="60"/>
              <w:contextualSpacing/>
              <w:rPr>
                <w:rFonts w:ascii="Cambria" w:hAnsi="Cambria" w:cs="Arial"/>
                <w:lang w:val="en-US"/>
              </w:rPr>
            </w:pPr>
            <w:r w:rsidRPr="00552D93">
              <w:rPr>
                <w:rFonts w:ascii="Cambria" w:hAnsi="Cambria" w:cs="Arial"/>
                <w:lang w:val="en-US"/>
              </w:rPr>
              <w:t>3.05 (2.63 – 3.54</w:t>
            </w:r>
            <w:r w:rsidR="00BC4ADC" w:rsidRPr="00552D93">
              <w:rPr>
                <w:rFonts w:ascii="Cambria" w:hAnsi="Cambria" w:cs="Arial"/>
                <w:lang w:val="en-US"/>
              </w:rPr>
              <w:t xml:space="preserve">) </w:t>
            </w:r>
            <w:r w:rsidR="00BC4ADC" w:rsidRPr="00552D93">
              <w:rPr>
                <w:rFonts w:ascii="Cambria" w:hAnsi="Cambria" w:cs="Arial"/>
                <w:szCs w:val="18"/>
                <w:lang w:val="en-US"/>
              </w:rPr>
              <w:t>*</w:t>
            </w:r>
          </w:p>
        </w:tc>
        <w:tc>
          <w:tcPr>
            <w:tcW w:w="1060" w:type="pct"/>
          </w:tcPr>
          <w:p w14:paraId="210E4F7F" w14:textId="28168244" w:rsidR="00BC4ADC" w:rsidRPr="00552D93" w:rsidRDefault="00E33B5F" w:rsidP="005A7DDE">
            <w:pPr>
              <w:autoSpaceDE w:val="0"/>
              <w:autoSpaceDN w:val="0"/>
              <w:adjustRightInd w:val="0"/>
              <w:spacing w:line="240" w:lineRule="auto"/>
              <w:ind w:left="60" w:right="60"/>
              <w:contextualSpacing/>
              <w:rPr>
                <w:rFonts w:ascii="Cambria" w:hAnsi="Cambria" w:cs="Arial"/>
                <w:szCs w:val="18"/>
                <w:lang w:val="en-US"/>
              </w:rPr>
            </w:pPr>
            <w:r w:rsidRPr="00552D93">
              <w:rPr>
                <w:rFonts w:ascii="Cambria" w:hAnsi="Cambria" w:cs="Arial"/>
                <w:szCs w:val="18"/>
                <w:lang w:val="en-US"/>
              </w:rPr>
              <w:t>1.05 (.87-1.27</w:t>
            </w:r>
            <w:r w:rsidR="00BC4ADC" w:rsidRPr="00552D93">
              <w:rPr>
                <w:rFonts w:ascii="Cambria" w:hAnsi="Cambria" w:cs="Arial"/>
                <w:szCs w:val="18"/>
                <w:lang w:val="en-US"/>
              </w:rPr>
              <w:t xml:space="preserve">) </w:t>
            </w:r>
          </w:p>
        </w:tc>
        <w:tc>
          <w:tcPr>
            <w:tcW w:w="1059" w:type="pct"/>
          </w:tcPr>
          <w:p w14:paraId="3D0C792E" w14:textId="16B04FCE" w:rsidR="00BC4ADC" w:rsidRPr="00552D93" w:rsidRDefault="00E33B5F" w:rsidP="005A7DDE">
            <w:pPr>
              <w:autoSpaceDE w:val="0"/>
              <w:autoSpaceDN w:val="0"/>
              <w:adjustRightInd w:val="0"/>
              <w:spacing w:line="240" w:lineRule="auto"/>
              <w:ind w:left="60" w:right="60"/>
              <w:contextualSpacing/>
              <w:rPr>
                <w:rFonts w:ascii="Cambria" w:hAnsi="Cambria" w:cs="Arial"/>
                <w:szCs w:val="18"/>
                <w:highlight w:val="yellow"/>
                <w:lang w:val="en-US"/>
              </w:rPr>
            </w:pPr>
            <w:r w:rsidRPr="00552D93">
              <w:rPr>
                <w:rFonts w:ascii="Cambria" w:hAnsi="Cambria" w:cs="Arial"/>
                <w:szCs w:val="18"/>
                <w:lang w:val="en-US"/>
              </w:rPr>
              <w:t>.04 (.04</w:t>
            </w:r>
            <w:r w:rsidR="00BC4ADC" w:rsidRPr="00552D93">
              <w:rPr>
                <w:rFonts w:ascii="Cambria" w:hAnsi="Cambria" w:cs="Arial"/>
                <w:szCs w:val="18"/>
                <w:lang w:val="en-US"/>
              </w:rPr>
              <w:t>-.05) *</w:t>
            </w:r>
          </w:p>
        </w:tc>
        <w:tc>
          <w:tcPr>
            <w:tcW w:w="1059" w:type="pct"/>
          </w:tcPr>
          <w:p w14:paraId="22919C79" w14:textId="05544A8A" w:rsidR="00BC4ADC" w:rsidRPr="00552D93" w:rsidRDefault="00330CEB" w:rsidP="005A7DDE">
            <w:pPr>
              <w:autoSpaceDE w:val="0"/>
              <w:autoSpaceDN w:val="0"/>
              <w:adjustRightInd w:val="0"/>
              <w:spacing w:line="240" w:lineRule="auto"/>
              <w:ind w:left="60" w:right="60"/>
              <w:contextualSpacing/>
              <w:rPr>
                <w:rFonts w:ascii="Cambria" w:hAnsi="Cambria" w:cs="Arial"/>
                <w:szCs w:val="18"/>
                <w:highlight w:val="yellow"/>
                <w:lang w:val="en-US"/>
              </w:rPr>
            </w:pPr>
            <w:r w:rsidRPr="00552D93">
              <w:rPr>
                <w:rFonts w:ascii="Cambria" w:hAnsi="Cambria" w:cs="Arial"/>
                <w:szCs w:val="18"/>
                <w:lang w:val="en-US"/>
              </w:rPr>
              <w:t>.97 (.81-1.15</w:t>
            </w:r>
            <w:r w:rsidR="00BC4ADC" w:rsidRPr="00552D93">
              <w:rPr>
                <w:rFonts w:ascii="Cambria" w:hAnsi="Cambria" w:cs="Arial"/>
                <w:szCs w:val="18"/>
                <w:lang w:val="en-US"/>
              </w:rPr>
              <w:t>)</w:t>
            </w:r>
          </w:p>
        </w:tc>
      </w:tr>
      <w:tr w:rsidR="00552D93" w:rsidRPr="00552D93" w14:paraId="2139A86C" w14:textId="77777777" w:rsidTr="00A9207F">
        <w:tc>
          <w:tcPr>
            <w:tcW w:w="762" w:type="pct"/>
          </w:tcPr>
          <w:p w14:paraId="16453942" w14:textId="5F211048" w:rsidR="00BC4ADC" w:rsidRPr="00552D93" w:rsidRDefault="00BC4ADC" w:rsidP="005A7DDE">
            <w:pPr>
              <w:spacing w:line="240" w:lineRule="auto"/>
              <w:contextualSpacing/>
              <w:rPr>
                <w:rFonts w:ascii="Cambria" w:hAnsi="Cambria"/>
                <w:lang w:val="en-US"/>
              </w:rPr>
            </w:pPr>
            <w:r w:rsidRPr="00552D93">
              <w:rPr>
                <w:rFonts w:ascii="Cambria" w:hAnsi="Cambria"/>
                <w:lang w:val="en-US"/>
              </w:rPr>
              <w:t>REvar (SE)</w:t>
            </w:r>
          </w:p>
        </w:tc>
        <w:tc>
          <w:tcPr>
            <w:tcW w:w="1059" w:type="pct"/>
          </w:tcPr>
          <w:p w14:paraId="78B266E6" w14:textId="72C8516F" w:rsidR="00BC4ADC" w:rsidRPr="00552D93" w:rsidRDefault="00983D3E" w:rsidP="005A7DDE">
            <w:pPr>
              <w:autoSpaceDE w:val="0"/>
              <w:autoSpaceDN w:val="0"/>
              <w:adjustRightInd w:val="0"/>
              <w:spacing w:line="240" w:lineRule="auto"/>
              <w:ind w:left="60" w:right="60"/>
              <w:contextualSpacing/>
              <w:rPr>
                <w:rFonts w:ascii="Cambria" w:hAnsi="Cambria" w:cs="Arial"/>
                <w:lang w:val="en-US"/>
              </w:rPr>
            </w:pPr>
            <w:r w:rsidRPr="00552D93">
              <w:rPr>
                <w:rFonts w:ascii="Cambria" w:hAnsi="Cambria" w:cs="Arial"/>
                <w:lang w:val="en-US"/>
              </w:rPr>
              <w:t>0.13</w:t>
            </w:r>
            <w:r w:rsidR="00BC4ADC" w:rsidRPr="00552D93">
              <w:rPr>
                <w:rFonts w:ascii="Cambria" w:hAnsi="Cambria" w:cs="Arial"/>
                <w:lang w:val="en-US"/>
              </w:rPr>
              <w:t xml:space="preserve"> (</w:t>
            </w:r>
            <w:r w:rsidRPr="00552D93">
              <w:rPr>
                <w:rFonts w:ascii="Cambria" w:hAnsi="Cambria" w:cs="Arial"/>
                <w:lang w:val="en-US"/>
              </w:rPr>
              <w:t>.04</w:t>
            </w:r>
            <w:r w:rsidR="00BC4ADC" w:rsidRPr="00552D93">
              <w:rPr>
                <w:rFonts w:ascii="Cambria" w:hAnsi="Cambria" w:cs="Arial"/>
                <w:lang w:val="en-US"/>
              </w:rPr>
              <w:t xml:space="preserve">) </w:t>
            </w:r>
          </w:p>
        </w:tc>
        <w:tc>
          <w:tcPr>
            <w:tcW w:w="1060" w:type="pct"/>
          </w:tcPr>
          <w:p w14:paraId="6F228228" w14:textId="53A407DD" w:rsidR="00BC4ADC" w:rsidRPr="00552D93" w:rsidRDefault="00E33B5F" w:rsidP="005A7DDE">
            <w:pPr>
              <w:autoSpaceDE w:val="0"/>
              <w:autoSpaceDN w:val="0"/>
              <w:adjustRightInd w:val="0"/>
              <w:spacing w:line="240" w:lineRule="auto"/>
              <w:ind w:left="60" w:right="60"/>
              <w:contextualSpacing/>
              <w:rPr>
                <w:rFonts w:ascii="Cambria" w:hAnsi="Cambria" w:cs="Arial"/>
                <w:szCs w:val="18"/>
                <w:highlight w:val="yellow"/>
                <w:lang w:val="en-US"/>
              </w:rPr>
            </w:pPr>
            <w:r w:rsidRPr="00552D93">
              <w:rPr>
                <w:rFonts w:ascii="Cambria" w:hAnsi="Cambria" w:cs="Arial"/>
                <w:szCs w:val="18"/>
                <w:lang w:val="en-US"/>
              </w:rPr>
              <w:t>0.14</w:t>
            </w:r>
            <w:r w:rsidR="00BC4ADC" w:rsidRPr="00552D93">
              <w:rPr>
                <w:rFonts w:ascii="Cambria" w:hAnsi="Cambria" w:cs="Arial"/>
                <w:szCs w:val="18"/>
                <w:lang w:val="en-US"/>
              </w:rPr>
              <w:t xml:space="preserve"> (.05)</w:t>
            </w:r>
          </w:p>
        </w:tc>
        <w:tc>
          <w:tcPr>
            <w:tcW w:w="1059" w:type="pct"/>
          </w:tcPr>
          <w:p w14:paraId="19E83B6F" w14:textId="0FFB4B07" w:rsidR="00BC4ADC" w:rsidRPr="00552D93" w:rsidRDefault="00E33B5F" w:rsidP="005A7DDE">
            <w:pPr>
              <w:autoSpaceDE w:val="0"/>
              <w:autoSpaceDN w:val="0"/>
              <w:adjustRightInd w:val="0"/>
              <w:spacing w:line="240" w:lineRule="auto"/>
              <w:ind w:left="60" w:right="60"/>
              <w:contextualSpacing/>
              <w:rPr>
                <w:rFonts w:ascii="Cambria" w:hAnsi="Cambria" w:cs="Arial"/>
                <w:szCs w:val="18"/>
                <w:highlight w:val="yellow"/>
                <w:lang w:val="en-US"/>
              </w:rPr>
            </w:pPr>
            <w:r w:rsidRPr="00552D93">
              <w:rPr>
                <w:rFonts w:ascii="Cambria" w:hAnsi="Cambria" w:cs="Arial"/>
                <w:szCs w:val="18"/>
                <w:lang w:val="en-US"/>
              </w:rPr>
              <w:t>0.10 (.03</w:t>
            </w:r>
            <w:r w:rsidR="00BC4ADC" w:rsidRPr="00552D93">
              <w:rPr>
                <w:rFonts w:ascii="Cambria" w:hAnsi="Cambria" w:cs="Arial"/>
                <w:szCs w:val="18"/>
                <w:lang w:val="en-US"/>
              </w:rPr>
              <w:t>)</w:t>
            </w:r>
          </w:p>
        </w:tc>
        <w:tc>
          <w:tcPr>
            <w:tcW w:w="1059" w:type="pct"/>
          </w:tcPr>
          <w:p w14:paraId="7D3CD162" w14:textId="4CB61F47" w:rsidR="00BC4ADC" w:rsidRPr="00552D93" w:rsidRDefault="009A59F0" w:rsidP="005A7DDE">
            <w:pPr>
              <w:autoSpaceDE w:val="0"/>
              <w:autoSpaceDN w:val="0"/>
              <w:adjustRightInd w:val="0"/>
              <w:spacing w:line="240" w:lineRule="auto"/>
              <w:ind w:left="60" w:right="60"/>
              <w:contextualSpacing/>
              <w:rPr>
                <w:rFonts w:ascii="Cambria" w:hAnsi="Cambria" w:cs="Arial"/>
                <w:szCs w:val="18"/>
                <w:highlight w:val="yellow"/>
                <w:lang w:val="en-US"/>
              </w:rPr>
            </w:pPr>
            <w:r w:rsidRPr="00552D93">
              <w:rPr>
                <w:rFonts w:ascii="Cambria" w:hAnsi="Cambria" w:cs="Arial"/>
                <w:szCs w:val="18"/>
                <w:lang w:val="en-US"/>
              </w:rPr>
              <w:t>0.12 (.04</w:t>
            </w:r>
            <w:r w:rsidR="00BC4ADC" w:rsidRPr="00552D93">
              <w:rPr>
                <w:rFonts w:ascii="Cambria" w:hAnsi="Cambria" w:cs="Arial"/>
                <w:szCs w:val="18"/>
                <w:lang w:val="en-US"/>
              </w:rPr>
              <w:t>)</w:t>
            </w:r>
          </w:p>
        </w:tc>
      </w:tr>
      <w:tr w:rsidR="00552D93" w:rsidRPr="00552D93" w14:paraId="6F3D961D" w14:textId="77777777" w:rsidTr="00A9207F">
        <w:tc>
          <w:tcPr>
            <w:tcW w:w="762" w:type="pct"/>
          </w:tcPr>
          <w:p w14:paraId="3BFEE89D" w14:textId="77777777" w:rsidR="00BC4ADC" w:rsidRPr="00552D93" w:rsidRDefault="00BC4ADC" w:rsidP="005A7DDE">
            <w:pPr>
              <w:spacing w:line="240" w:lineRule="auto"/>
              <w:contextualSpacing/>
              <w:rPr>
                <w:rFonts w:ascii="Cambria" w:hAnsi="Cambria"/>
                <w:lang w:val="en-US"/>
              </w:rPr>
            </w:pPr>
            <w:r w:rsidRPr="00552D93">
              <w:rPr>
                <w:rFonts w:ascii="Cambria" w:hAnsi="Cambria"/>
                <w:lang w:val="en-US"/>
              </w:rPr>
              <w:t xml:space="preserve">ICC </w:t>
            </w:r>
          </w:p>
        </w:tc>
        <w:tc>
          <w:tcPr>
            <w:tcW w:w="1059" w:type="pct"/>
          </w:tcPr>
          <w:p w14:paraId="3D2E9D69" w14:textId="607E1372" w:rsidR="00BC4ADC" w:rsidRPr="00552D93" w:rsidRDefault="00907585" w:rsidP="005A7DDE">
            <w:pPr>
              <w:autoSpaceDE w:val="0"/>
              <w:autoSpaceDN w:val="0"/>
              <w:adjustRightInd w:val="0"/>
              <w:spacing w:line="240" w:lineRule="auto"/>
              <w:ind w:left="60" w:right="60"/>
              <w:contextualSpacing/>
              <w:rPr>
                <w:rFonts w:ascii="Cambria" w:hAnsi="Cambria" w:cs="Arial"/>
                <w:lang w:val="en-US"/>
              </w:rPr>
            </w:pPr>
            <w:r w:rsidRPr="00552D93">
              <w:rPr>
                <w:rFonts w:ascii="Cambria" w:hAnsi="Cambria" w:cs="Arial"/>
                <w:lang w:val="en-US"/>
              </w:rPr>
              <w:t xml:space="preserve"> 0.018</w:t>
            </w:r>
          </w:p>
        </w:tc>
        <w:tc>
          <w:tcPr>
            <w:tcW w:w="1060" w:type="pct"/>
          </w:tcPr>
          <w:p w14:paraId="40599ED6" w14:textId="235024F3" w:rsidR="00BC4ADC" w:rsidRPr="00552D93" w:rsidRDefault="00907585" w:rsidP="005A7DDE">
            <w:pPr>
              <w:autoSpaceDE w:val="0"/>
              <w:autoSpaceDN w:val="0"/>
              <w:adjustRightInd w:val="0"/>
              <w:spacing w:line="240" w:lineRule="auto"/>
              <w:ind w:left="60" w:right="60"/>
              <w:contextualSpacing/>
              <w:rPr>
                <w:rFonts w:ascii="Cambria" w:hAnsi="Cambria" w:cs="Arial"/>
                <w:szCs w:val="18"/>
                <w:lang w:val="en-US"/>
              </w:rPr>
            </w:pPr>
            <w:r w:rsidRPr="00552D93">
              <w:rPr>
                <w:rFonts w:ascii="Cambria" w:hAnsi="Cambria" w:cs="Arial"/>
                <w:szCs w:val="18"/>
                <w:lang w:val="en-US"/>
              </w:rPr>
              <w:t>0.033</w:t>
            </w:r>
          </w:p>
        </w:tc>
        <w:tc>
          <w:tcPr>
            <w:tcW w:w="1059" w:type="pct"/>
          </w:tcPr>
          <w:p w14:paraId="492F3B7A" w14:textId="04A8E8BD" w:rsidR="00BC4ADC" w:rsidRPr="00552D93" w:rsidRDefault="00907585" w:rsidP="005A7DDE">
            <w:pPr>
              <w:autoSpaceDE w:val="0"/>
              <w:autoSpaceDN w:val="0"/>
              <w:adjustRightInd w:val="0"/>
              <w:spacing w:line="240" w:lineRule="auto"/>
              <w:ind w:left="60" w:right="60"/>
              <w:contextualSpacing/>
              <w:rPr>
                <w:rFonts w:ascii="Cambria" w:hAnsi="Cambria" w:cs="Arial"/>
                <w:szCs w:val="18"/>
                <w:lang w:val="en-US"/>
              </w:rPr>
            </w:pPr>
            <w:r w:rsidRPr="00552D93">
              <w:rPr>
                <w:rFonts w:ascii="Cambria" w:hAnsi="Cambria" w:cs="Arial"/>
                <w:szCs w:val="18"/>
                <w:lang w:val="en-US"/>
              </w:rPr>
              <w:t>0.014</w:t>
            </w:r>
          </w:p>
        </w:tc>
        <w:tc>
          <w:tcPr>
            <w:tcW w:w="1059" w:type="pct"/>
          </w:tcPr>
          <w:p w14:paraId="340998F4" w14:textId="49348C9C" w:rsidR="00BC4ADC" w:rsidRPr="00552D93" w:rsidRDefault="00907585" w:rsidP="005A7DDE">
            <w:pPr>
              <w:autoSpaceDE w:val="0"/>
              <w:autoSpaceDN w:val="0"/>
              <w:adjustRightInd w:val="0"/>
              <w:spacing w:line="240" w:lineRule="auto"/>
              <w:ind w:left="60" w:right="60"/>
              <w:contextualSpacing/>
              <w:rPr>
                <w:rFonts w:ascii="Cambria" w:hAnsi="Cambria" w:cs="Arial"/>
                <w:szCs w:val="18"/>
                <w:lang w:val="en-US"/>
              </w:rPr>
            </w:pPr>
            <w:r w:rsidRPr="00552D93">
              <w:rPr>
                <w:rFonts w:ascii="Cambria" w:hAnsi="Cambria" w:cs="Arial"/>
                <w:szCs w:val="18"/>
                <w:lang w:val="en-US"/>
              </w:rPr>
              <w:t>0.028</w:t>
            </w:r>
          </w:p>
        </w:tc>
      </w:tr>
    </w:tbl>
    <w:p w14:paraId="28B4CFB2" w14:textId="7DFCA8D9" w:rsidR="00BC4ADC" w:rsidRPr="00552D93" w:rsidRDefault="00BC4ADC" w:rsidP="00BC4ADC">
      <w:pPr>
        <w:spacing w:line="240" w:lineRule="auto"/>
        <w:rPr>
          <w:rFonts w:ascii="Cambria" w:hAnsi="Cambria"/>
          <w:sz w:val="18"/>
          <w:lang w:val="en-US"/>
        </w:rPr>
      </w:pPr>
      <w:r w:rsidRPr="00552D93">
        <w:rPr>
          <w:rFonts w:ascii="Cambria" w:hAnsi="Cambria"/>
          <w:sz w:val="18"/>
          <w:lang w:val="en-US"/>
        </w:rPr>
        <w:t xml:space="preserve">Reference groups, </w:t>
      </w:r>
      <w:r w:rsidR="0095496C" w:rsidRPr="00552D93">
        <w:rPr>
          <w:rFonts w:ascii="Cambria" w:hAnsi="Cambria"/>
          <w:sz w:val="18"/>
          <w:lang w:val="en-US"/>
        </w:rPr>
        <w:t xml:space="preserve">gender </w:t>
      </w:r>
      <w:r w:rsidRPr="00552D93">
        <w:rPr>
          <w:rFonts w:ascii="Cambria" w:hAnsi="Cambria"/>
          <w:sz w:val="18"/>
          <w:lang w:val="en-US"/>
        </w:rPr>
        <w:t>= female, AUDIT = low risk , *p&lt;.001</w:t>
      </w:r>
      <w:r w:rsidR="007377D9" w:rsidRPr="00552D93">
        <w:rPr>
          <w:rFonts w:ascii="Cambria" w:hAnsi="Cambria"/>
          <w:sz w:val="18"/>
          <w:lang w:val="en-US"/>
        </w:rPr>
        <w:t xml:space="preserve"> REvar = random effect variance </w:t>
      </w:r>
    </w:p>
    <w:p w14:paraId="0C071B61" w14:textId="1B2D1013" w:rsidR="00050B6C" w:rsidRPr="00552D93" w:rsidRDefault="00050B6C" w:rsidP="00BC4ADC">
      <w:pPr>
        <w:rPr>
          <w:i/>
          <w:noProof/>
          <w:lang w:eastAsia="en-GB"/>
        </w:rPr>
      </w:pPr>
    </w:p>
    <w:p w14:paraId="2A4AE288" w14:textId="77777777" w:rsidR="008F1247" w:rsidRPr="00552D93" w:rsidRDefault="008F1247" w:rsidP="009A347D">
      <w:pPr>
        <w:rPr>
          <w:noProof/>
          <w:lang w:eastAsia="en-GB"/>
        </w:rPr>
      </w:pPr>
    </w:p>
    <w:p w14:paraId="3EA8EEA2" w14:textId="77777777" w:rsidR="008F1247" w:rsidRPr="00552D93" w:rsidRDefault="008F1247" w:rsidP="009A347D">
      <w:pPr>
        <w:rPr>
          <w:noProof/>
          <w:lang w:eastAsia="en-GB"/>
        </w:rPr>
      </w:pPr>
    </w:p>
    <w:p w14:paraId="292759DC" w14:textId="77777777" w:rsidR="008F1247" w:rsidRPr="00552D93" w:rsidRDefault="008F1247" w:rsidP="009A347D">
      <w:pPr>
        <w:rPr>
          <w:noProof/>
          <w:lang w:eastAsia="en-GB"/>
        </w:rPr>
      </w:pPr>
    </w:p>
    <w:p w14:paraId="31D37521" w14:textId="5E8DF9B0" w:rsidR="0094115C" w:rsidRPr="00552D93" w:rsidRDefault="0094115C" w:rsidP="00CA44D1">
      <w:pPr>
        <w:rPr>
          <w:rFonts w:asciiTheme="majorHAnsi" w:hAnsiTheme="majorHAnsi"/>
          <w:b/>
          <w:i/>
        </w:rPr>
      </w:pPr>
    </w:p>
    <w:p w14:paraId="2D6C8721" w14:textId="24E0FDC6" w:rsidR="0094115C" w:rsidRPr="00552D93" w:rsidRDefault="0094115C" w:rsidP="0094115C">
      <w:pPr>
        <w:jc w:val="center"/>
        <w:rPr>
          <w:rFonts w:asciiTheme="majorHAnsi" w:hAnsiTheme="majorHAnsi"/>
          <w:b/>
          <w:i/>
        </w:rPr>
      </w:pPr>
    </w:p>
    <w:p w14:paraId="5D9B501F" w14:textId="550DB362" w:rsidR="00AB5633" w:rsidRPr="00552D93" w:rsidRDefault="00AB5633" w:rsidP="0094115C">
      <w:pPr>
        <w:jc w:val="center"/>
        <w:rPr>
          <w:rFonts w:asciiTheme="majorHAnsi" w:hAnsiTheme="majorHAnsi"/>
          <w:b/>
          <w:i/>
        </w:rPr>
      </w:pPr>
      <w:r w:rsidRPr="00552D93">
        <w:rPr>
          <w:rFonts w:asciiTheme="majorHAnsi" w:hAnsiTheme="majorHAnsi"/>
          <w:b/>
          <w:i/>
          <w:noProof/>
          <w:lang w:eastAsia="en-GB"/>
        </w:rPr>
        <w:lastRenderedPageBreak/>
        <mc:AlternateContent>
          <mc:Choice Requires="wps">
            <w:drawing>
              <wp:anchor distT="0" distB="0" distL="114300" distR="114300" simplePos="0" relativeHeight="251659264" behindDoc="0" locked="0" layoutInCell="1" allowOverlap="1" wp14:anchorId="09A795B0" wp14:editId="2AFFDF38">
                <wp:simplePos x="0" y="0"/>
                <wp:positionH relativeFrom="column">
                  <wp:posOffset>619125</wp:posOffset>
                </wp:positionH>
                <wp:positionV relativeFrom="paragraph">
                  <wp:posOffset>190500</wp:posOffset>
                </wp:positionV>
                <wp:extent cx="1447800" cy="285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85750"/>
                        </a:xfrm>
                        <a:prstGeom prst="rect">
                          <a:avLst/>
                        </a:prstGeom>
                        <a:solidFill>
                          <a:srgbClr val="FFFFFF"/>
                        </a:solidFill>
                        <a:ln w="9525">
                          <a:solidFill>
                            <a:srgbClr val="000000"/>
                          </a:solidFill>
                          <a:miter lim="800000"/>
                          <a:headEnd/>
                          <a:tailEnd/>
                        </a:ln>
                      </wps:spPr>
                      <wps:txbx>
                        <w:txbxContent>
                          <w:p w14:paraId="7CA8E1F7" w14:textId="4C4621ED" w:rsidR="001875AF" w:rsidRPr="001F6D06" w:rsidRDefault="001875AF">
                            <w:pPr>
                              <w:rPr>
                                <w:b/>
                              </w:rPr>
                            </w:pPr>
                            <w:r w:rsidRPr="001F6D06">
                              <w:rPr>
                                <w:b/>
                              </w:rPr>
                              <w:t xml:space="preserve">Grams of alcohol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795B0" id="_x0000_t202" coordsize="21600,21600" o:spt="202" path="m,l,21600r21600,l21600,xe">
                <v:stroke joinstyle="miter"/>
                <v:path gradientshapeok="t" o:connecttype="rect"/>
              </v:shapetype>
              <v:shape id="Text Box 2" o:spid="_x0000_s1026" type="#_x0000_t202" style="position:absolute;left:0;text-align:left;margin-left:48.75pt;margin-top:15pt;width:11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">
                <v:textbox>
                  <w:txbxContent>
                    <w:p w14:paraId="7CA8E1F7" w14:textId="4C4621ED" w:rsidR="001875AF" w:rsidRPr="001F6D06" w:rsidRDefault="001875AF">
                      <w:pPr>
                        <w:rPr>
                          <w:b/>
                        </w:rPr>
                      </w:pPr>
                      <w:r w:rsidRPr="001F6D06">
                        <w:rPr>
                          <w:b/>
                        </w:rPr>
                        <w:t xml:space="preserve">Grams of alcohol </w:t>
                      </w:r>
                    </w:p>
                  </w:txbxContent>
                </v:textbox>
              </v:shape>
            </w:pict>
          </mc:Fallback>
        </mc:AlternateContent>
      </w:r>
      <w:r w:rsidRPr="00552D93">
        <w:rPr>
          <w:noProof/>
          <w:lang w:eastAsia="en-GB"/>
        </w:rPr>
        <w:drawing>
          <wp:inline distT="0" distB="0" distL="0" distR="0" wp14:anchorId="70D64016" wp14:editId="08EBD450">
            <wp:extent cx="8963025" cy="52197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413BD2" w14:textId="2A5D989E" w:rsidR="0094115C" w:rsidRPr="00552D93" w:rsidRDefault="0094115C" w:rsidP="0094115C">
      <w:pPr>
        <w:jc w:val="center"/>
        <w:rPr>
          <w:rFonts w:asciiTheme="majorHAnsi" w:hAnsiTheme="majorHAnsi"/>
          <w:sz w:val="20"/>
        </w:rPr>
      </w:pPr>
      <w:r w:rsidRPr="00552D93">
        <w:rPr>
          <w:rFonts w:asciiTheme="majorHAnsi" w:hAnsiTheme="majorHAnsi"/>
          <w:b/>
          <w:i/>
          <w:sz w:val="20"/>
        </w:rPr>
        <w:t xml:space="preserve">Figure 1: </w:t>
      </w:r>
      <w:r w:rsidRPr="00552D93">
        <w:rPr>
          <w:rFonts w:asciiTheme="majorHAnsi" w:hAnsiTheme="majorHAnsi"/>
          <w:sz w:val="20"/>
        </w:rPr>
        <w:t xml:space="preserve"> Mean grams of alcohol needed to </w:t>
      </w:r>
      <w:r w:rsidRPr="00552D93">
        <w:rPr>
          <w:rFonts w:asciiTheme="majorHAnsi" w:hAnsiTheme="majorHAnsi"/>
          <w:b/>
          <w:sz w:val="20"/>
        </w:rPr>
        <w:t>feel</w:t>
      </w:r>
      <w:r w:rsidRPr="00552D93">
        <w:rPr>
          <w:rFonts w:asciiTheme="majorHAnsi" w:hAnsiTheme="majorHAnsi"/>
          <w:sz w:val="20"/>
        </w:rPr>
        <w:t xml:space="preserve"> </w:t>
      </w:r>
      <w:r w:rsidRPr="00552D93">
        <w:rPr>
          <w:rFonts w:asciiTheme="majorHAnsi" w:hAnsiTheme="majorHAnsi"/>
          <w:b/>
          <w:sz w:val="20"/>
        </w:rPr>
        <w:t>the effects</w:t>
      </w:r>
      <w:r w:rsidRPr="00552D93">
        <w:rPr>
          <w:rFonts w:asciiTheme="majorHAnsi" w:hAnsiTheme="majorHAnsi"/>
          <w:sz w:val="20"/>
        </w:rPr>
        <w:t xml:space="preserve"> </w:t>
      </w:r>
      <w:r w:rsidRPr="00552D93">
        <w:rPr>
          <w:rFonts w:asciiTheme="majorHAnsi" w:hAnsiTheme="majorHAnsi"/>
          <w:b/>
          <w:sz w:val="20"/>
        </w:rPr>
        <w:t>of alcohol</w:t>
      </w:r>
      <w:r w:rsidRPr="00552D93">
        <w:rPr>
          <w:rFonts w:asciiTheme="majorHAnsi" w:hAnsiTheme="majorHAnsi"/>
          <w:sz w:val="20"/>
        </w:rPr>
        <w:t xml:space="preserve"> by gender and country and difference between males and females. Error bars represent </w:t>
      </w:r>
      <w:r w:rsidR="00CA44D1" w:rsidRPr="00552D93">
        <w:rPr>
          <w:rFonts w:asciiTheme="majorHAnsi" w:hAnsiTheme="majorHAnsi"/>
          <w:sz w:val="20"/>
        </w:rPr>
        <w:t>standard error. Data labels indicate the % difference between grams for males compared to grams for females in each country</w:t>
      </w:r>
      <w:r w:rsidR="00601540" w:rsidRPr="00552D93">
        <w:rPr>
          <w:rFonts w:asciiTheme="majorHAnsi" w:hAnsiTheme="majorHAnsi"/>
          <w:sz w:val="20"/>
        </w:rPr>
        <w:t>.</w:t>
      </w:r>
    </w:p>
    <w:p w14:paraId="386BA965" w14:textId="33B1EDC4" w:rsidR="009A347D" w:rsidRPr="00552D93" w:rsidRDefault="001F6D06" w:rsidP="009A347D">
      <w:pPr>
        <w:rPr>
          <w:rFonts w:asciiTheme="majorHAnsi" w:hAnsiTheme="majorHAnsi"/>
          <w:b/>
          <w:i/>
        </w:rPr>
      </w:pPr>
      <w:r w:rsidRPr="00552D93">
        <w:rPr>
          <w:noProof/>
          <w:lang w:eastAsia="en-GB"/>
        </w:rPr>
        <w:lastRenderedPageBreak/>
        <w:drawing>
          <wp:inline distT="0" distB="0" distL="0" distR="0" wp14:anchorId="4BFB3F62" wp14:editId="2C56CDAB">
            <wp:extent cx="9229725" cy="50482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71CBB1B" w14:textId="78792595" w:rsidR="00FB4C47" w:rsidRPr="00552D93" w:rsidRDefault="009A347D" w:rsidP="00312878">
      <w:pPr>
        <w:rPr>
          <w:rFonts w:asciiTheme="majorHAnsi" w:hAnsiTheme="majorHAnsi"/>
          <w:sz w:val="20"/>
        </w:rPr>
      </w:pPr>
      <w:r w:rsidRPr="00552D93">
        <w:rPr>
          <w:rFonts w:asciiTheme="majorHAnsi" w:hAnsiTheme="majorHAnsi"/>
          <w:b/>
          <w:i/>
          <w:sz w:val="20"/>
        </w:rPr>
        <w:t xml:space="preserve">Figure 2: </w:t>
      </w:r>
      <w:r w:rsidR="00601540" w:rsidRPr="00552D93">
        <w:rPr>
          <w:rFonts w:asciiTheme="majorHAnsi" w:hAnsiTheme="majorHAnsi"/>
          <w:sz w:val="20"/>
        </w:rPr>
        <w:t xml:space="preserve">Mean grams of alcohol needed to </w:t>
      </w:r>
      <w:r w:rsidR="00601540" w:rsidRPr="00552D93">
        <w:rPr>
          <w:rFonts w:asciiTheme="majorHAnsi" w:hAnsiTheme="majorHAnsi"/>
          <w:b/>
          <w:sz w:val="20"/>
        </w:rPr>
        <w:t>feel</w:t>
      </w:r>
      <w:r w:rsidR="00601540" w:rsidRPr="00552D93">
        <w:rPr>
          <w:rFonts w:asciiTheme="majorHAnsi" w:hAnsiTheme="majorHAnsi"/>
          <w:sz w:val="20"/>
        </w:rPr>
        <w:t xml:space="preserve"> </w:t>
      </w:r>
      <w:r w:rsidR="008F5F23" w:rsidRPr="00552D93">
        <w:rPr>
          <w:rFonts w:asciiTheme="majorHAnsi" w:hAnsiTheme="majorHAnsi"/>
          <w:b/>
          <w:sz w:val="20"/>
        </w:rPr>
        <w:t>as drunk as you would like to be</w:t>
      </w:r>
      <w:r w:rsidR="00601540" w:rsidRPr="00552D93">
        <w:rPr>
          <w:rFonts w:asciiTheme="majorHAnsi" w:hAnsiTheme="majorHAnsi"/>
          <w:sz w:val="20"/>
        </w:rPr>
        <w:t xml:space="preserve"> by gender and country and difference between males and females. Error bars represent standard error. Data labels indicate the % difference between grams for males compared to gr</w:t>
      </w:r>
      <w:r w:rsidR="008F5F23" w:rsidRPr="00552D93">
        <w:rPr>
          <w:rFonts w:asciiTheme="majorHAnsi" w:hAnsiTheme="majorHAnsi"/>
          <w:sz w:val="20"/>
        </w:rPr>
        <w:t>ams for females in each country</w:t>
      </w:r>
    </w:p>
    <w:p w14:paraId="23764933" w14:textId="77777777" w:rsidR="001F6D06" w:rsidRPr="00552D93" w:rsidRDefault="001F6D06" w:rsidP="00312878">
      <w:pPr>
        <w:rPr>
          <w:rFonts w:asciiTheme="majorHAnsi" w:hAnsiTheme="majorHAnsi"/>
          <w:b/>
          <w:i/>
        </w:rPr>
      </w:pPr>
      <w:r w:rsidRPr="00552D93">
        <w:rPr>
          <w:noProof/>
          <w:lang w:eastAsia="en-GB"/>
        </w:rPr>
        <w:lastRenderedPageBreak/>
        <w:drawing>
          <wp:inline distT="0" distB="0" distL="0" distR="0" wp14:anchorId="06366983" wp14:editId="0B7B17EF">
            <wp:extent cx="9601200" cy="49530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873842" w14:textId="0BE2DECE" w:rsidR="007D2724" w:rsidRPr="00552D93" w:rsidRDefault="009A347D" w:rsidP="00312878">
      <w:pPr>
        <w:rPr>
          <w:rFonts w:asciiTheme="majorHAnsi" w:hAnsiTheme="majorHAnsi"/>
          <w:sz w:val="18"/>
        </w:rPr>
      </w:pPr>
      <w:r w:rsidRPr="00552D93">
        <w:rPr>
          <w:rFonts w:asciiTheme="majorHAnsi" w:hAnsiTheme="majorHAnsi"/>
          <w:b/>
          <w:i/>
          <w:sz w:val="18"/>
        </w:rPr>
        <w:t>Figure 3:</w:t>
      </w:r>
      <w:r w:rsidRPr="00552D93">
        <w:rPr>
          <w:rFonts w:asciiTheme="majorHAnsi" w:hAnsiTheme="majorHAnsi"/>
          <w:sz w:val="18"/>
        </w:rPr>
        <w:t xml:space="preserve"> </w:t>
      </w:r>
      <w:r w:rsidR="008E3B78" w:rsidRPr="00552D93">
        <w:rPr>
          <w:rFonts w:asciiTheme="majorHAnsi" w:hAnsiTheme="majorHAnsi"/>
          <w:sz w:val="18"/>
        </w:rPr>
        <w:t xml:space="preserve">Mean grams of alcohol needed to </w:t>
      </w:r>
      <w:r w:rsidR="00EE157C" w:rsidRPr="00552D93">
        <w:rPr>
          <w:rFonts w:asciiTheme="majorHAnsi" w:hAnsiTheme="majorHAnsi"/>
          <w:b/>
          <w:sz w:val="18"/>
        </w:rPr>
        <w:t xml:space="preserve">reach </w:t>
      </w:r>
      <w:r w:rsidR="008E3B78" w:rsidRPr="00552D93">
        <w:rPr>
          <w:rFonts w:asciiTheme="majorHAnsi" w:hAnsiTheme="majorHAnsi"/>
          <w:b/>
          <w:sz w:val="18"/>
        </w:rPr>
        <w:t>the tipping point</w:t>
      </w:r>
      <w:r w:rsidR="008E3B78" w:rsidRPr="00552D93">
        <w:rPr>
          <w:rFonts w:asciiTheme="majorHAnsi" w:hAnsiTheme="majorHAnsi"/>
          <w:sz w:val="18"/>
        </w:rPr>
        <w:t xml:space="preserve"> by gender and country and difference between males and females. Error bars represent standard error. Data labels indicate the % difference between grams for males compared to grams for females in each country.</w:t>
      </w:r>
    </w:p>
    <w:p w14:paraId="35A0B3D7" w14:textId="77777777" w:rsidR="004825D2" w:rsidRPr="00552D93" w:rsidRDefault="004825D2" w:rsidP="00312878">
      <w:pPr>
        <w:rPr>
          <w:rFonts w:asciiTheme="majorHAnsi" w:hAnsiTheme="majorHAnsi"/>
        </w:rPr>
      </w:pPr>
    </w:p>
    <w:p w14:paraId="026220EC" w14:textId="77777777" w:rsidR="004825D2" w:rsidRPr="00552D93" w:rsidRDefault="004825D2" w:rsidP="00312878">
      <w:pPr>
        <w:rPr>
          <w:rFonts w:asciiTheme="majorHAnsi" w:hAnsiTheme="majorHAnsi"/>
        </w:rPr>
      </w:pPr>
    </w:p>
    <w:p w14:paraId="0995A84C" w14:textId="77777777" w:rsidR="004825D2" w:rsidRPr="00552D93" w:rsidRDefault="004825D2" w:rsidP="00312878">
      <w:pPr>
        <w:rPr>
          <w:rFonts w:asciiTheme="majorHAnsi" w:hAnsiTheme="majorHAnsi"/>
        </w:rPr>
      </w:pPr>
    </w:p>
    <w:p w14:paraId="758DBE40" w14:textId="25DA494E" w:rsidR="004825D2" w:rsidRPr="00552D93" w:rsidRDefault="004825D2" w:rsidP="004825D2">
      <w:pPr>
        <w:rPr>
          <w:rFonts w:ascii="Cambria" w:hAnsi="Cambria"/>
          <w:b/>
        </w:rPr>
      </w:pPr>
      <w:r w:rsidRPr="00552D93">
        <w:rPr>
          <w:rFonts w:ascii="Cambria" w:hAnsi="Cambria"/>
          <w:b/>
        </w:rPr>
        <w:t>Appendix A</w:t>
      </w:r>
      <w:r w:rsidR="002927D3" w:rsidRPr="00552D93">
        <w:rPr>
          <w:rFonts w:ascii="Cambria" w:hAnsi="Cambria"/>
          <w:b/>
        </w:rPr>
        <w:t xml:space="preserve">: </w:t>
      </w:r>
      <w:r w:rsidRPr="00552D93">
        <w:rPr>
          <w:rFonts w:ascii="Cambria" w:hAnsi="Cambria"/>
          <w:b/>
        </w:rPr>
        <w:t xml:space="preserve"> Screen shots from GDS2015 used in the questions </w:t>
      </w:r>
    </w:p>
    <w:p w14:paraId="59C89EF3" w14:textId="2D26AA96" w:rsidR="004825D2" w:rsidRPr="00552D93" w:rsidRDefault="004825D2" w:rsidP="004825D2">
      <w:r w:rsidRPr="00552D93">
        <w:rPr>
          <w:noProof/>
          <w:lang w:eastAsia="en-GB"/>
        </w:rPr>
        <w:drawing>
          <wp:inline distT="0" distB="0" distL="0" distR="0" wp14:anchorId="6A7C3C11" wp14:editId="3B194DBD">
            <wp:extent cx="10763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76325" cy="1181100"/>
                    </a:xfrm>
                    <a:prstGeom prst="rect">
                      <a:avLst/>
                    </a:prstGeom>
                  </pic:spPr>
                </pic:pic>
              </a:graphicData>
            </a:graphic>
          </wp:inline>
        </w:drawing>
      </w:r>
      <w:r w:rsidR="0053720D" w:rsidRPr="00552D93">
        <w:rPr>
          <w:noProof/>
          <w:lang w:eastAsia="en-GB"/>
        </w:rPr>
        <w:t xml:space="preserve"> </w:t>
      </w:r>
      <w:r w:rsidR="0053720D" w:rsidRPr="00552D93">
        <w:rPr>
          <w:noProof/>
          <w:lang w:eastAsia="en-GB"/>
        </w:rPr>
        <w:drawing>
          <wp:inline distT="0" distB="0" distL="0" distR="0" wp14:anchorId="72A64BDE" wp14:editId="70B986FF">
            <wp:extent cx="1581150"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81150" cy="1200150"/>
                    </a:xfrm>
                    <a:prstGeom prst="rect">
                      <a:avLst/>
                    </a:prstGeom>
                  </pic:spPr>
                </pic:pic>
              </a:graphicData>
            </a:graphic>
          </wp:inline>
        </w:drawing>
      </w:r>
      <w:r w:rsidR="0053720D" w:rsidRPr="00552D93">
        <w:rPr>
          <w:noProof/>
          <w:lang w:eastAsia="en-GB"/>
        </w:rPr>
        <w:t xml:space="preserve"> </w:t>
      </w:r>
      <w:r w:rsidR="0053720D" w:rsidRPr="00552D93">
        <w:rPr>
          <w:noProof/>
          <w:lang w:eastAsia="en-GB"/>
        </w:rPr>
        <w:drawing>
          <wp:inline distT="0" distB="0" distL="0" distR="0" wp14:anchorId="5C22C11C" wp14:editId="2A5BA2D5">
            <wp:extent cx="2299412" cy="1176652"/>
            <wp:effectExtent l="0" t="0" r="571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03283" cy="1178633"/>
                    </a:xfrm>
                    <a:prstGeom prst="rect">
                      <a:avLst/>
                    </a:prstGeom>
                  </pic:spPr>
                </pic:pic>
              </a:graphicData>
            </a:graphic>
          </wp:inline>
        </w:drawing>
      </w:r>
      <w:r w:rsidR="0053720D" w:rsidRPr="00552D93">
        <w:rPr>
          <w:noProof/>
          <w:lang w:eastAsia="en-GB"/>
        </w:rPr>
        <w:t xml:space="preserve"> </w:t>
      </w:r>
      <w:r w:rsidR="0053720D" w:rsidRPr="00552D93">
        <w:rPr>
          <w:noProof/>
          <w:lang w:eastAsia="en-GB"/>
        </w:rPr>
        <w:drawing>
          <wp:inline distT="0" distB="0" distL="0" distR="0" wp14:anchorId="47688832" wp14:editId="12B460C7">
            <wp:extent cx="1266977" cy="11695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69981" cy="1172290"/>
                    </a:xfrm>
                    <a:prstGeom prst="rect">
                      <a:avLst/>
                    </a:prstGeom>
                  </pic:spPr>
                </pic:pic>
              </a:graphicData>
            </a:graphic>
          </wp:inline>
        </w:drawing>
      </w:r>
    </w:p>
    <w:p w14:paraId="74D3B572" w14:textId="1DFCB880" w:rsidR="004825D2" w:rsidRPr="00552D93" w:rsidRDefault="004825D2" w:rsidP="004825D2"/>
    <w:p w14:paraId="78E4C71A" w14:textId="652BE7F0" w:rsidR="004825D2" w:rsidRPr="00552D93" w:rsidRDefault="004825D2" w:rsidP="004825D2">
      <w:r w:rsidRPr="00552D93">
        <w:rPr>
          <w:noProof/>
          <w:lang w:eastAsia="en-GB"/>
        </w:rPr>
        <w:drawing>
          <wp:inline distT="0" distB="0" distL="0" distR="0" wp14:anchorId="1C187149" wp14:editId="750FD984">
            <wp:extent cx="1825584" cy="1815152"/>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25534" cy="1815102"/>
                    </a:xfrm>
                    <a:prstGeom prst="rect">
                      <a:avLst/>
                    </a:prstGeom>
                  </pic:spPr>
                </pic:pic>
              </a:graphicData>
            </a:graphic>
          </wp:inline>
        </w:drawing>
      </w:r>
      <w:r w:rsidR="0053720D" w:rsidRPr="00552D93">
        <w:rPr>
          <w:noProof/>
          <w:lang w:eastAsia="en-GB"/>
        </w:rPr>
        <w:t xml:space="preserve"> </w:t>
      </w:r>
      <w:r w:rsidR="0053720D" w:rsidRPr="00552D93">
        <w:rPr>
          <w:noProof/>
          <w:lang w:eastAsia="en-GB"/>
        </w:rPr>
        <w:drawing>
          <wp:inline distT="0" distB="0" distL="0" distR="0" wp14:anchorId="56D8588C" wp14:editId="4C31EBEA">
            <wp:extent cx="1596910" cy="1811982"/>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95226" cy="1810071"/>
                    </a:xfrm>
                    <a:prstGeom prst="rect">
                      <a:avLst/>
                    </a:prstGeom>
                  </pic:spPr>
                </pic:pic>
              </a:graphicData>
            </a:graphic>
          </wp:inline>
        </w:drawing>
      </w:r>
      <w:r w:rsidR="0053720D" w:rsidRPr="00552D93">
        <w:rPr>
          <w:noProof/>
          <w:lang w:eastAsia="en-GB"/>
        </w:rPr>
        <w:t xml:space="preserve"> </w:t>
      </w:r>
      <w:r w:rsidR="0053720D" w:rsidRPr="00552D93">
        <w:rPr>
          <w:noProof/>
          <w:lang w:eastAsia="en-GB"/>
        </w:rPr>
        <w:drawing>
          <wp:inline distT="0" distB="0" distL="0" distR="0" wp14:anchorId="6322887A" wp14:editId="454C8EBF">
            <wp:extent cx="1917510" cy="1773074"/>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17189" cy="1772777"/>
                    </a:xfrm>
                    <a:prstGeom prst="rect">
                      <a:avLst/>
                    </a:prstGeom>
                  </pic:spPr>
                </pic:pic>
              </a:graphicData>
            </a:graphic>
          </wp:inline>
        </w:drawing>
      </w:r>
    </w:p>
    <w:p w14:paraId="7BB737D6" w14:textId="77777777" w:rsidR="004825D2" w:rsidRPr="00552D93" w:rsidRDefault="004825D2" w:rsidP="004825D2"/>
    <w:p w14:paraId="4D6625AE" w14:textId="2EA2B7DB" w:rsidR="004825D2" w:rsidRPr="00552D93" w:rsidRDefault="004825D2" w:rsidP="00312878">
      <w:pPr>
        <w:rPr>
          <w:rFonts w:ascii="Cambria" w:eastAsia="Times New Roman" w:hAnsi="Cambria" w:cs="Times New Roman"/>
          <w:b/>
          <w:shd w:val="clear" w:color="auto" w:fill="FFFFFF"/>
          <w:lang w:eastAsia="en-GB"/>
        </w:rPr>
      </w:pPr>
    </w:p>
    <w:sectPr w:rsidR="004825D2" w:rsidRPr="00552D93" w:rsidSect="007D272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ABC6A" w14:textId="77777777" w:rsidR="004B75A2" w:rsidRDefault="004B75A2" w:rsidP="00A24A2C">
      <w:pPr>
        <w:spacing w:after="0" w:line="240" w:lineRule="auto"/>
      </w:pPr>
      <w:r>
        <w:separator/>
      </w:r>
    </w:p>
  </w:endnote>
  <w:endnote w:type="continuationSeparator" w:id="0">
    <w:p w14:paraId="330E43BC" w14:textId="77777777" w:rsidR="004B75A2" w:rsidRDefault="004B75A2" w:rsidP="00A2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176656"/>
      <w:docPartObj>
        <w:docPartGallery w:val="Page Numbers (Bottom of Page)"/>
        <w:docPartUnique/>
      </w:docPartObj>
    </w:sdtPr>
    <w:sdtEndPr>
      <w:rPr>
        <w:rFonts w:ascii="Cambria" w:hAnsi="Cambria"/>
        <w:noProof/>
      </w:rPr>
    </w:sdtEndPr>
    <w:sdtContent>
      <w:p w14:paraId="4AF5A95A" w14:textId="78762412" w:rsidR="001875AF" w:rsidRPr="00A24A2C" w:rsidRDefault="001875AF">
        <w:pPr>
          <w:pStyle w:val="Footer"/>
          <w:jc w:val="center"/>
          <w:rPr>
            <w:rFonts w:ascii="Cambria" w:hAnsi="Cambria"/>
          </w:rPr>
        </w:pPr>
        <w:r w:rsidRPr="00A24A2C">
          <w:rPr>
            <w:rFonts w:ascii="Cambria" w:hAnsi="Cambria"/>
          </w:rPr>
          <w:fldChar w:fldCharType="begin"/>
        </w:r>
        <w:r w:rsidRPr="00A24A2C">
          <w:rPr>
            <w:rFonts w:ascii="Cambria" w:hAnsi="Cambria"/>
          </w:rPr>
          <w:instrText xml:space="preserve"> PAGE   \* MERGEFORMAT </w:instrText>
        </w:r>
        <w:r w:rsidRPr="00A24A2C">
          <w:rPr>
            <w:rFonts w:ascii="Cambria" w:hAnsi="Cambria"/>
          </w:rPr>
          <w:fldChar w:fldCharType="separate"/>
        </w:r>
        <w:r w:rsidR="00552D93">
          <w:rPr>
            <w:rFonts w:ascii="Cambria" w:hAnsi="Cambria"/>
            <w:noProof/>
          </w:rPr>
          <w:t>28</w:t>
        </w:r>
        <w:r w:rsidRPr="00A24A2C">
          <w:rPr>
            <w:rFonts w:ascii="Cambria" w:hAnsi="Cambria"/>
            <w:noProof/>
          </w:rPr>
          <w:fldChar w:fldCharType="end"/>
        </w:r>
      </w:p>
    </w:sdtContent>
  </w:sdt>
  <w:p w14:paraId="4D6EB132" w14:textId="77777777" w:rsidR="001875AF" w:rsidRDefault="00187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A026F" w14:textId="77777777" w:rsidR="004B75A2" w:rsidRDefault="004B75A2" w:rsidP="00A24A2C">
      <w:pPr>
        <w:spacing w:after="0" w:line="240" w:lineRule="auto"/>
      </w:pPr>
      <w:r>
        <w:separator/>
      </w:r>
    </w:p>
  </w:footnote>
  <w:footnote w:type="continuationSeparator" w:id="0">
    <w:p w14:paraId="6A0D4E11" w14:textId="77777777" w:rsidR="004B75A2" w:rsidRDefault="004B75A2" w:rsidP="00A24A2C">
      <w:pPr>
        <w:spacing w:after="0" w:line="240" w:lineRule="auto"/>
      </w:pPr>
      <w:r>
        <w:continuationSeparator/>
      </w:r>
    </w:p>
  </w:footnote>
  <w:footnote w:id="1">
    <w:p w14:paraId="4F41B9C8" w14:textId="363E9243" w:rsidR="001875AF" w:rsidRDefault="001875AF">
      <w:pPr>
        <w:pStyle w:val="FootnoteText"/>
      </w:pPr>
      <w:r w:rsidRPr="00D048F9">
        <w:rPr>
          <w:rStyle w:val="FootnoteReference"/>
        </w:rPr>
        <w:footnoteRef/>
      </w:r>
      <w:r w:rsidRPr="00D048F9">
        <w:t xml:space="preserve"> </w:t>
      </w:r>
      <w:r w:rsidRPr="00D048F9">
        <w:rPr>
          <w:rFonts w:ascii="Cambria" w:hAnsi="Cambria"/>
          <w:sz w:val="22"/>
        </w:rPr>
        <w:t xml:space="preserve">In most years the survey closes to new </w:t>
      </w:r>
      <w:r w:rsidRPr="00D048F9">
        <w:rPr>
          <w:rFonts w:ascii="Cambria" w:hAnsi="Cambria" w:cs="Arial"/>
          <w:sz w:val="22"/>
        </w:rPr>
        <w:t>participants on Dec 30</w:t>
      </w:r>
      <w:r w:rsidRPr="00D048F9">
        <w:rPr>
          <w:rFonts w:ascii="Cambria" w:hAnsi="Cambria" w:cs="Arial"/>
          <w:sz w:val="22"/>
          <w:vertAlign w:val="superscript"/>
        </w:rPr>
        <w:t>th</w:t>
      </w:r>
      <w:r w:rsidRPr="00D048F9">
        <w:rPr>
          <w:rFonts w:ascii="Cambria" w:hAnsi="Cambria" w:cs="Arial"/>
          <w:sz w:val="22"/>
        </w:rPr>
        <w:t>, but people who have saved and returned can complete it for a couple more weeks.</w:t>
      </w:r>
    </w:p>
  </w:footnote>
  <w:footnote w:id="2">
    <w:p w14:paraId="14AE76ED" w14:textId="38BB60A6" w:rsidR="001875AF" w:rsidRPr="00DE6B81" w:rsidRDefault="001875AF">
      <w:pPr>
        <w:pStyle w:val="FootnoteText"/>
      </w:pPr>
      <w:r w:rsidRPr="00D048F9">
        <w:rPr>
          <w:rStyle w:val="FootnoteReference"/>
        </w:rPr>
        <w:footnoteRef/>
      </w:r>
      <w:r w:rsidRPr="00D048F9">
        <w:t xml:space="preserve"> Age; </w:t>
      </w:r>
      <w:r w:rsidRPr="00D048F9">
        <w:rPr>
          <w:rFonts w:ascii="Cambria" w:hAnsi="Cambria"/>
          <w:i/>
          <w:sz w:val="18"/>
          <w:szCs w:val="18"/>
          <w:lang w:val="en-US"/>
        </w:rPr>
        <w:t>χ</w:t>
      </w:r>
      <w:r w:rsidRPr="00D048F9">
        <w:rPr>
          <w:rFonts w:ascii="Cambria" w:hAnsi="Cambria"/>
          <w:i/>
          <w:sz w:val="18"/>
          <w:szCs w:val="18"/>
          <w:vertAlign w:val="superscript"/>
          <w:lang w:val="en-US"/>
        </w:rPr>
        <w:t xml:space="preserve">2 </w:t>
      </w:r>
      <w:r w:rsidRPr="00D048F9">
        <w:rPr>
          <w:rFonts w:ascii="Cambria" w:hAnsi="Cambria"/>
          <w:sz w:val="18"/>
          <w:szCs w:val="18"/>
          <w:lang w:val="en-US"/>
        </w:rPr>
        <w:t xml:space="preserve">(1) = 15.32, p&lt;.001, V=.016, gender </w:t>
      </w:r>
      <w:r w:rsidRPr="00D048F9">
        <w:t xml:space="preserve">; </w:t>
      </w:r>
      <w:r w:rsidRPr="00D048F9">
        <w:rPr>
          <w:rFonts w:ascii="Cambria" w:hAnsi="Cambria"/>
          <w:i/>
          <w:sz w:val="18"/>
          <w:szCs w:val="18"/>
          <w:lang w:val="en-US"/>
        </w:rPr>
        <w:t>χ</w:t>
      </w:r>
      <w:r w:rsidRPr="00D048F9">
        <w:rPr>
          <w:rFonts w:ascii="Cambria" w:hAnsi="Cambria"/>
          <w:i/>
          <w:sz w:val="18"/>
          <w:szCs w:val="18"/>
          <w:vertAlign w:val="superscript"/>
          <w:lang w:val="en-US"/>
        </w:rPr>
        <w:t xml:space="preserve">2 </w:t>
      </w:r>
      <w:r w:rsidRPr="00D048F9">
        <w:rPr>
          <w:rFonts w:ascii="Cambria" w:hAnsi="Cambria"/>
          <w:sz w:val="18"/>
          <w:szCs w:val="18"/>
          <w:lang w:val="en-US"/>
        </w:rPr>
        <w:t>(1) = 5.00, p=.025, V=.009, AUDIT</w:t>
      </w:r>
      <w:r w:rsidRPr="00D048F9">
        <w:t xml:space="preserve">; </w:t>
      </w:r>
      <w:r w:rsidRPr="00D048F9">
        <w:rPr>
          <w:rFonts w:ascii="Cambria" w:hAnsi="Cambria"/>
          <w:i/>
          <w:sz w:val="18"/>
          <w:szCs w:val="18"/>
          <w:lang w:val="en-US"/>
        </w:rPr>
        <w:t>χ</w:t>
      </w:r>
      <w:r w:rsidRPr="00D048F9">
        <w:rPr>
          <w:rFonts w:ascii="Cambria" w:hAnsi="Cambria"/>
          <w:i/>
          <w:sz w:val="18"/>
          <w:szCs w:val="18"/>
          <w:vertAlign w:val="superscript"/>
          <w:lang w:val="en-US"/>
        </w:rPr>
        <w:t xml:space="preserve">2 </w:t>
      </w:r>
      <w:r w:rsidRPr="00D048F9">
        <w:rPr>
          <w:rFonts w:ascii="Cambria" w:hAnsi="Cambria"/>
          <w:sz w:val="18"/>
          <w:szCs w:val="18"/>
          <w:lang w:val="en-US"/>
        </w:rPr>
        <w:t>(3) = 167.48, p&lt;.001, V=.052,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75284" w14:textId="5925247A" w:rsidR="001875AF" w:rsidRPr="000A23BE" w:rsidRDefault="001875AF" w:rsidP="000A23BE">
    <w:pPr>
      <w:pStyle w:val="Header"/>
      <w:jc w:val="right"/>
    </w:pPr>
    <w:r w:rsidRPr="000A23BE">
      <w:rPr>
        <w:rFonts w:ascii="Cambria" w:hAnsi="Cambria"/>
        <w:i/>
      </w:rPr>
      <w:t>Drinking to excess and the tipping point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866B7"/>
    <w:multiLevelType w:val="hybridMultilevel"/>
    <w:tmpl w:val="730CEF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B13B50"/>
    <w:multiLevelType w:val="hybridMultilevel"/>
    <w:tmpl w:val="66A2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25A71"/>
    <w:multiLevelType w:val="multilevel"/>
    <w:tmpl w:val="C518C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F1466B"/>
    <w:multiLevelType w:val="hybridMultilevel"/>
    <w:tmpl w:val="7D9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75C02"/>
    <w:multiLevelType w:val="hybridMultilevel"/>
    <w:tmpl w:val="EC8C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vtts5frwx0z4ezes8pswrxvez090rd0vss&quot;&gt;My EndNote Library-Converted&lt;record-ids&gt;&lt;item&gt;4103&lt;/item&gt;&lt;item&gt;4350&lt;/item&gt;&lt;item&gt;4585&lt;/item&gt;&lt;item&gt;4691&lt;/item&gt;&lt;item&gt;4819&lt;/item&gt;&lt;item&gt;4916&lt;/item&gt;&lt;item&gt;4917&lt;/item&gt;&lt;item&gt;4918&lt;/item&gt;&lt;item&gt;4919&lt;/item&gt;&lt;/record-ids&gt;&lt;/item&gt;&lt;/Libraries&gt;"/>
  </w:docVars>
  <w:rsids>
    <w:rsidRoot w:val="006D60BB"/>
    <w:rsid w:val="000013F4"/>
    <w:rsid w:val="00002A32"/>
    <w:rsid w:val="00007422"/>
    <w:rsid w:val="0001086C"/>
    <w:rsid w:val="00010F3B"/>
    <w:rsid w:val="0001312B"/>
    <w:rsid w:val="00024B2B"/>
    <w:rsid w:val="00025D1A"/>
    <w:rsid w:val="000300E3"/>
    <w:rsid w:val="0003357E"/>
    <w:rsid w:val="00036136"/>
    <w:rsid w:val="000362FE"/>
    <w:rsid w:val="000372B5"/>
    <w:rsid w:val="000374A3"/>
    <w:rsid w:val="00037865"/>
    <w:rsid w:val="00042948"/>
    <w:rsid w:val="000441AA"/>
    <w:rsid w:val="0004445A"/>
    <w:rsid w:val="000453AB"/>
    <w:rsid w:val="00045EF9"/>
    <w:rsid w:val="00050909"/>
    <w:rsid w:val="00050B6C"/>
    <w:rsid w:val="00055011"/>
    <w:rsid w:val="00060C00"/>
    <w:rsid w:val="00062573"/>
    <w:rsid w:val="000666FC"/>
    <w:rsid w:val="0006756F"/>
    <w:rsid w:val="00067839"/>
    <w:rsid w:val="00067D94"/>
    <w:rsid w:val="00070694"/>
    <w:rsid w:val="00075E73"/>
    <w:rsid w:val="00077ABF"/>
    <w:rsid w:val="000812A0"/>
    <w:rsid w:val="00081681"/>
    <w:rsid w:val="00081A7F"/>
    <w:rsid w:val="000823E1"/>
    <w:rsid w:val="0008355F"/>
    <w:rsid w:val="00086844"/>
    <w:rsid w:val="00086E3E"/>
    <w:rsid w:val="000877F2"/>
    <w:rsid w:val="00090E28"/>
    <w:rsid w:val="0009245D"/>
    <w:rsid w:val="000939A5"/>
    <w:rsid w:val="00095584"/>
    <w:rsid w:val="000A23BE"/>
    <w:rsid w:val="000A26D4"/>
    <w:rsid w:val="000A4370"/>
    <w:rsid w:val="000A59A8"/>
    <w:rsid w:val="000B0288"/>
    <w:rsid w:val="000B0707"/>
    <w:rsid w:val="000B2C86"/>
    <w:rsid w:val="000B2D1F"/>
    <w:rsid w:val="000B4AC6"/>
    <w:rsid w:val="000B5CF2"/>
    <w:rsid w:val="000C1463"/>
    <w:rsid w:val="000C4425"/>
    <w:rsid w:val="000C4F73"/>
    <w:rsid w:val="000D0F6E"/>
    <w:rsid w:val="000D25B8"/>
    <w:rsid w:val="000D49C4"/>
    <w:rsid w:val="000D756E"/>
    <w:rsid w:val="000E0E33"/>
    <w:rsid w:val="000E1B30"/>
    <w:rsid w:val="000E47CE"/>
    <w:rsid w:val="000E73B6"/>
    <w:rsid w:val="000F243C"/>
    <w:rsid w:val="000F2F81"/>
    <w:rsid w:val="000F5AB7"/>
    <w:rsid w:val="000F5ED2"/>
    <w:rsid w:val="00100C13"/>
    <w:rsid w:val="00102BF0"/>
    <w:rsid w:val="00103285"/>
    <w:rsid w:val="00105F62"/>
    <w:rsid w:val="00106E58"/>
    <w:rsid w:val="00106ED5"/>
    <w:rsid w:val="00107314"/>
    <w:rsid w:val="00112824"/>
    <w:rsid w:val="00114657"/>
    <w:rsid w:val="0011476C"/>
    <w:rsid w:val="00114F6C"/>
    <w:rsid w:val="00115493"/>
    <w:rsid w:val="00115E62"/>
    <w:rsid w:val="00116ECF"/>
    <w:rsid w:val="0012196C"/>
    <w:rsid w:val="001228C5"/>
    <w:rsid w:val="00123AEF"/>
    <w:rsid w:val="001253A6"/>
    <w:rsid w:val="001265DE"/>
    <w:rsid w:val="001266B2"/>
    <w:rsid w:val="00126A74"/>
    <w:rsid w:val="00127471"/>
    <w:rsid w:val="00132301"/>
    <w:rsid w:val="00133E85"/>
    <w:rsid w:val="001351BB"/>
    <w:rsid w:val="00135D1C"/>
    <w:rsid w:val="00135D92"/>
    <w:rsid w:val="00136A22"/>
    <w:rsid w:val="00137976"/>
    <w:rsid w:val="001424A2"/>
    <w:rsid w:val="0014579F"/>
    <w:rsid w:val="001520A3"/>
    <w:rsid w:val="001530C8"/>
    <w:rsid w:val="001561EE"/>
    <w:rsid w:val="001634DF"/>
    <w:rsid w:val="00166BDE"/>
    <w:rsid w:val="00171089"/>
    <w:rsid w:val="001716CC"/>
    <w:rsid w:val="001739BF"/>
    <w:rsid w:val="00174DDB"/>
    <w:rsid w:val="00175093"/>
    <w:rsid w:val="00175341"/>
    <w:rsid w:val="0017782C"/>
    <w:rsid w:val="00182D51"/>
    <w:rsid w:val="00185953"/>
    <w:rsid w:val="00185C09"/>
    <w:rsid w:val="00185CA6"/>
    <w:rsid w:val="0018647B"/>
    <w:rsid w:val="00186650"/>
    <w:rsid w:val="001875AF"/>
    <w:rsid w:val="00192A7F"/>
    <w:rsid w:val="00194F70"/>
    <w:rsid w:val="001A0C69"/>
    <w:rsid w:val="001A19EA"/>
    <w:rsid w:val="001A2E16"/>
    <w:rsid w:val="001A4F6F"/>
    <w:rsid w:val="001A77FA"/>
    <w:rsid w:val="001B0FE4"/>
    <w:rsid w:val="001B1A59"/>
    <w:rsid w:val="001B4DCE"/>
    <w:rsid w:val="001B5D19"/>
    <w:rsid w:val="001B714A"/>
    <w:rsid w:val="001B7D0E"/>
    <w:rsid w:val="001B7D9B"/>
    <w:rsid w:val="001C410E"/>
    <w:rsid w:val="001C49DE"/>
    <w:rsid w:val="001C5D7D"/>
    <w:rsid w:val="001C6FE5"/>
    <w:rsid w:val="001D148B"/>
    <w:rsid w:val="001D194A"/>
    <w:rsid w:val="001D3D29"/>
    <w:rsid w:val="001D47C1"/>
    <w:rsid w:val="001D4C06"/>
    <w:rsid w:val="001D7CF9"/>
    <w:rsid w:val="001E25BD"/>
    <w:rsid w:val="001E460E"/>
    <w:rsid w:val="001E5AA4"/>
    <w:rsid w:val="001E6685"/>
    <w:rsid w:val="001E7A1A"/>
    <w:rsid w:val="001F0F10"/>
    <w:rsid w:val="001F1F6C"/>
    <w:rsid w:val="001F373D"/>
    <w:rsid w:val="001F3B4F"/>
    <w:rsid w:val="001F5401"/>
    <w:rsid w:val="001F578C"/>
    <w:rsid w:val="001F6D06"/>
    <w:rsid w:val="002032C8"/>
    <w:rsid w:val="002044C1"/>
    <w:rsid w:val="00204B5E"/>
    <w:rsid w:val="002050E2"/>
    <w:rsid w:val="00205EEF"/>
    <w:rsid w:val="002073FA"/>
    <w:rsid w:val="00207A37"/>
    <w:rsid w:val="002108E4"/>
    <w:rsid w:val="002130B3"/>
    <w:rsid w:val="0021465E"/>
    <w:rsid w:val="00216D86"/>
    <w:rsid w:val="002170C1"/>
    <w:rsid w:val="002175EB"/>
    <w:rsid w:val="00220AA1"/>
    <w:rsid w:val="00222F1B"/>
    <w:rsid w:val="0022370B"/>
    <w:rsid w:val="0022449E"/>
    <w:rsid w:val="00224BCC"/>
    <w:rsid w:val="00225DC4"/>
    <w:rsid w:val="00230509"/>
    <w:rsid w:val="002330AA"/>
    <w:rsid w:val="00233BFB"/>
    <w:rsid w:val="002413CB"/>
    <w:rsid w:val="00241C40"/>
    <w:rsid w:val="00242B15"/>
    <w:rsid w:val="002430CD"/>
    <w:rsid w:val="00245866"/>
    <w:rsid w:val="00245A35"/>
    <w:rsid w:val="00245D4F"/>
    <w:rsid w:val="0025086D"/>
    <w:rsid w:val="002520F3"/>
    <w:rsid w:val="0025345E"/>
    <w:rsid w:val="00253731"/>
    <w:rsid w:val="002549D0"/>
    <w:rsid w:val="00261D5C"/>
    <w:rsid w:val="00267027"/>
    <w:rsid w:val="00270697"/>
    <w:rsid w:val="00271C21"/>
    <w:rsid w:val="00273D08"/>
    <w:rsid w:val="0027747F"/>
    <w:rsid w:val="00287102"/>
    <w:rsid w:val="00287D74"/>
    <w:rsid w:val="002927D3"/>
    <w:rsid w:val="00294E06"/>
    <w:rsid w:val="00295750"/>
    <w:rsid w:val="002962C5"/>
    <w:rsid w:val="00297275"/>
    <w:rsid w:val="002978F0"/>
    <w:rsid w:val="002A0843"/>
    <w:rsid w:val="002A3CD7"/>
    <w:rsid w:val="002A4ABC"/>
    <w:rsid w:val="002A5256"/>
    <w:rsid w:val="002A59EA"/>
    <w:rsid w:val="002A6119"/>
    <w:rsid w:val="002A776E"/>
    <w:rsid w:val="002B1A0B"/>
    <w:rsid w:val="002B32B3"/>
    <w:rsid w:val="002B4626"/>
    <w:rsid w:val="002B5CB0"/>
    <w:rsid w:val="002C06F6"/>
    <w:rsid w:val="002C0C31"/>
    <w:rsid w:val="002C2B34"/>
    <w:rsid w:val="002C459F"/>
    <w:rsid w:val="002C5BB4"/>
    <w:rsid w:val="002C7751"/>
    <w:rsid w:val="002D2F33"/>
    <w:rsid w:val="002D570D"/>
    <w:rsid w:val="002D6C7D"/>
    <w:rsid w:val="002E2236"/>
    <w:rsid w:val="002E297E"/>
    <w:rsid w:val="002E4679"/>
    <w:rsid w:val="002E654A"/>
    <w:rsid w:val="002E7728"/>
    <w:rsid w:val="002F0E3A"/>
    <w:rsid w:val="002F172A"/>
    <w:rsid w:val="002F6E16"/>
    <w:rsid w:val="00300103"/>
    <w:rsid w:val="0030140D"/>
    <w:rsid w:val="00301AE8"/>
    <w:rsid w:val="00305A3D"/>
    <w:rsid w:val="00307AD3"/>
    <w:rsid w:val="00307FB6"/>
    <w:rsid w:val="003101C5"/>
    <w:rsid w:val="00312878"/>
    <w:rsid w:val="00312EDB"/>
    <w:rsid w:val="00313EF7"/>
    <w:rsid w:val="0031451E"/>
    <w:rsid w:val="00314EB5"/>
    <w:rsid w:val="00316D8D"/>
    <w:rsid w:val="003205E2"/>
    <w:rsid w:val="00320D99"/>
    <w:rsid w:val="003222CC"/>
    <w:rsid w:val="003228B8"/>
    <w:rsid w:val="003231AB"/>
    <w:rsid w:val="003254C6"/>
    <w:rsid w:val="003266F9"/>
    <w:rsid w:val="003267FC"/>
    <w:rsid w:val="00330CEB"/>
    <w:rsid w:val="00333688"/>
    <w:rsid w:val="00335B2C"/>
    <w:rsid w:val="003366AA"/>
    <w:rsid w:val="003409E9"/>
    <w:rsid w:val="00341B7C"/>
    <w:rsid w:val="00342D98"/>
    <w:rsid w:val="003431C0"/>
    <w:rsid w:val="003431D4"/>
    <w:rsid w:val="00343415"/>
    <w:rsid w:val="003443BC"/>
    <w:rsid w:val="0034774F"/>
    <w:rsid w:val="003478C2"/>
    <w:rsid w:val="00350441"/>
    <w:rsid w:val="00350553"/>
    <w:rsid w:val="003539A2"/>
    <w:rsid w:val="00357017"/>
    <w:rsid w:val="00357416"/>
    <w:rsid w:val="00363720"/>
    <w:rsid w:val="00363F00"/>
    <w:rsid w:val="00364E81"/>
    <w:rsid w:val="003707CE"/>
    <w:rsid w:val="00371245"/>
    <w:rsid w:val="00372315"/>
    <w:rsid w:val="003729E5"/>
    <w:rsid w:val="0037338B"/>
    <w:rsid w:val="00373588"/>
    <w:rsid w:val="00373B28"/>
    <w:rsid w:val="00374F9D"/>
    <w:rsid w:val="0037582B"/>
    <w:rsid w:val="00377120"/>
    <w:rsid w:val="00377FE8"/>
    <w:rsid w:val="00380A84"/>
    <w:rsid w:val="00381AE6"/>
    <w:rsid w:val="003848D6"/>
    <w:rsid w:val="003850F1"/>
    <w:rsid w:val="00385152"/>
    <w:rsid w:val="0039196A"/>
    <w:rsid w:val="00395DC5"/>
    <w:rsid w:val="003965BA"/>
    <w:rsid w:val="003973FE"/>
    <w:rsid w:val="003A296D"/>
    <w:rsid w:val="003A2D9C"/>
    <w:rsid w:val="003A34AA"/>
    <w:rsid w:val="003A4CC2"/>
    <w:rsid w:val="003A6CF1"/>
    <w:rsid w:val="003B0E9B"/>
    <w:rsid w:val="003B17B2"/>
    <w:rsid w:val="003B2CA1"/>
    <w:rsid w:val="003B3535"/>
    <w:rsid w:val="003B4238"/>
    <w:rsid w:val="003B68BA"/>
    <w:rsid w:val="003C1B07"/>
    <w:rsid w:val="003C3B73"/>
    <w:rsid w:val="003C46D4"/>
    <w:rsid w:val="003C490F"/>
    <w:rsid w:val="003C61BE"/>
    <w:rsid w:val="003C7B33"/>
    <w:rsid w:val="003D1B63"/>
    <w:rsid w:val="003D2D2B"/>
    <w:rsid w:val="003D2E09"/>
    <w:rsid w:val="003D6110"/>
    <w:rsid w:val="003D772E"/>
    <w:rsid w:val="003E24BF"/>
    <w:rsid w:val="003E2C99"/>
    <w:rsid w:val="003E37B6"/>
    <w:rsid w:val="003E3D19"/>
    <w:rsid w:val="003E489A"/>
    <w:rsid w:val="003E4DFE"/>
    <w:rsid w:val="003E5EE9"/>
    <w:rsid w:val="003E6C02"/>
    <w:rsid w:val="003E6C97"/>
    <w:rsid w:val="003E6CB0"/>
    <w:rsid w:val="003F1B20"/>
    <w:rsid w:val="003F1FD2"/>
    <w:rsid w:val="003F296D"/>
    <w:rsid w:val="003F6C70"/>
    <w:rsid w:val="003F70D3"/>
    <w:rsid w:val="00400484"/>
    <w:rsid w:val="00401B37"/>
    <w:rsid w:val="00401E2D"/>
    <w:rsid w:val="0040201B"/>
    <w:rsid w:val="00406527"/>
    <w:rsid w:val="00406EC7"/>
    <w:rsid w:val="00410B57"/>
    <w:rsid w:val="00411EF3"/>
    <w:rsid w:val="00412278"/>
    <w:rsid w:val="0041286F"/>
    <w:rsid w:val="004128B7"/>
    <w:rsid w:val="00414353"/>
    <w:rsid w:val="00415B68"/>
    <w:rsid w:val="004178F5"/>
    <w:rsid w:val="00425312"/>
    <w:rsid w:val="00426409"/>
    <w:rsid w:val="004267B4"/>
    <w:rsid w:val="00427425"/>
    <w:rsid w:val="0043058A"/>
    <w:rsid w:val="00430AE0"/>
    <w:rsid w:val="00433082"/>
    <w:rsid w:val="0043442F"/>
    <w:rsid w:val="0043523E"/>
    <w:rsid w:val="00435905"/>
    <w:rsid w:val="00442D99"/>
    <w:rsid w:val="00443D77"/>
    <w:rsid w:val="00443F9B"/>
    <w:rsid w:val="00445F52"/>
    <w:rsid w:val="00450AA1"/>
    <w:rsid w:val="00450B01"/>
    <w:rsid w:val="00451D6E"/>
    <w:rsid w:val="00451FD6"/>
    <w:rsid w:val="00455090"/>
    <w:rsid w:val="00455A3A"/>
    <w:rsid w:val="00456284"/>
    <w:rsid w:val="00456341"/>
    <w:rsid w:val="004617E6"/>
    <w:rsid w:val="00462BEB"/>
    <w:rsid w:val="0046609B"/>
    <w:rsid w:val="00470263"/>
    <w:rsid w:val="00471B29"/>
    <w:rsid w:val="00471D4D"/>
    <w:rsid w:val="00472FDF"/>
    <w:rsid w:val="00473B79"/>
    <w:rsid w:val="00475A14"/>
    <w:rsid w:val="004810B9"/>
    <w:rsid w:val="004825D2"/>
    <w:rsid w:val="00484018"/>
    <w:rsid w:val="00485F85"/>
    <w:rsid w:val="0048610E"/>
    <w:rsid w:val="004867D8"/>
    <w:rsid w:val="0048701D"/>
    <w:rsid w:val="00493C20"/>
    <w:rsid w:val="00494BD0"/>
    <w:rsid w:val="00495486"/>
    <w:rsid w:val="004970A9"/>
    <w:rsid w:val="004A0C24"/>
    <w:rsid w:val="004A43B2"/>
    <w:rsid w:val="004A5695"/>
    <w:rsid w:val="004A57B9"/>
    <w:rsid w:val="004B1027"/>
    <w:rsid w:val="004B1623"/>
    <w:rsid w:val="004B4273"/>
    <w:rsid w:val="004B4AE5"/>
    <w:rsid w:val="004B704E"/>
    <w:rsid w:val="004B75A2"/>
    <w:rsid w:val="004B7D87"/>
    <w:rsid w:val="004C324E"/>
    <w:rsid w:val="004C3FC5"/>
    <w:rsid w:val="004C5A57"/>
    <w:rsid w:val="004C5C55"/>
    <w:rsid w:val="004D019C"/>
    <w:rsid w:val="004D11BE"/>
    <w:rsid w:val="004D1785"/>
    <w:rsid w:val="004D5D7E"/>
    <w:rsid w:val="004D69FF"/>
    <w:rsid w:val="004D74E3"/>
    <w:rsid w:val="004E0F30"/>
    <w:rsid w:val="004E2461"/>
    <w:rsid w:val="004E2490"/>
    <w:rsid w:val="004E30F7"/>
    <w:rsid w:val="004E4B45"/>
    <w:rsid w:val="004F38CE"/>
    <w:rsid w:val="004F5322"/>
    <w:rsid w:val="004F5408"/>
    <w:rsid w:val="004F69F0"/>
    <w:rsid w:val="004F788E"/>
    <w:rsid w:val="00506A48"/>
    <w:rsid w:val="0051422F"/>
    <w:rsid w:val="0051628A"/>
    <w:rsid w:val="005168AA"/>
    <w:rsid w:val="00517DC6"/>
    <w:rsid w:val="005220B1"/>
    <w:rsid w:val="0052304B"/>
    <w:rsid w:val="0052479F"/>
    <w:rsid w:val="00524A92"/>
    <w:rsid w:val="00525376"/>
    <w:rsid w:val="00533F9D"/>
    <w:rsid w:val="00536300"/>
    <w:rsid w:val="005369E8"/>
    <w:rsid w:val="0053720D"/>
    <w:rsid w:val="005429D6"/>
    <w:rsid w:val="00543333"/>
    <w:rsid w:val="005447F3"/>
    <w:rsid w:val="00545659"/>
    <w:rsid w:val="00546FEF"/>
    <w:rsid w:val="00551E46"/>
    <w:rsid w:val="005521CF"/>
    <w:rsid w:val="00552D93"/>
    <w:rsid w:val="005546AD"/>
    <w:rsid w:val="00555FBF"/>
    <w:rsid w:val="00560B61"/>
    <w:rsid w:val="00563266"/>
    <w:rsid w:val="00563622"/>
    <w:rsid w:val="00563FFC"/>
    <w:rsid w:val="0056432A"/>
    <w:rsid w:val="00564697"/>
    <w:rsid w:val="005656C6"/>
    <w:rsid w:val="00565FCB"/>
    <w:rsid w:val="0056724C"/>
    <w:rsid w:val="0057024B"/>
    <w:rsid w:val="00571C2B"/>
    <w:rsid w:val="0057394B"/>
    <w:rsid w:val="00575E32"/>
    <w:rsid w:val="00576EB4"/>
    <w:rsid w:val="00577D4F"/>
    <w:rsid w:val="00582787"/>
    <w:rsid w:val="0058456A"/>
    <w:rsid w:val="00586AB5"/>
    <w:rsid w:val="0058704A"/>
    <w:rsid w:val="00587722"/>
    <w:rsid w:val="00590794"/>
    <w:rsid w:val="005915B3"/>
    <w:rsid w:val="00594D0E"/>
    <w:rsid w:val="00595D48"/>
    <w:rsid w:val="005963A0"/>
    <w:rsid w:val="0059723F"/>
    <w:rsid w:val="005A46FD"/>
    <w:rsid w:val="005A5734"/>
    <w:rsid w:val="005A6AC2"/>
    <w:rsid w:val="005A7308"/>
    <w:rsid w:val="005A7DDE"/>
    <w:rsid w:val="005B2C83"/>
    <w:rsid w:val="005B5328"/>
    <w:rsid w:val="005B56A9"/>
    <w:rsid w:val="005B73E4"/>
    <w:rsid w:val="005C26C6"/>
    <w:rsid w:val="005C7BE2"/>
    <w:rsid w:val="005D0978"/>
    <w:rsid w:val="005D1917"/>
    <w:rsid w:val="005D1C12"/>
    <w:rsid w:val="005D3470"/>
    <w:rsid w:val="005D522D"/>
    <w:rsid w:val="005D675E"/>
    <w:rsid w:val="005E1DD9"/>
    <w:rsid w:val="005E2C9E"/>
    <w:rsid w:val="005E309A"/>
    <w:rsid w:val="005E3694"/>
    <w:rsid w:val="005E4321"/>
    <w:rsid w:val="005E7AAD"/>
    <w:rsid w:val="005F09C5"/>
    <w:rsid w:val="005F4229"/>
    <w:rsid w:val="005F50F6"/>
    <w:rsid w:val="005F57DD"/>
    <w:rsid w:val="005F7CC3"/>
    <w:rsid w:val="00601540"/>
    <w:rsid w:val="006022B2"/>
    <w:rsid w:val="006041CC"/>
    <w:rsid w:val="0061555C"/>
    <w:rsid w:val="006173B5"/>
    <w:rsid w:val="006177B8"/>
    <w:rsid w:val="0061792E"/>
    <w:rsid w:val="00623AEE"/>
    <w:rsid w:val="0062697D"/>
    <w:rsid w:val="00633279"/>
    <w:rsid w:val="0064075E"/>
    <w:rsid w:val="006422AC"/>
    <w:rsid w:val="00643CF2"/>
    <w:rsid w:val="0064412C"/>
    <w:rsid w:val="00644393"/>
    <w:rsid w:val="006446C4"/>
    <w:rsid w:val="00644942"/>
    <w:rsid w:val="00646933"/>
    <w:rsid w:val="00646A0C"/>
    <w:rsid w:val="006474A2"/>
    <w:rsid w:val="00647C73"/>
    <w:rsid w:val="006505B2"/>
    <w:rsid w:val="00650B88"/>
    <w:rsid w:val="00651008"/>
    <w:rsid w:val="00653906"/>
    <w:rsid w:val="006542BD"/>
    <w:rsid w:val="006567F8"/>
    <w:rsid w:val="00656C8B"/>
    <w:rsid w:val="00661491"/>
    <w:rsid w:val="006615F0"/>
    <w:rsid w:val="00665745"/>
    <w:rsid w:val="00667049"/>
    <w:rsid w:val="00667E45"/>
    <w:rsid w:val="0067036C"/>
    <w:rsid w:val="006725F7"/>
    <w:rsid w:val="00672FCA"/>
    <w:rsid w:val="00674185"/>
    <w:rsid w:val="00677455"/>
    <w:rsid w:val="00681AE8"/>
    <w:rsid w:val="00681B15"/>
    <w:rsid w:val="00681BA9"/>
    <w:rsid w:val="00682CB5"/>
    <w:rsid w:val="00682CE0"/>
    <w:rsid w:val="0068352F"/>
    <w:rsid w:val="00683FBF"/>
    <w:rsid w:val="00684942"/>
    <w:rsid w:val="00686274"/>
    <w:rsid w:val="00696651"/>
    <w:rsid w:val="006A309D"/>
    <w:rsid w:val="006A31A3"/>
    <w:rsid w:val="006A54DE"/>
    <w:rsid w:val="006A6310"/>
    <w:rsid w:val="006A6CF3"/>
    <w:rsid w:val="006A6E89"/>
    <w:rsid w:val="006A7037"/>
    <w:rsid w:val="006A70A7"/>
    <w:rsid w:val="006A7F2D"/>
    <w:rsid w:val="006B03E4"/>
    <w:rsid w:val="006B08F3"/>
    <w:rsid w:val="006B3557"/>
    <w:rsid w:val="006B3AF3"/>
    <w:rsid w:val="006B56C5"/>
    <w:rsid w:val="006B6C20"/>
    <w:rsid w:val="006B6E51"/>
    <w:rsid w:val="006C0423"/>
    <w:rsid w:val="006C4052"/>
    <w:rsid w:val="006C4053"/>
    <w:rsid w:val="006C40CA"/>
    <w:rsid w:val="006C5742"/>
    <w:rsid w:val="006C6DA7"/>
    <w:rsid w:val="006D16ED"/>
    <w:rsid w:val="006D5466"/>
    <w:rsid w:val="006D5928"/>
    <w:rsid w:val="006D60BB"/>
    <w:rsid w:val="006E141C"/>
    <w:rsid w:val="006E2637"/>
    <w:rsid w:val="006E3246"/>
    <w:rsid w:val="006E3B9D"/>
    <w:rsid w:val="006E6934"/>
    <w:rsid w:val="006F1D1D"/>
    <w:rsid w:val="006F2A72"/>
    <w:rsid w:val="006F2E35"/>
    <w:rsid w:val="006F3277"/>
    <w:rsid w:val="006F4F0A"/>
    <w:rsid w:val="006F7259"/>
    <w:rsid w:val="00703CC5"/>
    <w:rsid w:val="00704679"/>
    <w:rsid w:val="007122E4"/>
    <w:rsid w:val="0071376D"/>
    <w:rsid w:val="0072252A"/>
    <w:rsid w:val="00722794"/>
    <w:rsid w:val="00726B08"/>
    <w:rsid w:val="00732E2E"/>
    <w:rsid w:val="00733BF0"/>
    <w:rsid w:val="00736327"/>
    <w:rsid w:val="00736FFA"/>
    <w:rsid w:val="007377D9"/>
    <w:rsid w:val="00737A6E"/>
    <w:rsid w:val="0074252F"/>
    <w:rsid w:val="00744E93"/>
    <w:rsid w:val="00747919"/>
    <w:rsid w:val="007513E8"/>
    <w:rsid w:val="00760F85"/>
    <w:rsid w:val="00761364"/>
    <w:rsid w:val="00764AAF"/>
    <w:rsid w:val="00764D4C"/>
    <w:rsid w:val="00765486"/>
    <w:rsid w:val="00765C65"/>
    <w:rsid w:val="00767146"/>
    <w:rsid w:val="00777305"/>
    <w:rsid w:val="00777C3D"/>
    <w:rsid w:val="00777D44"/>
    <w:rsid w:val="00782D08"/>
    <w:rsid w:val="00782D18"/>
    <w:rsid w:val="007831F3"/>
    <w:rsid w:val="00783390"/>
    <w:rsid w:val="0078450C"/>
    <w:rsid w:val="00785B6C"/>
    <w:rsid w:val="00786FBE"/>
    <w:rsid w:val="00787EE2"/>
    <w:rsid w:val="0079156A"/>
    <w:rsid w:val="007918A5"/>
    <w:rsid w:val="00791D98"/>
    <w:rsid w:val="00791F24"/>
    <w:rsid w:val="00793251"/>
    <w:rsid w:val="00795469"/>
    <w:rsid w:val="0079666B"/>
    <w:rsid w:val="00796C89"/>
    <w:rsid w:val="007A0045"/>
    <w:rsid w:val="007A0E34"/>
    <w:rsid w:val="007A12EE"/>
    <w:rsid w:val="007A149A"/>
    <w:rsid w:val="007A1E96"/>
    <w:rsid w:val="007A1FF8"/>
    <w:rsid w:val="007A4366"/>
    <w:rsid w:val="007A5140"/>
    <w:rsid w:val="007A5E78"/>
    <w:rsid w:val="007A644A"/>
    <w:rsid w:val="007A7AF9"/>
    <w:rsid w:val="007B1256"/>
    <w:rsid w:val="007B4FAF"/>
    <w:rsid w:val="007B6F02"/>
    <w:rsid w:val="007B76D2"/>
    <w:rsid w:val="007C2137"/>
    <w:rsid w:val="007C2344"/>
    <w:rsid w:val="007C2BC7"/>
    <w:rsid w:val="007C3158"/>
    <w:rsid w:val="007C506A"/>
    <w:rsid w:val="007C546D"/>
    <w:rsid w:val="007C7650"/>
    <w:rsid w:val="007D2724"/>
    <w:rsid w:val="007E1C55"/>
    <w:rsid w:val="007E429A"/>
    <w:rsid w:val="007E5DBB"/>
    <w:rsid w:val="007E69BF"/>
    <w:rsid w:val="007E6C9C"/>
    <w:rsid w:val="007E715B"/>
    <w:rsid w:val="007E7524"/>
    <w:rsid w:val="007F2DA5"/>
    <w:rsid w:val="00800CD7"/>
    <w:rsid w:val="00804E2C"/>
    <w:rsid w:val="008069DF"/>
    <w:rsid w:val="00807F37"/>
    <w:rsid w:val="008104CC"/>
    <w:rsid w:val="00810594"/>
    <w:rsid w:val="00811997"/>
    <w:rsid w:val="008134E3"/>
    <w:rsid w:val="00813D67"/>
    <w:rsid w:val="008147D2"/>
    <w:rsid w:val="00815CCD"/>
    <w:rsid w:val="00822DD5"/>
    <w:rsid w:val="00825A92"/>
    <w:rsid w:val="00825AF6"/>
    <w:rsid w:val="0083023E"/>
    <w:rsid w:val="0083190C"/>
    <w:rsid w:val="00831C4C"/>
    <w:rsid w:val="00832734"/>
    <w:rsid w:val="00833451"/>
    <w:rsid w:val="008357F0"/>
    <w:rsid w:val="0083683C"/>
    <w:rsid w:val="008428FD"/>
    <w:rsid w:val="0084323A"/>
    <w:rsid w:val="00843D28"/>
    <w:rsid w:val="00843D78"/>
    <w:rsid w:val="00845B8C"/>
    <w:rsid w:val="00846C6D"/>
    <w:rsid w:val="00846D9F"/>
    <w:rsid w:val="008507BE"/>
    <w:rsid w:val="008549C8"/>
    <w:rsid w:val="0085650B"/>
    <w:rsid w:val="00857D36"/>
    <w:rsid w:val="00860921"/>
    <w:rsid w:val="00860D5A"/>
    <w:rsid w:val="008613B6"/>
    <w:rsid w:val="0086231A"/>
    <w:rsid w:val="00863280"/>
    <w:rsid w:val="00867A6A"/>
    <w:rsid w:val="008703D3"/>
    <w:rsid w:val="00871A77"/>
    <w:rsid w:val="00872169"/>
    <w:rsid w:val="00873C8A"/>
    <w:rsid w:val="00875B94"/>
    <w:rsid w:val="00875EAF"/>
    <w:rsid w:val="0087616D"/>
    <w:rsid w:val="00877748"/>
    <w:rsid w:val="008811D5"/>
    <w:rsid w:val="0088163D"/>
    <w:rsid w:val="00882659"/>
    <w:rsid w:val="00883572"/>
    <w:rsid w:val="00883C95"/>
    <w:rsid w:val="00883D7D"/>
    <w:rsid w:val="00884F4B"/>
    <w:rsid w:val="008879B3"/>
    <w:rsid w:val="008927DB"/>
    <w:rsid w:val="0089502D"/>
    <w:rsid w:val="00895FBF"/>
    <w:rsid w:val="008A055A"/>
    <w:rsid w:val="008A0957"/>
    <w:rsid w:val="008A26D2"/>
    <w:rsid w:val="008A2733"/>
    <w:rsid w:val="008A2BB2"/>
    <w:rsid w:val="008A3DA6"/>
    <w:rsid w:val="008A5F55"/>
    <w:rsid w:val="008A7221"/>
    <w:rsid w:val="008B13A6"/>
    <w:rsid w:val="008B367E"/>
    <w:rsid w:val="008C0B14"/>
    <w:rsid w:val="008C1C9B"/>
    <w:rsid w:val="008C56D7"/>
    <w:rsid w:val="008C5D8C"/>
    <w:rsid w:val="008C6F36"/>
    <w:rsid w:val="008C79B5"/>
    <w:rsid w:val="008C7EC3"/>
    <w:rsid w:val="008C7F51"/>
    <w:rsid w:val="008D086D"/>
    <w:rsid w:val="008D1C71"/>
    <w:rsid w:val="008D1F4B"/>
    <w:rsid w:val="008D2A34"/>
    <w:rsid w:val="008D364F"/>
    <w:rsid w:val="008D3868"/>
    <w:rsid w:val="008D39D2"/>
    <w:rsid w:val="008D3B23"/>
    <w:rsid w:val="008D62B0"/>
    <w:rsid w:val="008D65AE"/>
    <w:rsid w:val="008D766D"/>
    <w:rsid w:val="008E0590"/>
    <w:rsid w:val="008E0DD5"/>
    <w:rsid w:val="008E3204"/>
    <w:rsid w:val="008E3B78"/>
    <w:rsid w:val="008E3C8C"/>
    <w:rsid w:val="008E545F"/>
    <w:rsid w:val="008E5818"/>
    <w:rsid w:val="008F076F"/>
    <w:rsid w:val="008F07A0"/>
    <w:rsid w:val="008F1247"/>
    <w:rsid w:val="008F21E9"/>
    <w:rsid w:val="008F30A3"/>
    <w:rsid w:val="008F543F"/>
    <w:rsid w:val="008F5E46"/>
    <w:rsid w:val="008F5F23"/>
    <w:rsid w:val="008F61FF"/>
    <w:rsid w:val="008F6398"/>
    <w:rsid w:val="009032C8"/>
    <w:rsid w:val="00904B59"/>
    <w:rsid w:val="009072C7"/>
    <w:rsid w:val="00907585"/>
    <w:rsid w:val="00910357"/>
    <w:rsid w:val="00911599"/>
    <w:rsid w:val="009118FA"/>
    <w:rsid w:val="0091240E"/>
    <w:rsid w:val="009124DB"/>
    <w:rsid w:val="00912AFD"/>
    <w:rsid w:val="00913221"/>
    <w:rsid w:val="0091507A"/>
    <w:rsid w:val="009160A7"/>
    <w:rsid w:val="009252F5"/>
    <w:rsid w:val="00926A5F"/>
    <w:rsid w:val="00926B3F"/>
    <w:rsid w:val="0093085B"/>
    <w:rsid w:val="00930D85"/>
    <w:rsid w:val="00930FC5"/>
    <w:rsid w:val="00932007"/>
    <w:rsid w:val="00932777"/>
    <w:rsid w:val="00932CFA"/>
    <w:rsid w:val="00933821"/>
    <w:rsid w:val="00933EEE"/>
    <w:rsid w:val="00935D66"/>
    <w:rsid w:val="0094115C"/>
    <w:rsid w:val="0094633F"/>
    <w:rsid w:val="00946629"/>
    <w:rsid w:val="00947791"/>
    <w:rsid w:val="00947EEF"/>
    <w:rsid w:val="00951EE2"/>
    <w:rsid w:val="0095496C"/>
    <w:rsid w:val="009552C3"/>
    <w:rsid w:val="00955304"/>
    <w:rsid w:val="00957F20"/>
    <w:rsid w:val="009601A6"/>
    <w:rsid w:val="00960A16"/>
    <w:rsid w:val="00960ABC"/>
    <w:rsid w:val="009617D7"/>
    <w:rsid w:val="00961F7B"/>
    <w:rsid w:val="00966954"/>
    <w:rsid w:val="00966B62"/>
    <w:rsid w:val="009721F5"/>
    <w:rsid w:val="00973A74"/>
    <w:rsid w:val="00977ED4"/>
    <w:rsid w:val="009804D3"/>
    <w:rsid w:val="009820B2"/>
    <w:rsid w:val="00983D3E"/>
    <w:rsid w:val="00984903"/>
    <w:rsid w:val="00985EA9"/>
    <w:rsid w:val="00987E88"/>
    <w:rsid w:val="00990B5E"/>
    <w:rsid w:val="00992492"/>
    <w:rsid w:val="00993589"/>
    <w:rsid w:val="00995B36"/>
    <w:rsid w:val="00996E20"/>
    <w:rsid w:val="00996EDF"/>
    <w:rsid w:val="00997516"/>
    <w:rsid w:val="009A0D8D"/>
    <w:rsid w:val="009A0F6B"/>
    <w:rsid w:val="009A23D6"/>
    <w:rsid w:val="009A31F6"/>
    <w:rsid w:val="009A347D"/>
    <w:rsid w:val="009A55B2"/>
    <w:rsid w:val="009A59F0"/>
    <w:rsid w:val="009A6E93"/>
    <w:rsid w:val="009B051C"/>
    <w:rsid w:val="009B146C"/>
    <w:rsid w:val="009B1BC4"/>
    <w:rsid w:val="009B2473"/>
    <w:rsid w:val="009B2685"/>
    <w:rsid w:val="009B423B"/>
    <w:rsid w:val="009B4D9E"/>
    <w:rsid w:val="009B5FF7"/>
    <w:rsid w:val="009C0CBC"/>
    <w:rsid w:val="009C0E23"/>
    <w:rsid w:val="009C3253"/>
    <w:rsid w:val="009C705B"/>
    <w:rsid w:val="009D2D36"/>
    <w:rsid w:val="009D49A0"/>
    <w:rsid w:val="009D5DA4"/>
    <w:rsid w:val="009D6445"/>
    <w:rsid w:val="009D68AD"/>
    <w:rsid w:val="009D76CF"/>
    <w:rsid w:val="009D7826"/>
    <w:rsid w:val="009E0D91"/>
    <w:rsid w:val="009E250E"/>
    <w:rsid w:val="009E34E8"/>
    <w:rsid w:val="009E3CF2"/>
    <w:rsid w:val="009E535D"/>
    <w:rsid w:val="009E5572"/>
    <w:rsid w:val="009E7DC9"/>
    <w:rsid w:val="009F10D1"/>
    <w:rsid w:val="009F2C2C"/>
    <w:rsid w:val="009F3F3E"/>
    <w:rsid w:val="009F6586"/>
    <w:rsid w:val="00A02EAE"/>
    <w:rsid w:val="00A03DB8"/>
    <w:rsid w:val="00A055CE"/>
    <w:rsid w:val="00A07414"/>
    <w:rsid w:val="00A1373C"/>
    <w:rsid w:val="00A13AB7"/>
    <w:rsid w:val="00A13F22"/>
    <w:rsid w:val="00A141BE"/>
    <w:rsid w:val="00A14ADF"/>
    <w:rsid w:val="00A15213"/>
    <w:rsid w:val="00A15E77"/>
    <w:rsid w:val="00A172CE"/>
    <w:rsid w:val="00A21B35"/>
    <w:rsid w:val="00A2225C"/>
    <w:rsid w:val="00A230E6"/>
    <w:rsid w:val="00A2402C"/>
    <w:rsid w:val="00A248FD"/>
    <w:rsid w:val="00A24A26"/>
    <w:rsid w:val="00A24A2C"/>
    <w:rsid w:val="00A30675"/>
    <w:rsid w:val="00A32816"/>
    <w:rsid w:val="00A37431"/>
    <w:rsid w:val="00A409E8"/>
    <w:rsid w:val="00A40BDD"/>
    <w:rsid w:val="00A45423"/>
    <w:rsid w:val="00A45930"/>
    <w:rsid w:val="00A46A22"/>
    <w:rsid w:val="00A50C02"/>
    <w:rsid w:val="00A51EDA"/>
    <w:rsid w:val="00A52858"/>
    <w:rsid w:val="00A54129"/>
    <w:rsid w:val="00A55FA9"/>
    <w:rsid w:val="00A57F7B"/>
    <w:rsid w:val="00A6168D"/>
    <w:rsid w:val="00A65309"/>
    <w:rsid w:val="00A70A24"/>
    <w:rsid w:val="00A70DF9"/>
    <w:rsid w:val="00A73C17"/>
    <w:rsid w:val="00A7489E"/>
    <w:rsid w:val="00A75507"/>
    <w:rsid w:val="00A76424"/>
    <w:rsid w:val="00A82FAE"/>
    <w:rsid w:val="00A84755"/>
    <w:rsid w:val="00A8682F"/>
    <w:rsid w:val="00A86A19"/>
    <w:rsid w:val="00A90443"/>
    <w:rsid w:val="00A90F56"/>
    <w:rsid w:val="00A9207F"/>
    <w:rsid w:val="00A922AD"/>
    <w:rsid w:val="00A92A6B"/>
    <w:rsid w:val="00A94564"/>
    <w:rsid w:val="00A96115"/>
    <w:rsid w:val="00A97727"/>
    <w:rsid w:val="00A9784B"/>
    <w:rsid w:val="00AA072F"/>
    <w:rsid w:val="00AA459D"/>
    <w:rsid w:val="00AA4600"/>
    <w:rsid w:val="00AA49E1"/>
    <w:rsid w:val="00AA52F9"/>
    <w:rsid w:val="00AA6E33"/>
    <w:rsid w:val="00AB1A0F"/>
    <w:rsid w:val="00AB1EB3"/>
    <w:rsid w:val="00AB2309"/>
    <w:rsid w:val="00AB2B9B"/>
    <w:rsid w:val="00AB4387"/>
    <w:rsid w:val="00AB43A9"/>
    <w:rsid w:val="00AB5633"/>
    <w:rsid w:val="00AB5FA5"/>
    <w:rsid w:val="00AB66CA"/>
    <w:rsid w:val="00AB6F05"/>
    <w:rsid w:val="00AC1C76"/>
    <w:rsid w:val="00AC2543"/>
    <w:rsid w:val="00AC2AAD"/>
    <w:rsid w:val="00AC4955"/>
    <w:rsid w:val="00AC57FF"/>
    <w:rsid w:val="00AC6182"/>
    <w:rsid w:val="00AC6967"/>
    <w:rsid w:val="00AC6E7C"/>
    <w:rsid w:val="00AC74DB"/>
    <w:rsid w:val="00AD0F04"/>
    <w:rsid w:val="00AD3836"/>
    <w:rsid w:val="00AD44F1"/>
    <w:rsid w:val="00AD49D3"/>
    <w:rsid w:val="00AD5084"/>
    <w:rsid w:val="00AD53AD"/>
    <w:rsid w:val="00AD602C"/>
    <w:rsid w:val="00AE362A"/>
    <w:rsid w:val="00AE3B2B"/>
    <w:rsid w:val="00AE565D"/>
    <w:rsid w:val="00AF02B2"/>
    <w:rsid w:val="00AF1D31"/>
    <w:rsid w:val="00AF2E09"/>
    <w:rsid w:val="00AF3769"/>
    <w:rsid w:val="00B00E62"/>
    <w:rsid w:val="00B030DB"/>
    <w:rsid w:val="00B10022"/>
    <w:rsid w:val="00B11665"/>
    <w:rsid w:val="00B11A38"/>
    <w:rsid w:val="00B139F5"/>
    <w:rsid w:val="00B13FC3"/>
    <w:rsid w:val="00B1594E"/>
    <w:rsid w:val="00B17BB5"/>
    <w:rsid w:val="00B17E44"/>
    <w:rsid w:val="00B21CCB"/>
    <w:rsid w:val="00B2280A"/>
    <w:rsid w:val="00B22AFC"/>
    <w:rsid w:val="00B22EDB"/>
    <w:rsid w:val="00B234A4"/>
    <w:rsid w:val="00B23C27"/>
    <w:rsid w:val="00B2474D"/>
    <w:rsid w:val="00B24FD7"/>
    <w:rsid w:val="00B25359"/>
    <w:rsid w:val="00B26DD3"/>
    <w:rsid w:val="00B3173E"/>
    <w:rsid w:val="00B32BEA"/>
    <w:rsid w:val="00B32F12"/>
    <w:rsid w:val="00B34484"/>
    <w:rsid w:val="00B36745"/>
    <w:rsid w:val="00B37C00"/>
    <w:rsid w:val="00B4039E"/>
    <w:rsid w:val="00B42FBF"/>
    <w:rsid w:val="00B4606B"/>
    <w:rsid w:val="00B518B9"/>
    <w:rsid w:val="00B53D50"/>
    <w:rsid w:val="00B56D6F"/>
    <w:rsid w:val="00B60E89"/>
    <w:rsid w:val="00B610F4"/>
    <w:rsid w:val="00B615D6"/>
    <w:rsid w:val="00B622D7"/>
    <w:rsid w:val="00B62DFA"/>
    <w:rsid w:val="00B6377D"/>
    <w:rsid w:val="00B65370"/>
    <w:rsid w:val="00B66F50"/>
    <w:rsid w:val="00B66FF4"/>
    <w:rsid w:val="00B70956"/>
    <w:rsid w:val="00B72ACA"/>
    <w:rsid w:val="00B7304D"/>
    <w:rsid w:val="00B74842"/>
    <w:rsid w:val="00B74943"/>
    <w:rsid w:val="00B8269B"/>
    <w:rsid w:val="00B850A7"/>
    <w:rsid w:val="00B852F2"/>
    <w:rsid w:val="00B915DA"/>
    <w:rsid w:val="00B9226E"/>
    <w:rsid w:val="00B9275F"/>
    <w:rsid w:val="00B92892"/>
    <w:rsid w:val="00B95A71"/>
    <w:rsid w:val="00B96B5E"/>
    <w:rsid w:val="00B977CB"/>
    <w:rsid w:val="00BA223D"/>
    <w:rsid w:val="00BA24C9"/>
    <w:rsid w:val="00BA3694"/>
    <w:rsid w:val="00BA36E1"/>
    <w:rsid w:val="00BA4E52"/>
    <w:rsid w:val="00BA5869"/>
    <w:rsid w:val="00BA586C"/>
    <w:rsid w:val="00BA59D1"/>
    <w:rsid w:val="00BA7202"/>
    <w:rsid w:val="00BB0676"/>
    <w:rsid w:val="00BB1861"/>
    <w:rsid w:val="00BB1B16"/>
    <w:rsid w:val="00BB2270"/>
    <w:rsid w:val="00BB2E4B"/>
    <w:rsid w:val="00BB4E97"/>
    <w:rsid w:val="00BB6FA1"/>
    <w:rsid w:val="00BC0FC7"/>
    <w:rsid w:val="00BC2D25"/>
    <w:rsid w:val="00BC401F"/>
    <w:rsid w:val="00BC4853"/>
    <w:rsid w:val="00BC4ADC"/>
    <w:rsid w:val="00BC5239"/>
    <w:rsid w:val="00BC5C13"/>
    <w:rsid w:val="00BD154B"/>
    <w:rsid w:val="00BD50FD"/>
    <w:rsid w:val="00BD665E"/>
    <w:rsid w:val="00BE0761"/>
    <w:rsid w:val="00BE4129"/>
    <w:rsid w:val="00BE6202"/>
    <w:rsid w:val="00BE6880"/>
    <w:rsid w:val="00BE68A2"/>
    <w:rsid w:val="00BF497A"/>
    <w:rsid w:val="00C02118"/>
    <w:rsid w:val="00C05707"/>
    <w:rsid w:val="00C07DF2"/>
    <w:rsid w:val="00C11A17"/>
    <w:rsid w:val="00C11FE6"/>
    <w:rsid w:val="00C13DF6"/>
    <w:rsid w:val="00C13EB2"/>
    <w:rsid w:val="00C1655D"/>
    <w:rsid w:val="00C17B7F"/>
    <w:rsid w:val="00C210A4"/>
    <w:rsid w:val="00C21B1A"/>
    <w:rsid w:val="00C2413F"/>
    <w:rsid w:val="00C32280"/>
    <w:rsid w:val="00C33B45"/>
    <w:rsid w:val="00C33F45"/>
    <w:rsid w:val="00C34681"/>
    <w:rsid w:val="00C346C4"/>
    <w:rsid w:val="00C3590D"/>
    <w:rsid w:val="00C421FE"/>
    <w:rsid w:val="00C434AD"/>
    <w:rsid w:val="00C434D5"/>
    <w:rsid w:val="00C435F1"/>
    <w:rsid w:val="00C4411A"/>
    <w:rsid w:val="00C44F2B"/>
    <w:rsid w:val="00C45659"/>
    <w:rsid w:val="00C457B4"/>
    <w:rsid w:val="00C45B3F"/>
    <w:rsid w:val="00C4788F"/>
    <w:rsid w:val="00C50894"/>
    <w:rsid w:val="00C52212"/>
    <w:rsid w:val="00C530D3"/>
    <w:rsid w:val="00C554D0"/>
    <w:rsid w:val="00C56ACF"/>
    <w:rsid w:val="00C5768A"/>
    <w:rsid w:val="00C62A9E"/>
    <w:rsid w:val="00C638C1"/>
    <w:rsid w:val="00C67A4A"/>
    <w:rsid w:val="00C71777"/>
    <w:rsid w:val="00C72E16"/>
    <w:rsid w:val="00C75092"/>
    <w:rsid w:val="00C75A9A"/>
    <w:rsid w:val="00C764C6"/>
    <w:rsid w:val="00C77FBD"/>
    <w:rsid w:val="00C80DF0"/>
    <w:rsid w:val="00C80FE1"/>
    <w:rsid w:val="00C81BC4"/>
    <w:rsid w:val="00C82035"/>
    <w:rsid w:val="00C84D7F"/>
    <w:rsid w:val="00C85C66"/>
    <w:rsid w:val="00C9017B"/>
    <w:rsid w:val="00C9102F"/>
    <w:rsid w:val="00C93DE7"/>
    <w:rsid w:val="00C9560D"/>
    <w:rsid w:val="00C96778"/>
    <w:rsid w:val="00C96A99"/>
    <w:rsid w:val="00C97556"/>
    <w:rsid w:val="00C97774"/>
    <w:rsid w:val="00CA4119"/>
    <w:rsid w:val="00CA44D1"/>
    <w:rsid w:val="00CB0740"/>
    <w:rsid w:val="00CB1A12"/>
    <w:rsid w:val="00CB3008"/>
    <w:rsid w:val="00CB3BA7"/>
    <w:rsid w:val="00CB580A"/>
    <w:rsid w:val="00CC014A"/>
    <w:rsid w:val="00CC0BF6"/>
    <w:rsid w:val="00CC0E85"/>
    <w:rsid w:val="00CC52DC"/>
    <w:rsid w:val="00CC6BDC"/>
    <w:rsid w:val="00CC74E1"/>
    <w:rsid w:val="00CD2436"/>
    <w:rsid w:val="00CD4412"/>
    <w:rsid w:val="00CD4F95"/>
    <w:rsid w:val="00CD5CA9"/>
    <w:rsid w:val="00CD6591"/>
    <w:rsid w:val="00CD75BD"/>
    <w:rsid w:val="00CE0097"/>
    <w:rsid w:val="00CE1FB9"/>
    <w:rsid w:val="00CE32F4"/>
    <w:rsid w:val="00CE3D1D"/>
    <w:rsid w:val="00CE48E5"/>
    <w:rsid w:val="00CE5ECF"/>
    <w:rsid w:val="00CE623D"/>
    <w:rsid w:val="00CE6498"/>
    <w:rsid w:val="00CE6872"/>
    <w:rsid w:val="00CE74C2"/>
    <w:rsid w:val="00CF02BD"/>
    <w:rsid w:val="00CF24F6"/>
    <w:rsid w:val="00CF4597"/>
    <w:rsid w:val="00CF46DD"/>
    <w:rsid w:val="00D01007"/>
    <w:rsid w:val="00D01594"/>
    <w:rsid w:val="00D03379"/>
    <w:rsid w:val="00D0475A"/>
    <w:rsid w:val="00D048F9"/>
    <w:rsid w:val="00D105F6"/>
    <w:rsid w:val="00D10BF0"/>
    <w:rsid w:val="00D119FB"/>
    <w:rsid w:val="00D12EFE"/>
    <w:rsid w:val="00D151A9"/>
    <w:rsid w:val="00D15CD9"/>
    <w:rsid w:val="00D1760D"/>
    <w:rsid w:val="00D176BB"/>
    <w:rsid w:val="00D17860"/>
    <w:rsid w:val="00D217E0"/>
    <w:rsid w:val="00D22558"/>
    <w:rsid w:val="00D23072"/>
    <w:rsid w:val="00D236D8"/>
    <w:rsid w:val="00D23D0A"/>
    <w:rsid w:val="00D23F6E"/>
    <w:rsid w:val="00D24A5E"/>
    <w:rsid w:val="00D25DD7"/>
    <w:rsid w:val="00D25F2D"/>
    <w:rsid w:val="00D26A0A"/>
    <w:rsid w:val="00D27B23"/>
    <w:rsid w:val="00D27B89"/>
    <w:rsid w:val="00D30DAE"/>
    <w:rsid w:val="00D31319"/>
    <w:rsid w:val="00D43CCD"/>
    <w:rsid w:val="00D45C66"/>
    <w:rsid w:val="00D46EEF"/>
    <w:rsid w:val="00D47C59"/>
    <w:rsid w:val="00D5075D"/>
    <w:rsid w:val="00D540DD"/>
    <w:rsid w:val="00D54E8B"/>
    <w:rsid w:val="00D56166"/>
    <w:rsid w:val="00D561CF"/>
    <w:rsid w:val="00D608A4"/>
    <w:rsid w:val="00D62003"/>
    <w:rsid w:val="00D63AA1"/>
    <w:rsid w:val="00D63FFE"/>
    <w:rsid w:val="00D646E5"/>
    <w:rsid w:val="00D64A75"/>
    <w:rsid w:val="00D66D38"/>
    <w:rsid w:val="00D70CFF"/>
    <w:rsid w:val="00D7227D"/>
    <w:rsid w:val="00D741D0"/>
    <w:rsid w:val="00D76873"/>
    <w:rsid w:val="00D80A90"/>
    <w:rsid w:val="00D822A3"/>
    <w:rsid w:val="00D82E4D"/>
    <w:rsid w:val="00D85ED7"/>
    <w:rsid w:val="00D8618F"/>
    <w:rsid w:val="00D91887"/>
    <w:rsid w:val="00D935CA"/>
    <w:rsid w:val="00D94031"/>
    <w:rsid w:val="00D9548C"/>
    <w:rsid w:val="00D96710"/>
    <w:rsid w:val="00DA0314"/>
    <w:rsid w:val="00DA1259"/>
    <w:rsid w:val="00DA1CD8"/>
    <w:rsid w:val="00DA5609"/>
    <w:rsid w:val="00DA615E"/>
    <w:rsid w:val="00DB5650"/>
    <w:rsid w:val="00DC0E1F"/>
    <w:rsid w:val="00DC30A3"/>
    <w:rsid w:val="00DC45A6"/>
    <w:rsid w:val="00DC4E14"/>
    <w:rsid w:val="00DC517F"/>
    <w:rsid w:val="00DD092E"/>
    <w:rsid w:val="00DD2ED4"/>
    <w:rsid w:val="00DD3FC6"/>
    <w:rsid w:val="00DD58AC"/>
    <w:rsid w:val="00DD6984"/>
    <w:rsid w:val="00DE3B67"/>
    <w:rsid w:val="00DE4A9A"/>
    <w:rsid w:val="00DE59D8"/>
    <w:rsid w:val="00DE6B81"/>
    <w:rsid w:val="00DE708C"/>
    <w:rsid w:val="00DE7323"/>
    <w:rsid w:val="00DE740A"/>
    <w:rsid w:val="00DE793D"/>
    <w:rsid w:val="00DF0C07"/>
    <w:rsid w:val="00DF1590"/>
    <w:rsid w:val="00DF279C"/>
    <w:rsid w:val="00DF42FF"/>
    <w:rsid w:val="00DF4AD5"/>
    <w:rsid w:val="00DF750A"/>
    <w:rsid w:val="00DF762C"/>
    <w:rsid w:val="00E0057A"/>
    <w:rsid w:val="00E03EAE"/>
    <w:rsid w:val="00E068AB"/>
    <w:rsid w:val="00E11760"/>
    <w:rsid w:val="00E12C9C"/>
    <w:rsid w:val="00E160C6"/>
    <w:rsid w:val="00E16926"/>
    <w:rsid w:val="00E204C7"/>
    <w:rsid w:val="00E22128"/>
    <w:rsid w:val="00E238C3"/>
    <w:rsid w:val="00E238DB"/>
    <w:rsid w:val="00E26AE5"/>
    <w:rsid w:val="00E270AA"/>
    <w:rsid w:val="00E272F4"/>
    <w:rsid w:val="00E27E22"/>
    <w:rsid w:val="00E325E5"/>
    <w:rsid w:val="00E33B5F"/>
    <w:rsid w:val="00E43C4D"/>
    <w:rsid w:val="00E464A2"/>
    <w:rsid w:val="00E47665"/>
    <w:rsid w:val="00E50304"/>
    <w:rsid w:val="00E52ECA"/>
    <w:rsid w:val="00E544C6"/>
    <w:rsid w:val="00E56A39"/>
    <w:rsid w:val="00E56E67"/>
    <w:rsid w:val="00E57765"/>
    <w:rsid w:val="00E578CD"/>
    <w:rsid w:val="00E57E4D"/>
    <w:rsid w:val="00E60446"/>
    <w:rsid w:val="00E65ABD"/>
    <w:rsid w:val="00E65B97"/>
    <w:rsid w:val="00E66921"/>
    <w:rsid w:val="00E67D92"/>
    <w:rsid w:val="00E70EA2"/>
    <w:rsid w:val="00E808AC"/>
    <w:rsid w:val="00E8638F"/>
    <w:rsid w:val="00E87DD0"/>
    <w:rsid w:val="00E92641"/>
    <w:rsid w:val="00E9330A"/>
    <w:rsid w:val="00E935FB"/>
    <w:rsid w:val="00E93A0B"/>
    <w:rsid w:val="00E94AA1"/>
    <w:rsid w:val="00E95225"/>
    <w:rsid w:val="00E971F5"/>
    <w:rsid w:val="00EA101F"/>
    <w:rsid w:val="00EA16B7"/>
    <w:rsid w:val="00EA1E1F"/>
    <w:rsid w:val="00EA209D"/>
    <w:rsid w:val="00EA3AC3"/>
    <w:rsid w:val="00EA427C"/>
    <w:rsid w:val="00EA496D"/>
    <w:rsid w:val="00EA752E"/>
    <w:rsid w:val="00EA7B4E"/>
    <w:rsid w:val="00EB12BC"/>
    <w:rsid w:val="00EB1517"/>
    <w:rsid w:val="00EB2889"/>
    <w:rsid w:val="00EB2D11"/>
    <w:rsid w:val="00EB4975"/>
    <w:rsid w:val="00EB4BA8"/>
    <w:rsid w:val="00EB4DFE"/>
    <w:rsid w:val="00EB4E2B"/>
    <w:rsid w:val="00EB6260"/>
    <w:rsid w:val="00EC0888"/>
    <w:rsid w:val="00EC0AC4"/>
    <w:rsid w:val="00EC2C9A"/>
    <w:rsid w:val="00EC7492"/>
    <w:rsid w:val="00ED0138"/>
    <w:rsid w:val="00ED166E"/>
    <w:rsid w:val="00ED1CDC"/>
    <w:rsid w:val="00ED6426"/>
    <w:rsid w:val="00ED7ABB"/>
    <w:rsid w:val="00EE157C"/>
    <w:rsid w:val="00EE47A7"/>
    <w:rsid w:val="00EE4C7A"/>
    <w:rsid w:val="00EE4F8D"/>
    <w:rsid w:val="00EE5617"/>
    <w:rsid w:val="00EF07B7"/>
    <w:rsid w:val="00EF4FCF"/>
    <w:rsid w:val="00EF50FB"/>
    <w:rsid w:val="00EF5710"/>
    <w:rsid w:val="00EF5A8E"/>
    <w:rsid w:val="00EF5B2D"/>
    <w:rsid w:val="00EF6C7F"/>
    <w:rsid w:val="00EF7B47"/>
    <w:rsid w:val="00F00D3B"/>
    <w:rsid w:val="00F047B1"/>
    <w:rsid w:val="00F04DB6"/>
    <w:rsid w:val="00F12292"/>
    <w:rsid w:val="00F12B38"/>
    <w:rsid w:val="00F131F2"/>
    <w:rsid w:val="00F1538A"/>
    <w:rsid w:val="00F153DA"/>
    <w:rsid w:val="00F15DFE"/>
    <w:rsid w:val="00F20264"/>
    <w:rsid w:val="00F205B0"/>
    <w:rsid w:val="00F215DF"/>
    <w:rsid w:val="00F2298B"/>
    <w:rsid w:val="00F22FC4"/>
    <w:rsid w:val="00F26EC9"/>
    <w:rsid w:val="00F27E1C"/>
    <w:rsid w:val="00F27FB1"/>
    <w:rsid w:val="00F35061"/>
    <w:rsid w:val="00F358CE"/>
    <w:rsid w:val="00F359A5"/>
    <w:rsid w:val="00F41FAA"/>
    <w:rsid w:val="00F42E7E"/>
    <w:rsid w:val="00F43CE0"/>
    <w:rsid w:val="00F4452C"/>
    <w:rsid w:val="00F45B2B"/>
    <w:rsid w:val="00F46DD2"/>
    <w:rsid w:val="00F507DC"/>
    <w:rsid w:val="00F51FE8"/>
    <w:rsid w:val="00F53069"/>
    <w:rsid w:val="00F5629F"/>
    <w:rsid w:val="00F6016B"/>
    <w:rsid w:val="00F602C6"/>
    <w:rsid w:val="00F6103E"/>
    <w:rsid w:val="00F63732"/>
    <w:rsid w:val="00F63BF7"/>
    <w:rsid w:val="00F63C85"/>
    <w:rsid w:val="00F656B5"/>
    <w:rsid w:val="00F65821"/>
    <w:rsid w:val="00F65875"/>
    <w:rsid w:val="00F661E9"/>
    <w:rsid w:val="00F6665A"/>
    <w:rsid w:val="00F72957"/>
    <w:rsid w:val="00F74999"/>
    <w:rsid w:val="00F7684C"/>
    <w:rsid w:val="00F76C5A"/>
    <w:rsid w:val="00F76DB1"/>
    <w:rsid w:val="00F811D1"/>
    <w:rsid w:val="00F819BB"/>
    <w:rsid w:val="00F829FD"/>
    <w:rsid w:val="00F85B28"/>
    <w:rsid w:val="00F93CA3"/>
    <w:rsid w:val="00FB16C0"/>
    <w:rsid w:val="00FB4102"/>
    <w:rsid w:val="00FB4C47"/>
    <w:rsid w:val="00FB4DAC"/>
    <w:rsid w:val="00FB5408"/>
    <w:rsid w:val="00FB559B"/>
    <w:rsid w:val="00FC1EBA"/>
    <w:rsid w:val="00FC37F7"/>
    <w:rsid w:val="00FC37F8"/>
    <w:rsid w:val="00FC3DA0"/>
    <w:rsid w:val="00FC51C1"/>
    <w:rsid w:val="00FD1632"/>
    <w:rsid w:val="00FD3325"/>
    <w:rsid w:val="00FE45B7"/>
    <w:rsid w:val="00FF5B26"/>
    <w:rsid w:val="00FF73E9"/>
    <w:rsid w:val="00FF74D7"/>
    <w:rsid w:val="00FF7C34"/>
    <w:rsid w:val="00FF7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61DC0"/>
  <w15:docId w15:val="{6815E216-97DC-7C45-B992-A26E7DEB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BB"/>
  </w:style>
  <w:style w:type="paragraph" w:styleId="Heading1">
    <w:name w:val="heading 1"/>
    <w:basedOn w:val="Normal"/>
    <w:link w:val="Heading1Char"/>
    <w:uiPriority w:val="9"/>
    <w:qFormat/>
    <w:rsid w:val="00C057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57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57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EDB"/>
    <w:rPr>
      <w:color w:val="0000FF" w:themeColor="hyperlink"/>
      <w:u w:val="single"/>
    </w:rPr>
  </w:style>
  <w:style w:type="paragraph" w:styleId="Header">
    <w:name w:val="header"/>
    <w:basedOn w:val="Normal"/>
    <w:link w:val="HeaderChar"/>
    <w:uiPriority w:val="99"/>
    <w:unhideWhenUsed/>
    <w:rsid w:val="00A24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A2C"/>
  </w:style>
  <w:style w:type="paragraph" w:styleId="Footer">
    <w:name w:val="footer"/>
    <w:basedOn w:val="Normal"/>
    <w:link w:val="FooterChar"/>
    <w:uiPriority w:val="99"/>
    <w:unhideWhenUsed/>
    <w:rsid w:val="00A24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A2C"/>
  </w:style>
  <w:style w:type="paragraph" w:styleId="BalloonText">
    <w:name w:val="Balloon Text"/>
    <w:basedOn w:val="Normal"/>
    <w:link w:val="BalloonTextChar"/>
    <w:uiPriority w:val="99"/>
    <w:semiHidden/>
    <w:unhideWhenUsed/>
    <w:rsid w:val="00A24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A2C"/>
    <w:rPr>
      <w:rFonts w:ascii="Tahoma" w:hAnsi="Tahoma" w:cs="Tahoma"/>
      <w:sz w:val="16"/>
      <w:szCs w:val="16"/>
    </w:rPr>
  </w:style>
  <w:style w:type="paragraph" w:customStyle="1" w:styleId="EndNoteBibliographyTitle">
    <w:name w:val="EndNote Bibliography Title"/>
    <w:basedOn w:val="Normal"/>
    <w:link w:val="EndNoteBibliographyTitleChar"/>
    <w:rsid w:val="003965BA"/>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3965BA"/>
    <w:rPr>
      <w:rFonts w:ascii="Cambria" w:hAnsi="Cambria"/>
      <w:noProof/>
      <w:lang w:val="en-US"/>
    </w:rPr>
  </w:style>
  <w:style w:type="paragraph" w:customStyle="1" w:styleId="EndNoteBibliography">
    <w:name w:val="EndNote Bibliography"/>
    <w:basedOn w:val="Normal"/>
    <w:link w:val="EndNoteBibliographyChar"/>
    <w:rsid w:val="003965BA"/>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3965BA"/>
    <w:rPr>
      <w:rFonts w:ascii="Cambria" w:hAnsi="Cambria"/>
      <w:noProof/>
      <w:lang w:val="en-US"/>
    </w:rPr>
  </w:style>
  <w:style w:type="character" w:styleId="CommentReference">
    <w:name w:val="annotation reference"/>
    <w:basedOn w:val="DefaultParagraphFont"/>
    <w:uiPriority w:val="99"/>
    <w:semiHidden/>
    <w:unhideWhenUsed/>
    <w:rsid w:val="00462BEB"/>
    <w:rPr>
      <w:sz w:val="16"/>
      <w:szCs w:val="16"/>
    </w:rPr>
  </w:style>
  <w:style w:type="paragraph" w:styleId="CommentText">
    <w:name w:val="annotation text"/>
    <w:basedOn w:val="Normal"/>
    <w:link w:val="CommentTextChar"/>
    <w:uiPriority w:val="99"/>
    <w:unhideWhenUsed/>
    <w:rsid w:val="00462BEB"/>
    <w:pPr>
      <w:spacing w:line="240" w:lineRule="auto"/>
    </w:pPr>
    <w:rPr>
      <w:sz w:val="20"/>
      <w:szCs w:val="20"/>
    </w:rPr>
  </w:style>
  <w:style w:type="character" w:customStyle="1" w:styleId="CommentTextChar">
    <w:name w:val="Comment Text Char"/>
    <w:basedOn w:val="DefaultParagraphFont"/>
    <w:link w:val="CommentText"/>
    <w:uiPriority w:val="99"/>
    <w:rsid w:val="00462BEB"/>
    <w:rPr>
      <w:sz w:val="20"/>
      <w:szCs w:val="20"/>
    </w:rPr>
  </w:style>
  <w:style w:type="paragraph" w:styleId="CommentSubject">
    <w:name w:val="annotation subject"/>
    <w:basedOn w:val="CommentText"/>
    <w:next w:val="CommentText"/>
    <w:link w:val="CommentSubjectChar"/>
    <w:uiPriority w:val="99"/>
    <w:semiHidden/>
    <w:unhideWhenUsed/>
    <w:rsid w:val="00462BEB"/>
    <w:rPr>
      <w:b/>
      <w:bCs/>
    </w:rPr>
  </w:style>
  <w:style w:type="character" w:customStyle="1" w:styleId="CommentSubjectChar">
    <w:name w:val="Comment Subject Char"/>
    <w:basedOn w:val="CommentTextChar"/>
    <w:link w:val="CommentSubject"/>
    <w:uiPriority w:val="99"/>
    <w:semiHidden/>
    <w:rsid w:val="00462BEB"/>
    <w:rPr>
      <w:b/>
      <w:bCs/>
      <w:sz w:val="20"/>
      <w:szCs w:val="20"/>
    </w:rPr>
  </w:style>
  <w:style w:type="paragraph" w:styleId="ListParagraph">
    <w:name w:val="List Paragraph"/>
    <w:basedOn w:val="Normal"/>
    <w:uiPriority w:val="34"/>
    <w:qFormat/>
    <w:rsid w:val="002044C1"/>
    <w:pPr>
      <w:ind w:left="720"/>
      <w:contextualSpacing/>
    </w:pPr>
  </w:style>
  <w:style w:type="paragraph" w:styleId="NormalWeb">
    <w:name w:val="Normal (Web)"/>
    <w:basedOn w:val="Normal"/>
    <w:uiPriority w:val="99"/>
    <w:semiHidden/>
    <w:unhideWhenUsed/>
    <w:rsid w:val="00BE688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A52F9"/>
    <w:pPr>
      <w:spacing w:after="0" w:line="240" w:lineRule="auto"/>
    </w:pPr>
  </w:style>
  <w:style w:type="character" w:styleId="FollowedHyperlink">
    <w:name w:val="FollowedHyperlink"/>
    <w:basedOn w:val="DefaultParagraphFont"/>
    <w:uiPriority w:val="99"/>
    <w:semiHidden/>
    <w:unhideWhenUsed/>
    <w:rsid w:val="00E9330A"/>
    <w:rPr>
      <w:color w:val="800080" w:themeColor="followedHyperlink"/>
      <w:u w:val="single"/>
    </w:rPr>
  </w:style>
  <w:style w:type="character" w:customStyle="1" w:styleId="Heading1Char">
    <w:name w:val="Heading 1 Char"/>
    <w:basedOn w:val="DefaultParagraphFont"/>
    <w:link w:val="Heading1"/>
    <w:uiPriority w:val="9"/>
    <w:rsid w:val="00C057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57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5707"/>
    <w:rPr>
      <w:rFonts w:ascii="Times New Roman" w:eastAsia="Times New Roman" w:hAnsi="Times New Roman" w:cs="Times New Roman"/>
      <w:b/>
      <w:bCs/>
      <w:sz w:val="27"/>
      <w:szCs w:val="27"/>
    </w:rPr>
  </w:style>
  <w:style w:type="paragraph" w:customStyle="1" w:styleId="author">
    <w:name w:val="author"/>
    <w:basedOn w:val="Normal"/>
    <w:rsid w:val="00C05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C05707"/>
  </w:style>
  <w:style w:type="character" w:customStyle="1" w:styleId="u-sronly">
    <w:name w:val="u-sronly"/>
    <w:basedOn w:val="DefaultParagraphFont"/>
    <w:rsid w:val="00C05707"/>
  </w:style>
  <w:style w:type="character" w:customStyle="1" w:styleId="apple-converted-space">
    <w:name w:val="apple-converted-space"/>
    <w:basedOn w:val="DefaultParagraphFont"/>
    <w:rsid w:val="00C05707"/>
  </w:style>
  <w:style w:type="character" w:customStyle="1" w:styleId="journaltitle">
    <w:name w:val="journaltitle"/>
    <w:basedOn w:val="DefaultParagraphFont"/>
    <w:rsid w:val="00C05707"/>
  </w:style>
  <w:style w:type="character" w:customStyle="1" w:styleId="articlecitationyear">
    <w:name w:val="articlecitation_year"/>
    <w:basedOn w:val="DefaultParagraphFont"/>
    <w:rsid w:val="00C05707"/>
  </w:style>
  <w:style w:type="character" w:customStyle="1" w:styleId="articlecitationvolume">
    <w:name w:val="articlecitation_volume"/>
    <w:basedOn w:val="DefaultParagraphFont"/>
    <w:rsid w:val="00C05707"/>
  </w:style>
  <w:style w:type="character" w:styleId="Strong">
    <w:name w:val="Strong"/>
    <w:basedOn w:val="DefaultParagraphFont"/>
    <w:uiPriority w:val="22"/>
    <w:qFormat/>
    <w:rsid w:val="00C05707"/>
    <w:rPr>
      <w:b/>
      <w:bCs/>
    </w:rPr>
  </w:style>
  <w:style w:type="paragraph" w:customStyle="1" w:styleId="articledoi">
    <w:name w:val="articledoi"/>
    <w:basedOn w:val="Normal"/>
    <w:rsid w:val="00C057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C057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
    <w:name w:val="history"/>
    <w:basedOn w:val="Normal"/>
    <w:rsid w:val="00C057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C057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5707"/>
    <w:rPr>
      <w:i/>
      <w:iCs/>
    </w:rPr>
  </w:style>
  <w:style w:type="paragraph" w:styleId="FootnoteText">
    <w:name w:val="footnote text"/>
    <w:basedOn w:val="Normal"/>
    <w:link w:val="FootnoteTextChar"/>
    <w:uiPriority w:val="99"/>
    <w:semiHidden/>
    <w:unhideWhenUsed/>
    <w:rsid w:val="00DE6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B81"/>
    <w:rPr>
      <w:sz w:val="20"/>
      <w:szCs w:val="20"/>
    </w:rPr>
  </w:style>
  <w:style w:type="character" w:styleId="FootnoteReference">
    <w:name w:val="footnote reference"/>
    <w:basedOn w:val="DefaultParagraphFont"/>
    <w:uiPriority w:val="99"/>
    <w:semiHidden/>
    <w:unhideWhenUsed/>
    <w:rsid w:val="00DE6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28790">
      <w:bodyDiv w:val="1"/>
      <w:marLeft w:val="0"/>
      <w:marRight w:val="0"/>
      <w:marTop w:val="0"/>
      <w:marBottom w:val="0"/>
      <w:divBdr>
        <w:top w:val="none" w:sz="0" w:space="0" w:color="auto"/>
        <w:left w:val="none" w:sz="0" w:space="0" w:color="auto"/>
        <w:bottom w:val="none" w:sz="0" w:space="0" w:color="auto"/>
        <w:right w:val="none" w:sz="0" w:space="0" w:color="auto"/>
      </w:divBdr>
    </w:div>
    <w:div w:id="244581526">
      <w:bodyDiv w:val="1"/>
      <w:marLeft w:val="0"/>
      <w:marRight w:val="0"/>
      <w:marTop w:val="0"/>
      <w:marBottom w:val="0"/>
      <w:divBdr>
        <w:top w:val="none" w:sz="0" w:space="0" w:color="auto"/>
        <w:left w:val="none" w:sz="0" w:space="0" w:color="auto"/>
        <w:bottom w:val="none" w:sz="0" w:space="0" w:color="auto"/>
        <w:right w:val="none" w:sz="0" w:space="0" w:color="auto"/>
      </w:divBdr>
      <w:divsChild>
        <w:div w:id="1453673291">
          <w:marLeft w:val="0"/>
          <w:marRight w:val="0"/>
          <w:marTop w:val="0"/>
          <w:marBottom w:val="0"/>
          <w:divBdr>
            <w:top w:val="none" w:sz="0" w:space="0" w:color="auto"/>
            <w:left w:val="none" w:sz="0" w:space="0" w:color="auto"/>
            <w:bottom w:val="none" w:sz="0" w:space="0" w:color="auto"/>
            <w:right w:val="none" w:sz="0" w:space="0" w:color="auto"/>
          </w:divBdr>
          <w:divsChild>
            <w:div w:id="1238980129">
              <w:marLeft w:val="0"/>
              <w:marRight w:val="0"/>
              <w:marTop w:val="0"/>
              <w:marBottom w:val="0"/>
              <w:divBdr>
                <w:top w:val="none" w:sz="0" w:space="0" w:color="auto"/>
                <w:left w:val="none" w:sz="0" w:space="0" w:color="auto"/>
                <w:bottom w:val="none" w:sz="0" w:space="0" w:color="auto"/>
                <w:right w:val="none" w:sz="0" w:space="0" w:color="auto"/>
              </w:divBdr>
              <w:divsChild>
                <w:div w:id="2113041625">
                  <w:marLeft w:val="0"/>
                  <w:marRight w:val="0"/>
                  <w:marTop w:val="0"/>
                  <w:marBottom w:val="0"/>
                  <w:divBdr>
                    <w:top w:val="none" w:sz="0" w:space="0" w:color="auto"/>
                    <w:left w:val="none" w:sz="0" w:space="0" w:color="auto"/>
                    <w:bottom w:val="none" w:sz="0" w:space="0" w:color="auto"/>
                    <w:right w:val="none" w:sz="0" w:space="0" w:color="auto"/>
                  </w:divBdr>
                  <w:divsChild>
                    <w:div w:id="1411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43300">
      <w:bodyDiv w:val="1"/>
      <w:marLeft w:val="0"/>
      <w:marRight w:val="0"/>
      <w:marTop w:val="0"/>
      <w:marBottom w:val="0"/>
      <w:divBdr>
        <w:top w:val="none" w:sz="0" w:space="0" w:color="auto"/>
        <w:left w:val="none" w:sz="0" w:space="0" w:color="auto"/>
        <w:bottom w:val="none" w:sz="0" w:space="0" w:color="auto"/>
        <w:right w:val="none" w:sz="0" w:space="0" w:color="auto"/>
      </w:divBdr>
    </w:div>
    <w:div w:id="1350983225">
      <w:bodyDiv w:val="1"/>
      <w:marLeft w:val="0"/>
      <w:marRight w:val="0"/>
      <w:marTop w:val="0"/>
      <w:marBottom w:val="0"/>
      <w:divBdr>
        <w:top w:val="none" w:sz="0" w:space="0" w:color="auto"/>
        <w:left w:val="none" w:sz="0" w:space="0" w:color="auto"/>
        <w:bottom w:val="none" w:sz="0" w:space="0" w:color="auto"/>
        <w:right w:val="none" w:sz="0" w:space="0" w:color="auto"/>
      </w:divBdr>
    </w:div>
    <w:div w:id="1393774295">
      <w:bodyDiv w:val="1"/>
      <w:marLeft w:val="0"/>
      <w:marRight w:val="0"/>
      <w:marTop w:val="0"/>
      <w:marBottom w:val="0"/>
      <w:divBdr>
        <w:top w:val="none" w:sz="0" w:space="0" w:color="auto"/>
        <w:left w:val="none" w:sz="0" w:space="0" w:color="auto"/>
        <w:bottom w:val="none" w:sz="0" w:space="0" w:color="auto"/>
        <w:right w:val="none" w:sz="0" w:space="0" w:color="auto"/>
      </w:divBdr>
    </w:div>
    <w:div w:id="1791431854">
      <w:bodyDiv w:val="1"/>
      <w:marLeft w:val="0"/>
      <w:marRight w:val="0"/>
      <w:marTop w:val="0"/>
      <w:marBottom w:val="0"/>
      <w:divBdr>
        <w:top w:val="none" w:sz="0" w:space="0" w:color="auto"/>
        <w:left w:val="none" w:sz="0" w:space="0" w:color="auto"/>
        <w:bottom w:val="none" w:sz="0" w:space="0" w:color="auto"/>
        <w:right w:val="none" w:sz="0" w:space="0" w:color="auto"/>
      </w:divBdr>
      <w:divsChild>
        <w:div w:id="1695231749">
          <w:marLeft w:val="0"/>
          <w:marRight w:val="0"/>
          <w:marTop w:val="180"/>
          <w:marBottom w:val="0"/>
          <w:divBdr>
            <w:top w:val="none" w:sz="0" w:space="0" w:color="auto"/>
            <w:left w:val="none" w:sz="0" w:space="0" w:color="auto"/>
            <w:bottom w:val="none" w:sz="0" w:space="0" w:color="auto"/>
            <w:right w:val="none" w:sz="0" w:space="0" w:color="auto"/>
          </w:divBdr>
        </w:div>
        <w:div w:id="659233522">
          <w:marLeft w:val="0"/>
          <w:marRight w:val="0"/>
          <w:marTop w:val="0"/>
          <w:marBottom w:val="180"/>
          <w:divBdr>
            <w:top w:val="none" w:sz="0" w:space="0" w:color="auto"/>
            <w:left w:val="none" w:sz="0" w:space="0" w:color="auto"/>
            <w:bottom w:val="none" w:sz="0" w:space="0" w:color="auto"/>
            <w:right w:val="none" w:sz="0" w:space="0" w:color="auto"/>
          </w:divBdr>
          <w:divsChild>
            <w:div w:id="1021782614">
              <w:marLeft w:val="0"/>
              <w:marRight w:val="0"/>
              <w:marTop w:val="0"/>
              <w:marBottom w:val="0"/>
              <w:divBdr>
                <w:top w:val="none" w:sz="0" w:space="0" w:color="auto"/>
                <w:left w:val="none" w:sz="0" w:space="0" w:color="auto"/>
                <w:bottom w:val="none" w:sz="0" w:space="0" w:color="auto"/>
                <w:right w:val="none" w:sz="0" w:space="0" w:color="auto"/>
              </w:divBdr>
              <w:divsChild>
                <w:div w:id="1158182331">
                  <w:marLeft w:val="0"/>
                  <w:marRight w:val="0"/>
                  <w:marTop w:val="0"/>
                  <w:marBottom w:val="0"/>
                  <w:divBdr>
                    <w:top w:val="none" w:sz="0" w:space="0" w:color="auto"/>
                    <w:left w:val="none" w:sz="0" w:space="0" w:color="auto"/>
                    <w:bottom w:val="none" w:sz="0" w:space="0" w:color="auto"/>
                    <w:right w:val="none" w:sz="0" w:space="0" w:color="auto"/>
                  </w:divBdr>
                  <w:divsChild>
                    <w:div w:id="18017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4825">
          <w:marLeft w:val="0"/>
          <w:marRight w:val="0"/>
          <w:marTop w:val="0"/>
          <w:marBottom w:val="0"/>
          <w:divBdr>
            <w:top w:val="none" w:sz="0" w:space="0" w:color="auto"/>
            <w:left w:val="none" w:sz="0" w:space="0" w:color="auto"/>
            <w:bottom w:val="none" w:sz="0" w:space="0" w:color="auto"/>
            <w:right w:val="none" w:sz="0" w:space="0" w:color="auto"/>
          </w:divBdr>
          <w:divsChild>
            <w:div w:id="700783989">
              <w:marLeft w:val="0"/>
              <w:marRight w:val="0"/>
              <w:marTop w:val="240"/>
              <w:marBottom w:val="0"/>
              <w:divBdr>
                <w:top w:val="none" w:sz="0" w:space="0" w:color="auto"/>
                <w:left w:val="none" w:sz="0" w:space="0" w:color="auto"/>
                <w:bottom w:val="none" w:sz="0" w:space="0" w:color="auto"/>
                <w:right w:val="none" w:sz="0" w:space="0" w:color="auto"/>
              </w:divBdr>
              <w:divsChild>
                <w:div w:id="903954464">
                  <w:marLeft w:val="0"/>
                  <w:marRight w:val="0"/>
                  <w:marTop w:val="0"/>
                  <w:marBottom w:val="0"/>
                  <w:divBdr>
                    <w:top w:val="none" w:sz="0" w:space="0" w:color="auto"/>
                    <w:left w:val="none" w:sz="0" w:space="0" w:color="auto"/>
                    <w:bottom w:val="none" w:sz="0" w:space="0" w:color="auto"/>
                    <w:right w:val="none" w:sz="0" w:space="0" w:color="auto"/>
                  </w:divBdr>
                </w:div>
                <w:div w:id="516702223">
                  <w:marLeft w:val="0"/>
                  <w:marRight w:val="0"/>
                  <w:marTop w:val="0"/>
                  <w:marBottom w:val="0"/>
                  <w:divBdr>
                    <w:top w:val="none" w:sz="0" w:space="0" w:color="auto"/>
                    <w:left w:val="none" w:sz="0" w:space="0" w:color="auto"/>
                    <w:bottom w:val="none" w:sz="0" w:space="0" w:color="auto"/>
                    <w:right w:val="none" w:sz="0" w:space="0" w:color="auto"/>
                  </w:divBdr>
                </w:div>
                <w:div w:id="316150171">
                  <w:marLeft w:val="0"/>
                  <w:marRight w:val="0"/>
                  <w:marTop w:val="0"/>
                  <w:marBottom w:val="0"/>
                  <w:divBdr>
                    <w:top w:val="none" w:sz="0" w:space="0" w:color="auto"/>
                    <w:left w:val="none" w:sz="0" w:space="0" w:color="auto"/>
                    <w:bottom w:val="none" w:sz="0" w:space="0" w:color="auto"/>
                    <w:right w:val="none" w:sz="0" w:space="0" w:color="auto"/>
                  </w:divBdr>
                </w:div>
                <w:div w:id="19006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vies@brookes.ac.uk"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rd.org/resources/drinking-guidelines-general-popul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7.png"/><Relationship Id="rId10" Type="http://schemas.openxmlformats.org/officeDocument/2006/relationships/hyperlink" Target="http://dx.doi.org/10.1016/j.addbeh.2017.06.019"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doi.org/10.1080/08870446.2019.1616087" TargetMode="External"/><Relationship Id="rId14" Type="http://schemas.openxmlformats.org/officeDocument/2006/relationships/chart" Target="charts/chart1.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0019559\Dropbox\Global%20Drug%20Survey\Levels%20of%20intoxication\Analyses\Analyses%20for%20revised%20paper\New%20figures%201-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0019559\Dropbox\Global%20Drug%20Survey\Levels%20of%20intoxication\Analyses\Analyses%20for%20revised%20paper\New%20figures%201-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p0019559\Dropbox\Global%20Drug%20Survey\Levels%20of%20intoxication\Analyses\Analyses%20for%20revised%20paper\New%20figures%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Feel!$D$4</c:f>
              <c:strCache>
                <c:ptCount val="1"/>
                <c:pt idx="0">
                  <c:v>Male</c:v>
                </c:pt>
              </c:strCache>
            </c:strRef>
          </c:tx>
          <c:invertIfNegative val="0"/>
          <c:errBars>
            <c:errBarType val="both"/>
            <c:errValType val="cust"/>
            <c:noEndCap val="0"/>
            <c:plus>
              <c:numRef>
                <c:f>Feel!$G$5:$G$26</c:f>
                <c:numCache>
                  <c:formatCode>General</c:formatCode>
                  <c:ptCount val="22"/>
                  <c:pt idx="0">
                    <c:v>2.1239400000000002</c:v>
                  </c:pt>
                  <c:pt idx="1">
                    <c:v>0.64539999999999997</c:v>
                  </c:pt>
                  <c:pt idx="2">
                    <c:v>0.46898000000000001</c:v>
                  </c:pt>
                  <c:pt idx="3">
                    <c:v>0.68983000000000005</c:v>
                  </c:pt>
                  <c:pt idx="4">
                    <c:v>1.0359499999999999</c:v>
                  </c:pt>
                  <c:pt idx="5">
                    <c:v>0.68830000000000002</c:v>
                  </c:pt>
                  <c:pt idx="6">
                    <c:v>0.74060000000000004</c:v>
                  </c:pt>
                  <c:pt idx="7">
                    <c:v>1.28531</c:v>
                  </c:pt>
                  <c:pt idx="8">
                    <c:v>0.32463999999999998</c:v>
                  </c:pt>
                  <c:pt idx="9">
                    <c:v>0.49075999999999997</c:v>
                  </c:pt>
                  <c:pt idx="10">
                    <c:v>0.42122999999999999</c:v>
                  </c:pt>
                  <c:pt idx="11">
                    <c:v>0.30528</c:v>
                  </c:pt>
                  <c:pt idx="12">
                    <c:v>1.7654300000000001</c:v>
                  </c:pt>
                  <c:pt idx="13">
                    <c:v>0.104</c:v>
                  </c:pt>
                  <c:pt idx="14">
                    <c:v>0.41638999999999998</c:v>
                  </c:pt>
                  <c:pt idx="15">
                    <c:v>1.4523200000000001</c:v>
                  </c:pt>
                  <c:pt idx="16">
                    <c:v>0.85851</c:v>
                  </c:pt>
                  <c:pt idx="17">
                    <c:v>1.0496000000000001</c:v>
                  </c:pt>
                  <c:pt idx="18">
                    <c:v>0.44530999999999998</c:v>
                  </c:pt>
                  <c:pt idx="19">
                    <c:v>0.99887999999999999</c:v>
                  </c:pt>
                  <c:pt idx="20">
                    <c:v>0.61</c:v>
                  </c:pt>
                  <c:pt idx="21">
                    <c:v>0.14362</c:v>
                  </c:pt>
                </c:numCache>
              </c:numRef>
            </c:plus>
            <c:minus>
              <c:numLit>
                <c:formatCode>General</c:formatCode>
                <c:ptCount val="1"/>
                <c:pt idx="0">
                  <c:v>1</c:v>
                </c:pt>
              </c:numLit>
            </c:minus>
          </c:errBars>
          <c:cat>
            <c:strRef>
              <c:f>Feel!$B$5:$B$26</c:f>
              <c:strCache>
                <c:ptCount val="22"/>
                <c:pt idx="0">
                  <c:v>Greece</c:v>
                </c:pt>
                <c:pt idx="1">
                  <c:v>Brazil</c:v>
                </c:pt>
                <c:pt idx="2">
                  <c:v>Netherlands</c:v>
                </c:pt>
                <c:pt idx="3">
                  <c:v>Republic of Ireland</c:v>
                </c:pt>
                <c:pt idx="4">
                  <c:v>Portugal</c:v>
                </c:pt>
                <c:pt idx="5">
                  <c:v>New Zealand</c:v>
                </c:pt>
                <c:pt idx="6">
                  <c:v>Belgium</c:v>
                </c:pt>
                <c:pt idx="7">
                  <c:v>Denmark</c:v>
                </c:pt>
                <c:pt idx="8">
                  <c:v>United Kingdom</c:v>
                </c:pt>
                <c:pt idx="9">
                  <c:v>Australia</c:v>
                </c:pt>
                <c:pt idx="10">
                  <c:v>Hungary</c:v>
                </c:pt>
                <c:pt idx="11">
                  <c:v>France</c:v>
                </c:pt>
                <c:pt idx="12">
                  <c:v>Poland</c:v>
                </c:pt>
                <c:pt idx="13">
                  <c:v>Global</c:v>
                </c:pt>
                <c:pt idx="14">
                  <c:v>Switzerland</c:v>
                </c:pt>
                <c:pt idx="15">
                  <c:v>Italy</c:v>
                </c:pt>
                <c:pt idx="16">
                  <c:v>Spain</c:v>
                </c:pt>
                <c:pt idx="17">
                  <c:v>Canada</c:v>
                </c:pt>
                <c:pt idx="18">
                  <c:v>United States</c:v>
                </c:pt>
                <c:pt idx="19">
                  <c:v>Sweden</c:v>
                </c:pt>
                <c:pt idx="20">
                  <c:v>Austria</c:v>
                </c:pt>
                <c:pt idx="21">
                  <c:v>Germany</c:v>
                </c:pt>
              </c:strCache>
            </c:strRef>
          </c:cat>
          <c:val>
            <c:numRef>
              <c:f>Feel!$D$5:$D$26</c:f>
              <c:numCache>
                <c:formatCode>General</c:formatCode>
                <c:ptCount val="22"/>
                <c:pt idx="0">
                  <c:v>51.26</c:v>
                </c:pt>
                <c:pt idx="1">
                  <c:v>49.57</c:v>
                </c:pt>
                <c:pt idx="2">
                  <c:v>48.11</c:v>
                </c:pt>
                <c:pt idx="3">
                  <c:v>49.42</c:v>
                </c:pt>
                <c:pt idx="4">
                  <c:v>46.04</c:v>
                </c:pt>
                <c:pt idx="5">
                  <c:v>46.43</c:v>
                </c:pt>
                <c:pt idx="6">
                  <c:v>43.7</c:v>
                </c:pt>
                <c:pt idx="7">
                  <c:v>41.2</c:v>
                </c:pt>
                <c:pt idx="8">
                  <c:v>40.43</c:v>
                </c:pt>
                <c:pt idx="9">
                  <c:v>40.200000000000003</c:v>
                </c:pt>
                <c:pt idx="10">
                  <c:v>39.65</c:v>
                </c:pt>
                <c:pt idx="11">
                  <c:v>37.79</c:v>
                </c:pt>
                <c:pt idx="12">
                  <c:v>37.61</c:v>
                </c:pt>
                <c:pt idx="13">
                  <c:v>38.51</c:v>
                </c:pt>
                <c:pt idx="14">
                  <c:v>37.79</c:v>
                </c:pt>
                <c:pt idx="15">
                  <c:v>35.619999999999997</c:v>
                </c:pt>
                <c:pt idx="16">
                  <c:v>36.409999999999997</c:v>
                </c:pt>
                <c:pt idx="17">
                  <c:v>36.619999999999997</c:v>
                </c:pt>
                <c:pt idx="18">
                  <c:v>34.880000000000003</c:v>
                </c:pt>
                <c:pt idx="19">
                  <c:v>33.68</c:v>
                </c:pt>
                <c:pt idx="20">
                  <c:v>33.01</c:v>
                </c:pt>
                <c:pt idx="21">
                  <c:v>32.92</c:v>
                </c:pt>
              </c:numCache>
            </c:numRef>
          </c:val>
          <c:extLst>
            <c:ext xmlns:c16="http://schemas.microsoft.com/office/drawing/2014/chart" uri="{C3380CC4-5D6E-409C-BE32-E72D297353CC}">
              <c16:uniqueId val="{00000000-61D9-4A13-B53E-61EF4187DFE2}"/>
            </c:ext>
          </c:extLst>
        </c:ser>
        <c:ser>
          <c:idx val="2"/>
          <c:order val="2"/>
          <c:tx>
            <c:strRef>
              <c:f>Feel!$E$4</c:f>
              <c:strCache>
                <c:ptCount val="1"/>
                <c:pt idx="0">
                  <c:v>Female</c:v>
                </c:pt>
              </c:strCache>
            </c:strRef>
          </c:tx>
          <c:invertIfNegative val="0"/>
          <c:errBars>
            <c:errBarType val="both"/>
            <c:errValType val="cust"/>
            <c:noEndCap val="0"/>
            <c:plus>
              <c:numRef>
                <c:f>Feel!$H$5:$H$26</c:f>
                <c:numCache>
                  <c:formatCode>General</c:formatCode>
                  <c:ptCount val="22"/>
                  <c:pt idx="0">
                    <c:v>1.93126</c:v>
                  </c:pt>
                  <c:pt idx="1">
                    <c:v>0.68562999999999996</c:v>
                  </c:pt>
                  <c:pt idx="2">
                    <c:v>0.48958000000000002</c:v>
                  </c:pt>
                  <c:pt idx="3">
                    <c:v>0.68740000000000001</c:v>
                  </c:pt>
                  <c:pt idx="4">
                    <c:v>0.99753999999999998</c:v>
                  </c:pt>
                  <c:pt idx="5">
                    <c:v>0.64454999999999996</c:v>
                  </c:pt>
                  <c:pt idx="6">
                    <c:v>0.86638999999999999</c:v>
                  </c:pt>
                  <c:pt idx="7">
                    <c:v>4.0388999999999999</c:v>
                  </c:pt>
                  <c:pt idx="8">
                    <c:v>0.40765000000000001</c:v>
                  </c:pt>
                  <c:pt idx="9">
                    <c:v>0.60545000000000004</c:v>
                  </c:pt>
                  <c:pt idx="10">
                    <c:v>0.63254999999999995</c:v>
                  </c:pt>
                  <c:pt idx="11">
                    <c:v>0.34259000000000001</c:v>
                  </c:pt>
                  <c:pt idx="12">
                    <c:v>2.0487600000000001</c:v>
                  </c:pt>
                  <c:pt idx="13">
                    <c:v>0.126</c:v>
                  </c:pt>
                  <c:pt idx="14">
                    <c:v>0.55498999999999998</c:v>
                  </c:pt>
                  <c:pt idx="15">
                    <c:v>2.4664700000000002</c:v>
                  </c:pt>
                  <c:pt idx="16">
                    <c:v>1.3499699999999999</c:v>
                  </c:pt>
                  <c:pt idx="17">
                    <c:v>0.70840999999999998</c:v>
                  </c:pt>
                  <c:pt idx="18">
                    <c:v>0.34731000000000001</c:v>
                  </c:pt>
                  <c:pt idx="19">
                    <c:v>1.4052199999999999</c:v>
                  </c:pt>
                  <c:pt idx="20">
                    <c:v>0.67928999999999995</c:v>
                  </c:pt>
                  <c:pt idx="21">
                    <c:v>0.19070999999999999</c:v>
                  </c:pt>
                </c:numCache>
              </c:numRef>
            </c:plus>
            <c:minus>
              <c:numLit>
                <c:formatCode>General</c:formatCode>
                <c:ptCount val="1"/>
                <c:pt idx="0">
                  <c:v>1</c:v>
                </c:pt>
              </c:numLit>
            </c:minus>
          </c:errBars>
          <c:cat>
            <c:strRef>
              <c:f>Feel!$B$5:$B$26</c:f>
              <c:strCache>
                <c:ptCount val="22"/>
                <c:pt idx="0">
                  <c:v>Greece</c:v>
                </c:pt>
                <c:pt idx="1">
                  <c:v>Brazil</c:v>
                </c:pt>
                <c:pt idx="2">
                  <c:v>Netherlands</c:v>
                </c:pt>
                <c:pt idx="3">
                  <c:v>Republic of Ireland</c:v>
                </c:pt>
                <c:pt idx="4">
                  <c:v>Portugal</c:v>
                </c:pt>
                <c:pt idx="5">
                  <c:v>New Zealand</c:v>
                </c:pt>
                <c:pt idx="6">
                  <c:v>Belgium</c:v>
                </c:pt>
                <c:pt idx="7">
                  <c:v>Denmark</c:v>
                </c:pt>
                <c:pt idx="8">
                  <c:v>United Kingdom</c:v>
                </c:pt>
                <c:pt idx="9">
                  <c:v>Australia</c:v>
                </c:pt>
                <c:pt idx="10">
                  <c:v>Hungary</c:v>
                </c:pt>
                <c:pt idx="11">
                  <c:v>France</c:v>
                </c:pt>
                <c:pt idx="12">
                  <c:v>Poland</c:v>
                </c:pt>
                <c:pt idx="13">
                  <c:v>Global</c:v>
                </c:pt>
                <c:pt idx="14">
                  <c:v>Switzerland</c:v>
                </c:pt>
                <c:pt idx="15">
                  <c:v>Italy</c:v>
                </c:pt>
                <c:pt idx="16">
                  <c:v>Spain</c:v>
                </c:pt>
                <c:pt idx="17">
                  <c:v>Canada</c:v>
                </c:pt>
                <c:pt idx="18">
                  <c:v>United States</c:v>
                </c:pt>
                <c:pt idx="19">
                  <c:v>Sweden</c:v>
                </c:pt>
                <c:pt idx="20">
                  <c:v>Austria</c:v>
                </c:pt>
                <c:pt idx="21">
                  <c:v>Germany</c:v>
                </c:pt>
              </c:strCache>
            </c:strRef>
          </c:cat>
          <c:val>
            <c:numRef>
              <c:f>Feel!$E$5:$E$26</c:f>
              <c:numCache>
                <c:formatCode>General</c:formatCode>
                <c:ptCount val="22"/>
                <c:pt idx="0">
                  <c:v>37.06</c:v>
                </c:pt>
                <c:pt idx="1">
                  <c:v>43.65</c:v>
                </c:pt>
                <c:pt idx="2">
                  <c:v>42.49</c:v>
                </c:pt>
                <c:pt idx="3">
                  <c:v>39.76</c:v>
                </c:pt>
                <c:pt idx="4">
                  <c:v>35.130000000000003</c:v>
                </c:pt>
                <c:pt idx="5">
                  <c:v>36.299999999999997</c:v>
                </c:pt>
                <c:pt idx="6">
                  <c:v>36.31</c:v>
                </c:pt>
                <c:pt idx="7">
                  <c:v>36.75</c:v>
                </c:pt>
                <c:pt idx="8">
                  <c:v>34</c:v>
                </c:pt>
                <c:pt idx="9">
                  <c:v>33.369999999999997</c:v>
                </c:pt>
                <c:pt idx="10">
                  <c:v>32.700000000000003</c:v>
                </c:pt>
                <c:pt idx="11">
                  <c:v>34.99</c:v>
                </c:pt>
                <c:pt idx="12">
                  <c:v>33.92</c:v>
                </c:pt>
                <c:pt idx="13">
                  <c:v>33.14</c:v>
                </c:pt>
                <c:pt idx="14">
                  <c:v>32.31</c:v>
                </c:pt>
                <c:pt idx="15">
                  <c:v>34.67</c:v>
                </c:pt>
                <c:pt idx="16">
                  <c:v>32.61</c:v>
                </c:pt>
                <c:pt idx="17">
                  <c:v>33.57</c:v>
                </c:pt>
                <c:pt idx="18">
                  <c:v>33.17</c:v>
                </c:pt>
                <c:pt idx="19">
                  <c:v>28.04</c:v>
                </c:pt>
                <c:pt idx="20">
                  <c:v>26.32</c:v>
                </c:pt>
                <c:pt idx="21">
                  <c:v>25.26</c:v>
                </c:pt>
              </c:numCache>
            </c:numRef>
          </c:val>
          <c:extLst>
            <c:ext xmlns:c16="http://schemas.microsoft.com/office/drawing/2014/chart" uri="{C3380CC4-5D6E-409C-BE32-E72D297353CC}">
              <c16:uniqueId val="{00000001-61D9-4A13-B53E-61EF4187DFE2}"/>
            </c:ext>
          </c:extLst>
        </c:ser>
        <c:dLbls>
          <c:showLegendKey val="0"/>
          <c:showVal val="0"/>
          <c:showCatName val="0"/>
          <c:showSerName val="0"/>
          <c:showPercent val="0"/>
          <c:showBubbleSize val="0"/>
        </c:dLbls>
        <c:gapWidth val="150"/>
        <c:axId val="57696256"/>
        <c:axId val="60329344"/>
      </c:barChart>
      <c:lineChart>
        <c:grouping val="standard"/>
        <c:varyColors val="0"/>
        <c:ser>
          <c:idx val="0"/>
          <c:order val="0"/>
          <c:tx>
            <c:strRef>
              <c:f>Feel!$C$4</c:f>
              <c:strCache>
                <c:ptCount val="1"/>
                <c:pt idx="0">
                  <c:v>All</c:v>
                </c:pt>
              </c:strCache>
            </c:strRef>
          </c:tx>
          <c:marker>
            <c:symbol val="none"/>
          </c:marker>
          <c:cat>
            <c:strRef>
              <c:f>Feel!$B$5:$B$26</c:f>
              <c:strCache>
                <c:ptCount val="22"/>
                <c:pt idx="0">
                  <c:v>Greece</c:v>
                </c:pt>
                <c:pt idx="1">
                  <c:v>Brazil</c:v>
                </c:pt>
                <c:pt idx="2">
                  <c:v>Netherlands</c:v>
                </c:pt>
                <c:pt idx="3">
                  <c:v>Republic of Ireland</c:v>
                </c:pt>
                <c:pt idx="4">
                  <c:v>Portugal</c:v>
                </c:pt>
                <c:pt idx="5">
                  <c:v>New Zealand</c:v>
                </c:pt>
                <c:pt idx="6">
                  <c:v>Belgium</c:v>
                </c:pt>
                <c:pt idx="7">
                  <c:v>Denmark</c:v>
                </c:pt>
                <c:pt idx="8">
                  <c:v>United Kingdom</c:v>
                </c:pt>
                <c:pt idx="9">
                  <c:v>Australia</c:v>
                </c:pt>
                <c:pt idx="10">
                  <c:v>Hungary</c:v>
                </c:pt>
                <c:pt idx="11">
                  <c:v>France</c:v>
                </c:pt>
                <c:pt idx="12">
                  <c:v>Poland</c:v>
                </c:pt>
                <c:pt idx="13">
                  <c:v>Global</c:v>
                </c:pt>
                <c:pt idx="14">
                  <c:v>Switzerland</c:v>
                </c:pt>
                <c:pt idx="15">
                  <c:v>Italy</c:v>
                </c:pt>
                <c:pt idx="16">
                  <c:v>Spain</c:v>
                </c:pt>
                <c:pt idx="17">
                  <c:v>Canada</c:v>
                </c:pt>
                <c:pt idx="18">
                  <c:v>United States</c:v>
                </c:pt>
                <c:pt idx="19">
                  <c:v>Sweden</c:v>
                </c:pt>
                <c:pt idx="20">
                  <c:v>Austria</c:v>
                </c:pt>
                <c:pt idx="21">
                  <c:v>Germany</c:v>
                </c:pt>
              </c:strCache>
            </c:strRef>
          </c:cat>
          <c:val>
            <c:numRef>
              <c:f>Feel!$C$5:$C$26</c:f>
              <c:numCache>
                <c:formatCode>General</c:formatCode>
                <c:ptCount val="22"/>
                <c:pt idx="0">
                  <c:v>48.61</c:v>
                </c:pt>
                <c:pt idx="1">
                  <c:v>47.1</c:v>
                </c:pt>
                <c:pt idx="2">
                  <c:v>45.7</c:v>
                </c:pt>
                <c:pt idx="3">
                  <c:v>44.89</c:v>
                </c:pt>
                <c:pt idx="4">
                  <c:v>42.15</c:v>
                </c:pt>
                <c:pt idx="5">
                  <c:v>42.02</c:v>
                </c:pt>
                <c:pt idx="6">
                  <c:v>41.45</c:v>
                </c:pt>
                <c:pt idx="7">
                  <c:v>40.15</c:v>
                </c:pt>
                <c:pt idx="8">
                  <c:v>38.369999999999997</c:v>
                </c:pt>
                <c:pt idx="9">
                  <c:v>37.840000000000003</c:v>
                </c:pt>
                <c:pt idx="10">
                  <c:v>37.78</c:v>
                </c:pt>
                <c:pt idx="11">
                  <c:v>36.72</c:v>
                </c:pt>
                <c:pt idx="12">
                  <c:v>36.69</c:v>
                </c:pt>
                <c:pt idx="13">
                  <c:v>36.56</c:v>
                </c:pt>
                <c:pt idx="14">
                  <c:v>35.86</c:v>
                </c:pt>
                <c:pt idx="15">
                  <c:v>35.340000000000003</c:v>
                </c:pt>
                <c:pt idx="16">
                  <c:v>35.25</c:v>
                </c:pt>
                <c:pt idx="17">
                  <c:v>34.74</c:v>
                </c:pt>
                <c:pt idx="18">
                  <c:v>33.93</c:v>
                </c:pt>
                <c:pt idx="19">
                  <c:v>32.36</c:v>
                </c:pt>
                <c:pt idx="20">
                  <c:v>30.76</c:v>
                </c:pt>
                <c:pt idx="21">
                  <c:v>30.55</c:v>
                </c:pt>
              </c:numCache>
            </c:numRef>
          </c:val>
          <c:smooth val="0"/>
          <c:extLst>
            <c:ext xmlns:c16="http://schemas.microsoft.com/office/drawing/2014/chart" uri="{C3380CC4-5D6E-409C-BE32-E72D297353CC}">
              <c16:uniqueId val="{00000002-61D9-4A13-B53E-61EF4187DFE2}"/>
            </c:ext>
          </c:extLst>
        </c:ser>
        <c:dLbls>
          <c:showLegendKey val="0"/>
          <c:showVal val="0"/>
          <c:showCatName val="0"/>
          <c:showSerName val="0"/>
          <c:showPercent val="0"/>
          <c:showBubbleSize val="0"/>
        </c:dLbls>
        <c:marker val="1"/>
        <c:smooth val="0"/>
        <c:axId val="57696256"/>
        <c:axId val="60329344"/>
      </c:lineChart>
      <c:catAx>
        <c:axId val="57696256"/>
        <c:scaling>
          <c:orientation val="minMax"/>
        </c:scaling>
        <c:delete val="0"/>
        <c:axPos val="b"/>
        <c:numFmt formatCode="General" sourceLinked="0"/>
        <c:majorTickMark val="out"/>
        <c:minorTickMark val="none"/>
        <c:tickLblPos val="nextTo"/>
        <c:txPr>
          <a:bodyPr/>
          <a:lstStyle/>
          <a:p>
            <a:pPr>
              <a:defRPr sz="800"/>
            </a:pPr>
            <a:endParaRPr lang="en-US"/>
          </a:p>
        </c:txPr>
        <c:crossAx val="60329344"/>
        <c:crosses val="autoZero"/>
        <c:auto val="1"/>
        <c:lblAlgn val="ctr"/>
        <c:lblOffset val="100"/>
        <c:noMultiLvlLbl val="0"/>
      </c:catAx>
      <c:valAx>
        <c:axId val="60329344"/>
        <c:scaling>
          <c:orientation val="minMax"/>
          <c:max val="180"/>
        </c:scaling>
        <c:delete val="0"/>
        <c:axPos val="l"/>
        <c:majorGridlines/>
        <c:numFmt formatCode="General" sourceLinked="1"/>
        <c:majorTickMark val="out"/>
        <c:minorTickMark val="none"/>
        <c:tickLblPos val="nextTo"/>
        <c:crossAx val="5769625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Happy!$D$4</c:f>
              <c:strCache>
                <c:ptCount val="1"/>
                <c:pt idx="0">
                  <c:v>Male</c:v>
                </c:pt>
              </c:strCache>
            </c:strRef>
          </c:tx>
          <c:invertIfNegative val="0"/>
          <c:errBars>
            <c:errBarType val="both"/>
            <c:errValType val="cust"/>
            <c:noEndCap val="0"/>
            <c:plus>
              <c:numRef>
                <c:f>Happy!$G$5:$G$26</c:f>
                <c:numCache>
                  <c:formatCode>General</c:formatCode>
                  <c:ptCount val="22"/>
                  <c:pt idx="0">
                    <c:v>0.97516999999999998</c:v>
                  </c:pt>
                  <c:pt idx="1">
                    <c:v>3.0402200000000001</c:v>
                  </c:pt>
                  <c:pt idx="2">
                    <c:v>1.47461</c:v>
                  </c:pt>
                  <c:pt idx="3">
                    <c:v>1.3444700000000001</c:v>
                  </c:pt>
                  <c:pt idx="4">
                    <c:v>1.1641900000000001</c:v>
                  </c:pt>
                  <c:pt idx="5">
                    <c:v>0.67447000000000001</c:v>
                  </c:pt>
                  <c:pt idx="6">
                    <c:v>1.4758899999999999</c:v>
                  </c:pt>
                  <c:pt idx="7">
                    <c:v>1.1136999999999999</c:v>
                  </c:pt>
                  <c:pt idx="8">
                    <c:v>2.9784000000000002</c:v>
                  </c:pt>
                  <c:pt idx="9">
                    <c:v>3.22262</c:v>
                  </c:pt>
                  <c:pt idx="10">
                    <c:v>0.68964999999999999</c:v>
                  </c:pt>
                  <c:pt idx="11">
                    <c:v>2.0617299999999998</c:v>
                  </c:pt>
                  <c:pt idx="12">
                    <c:v>2.0890399999999998</c:v>
                  </c:pt>
                  <c:pt idx="13">
                    <c:v>2.2637100000000001</c:v>
                  </c:pt>
                  <c:pt idx="14">
                    <c:v>0.217</c:v>
                  </c:pt>
                  <c:pt idx="15">
                    <c:v>0.80913000000000002</c:v>
                  </c:pt>
                  <c:pt idx="16">
                    <c:v>0.97645999999999999</c:v>
                  </c:pt>
                  <c:pt idx="17">
                    <c:v>1.59676</c:v>
                  </c:pt>
                  <c:pt idx="18">
                    <c:v>2.5142500000000001</c:v>
                  </c:pt>
                  <c:pt idx="19">
                    <c:v>0.77805999999999997</c:v>
                  </c:pt>
                  <c:pt idx="20">
                    <c:v>0.28871000000000002</c:v>
                  </c:pt>
                  <c:pt idx="21">
                    <c:v>1.1639999999999999</c:v>
                  </c:pt>
                </c:numCache>
              </c:numRef>
            </c:plus>
            <c:minus>
              <c:numLit>
                <c:formatCode>General</c:formatCode>
                <c:ptCount val="1"/>
                <c:pt idx="0">
                  <c:v>1</c:v>
                </c:pt>
              </c:numLit>
            </c:minus>
          </c:errBars>
          <c:cat>
            <c:strRef>
              <c:f>Happy!$B$5:$B$26</c:f>
              <c:strCache>
                <c:ptCount val="22"/>
                <c:pt idx="0">
                  <c:v>Netherlands</c:v>
                </c:pt>
                <c:pt idx="1">
                  <c:v>Denmark</c:v>
                </c:pt>
                <c:pt idx="2">
                  <c:v>New Zealand</c:v>
                </c:pt>
                <c:pt idx="3">
                  <c:v>Republic of Ireland</c:v>
                </c:pt>
                <c:pt idx="4">
                  <c:v>Brazil</c:v>
                </c:pt>
                <c:pt idx="5">
                  <c:v>United Kingdom</c:v>
                </c:pt>
                <c:pt idx="6">
                  <c:v>Belgium</c:v>
                </c:pt>
                <c:pt idx="7">
                  <c:v>Australia</c:v>
                </c:pt>
                <c:pt idx="8">
                  <c:v>Poland</c:v>
                </c:pt>
                <c:pt idx="9">
                  <c:v>Greece</c:v>
                </c:pt>
                <c:pt idx="10">
                  <c:v>France</c:v>
                </c:pt>
                <c:pt idx="11">
                  <c:v>Portugal</c:v>
                </c:pt>
                <c:pt idx="12">
                  <c:v>Canada</c:v>
                </c:pt>
                <c:pt idx="13">
                  <c:v>Sweden</c:v>
                </c:pt>
                <c:pt idx="14">
                  <c:v>Global</c:v>
                </c:pt>
                <c:pt idx="15">
                  <c:v>Hungary</c:v>
                </c:pt>
                <c:pt idx="16">
                  <c:v>United States</c:v>
                </c:pt>
                <c:pt idx="17">
                  <c:v>Spain</c:v>
                </c:pt>
                <c:pt idx="18">
                  <c:v>Italy</c:v>
                </c:pt>
                <c:pt idx="19">
                  <c:v>Switzerland</c:v>
                </c:pt>
                <c:pt idx="20">
                  <c:v>Germany</c:v>
                </c:pt>
                <c:pt idx="21">
                  <c:v>Austria</c:v>
                </c:pt>
              </c:strCache>
            </c:strRef>
          </c:cat>
          <c:val>
            <c:numRef>
              <c:f>Happy!$D$5:$D$26</c:f>
              <c:numCache>
                <c:formatCode>General</c:formatCode>
                <c:ptCount val="22"/>
                <c:pt idx="0">
                  <c:v>116.22</c:v>
                </c:pt>
                <c:pt idx="1">
                  <c:v>106.33</c:v>
                </c:pt>
                <c:pt idx="2">
                  <c:v>112.11</c:v>
                </c:pt>
                <c:pt idx="3">
                  <c:v>109.85</c:v>
                </c:pt>
                <c:pt idx="4">
                  <c:v>103.85</c:v>
                </c:pt>
                <c:pt idx="5">
                  <c:v>99.74</c:v>
                </c:pt>
                <c:pt idx="6">
                  <c:v>99.72</c:v>
                </c:pt>
                <c:pt idx="7">
                  <c:v>99.8</c:v>
                </c:pt>
                <c:pt idx="8">
                  <c:v>95.29</c:v>
                </c:pt>
                <c:pt idx="9">
                  <c:v>93.55</c:v>
                </c:pt>
                <c:pt idx="10">
                  <c:v>90.56</c:v>
                </c:pt>
                <c:pt idx="11">
                  <c:v>93.26</c:v>
                </c:pt>
                <c:pt idx="12">
                  <c:v>93.52</c:v>
                </c:pt>
                <c:pt idx="13">
                  <c:v>89.31</c:v>
                </c:pt>
                <c:pt idx="14">
                  <c:v>87.55</c:v>
                </c:pt>
                <c:pt idx="15">
                  <c:v>85.23</c:v>
                </c:pt>
                <c:pt idx="16">
                  <c:v>87.06</c:v>
                </c:pt>
                <c:pt idx="17">
                  <c:v>80.819999999999993</c:v>
                </c:pt>
                <c:pt idx="18">
                  <c:v>76.599999999999994</c:v>
                </c:pt>
                <c:pt idx="19">
                  <c:v>80.05</c:v>
                </c:pt>
                <c:pt idx="20">
                  <c:v>70.709999999999994</c:v>
                </c:pt>
                <c:pt idx="21">
                  <c:v>69.989999999999995</c:v>
                </c:pt>
              </c:numCache>
            </c:numRef>
          </c:val>
          <c:extLst>
            <c:ext xmlns:c16="http://schemas.microsoft.com/office/drawing/2014/chart" uri="{C3380CC4-5D6E-409C-BE32-E72D297353CC}">
              <c16:uniqueId val="{00000000-1792-437B-8ECA-7352C2CCB79D}"/>
            </c:ext>
          </c:extLst>
        </c:ser>
        <c:ser>
          <c:idx val="2"/>
          <c:order val="2"/>
          <c:tx>
            <c:strRef>
              <c:f>Happy!$E$4</c:f>
              <c:strCache>
                <c:ptCount val="1"/>
                <c:pt idx="0">
                  <c:v>Female</c:v>
                </c:pt>
              </c:strCache>
            </c:strRef>
          </c:tx>
          <c:invertIfNegative val="0"/>
          <c:errBars>
            <c:errBarType val="both"/>
            <c:errValType val="cust"/>
            <c:noEndCap val="0"/>
            <c:plus>
              <c:numRef>
                <c:f>Happy!$H$5:$H$26</c:f>
                <c:numCache>
                  <c:formatCode>General</c:formatCode>
                  <c:ptCount val="22"/>
                  <c:pt idx="0">
                    <c:v>0.98082999999999998</c:v>
                  </c:pt>
                  <c:pt idx="1">
                    <c:v>5.5783399999999999</c:v>
                  </c:pt>
                  <c:pt idx="2">
                    <c:v>1.22899</c:v>
                  </c:pt>
                  <c:pt idx="3">
                    <c:v>1.1901299999999999</c:v>
                  </c:pt>
                  <c:pt idx="4">
                    <c:v>1.18818</c:v>
                  </c:pt>
                  <c:pt idx="5">
                    <c:v>0.83176000000000005</c:v>
                  </c:pt>
                  <c:pt idx="6">
                    <c:v>1.5056799999999999</c:v>
                  </c:pt>
                  <c:pt idx="7">
                    <c:v>1.3319300000000001</c:v>
                  </c:pt>
                  <c:pt idx="8">
                    <c:v>5.1373600000000001</c:v>
                  </c:pt>
                  <c:pt idx="9">
                    <c:v>3.52644</c:v>
                  </c:pt>
                  <c:pt idx="10">
                    <c:v>0.66205000000000003</c:v>
                  </c:pt>
                  <c:pt idx="11">
                    <c:v>1.91184</c:v>
                  </c:pt>
                  <c:pt idx="12">
                    <c:v>1.5081100000000001</c:v>
                  </c:pt>
                  <c:pt idx="13">
                    <c:v>3.4316300000000002</c:v>
                  </c:pt>
                  <c:pt idx="14">
                    <c:v>0.249</c:v>
                  </c:pt>
                  <c:pt idx="15">
                    <c:v>1.0912999999999999</c:v>
                  </c:pt>
                  <c:pt idx="16">
                    <c:v>0.69925999999999999</c:v>
                  </c:pt>
                  <c:pt idx="17">
                    <c:v>2.32097</c:v>
                  </c:pt>
                  <c:pt idx="18">
                    <c:v>4.4114899999999997</c:v>
                  </c:pt>
                  <c:pt idx="19">
                    <c:v>1.00369</c:v>
                  </c:pt>
                  <c:pt idx="20">
                    <c:v>0.36357</c:v>
                  </c:pt>
                  <c:pt idx="21">
                    <c:v>1.30572</c:v>
                  </c:pt>
                </c:numCache>
              </c:numRef>
            </c:plus>
            <c:minus>
              <c:numLit>
                <c:formatCode>General</c:formatCode>
                <c:ptCount val="1"/>
                <c:pt idx="0">
                  <c:v>1</c:v>
                </c:pt>
              </c:numLit>
            </c:minus>
          </c:errBars>
          <c:cat>
            <c:strRef>
              <c:f>Happy!$B$5:$B$26</c:f>
              <c:strCache>
                <c:ptCount val="22"/>
                <c:pt idx="0">
                  <c:v>Netherlands</c:v>
                </c:pt>
                <c:pt idx="1">
                  <c:v>Denmark</c:v>
                </c:pt>
                <c:pt idx="2">
                  <c:v>New Zealand</c:v>
                </c:pt>
                <c:pt idx="3">
                  <c:v>Republic of Ireland</c:v>
                </c:pt>
                <c:pt idx="4">
                  <c:v>Brazil</c:v>
                </c:pt>
                <c:pt idx="5">
                  <c:v>United Kingdom</c:v>
                </c:pt>
                <c:pt idx="6">
                  <c:v>Belgium</c:v>
                </c:pt>
                <c:pt idx="7">
                  <c:v>Australia</c:v>
                </c:pt>
                <c:pt idx="8">
                  <c:v>Poland</c:v>
                </c:pt>
                <c:pt idx="9">
                  <c:v>Greece</c:v>
                </c:pt>
                <c:pt idx="10">
                  <c:v>France</c:v>
                </c:pt>
                <c:pt idx="11">
                  <c:v>Portugal</c:v>
                </c:pt>
                <c:pt idx="12">
                  <c:v>Canada</c:v>
                </c:pt>
                <c:pt idx="13">
                  <c:v>Sweden</c:v>
                </c:pt>
                <c:pt idx="14">
                  <c:v>Global</c:v>
                </c:pt>
                <c:pt idx="15">
                  <c:v>Hungary</c:v>
                </c:pt>
                <c:pt idx="16">
                  <c:v>United States</c:v>
                </c:pt>
                <c:pt idx="17">
                  <c:v>Spain</c:v>
                </c:pt>
                <c:pt idx="18">
                  <c:v>Italy</c:v>
                </c:pt>
                <c:pt idx="19">
                  <c:v>Switzerland</c:v>
                </c:pt>
                <c:pt idx="20">
                  <c:v>Germany</c:v>
                </c:pt>
                <c:pt idx="21">
                  <c:v>Austria</c:v>
                </c:pt>
              </c:strCache>
            </c:strRef>
          </c:cat>
          <c:val>
            <c:numRef>
              <c:f>Happy!$E$5:$E$26</c:f>
              <c:numCache>
                <c:formatCode>General</c:formatCode>
                <c:ptCount val="22"/>
                <c:pt idx="0">
                  <c:v>94.63</c:v>
                </c:pt>
                <c:pt idx="1">
                  <c:v>72.599999999999994</c:v>
                </c:pt>
                <c:pt idx="2">
                  <c:v>79.92</c:v>
                </c:pt>
                <c:pt idx="3">
                  <c:v>84.56</c:v>
                </c:pt>
                <c:pt idx="4">
                  <c:v>84.6</c:v>
                </c:pt>
                <c:pt idx="5">
                  <c:v>79.14</c:v>
                </c:pt>
                <c:pt idx="6">
                  <c:v>75.760000000000005</c:v>
                </c:pt>
                <c:pt idx="7">
                  <c:v>77.22</c:v>
                </c:pt>
                <c:pt idx="8">
                  <c:v>81.209999999999994</c:v>
                </c:pt>
                <c:pt idx="9">
                  <c:v>69.3</c:v>
                </c:pt>
                <c:pt idx="10">
                  <c:v>76.22</c:v>
                </c:pt>
                <c:pt idx="11">
                  <c:v>68.7</c:v>
                </c:pt>
                <c:pt idx="12">
                  <c:v>78.5</c:v>
                </c:pt>
                <c:pt idx="13">
                  <c:v>64.53</c:v>
                </c:pt>
                <c:pt idx="14">
                  <c:v>70.16</c:v>
                </c:pt>
                <c:pt idx="15">
                  <c:v>65.45</c:v>
                </c:pt>
                <c:pt idx="16">
                  <c:v>73.13</c:v>
                </c:pt>
                <c:pt idx="17">
                  <c:v>66.28</c:v>
                </c:pt>
                <c:pt idx="18">
                  <c:v>69.819999999999993</c:v>
                </c:pt>
                <c:pt idx="19">
                  <c:v>62.32</c:v>
                </c:pt>
                <c:pt idx="20">
                  <c:v>49.89</c:v>
                </c:pt>
                <c:pt idx="21">
                  <c:v>51.7</c:v>
                </c:pt>
              </c:numCache>
            </c:numRef>
          </c:val>
          <c:extLst>
            <c:ext xmlns:c16="http://schemas.microsoft.com/office/drawing/2014/chart" uri="{C3380CC4-5D6E-409C-BE32-E72D297353CC}">
              <c16:uniqueId val="{00000001-1792-437B-8ECA-7352C2CCB79D}"/>
            </c:ext>
          </c:extLst>
        </c:ser>
        <c:dLbls>
          <c:showLegendKey val="0"/>
          <c:showVal val="0"/>
          <c:showCatName val="0"/>
          <c:showSerName val="0"/>
          <c:showPercent val="0"/>
          <c:showBubbleSize val="0"/>
        </c:dLbls>
        <c:gapWidth val="150"/>
        <c:axId val="57698304"/>
        <c:axId val="60331072"/>
      </c:barChart>
      <c:lineChart>
        <c:grouping val="standard"/>
        <c:varyColors val="0"/>
        <c:ser>
          <c:idx val="0"/>
          <c:order val="0"/>
          <c:tx>
            <c:strRef>
              <c:f>Happy!$C$4</c:f>
              <c:strCache>
                <c:ptCount val="1"/>
                <c:pt idx="0">
                  <c:v>All</c:v>
                </c:pt>
              </c:strCache>
            </c:strRef>
          </c:tx>
          <c:marker>
            <c:symbol val="none"/>
          </c:marker>
          <c:cat>
            <c:strRef>
              <c:f>Happy!$B$5:$B$26</c:f>
              <c:strCache>
                <c:ptCount val="22"/>
                <c:pt idx="0">
                  <c:v>Netherlands</c:v>
                </c:pt>
                <c:pt idx="1">
                  <c:v>Denmark</c:v>
                </c:pt>
                <c:pt idx="2">
                  <c:v>New Zealand</c:v>
                </c:pt>
                <c:pt idx="3">
                  <c:v>Republic of Ireland</c:v>
                </c:pt>
                <c:pt idx="4">
                  <c:v>Brazil</c:v>
                </c:pt>
                <c:pt idx="5">
                  <c:v>United Kingdom</c:v>
                </c:pt>
                <c:pt idx="6">
                  <c:v>Belgium</c:v>
                </c:pt>
                <c:pt idx="7">
                  <c:v>Australia</c:v>
                </c:pt>
                <c:pt idx="8">
                  <c:v>Poland</c:v>
                </c:pt>
                <c:pt idx="9">
                  <c:v>Greece</c:v>
                </c:pt>
                <c:pt idx="10">
                  <c:v>France</c:v>
                </c:pt>
                <c:pt idx="11">
                  <c:v>Portugal</c:v>
                </c:pt>
                <c:pt idx="12">
                  <c:v>Canada</c:v>
                </c:pt>
                <c:pt idx="13">
                  <c:v>Sweden</c:v>
                </c:pt>
                <c:pt idx="14">
                  <c:v>Global</c:v>
                </c:pt>
                <c:pt idx="15">
                  <c:v>Hungary</c:v>
                </c:pt>
                <c:pt idx="16">
                  <c:v>United States</c:v>
                </c:pt>
                <c:pt idx="17">
                  <c:v>Spain</c:v>
                </c:pt>
                <c:pt idx="18">
                  <c:v>Italy</c:v>
                </c:pt>
                <c:pt idx="19">
                  <c:v>Switzerland</c:v>
                </c:pt>
                <c:pt idx="20">
                  <c:v>Germany</c:v>
                </c:pt>
                <c:pt idx="21">
                  <c:v>Austria</c:v>
                </c:pt>
              </c:strCache>
            </c:strRef>
          </c:cat>
          <c:val>
            <c:numRef>
              <c:f>Happy!$C$5:$C$26</c:f>
              <c:numCache>
                <c:formatCode>General</c:formatCode>
                <c:ptCount val="22"/>
                <c:pt idx="0">
                  <c:v>106.93</c:v>
                </c:pt>
                <c:pt idx="1">
                  <c:v>98.34</c:v>
                </c:pt>
                <c:pt idx="2">
                  <c:v>98.08</c:v>
                </c:pt>
                <c:pt idx="3">
                  <c:v>97.98</c:v>
                </c:pt>
                <c:pt idx="4">
                  <c:v>95.82</c:v>
                </c:pt>
                <c:pt idx="5">
                  <c:v>93.14</c:v>
                </c:pt>
                <c:pt idx="6">
                  <c:v>92.4</c:v>
                </c:pt>
                <c:pt idx="7">
                  <c:v>92.02</c:v>
                </c:pt>
                <c:pt idx="8">
                  <c:v>91.77</c:v>
                </c:pt>
                <c:pt idx="9">
                  <c:v>89.03</c:v>
                </c:pt>
                <c:pt idx="10">
                  <c:v>85.05</c:v>
                </c:pt>
                <c:pt idx="11">
                  <c:v>84.5</c:v>
                </c:pt>
                <c:pt idx="12">
                  <c:v>84.25</c:v>
                </c:pt>
                <c:pt idx="13">
                  <c:v>83.48</c:v>
                </c:pt>
                <c:pt idx="14">
                  <c:v>81.23</c:v>
                </c:pt>
                <c:pt idx="15">
                  <c:v>79.91</c:v>
                </c:pt>
                <c:pt idx="16">
                  <c:v>79.349999999999994</c:v>
                </c:pt>
                <c:pt idx="17">
                  <c:v>76.39</c:v>
                </c:pt>
                <c:pt idx="18">
                  <c:v>74.59</c:v>
                </c:pt>
                <c:pt idx="19">
                  <c:v>73.8</c:v>
                </c:pt>
                <c:pt idx="20">
                  <c:v>64.28</c:v>
                </c:pt>
                <c:pt idx="21">
                  <c:v>63.83</c:v>
                </c:pt>
              </c:numCache>
            </c:numRef>
          </c:val>
          <c:smooth val="0"/>
          <c:extLst>
            <c:ext xmlns:c16="http://schemas.microsoft.com/office/drawing/2014/chart" uri="{C3380CC4-5D6E-409C-BE32-E72D297353CC}">
              <c16:uniqueId val="{00000002-1792-437B-8ECA-7352C2CCB79D}"/>
            </c:ext>
          </c:extLst>
        </c:ser>
        <c:dLbls>
          <c:showLegendKey val="0"/>
          <c:showVal val="0"/>
          <c:showCatName val="0"/>
          <c:showSerName val="0"/>
          <c:showPercent val="0"/>
          <c:showBubbleSize val="0"/>
        </c:dLbls>
        <c:marker val="1"/>
        <c:smooth val="0"/>
        <c:axId val="57698304"/>
        <c:axId val="60331072"/>
      </c:lineChart>
      <c:catAx>
        <c:axId val="57698304"/>
        <c:scaling>
          <c:orientation val="minMax"/>
        </c:scaling>
        <c:delete val="0"/>
        <c:axPos val="b"/>
        <c:numFmt formatCode="General" sourceLinked="0"/>
        <c:majorTickMark val="out"/>
        <c:minorTickMark val="none"/>
        <c:tickLblPos val="nextTo"/>
        <c:txPr>
          <a:bodyPr/>
          <a:lstStyle/>
          <a:p>
            <a:pPr>
              <a:defRPr sz="800"/>
            </a:pPr>
            <a:endParaRPr lang="en-US"/>
          </a:p>
        </c:txPr>
        <c:crossAx val="60331072"/>
        <c:crosses val="autoZero"/>
        <c:auto val="1"/>
        <c:lblAlgn val="ctr"/>
        <c:lblOffset val="100"/>
        <c:noMultiLvlLbl val="0"/>
      </c:catAx>
      <c:valAx>
        <c:axId val="60331072"/>
        <c:scaling>
          <c:orientation val="minMax"/>
          <c:max val="180"/>
        </c:scaling>
        <c:delete val="0"/>
        <c:axPos val="l"/>
        <c:majorGridlines/>
        <c:numFmt formatCode="General" sourceLinked="1"/>
        <c:majorTickMark val="out"/>
        <c:minorTickMark val="none"/>
        <c:tickLblPos val="nextTo"/>
        <c:crossAx val="57698304"/>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Tipping!$D$5</c:f>
              <c:strCache>
                <c:ptCount val="1"/>
                <c:pt idx="0">
                  <c:v>Male</c:v>
                </c:pt>
              </c:strCache>
            </c:strRef>
          </c:tx>
          <c:invertIfNegative val="0"/>
          <c:errBars>
            <c:errBarType val="both"/>
            <c:errValType val="cust"/>
            <c:noEndCap val="0"/>
            <c:plus>
              <c:numRef>
                <c:f>Tipping!$G$6:$G$27</c:f>
                <c:numCache>
                  <c:formatCode>General</c:formatCode>
                  <c:ptCount val="22"/>
                  <c:pt idx="0">
                    <c:v>4.7117399999999998</c:v>
                  </c:pt>
                  <c:pt idx="1">
                    <c:v>1.44095</c:v>
                  </c:pt>
                  <c:pt idx="2">
                    <c:v>2.0012799999999999</c:v>
                  </c:pt>
                  <c:pt idx="3">
                    <c:v>2.2151299999999998</c:v>
                  </c:pt>
                  <c:pt idx="4">
                    <c:v>1.7944800000000001</c:v>
                  </c:pt>
                  <c:pt idx="5">
                    <c:v>2.3308399999999998</c:v>
                  </c:pt>
                  <c:pt idx="6">
                    <c:v>3.6775099999999998</c:v>
                  </c:pt>
                  <c:pt idx="7">
                    <c:v>1.7842100000000001</c:v>
                  </c:pt>
                  <c:pt idx="8">
                    <c:v>4.4351200000000004</c:v>
                  </c:pt>
                  <c:pt idx="9">
                    <c:v>0.99773999999999996</c:v>
                  </c:pt>
                  <c:pt idx="10">
                    <c:v>3.74716</c:v>
                  </c:pt>
                  <c:pt idx="11">
                    <c:v>4.8825000000000003</c:v>
                  </c:pt>
                  <c:pt idx="12">
                    <c:v>1.1135900000000001</c:v>
                  </c:pt>
                  <c:pt idx="13">
                    <c:v>1.3789100000000001</c:v>
                  </c:pt>
                  <c:pt idx="14">
                    <c:v>0.34</c:v>
                  </c:pt>
                  <c:pt idx="15">
                    <c:v>3.2572299999999998</c:v>
                  </c:pt>
                  <c:pt idx="16">
                    <c:v>1.2575099999999999</c:v>
                  </c:pt>
                  <c:pt idx="17">
                    <c:v>3.7660999999999998</c:v>
                  </c:pt>
                  <c:pt idx="18">
                    <c:v>1.41133</c:v>
                  </c:pt>
                  <c:pt idx="19">
                    <c:v>2.3916400000000002</c:v>
                  </c:pt>
                  <c:pt idx="20">
                    <c:v>0.50595999999999997</c:v>
                  </c:pt>
                  <c:pt idx="21">
                    <c:v>1.8517399999999999</c:v>
                  </c:pt>
                </c:numCache>
              </c:numRef>
            </c:plus>
            <c:minus>
              <c:numLit>
                <c:formatCode>General</c:formatCode>
                <c:ptCount val="1"/>
                <c:pt idx="0">
                  <c:v>1</c:v>
                </c:pt>
              </c:numLit>
            </c:minus>
          </c:errBars>
          <c:cat>
            <c:strRef>
              <c:f>Tipping!$B$6:$B$27</c:f>
              <c:strCache>
                <c:ptCount val="22"/>
                <c:pt idx="0">
                  <c:v>Denmark</c:v>
                </c:pt>
                <c:pt idx="1">
                  <c:v>Netherlands</c:v>
                </c:pt>
                <c:pt idx="2">
                  <c:v>Brazil</c:v>
                </c:pt>
                <c:pt idx="3">
                  <c:v>New Zealand</c:v>
                </c:pt>
                <c:pt idx="4">
                  <c:v>Republic of Ireland</c:v>
                </c:pt>
                <c:pt idx="5">
                  <c:v>Belgium</c:v>
                </c:pt>
                <c:pt idx="6">
                  <c:v>Portugal</c:v>
                </c:pt>
                <c:pt idx="7">
                  <c:v>Australia</c:v>
                </c:pt>
                <c:pt idx="8">
                  <c:v>Poland</c:v>
                </c:pt>
                <c:pt idx="9">
                  <c:v>United Kingdom</c:v>
                </c:pt>
                <c:pt idx="10">
                  <c:v>Sweden</c:v>
                </c:pt>
                <c:pt idx="11">
                  <c:v>Greece</c:v>
                </c:pt>
                <c:pt idx="12">
                  <c:v>France</c:v>
                </c:pt>
                <c:pt idx="13">
                  <c:v>Hungary</c:v>
                </c:pt>
                <c:pt idx="14">
                  <c:v>Global</c:v>
                </c:pt>
                <c:pt idx="15">
                  <c:v>Canada</c:v>
                </c:pt>
                <c:pt idx="16">
                  <c:v>Switzerland</c:v>
                </c:pt>
                <c:pt idx="17">
                  <c:v>Italy</c:v>
                </c:pt>
                <c:pt idx="18">
                  <c:v>United States</c:v>
                </c:pt>
                <c:pt idx="19">
                  <c:v>Spain</c:v>
                </c:pt>
                <c:pt idx="20">
                  <c:v>Germany</c:v>
                </c:pt>
                <c:pt idx="21">
                  <c:v>Austria</c:v>
                </c:pt>
              </c:strCache>
            </c:strRef>
          </c:cat>
          <c:val>
            <c:numRef>
              <c:f>Tipping!$D$6:$D$27</c:f>
              <c:numCache>
                <c:formatCode>General</c:formatCode>
                <c:ptCount val="22"/>
                <c:pt idx="0">
                  <c:v>172.4</c:v>
                </c:pt>
                <c:pt idx="1">
                  <c:v>174.66</c:v>
                </c:pt>
                <c:pt idx="2">
                  <c:v>172.26</c:v>
                </c:pt>
                <c:pt idx="3">
                  <c:v>164.89</c:v>
                </c:pt>
                <c:pt idx="4">
                  <c:v>159.11000000000001</c:v>
                </c:pt>
                <c:pt idx="5">
                  <c:v>149.57</c:v>
                </c:pt>
                <c:pt idx="6">
                  <c:v>153.01</c:v>
                </c:pt>
                <c:pt idx="7">
                  <c:v>149.38</c:v>
                </c:pt>
                <c:pt idx="8">
                  <c:v>142.32</c:v>
                </c:pt>
                <c:pt idx="9">
                  <c:v>144.13</c:v>
                </c:pt>
                <c:pt idx="10">
                  <c:v>142.06</c:v>
                </c:pt>
                <c:pt idx="11">
                  <c:v>139.72</c:v>
                </c:pt>
                <c:pt idx="12">
                  <c:v>140.97999999999999</c:v>
                </c:pt>
                <c:pt idx="13">
                  <c:v>137.99</c:v>
                </c:pt>
                <c:pt idx="14">
                  <c:v>138.65</c:v>
                </c:pt>
                <c:pt idx="15">
                  <c:v>137.9</c:v>
                </c:pt>
                <c:pt idx="16">
                  <c:v>129.63999999999999</c:v>
                </c:pt>
                <c:pt idx="17">
                  <c:v>120.99</c:v>
                </c:pt>
                <c:pt idx="18">
                  <c:v>128.84</c:v>
                </c:pt>
                <c:pt idx="19">
                  <c:v>118.17</c:v>
                </c:pt>
                <c:pt idx="20">
                  <c:v>121.73</c:v>
                </c:pt>
                <c:pt idx="21">
                  <c:v>117.42</c:v>
                </c:pt>
              </c:numCache>
            </c:numRef>
          </c:val>
          <c:extLst>
            <c:ext xmlns:c16="http://schemas.microsoft.com/office/drawing/2014/chart" uri="{C3380CC4-5D6E-409C-BE32-E72D297353CC}">
              <c16:uniqueId val="{00000000-DEF5-4BA7-B705-5E13A8B14AE3}"/>
            </c:ext>
          </c:extLst>
        </c:ser>
        <c:ser>
          <c:idx val="2"/>
          <c:order val="2"/>
          <c:tx>
            <c:strRef>
              <c:f>Tipping!$E$5</c:f>
              <c:strCache>
                <c:ptCount val="1"/>
                <c:pt idx="0">
                  <c:v>Female</c:v>
                </c:pt>
              </c:strCache>
            </c:strRef>
          </c:tx>
          <c:invertIfNegative val="0"/>
          <c:errBars>
            <c:errBarType val="both"/>
            <c:errValType val="cust"/>
            <c:noEndCap val="0"/>
            <c:plus>
              <c:numRef>
                <c:f>Tipping!$H$6:$H$27</c:f>
                <c:numCache>
                  <c:formatCode>General</c:formatCode>
                  <c:ptCount val="22"/>
                  <c:pt idx="0">
                    <c:v>7.47105</c:v>
                  </c:pt>
                  <c:pt idx="1">
                    <c:v>1.3933800000000001</c:v>
                  </c:pt>
                  <c:pt idx="2">
                    <c:v>1.92604</c:v>
                  </c:pt>
                  <c:pt idx="3">
                    <c:v>1.66089</c:v>
                  </c:pt>
                  <c:pt idx="4">
                    <c:v>1.5981700000000001</c:v>
                  </c:pt>
                  <c:pt idx="5">
                    <c:v>2.2040799999999998</c:v>
                  </c:pt>
                  <c:pt idx="6">
                    <c:v>3.0810499999999998</c:v>
                  </c:pt>
                  <c:pt idx="7">
                    <c:v>1.98281</c:v>
                  </c:pt>
                  <c:pt idx="8">
                    <c:v>5.9740599999999997</c:v>
                  </c:pt>
                  <c:pt idx="9">
                    <c:v>1.19628</c:v>
                  </c:pt>
                  <c:pt idx="10">
                    <c:v>5.6565099999999999</c:v>
                  </c:pt>
                  <c:pt idx="11">
                    <c:v>6.3532200000000003</c:v>
                  </c:pt>
                  <c:pt idx="12">
                    <c:v>1.14958</c:v>
                  </c:pt>
                  <c:pt idx="13">
                    <c:v>1.7609699999999999</c:v>
                  </c:pt>
                  <c:pt idx="14">
                    <c:v>0.36899999999999999</c:v>
                  </c:pt>
                  <c:pt idx="15">
                    <c:v>2.1234500000000001</c:v>
                  </c:pt>
                  <c:pt idx="16">
                    <c:v>1.6432</c:v>
                  </c:pt>
                  <c:pt idx="17">
                    <c:v>7.0303699999999996</c:v>
                  </c:pt>
                  <c:pt idx="18">
                    <c:v>1.00688</c:v>
                  </c:pt>
                  <c:pt idx="19">
                    <c:v>3.6589499999999999</c:v>
                  </c:pt>
                  <c:pt idx="20">
                    <c:v>0.59258999999999995</c:v>
                  </c:pt>
                  <c:pt idx="21">
                    <c:v>2.1861299999999999</c:v>
                  </c:pt>
                </c:numCache>
              </c:numRef>
            </c:plus>
            <c:minus>
              <c:numLit>
                <c:formatCode>General</c:formatCode>
                <c:ptCount val="1"/>
                <c:pt idx="0">
                  <c:v>1</c:v>
                </c:pt>
              </c:numLit>
            </c:minus>
          </c:errBars>
          <c:cat>
            <c:strRef>
              <c:f>Tipping!$B$6:$B$27</c:f>
              <c:strCache>
                <c:ptCount val="22"/>
                <c:pt idx="0">
                  <c:v>Denmark</c:v>
                </c:pt>
                <c:pt idx="1">
                  <c:v>Netherlands</c:v>
                </c:pt>
                <c:pt idx="2">
                  <c:v>Brazil</c:v>
                </c:pt>
                <c:pt idx="3">
                  <c:v>New Zealand</c:v>
                </c:pt>
                <c:pt idx="4">
                  <c:v>Republic of Ireland</c:v>
                </c:pt>
                <c:pt idx="5">
                  <c:v>Belgium</c:v>
                </c:pt>
                <c:pt idx="6">
                  <c:v>Portugal</c:v>
                </c:pt>
                <c:pt idx="7">
                  <c:v>Australia</c:v>
                </c:pt>
                <c:pt idx="8">
                  <c:v>Poland</c:v>
                </c:pt>
                <c:pt idx="9">
                  <c:v>United Kingdom</c:v>
                </c:pt>
                <c:pt idx="10">
                  <c:v>Sweden</c:v>
                </c:pt>
                <c:pt idx="11">
                  <c:v>Greece</c:v>
                </c:pt>
                <c:pt idx="12">
                  <c:v>France</c:v>
                </c:pt>
                <c:pt idx="13">
                  <c:v>Hungary</c:v>
                </c:pt>
                <c:pt idx="14">
                  <c:v>Global</c:v>
                </c:pt>
                <c:pt idx="15">
                  <c:v>Canada</c:v>
                </c:pt>
                <c:pt idx="16">
                  <c:v>Switzerland</c:v>
                </c:pt>
                <c:pt idx="17">
                  <c:v>Italy</c:v>
                </c:pt>
                <c:pt idx="18">
                  <c:v>United States</c:v>
                </c:pt>
                <c:pt idx="19">
                  <c:v>Spain</c:v>
                </c:pt>
                <c:pt idx="20">
                  <c:v>Germany</c:v>
                </c:pt>
                <c:pt idx="21">
                  <c:v>Austria</c:v>
                </c:pt>
              </c:strCache>
            </c:strRef>
          </c:cat>
          <c:val>
            <c:numRef>
              <c:f>Tipping!$E$6:$E$27</c:f>
              <c:numCache>
                <c:formatCode>General</c:formatCode>
                <c:ptCount val="22"/>
                <c:pt idx="0">
                  <c:v>120.14</c:v>
                </c:pt>
                <c:pt idx="1">
                  <c:v>136.05000000000001</c:v>
                </c:pt>
                <c:pt idx="2">
                  <c:v>133.71</c:v>
                </c:pt>
                <c:pt idx="3">
                  <c:v>112.62</c:v>
                </c:pt>
                <c:pt idx="4">
                  <c:v>119.04</c:v>
                </c:pt>
                <c:pt idx="5">
                  <c:v>109.4</c:v>
                </c:pt>
                <c:pt idx="6">
                  <c:v>108.09</c:v>
                </c:pt>
                <c:pt idx="7">
                  <c:v>109.44</c:v>
                </c:pt>
                <c:pt idx="8">
                  <c:v>112.55</c:v>
                </c:pt>
                <c:pt idx="9">
                  <c:v>113.2</c:v>
                </c:pt>
                <c:pt idx="10">
                  <c:v>102.77</c:v>
                </c:pt>
                <c:pt idx="11">
                  <c:v>99</c:v>
                </c:pt>
                <c:pt idx="12">
                  <c:v>115.74</c:v>
                </c:pt>
                <c:pt idx="13">
                  <c:v>102.65</c:v>
                </c:pt>
                <c:pt idx="14">
                  <c:v>106.54</c:v>
                </c:pt>
                <c:pt idx="15">
                  <c:v>113.77</c:v>
                </c:pt>
                <c:pt idx="16">
                  <c:v>98.22</c:v>
                </c:pt>
                <c:pt idx="17">
                  <c:v>109.26</c:v>
                </c:pt>
                <c:pt idx="18">
                  <c:v>104.94</c:v>
                </c:pt>
                <c:pt idx="19">
                  <c:v>96.19</c:v>
                </c:pt>
                <c:pt idx="20">
                  <c:v>84.53</c:v>
                </c:pt>
                <c:pt idx="21">
                  <c:v>86.98</c:v>
                </c:pt>
              </c:numCache>
            </c:numRef>
          </c:val>
          <c:extLst>
            <c:ext xmlns:c16="http://schemas.microsoft.com/office/drawing/2014/chart" uri="{C3380CC4-5D6E-409C-BE32-E72D297353CC}">
              <c16:uniqueId val="{00000001-DEF5-4BA7-B705-5E13A8B14AE3}"/>
            </c:ext>
          </c:extLst>
        </c:ser>
        <c:dLbls>
          <c:showLegendKey val="0"/>
          <c:showVal val="0"/>
          <c:showCatName val="0"/>
          <c:showSerName val="0"/>
          <c:showPercent val="0"/>
          <c:showBubbleSize val="0"/>
        </c:dLbls>
        <c:gapWidth val="150"/>
        <c:axId val="99358720"/>
        <c:axId val="60332800"/>
      </c:barChart>
      <c:lineChart>
        <c:grouping val="standard"/>
        <c:varyColors val="0"/>
        <c:ser>
          <c:idx val="0"/>
          <c:order val="0"/>
          <c:tx>
            <c:strRef>
              <c:f>Tipping!$C$5</c:f>
              <c:strCache>
                <c:ptCount val="1"/>
                <c:pt idx="0">
                  <c:v>All</c:v>
                </c:pt>
              </c:strCache>
            </c:strRef>
          </c:tx>
          <c:marker>
            <c:symbol val="none"/>
          </c:marker>
          <c:cat>
            <c:strRef>
              <c:f>Tipping!$B$6:$B$27</c:f>
              <c:strCache>
                <c:ptCount val="22"/>
                <c:pt idx="0">
                  <c:v>Denmark</c:v>
                </c:pt>
                <c:pt idx="1">
                  <c:v>Netherlands</c:v>
                </c:pt>
                <c:pt idx="2">
                  <c:v>Brazil</c:v>
                </c:pt>
                <c:pt idx="3">
                  <c:v>New Zealand</c:v>
                </c:pt>
                <c:pt idx="4">
                  <c:v>Republic of Ireland</c:v>
                </c:pt>
                <c:pt idx="5">
                  <c:v>Belgium</c:v>
                </c:pt>
                <c:pt idx="6">
                  <c:v>Portugal</c:v>
                </c:pt>
                <c:pt idx="7">
                  <c:v>Australia</c:v>
                </c:pt>
                <c:pt idx="8">
                  <c:v>Poland</c:v>
                </c:pt>
                <c:pt idx="9">
                  <c:v>United Kingdom</c:v>
                </c:pt>
                <c:pt idx="10">
                  <c:v>Sweden</c:v>
                </c:pt>
                <c:pt idx="11">
                  <c:v>Greece</c:v>
                </c:pt>
                <c:pt idx="12">
                  <c:v>France</c:v>
                </c:pt>
                <c:pt idx="13">
                  <c:v>Hungary</c:v>
                </c:pt>
                <c:pt idx="14">
                  <c:v>Global</c:v>
                </c:pt>
                <c:pt idx="15">
                  <c:v>Canada</c:v>
                </c:pt>
                <c:pt idx="16">
                  <c:v>Switzerland</c:v>
                </c:pt>
                <c:pt idx="17">
                  <c:v>Italy</c:v>
                </c:pt>
                <c:pt idx="18">
                  <c:v>United States</c:v>
                </c:pt>
                <c:pt idx="19">
                  <c:v>Spain</c:v>
                </c:pt>
                <c:pt idx="20">
                  <c:v>Germany</c:v>
                </c:pt>
                <c:pt idx="21">
                  <c:v>Austria</c:v>
                </c:pt>
              </c:strCache>
            </c:strRef>
          </c:cat>
          <c:val>
            <c:numRef>
              <c:f>Tipping!$C$6:$C$27</c:f>
              <c:numCache>
                <c:formatCode>General</c:formatCode>
                <c:ptCount val="22"/>
                <c:pt idx="0">
                  <c:v>160.01</c:v>
                </c:pt>
                <c:pt idx="1">
                  <c:v>158.05000000000001</c:v>
                </c:pt>
                <c:pt idx="2">
                  <c:v>156.19</c:v>
                </c:pt>
                <c:pt idx="3">
                  <c:v>142.11000000000001</c:v>
                </c:pt>
                <c:pt idx="4">
                  <c:v>140.30000000000001</c:v>
                </c:pt>
                <c:pt idx="5">
                  <c:v>137.30000000000001</c:v>
                </c:pt>
                <c:pt idx="6">
                  <c:v>136.99</c:v>
                </c:pt>
                <c:pt idx="7">
                  <c:v>135.62</c:v>
                </c:pt>
                <c:pt idx="8">
                  <c:v>134.88</c:v>
                </c:pt>
                <c:pt idx="9">
                  <c:v>134.21</c:v>
                </c:pt>
                <c:pt idx="10">
                  <c:v>132.82</c:v>
                </c:pt>
                <c:pt idx="11">
                  <c:v>132.13</c:v>
                </c:pt>
                <c:pt idx="12">
                  <c:v>131.28</c:v>
                </c:pt>
                <c:pt idx="13">
                  <c:v>128.47999999999999</c:v>
                </c:pt>
                <c:pt idx="14">
                  <c:v>126.99</c:v>
                </c:pt>
                <c:pt idx="15">
                  <c:v>123.01</c:v>
                </c:pt>
                <c:pt idx="16">
                  <c:v>118.57</c:v>
                </c:pt>
                <c:pt idx="17">
                  <c:v>117.51</c:v>
                </c:pt>
                <c:pt idx="18">
                  <c:v>115.61</c:v>
                </c:pt>
                <c:pt idx="19">
                  <c:v>111.47</c:v>
                </c:pt>
                <c:pt idx="20">
                  <c:v>110.23</c:v>
                </c:pt>
                <c:pt idx="21">
                  <c:v>107.18</c:v>
                </c:pt>
              </c:numCache>
            </c:numRef>
          </c:val>
          <c:smooth val="0"/>
          <c:extLst>
            <c:ext xmlns:c16="http://schemas.microsoft.com/office/drawing/2014/chart" uri="{C3380CC4-5D6E-409C-BE32-E72D297353CC}">
              <c16:uniqueId val="{00000002-DEF5-4BA7-B705-5E13A8B14AE3}"/>
            </c:ext>
          </c:extLst>
        </c:ser>
        <c:dLbls>
          <c:showLegendKey val="0"/>
          <c:showVal val="0"/>
          <c:showCatName val="0"/>
          <c:showSerName val="0"/>
          <c:showPercent val="0"/>
          <c:showBubbleSize val="0"/>
        </c:dLbls>
        <c:marker val="1"/>
        <c:smooth val="0"/>
        <c:axId val="99358720"/>
        <c:axId val="60332800"/>
      </c:lineChart>
      <c:catAx>
        <c:axId val="99358720"/>
        <c:scaling>
          <c:orientation val="minMax"/>
        </c:scaling>
        <c:delete val="0"/>
        <c:axPos val="b"/>
        <c:numFmt formatCode="General" sourceLinked="0"/>
        <c:majorTickMark val="out"/>
        <c:minorTickMark val="none"/>
        <c:tickLblPos val="nextTo"/>
        <c:txPr>
          <a:bodyPr/>
          <a:lstStyle/>
          <a:p>
            <a:pPr>
              <a:defRPr sz="800"/>
            </a:pPr>
            <a:endParaRPr lang="en-US"/>
          </a:p>
        </c:txPr>
        <c:crossAx val="60332800"/>
        <c:crosses val="autoZero"/>
        <c:auto val="1"/>
        <c:lblAlgn val="ctr"/>
        <c:lblOffset val="100"/>
        <c:noMultiLvlLbl val="0"/>
      </c:catAx>
      <c:valAx>
        <c:axId val="60332800"/>
        <c:scaling>
          <c:orientation val="minMax"/>
          <c:max val="180"/>
        </c:scaling>
        <c:delete val="0"/>
        <c:axPos val="l"/>
        <c:majorGridlines/>
        <c:numFmt formatCode="General" sourceLinked="1"/>
        <c:majorTickMark val="out"/>
        <c:minorTickMark val="none"/>
        <c:tickLblPos val="nextTo"/>
        <c:crossAx val="99358720"/>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0.05593</cdr:x>
      <cdr:y>0.03882</cdr:y>
    </cdr:from>
    <cdr:to>
      <cdr:x>0.22481</cdr:x>
      <cdr:y>0.09906</cdr:y>
    </cdr:to>
    <cdr:sp macro="" textlink="">
      <cdr:nvSpPr>
        <cdr:cNvPr id="3" name="Text Box 2"/>
        <cdr:cNvSpPr txBox="1">
          <a:spLocks xmlns:a="http://schemas.openxmlformats.org/drawingml/2006/main" noChangeArrowheads="1"/>
        </cdr:cNvSpPr>
      </cdr:nvSpPr>
      <cdr:spPr bwMode="auto">
        <a:xfrm xmlns:a="http://schemas.openxmlformats.org/drawingml/2006/main">
          <a:off x="479425" y="184150"/>
          <a:ext cx="1447800" cy="28575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b="1"/>
            <a:t>Grams of alcohol</a:t>
          </a:r>
        </a:p>
      </cdr:txBody>
    </cdr:sp>
  </cdr:relSizeAnchor>
</c:userShapes>
</file>

<file path=word/drawings/drawing2.xml><?xml version="1.0" encoding="utf-8"?>
<c:userShapes xmlns:c="http://schemas.openxmlformats.org/drawingml/2006/chart">
  <cdr:relSizeAnchor xmlns:cdr="http://schemas.openxmlformats.org/drawingml/2006/chartDrawing">
    <cdr:from>
      <cdr:x>0.29944</cdr:x>
      <cdr:y>0.03184</cdr:y>
    </cdr:from>
    <cdr:to>
      <cdr:x>0.45877</cdr:x>
      <cdr:y>0.09282</cdr:y>
    </cdr:to>
    <cdr:sp macro="" textlink="">
      <cdr:nvSpPr>
        <cdr:cNvPr id="2" name="Text Box 1"/>
        <cdr:cNvSpPr txBox="1">
          <a:spLocks xmlns:a="http://schemas.openxmlformats.org/drawingml/2006/main" noChangeArrowheads="1"/>
        </cdr:cNvSpPr>
      </cdr:nvSpPr>
      <cdr:spPr bwMode="auto">
        <a:xfrm xmlns:a="http://schemas.openxmlformats.org/drawingml/2006/main">
          <a:off x="2720975" y="149225"/>
          <a:ext cx="1447800" cy="28575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b="1"/>
            <a:t>Grams</a:t>
          </a:r>
          <a:r>
            <a:rPr lang="en-GB" b="1" baseline="0"/>
            <a:t> of alcohol </a:t>
          </a:r>
          <a:endParaRPr lang="en-GB"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53590-26BA-4763-BFB2-9907045D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17047</Words>
  <Characters>97168</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 Davies</dc:creator>
  <cp:lastModifiedBy>Cooke, Richard [cooker4]</cp:lastModifiedBy>
  <cp:revision>2</cp:revision>
  <cp:lastPrinted>2020-02-26T16:50:00Z</cp:lastPrinted>
  <dcterms:created xsi:type="dcterms:W3CDTF">2020-07-14T09:54:00Z</dcterms:created>
  <dcterms:modified xsi:type="dcterms:W3CDTF">2020-07-14T09:54:00Z</dcterms:modified>
</cp:coreProperties>
</file>