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457D3" w14:textId="77777777" w:rsidR="005C2ADC" w:rsidRPr="00A46787" w:rsidRDefault="00F93875" w:rsidP="005C2ADC">
      <w:pPr>
        <w:jc w:val="center"/>
        <w:rPr>
          <w:rFonts w:ascii="Arial" w:hAnsi="Arial" w:cs="Arial"/>
          <w:b/>
          <w:sz w:val="28"/>
          <w:szCs w:val="28"/>
        </w:rPr>
      </w:pPr>
      <w:r>
        <w:rPr>
          <w:rFonts w:ascii="Arial" w:hAnsi="Arial" w:cs="Arial"/>
          <w:b/>
          <w:sz w:val="28"/>
          <w:szCs w:val="28"/>
        </w:rPr>
        <w:t xml:space="preserve">The </w:t>
      </w:r>
      <w:r w:rsidR="00723159">
        <w:rPr>
          <w:rFonts w:ascii="Arial" w:hAnsi="Arial" w:cs="Arial"/>
          <w:b/>
          <w:sz w:val="28"/>
          <w:szCs w:val="28"/>
        </w:rPr>
        <w:t xml:space="preserve">longitudinal </w:t>
      </w:r>
      <w:r>
        <w:rPr>
          <w:rFonts w:ascii="Arial" w:hAnsi="Arial" w:cs="Arial"/>
          <w:b/>
          <w:sz w:val="28"/>
          <w:szCs w:val="28"/>
        </w:rPr>
        <w:t xml:space="preserve">NIHR </w:t>
      </w:r>
      <w:r w:rsidR="005C2ADC" w:rsidRPr="00A46787">
        <w:rPr>
          <w:rFonts w:ascii="Arial" w:hAnsi="Arial" w:cs="Arial"/>
          <w:b/>
          <w:sz w:val="28"/>
          <w:szCs w:val="28"/>
        </w:rPr>
        <w:t>A</w:t>
      </w:r>
      <w:r w:rsidR="000E394C">
        <w:rPr>
          <w:rFonts w:ascii="Arial" w:hAnsi="Arial" w:cs="Arial"/>
          <w:b/>
          <w:sz w:val="28"/>
          <w:szCs w:val="28"/>
        </w:rPr>
        <w:t>RC North West Coast Household Health Survey</w:t>
      </w:r>
      <w:r w:rsidR="0056097A">
        <w:rPr>
          <w:rFonts w:ascii="Arial" w:hAnsi="Arial" w:cs="Arial"/>
          <w:b/>
          <w:sz w:val="28"/>
          <w:szCs w:val="28"/>
        </w:rPr>
        <w:t>: Exploring health inequalities in disadvantaged communities</w:t>
      </w:r>
    </w:p>
    <w:p w14:paraId="5F29FB10" w14:textId="77777777" w:rsidR="005C2ADC" w:rsidRPr="00343787" w:rsidRDefault="005C2ADC" w:rsidP="001951C8">
      <w:pPr>
        <w:jc w:val="both"/>
        <w:rPr>
          <w:rFonts w:ascii="Arial" w:hAnsi="Arial" w:cs="Arial"/>
          <w:b/>
          <w:sz w:val="24"/>
          <w:vertAlign w:val="superscript"/>
        </w:rPr>
      </w:pPr>
      <w:r w:rsidRPr="00583FB7">
        <w:rPr>
          <w:rFonts w:ascii="Arial" w:hAnsi="Arial" w:cs="Arial"/>
          <w:b/>
          <w:sz w:val="24"/>
        </w:rPr>
        <w:t>Clarissa Giebel</w:t>
      </w:r>
      <w:r w:rsidRPr="00583FB7">
        <w:rPr>
          <w:rFonts w:ascii="Arial" w:hAnsi="Arial" w:cs="Arial"/>
          <w:b/>
          <w:sz w:val="24"/>
          <w:vertAlign w:val="superscript"/>
        </w:rPr>
        <w:t>1</w:t>
      </w:r>
      <w:proofErr w:type="gramStart"/>
      <w:r w:rsidRPr="00583FB7">
        <w:rPr>
          <w:rFonts w:ascii="Arial" w:hAnsi="Arial" w:cs="Arial"/>
          <w:b/>
          <w:sz w:val="24"/>
          <w:vertAlign w:val="superscript"/>
        </w:rPr>
        <w:t>,2</w:t>
      </w:r>
      <w:proofErr w:type="gramEnd"/>
      <w:r w:rsidRPr="00583FB7">
        <w:rPr>
          <w:rFonts w:ascii="Arial" w:hAnsi="Arial" w:cs="Arial"/>
          <w:b/>
          <w:sz w:val="24"/>
          <w:vertAlign w:val="superscript"/>
        </w:rPr>
        <w:t>,*,#</w:t>
      </w:r>
      <w:r w:rsidRPr="00583FB7">
        <w:rPr>
          <w:rFonts w:ascii="Arial" w:hAnsi="Arial" w:cs="Arial"/>
          <w:b/>
          <w:sz w:val="24"/>
        </w:rPr>
        <w:t>, Jason C. McIntyre</w:t>
      </w:r>
      <w:r w:rsidRPr="00583FB7">
        <w:rPr>
          <w:rFonts w:ascii="Arial" w:hAnsi="Arial" w:cs="Arial"/>
          <w:b/>
          <w:sz w:val="24"/>
          <w:vertAlign w:val="superscript"/>
        </w:rPr>
        <w:t>3,#</w:t>
      </w:r>
      <w:r w:rsidRPr="00583FB7">
        <w:rPr>
          <w:rFonts w:ascii="Arial" w:hAnsi="Arial" w:cs="Arial"/>
          <w:b/>
          <w:sz w:val="24"/>
        </w:rPr>
        <w:t>, Ana Alfirevic</w:t>
      </w:r>
      <w:r w:rsidRPr="00583FB7">
        <w:rPr>
          <w:rFonts w:ascii="Arial" w:hAnsi="Arial" w:cs="Arial"/>
          <w:b/>
          <w:sz w:val="24"/>
          <w:vertAlign w:val="superscript"/>
        </w:rPr>
        <w:t>2,4</w:t>
      </w:r>
      <w:r w:rsidRPr="00583FB7">
        <w:rPr>
          <w:rFonts w:ascii="Arial" w:hAnsi="Arial" w:cs="Arial"/>
          <w:b/>
          <w:sz w:val="24"/>
        </w:rPr>
        <w:t>, Rhiannon Corcoran</w:t>
      </w:r>
      <w:r w:rsidRPr="00583FB7">
        <w:rPr>
          <w:rFonts w:ascii="Arial" w:hAnsi="Arial" w:cs="Arial"/>
          <w:b/>
          <w:sz w:val="24"/>
          <w:vertAlign w:val="superscript"/>
        </w:rPr>
        <w:t>1,2</w:t>
      </w:r>
      <w:r w:rsidR="002E610A" w:rsidRPr="00583FB7">
        <w:rPr>
          <w:rFonts w:ascii="Arial" w:hAnsi="Arial" w:cs="Arial"/>
          <w:b/>
          <w:sz w:val="24"/>
        </w:rPr>
        <w:t>, Konstantinos</w:t>
      </w:r>
      <w:r w:rsidRPr="00583FB7">
        <w:rPr>
          <w:rFonts w:ascii="Arial" w:hAnsi="Arial" w:cs="Arial"/>
          <w:b/>
          <w:sz w:val="24"/>
        </w:rPr>
        <w:t xml:space="preserve"> Daras</w:t>
      </w:r>
      <w:r w:rsidRPr="00583FB7">
        <w:rPr>
          <w:rFonts w:ascii="Arial" w:hAnsi="Arial" w:cs="Arial"/>
          <w:b/>
          <w:sz w:val="24"/>
          <w:vertAlign w:val="superscript"/>
        </w:rPr>
        <w:t>2,5</w:t>
      </w:r>
      <w:r w:rsidRPr="00583FB7">
        <w:rPr>
          <w:rFonts w:ascii="Arial" w:hAnsi="Arial" w:cs="Arial"/>
          <w:b/>
          <w:sz w:val="24"/>
        </w:rPr>
        <w:t>, Jennifer Downing</w:t>
      </w:r>
      <w:r w:rsidRPr="00583FB7">
        <w:rPr>
          <w:rFonts w:ascii="Arial" w:hAnsi="Arial" w:cs="Arial"/>
          <w:b/>
          <w:sz w:val="24"/>
          <w:vertAlign w:val="superscript"/>
        </w:rPr>
        <w:t>2,4</w:t>
      </w:r>
      <w:r w:rsidRPr="00583FB7">
        <w:rPr>
          <w:rFonts w:ascii="Arial" w:hAnsi="Arial" w:cs="Arial"/>
          <w:b/>
          <w:sz w:val="24"/>
        </w:rPr>
        <w:t>, Mark Gabbay</w:t>
      </w:r>
      <w:r w:rsidRPr="00583FB7">
        <w:rPr>
          <w:rFonts w:ascii="Arial" w:hAnsi="Arial" w:cs="Arial"/>
          <w:b/>
          <w:sz w:val="24"/>
          <w:vertAlign w:val="superscript"/>
        </w:rPr>
        <w:t>1,2</w:t>
      </w:r>
      <w:r w:rsidRPr="00583FB7">
        <w:rPr>
          <w:rFonts w:ascii="Arial" w:hAnsi="Arial" w:cs="Arial"/>
          <w:b/>
          <w:sz w:val="24"/>
        </w:rPr>
        <w:t>, Munir Pirmohamed</w:t>
      </w:r>
      <w:r w:rsidR="00A70EC3">
        <w:rPr>
          <w:rFonts w:ascii="Arial" w:hAnsi="Arial" w:cs="Arial"/>
          <w:b/>
          <w:sz w:val="24"/>
          <w:vertAlign w:val="superscript"/>
        </w:rPr>
        <w:t>2,4</w:t>
      </w:r>
      <w:r w:rsidRPr="00583FB7">
        <w:rPr>
          <w:rFonts w:ascii="Arial" w:hAnsi="Arial" w:cs="Arial"/>
          <w:b/>
          <w:sz w:val="24"/>
        </w:rPr>
        <w:t>, Jennie Popay</w:t>
      </w:r>
      <w:r w:rsidR="00343787">
        <w:rPr>
          <w:rFonts w:ascii="Arial" w:hAnsi="Arial" w:cs="Arial"/>
          <w:b/>
          <w:sz w:val="24"/>
          <w:vertAlign w:val="superscript"/>
        </w:rPr>
        <w:t>2</w:t>
      </w:r>
      <w:r w:rsidR="00A70EC3">
        <w:rPr>
          <w:rFonts w:ascii="Arial" w:hAnsi="Arial" w:cs="Arial"/>
          <w:b/>
          <w:sz w:val="24"/>
          <w:vertAlign w:val="superscript"/>
        </w:rPr>
        <w:t>,6</w:t>
      </w:r>
      <w:r w:rsidRPr="00583FB7">
        <w:rPr>
          <w:rFonts w:ascii="Arial" w:hAnsi="Arial" w:cs="Arial"/>
          <w:b/>
          <w:sz w:val="24"/>
        </w:rPr>
        <w:t>, Paula Wheeler</w:t>
      </w:r>
      <w:r w:rsidR="00343787">
        <w:rPr>
          <w:rFonts w:ascii="Arial" w:hAnsi="Arial" w:cs="Arial"/>
          <w:b/>
          <w:sz w:val="24"/>
          <w:vertAlign w:val="superscript"/>
        </w:rPr>
        <w:t>2</w:t>
      </w:r>
      <w:r w:rsidR="00A70EC3">
        <w:rPr>
          <w:rFonts w:ascii="Arial" w:hAnsi="Arial" w:cs="Arial"/>
          <w:b/>
          <w:sz w:val="24"/>
          <w:vertAlign w:val="superscript"/>
        </w:rPr>
        <w:t>,6</w:t>
      </w:r>
      <w:r w:rsidRPr="00583FB7">
        <w:rPr>
          <w:rFonts w:ascii="Arial" w:hAnsi="Arial" w:cs="Arial"/>
          <w:b/>
          <w:sz w:val="24"/>
        </w:rPr>
        <w:t xml:space="preserve">, </w:t>
      </w:r>
      <w:r w:rsidR="008B0FEC">
        <w:rPr>
          <w:rFonts w:ascii="Arial" w:hAnsi="Arial" w:cs="Arial"/>
          <w:b/>
          <w:sz w:val="24"/>
        </w:rPr>
        <w:t>Keith Holt</w:t>
      </w:r>
      <w:r w:rsidR="00343787">
        <w:rPr>
          <w:rFonts w:ascii="Arial" w:hAnsi="Arial" w:cs="Arial"/>
          <w:b/>
          <w:sz w:val="24"/>
          <w:vertAlign w:val="superscript"/>
        </w:rPr>
        <w:t>2</w:t>
      </w:r>
      <w:r w:rsidR="008B0FEC">
        <w:rPr>
          <w:rFonts w:ascii="Arial" w:hAnsi="Arial" w:cs="Arial"/>
          <w:b/>
          <w:sz w:val="24"/>
        </w:rPr>
        <w:t xml:space="preserve">, </w:t>
      </w:r>
      <w:r w:rsidR="00B7224D">
        <w:rPr>
          <w:rFonts w:ascii="Arial" w:hAnsi="Arial" w:cs="Arial"/>
          <w:b/>
          <w:sz w:val="24"/>
        </w:rPr>
        <w:t>Tim</w:t>
      </w:r>
      <w:r w:rsidR="00287D38">
        <w:rPr>
          <w:rFonts w:ascii="Arial" w:hAnsi="Arial" w:cs="Arial"/>
          <w:b/>
          <w:sz w:val="24"/>
        </w:rPr>
        <w:t>othy</w:t>
      </w:r>
      <w:r w:rsidR="00B7224D">
        <w:rPr>
          <w:rFonts w:ascii="Arial" w:hAnsi="Arial" w:cs="Arial"/>
          <w:b/>
          <w:sz w:val="24"/>
        </w:rPr>
        <w:t xml:space="preserve"> Wilson</w:t>
      </w:r>
      <w:r w:rsidR="00343787">
        <w:rPr>
          <w:rFonts w:ascii="Arial" w:hAnsi="Arial" w:cs="Arial"/>
          <w:b/>
          <w:sz w:val="24"/>
          <w:vertAlign w:val="superscript"/>
        </w:rPr>
        <w:t>2</w:t>
      </w:r>
      <w:r w:rsidR="00B7224D">
        <w:rPr>
          <w:rFonts w:ascii="Arial" w:hAnsi="Arial" w:cs="Arial"/>
          <w:b/>
          <w:sz w:val="24"/>
        </w:rPr>
        <w:t xml:space="preserve">, </w:t>
      </w:r>
      <w:r w:rsidR="001951C8">
        <w:rPr>
          <w:rFonts w:ascii="Arial" w:hAnsi="Arial" w:cs="Arial"/>
          <w:b/>
          <w:sz w:val="24"/>
        </w:rPr>
        <w:t>Richard Bentall</w:t>
      </w:r>
      <w:r w:rsidR="001951C8">
        <w:rPr>
          <w:rFonts w:ascii="Arial" w:hAnsi="Arial" w:cs="Arial"/>
          <w:b/>
          <w:sz w:val="24"/>
          <w:vertAlign w:val="superscript"/>
        </w:rPr>
        <w:t>7</w:t>
      </w:r>
      <w:r w:rsidR="001951C8">
        <w:rPr>
          <w:rFonts w:ascii="Arial" w:hAnsi="Arial" w:cs="Arial"/>
          <w:b/>
          <w:sz w:val="24"/>
        </w:rPr>
        <w:t xml:space="preserve">, </w:t>
      </w:r>
      <w:r w:rsidRPr="00583FB7">
        <w:rPr>
          <w:rFonts w:ascii="Arial" w:hAnsi="Arial" w:cs="Arial"/>
          <w:b/>
          <w:sz w:val="24"/>
        </w:rPr>
        <w:t>Ben Barr</w:t>
      </w:r>
      <w:r w:rsidR="00A70EC3">
        <w:rPr>
          <w:rFonts w:ascii="Arial" w:hAnsi="Arial" w:cs="Arial"/>
          <w:b/>
          <w:sz w:val="24"/>
          <w:vertAlign w:val="superscript"/>
        </w:rPr>
        <w:t>1,</w:t>
      </w:r>
      <w:r w:rsidR="00343787">
        <w:rPr>
          <w:rFonts w:ascii="Arial" w:hAnsi="Arial" w:cs="Arial"/>
          <w:b/>
          <w:sz w:val="24"/>
          <w:vertAlign w:val="superscript"/>
        </w:rPr>
        <w:t>2</w:t>
      </w:r>
    </w:p>
    <w:p w14:paraId="6891849A" w14:textId="77777777" w:rsidR="005C2ADC" w:rsidRPr="005C2ADC" w:rsidRDefault="005C2ADC" w:rsidP="005C2ADC">
      <w:pPr>
        <w:jc w:val="both"/>
        <w:rPr>
          <w:rFonts w:ascii="Arial" w:hAnsi="Arial" w:cs="Arial"/>
        </w:rPr>
      </w:pPr>
      <w:r w:rsidRPr="005C2ADC">
        <w:rPr>
          <w:rFonts w:ascii="Arial" w:hAnsi="Arial" w:cs="Arial"/>
          <w:vertAlign w:val="superscript"/>
        </w:rPr>
        <w:t xml:space="preserve"># </w:t>
      </w:r>
      <w:r>
        <w:rPr>
          <w:rFonts w:ascii="Arial" w:hAnsi="Arial" w:cs="Arial"/>
        </w:rPr>
        <w:t>CG and JCM are joint first authors</w:t>
      </w:r>
    </w:p>
    <w:p w14:paraId="31990873" w14:textId="77777777" w:rsidR="005C2ADC" w:rsidRDefault="00583FB7" w:rsidP="00583FB7">
      <w:pPr>
        <w:spacing w:after="0" w:line="240" w:lineRule="auto"/>
        <w:jc w:val="center"/>
        <w:rPr>
          <w:rFonts w:ascii="Arial" w:hAnsi="Arial" w:cs="Arial"/>
        </w:rPr>
      </w:pPr>
      <w:r>
        <w:rPr>
          <w:rFonts w:ascii="Arial" w:hAnsi="Arial" w:cs="Arial"/>
          <w:vertAlign w:val="superscript"/>
        </w:rPr>
        <w:t>1</w:t>
      </w:r>
      <w:r w:rsidR="005333F0">
        <w:rPr>
          <w:rFonts w:ascii="Arial" w:hAnsi="Arial" w:cs="Arial"/>
        </w:rPr>
        <w:t>Department of Primary Care &amp; Mental Health</w:t>
      </w:r>
      <w:r w:rsidR="005C2ADC">
        <w:rPr>
          <w:rFonts w:ascii="Arial" w:hAnsi="Arial" w:cs="Arial"/>
        </w:rPr>
        <w:t>, University of Liverpool, UK</w:t>
      </w:r>
    </w:p>
    <w:p w14:paraId="56E5EAF5" w14:textId="77777777" w:rsidR="005C2ADC" w:rsidRDefault="005C2ADC" w:rsidP="00583FB7">
      <w:pPr>
        <w:spacing w:after="0" w:line="240" w:lineRule="auto"/>
        <w:jc w:val="center"/>
        <w:rPr>
          <w:rFonts w:ascii="Arial" w:hAnsi="Arial" w:cs="Arial"/>
        </w:rPr>
      </w:pPr>
      <w:r w:rsidRPr="00583FB7">
        <w:rPr>
          <w:rFonts w:ascii="Arial" w:hAnsi="Arial" w:cs="Arial"/>
          <w:vertAlign w:val="superscript"/>
        </w:rPr>
        <w:t>2</w:t>
      </w:r>
      <w:r>
        <w:rPr>
          <w:rFonts w:ascii="Arial" w:hAnsi="Arial" w:cs="Arial"/>
        </w:rPr>
        <w:t>NIHR ARC NWC, UK</w:t>
      </w:r>
    </w:p>
    <w:p w14:paraId="4D73A846" w14:textId="77777777" w:rsidR="005C2ADC" w:rsidRPr="00EA412C" w:rsidRDefault="005C2ADC" w:rsidP="00583FB7">
      <w:pPr>
        <w:spacing w:after="0" w:line="240" w:lineRule="auto"/>
        <w:jc w:val="center"/>
        <w:rPr>
          <w:rFonts w:ascii="Arial" w:hAnsi="Arial" w:cs="Arial"/>
        </w:rPr>
      </w:pPr>
      <w:r w:rsidRPr="00EA412C">
        <w:rPr>
          <w:rFonts w:ascii="Arial" w:hAnsi="Arial" w:cs="Arial"/>
          <w:vertAlign w:val="superscript"/>
        </w:rPr>
        <w:t>3</w:t>
      </w:r>
      <w:r w:rsidR="00DC12F0" w:rsidRPr="00EA412C">
        <w:rPr>
          <w:rFonts w:ascii="Arial" w:hAnsi="Arial" w:cs="Arial"/>
          <w:vertAlign w:val="superscript"/>
        </w:rPr>
        <w:t xml:space="preserve"> </w:t>
      </w:r>
      <w:r w:rsidR="00EA412C" w:rsidRPr="00EA412C">
        <w:rPr>
          <w:rFonts w:ascii="Arial" w:hAnsi="Arial" w:cs="Arial"/>
        </w:rPr>
        <w:t xml:space="preserve">School of Natural Sciences and Psychology, Liverpool John </w:t>
      </w:r>
      <w:proofErr w:type="spellStart"/>
      <w:r w:rsidR="00EA412C" w:rsidRPr="00EA412C">
        <w:rPr>
          <w:rFonts w:ascii="Arial" w:hAnsi="Arial" w:cs="Arial"/>
        </w:rPr>
        <w:t>Moore</w:t>
      </w:r>
      <w:r w:rsidR="00061427">
        <w:rPr>
          <w:rFonts w:ascii="Arial" w:hAnsi="Arial" w:cs="Arial"/>
        </w:rPr>
        <w:t>s</w:t>
      </w:r>
      <w:proofErr w:type="spellEnd"/>
      <w:r w:rsidR="00EA412C" w:rsidRPr="00EA412C">
        <w:rPr>
          <w:rFonts w:ascii="Arial" w:hAnsi="Arial" w:cs="Arial"/>
        </w:rPr>
        <w:t xml:space="preserve"> University, UK</w:t>
      </w:r>
    </w:p>
    <w:p w14:paraId="690B5527" w14:textId="77777777" w:rsidR="005C2ADC" w:rsidRPr="00A625ED" w:rsidRDefault="005C2ADC" w:rsidP="00583FB7">
      <w:pPr>
        <w:spacing w:after="0" w:line="240" w:lineRule="auto"/>
        <w:jc w:val="center"/>
        <w:rPr>
          <w:rFonts w:ascii="Arial" w:hAnsi="Arial" w:cs="Arial"/>
        </w:rPr>
      </w:pPr>
      <w:r w:rsidRPr="00A70EC3">
        <w:rPr>
          <w:rFonts w:ascii="Arial" w:hAnsi="Arial" w:cs="Arial"/>
          <w:vertAlign w:val="superscript"/>
        </w:rPr>
        <w:t>4</w:t>
      </w:r>
      <w:r w:rsidR="00A70EC3">
        <w:rPr>
          <w:rFonts w:ascii="Arial" w:hAnsi="Arial" w:cs="Arial"/>
        </w:rPr>
        <w:t xml:space="preserve"> Department of Molecular and Clinical Pharmacology, </w:t>
      </w:r>
      <w:r w:rsidRPr="00A70EC3">
        <w:rPr>
          <w:rFonts w:ascii="Arial" w:hAnsi="Arial" w:cs="Arial"/>
        </w:rPr>
        <w:t>Institute</w:t>
      </w:r>
      <w:r w:rsidRPr="00A625ED">
        <w:rPr>
          <w:rFonts w:ascii="Arial" w:hAnsi="Arial" w:cs="Arial"/>
        </w:rPr>
        <w:t xml:space="preserve"> of Translational Medicine, University of Liverpool, UK</w:t>
      </w:r>
    </w:p>
    <w:p w14:paraId="72CE9D32" w14:textId="77777777" w:rsidR="005C2ADC" w:rsidRDefault="005C2ADC" w:rsidP="00583FB7">
      <w:pPr>
        <w:spacing w:after="0" w:line="240" w:lineRule="auto"/>
        <w:jc w:val="center"/>
        <w:rPr>
          <w:rFonts w:ascii="Arial" w:hAnsi="Arial" w:cs="Arial"/>
        </w:rPr>
      </w:pPr>
      <w:r w:rsidRPr="00A625ED">
        <w:rPr>
          <w:rFonts w:ascii="Arial" w:hAnsi="Arial" w:cs="Arial"/>
          <w:vertAlign w:val="superscript"/>
        </w:rPr>
        <w:t>5</w:t>
      </w:r>
      <w:r w:rsidR="00A625ED" w:rsidRPr="00A625ED">
        <w:rPr>
          <w:rFonts w:ascii="Arial" w:hAnsi="Arial" w:cs="Arial"/>
        </w:rPr>
        <w:t>Department of Geography and Planning, University of Liverpool, UK</w:t>
      </w:r>
    </w:p>
    <w:p w14:paraId="7B7173CF" w14:textId="77777777" w:rsidR="00A70EC3" w:rsidRDefault="00A70EC3" w:rsidP="00583FB7">
      <w:pPr>
        <w:spacing w:after="0" w:line="240" w:lineRule="auto"/>
        <w:jc w:val="center"/>
        <w:rPr>
          <w:rFonts w:ascii="Arial" w:hAnsi="Arial" w:cs="Arial"/>
        </w:rPr>
      </w:pPr>
      <w:r>
        <w:rPr>
          <w:rFonts w:ascii="Arial" w:hAnsi="Arial" w:cs="Arial"/>
          <w:vertAlign w:val="superscript"/>
        </w:rPr>
        <w:t>6</w:t>
      </w:r>
      <w:r>
        <w:rPr>
          <w:rFonts w:ascii="Arial" w:hAnsi="Arial" w:cs="Arial"/>
        </w:rPr>
        <w:t xml:space="preserve"> Department of Health Research, Lancaster University, UK</w:t>
      </w:r>
    </w:p>
    <w:p w14:paraId="4A74B4B9" w14:textId="77777777" w:rsidR="001951C8" w:rsidRPr="001951C8" w:rsidRDefault="001951C8" w:rsidP="00583FB7">
      <w:pPr>
        <w:spacing w:after="0" w:line="240" w:lineRule="auto"/>
        <w:jc w:val="center"/>
        <w:rPr>
          <w:rFonts w:ascii="Arial" w:hAnsi="Arial" w:cs="Arial"/>
        </w:rPr>
      </w:pPr>
      <w:r w:rsidRPr="001951C8">
        <w:rPr>
          <w:rFonts w:ascii="Arial" w:hAnsi="Arial" w:cs="Arial"/>
          <w:vertAlign w:val="superscript"/>
        </w:rPr>
        <w:t>7</w:t>
      </w:r>
      <w:r>
        <w:rPr>
          <w:rFonts w:ascii="Arial" w:hAnsi="Arial" w:cs="Arial"/>
        </w:rPr>
        <w:t xml:space="preserve">Department of Psychology, University of </w:t>
      </w:r>
      <w:r w:rsidRPr="001951C8">
        <w:rPr>
          <w:rFonts w:ascii="Arial" w:hAnsi="Arial" w:cs="Arial"/>
        </w:rPr>
        <w:t>Sheffield</w:t>
      </w:r>
      <w:r>
        <w:rPr>
          <w:rFonts w:ascii="Arial" w:hAnsi="Arial" w:cs="Arial"/>
        </w:rPr>
        <w:t xml:space="preserve">, UK </w:t>
      </w:r>
    </w:p>
    <w:p w14:paraId="7A460607" w14:textId="77777777" w:rsidR="005C2ADC" w:rsidRDefault="005C2ADC" w:rsidP="00583FB7">
      <w:pPr>
        <w:spacing w:after="0" w:line="240" w:lineRule="auto"/>
        <w:jc w:val="both"/>
        <w:rPr>
          <w:rFonts w:ascii="Arial" w:hAnsi="Arial" w:cs="Arial"/>
        </w:rPr>
      </w:pPr>
    </w:p>
    <w:p w14:paraId="6B623F2A" w14:textId="77777777" w:rsidR="005C2ADC" w:rsidRPr="005C2ADC" w:rsidRDefault="005C2ADC" w:rsidP="00583FB7">
      <w:pPr>
        <w:spacing w:line="240" w:lineRule="auto"/>
        <w:jc w:val="both"/>
        <w:rPr>
          <w:rFonts w:ascii="Arial" w:hAnsi="Arial" w:cs="Arial"/>
        </w:rPr>
      </w:pPr>
    </w:p>
    <w:p w14:paraId="331E1B94" w14:textId="77777777" w:rsidR="005C2ADC" w:rsidRDefault="0077313E" w:rsidP="005C2ADC">
      <w:pPr>
        <w:jc w:val="both"/>
        <w:rPr>
          <w:rFonts w:ascii="Arial" w:hAnsi="Arial" w:cs="Arial"/>
        </w:rPr>
      </w:pPr>
      <w:r>
        <w:rPr>
          <w:rFonts w:ascii="Arial" w:hAnsi="Arial" w:cs="Arial"/>
        </w:rPr>
        <w:t>Accepted BMC Public Health, August 2020</w:t>
      </w:r>
      <w:bookmarkStart w:id="0" w:name="_GoBack"/>
      <w:bookmarkEnd w:id="0"/>
    </w:p>
    <w:p w14:paraId="2514D735" w14:textId="77777777" w:rsidR="005C2ADC" w:rsidRDefault="005C2ADC" w:rsidP="005C2ADC">
      <w:pPr>
        <w:jc w:val="both"/>
        <w:rPr>
          <w:b/>
          <w:sz w:val="28"/>
          <w:szCs w:val="28"/>
        </w:rPr>
      </w:pPr>
    </w:p>
    <w:p w14:paraId="2B90C8F3" w14:textId="77777777" w:rsidR="005C2ADC" w:rsidRDefault="005C2ADC" w:rsidP="005C2ADC">
      <w:pPr>
        <w:rPr>
          <w:b/>
          <w:sz w:val="28"/>
          <w:szCs w:val="28"/>
        </w:rPr>
      </w:pPr>
    </w:p>
    <w:p w14:paraId="6C79CAB2" w14:textId="77777777" w:rsidR="00A70EC3" w:rsidRPr="00A70EC3" w:rsidRDefault="00A70EC3" w:rsidP="00A70EC3">
      <w:pPr>
        <w:jc w:val="both"/>
        <w:rPr>
          <w:rFonts w:ascii="Arial" w:hAnsi="Arial" w:cs="Arial"/>
          <w:szCs w:val="28"/>
        </w:rPr>
      </w:pPr>
      <w:r>
        <w:rPr>
          <w:rFonts w:ascii="Arial" w:hAnsi="Arial" w:cs="Arial"/>
          <w:i/>
          <w:szCs w:val="28"/>
        </w:rPr>
        <w:t>*</w:t>
      </w:r>
      <w:r w:rsidR="005C2ADC" w:rsidRPr="005C2ADC">
        <w:rPr>
          <w:rFonts w:ascii="Arial" w:hAnsi="Arial" w:cs="Arial"/>
          <w:i/>
          <w:szCs w:val="28"/>
        </w:rPr>
        <w:t xml:space="preserve">Correspondence should be addressed to: </w:t>
      </w:r>
      <w:r w:rsidR="005C2ADC" w:rsidRPr="005C2ADC">
        <w:rPr>
          <w:rFonts w:ascii="Arial" w:hAnsi="Arial" w:cs="Arial"/>
          <w:szCs w:val="28"/>
        </w:rPr>
        <w:t>Clarissa Giebel, Waterhouse Building B Block, University of Liverpool, Brownlow Street, Liverpool, L69 3GL. Email: Clarissa.giebel@liverpool.ac.uk</w:t>
      </w:r>
    </w:p>
    <w:p w14:paraId="17620641" w14:textId="77777777" w:rsidR="005C2ADC" w:rsidRDefault="005C2ADC" w:rsidP="00D360DB">
      <w:pPr>
        <w:outlineLvl w:val="0"/>
        <w:rPr>
          <w:rFonts w:ascii="Arial" w:hAnsi="Arial" w:cs="Arial"/>
          <w:b/>
          <w:sz w:val="24"/>
          <w:szCs w:val="28"/>
        </w:rPr>
      </w:pPr>
    </w:p>
    <w:p w14:paraId="26969B32" w14:textId="77777777" w:rsidR="005C2ADC" w:rsidRDefault="005C2ADC" w:rsidP="00D360DB">
      <w:pPr>
        <w:outlineLvl w:val="0"/>
        <w:rPr>
          <w:rFonts w:ascii="Arial" w:hAnsi="Arial" w:cs="Arial"/>
          <w:b/>
          <w:sz w:val="24"/>
          <w:szCs w:val="28"/>
        </w:rPr>
      </w:pPr>
    </w:p>
    <w:p w14:paraId="7ACC8DC0" w14:textId="77777777" w:rsidR="005C2ADC" w:rsidRDefault="005C2ADC" w:rsidP="00D360DB">
      <w:pPr>
        <w:outlineLvl w:val="0"/>
        <w:rPr>
          <w:rFonts w:ascii="Arial" w:hAnsi="Arial" w:cs="Arial"/>
          <w:b/>
          <w:sz w:val="24"/>
          <w:szCs w:val="28"/>
        </w:rPr>
      </w:pPr>
    </w:p>
    <w:p w14:paraId="1466EE9F" w14:textId="77777777" w:rsidR="005C2ADC" w:rsidRDefault="005C2ADC" w:rsidP="00D360DB">
      <w:pPr>
        <w:outlineLvl w:val="0"/>
        <w:rPr>
          <w:rFonts w:ascii="Arial" w:hAnsi="Arial" w:cs="Arial"/>
          <w:b/>
          <w:sz w:val="24"/>
          <w:szCs w:val="28"/>
        </w:rPr>
      </w:pPr>
    </w:p>
    <w:p w14:paraId="4BDD0494" w14:textId="77777777" w:rsidR="005C2ADC" w:rsidRDefault="005C2ADC" w:rsidP="00D360DB">
      <w:pPr>
        <w:outlineLvl w:val="0"/>
        <w:rPr>
          <w:rFonts w:ascii="Arial" w:hAnsi="Arial" w:cs="Arial"/>
          <w:b/>
          <w:sz w:val="24"/>
          <w:szCs w:val="28"/>
        </w:rPr>
      </w:pPr>
    </w:p>
    <w:p w14:paraId="79059228" w14:textId="77777777" w:rsidR="005C2ADC" w:rsidRDefault="005C2ADC" w:rsidP="00D360DB">
      <w:pPr>
        <w:outlineLvl w:val="0"/>
        <w:rPr>
          <w:rFonts w:ascii="Arial" w:hAnsi="Arial" w:cs="Arial"/>
          <w:b/>
          <w:sz w:val="24"/>
          <w:szCs w:val="28"/>
        </w:rPr>
      </w:pPr>
    </w:p>
    <w:p w14:paraId="65C4F40D" w14:textId="77777777" w:rsidR="00723159" w:rsidRDefault="00723159">
      <w:pPr>
        <w:rPr>
          <w:rFonts w:ascii="Arial" w:hAnsi="Arial" w:cs="Arial"/>
          <w:b/>
          <w:szCs w:val="28"/>
        </w:rPr>
      </w:pPr>
    </w:p>
    <w:p w14:paraId="4FD389BD" w14:textId="77777777" w:rsidR="001B67A2" w:rsidRDefault="001B67A2" w:rsidP="009C55CB">
      <w:pPr>
        <w:outlineLvl w:val="0"/>
        <w:rPr>
          <w:rFonts w:ascii="Arial" w:hAnsi="Arial" w:cs="Arial"/>
          <w:b/>
          <w:szCs w:val="28"/>
        </w:rPr>
      </w:pPr>
    </w:p>
    <w:p w14:paraId="0157EA89" w14:textId="77777777" w:rsidR="0056097A" w:rsidRDefault="0056097A" w:rsidP="009C55CB">
      <w:pPr>
        <w:outlineLvl w:val="0"/>
        <w:rPr>
          <w:rFonts w:ascii="Arial" w:hAnsi="Arial" w:cs="Arial"/>
          <w:b/>
          <w:szCs w:val="28"/>
        </w:rPr>
      </w:pPr>
    </w:p>
    <w:p w14:paraId="24CD3933" w14:textId="77777777" w:rsidR="00723159" w:rsidRDefault="00723159" w:rsidP="009C55CB">
      <w:pPr>
        <w:outlineLvl w:val="0"/>
        <w:rPr>
          <w:rFonts w:ascii="Arial" w:hAnsi="Arial" w:cs="Arial"/>
          <w:b/>
          <w:sz w:val="24"/>
          <w:szCs w:val="28"/>
        </w:rPr>
      </w:pPr>
      <w:r>
        <w:rPr>
          <w:rFonts w:ascii="Arial" w:hAnsi="Arial" w:cs="Arial"/>
          <w:b/>
          <w:sz w:val="24"/>
          <w:szCs w:val="28"/>
        </w:rPr>
        <w:lastRenderedPageBreak/>
        <w:t>Abstract</w:t>
      </w:r>
    </w:p>
    <w:p w14:paraId="7018328A" w14:textId="77777777" w:rsidR="0056097A" w:rsidRPr="00D74B7C" w:rsidRDefault="00974F76" w:rsidP="0056097A">
      <w:pPr>
        <w:jc w:val="both"/>
        <w:rPr>
          <w:rFonts w:ascii="Arial" w:hAnsi="Arial" w:cs="Arial"/>
          <w:szCs w:val="28"/>
        </w:rPr>
      </w:pPr>
      <w:r>
        <w:rPr>
          <w:rFonts w:ascii="Arial" w:hAnsi="Arial" w:cs="Arial"/>
          <w:b/>
          <w:szCs w:val="28"/>
        </w:rPr>
        <w:t xml:space="preserve">Background: </w:t>
      </w:r>
      <w:r w:rsidR="0056097A">
        <w:rPr>
          <w:rFonts w:ascii="Arial" w:hAnsi="Arial" w:cs="Arial"/>
          <w:szCs w:val="28"/>
        </w:rPr>
        <w:t xml:space="preserve">The </w:t>
      </w:r>
      <w:r w:rsidR="0056097A" w:rsidRPr="00B92447">
        <w:rPr>
          <w:rFonts w:ascii="Arial" w:hAnsi="Arial" w:cs="Arial"/>
          <w:szCs w:val="28"/>
        </w:rPr>
        <w:t>Household Health Survey (HHS) was developed to understand the socioeconomic determinants of mental and physical health, and health inequalities in health and social care. This paper aims to provide a detailed rationale of the development</w:t>
      </w:r>
      <w:r w:rsidR="00E10D09" w:rsidRPr="00B92447">
        <w:rPr>
          <w:rFonts w:ascii="Arial" w:hAnsi="Arial" w:cs="Arial"/>
          <w:szCs w:val="28"/>
        </w:rPr>
        <w:t xml:space="preserve"> and </w:t>
      </w:r>
      <w:r w:rsidR="0056097A" w:rsidRPr="00B92447">
        <w:rPr>
          <w:rFonts w:ascii="Arial" w:hAnsi="Arial" w:cs="Arial"/>
          <w:szCs w:val="28"/>
        </w:rPr>
        <w:t>implementation of the survey</w:t>
      </w:r>
      <w:r w:rsidR="00E10D09" w:rsidRPr="00B92447">
        <w:rPr>
          <w:rFonts w:ascii="Arial" w:hAnsi="Arial" w:cs="Arial"/>
          <w:szCs w:val="28"/>
        </w:rPr>
        <w:t xml:space="preserve"> and explore socio-economic variations in physical and mental health and health care</w:t>
      </w:r>
      <w:r w:rsidR="0056097A" w:rsidRPr="00B92447">
        <w:rPr>
          <w:rFonts w:ascii="Arial" w:hAnsi="Arial" w:cs="Arial"/>
          <w:szCs w:val="28"/>
        </w:rPr>
        <w:t xml:space="preserve">. </w:t>
      </w:r>
      <w:r w:rsidRPr="00B92447">
        <w:rPr>
          <w:rFonts w:ascii="Arial" w:hAnsi="Arial" w:cs="Arial"/>
          <w:b/>
          <w:szCs w:val="28"/>
        </w:rPr>
        <w:t xml:space="preserve">Methods: </w:t>
      </w:r>
      <w:r w:rsidR="0056097A" w:rsidRPr="00B92447">
        <w:rPr>
          <w:rFonts w:ascii="Arial" w:hAnsi="Arial" w:cs="Arial"/>
          <w:szCs w:val="28"/>
        </w:rPr>
        <w:t xml:space="preserve">This comprehensive longitudinal public health survey was designed and piloted in a disadvantaged area of England, comprising questions on housing, physical health, mental health, lifestyle, social issues, environment, work, and finances. After piloting, the HHS was implemented across 28 </w:t>
      </w:r>
      <w:proofErr w:type="spellStart"/>
      <w:r w:rsidR="0056097A" w:rsidRPr="00B92447">
        <w:rPr>
          <w:rFonts w:ascii="Arial" w:hAnsi="Arial" w:cs="Arial"/>
          <w:szCs w:val="28"/>
        </w:rPr>
        <w:t>neighbourhoods</w:t>
      </w:r>
      <w:proofErr w:type="spellEnd"/>
      <w:r w:rsidR="0056097A" w:rsidRPr="00B92447">
        <w:rPr>
          <w:rFonts w:ascii="Arial" w:hAnsi="Arial" w:cs="Arial"/>
          <w:szCs w:val="28"/>
        </w:rPr>
        <w:t xml:space="preserve"> – 10 disadvantaged </w:t>
      </w:r>
      <w:proofErr w:type="spellStart"/>
      <w:r w:rsidR="0056097A" w:rsidRPr="00B92447">
        <w:rPr>
          <w:rFonts w:ascii="Arial" w:hAnsi="Arial" w:cs="Arial"/>
          <w:szCs w:val="28"/>
        </w:rPr>
        <w:t>neighbourhoods</w:t>
      </w:r>
      <w:proofErr w:type="spellEnd"/>
      <w:r w:rsidR="0056097A" w:rsidRPr="00B92447">
        <w:rPr>
          <w:rFonts w:ascii="Arial" w:hAnsi="Arial" w:cs="Arial"/>
          <w:szCs w:val="28"/>
        </w:rPr>
        <w:t xml:space="preserve"> for learning (</w:t>
      </w:r>
      <w:proofErr w:type="spellStart"/>
      <w:r w:rsidR="0056097A" w:rsidRPr="00B92447">
        <w:rPr>
          <w:rFonts w:ascii="Arial" w:hAnsi="Arial" w:cs="Arial"/>
          <w:szCs w:val="28"/>
        </w:rPr>
        <w:t>NfLs</w:t>
      </w:r>
      <w:proofErr w:type="spellEnd"/>
      <w:r w:rsidR="0056097A" w:rsidRPr="00B92447">
        <w:rPr>
          <w:rFonts w:ascii="Arial" w:hAnsi="Arial" w:cs="Arial"/>
          <w:szCs w:val="28"/>
        </w:rPr>
        <w:t>), 10 disadvantaged comparator sites, and eight relatively advantaged areas</w:t>
      </w:r>
      <w:r w:rsidR="0005589C" w:rsidRPr="00B92447">
        <w:rPr>
          <w:rFonts w:ascii="Arial" w:hAnsi="Arial" w:cs="Arial"/>
          <w:szCs w:val="28"/>
        </w:rPr>
        <w:t>, in 2015 and 2018</w:t>
      </w:r>
      <w:r w:rsidR="0056097A" w:rsidRPr="00B92447">
        <w:rPr>
          <w:rFonts w:ascii="Arial" w:hAnsi="Arial" w:cs="Arial"/>
          <w:szCs w:val="28"/>
        </w:rPr>
        <w:t xml:space="preserve">. </w:t>
      </w:r>
      <w:r w:rsidR="00AB22FB" w:rsidRPr="00B92447">
        <w:rPr>
          <w:rFonts w:ascii="Arial" w:hAnsi="Arial" w:cs="Arial"/>
          <w:szCs w:val="28"/>
        </w:rPr>
        <w:t xml:space="preserve">Participants were recruited via </w:t>
      </w:r>
      <w:r w:rsidR="009A15A0" w:rsidRPr="00B92447">
        <w:rPr>
          <w:rFonts w:ascii="Arial" w:hAnsi="Arial" w:cs="Arial"/>
          <w:szCs w:val="28"/>
        </w:rPr>
        <w:t>random</w:t>
      </w:r>
      <w:r w:rsidR="00AB22FB" w:rsidRPr="00B92447">
        <w:rPr>
          <w:rFonts w:ascii="Arial" w:hAnsi="Arial" w:cs="Arial"/>
          <w:szCs w:val="28"/>
        </w:rPr>
        <w:t xml:space="preserve"> sampling</w:t>
      </w:r>
      <w:r w:rsidR="00C81BB6" w:rsidRPr="00B92447">
        <w:rPr>
          <w:rFonts w:ascii="Arial" w:hAnsi="Arial" w:cs="Arial"/>
          <w:szCs w:val="28"/>
        </w:rPr>
        <w:t xml:space="preserve"> of households</w:t>
      </w:r>
      <w:r w:rsidR="00AB22FB" w:rsidRPr="00B92447">
        <w:rPr>
          <w:rFonts w:ascii="Arial" w:hAnsi="Arial" w:cs="Arial"/>
          <w:szCs w:val="28"/>
        </w:rPr>
        <w:t xml:space="preserve"> in pre-selected </w:t>
      </w:r>
      <w:proofErr w:type="spellStart"/>
      <w:r w:rsidR="00AB22FB" w:rsidRPr="00B92447">
        <w:rPr>
          <w:rFonts w:ascii="Arial" w:hAnsi="Arial" w:cs="Arial"/>
          <w:szCs w:val="28"/>
        </w:rPr>
        <w:t>neighbourhoods</w:t>
      </w:r>
      <w:proofErr w:type="spellEnd"/>
      <w:r w:rsidR="00AB22FB" w:rsidRPr="00B92447">
        <w:rPr>
          <w:rFonts w:ascii="Arial" w:hAnsi="Arial" w:cs="Arial"/>
          <w:szCs w:val="28"/>
        </w:rPr>
        <w:t xml:space="preserve"> based on their areas of deprivation. </w:t>
      </w:r>
      <w:r w:rsidRPr="00B92447">
        <w:rPr>
          <w:rFonts w:ascii="Arial" w:hAnsi="Arial" w:cs="Arial"/>
          <w:b/>
          <w:szCs w:val="28"/>
        </w:rPr>
        <w:t xml:space="preserve">Results: </w:t>
      </w:r>
      <w:r w:rsidR="0056097A" w:rsidRPr="00B92447">
        <w:rPr>
          <w:rFonts w:ascii="Arial" w:hAnsi="Arial" w:cs="Arial"/>
          <w:szCs w:val="28"/>
        </w:rPr>
        <w:t xml:space="preserve">7,731 residents participated in Wave 1 </w:t>
      </w:r>
      <w:r w:rsidR="001A1E2C" w:rsidRPr="00B92447">
        <w:rPr>
          <w:rFonts w:ascii="Arial" w:hAnsi="Arial" w:cs="Arial"/>
          <w:szCs w:val="28"/>
        </w:rPr>
        <w:t xml:space="preserve">(N=4,319) </w:t>
      </w:r>
      <w:r w:rsidR="0056097A" w:rsidRPr="00B92447">
        <w:rPr>
          <w:rFonts w:ascii="Arial" w:hAnsi="Arial" w:cs="Arial"/>
          <w:szCs w:val="28"/>
        </w:rPr>
        <w:t xml:space="preserve">and 2 </w:t>
      </w:r>
      <w:r w:rsidR="001A1E2C" w:rsidRPr="00B92447">
        <w:rPr>
          <w:rFonts w:ascii="Arial" w:hAnsi="Arial" w:cs="Arial"/>
          <w:szCs w:val="28"/>
        </w:rPr>
        <w:t xml:space="preserve">(n=3,412) </w:t>
      </w:r>
      <w:r w:rsidR="0056097A" w:rsidRPr="00B92447">
        <w:rPr>
          <w:rFonts w:ascii="Arial" w:hAnsi="Arial" w:cs="Arial"/>
          <w:szCs w:val="28"/>
        </w:rPr>
        <w:t>of the survey</w:t>
      </w:r>
      <w:r w:rsidR="001A1E2C" w:rsidRPr="00B92447">
        <w:rPr>
          <w:rFonts w:ascii="Arial" w:hAnsi="Arial" w:cs="Arial"/>
          <w:szCs w:val="28"/>
        </w:rPr>
        <w:t>, with 871 residents having participated in both</w:t>
      </w:r>
      <w:r w:rsidR="0056097A" w:rsidRPr="00B92447">
        <w:rPr>
          <w:rFonts w:ascii="Arial" w:hAnsi="Arial" w:cs="Arial"/>
          <w:szCs w:val="28"/>
        </w:rPr>
        <w:t xml:space="preserve">. Mental health, physical health, employment, and housing quality were poorer in disadvantaged </w:t>
      </w:r>
      <w:proofErr w:type="spellStart"/>
      <w:r w:rsidR="0056097A" w:rsidRPr="00B92447">
        <w:rPr>
          <w:rFonts w:ascii="Arial" w:hAnsi="Arial" w:cs="Arial"/>
          <w:szCs w:val="28"/>
        </w:rPr>
        <w:t>neighbourhoods</w:t>
      </w:r>
      <w:proofErr w:type="spellEnd"/>
      <w:r w:rsidR="0056097A" w:rsidRPr="00B92447">
        <w:rPr>
          <w:rFonts w:ascii="Arial" w:hAnsi="Arial" w:cs="Arial"/>
          <w:szCs w:val="28"/>
        </w:rPr>
        <w:t xml:space="preserve"> than in relatively advantaged areas. </w:t>
      </w:r>
      <w:r w:rsidRPr="00B92447">
        <w:rPr>
          <w:rFonts w:ascii="Arial" w:hAnsi="Arial" w:cs="Arial"/>
          <w:b/>
          <w:szCs w:val="28"/>
        </w:rPr>
        <w:t xml:space="preserve">Conclusions: </w:t>
      </w:r>
      <w:r w:rsidR="00E10D09" w:rsidRPr="00B92447">
        <w:rPr>
          <w:rFonts w:ascii="Arial" w:hAnsi="Arial" w:cs="Arial"/>
          <w:szCs w:val="28"/>
        </w:rPr>
        <w:t xml:space="preserve">This survey provides important insights into socio-economic variations in physical and mental health, with findings having implications for improved care provision to enable residents from any geographical or socio-economic background to access suitable care. </w:t>
      </w:r>
    </w:p>
    <w:p w14:paraId="6B57DBBE" w14:textId="77777777" w:rsidR="0056097A" w:rsidRDefault="0056097A" w:rsidP="0056097A">
      <w:pPr>
        <w:rPr>
          <w:rFonts w:ascii="Arial" w:hAnsi="Arial" w:cs="Arial"/>
          <w:b/>
          <w:szCs w:val="28"/>
        </w:rPr>
      </w:pPr>
    </w:p>
    <w:p w14:paraId="2495F725" w14:textId="77777777" w:rsidR="0056097A" w:rsidRPr="0013637F" w:rsidRDefault="0056097A" w:rsidP="0056097A">
      <w:pPr>
        <w:rPr>
          <w:rFonts w:ascii="Arial" w:hAnsi="Arial" w:cs="Arial"/>
          <w:szCs w:val="28"/>
        </w:rPr>
      </w:pPr>
      <w:r w:rsidRPr="0013637F">
        <w:rPr>
          <w:rFonts w:ascii="Arial" w:hAnsi="Arial" w:cs="Arial"/>
          <w:b/>
          <w:szCs w:val="28"/>
        </w:rPr>
        <w:t xml:space="preserve">Keywords: </w:t>
      </w:r>
      <w:r w:rsidRPr="0013637F">
        <w:rPr>
          <w:rFonts w:ascii="Arial" w:hAnsi="Arial" w:cs="Arial"/>
          <w:szCs w:val="28"/>
        </w:rPr>
        <w:t xml:space="preserve">Health inequalities; </w:t>
      </w:r>
      <w:r>
        <w:rPr>
          <w:rFonts w:ascii="Arial" w:hAnsi="Arial" w:cs="Arial"/>
          <w:szCs w:val="28"/>
        </w:rPr>
        <w:t>deprivation</w:t>
      </w:r>
      <w:r w:rsidRPr="0013637F">
        <w:rPr>
          <w:rFonts w:ascii="Arial" w:hAnsi="Arial" w:cs="Arial"/>
          <w:szCs w:val="28"/>
        </w:rPr>
        <w:t xml:space="preserve">; mental health; housing; </w:t>
      </w:r>
      <w:r>
        <w:rPr>
          <w:rFonts w:ascii="Arial" w:hAnsi="Arial" w:cs="Arial"/>
          <w:szCs w:val="28"/>
        </w:rPr>
        <w:t xml:space="preserve">health care </w:t>
      </w:r>
      <w:proofErr w:type="spellStart"/>
      <w:r>
        <w:rPr>
          <w:rFonts w:ascii="Arial" w:hAnsi="Arial" w:cs="Arial"/>
          <w:szCs w:val="28"/>
        </w:rPr>
        <w:t>utilisation</w:t>
      </w:r>
      <w:proofErr w:type="spellEnd"/>
      <w:r>
        <w:rPr>
          <w:rFonts w:ascii="Arial" w:hAnsi="Arial" w:cs="Arial"/>
          <w:szCs w:val="28"/>
        </w:rPr>
        <w:t>; co-production</w:t>
      </w:r>
    </w:p>
    <w:p w14:paraId="2837084E" w14:textId="77777777" w:rsidR="0056097A" w:rsidRDefault="0056097A" w:rsidP="009C55CB">
      <w:pPr>
        <w:outlineLvl w:val="0"/>
        <w:rPr>
          <w:rFonts w:ascii="Arial" w:hAnsi="Arial" w:cs="Arial"/>
          <w:b/>
          <w:sz w:val="24"/>
          <w:szCs w:val="28"/>
        </w:rPr>
      </w:pPr>
    </w:p>
    <w:p w14:paraId="62466536" w14:textId="77777777" w:rsidR="00723159" w:rsidRDefault="00723159" w:rsidP="009C55CB">
      <w:pPr>
        <w:outlineLvl w:val="0"/>
        <w:rPr>
          <w:rFonts w:ascii="Arial" w:hAnsi="Arial" w:cs="Arial"/>
          <w:b/>
          <w:sz w:val="24"/>
          <w:szCs w:val="28"/>
        </w:rPr>
      </w:pPr>
    </w:p>
    <w:p w14:paraId="41A5B065" w14:textId="77777777" w:rsidR="00723159" w:rsidRDefault="00723159" w:rsidP="009C55CB">
      <w:pPr>
        <w:outlineLvl w:val="0"/>
        <w:rPr>
          <w:rFonts w:ascii="Arial" w:hAnsi="Arial" w:cs="Arial"/>
          <w:b/>
          <w:sz w:val="24"/>
          <w:szCs w:val="28"/>
        </w:rPr>
      </w:pPr>
    </w:p>
    <w:p w14:paraId="0C6CDC20" w14:textId="77777777" w:rsidR="00723159" w:rsidRDefault="00723159" w:rsidP="009C55CB">
      <w:pPr>
        <w:outlineLvl w:val="0"/>
        <w:rPr>
          <w:rFonts w:ascii="Arial" w:hAnsi="Arial" w:cs="Arial"/>
          <w:b/>
          <w:sz w:val="24"/>
          <w:szCs w:val="28"/>
        </w:rPr>
      </w:pPr>
    </w:p>
    <w:p w14:paraId="47456B66" w14:textId="77777777" w:rsidR="00723159" w:rsidRDefault="00723159" w:rsidP="009C55CB">
      <w:pPr>
        <w:outlineLvl w:val="0"/>
        <w:rPr>
          <w:rFonts w:ascii="Arial" w:hAnsi="Arial" w:cs="Arial"/>
          <w:b/>
          <w:sz w:val="24"/>
          <w:szCs w:val="28"/>
        </w:rPr>
      </w:pPr>
    </w:p>
    <w:p w14:paraId="4D361599" w14:textId="77777777" w:rsidR="00723159" w:rsidRDefault="00723159" w:rsidP="009C55CB">
      <w:pPr>
        <w:outlineLvl w:val="0"/>
        <w:rPr>
          <w:rFonts w:ascii="Arial" w:hAnsi="Arial" w:cs="Arial"/>
          <w:b/>
          <w:sz w:val="24"/>
          <w:szCs w:val="28"/>
        </w:rPr>
      </w:pPr>
    </w:p>
    <w:p w14:paraId="2EE77DDA" w14:textId="77777777" w:rsidR="00723159" w:rsidRDefault="00723159" w:rsidP="009C55CB">
      <w:pPr>
        <w:outlineLvl w:val="0"/>
        <w:rPr>
          <w:rFonts w:ascii="Arial" w:hAnsi="Arial" w:cs="Arial"/>
          <w:b/>
          <w:sz w:val="24"/>
          <w:szCs w:val="28"/>
        </w:rPr>
      </w:pPr>
    </w:p>
    <w:p w14:paraId="01D3E3EC" w14:textId="77777777" w:rsidR="00723159" w:rsidRDefault="00723159" w:rsidP="009C55CB">
      <w:pPr>
        <w:outlineLvl w:val="0"/>
        <w:rPr>
          <w:rFonts w:ascii="Arial" w:hAnsi="Arial" w:cs="Arial"/>
          <w:b/>
          <w:sz w:val="24"/>
          <w:szCs w:val="28"/>
        </w:rPr>
      </w:pPr>
    </w:p>
    <w:p w14:paraId="38DB9267" w14:textId="77777777" w:rsidR="00723159" w:rsidRDefault="00723159" w:rsidP="009C55CB">
      <w:pPr>
        <w:outlineLvl w:val="0"/>
        <w:rPr>
          <w:rFonts w:ascii="Arial" w:hAnsi="Arial" w:cs="Arial"/>
          <w:b/>
          <w:sz w:val="24"/>
          <w:szCs w:val="28"/>
        </w:rPr>
      </w:pPr>
    </w:p>
    <w:p w14:paraId="5A8C3FB4" w14:textId="77777777" w:rsidR="00723159" w:rsidRDefault="00723159" w:rsidP="009C55CB">
      <w:pPr>
        <w:outlineLvl w:val="0"/>
        <w:rPr>
          <w:rFonts w:ascii="Arial" w:hAnsi="Arial" w:cs="Arial"/>
          <w:b/>
          <w:sz w:val="24"/>
          <w:szCs w:val="28"/>
        </w:rPr>
      </w:pPr>
    </w:p>
    <w:p w14:paraId="5174B568" w14:textId="77777777" w:rsidR="00723159" w:rsidRDefault="00723159" w:rsidP="009C55CB">
      <w:pPr>
        <w:outlineLvl w:val="0"/>
        <w:rPr>
          <w:rFonts w:ascii="Arial" w:hAnsi="Arial" w:cs="Arial"/>
          <w:b/>
          <w:sz w:val="24"/>
          <w:szCs w:val="28"/>
        </w:rPr>
      </w:pPr>
    </w:p>
    <w:p w14:paraId="05602888" w14:textId="77777777" w:rsidR="00723159" w:rsidRDefault="00723159" w:rsidP="009C55CB">
      <w:pPr>
        <w:outlineLvl w:val="0"/>
        <w:rPr>
          <w:rFonts w:ascii="Arial" w:hAnsi="Arial" w:cs="Arial"/>
          <w:b/>
          <w:sz w:val="24"/>
          <w:szCs w:val="28"/>
        </w:rPr>
      </w:pPr>
    </w:p>
    <w:p w14:paraId="54FFA366" w14:textId="77777777" w:rsidR="003A14A0" w:rsidRDefault="00974F76" w:rsidP="009C55CB">
      <w:pPr>
        <w:outlineLvl w:val="0"/>
        <w:rPr>
          <w:rFonts w:ascii="Arial" w:hAnsi="Arial" w:cs="Arial"/>
          <w:b/>
          <w:sz w:val="24"/>
          <w:szCs w:val="28"/>
        </w:rPr>
      </w:pPr>
      <w:r>
        <w:rPr>
          <w:rFonts w:ascii="Arial" w:hAnsi="Arial" w:cs="Arial"/>
          <w:b/>
          <w:sz w:val="24"/>
          <w:szCs w:val="28"/>
        </w:rPr>
        <w:lastRenderedPageBreak/>
        <w:t>Background</w:t>
      </w:r>
    </w:p>
    <w:p w14:paraId="6E2C7085" w14:textId="77777777" w:rsidR="00040E7C" w:rsidRDefault="00C26B6A" w:rsidP="009C55CB">
      <w:pPr>
        <w:spacing w:after="0"/>
        <w:jc w:val="both"/>
        <w:rPr>
          <w:rFonts w:ascii="Arial" w:hAnsi="Arial" w:cs="Arial"/>
          <w:szCs w:val="28"/>
        </w:rPr>
      </w:pPr>
      <w:r>
        <w:rPr>
          <w:rFonts w:ascii="Arial" w:hAnsi="Arial" w:cs="Arial"/>
          <w:szCs w:val="28"/>
        </w:rPr>
        <w:t>Areas with diffe</w:t>
      </w:r>
      <w:r w:rsidR="00395953">
        <w:rPr>
          <w:rFonts w:ascii="Arial" w:hAnsi="Arial" w:cs="Arial"/>
          <w:szCs w:val="28"/>
        </w:rPr>
        <w:t xml:space="preserve">rent levels of wealth </w:t>
      </w:r>
      <w:r w:rsidR="002C76EC">
        <w:rPr>
          <w:rFonts w:ascii="Arial" w:hAnsi="Arial" w:cs="Arial"/>
          <w:szCs w:val="28"/>
        </w:rPr>
        <w:t xml:space="preserve">and opportunity </w:t>
      </w:r>
      <w:r w:rsidR="00395953">
        <w:rPr>
          <w:rFonts w:ascii="Arial" w:hAnsi="Arial" w:cs="Arial"/>
          <w:szCs w:val="28"/>
        </w:rPr>
        <w:t>are</w:t>
      </w:r>
      <w:r w:rsidR="00AB4A83">
        <w:rPr>
          <w:rFonts w:ascii="Arial" w:hAnsi="Arial" w:cs="Arial"/>
          <w:szCs w:val="28"/>
        </w:rPr>
        <w:t xml:space="preserve"> </w:t>
      </w:r>
      <w:r w:rsidR="00D80DB2">
        <w:rPr>
          <w:rFonts w:ascii="Arial" w:hAnsi="Arial" w:cs="Arial"/>
          <w:szCs w:val="28"/>
        </w:rPr>
        <w:t>typically</w:t>
      </w:r>
      <w:r w:rsidR="00395953">
        <w:rPr>
          <w:rFonts w:ascii="Arial" w:hAnsi="Arial" w:cs="Arial"/>
          <w:szCs w:val="28"/>
        </w:rPr>
        <w:t xml:space="preserve"> subject to</w:t>
      </w:r>
      <w:r>
        <w:rPr>
          <w:rFonts w:ascii="Arial" w:hAnsi="Arial" w:cs="Arial"/>
          <w:szCs w:val="28"/>
        </w:rPr>
        <w:t xml:space="preserve"> large </w:t>
      </w:r>
      <w:r w:rsidR="002273E0">
        <w:rPr>
          <w:rFonts w:ascii="Arial" w:hAnsi="Arial" w:cs="Arial"/>
          <w:szCs w:val="28"/>
        </w:rPr>
        <w:t>inequalities in health outcomes</w:t>
      </w:r>
      <w:r w:rsidR="00885F20">
        <w:rPr>
          <w:rFonts w:ascii="Arial" w:hAnsi="Arial" w:cs="Arial"/>
          <w:szCs w:val="28"/>
        </w:rPr>
        <w:t xml:space="preserve"> [1]</w:t>
      </w:r>
      <w:r>
        <w:rPr>
          <w:rFonts w:ascii="Arial" w:hAnsi="Arial" w:cs="Arial"/>
          <w:szCs w:val="28"/>
        </w:rPr>
        <w:t xml:space="preserve">. </w:t>
      </w:r>
      <w:r w:rsidR="00552455">
        <w:rPr>
          <w:rFonts w:ascii="Arial" w:hAnsi="Arial" w:cs="Arial"/>
          <w:szCs w:val="28"/>
        </w:rPr>
        <w:t xml:space="preserve">A </w:t>
      </w:r>
      <w:r w:rsidR="006B4B34">
        <w:rPr>
          <w:rFonts w:ascii="Arial" w:hAnsi="Arial" w:cs="Arial"/>
          <w:szCs w:val="28"/>
        </w:rPr>
        <w:t>combination of social and economic circumstances, such as high unemployment rates and high levels of chronic illness and di</w:t>
      </w:r>
      <w:r w:rsidR="00552455">
        <w:rPr>
          <w:rFonts w:ascii="Arial" w:hAnsi="Arial" w:cs="Arial"/>
          <w:szCs w:val="28"/>
        </w:rPr>
        <w:t>sability</w:t>
      </w:r>
      <w:r w:rsidR="006B4B34">
        <w:rPr>
          <w:rFonts w:ascii="Arial" w:hAnsi="Arial" w:cs="Arial"/>
          <w:szCs w:val="28"/>
        </w:rPr>
        <w:t xml:space="preserve"> in poor </w:t>
      </w:r>
      <w:proofErr w:type="spellStart"/>
      <w:r w:rsidR="006B4B34">
        <w:rPr>
          <w:rFonts w:ascii="Arial" w:hAnsi="Arial" w:cs="Arial"/>
          <w:szCs w:val="28"/>
        </w:rPr>
        <w:t>neighbourhoods</w:t>
      </w:r>
      <w:proofErr w:type="spellEnd"/>
      <w:r w:rsidR="006B4B34">
        <w:rPr>
          <w:rFonts w:ascii="Arial" w:hAnsi="Arial" w:cs="Arial"/>
          <w:szCs w:val="28"/>
        </w:rPr>
        <w:t xml:space="preserve">, can contribute to </w:t>
      </w:r>
      <w:r w:rsidR="00251A3A">
        <w:rPr>
          <w:rFonts w:ascii="Arial" w:hAnsi="Arial" w:cs="Arial"/>
          <w:szCs w:val="28"/>
        </w:rPr>
        <w:t>poor access to healthcare services, which can negatively impact health outcomes</w:t>
      </w:r>
      <w:r w:rsidR="00552455">
        <w:rPr>
          <w:rFonts w:ascii="Arial" w:hAnsi="Arial" w:cs="Arial"/>
          <w:szCs w:val="28"/>
        </w:rPr>
        <w:t xml:space="preserve"> [2]</w:t>
      </w:r>
      <w:r w:rsidR="00040E7C">
        <w:rPr>
          <w:rFonts w:ascii="Arial" w:hAnsi="Arial" w:cs="Arial"/>
          <w:szCs w:val="28"/>
        </w:rPr>
        <w:t xml:space="preserve">. </w:t>
      </w:r>
      <w:r w:rsidR="002C76EC">
        <w:rPr>
          <w:rFonts w:ascii="Arial" w:hAnsi="Arial" w:cs="Arial"/>
          <w:szCs w:val="28"/>
        </w:rPr>
        <w:t>Indeed</w:t>
      </w:r>
      <w:r w:rsidR="00040E7C">
        <w:rPr>
          <w:rFonts w:ascii="Arial" w:hAnsi="Arial" w:cs="Arial"/>
          <w:szCs w:val="28"/>
        </w:rPr>
        <w:t xml:space="preserve">, residents of the poorest </w:t>
      </w:r>
      <w:proofErr w:type="spellStart"/>
      <w:r w:rsidR="00040E7C">
        <w:rPr>
          <w:rFonts w:ascii="Arial" w:hAnsi="Arial" w:cs="Arial"/>
          <w:szCs w:val="28"/>
        </w:rPr>
        <w:t>neighbourhoods</w:t>
      </w:r>
      <w:proofErr w:type="spellEnd"/>
      <w:r w:rsidR="00040E7C">
        <w:rPr>
          <w:rFonts w:ascii="Arial" w:hAnsi="Arial" w:cs="Arial"/>
          <w:szCs w:val="28"/>
        </w:rPr>
        <w:t xml:space="preserve"> in England have a shortened average life expectancy of </w:t>
      </w:r>
      <w:r w:rsidR="001A2F2C">
        <w:rPr>
          <w:rFonts w:ascii="Arial" w:hAnsi="Arial" w:cs="Arial"/>
          <w:szCs w:val="28"/>
        </w:rPr>
        <w:t>eight</w:t>
      </w:r>
      <w:r w:rsidR="008248F7">
        <w:rPr>
          <w:rFonts w:ascii="Arial" w:hAnsi="Arial" w:cs="Arial"/>
          <w:szCs w:val="28"/>
        </w:rPr>
        <w:t xml:space="preserve"> </w:t>
      </w:r>
      <w:r w:rsidR="00040E7C">
        <w:rPr>
          <w:rFonts w:ascii="Arial" w:hAnsi="Arial" w:cs="Arial"/>
          <w:szCs w:val="28"/>
        </w:rPr>
        <w:t xml:space="preserve">years </w:t>
      </w:r>
      <w:r w:rsidR="001A2F2C">
        <w:rPr>
          <w:rFonts w:ascii="Arial" w:hAnsi="Arial" w:cs="Arial"/>
          <w:szCs w:val="28"/>
        </w:rPr>
        <w:t xml:space="preserve">less </w:t>
      </w:r>
      <w:r w:rsidR="00040E7C">
        <w:rPr>
          <w:rFonts w:ascii="Arial" w:hAnsi="Arial" w:cs="Arial"/>
          <w:szCs w:val="28"/>
        </w:rPr>
        <w:t>compared to those living in the wealthiest parts of the country</w:t>
      </w:r>
      <w:r w:rsidR="008248F7">
        <w:rPr>
          <w:rFonts w:ascii="Arial" w:hAnsi="Arial" w:cs="Arial"/>
          <w:szCs w:val="28"/>
        </w:rPr>
        <w:t xml:space="preserve"> </w:t>
      </w:r>
      <w:r w:rsidR="00885F20">
        <w:rPr>
          <w:rFonts w:ascii="Arial" w:hAnsi="Arial" w:cs="Arial"/>
          <w:szCs w:val="28"/>
        </w:rPr>
        <w:t>[3]</w:t>
      </w:r>
      <w:r w:rsidR="00263CFC">
        <w:rPr>
          <w:rFonts w:ascii="Arial" w:hAnsi="Arial" w:cs="Arial"/>
          <w:szCs w:val="28"/>
        </w:rPr>
        <w:t>. This</w:t>
      </w:r>
      <w:r w:rsidR="008248F7">
        <w:rPr>
          <w:rFonts w:ascii="Arial" w:hAnsi="Arial" w:cs="Arial"/>
          <w:szCs w:val="28"/>
        </w:rPr>
        <w:t xml:space="preserve"> life expectancy inequality between </w:t>
      </w:r>
      <w:proofErr w:type="spellStart"/>
      <w:r w:rsidR="008248F7">
        <w:rPr>
          <w:rFonts w:ascii="Arial" w:hAnsi="Arial" w:cs="Arial"/>
          <w:szCs w:val="28"/>
        </w:rPr>
        <w:t>neighbourhoods</w:t>
      </w:r>
      <w:proofErr w:type="spellEnd"/>
      <w:r w:rsidR="008248F7">
        <w:rPr>
          <w:rFonts w:ascii="Arial" w:hAnsi="Arial" w:cs="Arial"/>
          <w:szCs w:val="28"/>
        </w:rPr>
        <w:t xml:space="preserve"> </w:t>
      </w:r>
      <w:r w:rsidR="00263CFC">
        <w:rPr>
          <w:rFonts w:ascii="Arial" w:hAnsi="Arial" w:cs="Arial"/>
          <w:szCs w:val="28"/>
        </w:rPr>
        <w:t xml:space="preserve">is </w:t>
      </w:r>
      <w:r w:rsidR="008248F7">
        <w:rPr>
          <w:rFonts w:ascii="Arial" w:hAnsi="Arial" w:cs="Arial"/>
          <w:szCs w:val="28"/>
        </w:rPr>
        <w:t xml:space="preserve">predicted to rise </w:t>
      </w:r>
      <w:r w:rsidR="00885F20">
        <w:rPr>
          <w:rFonts w:ascii="Arial" w:hAnsi="Arial" w:cs="Arial"/>
          <w:szCs w:val="28"/>
        </w:rPr>
        <w:t>[4]</w:t>
      </w:r>
      <w:r w:rsidR="00040E7C">
        <w:rPr>
          <w:rFonts w:ascii="Arial" w:hAnsi="Arial" w:cs="Arial"/>
          <w:szCs w:val="28"/>
        </w:rPr>
        <w:t>.</w:t>
      </w:r>
      <w:r w:rsidR="00DC12F0">
        <w:rPr>
          <w:rFonts w:ascii="Arial" w:hAnsi="Arial" w:cs="Arial"/>
          <w:szCs w:val="28"/>
        </w:rPr>
        <w:t xml:space="preserve"> The costs of those health inequalities in Europe alone equate to approximately 20 percent of health services in middle- and high-income countries </w:t>
      </w:r>
      <w:r w:rsidR="00885F20">
        <w:rPr>
          <w:rFonts w:ascii="Arial" w:hAnsi="Arial" w:cs="Arial"/>
          <w:szCs w:val="28"/>
        </w:rPr>
        <w:t>[5]</w:t>
      </w:r>
      <w:r w:rsidR="002273E0">
        <w:rPr>
          <w:rFonts w:ascii="Arial" w:hAnsi="Arial" w:cs="Arial"/>
          <w:szCs w:val="28"/>
        </w:rPr>
        <w:t xml:space="preserve">. Given the </w:t>
      </w:r>
      <w:r w:rsidR="00D80DB2">
        <w:rPr>
          <w:rFonts w:ascii="Arial" w:hAnsi="Arial" w:cs="Arial"/>
          <w:szCs w:val="28"/>
        </w:rPr>
        <w:t xml:space="preserve">human </w:t>
      </w:r>
      <w:r w:rsidR="002273E0">
        <w:rPr>
          <w:rFonts w:ascii="Arial" w:hAnsi="Arial" w:cs="Arial"/>
          <w:szCs w:val="28"/>
        </w:rPr>
        <w:t xml:space="preserve">and financial costs of this inequality, there is a need to conduct </w:t>
      </w:r>
      <w:r w:rsidR="00016EF7">
        <w:rPr>
          <w:rFonts w:ascii="Arial" w:hAnsi="Arial" w:cs="Arial"/>
          <w:szCs w:val="28"/>
        </w:rPr>
        <w:t>robust</w:t>
      </w:r>
      <w:r w:rsidR="002273E0">
        <w:rPr>
          <w:rFonts w:ascii="Arial" w:hAnsi="Arial" w:cs="Arial"/>
          <w:szCs w:val="28"/>
        </w:rPr>
        <w:t xml:space="preserve"> research to </w:t>
      </w:r>
      <w:r w:rsidR="00016EF7">
        <w:rPr>
          <w:rFonts w:ascii="Arial" w:hAnsi="Arial" w:cs="Arial"/>
          <w:szCs w:val="28"/>
        </w:rPr>
        <w:t>inform interventions</w:t>
      </w:r>
      <w:r w:rsidR="002C76EC">
        <w:rPr>
          <w:rFonts w:ascii="Arial" w:hAnsi="Arial" w:cs="Arial"/>
          <w:szCs w:val="28"/>
        </w:rPr>
        <w:t xml:space="preserve"> and public health policy</w:t>
      </w:r>
      <w:r w:rsidR="002273E0">
        <w:rPr>
          <w:rFonts w:ascii="Arial" w:hAnsi="Arial" w:cs="Arial"/>
          <w:szCs w:val="28"/>
        </w:rPr>
        <w:t xml:space="preserve">. Here, we describe </w:t>
      </w:r>
      <w:r w:rsidR="00757D24">
        <w:rPr>
          <w:rFonts w:ascii="Arial" w:hAnsi="Arial" w:cs="Arial"/>
          <w:szCs w:val="28"/>
        </w:rPr>
        <w:t xml:space="preserve">details of </w:t>
      </w:r>
      <w:r w:rsidR="002273E0">
        <w:rPr>
          <w:rFonts w:ascii="Arial" w:hAnsi="Arial" w:cs="Arial"/>
          <w:szCs w:val="28"/>
        </w:rPr>
        <w:t xml:space="preserve">a large public health survey </w:t>
      </w:r>
      <w:r w:rsidR="003471DE">
        <w:rPr>
          <w:rFonts w:ascii="Arial" w:hAnsi="Arial" w:cs="Arial"/>
          <w:szCs w:val="28"/>
        </w:rPr>
        <w:t xml:space="preserve">(Household Health Survey; HHS) </w:t>
      </w:r>
      <w:r w:rsidR="002273E0">
        <w:rPr>
          <w:rFonts w:ascii="Arial" w:hAnsi="Arial" w:cs="Arial"/>
          <w:szCs w:val="28"/>
        </w:rPr>
        <w:t xml:space="preserve">designed to </w:t>
      </w:r>
      <w:r w:rsidR="00016EF7">
        <w:rPr>
          <w:rFonts w:ascii="Arial" w:hAnsi="Arial" w:cs="Arial"/>
          <w:szCs w:val="28"/>
        </w:rPr>
        <w:t xml:space="preserve">explore and explain </w:t>
      </w:r>
      <w:r w:rsidR="002273E0">
        <w:rPr>
          <w:rFonts w:ascii="Arial" w:hAnsi="Arial" w:cs="Arial"/>
          <w:szCs w:val="28"/>
        </w:rPr>
        <w:t xml:space="preserve">health inequalities, noting the key outcomes of the research. </w:t>
      </w:r>
    </w:p>
    <w:p w14:paraId="39E590CF" w14:textId="77777777" w:rsidR="00292574" w:rsidRPr="00B92447" w:rsidRDefault="008C33BF" w:rsidP="009C55CB">
      <w:pPr>
        <w:spacing w:after="0"/>
        <w:jc w:val="both"/>
        <w:rPr>
          <w:rFonts w:ascii="Arial" w:hAnsi="Arial" w:cs="Arial"/>
        </w:rPr>
      </w:pPr>
      <w:r>
        <w:rPr>
          <w:rFonts w:ascii="Arial" w:hAnsi="Arial" w:cs="Arial"/>
          <w:szCs w:val="28"/>
        </w:rPr>
        <w:tab/>
        <w:t>Socio-economic status</w:t>
      </w:r>
      <w:r w:rsidR="00585556">
        <w:rPr>
          <w:rFonts w:ascii="Arial" w:hAnsi="Arial" w:cs="Arial"/>
          <w:szCs w:val="28"/>
        </w:rPr>
        <w:t xml:space="preserve"> (SES)</w:t>
      </w:r>
      <w:r>
        <w:rPr>
          <w:rFonts w:ascii="Arial" w:hAnsi="Arial" w:cs="Arial"/>
          <w:szCs w:val="28"/>
        </w:rPr>
        <w:t xml:space="preserve"> is one of the </w:t>
      </w:r>
      <w:r w:rsidRPr="00B92447">
        <w:rPr>
          <w:rFonts w:ascii="Arial" w:hAnsi="Arial" w:cs="Arial"/>
          <w:szCs w:val="28"/>
        </w:rPr>
        <w:t xml:space="preserve">primary predictors of health inequalities </w:t>
      </w:r>
      <w:r w:rsidR="00885F20" w:rsidRPr="00B92447">
        <w:rPr>
          <w:rFonts w:ascii="Arial" w:hAnsi="Arial" w:cs="Arial"/>
          <w:szCs w:val="28"/>
        </w:rPr>
        <w:t>[</w:t>
      </w:r>
      <w:r w:rsidR="00552455" w:rsidRPr="00B92447">
        <w:rPr>
          <w:rFonts w:ascii="Arial" w:hAnsi="Arial" w:cs="Arial"/>
          <w:szCs w:val="28"/>
        </w:rPr>
        <w:t>2,6-8</w:t>
      </w:r>
      <w:r w:rsidR="00885F20" w:rsidRPr="00B92447">
        <w:rPr>
          <w:rFonts w:ascii="Arial" w:hAnsi="Arial" w:cs="Arial"/>
          <w:szCs w:val="28"/>
        </w:rPr>
        <w:t>]</w:t>
      </w:r>
      <w:r w:rsidRPr="00B92447">
        <w:rPr>
          <w:rFonts w:ascii="Arial" w:hAnsi="Arial" w:cs="Arial"/>
          <w:szCs w:val="28"/>
        </w:rPr>
        <w:t xml:space="preserve">, and is closely </w:t>
      </w:r>
      <w:r w:rsidR="00E9780B" w:rsidRPr="00B92447">
        <w:rPr>
          <w:rFonts w:ascii="Arial" w:hAnsi="Arial" w:cs="Arial"/>
          <w:szCs w:val="28"/>
        </w:rPr>
        <w:t>linked to poorer mental</w:t>
      </w:r>
      <w:r w:rsidR="00EB1D86" w:rsidRPr="00B92447">
        <w:rPr>
          <w:rFonts w:ascii="Arial" w:hAnsi="Arial" w:cs="Arial"/>
          <w:szCs w:val="28"/>
        </w:rPr>
        <w:t xml:space="preserve"> and physical </w:t>
      </w:r>
      <w:r w:rsidR="00E9780B" w:rsidRPr="00B92447">
        <w:rPr>
          <w:rFonts w:ascii="Arial" w:hAnsi="Arial" w:cs="Arial"/>
          <w:szCs w:val="28"/>
        </w:rPr>
        <w:t>health</w:t>
      </w:r>
      <w:r w:rsidR="00885F20" w:rsidRPr="00B92447">
        <w:rPr>
          <w:rFonts w:ascii="Arial" w:hAnsi="Arial" w:cs="Arial"/>
          <w:szCs w:val="28"/>
        </w:rPr>
        <w:t xml:space="preserve"> [</w:t>
      </w:r>
      <w:r w:rsidR="00552455" w:rsidRPr="00B92447">
        <w:rPr>
          <w:rFonts w:ascii="Arial" w:hAnsi="Arial" w:cs="Arial"/>
          <w:szCs w:val="28"/>
        </w:rPr>
        <w:t>9,10</w:t>
      </w:r>
      <w:r w:rsidR="00885F20" w:rsidRPr="00B92447">
        <w:rPr>
          <w:rFonts w:ascii="Arial" w:hAnsi="Arial" w:cs="Arial"/>
          <w:szCs w:val="28"/>
        </w:rPr>
        <w:t>]</w:t>
      </w:r>
      <w:r w:rsidRPr="00B92447">
        <w:rPr>
          <w:rFonts w:ascii="Arial" w:hAnsi="Arial" w:cs="Arial"/>
          <w:szCs w:val="28"/>
        </w:rPr>
        <w:t xml:space="preserve">. </w:t>
      </w:r>
      <w:r w:rsidR="00016EF7" w:rsidRPr="00B92447">
        <w:rPr>
          <w:rFonts w:ascii="Arial" w:hAnsi="Arial" w:cs="Arial"/>
        </w:rPr>
        <w:t>A recent</w:t>
      </w:r>
      <w:r w:rsidR="008E0D01" w:rsidRPr="00B92447">
        <w:rPr>
          <w:rFonts w:ascii="Arial" w:hAnsi="Arial" w:cs="Arial"/>
        </w:rPr>
        <w:t xml:space="preserve"> </w:t>
      </w:r>
      <w:r w:rsidR="00016EF7" w:rsidRPr="00B92447">
        <w:rPr>
          <w:rFonts w:ascii="Arial" w:hAnsi="Arial" w:cs="Arial"/>
        </w:rPr>
        <w:t xml:space="preserve">survey </w:t>
      </w:r>
      <w:r w:rsidR="004D3C7F" w:rsidRPr="00B92447">
        <w:rPr>
          <w:rFonts w:ascii="Arial" w:hAnsi="Arial" w:cs="Arial"/>
        </w:rPr>
        <w:t>offered</w:t>
      </w:r>
      <w:r w:rsidR="008E0D01" w:rsidRPr="00B92447">
        <w:rPr>
          <w:rFonts w:ascii="Arial" w:hAnsi="Arial" w:cs="Arial"/>
        </w:rPr>
        <w:t xml:space="preserve"> insights into </w:t>
      </w:r>
      <w:r w:rsidR="003471DE" w:rsidRPr="00B92447">
        <w:rPr>
          <w:rFonts w:ascii="Arial" w:hAnsi="Arial" w:cs="Arial"/>
        </w:rPr>
        <w:t>health and lifestyle factors</w:t>
      </w:r>
      <w:r w:rsidR="004D3C7F" w:rsidRPr="00B92447">
        <w:rPr>
          <w:rFonts w:ascii="Arial" w:hAnsi="Arial" w:cs="Arial"/>
        </w:rPr>
        <w:t xml:space="preserve"> associated with deprivation</w:t>
      </w:r>
      <w:r w:rsidR="008E0D01" w:rsidRPr="00B92447">
        <w:rPr>
          <w:rFonts w:ascii="Arial" w:hAnsi="Arial" w:cs="Arial"/>
        </w:rPr>
        <w:t xml:space="preserve"> </w:t>
      </w:r>
      <w:r w:rsidR="00552455" w:rsidRPr="00B92447">
        <w:rPr>
          <w:rFonts w:ascii="Arial" w:hAnsi="Arial" w:cs="Arial"/>
        </w:rPr>
        <w:t>[11</w:t>
      </w:r>
      <w:r w:rsidR="00885F20" w:rsidRPr="00B92447">
        <w:rPr>
          <w:rFonts w:ascii="Arial" w:hAnsi="Arial" w:cs="Arial"/>
        </w:rPr>
        <w:t>]</w:t>
      </w:r>
      <w:r w:rsidR="001D6FA6" w:rsidRPr="00B92447">
        <w:rPr>
          <w:rFonts w:ascii="Arial" w:hAnsi="Arial" w:cs="Arial"/>
        </w:rPr>
        <w:t>.</w:t>
      </w:r>
      <w:r w:rsidR="0040014D" w:rsidRPr="00B92447">
        <w:rPr>
          <w:rFonts w:ascii="Arial" w:hAnsi="Arial" w:cs="Arial"/>
        </w:rPr>
        <w:t xml:space="preserve"> </w:t>
      </w:r>
      <w:r w:rsidR="001D6FA6" w:rsidRPr="00B92447">
        <w:rPr>
          <w:rFonts w:ascii="Arial" w:hAnsi="Arial" w:cs="Arial"/>
        </w:rPr>
        <w:t xml:space="preserve">However, </w:t>
      </w:r>
      <w:r w:rsidR="008E0D01" w:rsidRPr="00B92447">
        <w:rPr>
          <w:rFonts w:ascii="Arial" w:hAnsi="Arial" w:cs="Arial"/>
        </w:rPr>
        <w:t>in order to understand the social and economic determinants relating to physical and mental health issues</w:t>
      </w:r>
      <w:r w:rsidR="004D3C7F" w:rsidRPr="00B92447">
        <w:rPr>
          <w:rFonts w:ascii="Arial" w:hAnsi="Arial" w:cs="Arial"/>
        </w:rPr>
        <w:t>,</w:t>
      </w:r>
      <w:r w:rsidR="00101FF3" w:rsidRPr="00B92447">
        <w:rPr>
          <w:rFonts w:ascii="Arial" w:hAnsi="Arial" w:cs="Arial"/>
        </w:rPr>
        <w:t xml:space="preserve"> </w:t>
      </w:r>
      <w:r w:rsidR="008E0D01" w:rsidRPr="00B92447">
        <w:rPr>
          <w:rFonts w:ascii="Arial" w:hAnsi="Arial" w:cs="Arial"/>
        </w:rPr>
        <w:t xml:space="preserve">there </w:t>
      </w:r>
      <w:r w:rsidR="003471DE" w:rsidRPr="00B92447">
        <w:rPr>
          <w:rFonts w:ascii="Arial" w:hAnsi="Arial" w:cs="Arial"/>
        </w:rPr>
        <w:t xml:space="preserve">is </w:t>
      </w:r>
      <w:r w:rsidR="008E0D01" w:rsidRPr="00B92447">
        <w:rPr>
          <w:rFonts w:ascii="Arial" w:hAnsi="Arial" w:cs="Arial"/>
        </w:rPr>
        <w:t>a clear need</w:t>
      </w:r>
      <w:r w:rsidR="00101FF3" w:rsidRPr="00B92447">
        <w:rPr>
          <w:rFonts w:ascii="Arial" w:hAnsi="Arial" w:cs="Arial"/>
        </w:rPr>
        <w:t xml:space="preserve"> </w:t>
      </w:r>
      <w:r w:rsidR="003471DE" w:rsidRPr="00B92447">
        <w:rPr>
          <w:rFonts w:ascii="Arial" w:hAnsi="Arial" w:cs="Arial"/>
        </w:rPr>
        <w:t xml:space="preserve">to conduct a comprehensive survey with input from varied stakeholders and disciplines. </w:t>
      </w:r>
      <w:r w:rsidR="00FF60C4" w:rsidRPr="00B92447">
        <w:rPr>
          <w:rFonts w:ascii="Arial" w:hAnsi="Arial" w:cs="Arial"/>
        </w:rPr>
        <w:t xml:space="preserve">As stated in the Marmot review </w:t>
      </w:r>
      <w:r w:rsidR="00885F20" w:rsidRPr="00B92447">
        <w:rPr>
          <w:rFonts w:ascii="Arial" w:hAnsi="Arial" w:cs="Arial"/>
        </w:rPr>
        <w:t>[5]</w:t>
      </w:r>
      <w:r w:rsidR="00FF60C4" w:rsidRPr="00B92447">
        <w:rPr>
          <w:rFonts w:ascii="Arial" w:hAnsi="Arial" w:cs="Arial"/>
        </w:rPr>
        <w:t xml:space="preserve">, an active reduction </w:t>
      </w:r>
      <w:r w:rsidR="00757D24" w:rsidRPr="00B92447">
        <w:rPr>
          <w:rFonts w:ascii="Arial" w:hAnsi="Arial" w:cs="Arial"/>
        </w:rPr>
        <w:t>in</w:t>
      </w:r>
      <w:r w:rsidR="00FF60C4" w:rsidRPr="00B92447">
        <w:rPr>
          <w:rFonts w:ascii="Arial" w:hAnsi="Arial" w:cs="Arial"/>
        </w:rPr>
        <w:t xml:space="preserve"> health inequalities requires addressing all social determinants of health, including education, occupatio</w:t>
      </w:r>
      <w:r w:rsidR="004E00D4" w:rsidRPr="00B92447">
        <w:rPr>
          <w:rFonts w:ascii="Arial" w:hAnsi="Arial" w:cs="Arial"/>
        </w:rPr>
        <w:t xml:space="preserve">n, income, </w:t>
      </w:r>
      <w:r w:rsidR="00DA3C78" w:rsidRPr="00B92447">
        <w:rPr>
          <w:rFonts w:ascii="Arial" w:hAnsi="Arial" w:cs="Arial"/>
        </w:rPr>
        <w:t xml:space="preserve">the </w:t>
      </w:r>
      <w:r w:rsidR="004E00D4" w:rsidRPr="00B92447">
        <w:rPr>
          <w:rFonts w:ascii="Arial" w:hAnsi="Arial" w:cs="Arial"/>
        </w:rPr>
        <w:t>home</w:t>
      </w:r>
      <w:r w:rsidR="00DA3C78" w:rsidRPr="00B92447">
        <w:rPr>
          <w:rFonts w:ascii="Arial" w:hAnsi="Arial" w:cs="Arial"/>
        </w:rPr>
        <w:t xml:space="preserve"> environment </w:t>
      </w:r>
      <w:r w:rsidR="004E00D4" w:rsidRPr="00B92447">
        <w:rPr>
          <w:rFonts w:ascii="Arial" w:hAnsi="Arial" w:cs="Arial"/>
        </w:rPr>
        <w:t xml:space="preserve">and </w:t>
      </w:r>
      <w:r w:rsidR="00DA3C78" w:rsidRPr="00B92447">
        <w:rPr>
          <w:rFonts w:ascii="Arial" w:hAnsi="Arial" w:cs="Arial"/>
        </w:rPr>
        <w:t xml:space="preserve">the </w:t>
      </w:r>
      <w:r w:rsidR="004E00D4" w:rsidRPr="00B92447">
        <w:rPr>
          <w:rFonts w:ascii="Arial" w:hAnsi="Arial" w:cs="Arial"/>
        </w:rPr>
        <w:t>community</w:t>
      </w:r>
      <w:r w:rsidR="00287D38" w:rsidRPr="00B92447">
        <w:rPr>
          <w:rFonts w:ascii="Arial" w:hAnsi="Arial" w:cs="Arial"/>
        </w:rPr>
        <w:t>.</w:t>
      </w:r>
      <w:r w:rsidR="00EB1D86" w:rsidRPr="00B92447">
        <w:rPr>
          <w:rFonts w:ascii="Arial" w:hAnsi="Arial" w:cs="Arial"/>
        </w:rPr>
        <w:t xml:space="preserve"> </w:t>
      </w:r>
      <w:r w:rsidR="000632EC" w:rsidRPr="00B92447">
        <w:rPr>
          <w:rFonts w:ascii="Arial" w:hAnsi="Arial" w:cs="Arial"/>
          <w:shd w:val="clear" w:color="auto" w:fill="FFFFFF"/>
        </w:rPr>
        <w:t xml:space="preserve">With the development of measures such as The Health Inequalities Assessment Tool (HIAT) [12] and the research infrastructure we’ve developed for co-production and community involvement; comes the opportunity to assess the health inequality implications of proposed research by undertaking relevant comprehensive data collections from households in areas participating in the </w:t>
      </w:r>
      <w:proofErr w:type="spellStart"/>
      <w:r w:rsidR="000632EC" w:rsidRPr="00B92447">
        <w:rPr>
          <w:rFonts w:ascii="Arial" w:hAnsi="Arial" w:cs="Arial"/>
          <w:shd w:val="clear" w:color="auto" w:fill="FFFFFF"/>
        </w:rPr>
        <w:t>programme</w:t>
      </w:r>
      <w:proofErr w:type="spellEnd"/>
      <w:r w:rsidR="000632EC" w:rsidRPr="00B92447">
        <w:rPr>
          <w:rFonts w:ascii="Arial" w:hAnsi="Arial" w:cs="Arial"/>
          <w:shd w:val="clear" w:color="auto" w:fill="FFFFFF"/>
        </w:rPr>
        <w:t xml:space="preserve"> and matched areas. </w:t>
      </w:r>
      <w:r w:rsidR="008E0D01" w:rsidRPr="00B92447">
        <w:rPr>
          <w:rFonts w:ascii="Arial" w:hAnsi="Arial" w:cs="Arial"/>
        </w:rPr>
        <w:t xml:space="preserve">Considering the high levels of </w:t>
      </w:r>
      <w:r w:rsidR="000F0D8A" w:rsidRPr="00B92447">
        <w:rPr>
          <w:rFonts w:ascii="Arial" w:hAnsi="Arial" w:cs="Arial"/>
        </w:rPr>
        <w:t xml:space="preserve">socio-economic disadvantage </w:t>
      </w:r>
      <w:r w:rsidR="008E0D01" w:rsidRPr="00B92447">
        <w:rPr>
          <w:rFonts w:ascii="Arial" w:hAnsi="Arial" w:cs="Arial"/>
        </w:rPr>
        <w:t xml:space="preserve">in the North West </w:t>
      </w:r>
      <w:r w:rsidR="005372F7" w:rsidRPr="00B92447">
        <w:rPr>
          <w:rFonts w:ascii="Arial" w:hAnsi="Arial" w:cs="Arial"/>
        </w:rPr>
        <w:t xml:space="preserve">Coast (NWC) </w:t>
      </w:r>
      <w:r w:rsidR="00E9780B" w:rsidRPr="00B92447">
        <w:rPr>
          <w:rFonts w:ascii="Arial" w:hAnsi="Arial" w:cs="Arial"/>
        </w:rPr>
        <w:t>region of England</w:t>
      </w:r>
      <w:r w:rsidR="00885F20" w:rsidRPr="00B92447">
        <w:rPr>
          <w:rFonts w:ascii="Arial" w:hAnsi="Arial" w:cs="Arial"/>
        </w:rPr>
        <w:t xml:space="preserve"> [13]</w:t>
      </w:r>
      <w:r w:rsidR="008E0D01" w:rsidRPr="00B92447">
        <w:rPr>
          <w:rFonts w:ascii="Arial" w:hAnsi="Arial" w:cs="Arial"/>
        </w:rPr>
        <w:t xml:space="preserve">, this geographical area was </w:t>
      </w:r>
      <w:r w:rsidR="005372F7" w:rsidRPr="00B92447">
        <w:rPr>
          <w:rFonts w:ascii="Arial" w:hAnsi="Arial" w:cs="Arial"/>
        </w:rPr>
        <w:t>highl</w:t>
      </w:r>
      <w:r w:rsidR="008E0D01" w:rsidRPr="00B92447">
        <w:rPr>
          <w:rFonts w:ascii="Arial" w:hAnsi="Arial" w:cs="Arial"/>
        </w:rPr>
        <w:t xml:space="preserve">y suitable for such a survey. </w:t>
      </w:r>
    </w:p>
    <w:p w14:paraId="36F11DA8" w14:textId="77777777" w:rsidR="00AB61F2" w:rsidRPr="007671E2" w:rsidRDefault="00AB61F2" w:rsidP="009C55CB">
      <w:pPr>
        <w:spacing w:after="0"/>
        <w:jc w:val="both"/>
        <w:rPr>
          <w:rFonts w:ascii="Arial" w:hAnsi="Arial" w:cs="Arial"/>
          <w:szCs w:val="28"/>
        </w:rPr>
      </w:pPr>
      <w:r w:rsidRPr="00B92447">
        <w:rPr>
          <w:rFonts w:ascii="Arial" w:hAnsi="Arial" w:cs="Arial"/>
          <w:szCs w:val="28"/>
        </w:rPr>
        <w:tab/>
      </w:r>
      <w:r w:rsidR="007B6303" w:rsidRPr="00B92447">
        <w:rPr>
          <w:rFonts w:ascii="Arial" w:hAnsi="Arial" w:cs="Arial"/>
          <w:shd w:val="clear" w:color="auto" w:fill="FFFFFF"/>
        </w:rPr>
        <w:t xml:space="preserve">Trends in life expectancy in both men and women have </w:t>
      </w:r>
      <w:r w:rsidR="007B6303" w:rsidRPr="007671E2">
        <w:rPr>
          <w:rFonts w:ascii="Arial" w:hAnsi="Arial" w:cs="Arial"/>
          <w:shd w:val="clear" w:color="auto" w:fill="FFFFFF"/>
        </w:rPr>
        <w:t xml:space="preserve">increased steadily in the UK as a whole for over 150 years. However, these improvements are stalling at best in most areas in the last decade, and falling in some of the most deprived areas. Differences in average life expectancy is almost 10 years among men and nearly 8 years among women between the most and least deprived </w:t>
      </w:r>
      <w:proofErr w:type="spellStart"/>
      <w:r w:rsidR="007B6303" w:rsidRPr="007671E2">
        <w:rPr>
          <w:rFonts w:ascii="Arial" w:hAnsi="Arial" w:cs="Arial"/>
          <w:shd w:val="clear" w:color="auto" w:fill="FFFFFF"/>
        </w:rPr>
        <w:t>neighbourhoods</w:t>
      </w:r>
      <w:proofErr w:type="spellEnd"/>
      <w:r w:rsidR="007B6303" w:rsidRPr="007671E2">
        <w:rPr>
          <w:rFonts w:ascii="Arial" w:hAnsi="Arial" w:cs="Arial"/>
          <w:shd w:val="clear" w:color="auto" w:fill="FFFFFF"/>
        </w:rPr>
        <w:t xml:space="preserve"> (Marshall et al., 2019). Statistics demonstrate a long-term North South divide in life expectancy and inequity trends (Barr et al., 2017; ONS, 2019). The North West of England historically and recently vies with the North East for the lowest average absolute and healthy life expectancies and gaps between the highest and lowest areas within the regions. Within the area covered by this survey healthy life expectancy can vary by up to 20 years between the least and most deprived </w:t>
      </w:r>
      <w:proofErr w:type="spellStart"/>
      <w:r w:rsidR="007B6303" w:rsidRPr="007671E2">
        <w:rPr>
          <w:rFonts w:ascii="Arial" w:hAnsi="Arial" w:cs="Arial"/>
          <w:shd w:val="clear" w:color="auto" w:fill="FFFFFF"/>
        </w:rPr>
        <w:t>neighbourhoods</w:t>
      </w:r>
      <w:proofErr w:type="spellEnd"/>
      <w:r w:rsidR="007B6303" w:rsidRPr="007671E2">
        <w:rPr>
          <w:rFonts w:ascii="Arial" w:hAnsi="Arial" w:cs="Arial"/>
          <w:shd w:val="clear" w:color="auto" w:fill="FFFFFF"/>
        </w:rPr>
        <w:t>, with Blackpool having the lowest healthy life expectancy of any local authority area in England. These gaps are increasing and are considered to result from systemic socio-economic differences between populations (Marmot et al., 2020). </w:t>
      </w:r>
    </w:p>
    <w:p w14:paraId="5B0B824F" w14:textId="77777777" w:rsidR="0054555B" w:rsidRPr="00B92447" w:rsidRDefault="0054555B" w:rsidP="007B6303">
      <w:pPr>
        <w:ind w:firstLine="720"/>
        <w:jc w:val="both"/>
        <w:rPr>
          <w:rFonts w:ascii="Arial" w:hAnsi="Arial" w:cs="Arial"/>
        </w:rPr>
      </w:pPr>
      <w:r>
        <w:rPr>
          <w:rFonts w:ascii="Arial" w:hAnsi="Arial" w:cs="Arial"/>
        </w:rPr>
        <w:t xml:space="preserve">The </w:t>
      </w:r>
      <w:r w:rsidR="003471DE">
        <w:rPr>
          <w:rFonts w:ascii="Arial" w:hAnsi="Arial" w:cs="Arial"/>
        </w:rPr>
        <w:t>HHS</w:t>
      </w:r>
      <w:r w:rsidR="00FF60C4">
        <w:rPr>
          <w:rFonts w:ascii="Arial" w:hAnsi="Arial" w:cs="Arial"/>
        </w:rPr>
        <w:t xml:space="preserve"> </w:t>
      </w:r>
      <w:r w:rsidR="003471DE">
        <w:rPr>
          <w:rFonts w:ascii="Arial" w:hAnsi="Arial" w:cs="Arial"/>
        </w:rPr>
        <w:t>combines</w:t>
      </w:r>
      <w:r>
        <w:rPr>
          <w:rFonts w:ascii="Arial" w:hAnsi="Arial" w:cs="Arial"/>
        </w:rPr>
        <w:t xml:space="preserve"> data on physical and menta</w:t>
      </w:r>
      <w:r w:rsidR="00B119BF">
        <w:rPr>
          <w:rFonts w:ascii="Arial" w:hAnsi="Arial" w:cs="Arial"/>
        </w:rPr>
        <w:t xml:space="preserve">l health, </w:t>
      </w:r>
      <w:r w:rsidR="003471DE">
        <w:rPr>
          <w:rFonts w:ascii="Arial" w:hAnsi="Arial" w:cs="Arial"/>
        </w:rPr>
        <w:t>social factors, environmental factors</w:t>
      </w:r>
      <w:r>
        <w:rPr>
          <w:rFonts w:ascii="Arial" w:hAnsi="Arial" w:cs="Arial"/>
        </w:rPr>
        <w:t xml:space="preserve">, </w:t>
      </w:r>
      <w:r w:rsidR="0011572A">
        <w:rPr>
          <w:rFonts w:ascii="Arial" w:hAnsi="Arial" w:cs="Arial"/>
        </w:rPr>
        <w:t>self-</w:t>
      </w:r>
      <w:r w:rsidR="001D6FA6">
        <w:rPr>
          <w:rFonts w:ascii="Arial" w:hAnsi="Arial" w:cs="Arial"/>
        </w:rPr>
        <w:t>reported medications</w:t>
      </w:r>
      <w:r w:rsidR="00DB5722">
        <w:rPr>
          <w:rFonts w:ascii="Arial" w:hAnsi="Arial" w:cs="Arial"/>
        </w:rPr>
        <w:t xml:space="preserve">, </w:t>
      </w:r>
      <w:r>
        <w:rPr>
          <w:rFonts w:ascii="Arial" w:hAnsi="Arial" w:cs="Arial"/>
        </w:rPr>
        <w:t>as well as geographical i</w:t>
      </w:r>
      <w:r w:rsidR="00E56C63">
        <w:rPr>
          <w:rFonts w:ascii="Arial" w:hAnsi="Arial" w:cs="Arial"/>
        </w:rPr>
        <w:t>nformation</w:t>
      </w:r>
      <w:r w:rsidR="00FF60C4">
        <w:rPr>
          <w:rFonts w:ascii="Arial" w:hAnsi="Arial" w:cs="Arial"/>
        </w:rPr>
        <w:t xml:space="preserve">, thereby exploring the </w:t>
      </w:r>
      <w:r w:rsidR="00FF60C4">
        <w:rPr>
          <w:rFonts w:ascii="Arial" w:hAnsi="Arial" w:cs="Arial"/>
        </w:rPr>
        <w:lastRenderedPageBreak/>
        <w:t>variety of dete</w:t>
      </w:r>
      <w:r w:rsidR="00805F77">
        <w:rPr>
          <w:rFonts w:ascii="Arial" w:hAnsi="Arial" w:cs="Arial"/>
        </w:rPr>
        <w:t xml:space="preserve">rminants of health </w:t>
      </w:r>
      <w:r w:rsidR="00805F77" w:rsidRPr="00B92447">
        <w:rPr>
          <w:rFonts w:ascii="Arial" w:hAnsi="Arial" w:cs="Arial"/>
        </w:rPr>
        <w:t>inequalities</w:t>
      </w:r>
      <w:r w:rsidR="00885F20" w:rsidRPr="00B92447">
        <w:rPr>
          <w:rFonts w:ascii="Arial" w:hAnsi="Arial" w:cs="Arial"/>
        </w:rPr>
        <w:t xml:space="preserve"> [1,14]</w:t>
      </w:r>
      <w:r w:rsidR="00E56C63" w:rsidRPr="00B92447">
        <w:rPr>
          <w:rFonts w:ascii="Arial" w:hAnsi="Arial" w:cs="Arial"/>
        </w:rPr>
        <w:t xml:space="preserve">. </w:t>
      </w:r>
      <w:r w:rsidR="003471DE" w:rsidRPr="00B92447">
        <w:rPr>
          <w:rFonts w:ascii="Arial" w:hAnsi="Arial" w:cs="Arial"/>
        </w:rPr>
        <w:t>T</w:t>
      </w:r>
      <w:r w:rsidR="00E56C63" w:rsidRPr="00B92447">
        <w:rPr>
          <w:rFonts w:ascii="Arial" w:hAnsi="Arial" w:cs="Arial"/>
        </w:rPr>
        <w:t xml:space="preserve">he </w:t>
      </w:r>
      <w:r w:rsidR="0096633A" w:rsidRPr="00B92447">
        <w:rPr>
          <w:rFonts w:ascii="Arial" w:hAnsi="Arial" w:cs="Arial"/>
        </w:rPr>
        <w:t xml:space="preserve">overall </w:t>
      </w:r>
      <w:r w:rsidR="00E56C63" w:rsidRPr="00B92447">
        <w:rPr>
          <w:rFonts w:ascii="Arial" w:hAnsi="Arial" w:cs="Arial"/>
        </w:rPr>
        <w:t>HHS</w:t>
      </w:r>
      <w:r w:rsidRPr="00B92447">
        <w:rPr>
          <w:rFonts w:ascii="Arial" w:hAnsi="Arial" w:cs="Arial"/>
        </w:rPr>
        <w:t xml:space="preserve"> aimed to investigate a range of objectives all pertinent to reducing health inequalities</w:t>
      </w:r>
      <w:r w:rsidR="0096633A" w:rsidRPr="00B92447">
        <w:rPr>
          <w:rFonts w:ascii="Arial" w:hAnsi="Arial" w:cs="Arial"/>
        </w:rPr>
        <w:t>, including</w:t>
      </w:r>
      <w:r w:rsidR="004D3C7F" w:rsidRPr="00B92447">
        <w:rPr>
          <w:rFonts w:ascii="Arial" w:hAnsi="Arial" w:cs="Arial"/>
        </w:rPr>
        <w:t>:</w:t>
      </w:r>
    </w:p>
    <w:p w14:paraId="6392E717" w14:textId="77777777" w:rsidR="0054555B" w:rsidRPr="00B92447" w:rsidRDefault="00A12E91" w:rsidP="009C55CB">
      <w:pPr>
        <w:pStyle w:val="ListParagraph"/>
        <w:numPr>
          <w:ilvl w:val="0"/>
          <w:numId w:val="3"/>
        </w:numPr>
        <w:ind w:right="1280"/>
        <w:jc w:val="both"/>
        <w:rPr>
          <w:rFonts w:ascii="Arial" w:hAnsi="Arial" w:cs="Arial"/>
        </w:rPr>
      </w:pPr>
      <w:r w:rsidRPr="00B92447">
        <w:rPr>
          <w:rFonts w:ascii="Arial" w:hAnsi="Arial" w:cs="Arial"/>
        </w:rPr>
        <w:t xml:space="preserve">To understand the </w:t>
      </w:r>
      <w:r w:rsidR="00CD3604" w:rsidRPr="00B92447">
        <w:rPr>
          <w:rFonts w:ascii="Arial" w:hAnsi="Arial" w:cs="Arial"/>
        </w:rPr>
        <w:t xml:space="preserve">geographic and socioeconomic </w:t>
      </w:r>
      <w:r w:rsidRPr="00B92447">
        <w:rPr>
          <w:rFonts w:ascii="Arial" w:hAnsi="Arial" w:cs="Arial"/>
        </w:rPr>
        <w:t>determinants of mental and physical health</w:t>
      </w:r>
      <w:r w:rsidR="001A2F2C" w:rsidRPr="00B92447">
        <w:rPr>
          <w:rFonts w:ascii="Arial" w:hAnsi="Arial" w:cs="Arial"/>
        </w:rPr>
        <w:t xml:space="preserve"> in mostly disadvantaged </w:t>
      </w:r>
      <w:proofErr w:type="spellStart"/>
      <w:r w:rsidR="001A2F2C" w:rsidRPr="00B92447">
        <w:rPr>
          <w:rFonts w:ascii="Arial" w:hAnsi="Arial" w:cs="Arial"/>
        </w:rPr>
        <w:t>neighbourhoods</w:t>
      </w:r>
      <w:proofErr w:type="spellEnd"/>
      <w:r w:rsidR="003471DE" w:rsidRPr="00B92447">
        <w:rPr>
          <w:rFonts w:ascii="Arial" w:hAnsi="Arial" w:cs="Arial"/>
        </w:rPr>
        <w:t>.</w:t>
      </w:r>
    </w:p>
    <w:p w14:paraId="15B847C2" w14:textId="77777777" w:rsidR="00A12E91" w:rsidRPr="00B92447" w:rsidRDefault="00A12E91" w:rsidP="009C55CB">
      <w:pPr>
        <w:pStyle w:val="ListParagraph"/>
        <w:numPr>
          <w:ilvl w:val="0"/>
          <w:numId w:val="3"/>
        </w:numPr>
        <w:ind w:right="1280"/>
        <w:jc w:val="both"/>
        <w:rPr>
          <w:rFonts w:ascii="Arial" w:hAnsi="Arial" w:cs="Arial"/>
        </w:rPr>
      </w:pPr>
      <w:r w:rsidRPr="00B92447">
        <w:rPr>
          <w:rFonts w:ascii="Arial" w:hAnsi="Arial" w:cs="Arial"/>
        </w:rPr>
        <w:t xml:space="preserve">To understand health inequalities in the </w:t>
      </w:r>
      <w:proofErr w:type="spellStart"/>
      <w:r w:rsidR="0023222A" w:rsidRPr="00B92447">
        <w:rPr>
          <w:rFonts w:ascii="Arial" w:hAnsi="Arial" w:cs="Arial"/>
        </w:rPr>
        <w:t>utilis</w:t>
      </w:r>
      <w:r w:rsidRPr="00B92447">
        <w:rPr>
          <w:rFonts w:ascii="Arial" w:hAnsi="Arial" w:cs="Arial"/>
        </w:rPr>
        <w:t>ation</w:t>
      </w:r>
      <w:proofErr w:type="spellEnd"/>
      <w:r w:rsidRPr="00B92447">
        <w:rPr>
          <w:rFonts w:ascii="Arial" w:hAnsi="Arial" w:cs="Arial"/>
        </w:rPr>
        <w:t xml:space="preserve"> of health and social care</w:t>
      </w:r>
      <w:r w:rsidR="003471DE" w:rsidRPr="00B92447">
        <w:rPr>
          <w:rFonts w:ascii="Arial" w:hAnsi="Arial" w:cs="Arial"/>
        </w:rPr>
        <w:t>.</w:t>
      </w:r>
    </w:p>
    <w:p w14:paraId="59A58E41" w14:textId="77777777" w:rsidR="00A12E91" w:rsidRPr="00B92447" w:rsidRDefault="00A12E91" w:rsidP="009C55CB">
      <w:pPr>
        <w:pStyle w:val="ListParagraph"/>
        <w:numPr>
          <w:ilvl w:val="0"/>
          <w:numId w:val="3"/>
        </w:numPr>
        <w:ind w:right="1280"/>
        <w:jc w:val="both"/>
        <w:rPr>
          <w:rFonts w:ascii="Arial" w:hAnsi="Arial" w:cs="Arial"/>
        </w:rPr>
      </w:pPr>
      <w:r w:rsidRPr="00B92447">
        <w:rPr>
          <w:rFonts w:ascii="Arial" w:hAnsi="Arial" w:cs="Arial"/>
        </w:rPr>
        <w:t>To inform the integration and design of better health and social care services</w:t>
      </w:r>
      <w:r w:rsidR="003471DE" w:rsidRPr="00B92447">
        <w:rPr>
          <w:rFonts w:ascii="Arial" w:hAnsi="Arial" w:cs="Arial"/>
        </w:rPr>
        <w:t>.</w:t>
      </w:r>
    </w:p>
    <w:p w14:paraId="3F4F36F8" w14:textId="77777777" w:rsidR="00CD3604" w:rsidRPr="00B92447" w:rsidRDefault="00CD3604" w:rsidP="009C55CB">
      <w:pPr>
        <w:pStyle w:val="ListParagraph"/>
        <w:numPr>
          <w:ilvl w:val="0"/>
          <w:numId w:val="3"/>
        </w:numPr>
        <w:ind w:right="1280"/>
        <w:jc w:val="both"/>
        <w:rPr>
          <w:rFonts w:ascii="Arial" w:hAnsi="Arial" w:cs="Arial"/>
        </w:rPr>
      </w:pPr>
      <w:r w:rsidRPr="00B92447">
        <w:rPr>
          <w:rFonts w:ascii="Arial" w:hAnsi="Arial" w:cs="Arial"/>
        </w:rPr>
        <w:t xml:space="preserve">To provide a baseline for policy and person-level implementation projects within </w:t>
      </w:r>
      <w:proofErr w:type="spellStart"/>
      <w:r w:rsidRPr="00B92447">
        <w:rPr>
          <w:rFonts w:ascii="Arial" w:hAnsi="Arial" w:cs="Arial"/>
        </w:rPr>
        <w:t>neighbourhoods</w:t>
      </w:r>
      <w:proofErr w:type="spellEnd"/>
      <w:r w:rsidRPr="00B92447">
        <w:rPr>
          <w:rFonts w:ascii="Arial" w:hAnsi="Arial" w:cs="Arial"/>
        </w:rPr>
        <w:t>.</w:t>
      </w:r>
    </w:p>
    <w:p w14:paraId="5CFC9C63" w14:textId="77777777" w:rsidR="00CD3604" w:rsidRPr="00B92447" w:rsidRDefault="00CD3604" w:rsidP="009C55CB">
      <w:pPr>
        <w:pStyle w:val="ListParagraph"/>
        <w:numPr>
          <w:ilvl w:val="0"/>
          <w:numId w:val="3"/>
        </w:numPr>
        <w:ind w:right="1280"/>
        <w:jc w:val="both"/>
        <w:rPr>
          <w:rFonts w:ascii="Arial" w:hAnsi="Arial" w:cs="Arial"/>
        </w:rPr>
      </w:pPr>
      <w:r w:rsidRPr="00B92447">
        <w:rPr>
          <w:rFonts w:ascii="Arial" w:hAnsi="Arial" w:cs="Arial"/>
        </w:rPr>
        <w:t>To provide a vehicle for capacity building and knowledge exchange.</w:t>
      </w:r>
    </w:p>
    <w:p w14:paraId="62086910" w14:textId="77777777" w:rsidR="0096633A" w:rsidRPr="00B92447" w:rsidRDefault="0096633A" w:rsidP="009C55CB">
      <w:pPr>
        <w:jc w:val="both"/>
        <w:outlineLvl w:val="0"/>
        <w:rPr>
          <w:rFonts w:ascii="Arial" w:hAnsi="Arial" w:cs="Arial"/>
        </w:rPr>
      </w:pPr>
      <w:r w:rsidRPr="00B92447">
        <w:rPr>
          <w:rFonts w:ascii="Arial" w:hAnsi="Arial" w:cs="Arial"/>
        </w:rPr>
        <w:t>The aim of th</w:t>
      </w:r>
      <w:r w:rsidR="0023222A" w:rsidRPr="00B92447">
        <w:rPr>
          <w:rFonts w:ascii="Arial" w:hAnsi="Arial" w:cs="Arial"/>
        </w:rPr>
        <w:t xml:space="preserve">e present </w:t>
      </w:r>
      <w:r w:rsidRPr="00B92447">
        <w:rPr>
          <w:rFonts w:ascii="Arial" w:hAnsi="Arial" w:cs="Arial"/>
        </w:rPr>
        <w:t xml:space="preserve">study was to </w:t>
      </w:r>
      <w:r w:rsidR="005B610A" w:rsidRPr="00B92447">
        <w:rPr>
          <w:rFonts w:ascii="Arial" w:hAnsi="Arial" w:cs="Arial"/>
        </w:rPr>
        <w:t xml:space="preserve">explore the overarching mental and physical health, social support, housing, and other public health factors of participants from disadvantaged and less disadvantaged </w:t>
      </w:r>
      <w:proofErr w:type="spellStart"/>
      <w:r w:rsidR="005B610A" w:rsidRPr="00B92447">
        <w:rPr>
          <w:rFonts w:ascii="Arial" w:hAnsi="Arial" w:cs="Arial"/>
        </w:rPr>
        <w:t>neighbourhoods</w:t>
      </w:r>
      <w:proofErr w:type="spellEnd"/>
      <w:r w:rsidR="005B610A" w:rsidRPr="00B92447">
        <w:rPr>
          <w:rFonts w:ascii="Arial" w:hAnsi="Arial" w:cs="Arial"/>
        </w:rPr>
        <w:t xml:space="preserve"> captured in the longitudinal HHS.</w:t>
      </w:r>
      <w:r w:rsidR="00994EF6" w:rsidRPr="00B92447">
        <w:rPr>
          <w:rFonts w:ascii="Arial" w:hAnsi="Arial" w:cs="Arial"/>
        </w:rPr>
        <w:t xml:space="preserve"> </w:t>
      </w:r>
    </w:p>
    <w:p w14:paraId="77B3889D" w14:textId="77777777" w:rsidR="0056097A" w:rsidRPr="00B92447" w:rsidRDefault="0056097A" w:rsidP="009C55CB">
      <w:pPr>
        <w:jc w:val="both"/>
        <w:outlineLvl w:val="0"/>
        <w:rPr>
          <w:rFonts w:ascii="Arial" w:hAnsi="Arial" w:cs="Arial"/>
          <w:b/>
          <w:sz w:val="24"/>
        </w:rPr>
      </w:pPr>
      <w:r w:rsidRPr="00B92447">
        <w:rPr>
          <w:rFonts w:ascii="Arial" w:hAnsi="Arial" w:cs="Arial"/>
          <w:b/>
          <w:sz w:val="24"/>
        </w:rPr>
        <w:t>Methods</w:t>
      </w:r>
    </w:p>
    <w:p w14:paraId="3D8CEE44" w14:textId="77777777" w:rsidR="00506500" w:rsidRPr="00B92447" w:rsidRDefault="001F0449" w:rsidP="007B4EC6">
      <w:pPr>
        <w:spacing w:after="0"/>
        <w:jc w:val="both"/>
        <w:outlineLvl w:val="0"/>
        <w:rPr>
          <w:rFonts w:ascii="Arial" w:hAnsi="Arial" w:cs="Arial"/>
          <w:b/>
        </w:rPr>
      </w:pPr>
      <w:r w:rsidRPr="00B92447">
        <w:rPr>
          <w:rFonts w:ascii="Arial" w:hAnsi="Arial" w:cs="Arial"/>
          <w:b/>
        </w:rPr>
        <w:t>Survey development</w:t>
      </w:r>
    </w:p>
    <w:p w14:paraId="629D6AA9" w14:textId="77777777" w:rsidR="007E73AA" w:rsidRPr="00B92447" w:rsidRDefault="006053BD" w:rsidP="006053BD">
      <w:pPr>
        <w:spacing w:after="0"/>
        <w:jc w:val="both"/>
        <w:outlineLvl w:val="0"/>
        <w:rPr>
          <w:rFonts w:ascii="Arial" w:hAnsi="Arial" w:cs="Arial"/>
        </w:rPr>
      </w:pPr>
      <w:r w:rsidRPr="00B92447">
        <w:rPr>
          <w:rFonts w:ascii="Arial" w:hAnsi="Arial" w:cs="Arial"/>
        </w:rPr>
        <w:t xml:space="preserve">The NWC HHS is coordinated </w:t>
      </w:r>
      <w:r w:rsidR="001D6FA6" w:rsidRPr="00B92447">
        <w:rPr>
          <w:rFonts w:ascii="Arial" w:hAnsi="Arial" w:cs="Arial"/>
        </w:rPr>
        <w:t xml:space="preserve">by researchers at the University of Liverpool and funded </w:t>
      </w:r>
      <w:r w:rsidR="00572AF1" w:rsidRPr="00B92447">
        <w:rPr>
          <w:rFonts w:ascii="Arial" w:hAnsi="Arial" w:cs="Arial"/>
        </w:rPr>
        <w:t>by the NIHR Collaboration for Leadership in Applied Heal</w:t>
      </w:r>
      <w:r w:rsidR="001A2F2C" w:rsidRPr="00B92447">
        <w:rPr>
          <w:rFonts w:ascii="Arial" w:hAnsi="Arial" w:cs="Arial"/>
        </w:rPr>
        <w:t>th Research and Care (CLAHRC) North West Coast (NWC)</w:t>
      </w:r>
      <w:r w:rsidRPr="00B92447">
        <w:rPr>
          <w:rFonts w:ascii="Arial" w:hAnsi="Arial" w:cs="Arial"/>
        </w:rPr>
        <w:t xml:space="preserve">. </w:t>
      </w:r>
      <w:r w:rsidR="008E5653" w:rsidRPr="00B92447">
        <w:rPr>
          <w:rFonts w:ascii="Arial" w:hAnsi="Arial" w:cs="Arial"/>
        </w:rPr>
        <w:t>The survey development was an i</w:t>
      </w:r>
      <w:r w:rsidR="007E73AA" w:rsidRPr="00B92447">
        <w:rPr>
          <w:rFonts w:ascii="Arial" w:hAnsi="Arial" w:cs="Arial"/>
        </w:rPr>
        <w:t>terative and collaborative</w:t>
      </w:r>
      <w:r w:rsidR="002E610A" w:rsidRPr="00B92447">
        <w:rPr>
          <w:rFonts w:ascii="Arial" w:hAnsi="Arial" w:cs="Arial"/>
        </w:rPr>
        <w:t xml:space="preserve"> process involving the core Applied Research Collaboration (A</w:t>
      </w:r>
      <w:r w:rsidR="007E73AA" w:rsidRPr="00B92447">
        <w:rPr>
          <w:rFonts w:ascii="Arial" w:hAnsi="Arial" w:cs="Arial"/>
        </w:rPr>
        <w:t>RC</w:t>
      </w:r>
      <w:r w:rsidR="001A2F2C" w:rsidRPr="00B92447">
        <w:rPr>
          <w:rFonts w:ascii="Arial" w:hAnsi="Arial" w:cs="Arial"/>
        </w:rPr>
        <w:t>)</w:t>
      </w:r>
      <w:r w:rsidR="008E5653" w:rsidRPr="00B92447">
        <w:rPr>
          <w:rFonts w:ascii="Arial" w:hAnsi="Arial" w:cs="Arial"/>
        </w:rPr>
        <w:t xml:space="preserve"> NWC</w:t>
      </w:r>
      <w:r w:rsidR="007E73AA" w:rsidRPr="00B92447">
        <w:rPr>
          <w:rFonts w:ascii="Arial" w:hAnsi="Arial" w:cs="Arial"/>
        </w:rPr>
        <w:t xml:space="preserve"> </w:t>
      </w:r>
      <w:r w:rsidR="00406964" w:rsidRPr="00B92447">
        <w:rPr>
          <w:rFonts w:ascii="Arial" w:hAnsi="Arial" w:cs="Arial"/>
        </w:rPr>
        <w:t xml:space="preserve">HHS team, local authorities, </w:t>
      </w:r>
      <w:r w:rsidR="00411E1F" w:rsidRPr="00B92447">
        <w:rPr>
          <w:rFonts w:ascii="Arial" w:hAnsi="Arial" w:cs="Arial"/>
        </w:rPr>
        <w:t xml:space="preserve">NHS clinicians, </w:t>
      </w:r>
      <w:r w:rsidR="00E0455E" w:rsidRPr="00B92447">
        <w:rPr>
          <w:rFonts w:ascii="Arial" w:hAnsi="Arial" w:cs="Arial"/>
        </w:rPr>
        <w:t xml:space="preserve">members of the public, acting in the capacity of public advisers </w:t>
      </w:r>
      <w:r w:rsidR="00411E1F" w:rsidRPr="00B92447">
        <w:rPr>
          <w:rFonts w:ascii="Arial" w:hAnsi="Arial" w:cs="Arial"/>
        </w:rPr>
        <w:t>and</w:t>
      </w:r>
      <w:r w:rsidR="00695323" w:rsidRPr="00B92447">
        <w:rPr>
          <w:rFonts w:ascii="Arial" w:hAnsi="Arial" w:cs="Arial"/>
        </w:rPr>
        <w:t xml:space="preserve"> a private research company (</w:t>
      </w:r>
      <w:r w:rsidR="00406964" w:rsidRPr="00B92447">
        <w:rPr>
          <w:rFonts w:ascii="Arial" w:hAnsi="Arial" w:cs="Arial"/>
        </w:rPr>
        <w:t xml:space="preserve">BMG </w:t>
      </w:r>
      <w:r w:rsidR="00695323" w:rsidRPr="00B92447">
        <w:rPr>
          <w:rFonts w:ascii="Arial" w:hAnsi="Arial" w:cs="Arial"/>
        </w:rPr>
        <w:t>Research)</w:t>
      </w:r>
      <w:r w:rsidR="00411E1F" w:rsidRPr="00B92447">
        <w:rPr>
          <w:rFonts w:ascii="Arial" w:hAnsi="Arial" w:cs="Arial"/>
        </w:rPr>
        <w:t xml:space="preserve">. Public advisers were involved </w:t>
      </w:r>
      <w:r w:rsidR="00572AF1" w:rsidRPr="00B92447">
        <w:rPr>
          <w:rFonts w:ascii="Arial" w:hAnsi="Arial" w:cs="Arial"/>
        </w:rPr>
        <w:t>in the development of the survey (TW, KH).</w:t>
      </w:r>
      <w:r w:rsidR="00411E1F" w:rsidRPr="00B92447">
        <w:rPr>
          <w:rFonts w:ascii="Arial" w:hAnsi="Arial" w:cs="Arial"/>
        </w:rPr>
        <w:t xml:space="preserve"> </w:t>
      </w:r>
      <w:r w:rsidR="00406964" w:rsidRPr="00B92447">
        <w:rPr>
          <w:rFonts w:ascii="Arial" w:hAnsi="Arial" w:cs="Arial"/>
        </w:rPr>
        <w:t xml:space="preserve">Figure 1 shows </w:t>
      </w:r>
      <w:r w:rsidR="00CD3604" w:rsidRPr="00B92447">
        <w:rPr>
          <w:rFonts w:ascii="Arial" w:hAnsi="Arial" w:cs="Arial"/>
        </w:rPr>
        <w:t>a</w:t>
      </w:r>
      <w:r w:rsidR="00406964" w:rsidRPr="00B92447">
        <w:rPr>
          <w:rFonts w:ascii="Arial" w:hAnsi="Arial" w:cs="Arial"/>
        </w:rPr>
        <w:t xml:space="preserve"> flowchart</w:t>
      </w:r>
      <w:r w:rsidR="00CD3604" w:rsidRPr="00B92447">
        <w:rPr>
          <w:rFonts w:ascii="Arial" w:hAnsi="Arial" w:cs="Arial"/>
        </w:rPr>
        <w:t>, which illustrates</w:t>
      </w:r>
      <w:r w:rsidR="00406964" w:rsidRPr="00B92447">
        <w:rPr>
          <w:rFonts w:ascii="Arial" w:hAnsi="Arial" w:cs="Arial"/>
        </w:rPr>
        <w:t xml:space="preserve"> the steps involved from the design stage through to the pilot and data collection, analysis</w:t>
      </w:r>
      <w:r w:rsidR="00101FF3" w:rsidRPr="00B92447">
        <w:rPr>
          <w:rFonts w:ascii="Arial" w:hAnsi="Arial" w:cs="Arial"/>
        </w:rPr>
        <w:t>,</w:t>
      </w:r>
      <w:r w:rsidR="00406964" w:rsidRPr="00B92447">
        <w:rPr>
          <w:rFonts w:ascii="Arial" w:hAnsi="Arial" w:cs="Arial"/>
        </w:rPr>
        <w:t xml:space="preserve"> and dissemination.</w:t>
      </w:r>
      <w:r w:rsidR="0044786C" w:rsidRPr="00B92447">
        <w:rPr>
          <w:rFonts w:ascii="Arial" w:hAnsi="Arial" w:cs="Arial"/>
        </w:rPr>
        <w:t xml:space="preserve"> </w:t>
      </w:r>
    </w:p>
    <w:p w14:paraId="4C11CBEE" w14:textId="77777777" w:rsidR="001F0449" w:rsidRPr="00B92447" w:rsidRDefault="001F0449" w:rsidP="006053BD">
      <w:pPr>
        <w:spacing w:after="0"/>
        <w:jc w:val="both"/>
        <w:outlineLvl w:val="0"/>
        <w:rPr>
          <w:rFonts w:ascii="Arial" w:hAnsi="Arial" w:cs="Arial"/>
        </w:rPr>
      </w:pPr>
    </w:p>
    <w:p w14:paraId="61C950EF" w14:textId="77777777" w:rsidR="001F0449" w:rsidRPr="00B92447" w:rsidRDefault="001F0449" w:rsidP="00FD1388">
      <w:pPr>
        <w:pStyle w:val="BodyText"/>
        <w:spacing w:after="0"/>
        <w:ind w:left="0"/>
        <w:outlineLvl w:val="0"/>
        <w:rPr>
          <w:rFonts w:ascii="Arial" w:hAnsi="Arial" w:cs="Arial"/>
          <w:b/>
        </w:rPr>
      </w:pPr>
      <w:r w:rsidRPr="00B92447">
        <w:rPr>
          <w:rFonts w:ascii="Arial" w:hAnsi="Arial" w:cs="Arial"/>
          <w:b/>
        </w:rPr>
        <w:t>Survey Process</w:t>
      </w:r>
    </w:p>
    <w:p w14:paraId="0332DB1C" w14:textId="77777777" w:rsidR="001F0449" w:rsidRPr="00B92447" w:rsidRDefault="001F0449" w:rsidP="00FD1388">
      <w:pPr>
        <w:pStyle w:val="BodyText"/>
        <w:spacing w:before="0" w:after="0"/>
        <w:ind w:left="0"/>
        <w:rPr>
          <w:rFonts w:ascii="Arial" w:hAnsi="Arial" w:cs="Arial"/>
        </w:rPr>
      </w:pPr>
      <w:r w:rsidRPr="00B92447">
        <w:rPr>
          <w:rFonts w:ascii="Arial" w:hAnsi="Arial" w:cs="Arial"/>
        </w:rPr>
        <w:t>BMG Research conducted all data collection. Ethical approval was obtained from the University of Liverpool (Ref: RETH000836). Sampled households were mailed a letter and information leaflet at least two weeks before being approached for an interview. Interviewers then approached residents and potential participants by knocking on the resident’s door up to five times on different days and at different times of the day until it was considered as a non-response. All interviewers were trained in conducting the interview via a one-day training course. Survey interviews for the first wave were conducted on a face-to-face basis at the respondent’s homes between mid-August 2015 and early January 2016, and for the second wave between August 2018 and December 2018. All addresses were loaded electronically on to Computer Aided Personal Interviewing (CAPI) units, so that all contact information could be effectively monitored, whilst also reducing the scope for interviewer error with ID numbers, names and addresses already pre-loaded. Interviews lasted on average around 45 minutes.</w:t>
      </w:r>
    </w:p>
    <w:p w14:paraId="510C856E" w14:textId="77777777" w:rsidR="001F0449" w:rsidRPr="00B92447" w:rsidRDefault="001F0449" w:rsidP="001F0449">
      <w:pPr>
        <w:pStyle w:val="BodyText"/>
        <w:spacing w:before="0" w:after="0"/>
        <w:ind w:left="0" w:firstLine="720"/>
        <w:rPr>
          <w:rFonts w:ascii="Arial" w:hAnsi="Arial" w:cs="Arial"/>
        </w:rPr>
      </w:pPr>
      <w:r w:rsidRPr="00B92447">
        <w:rPr>
          <w:rFonts w:ascii="Arial" w:hAnsi="Arial" w:cs="Arial"/>
        </w:rPr>
        <w:t xml:space="preserve">Prior to the full survey, a pilot survey was conducted to establish any necessary changes to the methodology. For the pilot, 36 residents from </w:t>
      </w:r>
      <w:proofErr w:type="spellStart"/>
      <w:r w:rsidRPr="00B92447">
        <w:rPr>
          <w:rFonts w:ascii="Arial" w:hAnsi="Arial" w:cs="Arial"/>
        </w:rPr>
        <w:t>NfLs</w:t>
      </w:r>
      <w:proofErr w:type="spellEnd"/>
      <w:r w:rsidRPr="00B92447">
        <w:rPr>
          <w:rFonts w:ascii="Arial" w:hAnsi="Arial" w:cs="Arial"/>
        </w:rPr>
        <w:t xml:space="preserve"> and two residents from relatively advantaged areas participated. Findings from the pilot led to minor amendments of survey documents.</w:t>
      </w:r>
    </w:p>
    <w:p w14:paraId="6867B902" w14:textId="77777777" w:rsidR="001F0449" w:rsidRPr="00B92447" w:rsidRDefault="001F0449" w:rsidP="006053BD">
      <w:pPr>
        <w:spacing w:after="0"/>
        <w:jc w:val="both"/>
        <w:outlineLvl w:val="0"/>
        <w:rPr>
          <w:rFonts w:ascii="Arial" w:hAnsi="Arial" w:cs="Arial"/>
        </w:rPr>
      </w:pPr>
    </w:p>
    <w:p w14:paraId="6E316FB8" w14:textId="77777777" w:rsidR="009008FB" w:rsidRPr="00B92447" w:rsidRDefault="005A3E41" w:rsidP="007B4EC6">
      <w:pPr>
        <w:spacing w:after="0"/>
        <w:jc w:val="both"/>
        <w:outlineLvl w:val="0"/>
        <w:rPr>
          <w:rFonts w:ascii="Arial" w:hAnsi="Arial" w:cs="Arial"/>
          <w:b/>
        </w:rPr>
      </w:pPr>
      <w:r w:rsidRPr="00B92447">
        <w:rPr>
          <w:rFonts w:ascii="Arial" w:hAnsi="Arial" w:cs="Arial"/>
          <w:b/>
        </w:rPr>
        <w:t>Participants and recruitment</w:t>
      </w:r>
    </w:p>
    <w:p w14:paraId="7997D88E" w14:textId="77777777" w:rsidR="004D3C7F" w:rsidRPr="00B92447" w:rsidRDefault="00F85D89" w:rsidP="009C55CB">
      <w:pPr>
        <w:spacing w:after="0"/>
        <w:jc w:val="both"/>
        <w:rPr>
          <w:rFonts w:ascii="Arial" w:hAnsi="Arial" w:cs="Arial"/>
        </w:rPr>
      </w:pPr>
      <w:r w:rsidRPr="00B92447">
        <w:rPr>
          <w:rFonts w:ascii="Arial" w:hAnsi="Arial" w:cs="Arial"/>
        </w:rPr>
        <w:t xml:space="preserve">Participants were recruited from </w:t>
      </w:r>
      <w:r w:rsidR="00D51379" w:rsidRPr="00B92447">
        <w:rPr>
          <w:rFonts w:ascii="Arial" w:hAnsi="Arial" w:cs="Arial"/>
        </w:rPr>
        <w:t xml:space="preserve">28 </w:t>
      </w:r>
      <w:proofErr w:type="spellStart"/>
      <w:r w:rsidR="00D51379" w:rsidRPr="00B92447">
        <w:rPr>
          <w:rFonts w:ascii="Arial" w:hAnsi="Arial" w:cs="Arial"/>
        </w:rPr>
        <w:t>neighbourhoods</w:t>
      </w:r>
      <w:proofErr w:type="spellEnd"/>
      <w:r w:rsidRPr="00B92447">
        <w:rPr>
          <w:rFonts w:ascii="Arial" w:hAnsi="Arial" w:cs="Arial"/>
        </w:rPr>
        <w:t xml:space="preserve"> across the North West Coast of England</w:t>
      </w:r>
      <w:r w:rsidR="0011572A" w:rsidRPr="00B92447">
        <w:rPr>
          <w:rFonts w:ascii="Arial" w:hAnsi="Arial" w:cs="Arial"/>
        </w:rPr>
        <w:t xml:space="preserve"> in Wave 1 (2015)</w:t>
      </w:r>
      <w:r w:rsidR="00E10D09" w:rsidRPr="00B92447">
        <w:rPr>
          <w:rFonts w:ascii="Arial" w:hAnsi="Arial" w:cs="Arial"/>
        </w:rPr>
        <w:t xml:space="preserve"> via </w:t>
      </w:r>
      <w:r w:rsidR="00977180" w:rsidRPr="00B92447">
        <w:rPr>
          <w:rFonts w:ascii="Arial" w:hAnsi="Arial" w:cs="Arial"/>
        </w:rPr>
        <w:t>random</w:t>
      </w:r>
      <w:r w:rsidR="00E10D09" w:rsidRPr="00B92447">
        <w:rPr>
          <w:rFonts w:ascii="Arial" w:hAnsi="Arial" w:cs="Arial"/>
        </w:rPr>
        <w:t xml:space="preserve"> sampling</w:t>
      </w:r>
      <w:r w:rsidR="00977180" w:rsidRPr="00B92447">
        <w:rPr>
          <w:rFonts w:ascii="Arial" w:hAnsi="Arial" w:cs="Arial"/>
        </w:rPr>
        <w:t xml:space="preserve"> of individual households</w:t>
      </w:r>
      <w:r w:rsidR="00263CFC" w:rsidRPr="00B92447">
        <w:rPr>
          <w:rFonts w:ascii="Arial" w:hAnsi="Arial" w:cs="Arial"/>
        </w:rPr>
        <w:t>. This is</w:t>
      </w:r>
      <w:r w:rsidR="00E1497A" w:rsidRPr="00B92447">
        <w:rPr>
          <w:rFonts w:ascii="Arial" w:hAnsi="Arial" w:cs="Arial"/>
        </w:rPr>
        <w:t xml:space="preserve"> </w:t>
      </w:r>
      <w:r w:rsidR="00411E1F" w:rsidRPr="00B92447">
        <w:rPr>
          <w:rFonts w:ascii="Arial" w:hAnsi="Arial" w:cs="Arial"/>
        </w:rPr>
        <w:t xml:space="preserve">a region with some of the most disadvantaged </w:t>
      </w:r>
      <w:proofErr w:type="spellStart"/>
      <w:r w:rsidR="00411E1F" w:rsidRPr="00B92447">
        <w:rPr>
          <w:rFonts w:ascii="Arial" w:hAnsi="Arial" w:cs="Arial"/>
        </w:rPr>
        <w:t>neighbourhoods</w:t>
      </w:r>
      <w:proofErr w:type="spellEnd"/>
      <w:r w:rsidR="00411E1F" w:rsidRPr="00B92447">
        <w:rPr>
          <w:rFonts w:ascii="Arial" w:hAnsi="Arial" w:cs="Arial"/>
        </w:rPr>
        <w:t xml:space="preserve"> in the country as well as some of the most advantaged </w:t>
      </w:r>
      <w:proofErr w:type="spellStart"/>
      <w:r w:rsidR="00411E1F" w:rsidRPr="00B92447">
        <w:rPr>
          <w:rFonts w:ascii="Arial" w:hAnsi="Arial" w:cs="Arial"/>
        </w:rPr>
        <w:t>neighbourhoods</w:t>
      </w:r>
      <w:proofErr w:type="spellEnd"/>
      <w:r w:rsidR="00411E1F" w:rsidRPr="00B92447">
        <w:rPr>
          <w:rFonts w:ascii="Arial" w:hAnsi="Arial" w:cs="Arial"/>
        </w:rPr>
        <w:t xml:space="preserve">, </w:t>
      </w:r>
      <w:r w:rsidR="00263CFC" w:rsidRPr="00B92447">
        <w:rPr>
          <w:rFonts w:ascii="Arial" w:hAnsi="Arial" w:cs="Arial"/>
        </w:rPr>
        <w:t xml:space="preserve">and is </w:t>
      </w:r>
      <w:r w:rsidR="00411E1F" w:rsidRPr="00B92447">
        <w:rPr>
          <w:rFonts w:ascii="Arial" w:hAnsi="Arial" w:cs="Arial"/>
        </w:rPr>
        <w:t xml:space="preserve">therefore subject to some of the greatest health and </w:t>
      </w:r>
      <w:r w:rsidR="009755C3" w:rsidRPr="00B92447">
        <w:rPr>
          <w:rFonts w:ascii="Arial" w:hAnsi="Arial" w:cs="Arial"/>
        </w:rPr>
        <w:t xml:space="preserve">care </w:t>
      </w:r>
      <w:r w:rsidR="00411E1F" w:rsidRPr="00B92447">
        <w:rPr>
          <w:rFonts w:ascii="Arial" w:hAnsi="Arial" w:cs="Arial"/>
        </w:rPr>
        <w:t xml:space="preserve">inequalities </w:t>
      </w:r>
      <w:r w:rsidR="00E9780B" w:rsidRPr="00B92447">
        <w:rPr>
          <w:rFonts w:ascii="Arial" w:hAnsi="Arial" w:cs="Arial"/>
        </w:rPr>
        <w:t>[13]</w:t>
      </w:r>
      <w:r w:rsidR="00E1497A" w:rsidRPr="00B92447">
        <w:rPr>
          <w:rFonts w:ascii="Arial" w:hAnsi="Arial" w:cs="Arial"/>
        </w:rPr>
        <w:t>.</w:t>
      </w:r>
      <w:r w:rsidRPr="00B92447">
        <w:rPr>
          <w:rFonts w:ascii="Arial" w:hAnsi="Arial" w:cs="Arial"/>
        </w:rPr>
        <w:t xml:space="preserve"> </w:t>
      </w:r>
      <w:r w:rsidR="00724FF5" w:rsidRPr="00B92447">
        <w:rPr>
          <w:rFonts w:ascii="Arial" w:hAnsi="Arial" w:cs="Arial"/>
        </w:rPr>
        <w:t xml:space="preserve">Twenty </w:t>
      </w:r>
      <w:r w:rsidR="000F0D8A" w:rsidRPr="00B92447">
        <w:rPr>
          <w:rFonts w:ascii="Arial" w:hAnsi="Arial" w:cs="Arial"/>
        </w:rPr>
        <w:t xml:space="preserve">disadvantaged </w:t>
      </w:r>
      <w:proofErr w:type="spellStart"/>
      <w:r w:rsidR="00D51379" w:rsidRPr="00B92447">
        <w:rPr>
          <w:rFonts w:ascii="Arial" w:hAnsi="Arial" w:cs="Arial"/>
        </w:rPr>
        <w:t>neighbourhoods</w:t>
      </w:r>
      <w:proofErr w:type="spellEnd"/>
      <w:r w:rsidR="00724FF5" w:rsidRPr="00B92447">
        <w:rPr>
          <w:rFonts w:ascii="Arial" w:hAnsi="Arial" w:cs="Arial"/>
        </w:rPr>
        <w:t xml:space="preserve"> were identified by </w:t>
      </w:r>
      <w:r w:rsidR="009755C3" w:rsidRPr="00B92447">
        <w:rPr>
          <w:rFonts w:ascii="Arial" w:hAnsi="Arial" w:cs="Arial"/>
        </w:rPr>
        <w:t>local authority (</w:t>
      </w:r>
      <w:r w:rsidR="00724FF5" w:rsidRPr="00B92447">
        <w:rPr>
          <w:rFonts w:ascii="Arial" w:hAnsi="Arial" w:cs="Arial"/>
        </w:rPr>
        <w:t>LA</w:t>
      </w:r>
      <w:r w:rsidR="009755C3" w:rsidRPr="00B92447">
        <w:rPr>
          <w:rFonts w:ascii="Arial" w:hAnsi="Arial" w:cs="Arial"/>
        </w:rPr>
        <w:t>)</w:t>
      </w:r>
      <w:r w:rsidR="00724FF5" w:rsidRPr="00B92447">
        <w:rPr>
          <w:rFonts w:ascii="Arial" w:hAnsi="Arial" w:cs="Arial"/>
        </w:rPr>
        <w:t xml:space="preserve"> partners. </w:t>
      </w:r>
      <w:r w:rsidR="00973F1A" w:rsidRPr="00B92447">
        <w:rPr>
          <w:rFonts w:ascii="Arial" w:hAnsi="Arial" w:cs="Arial"/>
        </w:rPr>
        <w:t>Ten</w:t>
      </w:r>
      <w:r w:rsidR="00D360DB" w:rsidRPr="00B92447">
        <w:rPr>
          <w:rFonts w:ascii="Arial" w:hAnsi="Arial" w:cs="Arial"/>
        </w:rPr>
        <w:t xml:space="preserve"> of these (across </w:t>
      </w:r>
      <w:r w:rsidR="00915EBA" w:rsidRPr="00B92447">
        <w:rPr>
          <w:rFonts w:ascii="Arial" w:hAnsi="Arial" w:cs="Arial"/>
        </w:rPr>
        <w:t>eight</w:t>
      </w:r>
      <w:r w:rsidR="00D360DB" w:rsidRPr="00B92447">
        <w:rPr>
          <w:rFonts w:ascii="Arial" w:hAnsi="Arial" w:cs="Arial"/>
        </w:rPr>
        <w:t xml:space="preserve"> </w:t>
      </w:r>
      <w:r w:rsidR="009755C3" w:rsidRPr="00B92447">
        <w:rPr>
          <w:rFonts w:ascii="Arial" w:hAnsi="Arial" w:cs="Arial"/>
        </w:rPr>
        <w:t>LA</w:t>
      </w:r>
      <w:r w:rsidR="00D360DB" w:rsidRPr="00B92447">
        <w:rPr>
          <w:rFonts w:ascii="Arial" w:hAnsi="Arial" w:cs="Arial"/>
        </w:rPr>
        <w:t xml:space="preserve"> areas) were subsequently identified as </w:t>
      </w:r>
      <w:r w:rsidR="000F0D8A" w:rsidRPr="00B92447">
        <w:rPr>
          <w:rFonts w:ascii="Arial" w:hAnsi="Arial" w:cs="Arial"/>
        </w:rPr>
        <w:t xml:space="preserve">CLAHRC NWC’s </w:t>
      </w:r>
      <w:proofErr w:type="spellStart"/>
      <w:r w:rsidR="007C1A5A" w:rsidRPr="00B92447">
        <w:rPr>
          <w:rFonts w:ascii="Arial" w:hAnsi="Arial" w:cs="Arial"/>
        </w:rPr>
        <w:t>Neighbourhoods</w:t>
      </w:r>
      <w:proofErr w:type="spellEnd"/>
      <w:r w:rsidR="007C1A5A" w:rsidRPr="00B92447">
        <w:rPr>
          <w:rFonts w:ascii="Arial" w:hAnsi="Arial" w:cs="Arial"/>
        </w:rPr>
        <w:t xml:space="preserve"> for Learning (</w:t>
      </w:r>
      <w:proofErr w:type="spellStart"/>
      <w:r w:rsidR="009008FB" w:rsidRPr="00B92447">
        <w:rPr>
          <w:rFonts w:ascii="Arial" w:hAnsi="Arial" w:cs="Arial"/>
        </w:rPr>
        <w:t>NfLs</w:t>
      </w:r>
      <w:proofErr w:type="spellEnd"/>
      <w:r w:rsidR="007C1A5A" w:rsidRPr="00B92447">
        <w:rPr>
          <w:rFonts w:ascii="Arial" w:hAnsi="Arial" w:cs="Arial"/>
        </w:rPr>
        <w:t>)</w:t>
      </w:r>
      <w:r w:rsidR="000F0D8A" w:rsidRPr="00B92447">
        <w:rPr>
          <w:rFonts w:ascii="Arial" w:hAnsi="Arial" w:cs="Arial"/>
        </w:rPr>
        <w:t xml:space="preserve"> </w:t>
      </w:r>
      <w:r w:rsidR="00B7224D" w:rsidRPr="00B92447">
        <w:rPr>
          <w:rFonts w:ascii="Arial" w:hAnsi="Arial" w:cs="Arial"/>
        </w:rPr>
        <w:t>w</w:t>
      </w:r>
      <w:r w:rsidR="00E0455E" w:rsidRPr="00B92447">
        <w:rPr>
          <w:rFonts w:ascii="Arial" w:hAnsi="Arial" w:cs="Arial"/>
        </w:rPr>
        <w:t>here</w:t>
      </w:r>
      <w:r w:rsidR="000F0D8A" w:rsidRPr="00B92447">
        <w:rPr>
          <w:rFonts w:ascii="Arial" w:hAnsi="Arial" w:cs="Arial"/>
        </w:rPr>
        <w:t xml:space="preserve"> </w:t>
      </w:r>
      <w:proofErr w:type="spellStart"/>
      <w:r w:rsidR="009755C3" w:rsidRPr="00B92447">
        <w:rPr>
          <w:rFonts w:ascii="Arial" w:hAnsi="Arial" w:cs="Arial"/>
        </w:rPr>
        <w:t>p</w:t>
      </w:r>
      <w:r w:rsidR="000F0D8A" w:rsidRPr="00B92447">
        <w:rPr>
          <w:rFonts w:ascii="Arial" w:hAnsi="Arial" w:cs="Arial"/>
        </w:rPr>
        <w:t>rogramme</w:t>
      </w:r>
      <w:r w:rsidR="00E0455E" w:rsidRPr="00B92447">
        <w:rPr>
          <w:rFonts w:ascii="Arial" w:hAnsi="Arial" w:cs="Arial"/>
        </w:rPr>
        <w:t>s</w:t>
      </w:r>
      <w:proofErr w:type="spellEnd"/>
      <w:r w:rsidR="000F0D8A" w:rsidRPr="00B92447">
        <w:rPr>
          <w:rFonts w:ascii="Arial" w:hAnsi="Arial" w:cs="Arial"/>
        </w:rPr>
        <w:t xml:space="preserve"> of action research </w:t>
      </w:r>
      <w:r w:rsidR="00E0455E" w:rsidRPr="00B92447">
        <w:rPr>
          <w:rFonts w:ascii="Arial" w:hAnsi="Arial" w:cs="Arial"/>
        </w:rPr>
        <w:t>focused on improving the resilience of the wider health determinants governance system (known as the System Resilience Programme) were</w:t>
      </w:r>
      <w:r w:rsidR="004D3C7F" w:rsidRPr="00B92447">
        <w:rPr>
          <w:rFonts w:ascii="Arial" w:hAnsi="Arial" w:cs="Arial"/>
        </w:rPr>
        <w:t xml:space="preserve"> to be</w:t>
      </w:r>
      <w:r w:rsidR="000F0D8A" w:rsidRPr="00B92447">
        <w:rPr>
          <w:rFonts w:ascii="Arial" w:hAnsi="Arial" w:cs="Arial"/>
        </w:rPr>
        <w:t xml:space="preserve"> developed</w:t>
      </w:r>
      <w:r w:rsidR="00D360DB" w:rsidRPr="00B92447">
        <w:rPr>
          <w:rFonts w:ascii="Arial" w:hAnsi="Arial" w:cs="Arial"/>
        </w:rPr>
        <w:t xml:space="preserve"> and implemented.</w:t>
      </w:r>
      <w:r w:rsidR="000F0D8A" w:rsidRPr="00B92447">
        <w:rPr>
          <w:rFonts w:ascii="Arial" w:hAnsi="Arial" w:cs="Arial"/>
        </w:rPr>
        <w:t xml:space="preserve"> This involved a partnership between academics, </w:t>
      </w:r>
      <w:r w:rsidR="00915EBA" w:rsidRPr="00B92447">
        <w:rPr>
          <w:rFonts w:ascii="Arial" w:hAnsi="Arial" w:cs="Arial"/>
        </w:rPr>
        <w:t>LAs</w:t>
      </w:r>
      <w:r w:rsidR="000F0D8A" w:rsidRPr="00B92447">
        <w:rPr>
          <w:rFonts w:ascii="Arial" w:hAnsi="Arial" w:cs="Arial"/>
        </w:rPr>
        <w:t xml:space="preserve"> and residents</w:t>
      </w:r>
      <w:r w:rsidR="001D6FA6" w:rsidRPr="00B92447">
        <w:rPr>
          <w:rFonts w:ascii="Arial" w:hAnsi="Arial" w:cs="Arial"/>
        </w:rPr>
        <w:t>.</w:t>
      </w:r>
      <w:r w:rsidR="000732AB" w:rsidRPr="00B92447">
        <w:rPr>
          <w:rFonts w:ascii="Arial" w:hAnsi="Arial" w:cs="Arial"/>
        </w:rPr>
        <w:t xml:space="preserve"> </w:t>
      </w:r>
      <w:r w:rsidR="001D6FA6" w:rsidRPr="00B92447">
        <w:rPr>
          <w:rFonts w:ascii="Arial" w:hAnsi="Arial" w:cs="Arial"/>
        </w:rPr>
        <w:t>The aim was</w:t>
      </w:r>
      <w:r w:rsidR="000F0D8A" w:rsidRPr="00B92447">
        <w:rPr>
          <w:rFonts w:ascii="Arial" w:hAnsi="Arial" w:cs="Arial"/>
        </w:rPr>
        <w:t xml:space="preserve"> to </w:t>
      </w:r>
      <w:proofErr w:type="spellStart"/>
      <w:r w:rsidR="004D3C7F" w:rsidRPr="00B92447">
        <w:rPr>
          <w:rFonts w:ascii="Arial" w:hAnsi="Arial" w:cs="Arial"/>
        </w:rPr>
        <w:t>utilise</w:t>
      </w:r>
      <w:proofErr w:type="spellEnd"/>
      <w:r w:rsidR="004D3C7F" w:rsidRPr="00B92447">
        <w:rPr>
          <w:rFonts w:ascii="Arial" w:hAnsi="Arial" w:cs="Arial"/>
        </w:rPr>
        <w:t xml:space="preserve"> </w:t>
      </w:r>
      <w:r w:rsidR="000732AB" w:rsidRPr="00B92447">
        <w:rPr>
          <w:rFonts w:ascii="Arial" w:hAnsi="Arial" w:cs="Arial"/>
        </w:rPr>
        <w:t>research evidence</w:t>
      </w:r>
      <w:r w:rsidR="00D51379" w:rsidRPr="00B92447">
        <w:rPr>
          <w:rFonts w:ascii="Arial" w:hAnsi="Arial" w:cs="Arial"/>
        </w:rPr>
        <w:t xml:space="preserve"> alongside the experiential knowledge </w:t>
      </w:r>
      <w:r w:rsidR="000F0D8A" w:rsidRPr="00B92447">
        <w:rPr>
          <w:rFonts w:ascii="Arial" w:hAnsi="Arial" w:cs="Arial"/>
        </w:rPr>
        <w:t xml:space="preserve">of those who live and work in these </w:t>
      </w:r>
      <w:proofErr w:type="spellStart"/>
      <w:r w:rsidR="000F0D8A" w:rsidRPr="00B92447">
        <w:rPr>
          <w:rFonts w:ascii="Arial" w:hAnsi="Arial" w:cs="Arial"/>
        </w:rPr>
        <w:t>neighbourhoods</w:t>
      </w:r>
      <w:proofErr w:type="spellEnd"/>
      <w:r w:rsidR="00D51379" w:rsidRPr="00B92447">
        <w:rPr>
          <w:rFonts w:ascii="Arial" w:hAnsi="Arial" w:cs="Arial"/>
        </w:rPr>
        <w:t xml:space="preserve"> to </w:t>
      </w:r>
      <w:r w:rsidR="000F0D8A" w:rsidRPr="00B92447">
        <w:rPr>
          <w:rFonts w:ascii="Arial" w:hAnsi="Arial" w:cs="Arial"/>
        </w:rPr>
        <w:t xml:space="preserve">enhance resilience </w:t>
      </w:r>
      <w:r w:rsidR="004D3C7F" w:rsidRPr="00B92447">
        <w:rPr>
          <w:rFonts w:ascii="Arial" w:hAnsi="Arial" w:cs="Arial"/>
        </w:rPr>
        <w:t>and thus</w:t>
      </w:r>
      <w:r w:rsidR="000F0D8A" w:rsidRPr="00B92447">
        <w:rPr>
          <w:rFonts w:ascii="Arial" w:hAnsi="Arial" w:cs="Arial"/>
        </w:rPr>
        <w:t xml:space="preserve"> </w:t>
      </w:r>
      <w:r w:rsidR="00D51379" w:rsidRPr="00B92447">
        <w:rPr>
          <w:rFonts w:ascii="Arial" w:hAnsi="Arial" w:cs="Arial"/>
        </w:rPr>
        <w:t>address social, economic, and environmental</w:t>
      </w:r>
      <w:r w:rsidR="000F0D8A" w:rsidRPr="00B92447">
        <w:rPr>
          <w:rFonts w:ascii="Arial" w:hAnsi="Arial" w:cs="Arial"/>
        </w:rPr>
        <w:t xml:space="preserve"> determinants of</w:t>
      </w:r>
      <w:r w:rsidR="00D51379" w:rsidRPr="00B92447">
        <w:rPr>
          <w:rFonts w:ascii="Arial" w:hAnsi="Arial" w:cs="Arial"/>
        </w:rPr>
        <w:t xml:space="preserve"> health inequalities</w:t>
      </w:r>
      <w:r w:rsidR="00E1497A" w:rsidRPr="00B92447">
        <w:rPr>
          <w:rFonts w:ascii="Arial" w:hAnsi="Arial" w:cs="Arial"/>
        </w:rPr>
        <w:t xml:space="preserve">. </w:t>
      </w:r>
      <w:r w:rsidR="00915EBA" w:rsidRPr="00B92447">
        <w:rPr>
          <w:rFonts w:ascii="Arial" w:hAnsi="Arial" w:cs="Arial"/>
        </w:rPr>
        <w:t xml:space="preserve">Data from the HHS </w:t>
      </w:r>
      <w:r w:rsidR="00E0455E" w:rsidRPr="00B92447">
        <w:rPr>
          <w:rFonts w:ascii="Arial" w:hAnsi="Arial" w:cs="Arial"/>
        </w:rPr>
        <w:t xml:space="preserve">has </w:t>
      </w:r>
      <w:r w:rsidR="00EF1CD1" w:rsidRPr="00B92447">
        <w:rPr>
          <w:rFonts w:ascii="Arial" w:hAnsi="Arial" w:cs="Arial"/>
        </w:rPr>
        <w:t xml:space="preserve">been </w:t>
      </w:r>
      <w:proofErr w:type="spellStart"/>
      <w:r w:rsidR="00EF1CD1" w:rsidRPr="00B92447">
        <w:rPr>
          <w:rFonts w:ascii="Arial" w:hAnsi="Arial" w:cs="Arial"/>
        </w:rPr>
        <w:t>utili</w:t>
      </w:r>
      <w:r w:rsidR="00915EBA" w:rsidRPr="00B92447">
        <w:rPr>
          <w:rFonts w:ascii="Arial" w:hAnsi="Arial" w:cs="Arial"/>
        </w:rPr>
        <w:t>s</w:t>
      </w:r>
      <w:r w:rsidR="00EF1CD1" w:rsidRPr="00B92447">
        <w:rPr>
          <w:rFonts w:ascii="Arial" w:hAnsi="Arial" w:cs="Arial"/>
        </w:rPr>
        <w:t>ed</w:t>
      </w:r>
      <w:proofErr w:type="spellEnd"/>
      <w:r w:rsidR="00EF1CD1" w:rsidRPr="00B92447">
        <w:rPr>
          <w:rFonts w:ascii="Arial" w:hAnsi="Arial" w:cs="Arial"/>
        </w:rPr>
        <w:t xml:space="preserve"> in the early phases of the </w:t>
      </w:r>
      <w:r w:rsidR="000F0D8A" w:rsidRPr="00B92447">
        <w:rPr>
          <w:rFonts w:ascii="Arial" w:hAnsi="Arial" w:cs="Arial"/>
        </w:rPr>
        <w:t xml:space="preserve">System Resilience Programme </w:t>
      </w:r>
      <w:r w:rsidR="00EF1CD1" w:rsidRPr="00B92447">
        <w:rPr>
          <w:rFonts w:ascii="Arial" w:hAnsi="Arial" w:cs="Arial"/>
        </w:rPr>
        <w:t xml:space="preserve">to support local stakeholders </w:t>
      </w:r>
      <w:r w:rsidR="00E0455E" w:rsidRPr="00B92447">
        <w:rPr>
          <w:rFonts w:ascii="Arial" w:hAnsi="Arial" w:cs="Arial"/>
        </w:rPr>
        <w:t xml:space="preserve">in </w:t>
      </w:r>
      <w:r w:rsidR="00EF1CD1" w:rsidRPr="00B92447">
        <w:rPr>
          <w:rFonts w:ascii="Arial" w:hAnsi="Arial" w:cs="Arial"/>
        </w:rPr>
        <w:t>identify</w:t>
      </w:r>
      <w:r w:rsidR="00E0455E" w:rsidRPr="00B92447">
        <w:rPr>
          <w:rFonts w:ascii="Arial" w:hAnsi="Arial" w:cs="Arial"/>
        </w:rPr>
        <w:t>ing</w:t>
      </w:r>
      <w:r w:rsidR="00EF1CD1" w:rsidRPr="00B92447">
        <w:rPr>
          <w:rFonts w:ascii="Arial" w:hAnsi="Arial" w:cs="Arial"/>
        </w:rPr>
        <w:t xml:space="preserve"> lo</w:t>
      </w:r>
      <w:r w:rsidR="00915EBA" w:rsidRPr="00B92447">
        <w:rPr>
          <w:rFonts w:ascii="Arial" w:hAnsi="Arial" w:cs="Arial"/>
        </w:rPr>
        <w:t>cal issues for action</w:t>
      </w:r>
      <w:r w:rsidR="004D3C7F" w:rsidRPr="00B92447">
        <w:rPr>
          <w:rFonts w:ascii="Arial" w:hAnsi="Arial" w:cs="Arial"/>
        </w:rPr>
        <w:t>,</w:t>
      </w:r>
      <w:r w:rsidR="00915EBA" w:rsidRPr="00B92447">
        <w:rPr>
          <w:rFonts w:ascii="Arial" w:hAnsi="Arial" w:cs="Arial"/>
        </w:rPr>
        <w:t xml:space="preserve"> and it is</w:t>
      </w:r>
      <w:r w:rsidR="000F0D8A" w:rsidRPr="00B92447">
        <w:rPr>
          <w:rFonts w:ascii="Arial" w:hAnsi="Arial" w:cs="Arial"/>
        </w:rPr>
        <w:t xml:space="preserve"> being evaluated using a mixed</w:t>
      </w:r>
      <w:r w:rsidR="004D3C7F" w:rsidRPr="00B92447">
        <w:rPr>
          <w:rFonts w:ascii="Arial" w:hAnsi="Arial" w:cs="Arial"/>
        </w:rPr>
        <w:t>-</w:t>
      </w:r>
      <w:r w:rsidR="000F0D8A" w:rsidRPr="00B92447">
        <w:rPr>
          <w:rFonts w:ascii="Arial" w:hAnsi="Arial" w:cs="Arial"/>
        </w:rPr>
        <w:t xml:space="preserve">method approach including longitudinal data </w:t>
      </w:r>
      <w:r w:rsidR="00EF1CD1" w:rsidRPr="00B92447">
        <w:rPr>
          <w:rFonts w:ascii="Arial" w:hAnsi="Arial" w:cs="Arial"/>
        </w:rPr>
        <w:t xml:space="preserve">from Waves 1 and </w:t>
      </w:r>
      <w:r w:rsidR="00724FF5" w:rsidRPr="00B92447">
        <w:rPr>
          <w:rFonts w:ascii="Arial" w:hAnsi="Arial" w:cs="Arial"/>
        </w:rPr>
        <w:t xml:space="preserve">2 of the HHS. </w:t>
      </w:r>
      <w:r w:rsidR="004D3C7F" w:rsidRPr="00B92447">
        <w:rPr>
          <w:rFonts w:ascii="Arial" w:hAnsi="Arial" w:cs="Arial"/>
        </w:rPr>
        <w:t>Figure 2 shows the criteria necessary to be considered as a disadvantaged area for the purpose of the survey</w:t>
      </w:r>
      <w:r w:rsidR="0044786C" w:rsidRPr="00B92447">
        <w:rPr>
          <w:rFonts w:ascii="Arial" w:hAnsi="Arial" w:cs="Arial"/>
        </w:rPr>
        <w:t>.</w:t>
      </w:r>
    </w:p>
    <w:p w14:paraId="515BC362" w14:textId="77777777" w:rsidR="00EF1CD1" w:rsidRDefault="0044786C" w:rsidP="002E610A">
      <w:pPr>
        <w:spacing w:after="0"/>
        <w:jc w:val="both"/>
        <w:rPr>
          <w:rFonts w:ascii="Arial" w:hAnsi="Arial" w:cs="Arial"/>
        </w:rPr>
      </w:pPr>
      <w:r w:rsidRPr="00B92447">
        <w:rPr>
          <w:rFonts w:ascii="Arial" w:hAnsi="Arial" w:cs="Arial"/>
        </w:rPr>
        <w:tab/>
        <w:t>For Wave 2</w:t>
      </w:r>
      <w:r w:rsidR="0011572A" w:rsidRPr="00B92447">
        <w:rPr>
          <w:rFonts w:ascii="Arial" w:hAnsi="Arial" w:cs="Arial"/>
        </w:rPr>
        <w:t xml:space="preserve"> (2018)</w:t>
      </w:r>
      <w:r w:rsidRPr="00B92447">
        <w:rPr>
          <w:rFonts w:ascii="Arial" w:hAnsi="Arial" w:cs="Arial"/>
        </w:rPr>
        <w:t xml:space="preserve">, only the 20 disadvantaged </w:t>
      </w:r>
      <w:proofErr w:type="spellStart"/>
      <w:r w:rsidRPr="00B92447">
        <w:rPr>
          <w:rFonts w:ascii="Arial" w:hAnsi="Arial" w:cs="Arial"/>
        </w:rPr>
        <w:t>neighbourhoods</w:t>
      </w:r>
      <w:proofErr w:type="spellEnd"/>
      <w:r w:rsidRPr="00B92447">
        <w:rPr>
          <w:rFonts w:ascii="Arial" w:hAnsi="Arial" w:cs="Arial"/>
        </w:rPr>
        <w:t xml:space="preserve"> were </w:t>
      </w:r>
      <w:r w:rsidR="00E0455E" w:rsidRPr="00B92447">
        <w:rPr>
          <w:rFonts w:ascii="Arial" w:hAnsi="Arial" w:cs="Arial"/>
        </w:rPr>
        <w:t>surveyed</w:t>
      </w:r>
      <w:r w:rsidRPr="00B92447">
        <w:rPr>
          <w:rFonts w:ascii="Arial" w:hAnsi="Arial" w:cs="Arial"/>
        </w:rPr>
        <w:t>. Firstly, participants from Wave 1 who had expressed an interest in taking par</w:t>
      </w:r>
      <w:r w:rsidR="002E610A" w:rsidRPr="00B92447">
        <w:rPr>
          <w:rFonts w:ascii="Arial" w:hAnsi="Arial" w:cs="Arial"/>
        </w:rPr>
        <w:t>t in Wave 2 were contacted</w:t>
      </w:r>
      <w:r w:rsidRPr="00B92447">
        <w:rPr>
          <w:rFonts w:ascii="Arial" w:hAnsi="Arial" w:cs="Arial"/>
        </w:rPr>
        <w:t xml:space="preserve"> to participate. Where </w:t>
      </w:r>
      <w:r w:rsidR="007C1A5A" w:rsidRPr="00B92447">
        <w:rPr>
          <w:rFonts w:ascii="Arial" w:hAnsi="Arial" w:cs="Arial"/>
        </w:rPr>
        <w:t>participants</w:t>
      </w:r>
      <w:r w:rsidRPr="00B92447">
        <w:rPr>
          <w:rFonts w:ascii="Arial" w:hAnsi="Arial" w:cs="Arial"/>
        </w:rPr>
        <w:t xml:space="preserve"> were no longer interested in a follow-up survey, or had moved away, researchers contacted other </w:t>
      </w:r>
      <w:r w:rsidR="007C1A5A" w:rsidRPr="00B92447">
        <w:rPr>
          <w:rFonts w:ascii="Arial" w:hAnsi="Arial" w:cs="Arial"/>
        </w:rPr>
        <w:t xml:space="preserve">participants from the same household or residence </w:t>
      </w:r>
      <w:r w:rsidRPr="00B92447">
        <w:rPr>
          <w:rFonts w:ascii="Arial" w:hAnsi="Arial" w:cs="Arial"/>
        </w:rPr>
        <w:t>for participation.</w:t>
      </w:r>
      <w:r w:rsidR="00287D38" w:rsidRPr="00B92447">
        <w:rPr>
          <w:rFonts w:ascii="Arial" w:hAnsi="Arial" w:cs="Arial"/>
        </w:rPr>
        <w:t xml:space="preserve"> Alternatively, new residents in the </w:t>
      </w:r>
      <w:proofErr w:type="spellStart"/>
      <w:r w:rsidR="00287D38" w:rsidRPr="00B92447">
        <w:rPr>
          <w:rFonts w:ascii="Arial" w:hAnsi="Arial" w:cs="Arial"/>
        </w:rPr>
        <w:t>neighbourhoods</w:t>
      </w:r>
      <w:proofErr w:type="spellEnd"/>
      <w:r w:rsidR="00287D38" w:rsidRPr="00B92447">
        <w:rPr>
          <w:rFonts w:ascii="Arial" w:hAnsi="Arial" w:cs="Arial"/>
        </w:rPr>
        <w:t xml:space="preserve"> were approached for participation.</w:t>
      </w:r>
      <w:r w:rsidR="006C66AE" w:rsidRPr="00B92447">
        <w:rPr>
          <w:rFonts w:ascii="Arial" w:hAnsi="Arial" w:cs="Arial"/>
        </w:rPr>
        <w:t xml:space="preserve"> </w:t>
      </w:r>
    </w:p>
    <w:p w14:paraId="486373EC" w14:textId="77777777" w:rsidR="00982073" w:rsidRDefault="00982073" w:rsidP="002E610A">
      <w:pPr>
        <w:spacing w:after="0"/>
        <w:jc w:val="both"/>
        <w:rPr>
          <w:rFonts w:ascii="Arial" w:hAnsi="Arial" w:cs="Arial"/>
        </w:rPr>
      </w:pPr>
    </w:p>
    <w:p w14:paraId="2A62FF19" w14:textId="77777777" w:rsidR="00982073" w:rsidRPr="00982073" w:rsidRDefault="00982073" w:rsidP="002E610A">
      <w:pPr>
        <w:spacing w:after="0"/>
        <w:jc w:val="both"/>
        <w:rPr>
          <w:rFonts w:ascii="Arial" w:hAnsi="Arial" w:cs="Arial"/>
          <w:b/>
          <w:i/>
        </w:rPr>
      </w:pPr>
      <w:r w:rsidRPr="00982073">
        <w:rPr>
          <w:rFonts w:ascii="Arial" w:hAnsi="Arial" w:cs="Arial"/>
          <w:b/>
          <w:i/>
        </w:rPr>
        <w:t>[Figure 1 and 2]</w:t>
      </w:r>
    </w:p>
    <w:p w14:paraId="32E13E2C" w14:textId="77777777" w:rsidR="0056097A" w:rsidRPr="00B92447" w:rsidRDefault="0056097A" w:rsidP="0056097A">
      <w:pPr>
        <w:spacing w:after="0"/>
        <w:jc w:val="both"/>
        <w:rPr>
          <w:rFonts w:ascii="Arial" w:hAnsi="Arial" w:cs="Arial"/>
          <w:szCs w:val="28"/>
        </w:rPr>
      </w:pPr>
    </w:p>
    <w:p w14:paraId="061ADA88" w14:textId="77777777" w:rsidR="0056097A" w:rsidRPr="00B92447" w:rsidRDefault="007B4EC6" w:rsidP="007B4EC6">
      <w:pPr>
        <w:spacing w:after="0"/>
        <w:jc w:val="both"/>
        <w:rPr>
          <w:rFonts w:ascii="Arial" w:hAnsi="Arial" w:cs="Arial"/>
          <w:szCs w:val="28"/>
        </w:rPr>
      </w:pPr>
      <w:r w:rsidRPr="00B92447">
        <w:rPr>
          <w:rFonts w:ascii="Arial" w:hAnsi="Arial" w:cs="Arial"/>
          <w:b/>
          <w:szCs w:val="28"/>
        </w:rPr>
        <w:t>Survey data</w:t>
      </w:r>
    </w:p>
    <w:p w14:paraId="4F3E3DE4" w14:textId="77777777" w:rsidR="0056097A" w:rsidRDefault="0056097A" w:rsidP="0056097A">
      <w:pPr>
        <w:jc w:val="both"/>
        <w:rPr>
          <w:rFonts w:ascii="Arial" w:hAnsi="Arial" w:cs="Arial"/>
        </w:rPr>
      </w:pPr>
      <w:r w:rsidRPr="00B92447">
        <w:rPr>
          <w:rFonts w:ascii="Arial" w:hAnsi="Arial" w:cs="Arial"/>
        </w:rPr>
        <w:t xml:space="preserve">Table 1 shows the list of questions and scales within the HHS, which included sections on demographics, </w:t>
      </w:r>
      <w:r w:rsidRPr="00B92447">
        <w:rPr>
          <w:rFonts w:ascii="Arial" w:hAnsi="Arial" w:cs="Arial"/>
          <w:szCs w:val="28"/>
        </w:rPr>
        <w:t xml:space="preserve">housing, physical health, mental health, lifestyle, social issues, </w:t>
      </w:r>
      <w:proofErr w:type="spellStart"/>
      <w:r w:rsidRPr="00B92447">
        <w:rPr>
          <w:rFonts w:ascii="Arial" w:hAnsi="Arial" w:cs="Arial"/>
          <w:szCs w:val="28"/>
        </w:rPr>
        <w:t>neighbourhood</w:t>
      </w:r>
      <w:proofErr w:type="spellEnd"/>
      <w:r w:rsidRPr="00B92447">
        <w:rPr>
          <w:rFonts w:ascii="Arial" w:hAnsi="Arial" w:cs="Arial"/>
          <w:szCs w:val="28"/>
        </w:rPr>
        <w:t xml:space="preserve"> environment, health and social care use, and work and finances</w:t>
      </w:r>
      <w:r w:rsidRPr="00B92447">
        <w:rPr>
          <w:rFonts w:ascii="Arial" w:hAnsi="Arial" w:cs="Arial"/>
        </w:rPr>
        <w:t xml:space="preserve">. Specific health and mental health measures include the </w:t>
      </w:r>
      <w:proofErr w:type="spellStart"/>
      <w:r w:rsidRPr="00B92447">
        <w:rPr>
          <w:rFonts w:ascii="Arial" w:hAnsi="Arial" w:cs="Arial"/>
        </w:rPr>
        <w:t>Personalised</w:t>
      </w:r>
      <w:proofErr w:type="spellEnd"/>
      <w:r w:rsidRPr="00B92447">
        <w:rPr>
          <w:rFonts w:ascii="Arial" w:hAnsi="Arial" w:cs="Arial"/>
        </w:rPr>
        <w:t xml:space="preserve"> Health Questionnaire 9 (PHQ9) [15], the </w:t>
      </w:r>
      <w:proofErr w:type="spellStart"/>
      <w:r w:rsidRPr="00B92447">
        <w:rPr>
          <w:rFonts w:ascii="Arial" w:hAnsi="Arial" w:cs="Arial"/>
        </w:rPr>
        <w:t>Generalised</w:t>
      </w:r>
      <w:proofErr w:type="spellEnd"/>
      <w:r w:rsidRPr="00B92447">
        <w:rPr>
          <w:rFonts w:ascii="Arial" w:hAnsi="Arial" w:cs="Arial"/>
        </w:rPr>
        <w:t xml:space="preserve"> Anxiety Disorder Assessment 7 (GAD7) [16], the Warwick-Edinburgh Mental Wellbeing Scale (WEMWBS) [17], and the EQ-5D [18].</w:t>
      </w:r>
      <w:r w:rsidR="00B36C94">
        <w:rPr>
          <w:rFonts w:ascii="Arial" w:hAnsi="Arial" w:cs="Arial"/>
        </w:rPr>
        <w:t xml:space="preserve"> The survey was newly designed and is attached in </w:t>
      </w:r>
      <w:r w:rsidR="0079314C">
        <w:rPr>
          <w:rFonts w:ascii="Arial" w:hAnsi="Arial" w:cs="Arial"/>
        </w:rPr>
        <w:t xml:space="preserve">the </w:t>
      </w:r>
      <w:r w:rsidR="00B36C94">
        <w:rPr>
          <w:rFonts w:ascii="Arial" w:hAnsi="Arial" w:cs="Arial"/>
        </w:rPr>
        <w:t>A</w:t>
      </w:r>
      <w:r w:rsidR="0079314C">
        <w:rPr>
          <w:rFonts w:ascii="Arial" w:hAnsi="Arial" w:cs="Arial"/>
        </w:rPr>
        <w:t>dditional File</w:t>
      </w:r>
      <w:r w:rsidR="00B36C94">
        <w:rPr>
          <w:rFonts w:ascii="Arial" w:hAnsi="Arial" w:cs="Arial"/>
        </w:rPr>
        <w:t xml:space="preserve"> 1.</w:t>
      </w:r>
    </w:p>
    <w:p w14:paraId="21D92D4B" w14:textId="77777777" w:rsidR="00943E59" w:rsidRPr="00943E59" w:rsidRDefault="00943E59" w:rsidP="0056097A">
      <w:pPr>
        <w:jc w:val="both"/>
        <w:rPr>
          <w:rFonts w:ascii="Arial" w:hAnsi="Arial" w:cs="Arial"/>
          <w:b/>
          <w:i/>
        </w:rPr>
      </w:pPr>
      <w:r w:rsidRPr="00943E59">
        <w:rPr>
          <w:rFonts w:ascii="Arial" w:hAnsi="Arial" w:cs="Arial"/>
          <w:b/>
          <w:i/>
        </w:rPr>
        <w:t>[</w:t>
      </w:r>
      <w:r w:rsidR="00DA6837">
        <w:rPr>
          <w:rFonts w:ascii="Arial" w:hAnsi="Arial" w:cs="Arial"/>
          <w:b/>
          <w:i/>
        </w:rPr>
        <w:t xml:space="preserve">Table 1 and </w:t>
      </w:r>
      <w:r w:rsidR="0079314C">
        <w:rPr>
          <w:rFonts w:ascii="Arial" w:hAnsi="Arial" w:cs="Arial"/>
          <w:b/>
          <w:i/>
        </w:rPr>
        <w:t xml:space="preserve">Additional File </w:t>
      </w:r>
      <w:r w:rsidRPr="00943E59">
        <w:rPr>
          <w:rFonts w:ascii="Arial" w:hAnsi="Arial" w:cs="Arial"/>
          <w:b/>
          <w:i/>
        </w:rPr>
        <w:t>1]</w:t>
      </w:r>
    </w:p>
    <w:p w14:paraId="23AB6B71" w14:textId="77777777" w:rsidR="007B4EC6" w:rsidRPr="00B92447" w:rsidRDefault="007B4EC6" w:rsidP="007B4EC6">
      <w:pPr>
        <w:spacing w:after="0"/>
        <w:jc w:val="both"/>
        <w:rPr>
          <w:rFonts w:ascii="Arial" w:hAnsi="Arial" w:cs="Arial"/>
          <w:b/>
        </w:rPr>
      </w:pPr>
      <w:r w:rsidRPr="00B92447">
        <w:rPr>
          <w:rFonts w:ascii="Arial" w:hAnsi="Arial" w:cs="Arial"/>
          <w:b/>
        </w:rPr>
        <w:t>Data analysis</w:t>
      </w:r>
    </w:p>
    <w:p w14:paraId="024595B0" w14:textId="77777777" w:rsidR="007B4EC6" w:rsidRPr="00B92447" w:rsidRDefault="007B4EC6" w:rsidP="007B4EC6">
      <w:pPr>
        <w:spacing w:after="0"/>
        <w:jc w:val="both"/>
        <w:rPr>
          <w:rFonts w:ascii="Arial" w:hAnsi="Arial" w:cs="Arial"/>
          <w:szCs w:val="28"/>
        </w:rPr>
      </w:pPr>
      <w:r w:rsidRPr="00B92447">
        <w:rPr>
          <w:rFonts w:ascii="Arial" w:hAnsi="Arial" w:cs="Arial"/>
          <w:szCs w:val="28"/>
        </w:rPr>
        <w:t>Data were prepared using weighting adjustment in applying survey weights to account for the differential sample sizes in each area, and to account for over- and under-response rates in certain areas which are not representative of that area’s population. Weights were applied by ward/</w:t>
      </w:r>
      <w:r w:rsidRPr="00B92447">
        <w:rPr>
          <w:rFonts w:ascii="Arial" w:hAnsi="Arial"/>
        </w:rPr>
        <w:t xml:space="preserve"> Lower Level Super Output Area (</w:t>
      </w:r>
      <w:r w:rsidRPr="00B92447">
        <w:rPr>
          <w:rFonts w:ascii="Arial" w:hAnsi="Arial" w:cs="Arial"/>
          <w:szCs w:val="28"/>
        </w:rPr>
        <w:t xml:space="preserve">LSOA) using the following auxiliary variables in the </w:t>
      </w:r>
      <w:r w:rsidRPr="00B92447">
        <w:rPr>
          <w:rFonts w:ascii="Arial" w:hAnsi="Arial" w:cs="Arial"/>
          <w:szCs w:val="28"/>
        </w:rPr>
        <w:lastRenderedPageBreak/>
        <w:t xml:space="preserve">following order: gender, ethnicity, economic status, and age; followed by a rim weight by population within each ward/LSOA.   </w:t>
      </w:r>
    </w:p>
    <w:p w14:paraId="428C26ED" w14:textId="77777777" w:rsidR="007B4EC6" w:rsidRPr="00B92447" w:rsidRDefault="007B4EC6" w:rsidP="007B4EC6">
      <w:pPr>
        <w:spacing w:after="0"/>
        <w:ind w:firstLine="720"/>
        <w:jc w:val="both"/>
        <w:rPr>
          <w:rFonts w:ascii="Arial" w:hAnsi="Arial" w:cs="Arial"/>
          <w:szCs w:val="28"/>
        </w:rPr>
      </w:pPr>
      <w:r w:rsidRPr="00B92447">
        <w:rPr>
          <w:rFonts w:ascii="Arial" w:hAnsi="Arial" w:cs="Arial"/>
          <w:szCs w:val="28"/>
        </w:rPr>
        <w:t xml:space="preserve">To test the quality of the sampling we conducted a series of parametric (ANOVA) and non-parametric (Chi-square test of independence) tests to determine whether there were differences between the </w:t>
      </w:r>
      <w:proofErr w:type="spellStart"/>
      <w:r w:rsidRPr="00B92447">
        <w:rPr>
          <w:rFonts w:ascii="Arial" w:hAnsi="Arial" w:cs="Arial"/>
          <w:szCs w:val="28"/>
        </w:rPr>
        <w:t>NfLs</w:t>
      </w:r>
      <w:proofErr w:type="spellEnd"/>
      <w:r w:rsidRPr="00B92447">
        <w:rPr>
          <w:rFonts w:ascii="Arial" w:hAnsi="Arial" w:cs="Arial"/>
          <w:szCs w:val="28"/>
        </w:rPr>
        <w:t xml:space="preserve">, disadvantaged comparator </w:t>
      </w:r>
      <w:proofErr w:type="spellStart"/>
      <w:r w:rsidRPr="00B92447">
        <w:rPr>
          <w:rFonts w:ascii="Arial" w:hAnsi="Arial" w:cs="Arial"/>
          <w:szCs w:val="28"/>
        </w:rPr>
        <w:t>neighbourhoods</w:t>
      </w:r>
      <w:proofErr w:type="spellEnd"/>
      <w:r w:rsidRPr="00B92447">
        <w:rPr>
          <w:rFonts w:ascii="Arial" w:hAnsi="Arial" w:cs="Arial"/>
          <w:szCs w:val="28"/>
        </w:rPr>
        <w:t xml:space="preserve"> and relatively advantaged </w:t>
      </w:r>
      <w:proofErr w:type="spellStart"/>
      <w:r w:rsidRPr="00B92447">
        <w:rPr>
          <w:rFonts w:ascii="Arial" w:hAnsi="Arial" w:cs="Arial"/>
          <w:szCs w:val="28"/>
        </w:rPr>
        <w:t>neighbourhooods</w:t>
      </w:r>
      <w:proofErr w:type="spellEnd"/>
      <w:r w:rsidR="007C6E06" w:rsidRPr="00B92447">
        <w:rPr>
          <w:rFonts w:ascii="Arial" w:hAnsi="Arial" w:cs="Arial"/>
          <w:szCs w:val="28"/>
        </w:rPr>
        <w:t>, as well as between waves,</w:t>
      </w:r>
      <w:r w:rsidRPr="00B92447">
        <w:rPr>
          <w:rFonts w:ascii="Arial" w:hAnsi="Arial" w:cs="Arial"/>
          <w:szCs w:val="28"/>
        </w:rPr>
        <w:t xml:space="preserve"> on key demographic, socioeconomic, and health-related variables.</w:t>
      </w:r>
      <w:r w:rsidR="00275C61" w:rsidRPr="00B92447">
        <w:rPr>
          <w:rFonts w:ascii="Arial" w:hAnsi="Arial" w:cs="Arial"/>
          <w:szCs w:val="28"/>
        </w:rPr>
        <w:t xml:space="preserve"> </w:t>
      </w:r>
      <w:proofErr w:type="spellStart"/>
      <w:r w:rsidR="00275C61" w:rsidRPr="00B92447">
        <w:rPr>
          <w:rFonts w:ascii="Arial" w:hAnsi="Arial" w:cs="Arial"/>
          <w:szCs w:val="28"/>
        </w:rPr>
        <w:t>Neighbourhood</w:t>
      </w:r>
      <w:proofErr w:type="spellEnd"/>
      <w:r w:rsidR="00275C61" w:rsidRPr="00B92447">
        <w:rPr>
          <w:rFonts w:ascii="Arial" w:hAnsi="Arial" w:cs="Arial"/>
          <w:szCs w:val="28"/>
        </w:rPr>
        <w:t xml:space="preserve"> differences on key health and service use measures are shown in Figure 3.</w:t>
      </w:r>
      <w:r w:rsidRPr="00B92447">
        <w:rPr>
          <w:rFonts w:ascii="Arial" w:hAnsi="Arial" w:cs="Arial"/>
          <w:szCs w:val="28"/>
        </w:rPr>
        <w:t xml:space="preserve"> ANOVAs were employed for continuous variables to detect mean differences between </w:t>
      </w:r>
      <w:proofErr w:type="spellStart"/>
      <w:r w:rsidRPr="00B92447">
        <w:rPr>
          <w:rFonts w:ascii="Arial" w:hAnsi="Arial" w:cs="Arial"/>
          <w:szCs w:val="28"/>
        </w:rPr>
        <w:t>neighbourhood</w:t>
      </w:r>
      <w:proofErr w:type="spellEnd"/>
      <w:r w:rsidRPr="00B92447">
        <w:rPr>
          <w:rFonts w:ascii="Arial" w:hAnsi="Arial" w:cs="Arial"/>
          <w:szCs w:val="28"/>
        </w:rPr>
        <w:t xml:space="preserve"> types. Follow-up comparisons employed Bonferroni adjustment to control for familywise error associated with conducting multiple tests. Chi square tests for independence were used to compare frequency statistics. This analysis tests whether the observed frequencies differ from expected frequencies if there was no relationship between </w:t>
      </w:r>
      <w:proofErr w:type="spellStart"/>
      <w:r w:rsidRPr="00B92447">
        <w:rPr>
          <w:rFonts w:ascii="Arial" w:hAnsi="Arial" w:cs="Arial"/>
          <w:szCs w:val="28"/>
        </w:rPr>
        <w:t>neighbourhood</w:t>
      </w:r>
      <w:proofErr w:type="spellEnd"/>
      <w:r w:rsidRPr="00B92447">
        <w:rPr>
          <w:rFonts w:ascii="Arial" w:hAnsi="Arial" w:cs="Arial"/>
          <w:szCs w:val="28"/>
        </w:rPr>
        <w:t xml:space="preserve"> type and the variable of interest. In other words, it tests whether there are more or less people in a particular type of </w:t>
      </w:r>
      <w:proofErr w:type="spellStart"/>
      <w:r w:rsidRPr="00B92447">
        <w:rPr>
          <w:rFonts w:ascii="Arial" w:hAnsi="Arial" w:cs="Arial"/>
          <w:szCs w:val="28"/>
        </w:rPr>
        <w:t>neighbourhood</w:t>
      </w:r>
      <w:proofErr w:type="spellEnd"/>
      <w:r w:rsidRPr="00B92447">
        <w:rPr>
          <w:rFonts w:ascii="Arial" w:hAnsi="Arial" w:cs="Arial"/>
          <w:szCs w:val="28"/>
        </w:rPr>
        <w:t xml:space="preserve"> (</w:t>
      </w:r>
      <w:proofErr w:type="spellStart"/>
      <w:r w:rsidRPr="00B92447">
        <w:rPr>
          <w:rFonts w:ascii="Arial" w:hAnsi="Arial" w:cs="Arial"/>
          <w:szCs w:val="28"/>
        </w:rPr>
        <w:t>NfL</w:t>
      </w:r>
      <w:proofErr w:type="spellEnd"/>
      <w:r w:rsidRPr="00B92447">
        <w:rPr>
          <w:rFonts w:ascii="Arial" w:hAnsi="Arial" w:cs="Arial"/>
          <w:szCs w:val="28"/>
        </w:rPr>
        <w:t xml:space="preserve">, disadvantaged comparator, less disadvantaged) with a particular characteristic (e.g., a mental health condition) than would be </w:t>
      </w:r>
      <w:r w:rsidRPr="00B92447">
        <w:rPr>
          <w:rFonts w:ascii="Arial" w:hAnsi="Arial" w:cs="Arial"/>
          <w:i/>
          <w:szCs w:val="28"/>
        </w:rPr>
        <w:t>expected due to chance alone</w:t>
      </w:r>
      <w:r w:rsidRPr="00B92447">
        <w:rPr>
          <w:rFonts w:ascii="Arial" w:hAnsi="Arial" w:cs="Arial"/>
          <w:szCs w:val="28"/>
        </w:rPr>
        <w:t xml:space="preserve">. The significance of chi-square follow-up tests was assessed using chi-square tables, hence exact p-values are not reported. We also compared results to national statistics where appropriate and if data were available. Data were </w:t>
      </w:r>
      <w:proofErr w:type="spellStart"/>
      <w:r w:rsidRPr="00B92447">
        <w:rPr>
          <w:rFonts w:ascii="Arial" w:hAnsi="Arial" w:cs="Arial"/>
          <w:szCs w:val="28"/>
        </w:rPr>
        <w:t>analysed</w:t>
      </w:r>
      <w:proofErr w:type="spellEnd"/>
      <w:r w:rsidRPr="00B92447">
        <w:rPr>
          <w:rFonts w:ascii="Arial" w:hAnsi="Arial" w:cs="Arial"/>
          <w:szCs w:val="28"/>
        </w:rPr>
        <w:t xml:space="preserve"> in STATA version 14.   </w:t>
      </w:r>
    </w:p>
    <w:p w14:paraId="15BE2F77" w14:textId="77777777" w:rsidR="007B4EC6" w:rsidRPr="00B92447" w:rsidRDefault="007B4EC6" w:rsidP="0056097A">
      <w:pPr>
        <w:jc w:val="both"/>
        <w:rPr>
          <w:rFonts w:ascii="Arial" w:hAnsi="Arial" w:cs="Arial"/>
        </w:rPr>
      </w:pPr>
    </w:p>
    <w:p w14:paraId="3C2F98C9" w14:textId="77777777" w:rsidR="0056097A" w:rsidRPr="00B92447" w:rsidRDefault="0056097A" w:rsidP="009C55CB">
      <w:pPr>
        <w:outlineLvl w:val="0"/>
        <w:rPr>
          <w:rFonts w:ascii="Arial" w:hAnsi="Arial" w:cs="Arial"/>
          <w:b/>
          <w:sz w:val="24"/>
          <w:szCs w:val="28"/>
        </w:rPr>
      </w:pPr>
      <w:r w:rsidRPr="00B92447">
        <w:rPr>
          <w:rFonts w:ascii="Arial" w:hAnsi="Arial" w:cs="Arial"/>
          <w:b/>
          <w:sz w:val="24"/>
          <w:szCs w:val="28"/>
        </w:rPr>
        <w:t>Results</w:t>
      </w:r>
    </w:p>
    <w:p w14:paraId="09052579" w14:textId="77777777" w:rsidR="00761FAA" w:rsidRPr="00B92447" w:rsidRDefault="00BF393F" w:rsidP="007B6EEC">
      <w:pPr>
        <w:spacing w:after="0"/>
        <w:jc w:val="both"/>
        <w:rPr>
          <w:rFonts w:ascii="Arial" w:hAnsi="Arial" w:cs="Arial"/>
        </w:rPr>
      </w:pPr>
      <w:r w:rsidRPr="00B92447">
        <w:rPr>
          <w:rFonts w:ascii="Arial" w:hAnsi="Arial" w:cs="Arial"/>
          <w:szCs w:val="28"/>
        </w:rPr>
        <w:t xml:space="preserve">In total, </w:t>
      </w:r>
      <w:r w:rsidR="006C66AE" w:rsidRPr="00B92447">
        <w:rPr>
          <w:rFonts w:ascii="Arial" w:hAnsi="Arial" w:cs="Arial"/>
          <w:szCs w:val="28"/>
        </w:rPr>
        <w:t>7,731</w:t>
      </w:r>
      <w:r w:rsidR="0044786C" w:rsidRPr="00B92447">
        <w:rPr>
          <w:rFonts w:ascii="Arial" w:hAnsi="Arial" w:cs="Arial"/>
          <w:szCs w:val="28"/>
        </w:rPr>
        <w:t xml:space="preserve"> visits were conducted in Wave 1 and 2 of the survey</w:t>
      </w:r>
      <w:r w:rsidR="006C66AE" w:rsidRPr="00B92447">
        <w:rPr>
          <w:rFonts w:ascii="Arial" w:hAnsi="Arial" w:cs="Arial"/>
          <w:szCs w:val="28"/>
        </w:rPr>
        <w:t xml:space="preserve">. </w:t>
      </w:r>
      <w:r w:rsidR="0044786C" w:rsidRPr="00B92447">
        <w:rPr>
          <w:rFonts w:ascii="Arial" w:hAnsi="Arial" w:cs="Arial"/>
          <w:szCs w:val="28"/>
        </w:rPr>
        <w:t xml:space="preserve">Specifically, </w:t>
      </w:r>
      <w:r w:rsidRPr="00B92447">
        <w:rPr>
          <w:rFonts w:ascii="Arial" w:hAnsi="Arial" w:cs="Arial"/>
          <w:szCs w:val="28"/>
        </w:rPr>
        <w:t>4,3</w:t>
      </w:r>
      <w:r w:rsidR="0044786C" w:rsidRPr="00B92447">
        <w:rPr>
          <w:rFonts w:ascii="Arial" w:hAnsi="Arial" w:cs="Arial"/>
          <w:szCs w:val="28"/>
        </w:rPr>
        <w:t>19 residents participated in Wave 1 of the s</w:t>
      </w:r>
      <w:r w:rsidR="00D40AA7" w:rsidRPr="00B92447">
        <w:rPr>
          <w:rFonts w:ascii="Arial" w:hAnsi="Arial" w:cs="Arial"/>
          <w:szCs w:val="28"/>
        </w:rPr>
        <w:t>urvey (</w:t>
      </w:r>
      <w:proofErr w:type="spellStart"/>
      <w:r w:rsidR="00D40AA7" w:rsidRPr="00B92447">
        <w:rPr>
          <w:rFonts w:ascii="Arial" w:hAnsi="Arial" w:cs="Arial"/>
          <w:szCs w:val="28"/>
        </w:rPr>
        <w:t>NfLs</w:t>
      </w:r>
      <w:proofErr w:type="spellEnd"/>
      <w:r w:rsidR="00D40AA7" w:rsidRPr="00B92447">
        <w:rPr>
          <w:rFonts w:ascii="Arial" w:hAnsi="Arial" w:cs="Arial"/>
          <w:szCs w:val="28"/>
        </w:rPr>
        <w:t xml:space="preserve">=2,009; </w:t>
      </w:r>
      <w:r w:rsidR="00527FF2" w:rsidRPr="00B92447">
        <w:rPr>
          <w:rFonts w:ascii="Arial" w:hAnsi="Arial" w:cs="Arial"/>
          <w:szCs w:val="28"/>
        </w:rPr>
        <w:t xml:space="preserve">disadvantaged </w:t>
      </w:r>
      <w:r w:rsidR="002C4C49" w:rsidRPr="00B92447">
        <w:rPr>
          <w:rFonts w:ascii="Arial" w:hAnsi="Arial" w:cs="Arial"/>
          <w:szCs w:val="28"/>
        </w:rPr>
        <w:t>c</w:t>
      </w:r>
      <w:r w:rsidR="00D40AA7" w:rsidRPr="00B92447">
        <w:rPr>
          <w:rFonts w:ascii="Arial" w:hAnsi="Arial" w:cs="Arial"/>
          <w:szCs w:val="28"/>
        </w:rPr>
        <w:t>omparator</w:t>
      </w:r>
      <w:r w:rsidR="00527FF2" w:rsidRPr="00B92447">
        <w:rPr>
          <w:rFonts w:ascii="Arial" w:hAnsi="Arial" w:cs="Arial"/>
          <w:szCs w:val="28"/>
        </w:rPr>
        <w:t xml:space="preserve"> </w:t>
      </w:r>
      <w:proofErr w:type="spellStart"/>
      <w:r w:rsidR="00527FF2" w:rsidRPr="00B92447">
        <w:rPr>
          <w:rFonts w:ascii="Arial" w:hAnsi="Arial" w:cs="Arial"/>
          <w:szCs w:val="28"/>
        </w:rPr>
        <w:t>neighbourhoods</w:t>
      </w:r>
      <w:proofErr w:type="spellEnd"/>
      <w:r w:rsidR="00527FF2" w:rsidRPr="00B92447">
        <w:rPr>
          <w:rFonts w:ascii="Arial" w:hAnsi="Arial" w:cs="Arial"/>
          <w:szCs w:val="28"/>
        </w:rPr>
        <w:t xml:space="preserve"> </w:t>
      </w:r>
      <w:r w:rsidR="00D40AA7" w:rsidRPr="00B92447">
        <w:rPr>
          <w:rFonts w:ascii="Arial" w:hAnsi="Arial" w:cs="Arial"/>
          <w:szCs w:val="28"/>
        </w:rPr>
        <w:t>=1,</w:t>
      </w:r>
      <w:r w:rsidR="0054555B" w:rsidRPr="00B92447">
        <w:rPr>
          <w:rFonts w:ascii="Arial" w:hAnsi="Arial" w:cs="Arial"/>
          <w:szCs w:val="28"/>
        </w:rPr>
        <w:t xml:space="preserve">501; </w:t>
      </w:r>
      <w:r w:rsidR="00F74A51" w:rsidRPr="00B92447">
        <w:rPr>
          <w:rFonts w:ascii="Arial" w:hAnsi="Arial" w:cs="Arial"/>
          <w:szCs w:val="28"/>
        </w:rPr>
        <w:t>relatively advantaged</w:t>
      </w:r>
      <w:r w:rsidR="00915EBA" w:rsidRPr="00B92447">
        <w:rPr>
          <w:rFonts w:ascii="Arial" w:hAnsi="Arial" w:cs="Arial"/>
          <w:szCs w:val="28"/>
        </w:rPr>
        <w:t xml:space="preserve"> </w:t>
      </w:r>
      <w:proofErr w:type="spellStart"/>
      <w:r w:rsidR="00527FF2" w:rsidRPr="00B92447">
        <w:rPr>
          <w:rFonts w:ascii="Arial" w:hAnsi="Arial" w:cs="Arial"/>
          <w:szCs w:val="28"/>
        </w:rPr>
        <w:t>neighbourhoods</w:t>
      </w:r>
      <w:proofErr w:type="spellEnd"/>
      <w:r w:rsidR="00527FF2" w:rsidRPr="00B92447">
        <w:rPr>
          <w:rFonts w:ascii="Arial" w:hAnsi="Arial" w:cs="Arial"/>
          <w:szCs w:val="28"/>
        </w:rPr>
        <w:t xml:space="preserve"> </w:t>
      </w:r>
      <w:r w:rsidR="0054555B" w:rsidRPr="00B92447">
        <w:rPr>
          <w:rFonts w:ascii="Arial" w:hAnsi="Arial" w:cs="Arial"/>
          <w:szCs w:val="28"/>
        </w:rPr>
        <w:t>=</w:t>
      </w:r>
      <w:r w:rsidR="00527FF2" w:rsidRPr="00B92447">
        <w:rPr>
          <w:rFonts w:ascii="Arial" w:hAnsi="Arial" w:cs="Arial"/>
          <w:szCs w:val="28"/>
        </w:rPr>
        <w:t xml:space="preserve"> </w:t>
      </w:r>
      <w:r w:rsidR="00D044D6" w:rsidRPr="00B92447">
        <w:rPr>
          <w:rFonts w:ascii="Arial" w:hAnsi="Arial" w:cs="Arial"/>
          <w:szCs w:val="28"/>
        </w:rPr>
        <w:t xml:space="preserve">809), which is an </w:t>
      </w:r>
      <w:r w:rsidR="00D53DFC" w:rsidRPr="00B92447">
        <w:rPr>
          <w:rFonts w:ascii="Arial" w:hAnsi="Arial" w:cs="Arial"/>
          <w:szCs w:val="28"/>
        </w:rPr>
        <w:t xml:space="preserve">overall </w:t>
      </w:r>
      <w:r w:rsidR="00D044D6" w:rsidRPr="00B92447">
        <w:rPr>
          <w:rFonts w:ascii="Arial" w:hAnsi="Arial" w:cs="Arial"/>
          <w:szCs w:val="28"/>
        </w:rPr>
        <w:t>adjusted response rate of 61%</w:t>
      </w:r>
      <w:r w:rsidR="00B77DE3" w:rsidRPr="00B92447">
        <w:rPr>
          <w:rFonts w:ascii="Arial" w:hAnsi="Arial" w:cs="Arial"/>
          <w:szCs w:val="28"/>
        </w:rPr>
        <w:t xml:space="preserve"> of </w:t>
      </w:r>
      <w:r w:rsidR="00E0455E" w:rsidRPr="00B92447">
        <w:rPr>
          <w:rFonts w:ascii="Arial" w:hAnsi="Arial" w:cs="Arial"/>
          <w:szCs w:val="28"/>
        </w:rPr>
        <w:t xml:space="preserve">the </w:t>
      </w:r>
      <w:r w:rsidR="00B77DE3" w:rsidRPr="00B92447">
        <w:rPr>
          <w:rFonts w:ascii="Arial" w:hAnsi="Arial" w:cs="Arial"/>
          <w:szCs w:val="28"/>
        </w:rPr>
        <w:t xml:space="preserve">households approached </w:t>
      </w:r>
      <w:r w:rsidR="00E0455E" w:rsidRPr="00B92447">
        <w:rPr>
          <w:rFonts w:ascii="Arial" w:hAnsi="Arial" w:cs="Arial"/>
          <w:szCs w:val="28"/>
        </w:rPr>
        <w:t xml:space="preserve">by </w:t>
      </w:r>
      <w:r w:rsidR="00B77DE3" w:rsidRPr="00B92447">
        <w:rPr>
          <w:rFonts w:ascii="Arial" w:hAnsi="Arial" w:cs="Arial"/>
          <w:szCs w:val="28"/>
        </w:rPr>
        <w:t>the survey</w:t>
      </w:r>
      <w:r w:rsidR="00E0455E" w:rsidRPr="00B92447">
        <w:rPr>
          <w:rFonts w:ascii="Arial" w:hAnsi="Arial" w:cs="Arial"/>
          <w:szCs w:val="28"/>
        </w:rPr>
        <w:t xml:space="preserve"> team</w:t>
      </w:r>
      <w:r w:rsidR="00D044D6" w:rsidRPr="00B92447">
        <w:rPr>
          <w:rFonts w:ascii="Arial" w:hAnsi="Arial" w:cs="Arial"/>
          <w:szCs w:val="28"/>
        </w:rPr>
        <w:t>.</w:t>
      </w:r>
      <w:r w:rsidR="00D53DFC" w:rsidRPr="00B92447">
        <w:rPr>
          <w:rFonts w:ascii="Arial" w:hAnsi="Arial" w:cs="Arial"/>
          <w:szCs w:val="28"/>
        </w:rPr>
        <w:t xml:space="preserve"> Of those residents that answered the door, 63.6% responded to the survey, and 32% refused in the </w:t>
      </w:r>
      <w:proofErr w:type="spellStart"/>
      <w:r w:rsidR="00D53DFC" w:rsidRPr="00B92447">
        <w:rPr>
          <w:rFonts w:ascii="Arial" w:hAnsi="Arial" w:cs="Arial"/>
          <w:szCs w:val="28"/>
        </w:rPr>
        <w:t>NfLs</w:t>
      </w:r>
      <w:proofErr w:type="spellEnd"/>
      <w:r w:rsidR="00D53DFC" w:rsidRPr="00B92447">
        <w:rPr>
          <w:rFonts w:ascii="Arial" w:hAnsi="Arial" w:cs="Arial"/>
          <w:szCs w:val="28"/>
        </w:rPr>
        <w:t xml:space="preserve">; 57.9% responded and 36.4% refused to participate in the comparator sites; and 58.1% responded and 35.7% refused to participate in the </w:t>
      </w:r>
      <w:r w:rsidR="00F74A51" w:rsidRPr="00B92447">
        <w:rPr>
          <w:rFonts w:ascii="Arial" w:hAnsi="Arial" w:cs="Arial"/>
          <w:szCs w:val="28"/>
        </w:rPr>
        <w:t>relatively advantaged</w:t>
      </w:r>
      <w:r w:rsidR="00D53DFC" w:rsidRPr="00B92447">
        <w:rPr>
          <w:rFonts w:ascii="Arial" w:hAnsi="Arial" w:cs="Arial"/>
          <w:szCs w:val="28"/>
        </w:rPr>
        <w:t xml:space="preserve"> areas.</w:t>
      </w:r>
      <w:r w:rsidR="00377192" w:rsidRPr="00B92447">
        <w:rPr>
          <w:rFonts w:ascii="Arial" w:hAnsi="Arial" w:cs="Arial"/>
          <w:szCs w:val="28"/>
        </w:rPr>
        <w:t xml:space="preserve"> </w:t>
      </w:r>
      <w:r w:rsidR="008B2830" w:rsidRPr="00B92447">
        <w:rPr>
          <w:rFonts w:ascii="Arial" w:hAnsi="Arial" w:cs="Arial"/>
          <w:szCs w:val="28"/>
        </w:rPr>
        <w:t>Of the</w:t>
      </w:r>
      <w:r w:rsidR="00931AAB" w:rsidRPr="00B92447">
        <w:rPr>
          <w:rFonts w:ascii="Arial" w:hAnsi="Arial" w:cs="Arial"/>
          <w:szCs w:val="28"/>
        </w:rPr>
        <w:t xml:space="preserve"> </w:t>
      </w:r>
      <w:r w:rsidR="00CE09B4" w:rsidRPr="00B92447">
        <w:rPr>
          <w:rFonts w:ascii="Arial" w:hAnsi="Arial" w:cs="Arial"/>
          <w:szCs w:val="28"/>
        </w:rPr>
        <w:t xml:space="preserve">10 </w:t>
      </w:r>
      <w:r w:rsidR="008B2830" w:rsidRPr="00B92447">
        <w:rPr>
          <w:rFonts w:ascii="Arial" w:hAnsi="Arial" w:cs="Arial"/>
          <w:szCs w:val="28"/>
        </w:rPr>
        <w:t xml:space="preserve">initially </w:t>
      </w:r>
      <w:r w:rsidR="00CE09B4" w:rsidRPr="00B92447">
        <w:rPr>
          <w:rFonts w:ascii="Arial" w:hAnsi="Arial" w:cs="Arial"/>
          <w:szCs w:val="28"/>
        </w:rPr>
        <w:t xml:space="preserve">identified </w:t>
      </w:r>
      <w:proofErr w:type="spellStart"/>
      <w:r w:rsidR="008B2830" w:rsidRPr="00B92447">
        <w:rPr>
          <w:rFonts w:ascii="Arial" w:hAnsi="Arial" w:cs="Arial"/>
          <w:szCs w:val="28"/>
        </w:rPr>
        <w:t>NfLs</w:t>
      </w:r>
      <w:proofErr w:type="spellEnd"/>
      <w:r w:rsidR="008B2830" w:rsidRPr="00B92447">
        <w:rPr>
          <w:rFonts w:ascii="Arial" w:hAnsi="Arial" w:cs="Arial"/>
          <w:szCs w:val="28"/>
        </w:rPr>
        <w:t xml:space="preserve">, two failed to implement </w:t>
      </w:r>
      <w:r w:rsidR="00CE09B4" w:rsidRPr="00B92447">
        <w:rPr>
          <w:rFonts w:ascii="Arial" w:hAnsi="Arial" w:cs="Arial"/>
          <w:szCs w:val="28"/>
        </w:rPr>
        <w:t xml:space="preserve">System Resilience Programme interventions and </w:t>
      </w:r>
      <w:r w:rsidR="008B2830" w:rsidRPr="00B92447">
        <w:rPr>
          <w:rFonts w:ascii="Arial" w:hAnsi="Arial" w:cs="Arial"/>
          <w:szCs w:val="28"/>
        </w:rPr>
        <w:t>one has since dropped out from the survey</w:t>
      </w:r>
      <w:r w:rsidR="00E37123" w:rsidRPr="00B92447">
        <w:rPr>
          <w:rFonts w:ascii="Arial" w:hAnsi="Arial" w:cs="Arial"/>
          <w:szCs w:val="28"/>
        </w:rPr>
        <w:t xml:space="preserve">. However, these </w:t>
      </w:r>
      <w:proofErr w:type="spellStart"/>
      <w:r w:rsidR="00E37123" w:rsidRPr="00B92447">
        <w:rPr>
          <w:rFonts w:ascii="Arial" w:hAnsi="Arial" w:cs="Arial"/>
          <w:szCs w:val="28"/>
        </w:rPr>
        <w:t>neighbourhoods</w:t>
      </w:r>
      <w:proofErr w:type="spellEnd"/>
      <w:r w:rsidR="00E37123" w:rsidRPr="00B92447">
        <w:rPr>
          <w:rFonts w:ascii="Arial" w:hAnsi="Arial" w:cs="Arial"/>
          <w:szCs w:val="28"/>
        </w:rPr>
        <w:t xml:space="preserve"> were maintained as NFLs in the analysis</w:t>
      </w:r>
      <w:r w:rsidR="008B2830" w:rsidRPr="00B92447">
        <w:rPr>
          <w:rFonts w:ascii="Arial" w:hAnsi="Arial" w:cs="Arial"/>
          <w:szCs w:val="28"/>
        </w:rPr>
        <w:t>.</w:t>
      </w:r>
      <w:r w:rsidR="0044786C" w:rsidRPr="00B92447">
        <w:rPr>
          <w:rFonts w:ascii="Arial" w:hAnsi="Arial" w:cs="Arial"/>
          <w:szCs w:val="28"/>
        </w:rPr>
        <w:t xml:space="preserve"> </w:t>
      </w:r>
      <w:r w:rsidR="00662C64" w:rsidRPr="00B92447">
        <w:rPr>
          <w:rFonts w:ascii="Arial" w:hAnsi="Arial" w:cs="Arial"/>
          <w:szCs w:val="28"/>
        </w:rPr>
        <w:t>3,412</w:t>
      </w:r>
      <w:r w:rsidR="006C66AE" w:rsidRPr="00B92447">
        <w:rPr>
          <w:rFonts w:ascii="Arial" w:hAnsi="Arial" w:cs="Arial"/>
          <w:szCs w:val="28"/>
        </w:rPr>
        <w:t xml:space="preserve"> residents participated in Wave 2, of which </w:t>
      </w:r>
      <w:r w:rsidR="001A1E2C" w:rsidRPr="00B92447">
        <w:rPr>
          <w:rFonts w:ascii="Arial" w:hAnsi="Arial" w:cs="Arial"/>
          <w:szCs w:val="28"/>
        </w:rPr>
        <w:t>871 (20.2</w:t>
      </w:r>
      <w:r w:rsidR="00FE605C" w:rsidRPr="00B92447">
        <w:rPr>
          <w:rFonts w:ascii="Arial" w:hAnsi="Arial" w:cs="Arial"/>
          <w:szCs w:val="28"/>
        </w:rPr>
        <w:t>%)</w:t>
      </w:r>
      <w:r w:rsidR="006C66AE" w:rsidRPr="00B92447">
        <w:rPr>
          <w:rFonts w:ascii="Arial" w:hAnsi="Arial" w:cs="Arial"/>
          <w:szCs w:val="28"/>
        </w:rPr>
        <w:t xml:space="preserve"> residents had been followed up from Wave 1. </w:t>
      </w:r>
      <w:r w:rsidR="00842452" w:rsidRPr="00B92447">
        <w:rPr>
          <w:rFonts w:ascii="Arial" w:hAnsi="Arial" w:cs="Arial"/>
          <w:szCs w:val="28"/>
        </w:rPr>
        <w:t>This included 2</w:t>
      </w:r>
      <w:r w:rsidR="0053772A" w:rsidRPr="00B92447">
        <w:rPr>
          <w:rFonts w:ascii="Arial" w:hAnsi="Arial" w:cs="Arial"/>
          <w:szCs w:val="28"/>
        </w:rPr>
        <w:t>,</w:t>
      </w:r>
      <w:r w:rsidR="00842452" w:rsidRPr="00B92447">
        <w:rPr>
          <w:rFonts w:ascii="Arial" w:hAnsi="Arial" w:cs="Arial"/>
          <w:szCs w:val="28"/>
        </w:rPr>
        <w:t xml:space="preserve">026 (59.4%) participants from the </w:t>
      </w:r>
      <w:proofErr w:type="spellStart"/>
      <w:r w:rsidR="00842452" w:rsidRPr="00B92447">
        <w:rPr>
          <w:rFonts w:ascii="Arial" w:hAnsi="Arial" w:cs="Arial"/>
          <w:szCs w:val="28"/>
        </w:rPr>
        <w:t>NfLs</w:t>
      </w:r>
      <w:proofErr w:type="spellEnd"/>
      <w:r w:rsidR="00842452" w:rsidRPr="00B92447">
        <w:rPr>
          <w:rFonts w:ascii="Arial" w:hAnsi="Arial" w:cs="Arial"/>
          <w:szCs w:val="28"/>
        </w:rPr>
        <w:t xml:space="preserve"> and 1386 (40.6%) from the </w:t>
      </w:r>
      <w:r w:rsidR="00D52205" w:rsidRPr="00B92447">
        <w:rPr>
          <w:rFonts w:ascii="Arial" w:hAnsi="Arial" w:cs="Arial"/>
          <w:szCs w:val="28"/>
        </w:rPr>
        <w:t>disadvantaged</w:t>
      </w:r>
      <w:r w:rsidR="00842452" w:rsidRPr="00B92447">
        <w:rPr>
          <w:rFonts w:ascii="Arial" w:hAnsi="Arial" w:cs="Arial"/>
          <w:szCs w:val="28"/>
        </w:rPr>
        <w:t xml:space="preserve"> comparator </w:t>
      </w:r>
      <w:proofErr w:type="spellStart"/>
      <w:r w:rsidR="00842452" w:rsidRPr="00B92447">
        <w:rPr>
          <w:rFonts w:ascii="Arial" w:hAnsi="Arial" w:cs="Arial"/>
          <w:szCs w:val="28"/>
        </w:rPr>
        <w:t>neighbourhoods</w:t>
      </w:r>
      <w:proofErr w:type="spellEnd"/>
      <w:r w:rsidR="00842452" w:rsidRPr="00B92447">
        <w:rPr>
          <w:rFonts w:ascii="Arial" w:hAnsi="Arial" w:cs="Arial"/>
          <w:szCs w:val="28"/>
        </w:rPr>
        <w:t>.</w:t>
      </w:r>
      <w:r w:rsidR="00761FAA" w:rsidRPr="00B92447">
        <w:rPr>
          <w:rFonts w:ascii="Arial" w:hAnsi="Arial" w:cs="Arial"/>
          <w:sz w:val="24"/>
          <w:szCs w:val="24"/>
        </w:rPr>
        <w:t xml:space="preserve"> </w:t>
      </w:r>
      <w:r w:rsidR="00761FAA" w:rsidRPr="00B92447">
        <w:rPr>
          <w:rFonts w:ascii="Arial" w:hAnsi="Arial" w:cs="Arial"/>
        </w:rPr>
        <w:t>With unequal variances assumed, participants who completed both waves of the survey (</w:t>
      </w:r>
      <w:r w:rsidR="00761FAA" w:rsidRPr="00B92447">
        <w:rPr>
          <w:rFonts w:ascii="Arial" w:hAnsi="Arial" w:cs="Arial"/>
          <w:i/>
        </w:rPr>
        <w:t>M</w:t>
      </w:r>
      <w:r w:rsidR="00761FAA" w:rsidRPr="00B92447">
        <w:rPr>
          <w:rFonts w:ascii="Arial" w:hAnsi="Arial" w:cs="Arial"/>
        </w:rPr>
        <w:t xml:space="preserve"> = 51.73, </w:t>
      </w:r>
      <w:r w:rsidR="00761FAA" w:rsidRPr="00B92447">
        <w:rPr>
          <w:rFonts w:ascii="Arial" w:hAnsi="Arial" w:cs="Arial"/>
          <w:i/>
        </w:rPr>
        <w:t>SD</w:t>
      </w:r>
      <w:r w:rsidR="00761FAA" w:rsidRPr="00B92447">
        <w:rPr>
          <w:rFonts w:ascii="Arial" w:hAnsi="Arial" w:cs="Arial"/>
        </w:rPr>
        <w:t xml:space="preserve"> = 17.40) were significantly older than participants who only completed the wave 1 survey (</w:t>
      </w:r>
      <w:r w:rsidR="00761FAA" w:rsidRPr="00B92447">
        <w:rPr>
          <w:rFonts w:ascii="Arial" w:hAnsi="Arial" w:cs="Arial"/>
          <w:i/>
        </w:rPr>
        <w:t>M</w:t>
      </w:r>
      <w:r w:rsidR="00761FAA" w:rsidRPr="00B92447">
        <w:rPr>
          <w:rFonts w:ascii="Arial" w:hAnsi="Arial" w:cs="Arial"/>
        </w:rPr>
        <w:t xml:space="preserve"> = 48.42, </w:t>
      </w:r>
      <w:r w:rsidR="00761FAA" w:rsidRPr="00B92447">
        <w:rPr>
          <w:rFonts w:ascii="Arial" w:hAnsi="Arial" w:cs="Arial"/>
          <w:i/>
        </w:rPr>
        <w:t>SD</w:t>
      </w:r>
      <w:r w:rsidR="00761FAA" w:rsidRPr="00B92447">
        <w:rPr>
          <w:rFonts w:ascii="Arial" w:hAnsi="Arial" w:cs="Arial"/>
        </w:rPr>
        <w:t xml:space="preserve"> = 19.51; </w:t>
      </w:r>
      <w:proofErr w:type="gramStart"/>
      <w:r w:rsidR="00761FAA" w:rsidRPr="00B92447">
        <w:rPr>
          <w:rFonts w:ascii="Arial" w:hAnsi="Arial" w:cs="Arial"/>
          <w:i/>
        </w:rPr>
        <w:t>t</w:t>
      </w:r>
      <w:r w:rsidR="00761FAA" w:rsidRPr="00B92447">
        <w:rPr>
          <w:rFonts w:ascii="Arial" w:hAnsi="Arial" w:cs="Arial"/>
        </w:rPr>
        <w:t>(</w:t>
      </w:r>
      <w:proofErr w:type="gramEnd"/>
      <w:r w:rsidR="00761FAA" w:rsidRPr="00B92447">
        <w:rPr>
          <w:rFonts w:ascii="Arial" w:hAnsi="Arial" w:cs="Arial"/>
        </w:rPr>
        <w:t xml:space="preserve">1405.93) = 4.70, </w:t>
      </w:r>
      <w:r w:rsidR="00761FAA" w:rsidRPr="00B92447">
        <w:rPr>
          <w:rFonts w:ascii="Arial" w:hAnsi="Arial" w:cs="Arial"/>
          <w:i/>
        </w:rPr>
        <w:t>p</w:t>
      </w:r>
      <w:r w:rsidR="00761FAA" w:rsidRPr="00B92447">
        <w:rPr>
          <w:rFonts w:ascii="Arial" w:hAnsi="Arial" w:cs="Arial"/>
        </w:rPr>
        <w:t xml:space="preserve"> &lt; .001. Chi-square tests indicated participants completing both waves were also more likely to identify as female χ</w:t>
      </w:r>
      <w:r w:rsidR="00761FAA" w:rsidRPr="00B92447">
        <w:rPr>
          <w:rFonts w:ascii="Arial" w:hAnsi="Arial" w:cs="Arial"/>
          <w:vertAlign w:val="superscript"/>
        </w:rPr>
        <w:t xml:space="preserve">2 </w:t>
      </w:r>
      <w:r w:rsidR="00761FAA" w:rsidRPr="00B92447">
        <w:rPr>
          <w:rFonts w:ascii="Arial" w:hAnsi="Arial" w:cs="Arial"/>
        </w:rPr>
        <w:t xml:space="preserve">(1, </w:t>
      </w:r>
      <w:r w:rsidR="00761FAA" w:rsidRPr="00B92447">
        <w:rPr>
          <w:rFonts w:ascii="Arial" w:hAnsi="Arial" w:cs="Arial"/>
          <w:i/>
        </w:rPr>
        <w:t>N</w:t>
      </w:r>
      <w:r w:rsidR="00761FAA" w:rsidRPr="00B92447">
        <w:rPr>
          <w:rFonts w:ascii="Arial" w:hAnsi="Arial" w:cs="Arial"/>
        </w:rPr>
        <w:t xml:space="preserve"> = 4319) = 15.43, </w:t>
      </w:r>
      <w:r w:rsidR="00761FAA" w:rsidRPr="00B92447">
        <w:rPr>
          <w:rFonts w:ascii="Arial" w:hAnsi="Arial" w:cs="Arial"/>
          <w:i/>
        </w:rPr>
        <w:t>p</w:t>
      </w:r>
      <w:r w:rsidR="00761FAA" w:rsidRPr="00B92447">
        <w:rPr>
          <w:rFonts w:ascii="Arial" w:hAnsi="Arial" w:cs="Arial"/>
        </w:rPr>
        <w:t xml:space="preserve"> &lt; .001, were less likely to be in paid employment (χ</w:t>
      </w:r>
      <w:r w:rsidR="00761FAA" w:rsidRPr="00B92447">
        <w:rPr>
          <w:rFonts w:ascii="Arial" w:hAnsi="Arial" w:cs="Arial"/>
          <w:vertAlign w:val="superscript"/>
        </w:rPr>
        <w:t xml:space="preserve">2 </w:t>
      </w:r>
      <w:r w:rsidR="00761FAA" w:rsidRPr="00B92447">
        <w:rPr>
          <w:rFonts w:ascii="Arial" w:hAnsi="Arial" w:cs="Arial"/>
        </w:rPr>
        <w:t xml:space="preserve">(1, </w:t>
      </w:r>
      <w:r w:rsidR="00761FAA" w:rsidRPr="00B92447">
        <w:rPr>
          <w:rFonts w:ascii="Arial" w:hAnsi="Arial" w:cs="Arial"/>
          <w:i/>
        </w:rPr>
        <w:t>N</w:t>
      </w:r>
      <w:r w:rsidR="00761FAA" w:rsidRPr="00B92447">
        <w:rPr>
          <w:rFonts w:ascii="Arial" w:hAnsi="Arial" w:cs="Arial"/>
        </w:rPr>
        <w:t xml:space="preserve"> = 4319) = 26.34, </w:t>
      </w:r>
      <w:r w:rsidR="00761FAA" w:rsidRPr="00B92447">
        <w:rPr>
          <w:rFonts w:ascii="Arial" w:hAnsi="Arial" w:cs="Arial"/>
          <w:i/>
        </w:rPr>
        <w:t>p</w:t>
      </w:r>
      <w:r w:rsidR="00761FAA" w:rsidRPr="00B92447">
        <w:rPr>
          <w:rFonts w:ascii="Arial" w:hAnsi="Arial" w:cs="Arial"/>
        </w:rPr>
        <w:t xml:space="preserve"> &lt; .001) and were more likely to have a long-term health condition, χ</w:t>
      </w:r>
      <w:r w:rsidR="00761FAA" w:rsidRPr="00B92447">
        <w:rPr>
          <w:rFonts w:ascii="Arial" w:hAnsi="Arial" w:cs="Arial"/>
          <w:vertAlign w:val="superscript"/>
        </w:rPr>
        <w:t xml:space="preserve">2 </w:t>
      </w:r>
      <w:r w:rsidR="00761FAA" w:rsidRPr="00B92447">
        <w:rPr>
          <w:rFonts w:ascii="Arial" w:hAnsi="Arial" w:cs="Arial"/>
        </w:rPr>
        <w:t xml:space="preserve">(1, </w:t>
      </w:r>
      <w:r w:rsidR="00761FAA" w:rsidRPr="00B92447">
        <w:rPr>
          <w:rFonts w:ascii="Arial" w:hAnsi="Arial" w:cs="Arial"/>
          <w:i/>
        </w:rPr>
        <w:t>N</w:t>
      </w:r>
      <w:r w:rsidR="00761FAA" w:rsidRPr="00B92447">
        <w:rPr>
          <w:rFonts w:ascii="Arial" w:hAnsi="Arial" w:cs="Arial"/>
        </w:rPr>
        <w:t xml:space="preserve"> = 4319) = 48.56, </w:t>
      </w:r>
      <w:r w:rsidR="00761FAA" w:rsidRPr="00B92447">
        <w:rPr>
          <w:rFonts w:ascii="Arial" w:hAnsi="Arial" w:cs="Arial"/>
          <w:i/>
        </w:rPr>
        <w:t xml:space="preserve">p </w:t>
      </w:r>
      <w:r w:rsidR="00761FAA" w:rsidRPr="00B92447">
        <w:rPr>
          <w:rFonts w:ascii="Arial" w:hAnsi="Arial" w:cs="Arial"/>
        </w:rPr>
        <w:t xml:space="preserve">&lt; .001. </w:t>
      </w:r>
    </w:p>
    <w:p w14:paraId="257B4D41" w14:textId="77777777" w:rsidR="006053BD" w:rsidRPr="00B92447" w:rsidRDefault="008B2E07" w:rsidP="007B6EEC">
      <w:pPr>
        <w:ind w:firstLine="720"/>
        <w:jc w:val="both"/>
        <w:rPr>
          <w:rFonts w:ascii="Arial" w:hAnsi="Arial" w:cs="Arial"/>
        </w:rPr>
      </w:pPr>
      <w:r w:rsidRPr="00B92447">
        <w:rPr>
          <w:rFonts w:ascii="Arial" w:hAnsi="Arial" w:cs="Arial"/>
          <w:szCs w:val="28"/>
        </w:rPr>
        <w:t xml:space="preserve">No participants were missing more than 50% of </w:t>
      </w:r>
      <w:r w:rsidR="009043BC" w:rsidRPr="00B92447">
        <w:rPr>
          <w:rFonts w:ascii="Arial" w:hAnsi="Arial" w:cs="Arial"/>
          <w:szCs w:val="28"/>
        </w:rPr>
        <w:t>data</w:t>
      </w:r>
      <w:r w:rsidRPr="00B92447">
        <w:rPr>
          <w:rFonts w:ascii="Arial" w:hAnsi="Arial" w:cs="Arial"/>
          <w:szCs w:val="28"/>
        </w:rPr>
        <w:t xml:space="preserve"> and the level of </w:t>
      </w:r>
      <w:r w:rsidR="00CE09B4" w:rsidRPr="00B92447">
        <w:rPr>
          <w:rFonts w:ascii="Arial" w:hAnsi="Arial" w:cs="Arial"/>
          <w:szCs w:val="28"/>
        </w:rPr>
        <w:t xml:space="preserve">missing data </w:t>
      </w:r>
      <w:r w:rsidRPr="00B92447">
        <w:rPr>
          <w:rFonts w:ascii="Arial" w:hAnsi="Arial" w:cs="Arial"/>
          <w:szCs w:val="28"/>
        </w:rPr>
        <w:t xml:space="preserve">for each participant ranged from 3% to 18%. The average amount of missing data per participant was 10.75%. Of the 376 total variables, 300 </w:t>
      </w:r>
      <w:r w:rsidR="009043BC" w:rsidRPr="00B92447">
        <w:rPr>
          <w:rFonts w:ascii="Arial" w:hAnsi="Arial" w:cs="Arial"/>
          <w:szCs w:val="28"/>
        </w:rPr>
        <w:t xml:space="preserve">variables </w:t>
      </w:r>
      <w:r w:rsidRPr="00B92447">
        <w:rPr>
          <w:rFonts w:ascii="Arial" w:hAnsi="Arial" w:cs="Arial"/>
          <w:szCs w:val="28"/>
        </w:rPr>
        <w:t>had complete data and 9.88%</w:t>
      </w:r>
      <w:r w:rsidR="0095271E" w:rsidRPr="00B92447">
        <w:rPr>
          <w:rFonts w:ascii="Arial" w:hAnsi="Arial" w:cs="Arial"/>
          <w:szCs w:val="28"/>
        </w:rPr>
        <w:t xml:space="preserve"> of all </w:t>
      </w:r>
      <w:r w:rsidRPr="00B92447">
        <w:rPr>
          <w:rFonts w:ascii="Arial" w:hAnsi="Arial" w:cs="Arial"/>
          <w:szCs w:val="28"/>
        </w:rPr>
        <w:t xml:space="preserve">data </w:t>
      </w:r>
      <w:r w:rsidRPr="00B92447">
        <w:rPr>
          <w:rFonts w:ascii="Arial" w:hAnsi="Arial" w:cs="Arial"/>
          <w:szCs w:val="28"/>
        </w:rPr>
        <w:lastRenderedPageBreak/>
        <w:t xml:space="preserve">points were missing. </w:t>
      </w:r>
      <w:r w:rsidR="00740BCA" w:rsidRPr="00B92447">
        <w:rPr>
          <w:rFonts w:ascii="Arial" w:hAnsi="Arial" w:cs="Arial"/>
          <w:szCs w:val="28"/>
        </w:rPr>
        <w:t>Data were</w:t>
      </w:r>
      <w:r w:rsidRPr="00B92447">
        <w:rPr>
          <w:rFonts w:ascii="Arial" w:hAnsi="Arial" w:cs="Arial"/>
          <w:szCs w:val="28"/>
        </w:rPr>
        <w:t xml:space="preserve"> not missing completely at random (Little’s MCAR χ</w:t>
      </w:r>
      <w:r w:rsidRPr="00B92447">
        <w:rPr>
          <w:rFonts w:ascii="Arial" w:hAnsi="Arial" w:cs="Arial"/>
          <w:szCs w:val="28"/>
          <w:vertAlign w:val="superscript"/>
        </w:rPr>
        <w:t xml:space="preserve">2 = </w:t>
      </w:r>
      <w:r w:rsidR="00C849A4" w:rsidRPr="00B92447">
        <w:rPr>
          <w:rFonts w:ascii="Arial" w:hAnsi="Arial" w:cs="Arial"/>
          <w:szCs w:val="28"/>
        </w:rPr>
        <w:t>7773.03, p &lt; .001).</w:t>
      </w:r>
      <w:r w:rsidR="00D11095" w:rsidRPr="00B92447">
        <w:rPr>
          <w:rFonts w:ascii="Arial" w:hAnsi="Arial" w:cs="Arial"/>
          <w:szCs w:val="28"/>
        </w:rPr>
        <w:t xml:space="preserve"> Listwise deletion was used to account for missing values.</w:t>
      </w:r>
    </w:p>
    <w:p w14:paraId="064F763B" w14:textId="77777777" w:rsidR="009C55CB" w:rsidRPr="00B92447" w:rsidRDefault="009C55CB" w:rsidP="006C66AE">
      <w:pPr>
        <w:spacing w:before="240" w:after="0"/>
        <w:jc w:val="both"/>
        <w:outlineLvl w:val="0"/>
        <w:rPr>
          <w:rFonts w:ascii="Arial" w:hAnsi="Arial" w:cs="Arial"/>
          <w:b/>
          <w:i/>
          <w:szCs w:val="28"/>
        </w:rPr>
      </w:pPr>
      <w:r w:rsidRPr="00B92447">
        <w:rPr>
          <w:rFonts w:ascii="Arial" w:hAnsi="Arial" w:cs="Arial"/>
          <w:b/>
          <w:i/>
          <w:szCs w:val="28"/>
        </w:rPr>
        <w:t>Demographics</w:t>
      </w:r>
    </w:p>
    <w:p w14:paraId="31777114" w14:textId="77777777" w:rsidR="009C55CB" w:rsidRPr="00B92447" w:rsidRDefault="009C55CB" w:rsidP="009C55CB">
      <w:pPr>
        <w:spacing w:after="0"/>
        <w:jc w:val="both"/>
        <w:rPr>
          <w:rFonts w:ascii="Arial" w:hAnsi="Arial" w:cs="Arial"/>
          <w:szCs w:val="28"/>
        </w:rPr>
      </w:pPr>
      <w:r w:rsidRPr="00B92447">
        <w:rPr>
          <w:rFonts w:ascii="Arial" w:hAnsi="Arial" w:cs="Arial"/>
          <w:szCs w:val="28"/>
        </w:rPr>
        <w:t xml:space="preserve">Demographic characteristics for each </w:t>
      </w:r>
      <w:proofErr w:type="spellStart"/>
      <w:r w:rsidRPr="00B92447">
        <w:rPr>
          <w:rFonts w:ascii="Arial" w:hAnsi="Arial" w:cs="Arial"/>
          <w:szCs w:val="28"/>
        </w:rPr>
        <w:t>neighbourhood</w:t>
      </w:r>
      <w:proofErr w:type="spellEnd"/>
      <w:r w:rsidRPr="00B92447">
        <w:rPr>
          <w:rFonts w:ascii="Arial" w:hAnsi="Arial" w:cs="Arial"/>
          <w:szCs w:val="28"/>
        </w:rPr>
        <w:t xml:space="preserve"> type are reported</w:t>
      </w:r>
      <w:r w:rsidR="00137F53" w:rsidRPr="00B92447">
        <w:rPr>
          <w:rFonts w:ascii="Arial" w:hAnsi="Arial" w:cs="Arial"/>
          <w:szCs w:val="28"/>
        </w:rPr>
        <w:t xml:space="preserve"> in Table 2. In W</w:t>
      </w:r>
      <w:r w:rsidRPr="00B92447">
        <w:rPr>
          <w:rFonts w:ascii="Arial" w:hAnsi="Arial" w:cs="Arial"/>
          <w:szCs w:val="28"/>
        </w:rPr>
        <w:t>ave 1, the majority of the total sample were female (57.1%), between 25 and 34 years old (17.9%), and from a white ethnic background (89.4%). Gender [</w:t>
      </w:r>
      <w:proofErr w:type="gramStart"/>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w:t>
      </w:r>
      <w:proofErr w:type="gramEnd"/>
      <w:r w:rsidRPr="00B92447">
        <w:rPr>
          <w:rFonts w:ascii="Arial" w:hAnsi="Arial" w:cs="Arial"/>
          <w:szCs w:val="28"/>
        </w:rPr>
        <w:t xml:space="preserve">2, </w:t>
      </w:r>
      <w:r w:rsidRPr="00B92447">
        <w:rPr>
          <w:rFonts w:ascii="Arial" w:hAnsi="Arial" w:cs="Arial"/>
          <w:i/>
          <w:szCs w:val="28"/>
        </w:rPr>
        <w:t>N</w:t>
      </w:r>
      <w:r w:rsidRPr="00B92447">
        <w:rPr>
          <w:rFonts w:ascii="Arial" w:hAnsi="Arial" w:cs="Arial"/>
          <w:szCs w:val="28"/>
        </w:rPr>
        <w:t xml:space="preserve"> =4319)= 4.44, </w:t>
      </w:r>
      <w:r w:rsidRPr="00B92447">
        <w:rPr>
          <w:rFonts w:ascii="Arial" w:hAnsi="Arial" w:cs="Arial"/>
          <w:i/>
          <w:szCs w:val="28"/>
        </w:rPr>
        <w:t>p</w:t>
      </w:r>
      <w:r w:rsidRPr="00B92447">
        <w:rPr>
          <w:rFonts w:ascii="Arial" w:hAnsi="Arial" w:cs="Arial"/>
          <w:szCs w:val="28"/>
        </w:rPr>
        <w:t>=0.109] and ethnicity [χ</w:t>
      </w:r>
      <w:r w:rsidRPr="00B92447">
        <w:rPr>
          <w:rFonts w:ascii="Arial" w:hAnsi="Arial" w:cs="Arial"/>
          <w:szCs w:val="28"/>
          <w:vertAlign w:val="superscript"/>
        </w:rPr>
        <w:t>2</w:t>
      </w:r>
      <w:r w:rsidRPr="00B92447">
        <w:rPr>
          <w:rFonts w:ascii="Arial" w:hAnsi="Arial" w:cs="Arial"/>
          <w:szCs w:val="28"/>
        </w:rPr>
        <w:t xml:space="preserve">(2, </w:t>
      </w:r>
      <w:r w:rsidRPr="00B92447">
        <w:rPr>
          <w:rFonts w:ascii="Arial" w:hAnsi="Arial" w:cs="Arial"/>
          <w:i/>
          <w:szCs w:val="28"/>
        </w:rPr>
        <w:t>N</w:t>
      </w:r>
      <w:r w:rsidRPr="00B92447">
        <w:rPr>
          <w:rFonts w:ascii="Arial" w:hAnsi="Arial" w:cs="Arial"/>
          <w:szCs w:val="28"/>
        </w:rPr>
        <w:t xml:space="preserve"> = 4319)= .684, </w:t>
      </w:r>
      <w:r w:rsidRPr="00B92447">
        <w:rPr>
          <w:rFonts w:ascii="Arial" w:hAnsi="Arial" w:cs="Arial"/>
          <w:i/>
          <w:szCs w:val="28"/>
        </w:rPr>
        <w:t>p</w:t>
      </w:r>
      <w:r w:rsidRPr="00B92447">
        <w:rPr>
          <w:rFonts w:ascii="Arial" w:hAnsi="Arial" w:cs="Arial"/>
          <w:szCs w:val="28"/>
        </w:rPr>
        <w:t xml:space="preserve">=0.710] did not differ by </w:t>
      </w:r>
      <w:proofErr w:type="spellStart"/>
      <w:r w:rsidRPr="00B92447">
        <w:rPr>
          <w:rFonts w:ascii="Arial" w:hAnsi="Arial" w:cs="Arial"/>
          <w:szCs w:val="28"/>
        </w:rPr>
        <w:t>neighbourhood</w:t>
      </w:r>
      <w:proofErr w:type="spellEnd"/>
      <w:r w:rsidRPr="00B92447">
        <w:rPr>
          <w:rFonts w:ascii="Arial" w:hAnsi="Arial" w:cs="Arial"/>
          <w:szCs w:val="28"/>
        </w:rPr>
        <w:t xml:space="preserve"> type. However, age was not consistent across </w:t>
      </w:r>
      <w:proofErr w:type="spellStart"/>
      <w:r w:rsidRPr="00B92447">
        <w:rPr>
          <w:rFonts w:ascii="Arial" w:hAnsi="Arial" w:cs="Arial"/>
          <w:szCs w:val="28"/>
        </w:rPr>
        <w:t>neighbourhood</w:t>
      </w:r>
      <w:proofErr w:type="spellEnd"/>
      <w:r w:rsidRPr="00B92447">
        <w:rPr>
          <w:rFonts w:ascii="Arial" w:hAnsi="Arial" w:cs="Arial"/>
          <w:szCs w:val="28"/>
        </w:rPr>
        <w:t xml:space="preserve"> type, </w:t>
      </w:r>
      <w:proofErr w:type="gramStart"/>
      <w:r w:rsidRPr="00B92447">
        <w:rPr>
          <w:rFonts w:ascii="Arial" w:hAnsi="Arial" w:cs="Arial"/>
          <w:i/>
          <w:szCs w:val="28"/>
        </w:rPr>
        <w:t>F</w:t>
      </w:r>
      <w:r w:rsidR="001E1DE7" w:rsidRPr="00B92447">
        <w:rPr>
          <w:rFonts w:ascii="Arial" w:hAnsi="Arial" w:cs="Arial"/>
          <w:szCs w:val="28"/>
        </w:rPr>
        <w:t>(</w:t>
      </w:r>
      <w:proofErr w:type="gramEnd"/>
      <w:r w:rsidR="001E1DE7" w:rsidRPr="00B92447">
        <w:rPr>
          <w:rFonts w:ascii="Arial" w:hAnsi="Arial" w:cs="Arial"/>
          <w:szCs w:val="28"/>
        </w:rPr>
        <w:t>2,3857)=</w:t>
      </w:r>
      <w:r w:rsidRPr="00B92447">
        <w:rPr>
          <w:rFonts w:ascii="Arial" w:hAnsi="Arial" w:cs="Arial"/>
          <w:szCs w:val="28"/>
        </w:rPr>
        <w:t xml:space="preserve">25.47, </w:t>
      </w:r>
      <w:r w:rsidRPr="00B92447">
        <w:rPr>
          <w:rFonts w:ascii="Arial" w:hAnsi="Arial" w:cs="Arial"/>
          <w:i/>
          <w:szCs w:val="28"/>
        </w:rPr>
        <w:t>p</w:t>
      </w:r>
      <w:r w:rsidRPr="00B92447">
        <w:rPr>
          <w:rFonts w:ascii="Arial" w:hAnsi="Arial" w:cs="Arial"/>
          <w:szCs w:val="28"/>
        </w:rPr>
        <w:t xml:space="preserve">&lt;.001. Follow-up comparisons with Bonferroni adjustment indicated that participants in relatively advantaged </w:t>
      </w:r>
      <w:proofErr w:type="spellStart"/>
      <w:r w:rsidRPr="00B92447">
        <w:rPr>
          <w:rFonts w:ascii="Arial" w:hAnsi="Arial" w:cs="Arial"/>
          <w:szCs w:val="28"/>
        </w:rPr>
        <w:t>neighbourhoods</w:t>
      </w:r>
      <w:proofErr w:type="spellEnd"/>
      <w:r w:rsidRPr="00B92447">
        <w:rPr>
          <w:rFonts w:ascii="Arial" w:hAnsi="Arial" w:cs="Arial"/>
          <w:szCs w:val="28"/>
        </w:rPr>
        <w:t xml:space="preserve"> (</w:t>
      </w:r>
      <w:r w:rsidRPr="00B92447">
        <w:rPr>
          <w:rFonts w:ascii="Arial" w:hAnsi="Arial" w:cs="Arial"/>
          <w:i/>
          <w:szCs w:val="28"/>
        </w:rPr>
        <w:t>M</w:t>
      </w:r>
      <w:r w:rsidRPr="00B92447">
        <w:rPr>
          <w:rFonts w:ascii="Arial" w:hAnsi="Arial" w:cs="Arial"/>
          <w:szCs w:val="28"/>
        </w:rPr>
        <w:t xml:space="preserve">=53.48, </w:t>
      </w:r>
      <w:r w:rsidRPr="00B92447">
        <w:rPr>
          <w:rFonts w:ascii="Arial" w:hAnsi="Arial" w:cs="Arial"/>
          <w:i/>
          <w:szCs w:val="28"/>
        </w:rPr>
        <w:t>SD</w:t>
      </w:r>
      <w:r w:rsidRPr="00B92447">
        <w:rPr>
          <w:rFonts w:ascii="Arial" w:hAnsi="Arial" w:cs="Arial"/>
          <w:szCs w:val="28"/>
        </w:rPr>
        <w:t xml:space="preserve">=18.30) were significantly older than participants in the </w:t>
      </w:r>
      <w:proofErr w:type="spellStart"/>
      <w:r w:rsidRPr="00B92447">
        <w:rPr>
          <w:rFonts w:ascii="Arial" w:hAnsi="Arial" w:cs="Arial"/>
          <w:szCs w:val="28"/>
        </w:rPr>
        <w:t>NfLs</w:t>
      </w:r>
      <w:proofErr w:type="spellEnd"/>
      <w:r w:rsidRPr="00B92447">
        <w:rPr>
          <w:rFonts w:ascii="Arial" w:hAnsi="Arial" w:cs="Arial"/>
          <w:szCs w:val="28"/>
        </w:rPr>
        <w:t xml:space="preserve"> (</w:t>
      </w:r>
      <w:r w:rsidRPr="00B92447">
        <w:rPr>
          <w:rFonts w:ascii="Arial" w:hAnsi="Arial" w:cs="Arial"/>
          <w:i/>
          <w:szCs w:val="28"/>
        </w:rPr>
        <w:t>M</w:t>
      </w:r>
      <w:r w:rsidRPr="00B92447">
        <w:rPr>
          <w:rFonts w:ascii="Arial" w:hAnsi="Arial" w:cs="Arial"/>
          <w:szCs w:val="28"/>
        </w:rPr>
        <w:t xml:space="preserve">=47.51, </w:t>
      </w:r>
      <w:r w:rsidRPr="00B92447">
        <w:rPr>
          <w:rFonts w:ascii="Arial" w:hAnsi="Arial" w:cs="Arial"/>
          <w:i/>
          <w:szCs w:val="28"/>
        </w:rPr>
        <w:t>SD</w:t>
      </w:r>
      <w:r w:rsidRPr="00B92447">
        <w:rPr>
          <w:rFonts w:ascii="Arial" w:hAnsi="Arial" w:cs="Arial"/>
          <w:szCs w:val="28"/>
        </w:rPr>
        <w:t xml:space="preserve">=19.43; </w:t>
      </w:r>
      <w:r w:rsidRPr="00B92447">
        <w:rPr>
          <w:rFonts w:ascii="Arial" w:hAnsi="Arial" w:cs="Arial"/>
          <w:i/>
          <w:szCs w:val="28"/>
        </w:rPr>
        <w:t>t</w:t>
      </w:r>
      <w:r w:rsidRPr="00B92447">
        <w:rPr>
          <w:rFonts w:ascii="Arial" w:hAnsi="Arial" w:cs="Arial"/>
          <w:szCs w:val="28"/>
        </w:rPr>
        <w:t xml:space="preserve"> = 5.97, </w:t>
      </w:r>
      <w:r w:rsidRPr="00B92447">
        <w:rPr>
          <w:rFonts w:ascii="Arial" w:hAnsi="Arial" w:cs="Arial"/>
          <w:i/>
          <w:szCs w:val="28"/>
        </w:rPr>
        <w:t>p</w:t>
      </w:r>
      <w:r w:rsidRPr="00B92447">
        <w:rPr>
          <w:rFonts w:ascii="Arial" w:hAnsi="Arial" w:cs="Arial"/>
          <w:szCs w:val="28"/>
        </w:rPr>
        <w:t>&lt;0.001) and disadvantaged comparator (</w:t>
      </w:r>
      <w:r w:rsidRPr="00B92447">
        <w:rPr>
          <w:rFonts w:ascii="Arial" w:hAnsi="Arial" w:cs="Arial"/>
          <w:i/>
          <w:szCs w:val="28"/>
        </w:rPr>
        <w:t>M</w:t>
      </w:r>
      <w:r w:rsidRPr="00B92447">
        <w:rPr>
          <w:rFonts w:ascii="Arial" w:hAnsi="Arial" w:cs="Arial"/>
          <w:szCs w:val="28"/>
        </w:rPr>
        <w:t xml:space="preserve">=49.00, </w:t>
      </w:r>
      <w:r w:rsidRPr="00B92447">
        <w:rPr>
          <w:rFonts w:ascii="Arial" w:hAnsi="Arial" w:cs="Arial"/>
          <w:i/>
          <w:szCs w:val="28"/>
        </w:rPr>
        <w:t>SD</w:t>
      </w:r>
      <w:r w:rsidRPr="00B92447">
        <w:rPr>
          <w:rFonts w:ascii="Arial" w:hAnsi="Arial" w:cs="Arial"/>
          <w:szCs w:val="28"/>
        </w:rPr>
        <w:t>=18.79;</w:t>
      </w:r>
      <w:r w:rsidRPr="00B92447">
        <w:rPr>
          <w:rFonts w:ascii="Arial" w:hAnsi="Arial" w:cs="Arial"/>
          <w:i/>
          <w:szCs w:val="28"/>
        </w:rPr>
        <w:t xml:space="preserve"> t</w:t>
      </w:r>
      <w:r w:rsidRPr="00B92447">
        <w:rPr>
          <w:rFonts w:ascii="Arial" w:hAnsi="Arial" w:cs="Arial"/>
          <w:szCs w:val="28"/>
        </w:rPr>
        <w:t xml:space="preserve"> = 4.48, </w:t>
      </w:r>
      <w:r w:rsidRPr="00B92447">
        <w:rPr>
          <w:rFonts w:ascii="Arial" w:hAnsi="Arial" w:cs="Arial"/>
          <w:i/>
          <w:szCs w:val="28"/>
        </w:rPr>
        <w:t>p</w:t>
      </w:r>
      <w:r w:rsidRPr="00B92447">
        <w:rPr>
          <w:rFonts w:ascii="Arial" w:hAnsi="Arial" w:cs="Arial"/>
          <w:szCs w:val="28"/>
        </w:rPr>
        <w:t xml:space="preserve">&lt;.001) </w:t>
      </w:r>
      <w:proofErr w:type="spellStart"/>
      <w:r w:rsidRPr="00B92447">
        <w:rPr>
          <w:rFonts w:ascii="Arial" w:hAnsi="Arial" w:cs="Arial"/>
          <w:szCs w:val="28"/>
        </w:rPr>
        <w:t>neighbourhoods</w:t>
      </w:r>
      <w:proofErr w:type="spellEnd"/>
      <w:r w:rsidRPr="00B92447">
        <w:rPr>
          <w:rFonts w:ascii="Arial" w:hAnsi="Arial" w:cs="Arial"/>
          <w:szCs w:val="28"/>
        </w:rPr>
        <w:t xml:space="preserve">.   </w:t>
      </w:r>
    </w:p>
    <w:p w14:paraId="4E39D638" w14:textId="77777777" w:rsidR="009C55CB" w:rsidRPr="00B92447" w:rsidRDefault="009C55CB" w:rsidP="009C55CB">
      <w:pPr>
        <w:spacing w:after="0"/>
        <w:ind w:firstLine="720"/>
        <w:jc w:val="both"/>
        <w:rPr>
          <w:rFonts w:ascii="Arial" w:hAnsi="Arial" w:cs="Arial"/>
          <w:szCs w:val="28"/>
        </w:rPr>
      </w:pPr>
      <w:r w:rsidRPr="00B92447">
        <w:rPr>
          <w:rFonts w:ascii="Arial" w:hAnsi="Arial" w:cs="Arial"/>
          <w:szCs w:val="28"/>
        </w:rPr>
        <w:t xml:space="preserve">In Wave 1 there was also a significant association between education and </w:t>
      </w:r>
      <w:proofErr w:type="spellStart"/>
      <w:r w:rsidRPr="00B92447">
        <w:rPr>
          <w:rFonts w:ascii="Arial" w:hAnsi="Arial" w:cs="Arial"/>
          <w:szCs w:val="28"/>
        </w:rPr>
        <w:t>neighbourhood</w:t>
      </w:r>
      <w:proofErr w:type="spellEnd"/>
      <w:r w:rsidRPr="00B92447">
        <w:rPr>
          <w:rFonts w:ascii="Arial" w:hAnsi="Arial" w:cs="Arial"/>
          <w:szCs w:val="28"/>
        </w:rPr>
        <w:t xml:space="preserve"> type [χ</w:t>
      </w:r>
      <w:r w:rsidRPr="00B92447">
        <w:rPr>
          <w:rFonts w:ascii="Arial" w:hAnsi="Arial" w:cs="Arial"/>
          <w:szCs w:val="28"/>
          <w:vertAlign w:val="superscript"/>
        </w:rPr>
        <w:t>2</w:t>
      </w:r>
      <w:r w:rsidRPr="00B92447">
        <w:rPr>
          <w:rFonts w:ascii="Arial" w:hAnsi="Arial" w:cs="Arial"/>
          <w:szCs w:val="28"/>
        </w:rPr>
        <w:t xml:space="preserve"> (4, </w:t>
      </w:r>
      <w:r w:rsidRPr="00B92447">
        <w:rPr>
          <w:rFonts w:ascii="Arial" w:hAnsi="Arial" w:cs="Arial"/>
          <w:i/>
          <w:szCs w:val="28"/>
        </w:rPr>
        <w:t>N</w:t>
      </w:r>
      <w:r w:rsidRPr="00B92447">
        <w:rPr>
          <w:rFonts w:ascii="Arial" w:hAnsi="Arial" w:cs="Arial"/>
          <w:szCs w:val="28"/>
        </w:rPr>
        <w:t xml:space="preserve"> =4319) =232.13, </w:t>
      </w:r>
      <w:r w:rsidRPr="00B92447">
        <w:rPr>
          <w:rFonts w:ascii="Arial" w:hAnsi="Arial" w:cs="Arial"/>
          <w:i/>
          <w:szCs w:val="28"/>
        </w:rPr>
        <w:t>p</w:t>
      </w:r>
      <w:r w:rsidRPr="00B92447">
        <w:rPr>
          <w:rFonts w:ascii="Arial" w:hAnsi="Arial" w:cs="Arial"/>
          <w:szCs w:val="28"/>
        </w:rPr>
        <w:t xml:space="preserve">&lt;.001]. The number of participants who held a degree was higher in relatively advantaged </w:t>
      </w:r>
      <w:proofErr w:type="spellStart"/>
      <w:r w:rsidRPr="00B92447">
        <w:rPr>
          <w:rFonts w:ascii="Arial" w:hAnsi="Arial" w:cs="Arial"/>
          <w:szCs w:val="28"/>
        </w:rPr>
        <w:t>neighbourhoods</w:t>
      </w:r>
      <w:proofErr w:type="spellEnd"/>
      <w:r w:rsidRPr="00B92447">
        <w:rPr>
          <w:rFonts w:ascii="Arial" w:hAnsi="Arial" w:cs="Arial"/>
          <w:szCs w:val="28"/>
        </w:rPr>
        <w:t xml:space="preserve"> [χ</w:t>
      </w:r>
      <w:r w:rsidRPr="00B92447">
        <w:rPr>
          <w:rFonts w:ascii="Arial" w:hAnsi="Arial" w:cs="Arial"/>
          <w:szCs w:val="28"/>
          <w:vertAlign w:val="superscript"/>
        </w:rPr>
        <w:t>2</w:t>
      </w:r>
      <w:r w:rsidRPr="00B92447">
        <w:rPr>
          <w:rFonts w:ascii="Arial" w:hAnsi="Arial" w:cs="Arial"/>
          <w:szCs w:val="28"/>
        </w:rPr>
        <w:t xml:space="preserve">(4, </w:t>
      </w:r>
      <w:r w:rsidRPr="00B92447">
        <w:rPr>
          <w:rFonts w:ascii="Arial" w:hAnsi="Arial" w:cs="Arial"/>
          <w:i/>
          <w:szCs w:val="28"/>
        </w:rPr>
        <w:t>N</w:t>
      </w:r>
      <w:r w:rsidR="001E1DE7" w:rsidRPr="00B92447">
        <w:rPr>
          <w:rFonts w:ascii="Arial" w:hAnsi="Arial" w:cs="Arial"/>
          <w:szCs w:val="28"/>
        </w:rPr>
        <w:t xml:space="preserve"> =</w:t>
      </w:r>
      <w:r w:rsidRPr="00B92447">
        <w:rPr>
          <w:rFonts w:ascii="Arial" w:hAnsi="Arial" w:cs="Arial"/>
          <w:szCs w:val="28"/>
        </w:rPr>
        <w:t xml:space="preserve">4319) = 169.4, </w:t>
      </w:r>
      <w:r w:rsidRPr="00B92447">
        <w:rPr>
          <w:rFonts w:ascii="Arial" w:hAnsi="Arial" w:cs="Arial"/>
          <w:i/>
          <w:szCs w:val="28"/>
        </w:rPr>
        <w:t>p</w:t>
      </w:r>
      <w:r w:rsidRPr="00B92447">
        <w:rPr>
          <w:rFonts w:ascii="Arial" w:hAnsi="Arial" w:cs="Arial"/>
          <w:szCs w:val="28"/>
        </w:rPr>
        <w:t xml:space="preserve">&lt;.01] and lower in the </w:t>
      </w:r>
      <w:proofErr w:type="spellStart"/>
      <w:r w:rsidRPr="00B92447">
        <w:rPr>
          <w:rFonts w:ascii="Arial" w:hAnsi="Arial" w:cs="Arial"/>
          <w:szCs w:val="28"/>
        </w:rPr>
        <w:t>NfLs</w:t>
      </w:r>
      <w:proofErr w:type="spellEnd"/>
      <w:r w:rsidRPr="00B92447">
        <w:rPr>
          <w:rFonts w:ascii="Arial" w:hAnsi="Arial" w:cs="Arial"/>
          <w:szCs w:val="28"/>
        </w:rPr>
        <w:t xml:space="preserve"> [χ</w:t>
      </w:r>
      <w:r w:rsidRPr="00B92447">
        <w:rPr>
          <w:rFonts w:ascii="Arial" w:hAnsi="Arial" w:cs="Arial"/>
          <w:szCs w:val="28"/>
          <w:vertAlign w:val="superscript"/>
        </w:rPr>
        <w:t>2</w:t>
      </w:r>
      <w:r w:rsidRPr="00B92447">
        <w:rPr>
          <w:rFonts w:ascii="Arial" w:hAnsi="Arial" w:cs="Arial"/>
          <w:szCs w:val="28"/>
        </w:rPr>
        <w:t xml:space="preserve"> (4, </w:t>
      </w:r>
      <w:r w:rsidRPr="00B92447">
        <w:rPr>
          <w:rFonts w:ascii="Arial" w:hAnsi="Arial" w:cs="Arial"/>
          <w:i/>
          <w:szCs w:val="28"/>
        </w:rPr>
        <w:t>N</w:t>
      </w:r>
      <w:r w:rsidR="001E1DE7" w:rsidRPr="00B92447">
        <w:rPr>
          <w:rFonts w:ascii="Arial" w:hAnsi="Arial" w:cs="Arial"/>
          <w:szCs w:val="28"/>
        </w:rPr>
        <w:t>=</w:t>
      </w:r>
      <w:r w:rsidRPr="00B92447">
        <w:rPr>
          <w:rFonts w:ascii="Arial" w:hAnsi="Arial" w:cs="Arial"/>
          <w:szCs w:val="28"/>
        </w:rPr>
        <w:t xml:space="preserve">4319) = 16.8, </w:t>
      </w:r>
      <w:r w:rsidRPr="00B92447">
        <w:rPr>
          <w:rFonts w:ascii="Arial" w:hAnsi="Arial" w:cs="Arial"/>
          <w:i/>
          <w:szCs w:val="28"/>
        </w:rPr>
        <w:t>p</w:t>
      </w:r>
      <w:r w:rsidRPr="00B92447">
        <w:rPr>
          <w:rFonts w:ascii="Arial" w:hAnsi="Arial" w:cs="Arial"/>
          <w:szCs w:val="28"/>
        </w:rPr>
        <w:t xml:space="preserve">&lt;.01] and disadvantaged comparator </w:t>
      </w:r>
      <w:proofErr w:type="spellStart"/>
      <w:r w:rsidRPr="00B92447">
        <w:rPr>
          <w:rFonts w:ascii="Arial" w:hAnsi="Arial" w:cs="Arial"/>
          <w:szCs w:val="28"/>
        </w:rPr>
        <w:t>neighbourhoods</w:t>
      </w:r>
      <w:proofErr w:type="spellEnd"/>
      <w:r w:rsidRPr="00B92447">
        <w:rPr>
          <w:rFonts w:ascii="Arial" w:hAnsi="Arial" w:cs="Arial"/>
          <w:szCs w:val="28"/>
        </w:rPr>
        <w:t xml:space="preserve"> [χ</w:t>
      </w:r>
      <w:r w:rsidRPr="00B92447">
        <w:rPr>
          <w:rFonts w:ascii="Arial" w:hAnsi="Arial" w:cs="Arial"/>
          <w:szCs w:val="28"/>
          <w:vertAlign w:val="superscript"/>
        </w:rPr>
        <w:t>2</w:t>
      </w:r>
      <w:r w:rsidRPr="00B92447">
        <w:rPr>
          <w:rFonts w:ascii="Arial" w:hAnsi="Arial" w:cs="Arial"/>
          <w:szCs w:val="28"/>
        </w:rPr>
        <w:t xml:space="preserve"> (4, </w:t>
      </w:r>
      <w:r w:rsidRPr="00B92447">
        <w:rPr>
          <w:rFonts w:ascii="Arial" w:hAnsi="Arial" w:cs="Arial"/>
          <w:i/>
          <w:szCs w:val="28"/>
        </w:rPr>
        <w:t>N</w:t>
      </w:r>
      <w:r w:rsidRPr="00B92447">
        <w:rPr>
          <w:rFonts w:ascii="Arial" w:hAnsi="Arial" w:cs="Arial"/>
          <w:szCs w:val="28"/>
        </w:rPr>
        <w:t xml:space="preserve">=4319) =15.1, </w:t>
      </w:r>
      <w:r w:rsidRPr="00B92447">
        <w:rPr>
          <w:rFonts w:ascii="Arial" w:hAnsi="Arial" w:cs="Arial"/>
          <w:i/>
          <w:szCs w:val="28"/>
        </w:rPr>
        <w:t>p</w:t>
      </w:r>
      <w:r w:rsidRPr="00B92447">
        <w:rPr>
          <w:rFonts w:ascii="Arial" w:hAnsi="Arial" w:cs="Arial"/>
          <w:szCs w:val="28"/>
        </w:rPr>
        <w:t xml:space="preserve">&lt;.05]. Proportions of people in employment also varied across </w:t>
      </w:r>
      <w:proofErr w:type="spellStart"/>
      <w:r w:rsidRPr="00B92447">
        <w:rPr>
          <w:rFonts w:ascii="Arial" w:hAnsi="Arial" w:cs="Arial"/>
          <w:szCs w:val="28"/>
        </w:rPr>
        <w:t>neighbourhood</w:t>
      </w:r>
      <w:proofErr w:type="spellEnd"/>
      <w:r w:rsidRPr="00B92447">
        <w:rPr>
          <w:rFonts w:ascii="Arial" w:hAnsi="Arial" w:cs="Arial"/>
          <w:szCs w:val="28"/>
        </w:rPr>
        <w:t xml:space="preserve"> types,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001E1DE7" w:rsidRPr="00B92447">
        <w:rPr>
          <w:rFonts w:ascii="Arial" w:hAnsi="Arial" w:cs="Arial"/>
          <w:szCs w:val="28"/>
        </w:rPr>
        <w:t>=4319)=</w:t>
      </w:r>
      <w:r w:rsidRPr="00B92447">
        <w:rPr>
          <w:rFonts w:ascii="Arial" w:hAnsi="Arial" w:cs="Arial"/>
          <w:szCs w:val="28"/>
        </w:rPr>
        <w:t xml:space="preserve">30.13, </w:t>
      </w:r>
      <w:r w:rsidRPr="00B92447">
        <w:rPr>
          <w:rFonts w:ascii="Arial" w:hAnsi="Arial" w:cs="Arial"/>
          <w:i/>
          <w:szCs w:val="28"/>
        </w:rPr>
        <w:t>p</w:t>
      </w:r>
      <w:r w:rsidRPr="00B92447">
        <w:rPr>
          <w:rFonts w:ascii="Arial" w:hAnsi="Arial" w:cs="Arial"/>
          <w:szCs w:val="28"/>
        </w:rPr>
        <w:t>&lt;</w:t>
      </w:r>
      <w:proofErr w:type="gramStart"/>
      <w:r w:rsidRPr="00B92447">
        <w:rPr>
          <w:rFonts w:ascii="Arial" w:hAnsi="Arial" w:cs="Arial"/>
          <w:szCs w:val="28"/>
        </w:rPr>
        <w:t>.001</w:t>
      </w:r>
      <w:proofErr w:type="gramEnd"/>
      <w:r w:rsidRPr="00B92447">
        <w:rPr>
          <w:rFonts w:ascii="Arial" w:hAnsi="Arial" w:cs="Arial"/>
          <w:szCs w:val="28"/>
        </w:rPr>
        <w:t>]. Examining employment as a dichotomous variable (employed, no</w:t>
      </w:r>
      <w:r w:rsidR="001E1DE7" w:rsidRPr="00B92447">
        <w:rPr>
          <w:rFonts w:ascii="Arial" w:hAnsi="Arial" w:cs="Arial"/>
          <w:szCs w:val="28"/>
        </w:rPr>
        <w:t>t</w:t>
      </w:r>
      <w:r w:rsidRPr="00B92447">
        <w:rPr>
          <w:rFonts w:ascii="Arial" w:hAnsi="Arial" w:cs="Arial"/>
          <w:szCs w:val="28"/>
        </w:rPr>
        <w:t xml:space="preserve"> employed), participants in relatively advantaged </w:t>
      </w:r>
      <w:proofErr w:type="spellStart"/>
      <w:r w:rsidRPr="00B92447">
        <w:rPr>
          <w:rFonts w:ascii="Arial" w:hAnsi="Arial" w:cs="Arial"/>
          <w:szCs w:val="28"/>
        </w:rPr>
        <w:t>neighbourhoods</w:t>
      </w:r>
      <w:proofErr w:type="spellEnd"/>
      <w:r w:rsidRPr="00B92447">
        <w:rPr>
          <w:rFonts w:ascii="Arial" w:hAnsi="Arial" w:cs="Arial"/>
          <w:szCs w:val="28"/>
        </w:rPr>
        <w:t xml:space="preserve"> had higher levels of employment [χ</w:t>
      </w:r>
      <w:r w:rsidRPr="00B92447">
        <w:rPr>
          <w:rFonts w:ascii="Arial" w:hAnsi="Arial" w:cs="Arial"/>
          <w:szCs w:val="28"/>
          <w:vertAlign w:val="superscript"/>
        </w:rPr>
        <w:t xml:space="preserve">2 </w:t>
      </w:r>
      <w:r w:rsidRPr="00B92447">
        <w:rPr>
          <w:rFonts w:ascii="Arial" w:hAnsi="Arial" w:cs="Arial"/>
          <w:szCs w:val="28"/>
        </w:rPr>
        <w:t xml:space="preserve">(2, </w:t>
      </w:r>
      <w:r w:rsidRPr="00B92447">
        <w:rPr>
          <w:rFonts w:ascii="Arial" w:hAnsi="Arial" w:cs="Arial"/>
          <w:i/>
          <w:szCs w:val="28"/>
        </w:rPr>
        <w:t>N</w:t>
      </w:r>
      <w:r w:rsidR="000E7CA5" w:rsidRPr="00B92447">
        <w:rPr>
          <w:rFonts w:ascii="Arial" w:hAnsi="Arial" w:cs="Arial"/>
          <w:szCs w:val="28"/>
        </w:rPr>
        <w:t>=</w:t>
      </w:r>
      <w:r w:rsidRPr="00B92447">
        <w:rPr>
          <w:rFonts w:ascii="Arial" w:hAnsi="Arial" w:cs="Arial"/>
          <w:szCs w:val="28"/>
        </w:rPr>
        <w:t xml:space="preserve">4319) =10.4, </w:t>
      </w:r>
      <w:r w:rsidRPr="00B92447">
        <w:rPr>
          <w:rFonts w:ascii="Arial" w:hAnsi="Arial" w:cs="Arial"/>
          <w:i/>
          <w:szCs w:val="28"/>
        </w:rPr>
        <w:t>p</w:t>
      </w:r>
      <w:r w:rsidRPr="00B92447">
        <w:rPr>
          <w:rFonts w:ascii="Arial" w:hAnsi="Arial" w:cs="Arial"/>
          <w:szCs w:val="28"/>
        </w:rPr>
        <w:t xml:space="preserve">&lt;.01], while participants in </w:t>
      </w:r>
      <w:proofErr w:type="spellStart"/>
      <w:r w:rsidRPr="00B92447">
        <w:rPr>
          <w:rFonts w:ascii="Arial" w:hAnsi="Arial" w:cs="Arial"/>
          <w:szCs w:val="28"/>
        </w:rPr>
        <w:t>NfLs</w:t>
      </w:r>
      <w:proofErr w:type="spellEnd"/>
      <w:r w:rsidRPr="00B92447">
        <w:rPr>
          <w:rFonts w:ascii="Arial" w:hAnsi="Arial" w:cs="Arial"/>
          <w:szCs w:val="28"/>
        </w:rPr>
        <w:t xml:space="preserve"> had lower levels of employment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000E7CA5" w:rsidRPr="00B92447">
        <w:rPr>
          <w:rFonts w:ascii="Arial" w:hAnsi="Arial" w:cs="Arial"/>
          <w:szCs w:val="28"/>
        </w:rPr>
        <w:t>=</w:t>
      </w:r>
      <w:r w:rsidR="001E10D5" w:rsidRPr="00B92447">
        <w:rPr>
          <w:rFonts w:ascii="Arial" w:hAnsi="Arial" w:cs="Arial"/>
          <w:szCs w:val="28"/>
        </w:rPr>
        <w:t>4319) =</w:t>
      </w:r>
      <w:r w:rsidRPr="00B92447">
        <w:rPr>
          <w:rFonts w:ascii="Arial" w:hAnsi="Arial" w:cs="Arial"/>
          <w:szCs w:val="28"/>
        </w:rPr>
        <w:t xml:space="preserve">7.0, </w:t>
      </w:r>
      <w:r w:rsidRPr="00B92447">
        <w:rPr>
          <w:rFonts w:ascii="Arial" w:hAnsi="Arial" w:cs="Arial"/>
          <w:i/>
          <w:szCs w:val="28"/>
        </w:rPr>
        <w:t>p</w:t>
      </w:r>
      <w:r w:rsidRPr="00B92447">
        <w:rPr>
          <w:rFonts w:ascii="Arial" w:hAnsi="Arial" w:cs="Arial"/>
          <w:szCs w:val="28"/>
        </w:rPr>
        <w:t xml:space="preserve">&lt;.05]. Observed frequencies in the disadvantaged comparator </w:t>
      </w:r>
      <w:proofErr w:type="spellStart"/>
      <w:r w:rsidRPr="00B92447">
        <w:rPr>
          <w:rFonts w:ascii="Arial" w:hAnsi="Arial" w:cs="Arial"/>
          <w:szCs w:val="28"/>
        </w:rPr>
        <w:t>neighbourhoods</w:t>
      </w:r>
      <w:proofErr w:type="spellEnd"/>
      <w:r w:rsidRPr="00B92447">
        <w:rPr>
          <w:rFonts w:ascii="Arial" w:hAnsi="Arial" w:cs="Arial"/>
          <w:szCs w:val="28"/>
        </w:rPr>
        <w:t xml:space="preserve"> did not differ from expected values [</w:t>
      </w:r>
      <w:proofErr w:type="gramStart"/>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w:t>
      </w:r>
      <w:proofErr w:type="gramEnd"/>
      <w:r w:rsidRPr="00B92447">
        <w:rPr>
          <w:rFonts w:ascii="Arial" w:hAnsi="Arial" w:cs="Arial"/>
          <w:szCs w:val="28"/>
        </w:rPr>
        <w:t xml:space="preserve">2, </w:t>
      </w:r>
      <w:r w:rsidRPr="00B92447">
        <w:rPr>
          <w:rFonts w:ascii="Arial" w:hAnsi="Arial" w:cs="Arial"/>
          <w:i/>
          <w:szCs w:val="28"/>
        </w:rPr>
        <w:t>N</w:t>
      </w:r>
      <w:r w:rsidR="000E7CA5" w:rsidRPr="00B92447">
        <w:rPr>
          <w:rFonts w:ascii="Arial" w:hAnsi="Arial" w:cs="Arial"/>
          <w:szCs w:val="28"/>
        </w:rPr>
        <w:t xml:space="preserve"> =4319)</w:t>
      </w:r>
      <w:r w:rsidRPr="00B92447">
        <w:rPr>
          <w:rFonts w:ascii="Arial" w:hAnsi="Arial" w:cs="Arial"/>
          <w:szCs w:val="28"/>
        </w:rPr>
        <w:t xml:space="preserve">=.05, </w:t>
      </w:r>
      <w:r w:rsidRPr="00B92447">
        <w:rPr>
          <w:rFonts w:ascii="Arial" w:hAnsi="Arial" w:cs="Arial"/>
          <w:i/>
          <w:szCs w:val="28"/>
        </w:rPr>
        <w:t>p</w:t>
      </w:r>
      <w:r w:rsidRPr="00B92447">
        <w:rPr>
          <w:rFonts w:ascii="Arial" w:hAnsi="Arial" w:cs="Arial"/>
          <w:szCs w:val="28"/>
        </w:rPr>
        <w:t>&gt;.05]</w:t>
      </w:r>
      <w:r w:rsidRPr="00B92447">
        <w:rPr>
          <w:rFonts w:ascii="Arial" w:hAnsi="Arial" w:cs="Arial"/>
          <w:i/>
          <w:szCs w:val="28"/>
        </w:rPr>
        <w:t>.</w:t>
      </w:r>
      <w:r w:rsidRPr="00B92447">
        <w:rPr>
          <w:rFonts w:ascii="Arial" w:hAnsi="Arial" w:cs="Arial"/>
          <w:szCs w:val="28"/>
        </w:rPr>
        <w:t xml:space="preserve"> </w:t>
      </w:r>
    </w:p>
    <w:p w14:paraId="1BDC06E6" w14:textId="77777777" w:rsidR="00226758" w:rsidRPr="00B92447" w:rsidRDefault="009C55CB" w:rsidP="009C55CB">
      <w:pPr>
        <w:ind w:firstLine="720"/>
        <w:jc w:val="both"/>
        <w:rPr>
          <w:rFonts w:ascii="Arial" w:hAnsi="Arial" w:cs="Arial"/>
        </w:rPr>
      </w:pPr>
      <w:r w:rsidRPr="00B92447">
        <w:rPr>
          <w:rFonts w:ascii="Arial" w:hAnsi="Arial" w:cs="Arial"/>
        </w:rPr>
        <w:t xml:space="preserve">Consistent with </w:t>
      </w:r>
      <w:r w:rsidR="0053772A" w:rsidRPr="00B92447">
        <w:rPr>
          <w:rFonts w:ascii="Arial" w:hAnsi="Arial" w:cs="Arial"/>
        </w:rPr>
        <w:t>W</w:t>
      </w:r>
      <w:r w:rsidRPr="00B92447">
        <w:rPr>
          <w:rFonts w:ascii="Arial" w:hAnsi="Arial" w:cs="Arial"/>
        </w:rPr>
        <w:t xml:space="preserve">ave 1, the majority of the sample </w:t>
      </w:r>
      <w:r w:rsidR="00137F53" w:rsidRPr="00B92447">
        <w:rPr>
          <w:rFonts w:ascii="Arial" w:hAnsi="Arial" w:cs="Arial"/>
        </w:rPr>
        <w:t>in W</w:t>
      </w:r>
      <w:r w:rsidRPr="00B92447">
        <w:rPr>
          <w:rFonts w:ascii="Arial" w:hAnsi="Arial" w:cs="Arial"/>
        </w:rPr>
        <w:t>ave 2 were female (56.3%), between 25 and 34 years of age (18.7%), and from white ethnic backgrounds (89.6%). Age (</w:t>
      </w:r>
      <w:r w:rsidRPr="00B92447">
        <w:rPr>
          <w:rFonts w:ascii="Arial" w:hAnsi="Arial" w:cs="Arial"/>
          <w:i/>
        </w:rPr>
        <w:t xml:space="preserve">t </w:t>
      </w:r>
      <w:r w:rsidR="000E7CA5" w:rsidRPr="00B92447">
        <w:rPr>
          <w:rFonts w:ascii="Arial" w:hAnsi="Arial" w:cs="Arial"/>
        </w:rPr>
        <w:t>(3123)=</w:t>
      </w:r>
      <w:proofErr w:type="gramStart"/>
      <w:r w:rsidRPr="00B92447">
        <w:rPr>
          <w:rFonts w:ascii="Arial" w:hAnsi="Arial" w:cs="Arial"/>
        </w:rPr>
        <w:t>.10</w:t>
      </w:r>
      <w:proofErr w:type="gramEnd"/>
      <w:r w:rsidRPr="00B92447">
        <w:rPr>
          <w:rFonts w:ascii="Arial" w:hAnsi="Arial" w:cs="Arial"/>
        </w:rPr>
        <w:t xml:space="preserve">, </w:t>
      </w:r>
      <w:r w:rsidRPr="00B92447">
        <w:rPr>
          <w:rFonts w:ascii="Arial" w:hAnsi="Arial" w:cs="Arial"/>
          <w:i/>
        </w:rPr>
        <w:t>p</w:t>
      </w:r>
      <w:r w:rsidRPr="00B92447">
        <w:rPr>
          <w:rFonts w:ascii="Arial" w:hAnsi="Arial" w:cs="Arial"/>
        </w:rPr>
        <w:t xml:space="preserve"> =.923), gender [</w:t>
      </w:r>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 xml:space="preserve">(1, </w:t>
      </w:r>
      <w:r w:rsidRPr="00B92447">
        <w:rPr>
          <w:rFonts w:ascii="Arial" w:hAnsi="Arial" w:cs="Arial"/>
          <w:i/>
          <w:szCs w:val="28"/>
        </w:rPr>
        <w:t>N</w:t>
      </w:r>
      <w:r w:rsidR="001E1DE7" w:rsidRPr="00B92447">
        <w:rPr>
          <w:rFonts w:ascii="Arial" w:hAnsi="Arial" w:cs="Arial"/>
          <w:szCs w:val="28"/>
        </w:rPr>
        <w:t xml:space="preserve"> =3412)=</w:t>
      </w:r>
      <w:r w:rsidRPr="00B92447">
        <w:rPr>
          <w:rFonts w:ascii="Arial" w:hAnsi="Arial" w:cs="Arial"/>
          <w:szCs w:val="28"/>
        </w:rPr>
        <w:t xml:space="preserve">3.15, </w:t>
      </w:r>
      <w:r w:rsidRPr="00B92447">
        <w:rPr>
          <w:rFonts w:ascii="Arial" w:hAnsi="Arial" w:cs="Arial"/>
          <w:i/>
          <w:szCs w:val="28"/>
        </w:rPr>
        <w:t>p</w:t>
      </w:r>
      <w:r w:rsidRPr="00B92447">
        <w:rPr>
          <w:rFonts w:ascii="Arial" w:hAnsi="Arial" w:cs="Arial"/>
          <w:szCs w:val="28"/>
        </w:rPr>
        <w:t>=.076]</w:t>
      </w:r>
      <w:r w:rsidRPr="00B92447">
        <w:rPr>
          <w:rFonts w:ascii="Arial" w:hAnsi="Arial" w:cs="Arial"/>
        </w:rPr>
        <w:t>, and  ethnicity [</w:t>
      </w:r>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 xml:space="preserve">(1, </w:t>
      </w:r>
      <w:r w:rsidRPr="00B92447">
        <w:rPr>
          <w:rFonts w:ascii="Arial" w:hAnsi="Arial" w:cs="Arial"/>
          <w:i/>
          <w:szCs w:val="28"/>
        </w:rPr>
        <w:t>N</w:t>
      </w:r>
      <w:r w:rsidR="001E10D5" w:rsidRPr="00B92447">
        <w:rPr>
          <w:rFonts w:ascii="Arial" w:hAnsi="Arial" w:cs="Arial"/>
          <w:szCs w:val="28"/>
        </w:rPr>
        <w:t xml:space="preserve"> =</w:t>
      </w:r>
      <w:r w:rsidRPr="00B92447">
        <w:rPr>
          <w:rFonts w:ascii="Arial" w:hAnsi="Arial" w:cs="Arial"/>
          <w:szCs w:val="28"/>
        </w:rPr>
        <w:t xml:space="preserve">3381) =.01, </w:t>
      </w:r>
      <w:r w:rsidRPr="00B92447">
        <w:rPr>
          <w:rFonts w:ascii="Arial" w:hAnsi="Arial" w:cs="Arial"/>
          <w:i/>
          <w:szCs w:val="28"/>
        </w:rPr>
        <w:t>p</w:t>
      </w:r>
      <w:r w:rsidRPr="00B92447">
        <w:rPr>
          <w:rFonts w:ascii="Arial" w:hAnsi="Arial" w:cs="Arial"/>
          <w:szCs w:val="28"/>
        </w:rPr>
        <w:t xml:space="preserve">=.931] proportions </w:t>
      </w:r>
      <w:r w:rsidRPr="00B92447">
        <w:rPr>
          <w:rFonts w:ascii="Arial" w:hAnsi="Arial" w:cs="Arial"/>
        </w:rPr>
        <w:t xml:space="preserve">did not differ between </w:t>
      </w:r>
      <w:proofErr w:type="spellStart"/>
      <w:r w:rsidRPr="00B92447">
        <w:rPr>
          <w:rFonts w:ascii="Arial" w:hAnsi="Arial" w:cs="Arial"/>
        </w:rPr>
        <w:t>NfLs</w:t>
      </w:r>
      <w:proofErr w:type="spellEnd"/>
      <w:r w:rsidRPr="00B92447">
        <w:rPr>
          <w:rFonts w:ascii="Arial" w:hAnsi="Arial" w:cs="Arial"/>
        </w:rPr>
        <w:t xml:space="preserve"> and deprived comparator </w:t>
      </w:r>
      <w:proofErr w:type="spellStart"/>
      <w:r w:rsidRPr="00B92447">
        <w:rPr>
          <w:rFonts w:ascii="Arial" w:hAnsi="Arial" w:cs="Arial"/>
        </w:rPr>
        <w:t>neighbourhoods</w:t>
      </w:r>
      <w:proofErr w:type="spellEnd"/>
      <w:r w:rsidRPr="00B92447">
        <w:rPr>
          <w:rFonts w:ascii="Arial" w:hAnsi="Arial" w:cs="Arial"/>
        </w:rPr>
        <w:t xml:space="preserve">. Education level did not vary </w:t>
      </w:r>
      <w:r w:rsidR="00527FF2" w:rsidRPr="00B92447">
        <w:rPr>
          <w:rFonts w:ascii="Arial" w:hAnsi="Arial" w:cs="Arial"/>
        </w:rPr>
        <w:t xml:space="preserve">according to </w:t>
      </w:r>
      <w:proofErr w:type="spellStart"/>
      <w:r w:rsidRPr="00B92447">
        <w:rPr>
          <w:rFonts w:ascii="Arial" w:hAnsi="Arial" w:cs="Arial"/>
        </w:rPr>
        <w:t>neighbourhood</w:t>
      </w:r>
      <w:proofErr w:type="spellEnd"/>
      <w:r w:rsidRPr="00B92447">
        <w:rPr>
          <w:rFonts w:ascii="Arial" w:hAnsi="Arial" w:cs="Arial"/>
        </w:rPr>
        <w:t xml:space="preserve"> type [</w:t>
      </w:r>
      <w:proofErr w:type="gramStart"/>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w:t>
      </w:r>
      <w:proofErr w:type="gramEnd"/>
      <w:r w:rsidRPr="00B92447">
        <w:rPr>
          <w:rFonts w:ascii="Arial" w:hAnsi="Arial" w:cs="Arial"/>
          <w:szCs w:val="28"/>
        </w:rPr>
        <w:t xml:space="preserve">2, </w:t>
      </w:r>
      <w:r w:rsidRPr="00B92447">
        <w:rPr>
          <w:rFonts w:ascii="Arial" w:hAnsi="Arial" w:cs="Arial"/>
          <w:i/>
          <w:szCs w:val="28"/>
        </w:rPr>
        <w:t>N</w:t>
      </w:r>
      <w:r w:rsidR="001E1DE7" w:rsidRPr="00B92447">
        <w:rPr>
          <w:rFonts w:ascii="Arial" w:hAnsi="Arial" w:cs="Arial"/>
          <w:szCs w:val="28"/>
        </w:rPr>
        <w:t>=3408)=</w:t>
      </w:r>
      <w:r w:rsidR="000E7CA5" w:rsidRPr="00B92447">
        <w:rPr>
          <w:rFonts w:ascii="Arial" w:hAnsi="Arial" w:cs="Arial"/>
          <w:szCs w:val="28"/>
        </w:rPr>
        <w:t>2.37</w:t>
      </w:r>
      <w:r w:rsidRPr="00B92447">
        <w:rPr>
          <w:rFonts w:ascii="Arial" w:hAnsi="Arial" w:cs="Arial"/>
          <w:szCs w:val="28"/>
        </w:rPr>
        <w:t xml:space="preserve">, </w:t>
      </w:r>
      <w:r w:rsidRPr="00B92447">
        <w:rPr>
          <w:rFonts w:ascii="Arial" w:hAnsi="Arial" w:cs="Arial"/>
          <w:i/>
          <w:szCs w:val="28"/>
        </w:rPr>
        <w:t>p</w:t>
      </w:r>
      <w:r w:rsidRPr="00B92447">
        <w:rPr>
          <w:rFonts w:ascii="Arial" w:hAnsi="Arial" w:cs="Arial"/>
          <w:szCs w:val="28"/>
        </w:rPr>
        <w:t xml:space="preserve">=0.306]. Employment was related to </w:t>
      </w:r>
      <w:proofErr w:type="spellStart"/>
      <w:r w:rsidRPr="00B92447">
        <w:rPr>
          <w:rFonts w:ascii="Arial" w:hAnsi="Arial" w:cs="Arial"/>
          <w:szCs w:val="28"/>
        </w:rPr>
        <w:t>neighbourhood</w:t>
      </w:r>
      <w:proofErr w:type="spellEnd"/>
      <w:r w:rsidRPr="00B92447">
        <w:rPr>
          <w:rFonts w:ascii="Arial" w:hAnsi="Arial" w:cs="Arial"/>
          <w:szCs w:val="28"/>
        </w:rPr>
        <w:t xml:space="preserve"> type in the overall chi-square test </w:t>
      </w:r>
      <w:r w:rsidRPr="00B92447">
        <w:rPr>
          <w:rFonts w:ascii="Arial" w:hAnsi="Arial" w:cs="Arial"/>
        </w:rPr>
        <w:t>[</w:t>
      </w:r>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 xml:space="preserve">(1, </w:t>
      </w:r>
      <w:r w:rsidRPr="00B92447">
        <w:rPr>
          <w:rFonts w:ascii="Arial" w:hAnsi="Arial" w:cs="Arial"/>
          <w:i/>
          <w:szCs w:val="28"/>
        </w:rPr>
        <w:t>N</w:t>
      </w:r>
      <w:r w:rsidR="00AF61A8" w:rsidRPr="00B92447">
        <w:rPr>
          <w:rFonts w:ascii="Arial" w:hAnsi="Arial" w:cs="Arial"/>
          <w:szCs w:val="28"/>
        </w:rPr>
        <w:t>=3396) = 10.09</w:t>
      </w:r>
      <w:r w:rsidRPr="00B92447">
        <w:rPr>
          <w:rFonts w:ascii="Arial" w:hAnsi="Arial" w:cs="Arial"/>
          <w:szCs w:val="28"/>
        </w:rPr>
        <w:t xml:space="preserve">, </w:t>
      </w:r>
      <w:r w:rsidRPr="00B92447">
        <w:rPr>
          <w:rFonts w:ascii="Arial" w:hAnsi="Arial" w:cs="Arial"/>
          <w:i/>
          <w:szCs w:val="28"/>
        </w:rPr>
        <w:t>p</w:t>
      </w:r>
      <w:r w:rsidR="00AF61A8" w:rsidRPr="00B92447">
        <w:rPr>
          <w:rFonts w:ascii="Arial" w:hAnsi="Arial" w:cs="Arial"/>
          <w:szCs w:val="28"/>
        </w:rPr>
        <w:t>=.001</w:t>
      </w:r>
      <w:r w:rsidRPr="00B92447">
        <w:rPr>
          <w:rFonts w:ascii="Arial" w:hAnsi="Arial" w:cs="Arial"/>
          <w:szCs w:val="28"/>
        </w:rPr>
        <w:t>, but no individual proportions varied significantly from expected values (all χ</w:t>
      </w:r>
      <w:r w:rsidRPr="00B92447">
        <w:rPr>
          <w:rFonts w:ascii="Arial" w:hAnsi="Arial" w:cs="Arial"/>
          <w:szCs w:val="28"/>
          <w:vertAlign w:val="superscript"/>
        </w:rPr>
        <w:t>2</w:t>
      </w:r>
      <w:r w:rsidRPr="00B92447">
        <w:rPr>
          <w:rFonts w:ascii="Arial" w:hAnsi="Arial" w:cs="Arial"/>
          <w:szCs w:val="28"/>
        </w:rPr>
        <w:t>’s</w:t>
      </w:r>
      <w:r w:rsidRPr="00B92447">
        <w:rPr>
          <w:rFonts w:ascii="Arial" w:hAnsi="Arial" w:cs="Arial"/>
          <w:szCs w:val="28"/>
          <w:vertAlign w:val="superscript"/>
        </w:rPr>
        <w:t xml:space="preserve"> </w:t>
      </w:r>
      <w:r w:rsidR="00AF61A8" w:rsidRPr="00B92447">
        <w:rPr>
          <w:rFonts w:ascii="Arial" w:hAnsi="Arial" w:cs="Arial"/>
        </w:rPr>
        <w:t>&lt; 3.7</w:t>
      </w:r>
      <w:r w:rsidR="000E7CA5" w:rsidRPr="00B92447">
        <w:rPr>
          <w:rFonts w:ascii="Arial" w:hAnsi="Arial" w:cs="Arial"/>
        </w:rPr>
        <w:t>, all p’s &gt;</w:t>
      </w:r>
      <w:r w:rsidRPr="00B92447">
        <w:rPr>
          <w:rFonts w:ascii="Arial" w:hAnsi="Arial" w:cs="Arial"/>
        </w:rPr>
        <w:t>.05).</w:t>
      </w:r>
    </w:p>
    <w:p w14:paraId="63017640" w14:textId="77777777" w:rsidR="009C55CB" w:rsidRPr="00B92447" w:rsidRDefault="00226758" w:rsidP="00EC0744">
      <w:pPr>
        <w:spacing w:after="0"/>
        <w:jc w:val="both"/>
        <w:rPr>
          <w:rFonts w:ascii="Arial" w:hAnsi="Arial" w:cs="Arial"/>
          <w:b/>
          <w:i/>
        </w:rPr>
      </w:pPr>
      <w:proofErr w:type="spellStart"/>
      <w:r w:rsidRPr="00B92447">
        <w:rPr>
          <w:rFonts w:ascii="Arial" w:hAnsi="Arial" w:cs="Arial"/>
          <w:b/>
          <w:i/>
        </w:rPr>
        <w:t>Neighbourhood</w:t>
      </w:r>
      <w:proofErr w:type="spellEnd"/>
      <w:r w:rsidRPr="00B92447">
        <w:rPr>
          <w:rFonts w:ascii="Arial" w:hAnsi="Arial" w:cs="Arial"/>
          <w:b/>
          <w:i/>
        </w:rPr>
        <w:t xml:space="preserve"> Deprivation</w:t>
      </w:r>
      <w:r w:rsidR="009C55CB" w:rsidRPr="00B92447">
        <w:rPr>
          <w:rFonts w:ascii="Arial" w:hAnsi="Arial" w:cs="Arial"/>
          <w:b/>
          <w:i/>
        </w:rPr>
        <w:t xml:space="preserve"> </w:t>
      </w:r>
    </w:p>
    <w:p w14:paraId="4A226724" w14:textId="77777777" w:rsidR="00226758" w:rsidRPr="00B92447" w:rsidRDefault="00226758" w:rsidP="00080F8D">
      <w:pPr>
        <w:jc w:val="both"/>
        <w:rPr>
          <w:rFonts w:ascii="Arial" w:hAnsi="Arial" w:cs="Arial"/>
        </w:rPr>
      </w:pPr>
      <w:r w:rsidRPr="00B92447">
        <w:rPr>
          <w:rFonts w:ascii="Arial" w:hAnsi="Arial" w:cs="Arial"/>
        </w:rPr>
        <w:t xml:space="preserve">Differences in deprivation at the </w:t>
      </w:r>
      <w:proofErr w:type="spellStart"/>
      <w:r w:rsidRPr="00B92447">
        <w:rPr>
          <w:rFonts w:ascii="Arial" w:hAnsi="Arial" w:cs="Arial"/>
        </w:rPr>
        <w:t>neighbourhood</w:t>
      </w:r>
      <w:proofErr w:type="spellEnd"/>
      <w:r w:rsidRPr="00B92447">
        <w:rPr>
          <w:rFonts w:ascii="Arial" w:hAnsi="Arial" w:cs="Arial"/>
        </w:rPr>
        <w:t xml:space="preserve"> level as measured by the Index of Multiple Deprivation (IMD) were examined via a one-way ANOVA (</w:t>
      </w:r>
      <w:r w:rsidR="0053772A" w:rsidRPr="00B92447">
        <w:rPr>
          <w:rFonts w:ascii="Arial" w:hAnsi="Arial" w:cs="Arial"/>
        </w:rPr>
        <w:t>W</w:t>
      </w:r>
      <w:r w:rsidRPr="00B92447">
        <w:rPr>
          <w:rFonts w:ascii="Arial" w:hAnsi="Arial" w:cs="Arial"/>
        </w:rPr>
        <w:t xml:space="preserve">ave 1) and an independent-samples t-test </w:t>
      </w:r>
      <w:r w:rsidR="00CE5308" w:rsidRPr="00B92447">
        <w:rPr>
          <w:rFonts w:ascii="Arial" w:hAnsi="Arial" w:cs="Arial"/>
        </w:rPr>
        <w:t xml:space="preserve">for unequal variances </w:t>
      </w:r>
      <w:r w:rsidRPr="00B92447">
        <w:rPr>
          <w:rFonts w:ascii="Arial" w:hAnsi="Arial" w:cs="Arial"/>
        </w:rPr>
        <w:t>(</w:t>
      </w:r>
      <w:r w:rsidR="0053772A" w:rsidRPr="00B92447">
        <w:rPr>
          <w:rFonts w:ascii="Arial" w:hAnsi="Arial" w:cs="Arial"/>
        </w:rPr>
        <w:t>W</w:t>
      </w:r>
      <w:r w:rsidRPr="00B92447">
        <w:rPr>
          <w:rFonts w:ascii="Arial" w:hAnsi="Arial" w:cs="Arial"/>
        </w:rPr>
        <w:t xml:space="preserve">ave 2). </w:t>
      </w:r>
      <w:r w:rsidR="00CE5308" w:rsidRPr="00B92447">
        <w:rPr>
          <w:rFonts w:ascii="Arial" w:hAnsi="Arial" w:cs="Arial"/>
        </w:rPr>
        <w:t xml:space="preserve">In </w:t>
      </w:r>
      <w:r w:rsidR="0053772A" w:rsidRPr="00B92447">
        <w:rPr>
          <w:rFonts w:ascii="Arial" w:hAnsi="Arial" w:cs="Arial"/>
        </w:rPr>
        <w:t>W</w:t>
      </w:r>
      <w:r w:rsidR="00CE5308" w:rsidRPr="00B92447">
        <w:rPr>
          <w:rFonts w:ascii="Arial" w:hAnsi="Arial" w:cs="Arial"/>
        </w:rPr>
        <w:t>ave 1,</w:t>
      </w:r>
      <w:r w:rsidR="00D52205" w:rsidRPr="00B92447">
        <w:rPr>
          <w:rFonts w:ascii="Arial" w:hAnsi="Arial" w:cs="Arial"/>
        </w:rPr>
        <w:t xml:space="preserve"> deprivation varied </w:t>
      </w:r>
      <w:r w:rsidR="00B250B4" w:rsidRPr="00B92447">
        <w:rPr>
          <w:rFonts w:ascii="Arial" w:hAnsi="Arial" w:cs="Arial"/>
        </w:rPr>
        <w:t xml:space="preserve">according to </w:t>
      </w:r>
      <w:proofErr w:type="spellStart"/>
      <w:r w:rsidR="00B250B4" w:rsidRPr="00B92447">
        <w:rPr>
          <w:rFonts w:ascii="Arial" w:hAnsi="Arial" w:cs="Arial"/>
        </w:rPr>
        <w:t>neighbourhood</w:t>
      </w:r>
      <w:proofErr w:type="spellEnd"/>
      <w:r w:rsidR="00B250B4" w:rsidRPr="00B92447">
        <w:rPr>
          <w:rFonts w:ascii="Arial" w:hAnsi="Arial" w:cs="Arial"/>
        </w:rPr>
        <w:t xml:space="preserve"> type</w:t>
      </w:r>
      <w:r w:rsidR="00D52205" w:rsidRPr="00B92447">
        <w:rPr>
          <w:rFonts w:ascii="Arial" w:hAnsi="Arial" w:cs="Arial"/>
        </w:rPr>
        <w:t xml:space="preserve">, </w:t>
      </w:r>
      <w:proofErr w:type="gramStart"/>
      <w:r w:rsidR="00D52205" w:rsidRPr="00B92447">
        <w:rPr>
          <w:rFonts w:ascii="Arial" w:hAnsi="Arial" w:cs="Arial"/>
          <w:i/>
        </w:rPr>
        <w:t>F</w:t>
      </w:r>
      <w:r w:rsidR="00D52205" w:rsidRPr="00B92447">
        <w:rPr>
          <w:rFonts w:ascii="Arial" w:hAnsi="Arial" w:cs="Arial"/>
        </w:rPr>
        <w:t>(</w:t>
      </w:r>
      <w:proofErr w:type="gramEnd"/>
      <w:r w:rsidR="00D52205" w:rsidRPr="00B92447">
        <w:rPr>
          <w:rFonts w:ascii="Arial" w:hAnsi="Arial" w:cs="Arial"/>
        </w:rPr>
        <w:t>2, 4316) = 1842.92, p &lt; .001</w:t>
      </w:r>
      <w:r w:rsidR="00A7282C" w:rsidRPr="00B92447">
        <w:rPr>
          <w:rFonts w:ascii="Arial" w:hAnsi="Arial" w:cs="Arial"/>
        </w:rPr>
        <w:t>. Post-</w:t>
      </w:r>
      <w:r w:rsidR="00D52205" w:rsidRPr="00B92447">
        <w:rPr>
          <w:rFonts w:ascii="Arial" w:hAnsi="Arial" w:cs="Arial"/>
        </w:rPr>
        <w:t xml:space="preserve">hoc Least Significant Difference tests indicated </w:t>
      </w:r>
      <w:r w:rsidR="00B250B4" w:rsidRPr="00B92447">
        <w:rPr>
          <w:rFonts w:ascii="Arial" w:hAnsi="Arial" w:cs="Arial"/>
        </w:rPr>
        <w:t>that</w:t>
      </w:r>
      <w:r w:rsidR="00D52205" w:rsidRPr="00B92447">
        <w:rPr>
          <w:rFonts w:ascii="Arial" w:hAnsi="Arial" w:cs="Arial"/>
        </w:rPr>
        <w:t xml:space="preserve"> the relatively advantaged </w:t>
      </w:r>
      <w:proofErr w:type="spellStart"/>
      <w:r w:rsidR="00D52205" w:rsidRPr="00B92447">
        <w:rPr>
          <w:rFonts w:ascii="Arial" w:hAnsi="Arial" w:cs="Arial"/>
        </w:rPr>
        <w:t>neighbourhoods</w:t>
      </w:r>
      <w:proofErr w:type="spellEnd"/>
      <w:r w:rsidR="00D52205" w:rsidRPr="00B92447">
        <w:rPr>
          <w:rFonts w:ascii="Arial" w:hAnsi="Arial" w:cs="Arial"/>
        </w:rPr>
        <w:t xml:space="preserve"> (</w:t>
      </w:r>
      <w:r w:rsidR="00D52205" w:rsidRPr="00B92447">
        <w:rPr>
          <w:rFonts w:ascii="Arial" w:hAnsi="Arial" w:cs="Arial"/>
          <w:i/>
        </w:rPr>
        <w:t>M</w:t>
      </w:r>
      <w:r w:rsidR="00D52205" w:rsidRPr="00B92447">
        <w:rPr>
          <w:rFonts w:ascii="Arial" w:hAnsi="Arial" w:cs="Arial"/>
        </w:rPr>
        <w:t xml:space="preserve"> = 11.32, </w:t>
      </w:r>
      <w:r w:rsidR="00D52205" w:rsidRPr="00B92447">
        <w:rPr>
          <w:rFonts w:ascii="Arial" w:hAnsi="Arial" w:cs="Arial"/>
          <w:i/>
        </w:rPr>
        <w:t>SD</w:t>
      </w:r>
      <w:r w:rsidR="00D52205" w:rsidRPr="00B92447">
        <w:rPr>
          <w:rFonts w:ascii="Arial" w:hAnsi="Arial" w:cs="Arial"/>
        </w:rPr>
        <w:t xml:space="preserve"> = 7.58) had significantly lower levels of deprivation compared to the </w:t>
      </w:r>
      <w:proofErr w:type="spellStart"/>
      <w:r w:rsidR="00D52205" w:rsidRPr="00B92447">
        <w:rPr>
          <w:rFonts w:ascii="Arial" w:hAnsi="Arial" w:cs="Arial"/>
        </w:rPr>
        <w:t>NfLs</w:t>
      </w:r>
      <w:proofErr w:type="spellEnd"/>
      <w:r w:rsidR="00D52205" w:rsidRPr="00B92447">
        <w:rPr>
          <w:rFonts w:ascii="Arial" w:hAnsi="Arial" w:cs="Arial"/>
        </w:rPr>
        <w:t xml:space="preserve"> (</w:t>
      </w:r>
      <w:r w:rsidR="00D52205" w:rsidRPr="00B92447">
        <w:rPr>
          <w:rFonts w:ascii="Arial" w:hAnsi="Arial" w:cs="Arial"/>
          <w:i/>
        </w:rPr>
        <w:t>M</w:t>
      </w:r>
      <w:r w:rsidR="00D52205" w:rsidRPr="00B92447">
        <w:rPr>
          <w:rFonts w:ascii="Arial" w:hAnsi="Arial" w:cs="Arial"/>
        </w:rPr>
        <w:t xml:space="preserve"> = 50.51, </w:t>
      </w:r>
      <w:r w:rsidR="00D52205" w:rsidRPr="00B92447">
        <w:rPr>
          <w:rFonts w:ascii="Arial" w:hAnsi="Arial" w:cs="Arial"/>
          <w:i/>
        </w:rPr>
        <w:t>SD</w:t>
      </w:r>
      <w:r w:rsidR="00D52205" w:rsidRPr="00B92447">
        <w:rPr>
          <w:rFonts w:ascii="Arial" w:hAnsi="Arial" w:cs="Arial"/>
        </w:rPr>
        <w:t xml:space="preserve"> = 17.76</w:t>
      </w:r>
      <w:r w:rsidR="00203ED6" w:rsidRPr="00B92447">
        <w:rPr>
          <w:rFonts w:ascii="Arial" w:hAnsi="Arial" w:cs="Arial"/>
        </w:rPr>
        <w:t xml:space="preserve">, </w:t>
      </w:r>
      <w:r w:rsidR="00203ED6" w:rsidRPr="00B92447">
        <w:rPr>
          <w:rFonts w:ascii="Arial" w:hAnsi="Arial" w:cs="Arial"/>
          <w:i/>
        </w:rPr>
        <w:t>p</w:t>
      </w:r>
      <w:r w:rsidR="00080F8D" w:rsidRPr="00B92447">
        <w:rPr>
          <w:rFonts w:ascii="Arial" w:hAnsi="Arial" w:cs="Arial"/>
        </w:rPr>
        <w:t xml:space="preserve"> &lt;</w:t>
      </w:r>
      <w:r w:rsidR="00203ED6" w:rsidRPr="00B92447">
        <w:rPr>
          <w:rFonts w:ascii="Arial" w:hAnsi="Arial" w:cs="Arial"/>
        </w:rPr>
        <w:t>.001</w:t>
      </w:r>
      <w:r w:rsidR="00D52205" w:rsidRPr="00B92447">
        <w:rPr>
          <w:rFonts w:ascii="Arial" w:hAnsi="Arial" w:cs="Arial"/>
        </w:rPr>
        <w:t xml:space="preserve">) and disadvantaged comparator </w:t>
      </w:r>
      <w:proofErr w:type="spellStart"/>
      <w:r w:rsidR="00D52205" w:rsidRPr="00B92447">
        <w:rPr>
          <w:rFonts w:ascii="Arial" w:hAnsi="Arial" w:cs="Arial"/>
        </w:rPr>
        <w:t>neighbourhoods</w:t>
      </w:r>
      <w:proofErr w:type="spellEnd"/>
      <w:r w:rsidR="00D52205" w:rsidRPr="00B92447">
        <w:rPr>
          <w:rFonts w:ascii="Arial" w:hAnsi="Arial" w:cs="Arial"/>
        </w:rPr>
        <w:t xml:space="preserve">, </w:t>
      </w:r>
      <w:r w:rsidR="00D52205" w:rsidRPr="00B92447">
        <w:rPr>
          <w:rFonts w:ascii="Arial" w:hAnsi="Arial" w:cs="Arial"/>
          <w:i/>
        </w:rPr>
        <w:t>M</w:t>
      </w:r>
      <w:r w:rsidR="00D52205" w:rsidRPr="00B92447">
        <w:rPr>
          <w:rFonts w:ascii="Arial" w:hAnsi="Arial" w:cs="Arial"/>
        </w:rPr>
        <w:t xml:space="preserve"> = 42.76, SD = </w:t>
      </w:r>
      <w:r w:rsidR="00203ED6" w:rsidRPr="00B92447">
        <w:rPr>
          <w:rFonts w:ascii="Arial" w:hAnsi="Arial" w:cs="Arial"/>
        </w:rPr>
        <w:t xml:space="preserve">14.56, </w:t>
      </w:r>
      <w:r w:rsidR="00203ED6" w:rsidRPr="00B92447">
        <w:rPr>
          <w:rFonts w:ascii="Arial" w:hAnsi="Arial" w:cs="Arial"/>
          <w:i/>
        </w:rPr>
        <w:t>p</w:t>
      </w:r>
      <w:r w:rsidR="00080F8D" w:rsidRPr="00B92447">
        <w:rPr>
          <w:rFonts w:ascii="Arial" w:hAnsi="Arial" w:cs="Arial"/>
        </w:rPr>
        <w:t xml:space="preserve"> &lt;</w:t>
      </w:r>
      <w:r w:rsidR="00203ED6" w:rsidRPr="00B92447">
        <w:rPr>
          <w:rFonts w:ascii="Arial" w:hAnsi="Arial" w:cs="Arial"/>
        </w:rPr>
        <w:t>.001</w:t>
      </w:r>
      <w:r w:rsidR="00D52205" w:rsidRPr="00B92447">
        <w:rPr>
          <w:rFonts w:ascii="Arial" w:hAnsi="Arial" w:cs="Arial"/>
        </w:rPr>
        <w:t xml:space="preserve">. The </w:t>
      </w:r>
      <w:proofErr w:type="spellStart"/>
      <w:r w:rsidR="00D52205" w:rsidRPr="00B92447">
        <w:rPr>
          <w:rFonts w:ascii="Arial" w:hAnsi="Arial" w:cs="Arial"/>
        </w:rPr>
        <w:t>NfLs</w:t>
      </w:r>
      <w:proofErr w:type="spellEnd"/>
      <w:r w:rsidR="00D52205" w:rsidRPr="00B92447">
        <w:rPr>
          <w:rFonts w:ascii="Arial" w:hAnsi="Arial" w:cs="Arial"/>
        </w:rPr>
        <w:t xml:space="preserve"> were </w:t>
      </w:r>
      <w:r w:rsidR="00B250B4" w:rsidRPr="00B92447">
        <w:rPr>
          <w:rFonts w:ascii="Arial" w:hAnsi="Arial" w:cs="Arial"/>
        </w:rPr>
        <w:t xml:space="preserve">also </w:t>
      </w:r>
      <w:r w:rsidR="00D52205" w:rsidRPr="00B92447">
        <w:rPr>
          <w:rFonts w:ascii="Arial" w:hAnsi="Arial" w:cs="Arial"/>
        </w:rPr>
        <w:t xml:space="preserve">significantly more deprived than the disadvantaged comparator </w:t>
      </w:r>
      <w:proofErr w:type="spellStart"/>
      <w:r w:rsidR="00D52205" w:rsidRPr="00B92447">
        <w:rPr>
          <w:rFonts w:ascii="Arial" w:hAnsi="Arial" w:cs="Arial"/>
        </w:rPr>
        <w:t>neighbourhoods</w:t>
      </w:r>
      <w:proofErr w:type="spellEnd"/>
      <w:r w:rsidR="0053772A" w:rsidRPr="00B92447">
        <w:rPr>
          <w:rFonts w:ascii="Arial" w:hAnsi="Arial" w:cs="Arial"/>
        </w:rPr>
        <w:t>.</w:t>
      </w:r>
      <w:r w:rsidR="00D52205" w:rsidRPr="00B92447">
        <w:rPr>
          <w:rFonts w:ascii="Arial" w:hAnsi="Arial" w:cs="Arial"/>
        </w:rPr>
        <w:t xml:space="preserve"> </w:t>
      </w:r>
      <w:r w:rsidRPr="00B92447">
        <w:rPr>
          <w:rFonts w:ascii="Arial" w:hAnsi="Arial" w:cs="Arial"/>
        </w:rPr>
        <w:t xml:space="preserve">In </w:t>
      </w:r>
      <w:r w:rsidR="0053772A" w:rsidRPr="00B92447">
        <w:rPr>
          <w:rFonts w:ascii="Arial" w:hAnsi="Arial" w:cs="Arial"/>
        </w:rPr>
        <w:t>W</w:t>
      </w:r>
      <w:r w:rsidRPr="00B92447">
        <w:rPr>
          <w:rFonts w:ascii="Arial" w:hAnsi="Arial" w:cs="Arial"/>
        </w:rPr>
        <w:t xml:space="preserve">ave 2, the </w:t>
      </w:r>
      <w:proofErr w:type="spellStart"/>
      <w:r w:rsidRPr="00B92447">
        <w:rPr>
          <w:rFonts w:ascii="Arial" w:hAnsi="Arial" w:cs="Arial"/>
        </w:rPr>
        <w:t>NfLs</w:t>
      </w:r>
      <w:proofErr w:type="spellEnd"/>
      <w:r w:rsidRPr="00B92447">
        <w:rPr>
          <w:rFonts w:ascii="Arial" w:hAnsi="Arial" w:cs="Arial"/>
        </w:rPr>
        <w:t xml:space="preserve"> (</w:t>
      </w:r>
      <w:r w:rsidRPr="00B92447">
        <w:rPr>
          <w:rFonts w:ascii="Arial" w:hAnsi="Arial" w:cs="Arial"/>
          <w:i/>
        </w:rPr>
        <w:t xml:space="preserve">M </w:t>
      </w:r>
      <w:r w:rsidRPr="00B92447">
        <w:rPr>
          <w:rFonts w:ascii="Arial" w:hAnsi="Arial" w:cs="Arial"/>
        </w:rPr>
        <w:t xml:space="preserve">= 54.22, </w:t>
      </w:r>
      <w:r w:rsidRPr="00B92447">
        <w:rPr>
          <w:rFonts w:ascii="Arial" w:hAnsi="Arial" w:cs="Arial"/>
          <w:i/>
        </w:rPr>
        <w:t>SD</w:t>
      </w:r>
      <w:r w:rsidR="00080F8D" w:rsidRPr="00B92447">
        <w:rPr>
          <w:rFonts w:ascii="Arial" w:hAnsi="Arial" w:cs="Arial"/>
        </w:rPr>
        <w:t xml:space="preserve"> = 16.56</w:t>
      </w:r>
      <w:r w:rsidRPr="00B92447">
        <w:rPr>
          <w:rFonts w:ascii="Arial" w:hAnsi="Arial" w:cs="Arial"/>
        </w:rPr>
        <w:t xml:space="preserve">) were significantly more deprived than the deprived comparator </w:t>
      </w:r>
      <w:proofErr w:type="spellStart"/>
      <w:r w:rsidRPr="00B92447">
        <w:rPr>
          <w:rFonts w:ascii="Arial" w:hAnsi="Arial" w:cs="Arial"/>
        </w:rPr>
        <w:t>neighbourhoods</w:t>
      </w:r>
      <w:proofErr w:type="spellEnd"/>
      <w:r w:rsidR="00B1213D" w:rsidRPr="00B92447">
        <w:rPr>
          <w:rFonts w:ascii="Arial" w:hAnsi="Arial" w:cs="Arial"/>
        </w:rPr>
        <w:t xml:space="preserve"> (</w:t>
      </w:r>
      <w:r w:rsidR="00B1213D" w:rsidRPr="00B92447">
        <w:rPr>
          <w:rFonts w:ascii="Arial" w:hAnsi="Arial" w:cs="Arial"/>
          <w:i/>
        </w:rPr>
        <w:t>M</w:t>
      </w:r>
      <w:r w:rsidR="00B1213D" w:rsidRPr="00B92447">
        <w:rPr>
          <w:rFonts w:ascii="Arial" w:hAnsi="Arial" w:cs="Arial"/>
        </w:rPr>
        <w:t xml:space="preserve"> = 42.27, </w:t>
      </w:r>
      <w:r w:rsidR="00B1213D" w:rsidRPr="00B92447">
        <w:rPr>
          <w:rFonts w:ascii="Arial" w:hAnsi="Arial" w:cs="Arial"/>
          <w:i/>
        </w:rPr>
        <w:t>SD</w:t>
      </w:r>
      <w:r w:rsidR="00B1213D" w:rsidRPr="00B92447">
        <w:rPr>
          <w:rFonts w:ascii="Arial" w:hAnsi="Arial" w:cs="Arial"/>
        </w:rPr>
        <w:t xml:space="preserve"> = 14.54)</w:t>
      </w:r>
      <w:r w:rsidRPr="00B92447">
        <w:rPr>
          <w:rFonts w:ascii="Arial" w:hAnsi="Arial" w:cs="Arial"/>
        </w:rPr>
        <w:t xml:space="preserve">, </w:t>
      </w:r>
      <w:proofErr w:type="gramStart"/>
      <w:r w:rsidRPr="00B92447">
        <w:rPr>
          <w:rFonts w:ascii="Arial" w:hAnsi="Arial" w:cs="Arial"/>
          <w:i/>
        </w:rPr>
        <w:t>t</w:t>
      </w:r>
      <w:r w:rsidR="00CE5308" w:rsidRPr="00B92447">
        <w:rPr>
          <w:rFonts w:ascii="Arial" w:hAnsi="Arial" w:cs="Arial"/>
        </w:rPr>
        <w:t>(</w:t>
      </w:r>
      <w:proofErr w:type="gramEnd"/>
      <w:r w:rsidR="00CE5308" w:rsidRPr="00B92447">
        <w:rPr>
          <w:rFonts w:ascii="Arial" w:hAnsi="Arial" w:cs="Arial"/>
        </w:rPr>
        <w:t>3206.87) = 22.27</w:t>
      </w:r>
      <w:r w:rsidRPr="00B92447">
        <w:rPr>
          <w:rFonts w:ascii="Arial" w:hAnsi="Arial" w:cs="Arial"/>
        </w:rPr>
        <w:t xml:space="preserve">, </w:t>
      </w:r>
      <w:r w:rsidRPr="00B92447">
        <w:rPr>
          <w:rFonts w:ascii="Arial" w:hAnsi="Arial" w:cs="Arial"/>
          <w:i/>
        </w:rPr>
        <w:t>p</w:t>
      </w:r>
      <w:r w:rsidR="00080F8D" w:rsidRPr="00B92447">
        <w:rPr>
          <w:rFonts w:ascii="Arial" w:hAnsi="Arial" w:cs="Arial"/>
        </w:rPr>
        <w:t xml:space="preserve"> &lt;</w:t>
      </w:r>
      <w:r w:rsidRPr="00B92447">
        <w:rPr>
          <w:rFonts w:ascii="Arial" w:hAnsi="Arial" w:cs="Arial"/>
        </w:rPr>
        <w:t xml:space="preserve">.001. </w:t>
      </w:r>
    </w:p>
    <w:p w14:paraId="24DBAD84" w14:textId="77777777" w:rsidR="009C55CB" w:rsidRPr="00B92447" w:rsidRDefault="009C55CB" w:rsidP="009C55CB">
      <w:pPr>
        <w:spacing w:after="0" w:line="240" w:lineRule="auto"/>
        <w:jc w:val="both"/>
        <w:outlineLvl w:val="0"/>
        <w:rPr>
          <w:rFonts w:ascii="Arial" w:hAnsi="Arial" w:cs="Arial"/>
          <w:b/>
          <w:i/>
          <w:szCs w:val="28"/>
        </w:rPr>
      </w:pPr>
      <w:r w:rsidRPr="00B92447">
        <w:rPr>
          <w:rFonts w:ascii="Arial" w:hAnsi="Arial" w:cs="Arial"/>
          <w:b/>
          <w:i/>
          <w:szCs w:val="28"/>
        </w:rPr>
        <w:lastRenderedPageBreak/>
        <w:t>Caring responsibilities</w:t>
      </w:r>
    </w:p>
    <w:p w14:paraId="1A9C67D7" w14:textId="77777777" w:rsidR="009C55CB" w:rsidRPr="00B92447" w:rsidRDefault="009C55CB" w:rsidP="009C55CB">
      <w:pPr>
        <w:jc w:val="both"/>
        <w:rPr>
          <w:rFonts w:ascii="Arial" w:hAnsi="Arial" w:cs="Arial"/>
          <w:szCs w:val="28"/>
        </w:rPr>
      </w:pPr>
      <w:r w:rsidRPr="00B92447">
        <w:rPr>
          <w:rFonts w:ascii="Arial" w:hAnsi="Arial" w:cs="Arial"/>
          <w:szCs w:val="28"/>
        </w:rPr>
        <w:t xml:space="preserve">In Wave 1, the number of people who reported caring responsibilities for a family member, friend, </w:t>
      </w:r>
      <w:proofErr w:type="spellStart"/>
      <w:r w:rsidRPr="00B92447">
        <w:rPr>
          <w:rFonts w:ascii="Arial" w:hAnsi="Arial" w:cs="Arial"/>
          <w:szCs w:val="28"/>
        </w:rPr>
        <w:t>neighbo</w:t>
      </w:r>
      <w:r w:rsidR="00674C84" w:rsidRPr="00B92447">
        <w:rPr>
          <w:rFonts w:ascii="Arial" w:hAnsi="Arial" w:cs="Arial"/>
          <w:szCs w:val="28"/>
        </w:rPr>
        <w:t>u</w:t>
      </w:r>
      <w:r w:rsidRPr="00B92447">
        <w:rPr>
          <w:rFonts w:ascii="Arial" w:hAnsi="Arial" w:cs="Arial"/>
          <w:szCs w:val="28"/>
        </w:rPr>
        <w:t>r</w:t>
      </w:r>
      <w:proofErr w:type="spellEnd"/>
      <w:r w:rsidRPr="00B92447">
        <w:rPr>
          <w:rFonts w:ascii="Arial" w:hAnsi="Arial" w:cs="Arial"/>
          <w:szCs w:val="28"/>
        </w:rPr>
        <w:t xml:space="preserve"> or other because of long-term physical or mental ill-health or disability or problems related to old age was consistent across </w:t>
      </w:r>
      <w:proofErr w:type="spellStart"/>
      <w:r w:rsidRPr="00B92447">
        <w:rPr>
          <w:rFonts w:ascii="Arial" w:hAnsi="Arial" w:cs="Arial"/>
          <w:szCs w:val="28"/>
        </w:rPr>
        <w:t>neighbourhood</w:t>
      </w:r>
      <w:proofErr w:type="spellEnd"/>
      <w:r w:rsidRPr="00B92447">
        <w:rPr>
          <w:rFonts w:ascii="Arial" w:hAnsi="Arial" w:cs="Arial"/>
          <w:szCs w:val="28"/>
        </w:rPr>
        <w:t xml:space="preserve"> types, [χ</w:t>
      </w:r>
      <w:r w:rsidRPr="00B92447">
        <w:rPr>
          <w:rFonts w:ascii="Arial" w:hAnsi="Arial" w:cs="Arial"/>
          <w:szCs w:val="28"/>
          <w:vertAlign w:val="superscript"/>
        </w:rPr>
        <w:t>2</w:t>
      </w:r>
      <w:r w:rsidRPr="00B92447">
        <w:rPr>
          <w:rFonts w:ascii="Arial" w:hAnsi="Arial" w:cs="Arial"/>
          <w:szCs w:val="28"/>
        </w:rPr>
        <w:t xml:space="preserve">(2, </w:t>
      </w:r>
      <w:r w:rsidRPr="00B92447">
        <w:rPr>
          <w:rFonts w:ascii="Arial" w:hAnsi="Arial" w:cs="Arial"/>
          <w:i/>
          <w:szCs w:val="28"/>
        </w:rPr>
        <w:t>N</w:t>
      </w:r>
      <w:r w:rsidRPr="00B92447">
        <w:rPr>
          <w:rFonts w:ascii="Arial" w:hAnsi="Arial" w:cs="Arial"/>
          <w:szCs w:val="28"/>
        </w:rPr>
        <w:t xml:space="preserve"> =4319)=.64, </w:t>
      </w:r>
      <w:r w:rsidRPr="00B92447">
        <w:rPr>
          <w:rFonts w:ascii="Arial" w:hAnsi="Arial" w:cs="Arial"/>
          <w:i/>
          <w:szCs w:val="28"/>
        </w:rPr>
        <w:t>p</w:t>
      </w:r>
      <w:r w:rsidRPr="00B92447">
        <w:rPr>
          <w:rFonts w:ascii="Arial" w:hAnsi="Arial" w:cs="Arial"/>
          <w:szCs w:val="28"/>
        </w:rPr>
        <w:t xml:space="preserve">&gt;.05], with the majority of respondents reporting no caring responsibilities (~85 percent). </w:t>
      </w:r>
      <w:r w:rsidRPr="00B92447">
        <w:rPr>
          <w:rFonts w:ascii="Arial" w:hAnsi="Arial" w:cs="Arial"/>
        </w:rPr>
        <w:t xml:space="preserve">In Wave 2, the proportions of people reporting caring responsibilities did not significantly differ between </w:t>
      </w:r>
      <w:proofErr w:type="spellStart"/>
      <w:r w:rsidRPr="00B92447">
        <w:rPr>
          <w:rFonts w:ascii="Arial" w:hAnsi="Arial" w:cs="Arial"/>
        </w:rPr>
        <w:t>NfL</w:t>
      </w:r>
      <w:proofErr w:type="spellEnd"/>
      <w:r w:rsidRPr="00B92447">
        <w:rPr>
          <w:rFonts w:ascii="Arial" w:hAnsi="Arial" w:cs="Arial"/>
        </w:rPr>
        <w:t xml:space="preserve"> and deprived comparator </w:t>
      </w:r>
      <w:proofErr w:type="spellStart"/>
      <w:r w:rsidRPr="00B92447">
        <w:rPr>
          <w:rFonts w:ascii="Arial" w:hAnsi="Arial" w:cs="Arial"/>
        </w:rPr>
        <w:t>neighbourhoods</w:t>
      </w:r>
      <w:proofErr w:type="spellEnd"/>
      <w:r w:rsidRPr="00B92447">
        <w:rPr>
          <w:rFonts w:ascii="Arial" w:hAnsi="Arial" w:cs="Arial"/>
        </w:rPr>
        <w:t xml:space="preserve">, </w:t>
      </w:r>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 xml:space="preserve">(1, </w:t>
      </w:r>
      <w:r w:rsidRPr="00B92447">
        <w:rPr>
          <w:rFonts w:ascii="Arial" w:hAnsi="Arial" w:cs="Arial"/>
          <w:i/>
          <w:szCs w:val="28"/>
        </w:rPr>
        <w:t>N</w:t>
      </w:r>
      <w:r w:rsidR="001E1DE7" w:rsidRPr="00B92447">
        <w:rPr>
          <w:rFonts w:ascii="Arial" w:hAnsi="Arial" w:cs="Arial"/>
          <w:szCs w:val="28"/>
        </w:rPr>
        <w:t>=3412)=3.86</w:t>
      </w:r>
      <w:r w:rsidRPr="00B92447">
        <w:rPr>
          <w:rFonts w:ascii="Arial" w:hAnsi="Arial" w:cs="Arial"/>
          <w:szCs w:val="28"/>
        </w:rPr>
        <w:t xml:space="preserve">, </w:t>
      </w:r>
      <w:r w:rsidRPr="00B92447">
        <w:rPr>
          <w:rFonts w:ascii="Arial" w:hAnsi="Arial" w:cs="Arial"/>
          <w:i/>
          <w:szCs w:val="28"/>
        </w:rPr>
        <w:t>p</w:t>
      </w:r>
      <w:r w:rsidRPr="00B92447">
        <w:rPr>
          <w:rFonts w:ascii="Arial" w:hAnsi="Arial" w:cs="Arial"/>
          <w:szCs w:val="28"/>
        </w:rPr>
        <w:t>=.145.</w:t>
      </w:r>
    </w:p>
    <w:p w14:paraId="7D485022" w14:textId="77777777" w:rsidR="009C55CB" w:rsidRPr="00B92447" w:rsidRDefault="009C55CB" w:rsidP="009C55CB">
      <w:pPr>
        <w:spacing w:after="0"/>
        <w:outlineLvl w:val="0"/>
        <w:rPr>
          <w:rFonts w:ascii="Arial" w:hAnsi="Arial" w:cs="Arial"/>
          <w:b/>
          <w:i/>
          <w:szCs w:val="28"/>
        </w:rPr>
      </w:pPr>
      <w:r w:rsidRPr="00B92447">
        <w:rPr>
          <w:rFonts w:ascii="Arial" w:hAnsi="Arial" w:cs="Arial"/>
          <w:b/>
          <w:i/>
          <w:szCs w:val="28"/>
        </w:rPr>
        <w:t xml:space="preserve">Physical health </w:t>
      </w:r>
    </w:p>
    <w:p w14:paraId="5A372EEC" w14:textId="77777777" w:rsidR="009C55CB" w:rsidRPr="00B92447" w:rsidRDefault="009C55CB" w:rsidP="009C55CB">
      <w:pPr>
        <w:spacing w:after="0"/>
        <w:jc w:val="both"/>
        <w:rPr>
          <w:rFonts w:ascii="Arial" w:hAnsi="Arial" w:cs="Arial"/>
          <w:szCs w:val="28"/>
        </w:rPr>
      </w:pPr>
      <w:r w:rsidRPr="00B92447">
        <w:rPr>
          <w:rFonts w:ascii="Arial" w:hAnsi="Arial" w:cs="Arial"/>
          <w:szCs w:val="28"/>
        </w:rPr>
        <w:t xml:space="preserve">There was a significant association between the number of people reporting long-term health conditions and </w:t>
      </w:r>
      <w:proofErr w:type="spellStart"/>
      <w:r w:rsidRPr="00B92447">
        <w:rPr>
          <w:rFonts w:ascii="Arial" w:hAnsi="Arial" w:cs="Arial"/>
          <w:szCs w:val="28"/>
        </w:rPr>
        <w:t>neighbourhood</w:t>
      </w:r>
      <w:proofErr w:type="spellEnd"/>
      <w:r w:rsidRPr="00B92447">
        <w:rPr>
          <w:rFonts w:ascii="Arial" w:hAnsi="Arial" w:cs="Arial"/>
          <w:szCs w:val="28"/>
        </w:rPr>
        <w:t xml:space="preserve"> type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Pr="00B92447">
        <w:rPr>
          <w:rFonts w:ascii="Arial" w:hAnsi="Arial" w:cs="Arial"/>
          <w:szCs w:val="28"/>
        </w:rPr>
        <w:t xml:space="preserve"> =4319) =14.08, </w:t>
      </w:r>
      <w:r w:rsidRPr="00B92447">
        <w:rPr>
          <w:rFonts w:ascii="Arial" w:hAnsi="Arial" w:cs="Arial"/>
          <w:i/>
          <w:szCs w:val="28"/>
        </w:rPr>
        <w:t>p</w:t>
      </w:r>
      <w:r w:rsidRPr="00B92447">
        <w:rPr>
          <w:rFonts w:ascii="Arial" w:hAnsi="Arial" w:cs="Arial"/>
          <w:szCs w:val="28"/>
        </w:rPr>
        <w:t xml:space="preserve">&lt;.001]. Fewer people in relatively advantaged </w:t>
      </w:r>
      <w:proofErr w:type="spellStart"/>
      <w:r w:rsidRPr="00B92447">
        <w:rPr>
          <w:rFonts w:ascii="Arial" w:hAnsi="Arial" w:cs="Arial"/>
          <w:szCs w:val="28"/>
        </w:rPr>
        <w:t>neighbourhoods</w:t>
      </w:r>
      <w:proofErr w:type="spellEnd"/>
      <w:r w:rsidRPr="00B92447">
        <w:rPr>
          <w:rFonts w:ascii="Arial" w:hAnsi="Arial" w:cs="Arial"/>
          <w:szCs w:val="28"/>
        </w:rPr>
        <w:t xml:space="preserve"> reported having a long-term condition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001E1DE7" w:rsidRPr="00B92447">
        <w:rPr>
          <w:rFonts w:ascii="Arial" w:hAnsi="Arial" w:cs="Arial"/>
          <w:szCs w:val="28"/>
        </w:rPr>
        <w:t>=</w:t>
      </w:r>
      <w:r w:rsidRPr="00B92447">
        <w:rPr>
          <w:rFonts w:ascii="Arial" w:hAnsi="Arial" w:cs="Arial"/>
          <w:szCs w:val="28"/>
        </w:rPr>
        <w:t xml:space="preserve">4319) =6.3, </w:t>
      </w:r>
      <w:r w:rsidRPr="00B92447">
        <w:rPr>
          <w:rFonts w:ascii="Arial" w:hAnsi="Arial" w:cs="Arial"/>
          <w:i/>
          <w:szCs w:val="28"/>
        </w:rPr>
        <w:t>p</w:t>
      </w:r>
      <w:r w:rsidRPr="00B92447">
        <w:rPr>
          <w:rFonts w:ascii="Arial" w:hAnsi="Arial" w:cs="Arial"/>
          <w:szCs w:val="28"/>
        </w:rPr>
        <w:t xml:space="preserve">&lt;.05]. Multimorbidity, however, did not differ between the three </w:t>
      </w:r>
      <w:proofErr w:type="spellStart"/>
      <w:r w:rsidRPr="00B92447">
        <w:rPr>
          <w:rFonts w:ascii="Arial" w:hAnsi="Arial" w:cs="Arial"/>
          <w:szCs w:val="28"/>
        </w:rPr>
        <w:t>neighbourhood</w:t>
      </w:r>
      <w:proofErr w:type="spellEnd"/>
      <w:r w:rsidRPr="00B92447">
        <w:rPr>
          <w:rFonts w:ascii="Arial" w:hAnsi="Arial" w:cs="Arial"/>
          <w:szCs w:val="28"/>
        </w:rPr>
        <w:t xml:space="preserve"> types [χ</w:t>
      </w:r>
      <w:r w:rsidRPr="00B92447">
        <w:rPr>
          <w:rFonts w:ascii="Arial" w:hAnsi="Arial" w:cs="Arial"/>
          <w:szCs w:val="28"/>
          <w:vertAlign w:val="superscript"/>
        </w:rPr>
        <w:t>2</w:t>
      </w:r>
      <w:r w:rsidRPr="00B92447">
        <w:rPr>
          <w:rFonts w:ascii="Arial" w:hAnsi="Arial" w:cs="Arial"/>
          <w:szCs w:val="28"/>
        </w:rPr>
        <w:t xml:space="preserve"> (4, </w:t>
      </w:r>
      <w:r w:rsidRPr="00B92447">
        <w:rPr>
          <w:rFonts w:ascii="Arial" w:hAnsi="Arial" w:cs="Arial"/>
          <w:i/>
          <w:szCs w:val="28"/>
        </w:rPr>
        <w:t>N</w:t>
      </w:r>
      <w:r w:rsidRPr="00B92447">
        <w:rPr>
          <w:rFonts w:ascii="Arial" w:hAnsi="Arial" w:cs="Arial"/>
          <w:szCs w:val="28"/>
        </w:rPr>
        <w:t xml:space="preserve"> =4319) =2.98, </w:t>
      </w:r>
      <w:r w:rsidRPr="00B92447">
        <w:rPr>
          <w:rFonts w:ascii="Arial" w:hAnsi="Arial" w:cs="Arial"/>
          <w:i/>
          <w:szCs w:val="28"/>
        </w:rPr>
        <w:t>p</w:t>
      </w:r>
      <w:r w:rsidRPr="00B92447">
        <w:rPr>
          <w:rFonts w:ascii="Arial" w:hAnsi="Arial" w:cs="Arial"/>
          <w:szCs w:val="28"/>
        </w:rPr>
        <w:t xml:space="preserve">=.562].  </w:t>
      </w:r>
    </w:p>
    <w:p w14:paraId="120FF645" w14:textId="77777777" w:rsidR="00963264" w:rsidRPr="00B92447" w:rsidRDefault="009C55CB" w:rsidP="00160093">
      <w:pPr>
        <w:jc w:val="both"/>
        <w:rPr>
          <w:rFonts w:ascii="Arial" w:hAnsi="Arial" w:cs="Arial"/>
        </w:rPr>
      </w:pPr>
      <w:r w:rsidRPr="00B92447">
        <w:rPr>
          <w:rFonts w:ascii="Arial" w:hAnsi="Arial" w:cs="Arial"/>
          <w:szCs w:val="28"/>
        </w:rPr>
        <w:tab/>
        <w:t xml:space="preserve">There was an association between long-term physical health conditions and </w:t>
      </w:r>
      <w:proofErr w:type="spellStart"/>
      <w:r w:rsidRPr="00B92447">
        <w:rPr>
          <w:rFonts w:ascii="Arial" w:hAnsi="Arial" w:cs="Arial"/>
          <w:szCs w:val="28"/>
        </w:rPr>
        <w:t>neighbourhood</w:t>
      </w:r>
      <w:proofErr w:type="spellEnd"/>
      <w:r w:rsidRPr="00B92447">
        <w:rPr>
          <w:rFonts w:ascii="Arial" w:hAnsi="Arial" w:cs="Arial"/>
          <w:szCs w:val="28"/>
        </w:rPr>
        <w:t xml:space="preserve"> type in wave 2 of the survey, </w:t>
      </w:r>
      <w:proofErr w:type="gramStart"/>
      <w:r w:rsidRPr="00B92447">
        <w:rPr>
          <w:rFonts w:ascii="Arial" w:hAnsi="Arial" w:cs="Arial"/>
          <w:szCs w:val="28"/>
        </w:rPr>
        <w:t>χ</w:t>
      </w:r>
      <w:r w:rsidRPr="00B92447">
        <w:rPr>
          <w:rFonts w:ascii="Arial" w:hAnsi="Arial" w:cs="Arial"/>
          <w:szCs w:val="28"/>
          <w:vertAlign w:val="superscript"/>
        </w:rPr>
        <w:t>2</w:t>
      </w:r>
      <w:r w:rsidRPr="00B92447">
        <w:rPr>
          <w:rFonts w:ascii="Arial" w:hAnsi="Arial" w:cs="Arial"/>
          <w:szCs w:val="28"/>
        </w:rPr>
        <w:t>(</w:t>
      </w:r>
      <w:proofErr w:type="gramEnd"/>
      <w:r w:rsidRPr="00B92447">
        <w:rPr>
          <w:rFonts w:ascii="Arial" w:hAnsi="Arial" w:cs="Arial"/>
          <w:szCs w:val="28"/>
        </w:rPr>
        <w:t xml:space="preserve">1, </w:t>
      </w:r>
      <w:r w:rsidRPr="00B92447">
        <w:rPr>
          <w:rFonts w:ascii="Arial" w:hAnsi="Arial" w:cs="Arial"/>
          <w:i/>
          <w:szCs w:val="28"/>
        </w:rPr>
        <w:t>N</w:t>
      </w:r>
      <w:r w:rsidRPr="00B92447">
        <w:rPr>
          <w:rFonts w:ascii="Arial" w:hAnsi="Arial" w:cs="Arial"/>
          <w:szCs w:val="28"/>
        </w:rPr>
        <w:t xml:space="preserve"> = 3389) = 14.41 , </w:t>
      </w:r>
      <w:r w:rsidRPr="00B92447">
        <w:rPr>
          <w:rFonts w:ascii="Arial" w:hAnsi="Arial" w:cs="Arial"/>
          <w:i/>
          <w:szCs w:val="28"/>
        </w:rPr>
        <w:t>p</w:t>
      </w:r>
      <w:r w:rsidRPr="00B92447">
        <w:rPr>
          <w:rFonts w:ascii="Arial" w:hAnsi="Arial" w:cs="Arial"/>
          <w:szCs w:val="28"/>
        </w:rPr>
        <w:t xml:space="preserve"> &lt; 0.001. The deprived comparator </w:t>
      </w:r>
      <w:proofErr w:type="spellStart"/>
      <w:r w:rsidRPr="00B92447">
        <w:rPr>
          <w:rFonts w:ascii="Arial" w:hAnsi="Arial" w:cs="Arial"/>
          <w:szCs w:val="28"/>
        </w:rPr>
        <w:t>neighbourhoods</w:t>
      </w:r>
      <w:proofErr w:type="spellEnd"/>
      <w:r w:rsidRPr="00B92447">
        <w:rPr>
          <w:rFonts w:ascii="Arial" w:hAnsi="Arial" w:cs="Arial"/>
          <w:szCs w:val="28"/>
        </w:rPr>
        <w:t xml:space="preserve"> had significantly fewer people with long-term conditions than expected, χ</w:t>
      </w:r>
      <w:r w:rsidRPr="00B92447">
        <w:rPr>
          <w:rFonts w:ascii="Arial" w:hAnsi="Arial" w:cs="Arial"/>
          <w:szCs w:val="28"/>
          <w:vertAlign w:val="superscript"/>
        </w:rPr>
        <w:t>2</w:t>
      </w:r>
      <w:r w:rsidRPr="00B92447">
        <w:rPr>
          <w:rFonts w:ascii="Arial" w:hAnsi="Arial" w:cs="Arial"/>
          <w:szCs w:val="28"/>
        </w:rPr>
        <w:t xml:space="preserve"> (1, </w:t>
      </w:r>
      <w:r w:rsidRPr="00B92447">
        <w:rPr>
          <w:rFonts w:ascii="Arial" w:hAnsi="Arial" w:cs="Arial"/>
          <w:i/>
          <w:szCs w:val="28"/>
        </w:rPr>
        <w:t>N</w:t>
      </w:r>
      <w:r w:rsidR="000E7CA5" w:rsidRPr="00B92447">
        <w:rPr>
          <w:rFonts w:ascii="Arial" w:hAnsi="Arial" w:cs="Arial"/>
          <w:szCs w:val="28"/>
        </w:rPr>
        <w:t xml:space="preserve"> =</w:t>
      </w:r>
      <w:r w:rsidRPr="00B92447">
        <w:rPr>
          <w:rFonts w:ascii="Arial" w:hAnsi="Arial" w:cs="Arial"/>
          <w:szCs w:val="28"/>
        </w:rPr>
        <w:t xml:space="preserve">3389) = 4.7, </w:t>
      </w:r>
      <w:r w:rsidRPr="00B92447">
        <w:rPr>
          <w:rFonts w:ascii="Arial" w:hAnsi="Arial" w:cs="Arial"/>
          <w:i/>
          <w:szCs w:val="28"/>
        </w:rPr>
        <w:t xml:space="preserve">p </w:t>
      </w:r>
      <w:r w:rsidRPr="00B92447">
        <w:rPr>
          <w:rFonts w:ascii="Arial" w:hAnsi="Arial" w:cs="Arial"/>
          <w:szCs w:val="28"/>
        </w:rPr>
        <w:t xml:space="preserve">&lt;.05.  </w:t>
      </w:r>
      <w:r w:rsidR="00160093" w:rsidRPr="00B92447">
        <w:rPr>
          <w:rFonts w:ascii="Arial" w:hAnsi="Arial" w:cs="Arial"/>
        </w:rPr>
        <w:t>A Chi-square test</w:t>
      </w:r>
      <w:r w:rsidR="00963264" w:rsidRPr="00B92447">
        <w:rPr>
          <w:rFonts w:ascii="Arial" w:hAnsi="Arial" w:cs="Arial"/>
        </w:rPr>
        <w:t xml:space="preserve"> indicated that multimorbidity in the wave 2 sample varied by </w:t>
      </w:r>
      <w:proofErr w:type="spellStart"/>
      <w:r w:rsidR="00963264" w:rsidRPr="00B92447">
        <w:rPr>
          <w:rFonts w:ascii="Arial" w:hAnsi="Arial" w:cs="Arial"/>
        </w:rPr>
        <w:t>neighbourhood</w:t>
      </w:r>
      <w:proofErr w:type="spellEnd"/>
      <w:r w:rsidR="00963264" w:rsidRPr="00B92447">
        <w:rPr>
          <w:rFonts w:ascii="Arial" w:hAnsi="Arial" w:cs="Arial"/>
        </w:rPr>
        <w:t xml:space="preserve"> type, </w:t>
      </w:r>
      <w:r w:rsidR="00963264" w:rsidRPr="00B92447">
        <w:rPr>
          <w:rFonts w:ascii="Arial" w:hAnsi="Arial" w:cs="Arial"/>
          <w:szCs w:val="28"/>
        </w:rPr>
        <w:t>χ</w:t>
      </w:r>
      <w:r w:rsidR="00963264" w:rsidRPr="00B92447">
        <w:rPr>
          <w:rFonts w:ascii="Arial" w:hAnsi="Arial" w:cs="Arial"/>
          <w:szCs w:val="28"/>
          <w:vertAlign w:val="superscript"/>
        </w:rPr>
        <w:t>2</w:t>
      </w:r>
      <w:r w:rsidR="00963264" w:rsidRPr="00B92447">
        <w:rPr>
          <w:rFonts w:ascii="Arial" w:hAnsi="Arial" w:cs="Arial"/>
          <w:szCs w:val="28"/>
        </w:rPr>
        <w:t xml:space="preserve">(1, </w:t>
      </w:r>
      <w:r w:rsidR="00963264" w:rsidRPr="00B92447">
        <w:rPr>
          <w:rFonts w:ascii="Arial" w:hAnsi="Arial" w:cs="Arial"/>
          <w:i/>
          <w:szCs w:val="28"/>
        </w:rPr>
        <w:t>N</w:t>
      </w:r>
      <w:r w:rsidR="00080F8D" w:rsidRPr="00B92447">
        <w:rPr>
          <w:rFonts w:ascii="Arial" w:hAnsi="Arial" w:cs="Arial"/>
          <w:szCs w:val="28"/>
        </w:rPr>
        <w:t xml:space="preserve"> =</w:t>
      </w:r>
      <w:r w:rsidR="00963264" w:rsidRPr="00B92447">
        <w:rPr>
          <w:rFonts w:ascii="Arial" w:hAnsi="Arial" w:cs="Arial"/>
          <w:szCs w:val="28"/>
        </w:rPr>
        <w:t>3</w:t>
      </w:r>
      <w:r w:rsidR="00160093" w:rsidRPr="00B92447">
        <w:rPr>
          <w:rFonts w:ascii="Arial" w:hAnsi="Arial" w:cs="Arial"/>
          <w:szCs w:val="28"/>
        </w:rPr>
        <w:t>412</w:t>
      </w:r>
      <w:r w:rsidR="00080F8D" w:rsidRPr="00B92447">
        <w:rPr>
          <w:rFonts w:ascii="Arial" w:hAnsi="Arial" w:cs="Arial"/>
          <w:szCs w:val="28"/>
        </w:rPr>
        <w:t>) =</w:t>
      </w:r>
      <w:r w:rsidR="00160093" w:rsidRPr="00B92447">
        <w:rPr>
          <w:rFonts w:ascii="Arial" w:hAnsi="Arial" w:cs="Arial"/>
          <w:szCs w:val="28"/>
        </w:rPr>
        <w:t>4.94</w:t>
      </w:r>
      <w:r w:rsidR="00160093" w:rsidRPr="00B92447">
        <w:rPr>
          <w:rFonts w:ascii="Arial" w:hAnsi="Arial" w:cs="Arial"/>
        </w:rPr>
        <w:t>,</w:t>
      </w:r>
      <w:r w:rsidR="00160093" w:rsidRPr="00B92447">
        <w:rPr>
          <w:rFonts w:ascii="Arial" w:hAnsi="Arial" w:cs="Arial"/>
          <w:i/>
        </w:rPr>
        <w:t xml:space="preserve"> p</w:t>
      </w:r>
      <w:r w:rsidR="00160093" w:rsidRPr="00B92447">
        <w:rPr>
          <w:rFonts w:ascii="Arial" w:hAnsi="Arial" w:cs="Arial"/>
        </w:rPr>
        <w:t xml:space="preserve"> =.026. However, the follow-up analyses </w:t>
      </w:r>
      <w:r w:rsidR="00A7282C" w:rsidRPr="00B92447">
        <w:rPr>
          <w:rFonts w:ascii="Arial" w:hAnsi="Arial" w:cs="Arial"/>
        </w:rPr>
        <w:t xml:space="preserve">indicted no significant effect of </w:t>
      </w:r>
      <w:proofErr w:type="spellStart"/>
      <w:r w:rsidR="00A7282C" w:rsidRPr="00B92447">
        <w:rPr>
          <w:rFonts w:ascii="Arial" w:hAnsi="Arial" w:cs="Arial"/>
        </w:rPr>
        <w:t>neighbourhood</w:t>
      </w:r>
      <w:proofErr w:type="spellEnd"/>
      <w:r w:rsidR="00A7282C" w:rsidRPr="00B92447">
        <w:rPr>
          <w:rFonts w:ascii="Arial" w:hAnsi="Arial" w:cs="Arial"/>
        </w:rPr>
        <w:t xml:space="preserve"> type</w:t>
      </w:r>
      <w:r w:rsidR="00160093" w:rsidRPr="00B92447">
        <w:rPr>
          <w:rFonts w:ascii="Arial" w:hAnsi="Arial" w:cs="Arial"/>
        </w:rPr>
        <w:t xml:space="preserve">. </w:t>
      </w:r>
      <w:r w:rsidR="00963264" w:rsidRPr="00B92447">
        <w:rPr>
          <w:rFonts w:ascii="Arial" w:hAnsi="Arial" w:cs="Arial"/>
        </w:rPr>
        <w:t xml:space="preserve"> </w:t>
      </w:r>
    </w:p>
    <w:p w14:paraId="09676313" w14:textId="77777777" w:rsidR="009C55CB" w:rsidRPr="00B92447" w:rsidRDefault="00182D24" w:rsidP="009C55CB">
      <w:pPr>
        <w:spacing w:after="0"/>
        <w:outlineLvl w:val="0"/>
        <w:rPr>
          <w:rFonts w:ascii="Arial" w:hAnsi="Arial" w:cs="Arial"/>
          <w:b/>
          <w:i/>
          <w:szCs w:val="28"/>
        </w:rPr>
      </w:pPr>
      <w:r w:rsidRPr="00B92447">
        <w:rPr>
          <w:rFonts w:ascii="Arial" w:hAnsi="Arial" w:cs="Arial"/>
          <w:b/>
          <w:i/>
          <w:szCs w:val="28"/>
        </w:rPr>
        <w:t>Self-reported medicine intake</w:t>
      </w:r>
      <w:r w:rsidR="001667C6" w:rsidRPr="00B92447">
        <w:rPr>
          <w:rFonts w:ascii="Arial" w:hAnsi="Arial" w:cs="Arial"/>
          <w:b/>
          <w:i/>
          <w:szCs w:val="28"/>
        </w:rPr>
        <w:t xml:space="preserve"> by class</w:t>
      </w:r>
    </w:p>
    <w:p w14:paraId="5E50979B" w14:textId="77777777" w:rsidR="009C55CB" w:rsidRDefault="009C55CB" w:rsidP="009C55CB">
      <w:pPr>
        <w:spacing w:after="0"/>
        <w:jc w:val="both"/>
        <w:rPr>
          <w:rFonts w:ascii="Arial" w:hAnsi="Arial" w:cs="Arial"/>
          <w:i/>
          <w:szCs w:val="28"/>
        </w:rPr>
      </w:pPr>
      <w:r w:rsidRPr="00B92447">
        <w:rPr>
          <w:rFonts w:ascii="Arial" w:hAnsi="Arial" w:cs="Arial"/>
          <w:szCs w:val="28"/>
        </w:rPr>
        <w:t xml:space="preserve">The percentage of people reporting use of prescription medication ranged between 1.4% and 16.8% in the whole </w:t>
      </w:r>
      <w:r w:rsidR="00596F3D" w:rsidRPr="00B92447">
        <w:rPr>
          <w:rFonts w:ascii="Arial" w:hAnsi="Arial" w:cs="Arial"/>
          <w:szCs w:val="28"/>
        </w:rPr>
        <w:t>W</w:t>
      </w:r>
      <w:r w:rsidRPr="00B92447">
        <w:rPr>
          <w:rFonts w:ascii="Arial" w:hAnsi="Arial" w:cs="Arial"/>
          <w:szCs w:val="28"/>
        </w:rPr>
        <w:t xml:space="preserve">ave 1 sample. Analgesics (16.8%) and anti-hypertension medication (16.7%) were the most frequently prescribed classes of drugs. Anti-depressants (11.1%), lipid-lowering medication (10.5%), and asthma medication (9.7%) were </w:t>
      </w:r>
      <w:r w:rsidR="00674C84" w:rsidRPr="00B92447">
        <w:rPr>
          <w:rFonts w:ascii="Arial" w:hAnsi="Arial" w:cs="Arial"/>
          <w:szCs w:val="28"/>
        </w:rPr>
        <w:t xml:space="preserve">each </w:t>
      </w:r>
      <w:r w:rsidRPr="00B92447">
        <w:rPr>
          <w:rFonts w:ascii="Arial" w:hAnsi="Arial" w:cs="Arial"/>
          <w:szCs w:val="28"/>
        </w:rPr>
        <w:t>prescribed to approximately one tenth of the total sample</w:t>
      </w:r>
      <w:r w:rsidR="00674C84" w:rsidRPr="00B92447">
        <w:rPr>
          <w:rFonts w:ascii="Arial" w:hAnsi="Arial" w:cs="Arial"/>
          <w:szCs w:val="28"/>
        </w:rPr>
        <w:t>.</w:t>
      </w:r>
      <w:r w:rsidRPr="00B92447">
        <w:rPr>
          <w:rFonts w:ascii="Arial" w:hAnsi="Arial" w:cs="Arial"/>
          <w:szCs w:val="28"/>
        </w:rPr>
        <w:t xml:space="preserve"> Proton-pump inhibitors (7.4%), anti-diabetics (5.2%), anti-platelets (5.1%), anti-bacterial (3.5%), and anti-psychotics (1.4%) were prescribed less often. Chi square tests revealed significant associations with </w:t>
      </w:r>
      <w:proofErr w:type="spellStart"/>
      <w:r w:rsidRPr="00B92447">
        <w:rPr>
          <w:rFonts w:ascii="Arial" w:hAnsi="Arial" w:cs="Arial"/>
          <w:szCs w:val="28"/>
        </w:rPr>
        <w:t>neighbourhood</w:t>
      </w:r>
      <w:proofErr w:type="spellEnd"/>
      <w:r w:rsidRPr="00B92447">
        <w:rPr>
          <w:rFonts w:ascii="Arial" w:hAnsi="Arial" w:cs="Arial"/>
          <w:szCs w:val="28"/>
        </w:rPr>
        <w:t xml:space="preserve"> type for analgesics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Pr="00B92447">
        <w:rPr>
          <w:rFonts w:ascii="Arial" w:hAnsi="Arial" w:cs="Arial"/>
          <w:szCs w:val="28"/>
        </w:rPr>
        <w:t xml:space="preserve"> =4319)</w:t>
      </w:r>
      <w:r w:rsidR="001E1DE7" w:rsidRPr="00B92447">
        <w:rPr>
          <w:rFonts w:ascii="Arial" w:hAnsi="Arial" w:cs="Arial"/>
          <w:szCs w:val="28"/>
        </w:rPr>
        <w:t>=</w:t>
      </w:r>
      <w:r w:rsidRPr="00B92447">
        <w:rPr>
          <w:rFonts w:ascii="Arial" w:hAnsi="Arial" w:cs="Arial"/>
          <w:szCs w:val="28"/>
        </w:rPr>
        <w:t xml:space="preserve">26.20, </w:t>
      </w:r>
      <w:r w:rsidRPr="00B92447">
        <w:rPr>
          <w:rFonts w:ascii="Arial" w:hAnsi="Arial" w:cs="Arial"/>
          <w:i/>
          <w:szCs w:val="28"/>
        </w:rPr>
        <w:t>p</w:t>
      </w:r>
      <w:r w:rsidRPr="00B92447">
        <w:rPr>
          <w:rFonts w:ascii="Arial" w:hAnsi="Arial" w:cs="Arial"/>
          <w:szCs w:val="28"/>
        </w:rPr>
        <w:t>&lt;</w:t>
      </w:r>
      <w:proofErr w:type="gramStart"/>
      <w:r w:rsidRPr="00B92447">
        <w:rPr>
          <w:rFonts w:ascii="Arial" w:hAnsi="Arial" w:cs="Arial"/>
          <w:szCs w:val="28"/>
        </w:rPr>
        <w:t>.001</w:t>
      </w:r>
      <w:proofErr w:type="gramEnd"/>
      <w:r w:rsidRPr="00B92447">
        <w:rPr>
          <w:rFonts w:ascii="Arial" w:hAnsi="Arial" w:cs="Arial"/>
          <w:szCs w:val="28"/>
        </w:rPr>
        <w:t>] and antidepressants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Pr="00B92447">
        <w:rPr>
          <w:rFonts w:ascii="Arial" w:hAnsi="Arial" w:cs="Arial"/>
          <w:szCs w:val="28"/>
        </w:rPr>
        <w:t xml:space="preserve"> =4319) =29.28, </w:t>
      </w:r>
      <w:r w:rsidRPr="00B92447">
        <w:rPr>
          <w:rFonts w:ascii="Arial" w:hAnsi="Arial" w:cs="Arial"/>
          <w:i/>
          <w:szCs w:val="28"/>
        </w:rPr>
        <w:t>p</w:t>
      </w:r>
      <w:r w:rsidRPr="00B92447">
        <w:rPr>
          <w:rFonts w:ascii="Arial" w:hAnsi="Arial" w:cs="Arial"/>
          <w:szCs w:val="28"/>
        </w:rPr>
        <w:t xml:space="preserve">&lt;.001]. Reports of analgesic use were lower than expected in less disadvantaged </w:t>
      </w:r>
      <w:proofErr w:type="spellStart"/>
      <w:r w:rsidRPr="00B92447">
        <w:rPr>
          <w:rFonts w:ascii="Arial" w:hAnsi="Arial" w:cs="Arial"/>
          <w:szCs w:val="28"/>
        </w:rPr>
        <w:t>neighbourhoods</w:t>
      </w:r>
      <w:proofErr w:type="spellEnd"/>
      <w:r w:rsidRPr="00B92447">
        <w:rPr>
          <w:rFonts w:ascii="Arial" w:hAnsi="Arial" w:cs="Arial"/>
          <w:szCs w:val="28"/>
        </w:rPr>
        <w:t>,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Pr="00B92447">
        <w:rPr>
          <w:rFonts w:ascii="Arial" w:hAnsi="Arial" w:cs="Arial"/>
          <w:szCs w:val="28"/>
        </w:rPr>
        <w:t xml:space="preserve"> =4319)=16.8, </w:t>
      </w:r>
      <w:r w:rsidRPr="00B92447">
        <w:rPr>
          <w:rFonts w:ascii="Arial" w:hAnsi="Arial" w:cs="Arial"/>
          <w:i/>
          <w:szCs w:val="28"/>
        </w:rPr>
        <w:t>p</w:t>
      </w:r>
      <w:r w:rsidRPr="00B92447">
        <w:rPr>
          <w:rFonts w:ascii="Arial" w:hAnsi="Arial" w:cs="Arial"/>
          <w:szCs w:val="28"/>
        </w:rPr>
        <w:t xml:space="preserve">&lt;0.05. Antidepressant use was also lower than expected in the less deprived </w:t>
      </w:r>
      <w:proofErr w:type="spellStart"/>
      <w:r w:rsidRPr="00B92447">
        <w:rPr>
          <w:rFonts w:ascii="Arial" w:hAnsi="Arial" w:cs="Arial"/>
          <w:szCs w:val="28"/>
        </w:rPr>
        <w:t>neighbourhoods</w:t>
      </w:r>
      <w:proofErr w:type="spellEnd"/>
      <w:r w:rsidRPr="00B92447">
        <w:rPr>
          <w:rFonts w:ascii="Arial" w:hAnsi="Arial" w:cs="Arial"/>
          <w:szCs w:val="28"/>
        </w:rPr>
        <w:t>, χ</w:t>
      </w:r>
      <w:r w:rsidRPr="00B92447">
        <w:rPr>
          <w:rFonts w:ascii="Arial" w:hAnsi="Arial" w:cs="Arial"/>
          <w:szCs w:val="28"/>
          <w:vertAlign w:val="superscript"/>
        </w:rPr>
        <w:t>2</w:t>
      </w:r>
      <w:r w:rsidRPr="00B92447">
        <w:rPr>
          <w:rFonts w:ascii="Arial" w:hAnsi="Arial" w:cs="Arial"/>
          <w:szCs w:val="28"/>
        </w:rPr>
        <w:t xml:space="preserve"> (2, </w:t>
      </w:r>
      <w:r w:rsidRPr="00B92447">
        <w:rPr>
          <w:rFonts w:ascii="Arial" w:hAnsi="Arial" w:cs="Arial"/>
          <w:i/>
          <w:szCs w:val="28"/>
        </w:rPr>
        <w:t>N</w:t>
      </w:r>
      <w:r w:rsidRPr="00B92447">
        <w:rPr>
          <w:rFonts w:ascii="Arial" w:hAnsi="Arial" w:cs="Arial"/>
          <w:szCs w:val="28"/>
        </w:rPr>
        <w:t xml:space="preserve"> =4319) =17.6, </w:t>
      </w:r>
      <w:r w:rsidRPr="00B92447">
        <w:rPr>
          <w:rFonts w:ascii="Arial" w:hAnsi="Arial" w:cs="Arial"/>
          <w:i/>
          <w:szCs w:val="28"/>
        </w:rPr>
        <w:t xml:space="preserve">p </w:t>
      </w:r>
      <w:r w:rsidR="001E1DE7" w:rsidRPr="00B92447">
        <w:rPr>
          <w:rFonts w:ascii="Arial" w:hAnsi="Arial" w:cs="Arial"/>
          <w:szCs w:val="28"/>
        </w:rPr>
        <w:t>&lt;</w:t>
      </w:r>
      <w:r w:rsidRPr="00B92447">
        <w:rPr>
          <w:rFonts w:ascii="Arial" w:hAnsi="Arial" w:cs="Arial"/>
          <w:szCs w:val="28"/>
        </w:rPr>
        <w:t>.05.</w:t>
      </w:r>
      <w:r w:rsidR="009E01F4" w:rsidRPr="00B92447">
        <w:rPr>
          <w:rFonts w:ascii="Arial" w:hAnsi="Arial" w:cs="Arial"/>
          <w:szCs w:val="28"/>
        </w:rPr>
        <w:t xml:space="preserve"> All other medication </w:t>
      </w:r>
      <w:r w:rsidR="001667C6" w:rsidRPr="00B92447">
        <w:rPr>
          <w:rFonts w:ascii="Arial" w:hAnsi="Arial" w:cs="Arial"/>
          <w:szCs w:val="28"/>
        </w:rPr>
        <w:t xml:space="preserve">class </w:t>
      </w:r>
      <w:r w:rsidR="009E01F4" w:rsidRPr="00B92447">
        <w:rPr>
          <w:rFonts w:ascii="Arial" w:hAnsi="Arial" w:cs="Arial"/>
          <w:szCs w:val="28"/>
        </w:rPr>
        <w:t>u</w:t>
      </w:r>
      <w:r w:rsidR="009E01F4">
        <w:rPr>
          <w:rFonts w:ascii="Arial" w:hAnsi="Arial" w:cs="Arial"/>
          <w:szCs w:val="28"/>
        </w:rPr>
        <w:t>s</w:t>
      </w:r>
      <w:r w:rsidR="001667C6">
        <w:rPr>
          <w:rFonts w:ascii="Arial" w:hAnsi="Arial" w:cs="Arial"/>
          <w:szCs w:val="28"/>
        </w:rPr>
        <w:t xml:space="preserve">age was consistent across </w:t>
      </w:r>
      <w:proofErr w:type="spellStart"/>
      <w:r w:rsidR="001667C6">
        <w:rPr>
          <w:rFonts w:ascii="Arial" w:hAnsi="Arial" w:cs="Arial"/>
          <w:szCs w:val="28"/>
        </w:rPr>
        <w:t>neigh</w:t>
      </w:r>
      <w:r w:rsidR="009E01F4">
        <w:rPr>
          <w:rFonts w:ascii="Arial" w:hAnsi="Arial" w:cs="Arial"/>
          <w:szCs w:val="28"/>
        </w:rPr>
        <w:t>bourhood</w:t>
      </w:r>
      <w:proofErr w:type="spellEnd"/>
      <w:r w:rsidR="009E01F4">
        <w:rPr>
          <w:rFonts w:ascii="Arial" w:hAnsi="Arial" w:cs="Arial"/>
          <w:szCs w:val="28"/>
        </w:rPr>
        <w:t xml:space="preserve"> types. </w:t>
      </w:r>
      <w:r>
        <w:rPr>
          <w:rFonts w:ascii="Arial" w:hAnsi="Arial" w:cs="Arial"/>
          <w:i/>
          <w:szCs w:val="28"/>
        </w:rPr>
        <w:t xml:space="preserve"> </w:t>
      </w:r>
    </w:p>
    <w:p w14:paraId="54D50EFE" w14:textId="77777777" w:rsidR="009C55CB" w:rsidRDefault="009C55CB" w:rsidP="006C66AE">
      <w:pPr>
        <w:spacing w:after="0"/>
        <w:jc w:val="both"/>
        <w:outlineLvl w:val="0"/>
        <w:rPr>
          <w:rFonts w:ascii="Arial" w:hAnsi="Arial" w:cs="Arial"/>
          <w:szCs w:val="28"/>
        </w:rPr>
      </w:pPr>
      <w:r>
        <w:rPr>
          <w:rFonts w:ascii="Arial" w:hAnsi="Arial" w:cs="Arial"/>
          <w:i/>
          <w:szCs w:val="28"/>
        </w:rPr>
        <w:tab/>
      </w:r>
      <w:r>
        <w:rPr>
          <w:rFonts w:ascii="Arial" w:hAnsi="Arial" w:cs="Arial"/>
          <w:szCs w:val="28"/>
        </w:rPr>
        <w:t>In</w:t>
      </w:r>
      <w:r w:rsidR="00596F3D">
        <w:rPr>
          <w:rFonts w:ascii="Arial" w:hAnsi="Arial" w:cs="Arial"/>
          <w:szCs w:val="28"/>
        </w:rPr>
        <w:t xml:space="preserve"> W</w:t>
      </w:r>
      <w:r w:rsidRPr="00202675">
        <w:rPr>
          <w:rFonts w:ascii="Arial" w:hAnsi="Arial" w:cs="Arial"/>
          <w:szCs w:val="28"/>
        </w:rPr>
        <w:t>ave 2, prescription rates ranged from</w:t>
      </w:r>
      <w:r>
        <w:rPr>
          <w:rFonts w:ascii="Arial" w:hAnsi="Arial" w:cs="Arial"/>
          <w:szCs w:val="28"/>
        </w:rPr>
        <w:t xml:space="preserve"> 1.1% (anti-psychotics) to 14.4% (anti-depressants). Anti-depressants and analgesics (13.7%) were the most frequently prescribed medication. In order of frequency, people also reported taking hypertensive (11.4%), lipid lowering (9.3%), asthma (9.3%), cardiovascular (8.9%), anti-diabetic (5.4%) proton-pump inhibitor (5.0%), anti-bacterial (2.5%), and anti-platelet medications. The rates of prescription of all medication </w:t>
      </w:r>
      <w:r w:rsidR="001667C6">
        <w:rPr>
          <w:rFonts w:ascii="Arial" w:hAnsi="Arial" w:cs="Arial"/>
          <w:szCs w:val="28"/>
        </w:rPr>
        <w:t xml:space="preserve">classes </w:t>
      </w:r>
      <w:r>
        <w:rPr>
          <w:rFonts w:ascii="Arial" w:hAnsi="Arial" w:cs="Arial"/>
          <w:szCs w:val="28"/>
        </w:rPr>
        <w:t xml:space="preserve">did not significantly differ between </w:t>
      </w:r>
      <w:proofErr w:type="spellStart"/>
      <w:r>
        <w:rPr>
          <w:rFonts w:ascii="Arial" w:hAnsi="Arial" w:cs="Arial"/>
          <w:szCs w:val="28"/>
        </w:rPr>
        <w:t>NfL</w:t>
      </w:r>
      <w:proofErr w:type="spellEnd"/>
      <w:r>
        <w:rPr>
          <w:rFonts w:ascii="Arial" w:hAnsi="Arial" w:cs="Arial"/>
          <w:szCs w:val="28"/>
        </w:rPr>
        <w:t xml:space="preserve"> and deprived comparator </w:t>
      </w:r>
      <w:proofErr w:type="spellStart"/>
      <w:r>
        <w:rPr>
          <w:rFonts w:ascii="Arial" w:hAnsi="Arial" w:cs="Arial"/>
          <w:szCs w:val="28"/>
        </w:rPr>
        <w:t>neighbourhoods</w:t>
      </w:r>
      <w:proofErr w:type="spellEnd"/>
      <w:r>
        <w:rPr>
          <w:rFonts w:ascii="Arial" w:hAnsi="Arial" w:cs="Arial"/>
          <w:szCs w:val="28"/>
        </w:rPr>
        <w:t xml:space="preserve"> with alpha set at .05. </w:t>
      </w:r>
    </w:p>
    <w:p w14:paraId="0CACFF84" w14:textId="77777777" w:rsidR="009C55CB" w:rsidRPr="0077289D" w:rsidRDefault="009C55CB" w:rsidP="009C55CB">
      <w:pPr>
        <w:jc w:val="both"/>
        <w:rPr>
          <w:rFonts w:ascii="Arial" w:hAnsi="Arial" w:cs="Arial"/>
          <w:szCs w:val="28"/>
        </w:rPr>
      </w:pPr>
    </w:p>
    <w:p w14:paraId="63D32B3D" w14:textId="77777777" w:rsidR="009C55CB" w:rsidRDefault="00DE1C6B" w:rsidP="009C55CB">
      <w:pPr>
        <w:spacing w:after="0"/>
        <w:outlineLvl w:val="0"/>
        <w:rPr>
          <w:rFonts w:ascii="Arial" w:hAnsi="Arial" w:cs="Arial"/>
          <w:b/>
          <w:i/>
          <w:szCs w:val="28"/>
        </w:rPr>
      </w:pPr>
      <w:r>
        <w:rPr>
          <w:rFonts w:ascii="Arial" w:hAnsi="Arial" w:cs="Arial"/>
          <w:b/>
          <w:i/>
          <w:szCs w:val="28"/>
        </w:rPr>
        <w:t>Self-reported symptoms of mental ill-health</w:t>
      </w:r>
    </w:p>
    <w:p w14:paraId="372EBD85" w14:textId="77777777" w:rsidR="009C55CB" w:rsidRPr="00E0479A" w:rsidRDefault="009C55CB" w:rsidP="009C55CB">
      <w:pPr>
        <w:spacing w:after="0"/>
        <w:jc w:val="both"/>
        <w:rPr>
          <w:rFonts w:ascii="Arial" w:hAnsi="Arial" w:cs="Arial"/>
          <w:i/>
          <w:szCs w:val="28"/>
        </w:rPr>
      </w:pPr>
      <w:r>
        <w:rPr>
          <w:rFonts w:ascii="Arial" w:hAnsi="Arial" w:cs="Arial"/>
          <w:szCs w:val="28"/>
        </w:rPr>
        <w:lastRenderedPageBreak/>
        <w:t xml:space="preserve">The numbers and proportions of people </w:t>
      </w:r>
      <w:r w:rsidR="00DE1C6B">
        <w:rPr>
          <w:rFonts w:ascii="Arial" w:hAnsi="Arial" w:cs="Arial"/>
          <w:szCs w:val="28"/>
        </w:rPr>
        <w:t xml:space="preserve">who </w:t>
      </w:r>
      <w:r>
        <w:rPr>
          <w:rFonts w:ascii="Arial" w:hAnsi="Arial" w:cs="Arial"/>
          <w:szCs w:val="28"/>
        </w:rPr>
        <w:t>report</w:t>
      </w:r>
      <w:r w:rsidR="00DE1C6B">
        <w:rPr>
          <w:rFonts w:ascii="Arial" w:hAnsi="Arial" w:cs="Arial"/>
          <w:szCs w:val="28"/>
        </w:rPr>
        <w:t xml:space="preserve">ed symptoms of anxiety and depression to a level consistent with diagnosis of anxiety </w:t>
      </w:r>
      <w:r>
        <w:rPr>
          <w:rFonts w:ascii="Arial" w:hAnsi="Arial" w:cs="Arial"/>
          <w:szCs w:val="28"/>
        </w:rPr>
        <w:t xml:space="preserve">or </w:t>
      </w:r>
      <w:r w:rsidR="00DE1C6B">
        <w:rPr>
          <w:rFonts w:ascii="Arial" w:hAnsi="Arial" w:cs="Arial"/>
          <w:szCs w:val="28"/>
        </w:rPr>
        <w:t xml:space="preserve">depression </w:t>
      </w:r>
      <w:r w:rsidR="00F1283F">
        <w:rPr>
          <w:rFonts w:ascii="Arial" w:hAnsi="Arial" w:cs="Arial"/>
          <w:szCs w:val="28"/>
        </w:rPr>
        <w:t xml:space="preserve">are described in Table 2. </w:t>
      </w:r>
      <w:r w:rsidR="0064292A">
        <w:rPr>
          <w:rFonts w:ascii="Arial" w:hAnsi="Arial" w:cs="Arial"/>
          <w:szCs w:val="28"/>
        </w:rPr>
        <w:t>In W</w:t>
      </w:r>
      <w:r>
        <w:rPr>
          <w:rFonts w:ascii="Arial" w:hAnsi="Arial" w:cs="Arial"/>
          <w:szCs w:val="28"/>
        </w:rPr>
        <w:t xml:space="preserve">ave 1, there was a significant relationship between the number of people reporting anxiety or depression and </w:t>
      </w:r>
      <w:proofErr w:type="spellStart"/>
      <w:r>
        <w:rPr>
          <w:rFonts w:ascii="Arial" w:hAnsi="Arial" w:cs="Arial"/>
          <w:szCs w:val="28"/>
        </w:rPr>
        <w:t>neighbourhood</w:t>
      </w:r>
      <w:proofErr w:type="spellEnd"/>
      <w:r>
        <w:rPr>
          <w:rFonts w:ascii="Arial" w:hAnsi="Arial" w:cs="Arial"/>
          <w:szCs w:val="28"/>
        </w:rPr>
        <w:t xml:space="preserve"> type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sidR="001E1DE7">
        <w:rPr>
          <w:rFonts w:ascii="Arial" w:hAnsi="Arial" w:cs="Arial"/>
          <w:szCs w:val="28"/>
        </w:rPr>
        <w:t>=</w:t>
      </w:r>
      <w:r>
        <w:rPr>
          <w:rFonts w:ascii="Arial" w:hAnsi="Arial" w:cs="Arial"/>
          <w:szCs w:val="28"/>
        </w:rPr>
        <w:t>4317</w:t>
      </w:r>
      <w:r w:rsidR="001E1DE7">
        <w:rPr>
          <w:rFonts w:ascii="Arial" w:hAnsi="Arial" w:cs="Arial"/>
          <w:szCs w:val="28"/>
        </w:rPr>
        <w:t>) =</w:t>
      </w:r>
      <w:r>
        <w:rPr>
          <w:rFonts w:ascii="Arial" w:hAnsi="Arial" w:cs="Arial"/>
          <w:szCs w:val="28"/>
        </w:rPr>
        <w:t>93.84</w:t>
      </w:r>
      <w:r w:rsidRPr="00D915DA">
        <w:rPr>
          <w:rFonts w:ascii="Arial" w:hAnsi="Arial" w:cs="Arial"/>
          <w:szCs w:val="28"/>
        </w:rPr>
        <w:t xml:space="preserve">, </w:t>
      </w:r>
      <w:r>
        <w:rPr>
          <w:rFonts w:ascii="Arial" w:hAnsi="Arial" w:cs="Arial"/>
          <w:i/>
          <w:szCs w:val="28"/>
        </w:rPr>
        <w:t>p&lt;</w:t>
      </w:r>
      <w:r>
        <w:rPr>
          <w:rFonts w:ascii="Arial" w:hAnsi="Arial" w:cs="Arial"/>
          <w:szCs w:val="28"/>
        </w:rPr>
        <w:t>0</w:t>
      </w:r>
      <w:r w:rsidRPr="00F77A53">
        <w:rPr>
          <w:rFonts w:ascii="Arial" w:hAnsi="Arial" w:cs="Arial"/>
          <w:szCs w:val="28"/>
        </w:rPr>
        <w:t>.001</w:t>
      </w:r>
      <w:r>
        <w:rPr>
          <w:rFonts w:ascii="Arial" w:hAnsi="Arial" w:cs="Arial"/>
          <w:szCs w:val="28"/>
        </w:rPr>
        <w:t>]</w:t>
      </w:r>
      <w:r w:rsidRPr="00F77A53">
        <w:rPr>
          <w:rFonts w:ascii="Arial" w:hAnsi="Arial" w:cs="Arial"/>
          <w:szCs w:val="28"/>
        </w:rPr>
        <w:t>.</w:t>
      </w:r>
      <w:r>
        <w:rPr>
          <w:rFonts w:ascii="Arial" w:hAnsi="Arial" w:cs="Arial"/>
          <w:szCs w:val="28"/>
        </w:rPr>
        <w:t xml:space="preserve"> Specifically, t</w:t>
      </w:r>
      <w:r w:rsidRPr="00F77A53">
        <w:rPr>
          <w:rFonts w:ascii="Arial" w:hAnsi="Arial" w:cs="Arial"/>
          <w:szCs w:val="28"/>
        </w:rPr>
        <w:t>here were significantly more</w:t>
      </w:r>
      <w:r>
        <w:rPr>
          <w:rFonts w:ascii="Arial" w:hAnsi="Arial" w:cs="Arial"/>
          <w:szCs w:val="28"/>
        </w:rPr>
        <w:t xml:space="preserve"> than expected</w:t>
      </w:r>
      <w:r w:rsidRPr="00F77A53">
        <w:rPr>
          <w:rFonts w:ascii="Arial" w:hAnsi="Arial" w:cs="Arial"/>
          <w:szCs w:val="28"/>
        </w:rPr>
        <w:t xml:space="preserve"> reports of mental health problems in the </w:t>
      </w:r>
      <w:proofErr w:type="spellStart"/>
      <w:r w:rsidRPr="00F77A53">
        <w:rPr>
          <w:rFonts w:ascii="Arial" w:hAnsi="Arial" w:cs="Arial"/>
          <w:szCs w:val="28"/>
        </w:rPr>
        <w:t>NfLs</w:t>
      </w:r>
      <w:proofErr w:type="spellEnd"/>
      <w:r w:rsidRPr="00F77A53">
        <w:rPr>
          <w:rFonts w:ascii="Arial" w:hAnsi="Arial" w:cs="Arial"/>
          <w:szCs w:val="28"/>
        </w:rPr>
        <w:t xml:space="preserve"> </w:t>
      </w:r>
      <w:r>
        <w:rPr>
          <w:rFonts w:ascii="Arial" w:hAnsi="Arial" w:cs="Arial"/>
          <w:szCs w:val="28"/>
        </w:rPr>
        <w:t>[</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sidR="00DB63B8">
        <w:rPr>
          <w:rFonts w:ascii="Arial" w:hAnsi="Arial" w:cs="Arial"/>
          <w:szCs w:val="28"/>
        </w:rPr>
        <w:t xml:space="preserve"> =4317)</w:t>
      </w:r>
      <w:r>
        <w:rPr>
          <w:rFonts w:ascii="Arial" w:hAnsi="Arial" w:cs="Arial"/>
          <w:szCs w:val="28"/>
        </w:rPr>
        <w:t>=25.4</w:t>
      </w:r>
      <w:r w:rsidRPr="00D915DA">
        <w:rPr>
          <w:rFonts w:ascii="Arial" w:hAnsi="Arial" w:cs="Arial"/>
          <w:szCs w:val="28"/>
        </w:rPr>
        <w:t xml:space="preserve">, </w:t>
      </w:r>
      <w:r>
        <w:rPr>
          <w:rFonts w:ascii="Arial" w:hAnsi="Arial" w:cs="Arial"/>
          <w:i/>
          <w:szCs w:val="28"/>
        </w:rPr>
        <w:t>p&lt;</w:t>
      </w:r>
      <w:r w:rsidRPr="00973F1A">
        <w:rPr>
          <w:rFonts w:ascii="Arial" w:hAnsi="Arial" w:cs="Arial"/>
          <w:szCs w:val="28"/>
        </w:rPr>
        <w:t>0.</w:t>
      </w:r>
      <w:r>
        <w:rPr>
          <w:rFonts w:ascii="Arial" w:hAnsi="Arial" w:cs="Arial"/>
          <w:szCs w:val="28"/>
        </w:rPr>
        <w:t xml:space="preserve">01], and significantly fewer than expected reports of mental health problems in the relatively advantaged </w:t>
      </w:r>
      <w:proofErr w:type="spellStart"/>
      <w:r>
        <w:rPr>
          <w:rFonts w:ascii="Arial" w:hAnsi="Arial" w:cs="Arial"/>
          <w:szCs w:val="28"/>
        </w:rPr>
        <w:t>neighbourhoods</w:t>
      </w:r>
      <w:proofErr w:type="spellEnd"/>
      <w:r>
        <w:rPr>
          <w:rFonts w:ascii="Arial" w:hAnsi="Arial" w:cs="Arial"/>
          <w:szCs w:val="28"/>
        </w:rPr>
        <w:t xml:space="preserve">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=4317)=46.9</w:t>
      </w:r>
      <w:r w:rsidRPr="00D915DA">
        <w:rPr>
          <w:rFonts w:ascii="Arial" w:hAnsi="Arial" w:cs="Arial"/>
          <w:szCs w:val="28"/>
        </w:rPr>
        <w:t xml:space="preserve">, </w:t>
      </w:r>
      <w:r>
        <w:rPr>
          <w:rFonts w:ascii="Arial" w:hAnsi="Arial" w:cs="Arial"/>
          <w:i/>
          <w:szCs w:val="28"/>
        </w:rPr>
        <w:t>p&lt;</w:t>
      </w:r>
      <w:r w:rsidRPr="00973F1A">
        <w:rPr>
          <w:rFonts w:ascii="Arial" w:hAnsi="Arial" w:cs="Arial"/>
          <w:szCs w:val="28"/>
        </w:rPr>
        <w:t>0</w:t>
      </w:r>
      <w:r>
        <w:rPr>
          <w:rFonts w:ascii="Arial" w:hAnsi="Arial" w:cs="Arial"/>
          <w:szCs w:val="28"/>
        </w:rPr>
        <w:t>.0</w:t>
      </w:r>
      <w:r w:rsidRPr="00B67FE5">
        <w:rPr>
          <w:rFonts w:ascii="Arial" w:hAnsi="Arial" w:cs="Arial"/>
          <w:szCs w:val="28"/>
        </w:rPr>
        <w:t>1</w:t>
      </w:r>
      <w:r>
        <w:rPr>
          <w:rFonts w:ascii="Arial" w:hAnsi="Arial" w:cs="Arial"/>
          <w:szCs w:val="28"/>
        </w:rPr>
        <w:t xml:space="preserve">]. The number of people reporting anxiety or depression in the disadvantaged comparator </w:t>
      </w:r>
      <w:proofErr w:type="spellStart"/>
      <w:r>
        <w:rPr>
          <w:rFonts w:ascii="Arial" w:hAnsi="Arial" w:cs="Arial"/>
          <w:szCs w:val="28"/>
        </w:rPr>
        <w:t>neighbourhoods</w:t>
      </w:r>
      <w:proofErr w:type="spellEnd"/>
      <w:r>
        <w:rPr>
          <w:rFonts w:ascii="Arial" w:hAnsi="Arial" w:cs="Arial"/>
          <w:szCs w:val="28"/>
        </w:rPr>
        <w:t xml:space="preserve"> did not differ from expected values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sidR="001E1DE7">
        <w:rPr>
          <w:rFonts w:ascii="Arial" w:hAnsi="Arial" w:cs="Arial"/>
          <w:szCs w:val="28"/>
        </w:rPr>
        <w:t xml:space="preserve"> =</w:t>
      </w:r>
      <w:r>
        <w:rPr>
          <w:rFonts w:ascii="Arial" w:hAnsi="Arial" w:cs="Arial"/>
          <w:szCs w:val="28"/>
        </w:rPr>
        <w:t>4317</w:t>
      </w:r>
      <w:r w:rsidRPr="00D915DA">
        <w:rPr>
          <w:rFonts w:ascii="Arial" w:hAnsi="Arial" w:cs="Arial"/>
          <w:szCs w:val="28"/>
        </w:rPr>
        <w:t>) =</w:t>
      </w:r>
      <w:r>
        <w:rPr>
          <w:rFonts w:ascii="Arial" w:hAnsi="Arial" w:cs="Arial"/>
          <w:szCs w:val="28"/>
        </w:rPr>
        <w:t>0.6</w:t>
      </w:r>
      <w:r w:rsidRPr="00D915DA">
        <w:rPr>
          <w:rFonts w:ascii="Arial" w:hAnsi="Arial" w:cs="Arial"/>
          <w:szCs w:val="28"/>
        </w:rPr>
        <w:t xml:space="preserve">, </w:t>
      </w:r>
      <w:r>
        <w:rPr>
          <w:rFonts w:ascii="Arial" w:hAnsi="Arial" w:cs="Arial"/>
          <w:i/>
          <w:szCs w:val="28"/>
        </w:rPr>
        <w:t>ns</w:t>
      </w:r>
      <w:r>
        <w:rPr>
          <w:rFonts w:ascii="Arial" w:hAnsi="Arial" w:cs="Arial"/>
          <w:szCs w:val="28"/>
        </w:rPr>
        <w:t>]</w:t>
      </w:r>
      <w:r>
        <w:rPr>
          <w:rFonts w:ascii="Arial" w:hAnsi="Arial" w:cs="Arial"/>
          <w:i/>
          <w:szCs w:val="28"/>
        </w:rPr>
        <w:t xml:space="preserve">. </w:t>
      </w:r>
    </w:p>
    <w:p w14:paraId="1729628C" w14:textId="77777777" w:rsidR="009C55CB" w:rsidRDefault="009C55CB" w:rsidP="009C55CB">
      <w:pPr>
        <w:spacing w:after="0"/>
        <w:ind w:firstLine="720"/>
        <w:jc w:val="both"/>
        <w:outlineLvl w:val="0"/>
        <w:rPr>
          <w:rFonts w:ascii="Arial" w:hAnsi="Arial" w:cs="Arial"/>
          <w:szCs w:val="28"/>
        </w:rPr>
      </w:pPr>
      <w:r>
        <w:rPr>
          <w:rFonts w:ascii="Arial" w:hAnsi="Arial" w:cs="Arial"/>
          <w:szCs w:val="28"/>
        </w:rPr>
        <w:t>The proportion of people repo</w:t>
      </w:r>
      <w:r w:rsidR="00596F3D">
        <w:rPr>
          <w:rFonts w:ascii="Arial" w:hAnsi="Arial" w:cs="Arial"/>
          <w:szCs w:val="28"/>
        </w:rPr>
        <w:t>rting anxiety or depression in W</w:t>
      </w:r>
      <w:r>
        <w:rPr>
          <w:rFonts w:ascii="Arial" w:hAnsi="Arial" w:cs="Arial"/>
          <w:szCs w:val="28"/>
        </w:rPr>
        <w:t xml:space="preserve">ave 2 varied according to </w:t>
      </w:r>
      <w:proofErr w:type="spellStart"/>
      <w:r>
        <w:rPr>
          <w:rFonts w:ascii="Arial" w:hAnsi="Arial" w:cs="Arial"/>
          <w:szCs w:val="28"/>
        </w:rPr>
        <w:t>neighbourhood</w:t>
      </w:r>
      <w:proofErr w:type="spellEnd"/>
      <w:r>
        <w:rPr>
          <w:rFonts w:ascii="Arial" w:hAnsi="Arial" w:cs="Arial"/>
          <w:szCs w:val="28"/>
        </w:rPr>
        <w:t xml:space="preserve"> type, χ</w:t>
      </w:r>
      <w:r w:rsidRPr="00FA2A24">
        <w:rPr>
          <w:rFonts w:ascii="Arial" w:hAnsi="Arial" w:cs="Arial"/>
          <w:szCs w:val="28"/>
          <w:vertAlign w:val="superscript"/>
        </w:rPr>
        <w:t>2</w:t>
      </w:r>
      <w:r>
        <w:rPr>
          <w:rFonts w:ascii="Arial" w:hAnsi="Arial" w:cs="Arial"/>
          <w:szCs w:val="28"/>
        </w:rPr>
        <w:t xml:space="preserve">(1, </w:t>
      </w:r>
      <w:r w:rsidRPr="00FA2A24">
        <w:rPr>
          <w:rFonts w:ascii="Arial" w:hAnsi="Arial" w:cs="Arial"/>
          <w:i/>
          <w:szCs w:val="28"/>
        </w:rPr>
        <w:t>N</w:t>
      </w:r>
      <w:r w:rsidR="001E1DE7">
        <w:rPr>
          <w:rFonts w:ascii="Arial" w:hAnsi="Arial" w:cs="Arial"/>
          <w:szCs w:val="28"/>
        </w:rPr>
        <w:t xml:space="preserve"> = 3404) = 12.30</w:t>
      </w:r>
      <w:r>
        <w:rPr>
          <w:rFonts w:ascii="Arial" w:hAnsi="Arial" w:cs="Arial"/>
          <w:szCs w:val="28"/>
        </w:rPr>
        <w:t xml:space="preserve">, </w:t>
      </w:r>
      <w:r w:rsidRPr="004E1546">
        <w:rPr>
          <w:rFonts w:ascii="Arial" w:hAnsi="Arial" w:cs="Arial"/>
          <w:i/>
          <w:szCs w:val="28"/>
        </w:rPr>
        <w:t>p</w:t>
      </w:r>
      <w:r w:rsidR="001E1DE7">
        <w:rPr>
          <w:rFonts w:ascii="Arial" w:hAnsi="Arial" w:cs="Arial"/>
          <w:szCs w:val="28"/>
        </w:rPr>
        <w:t xml:space="preserve"> &lt;</w:t>
      </w:r>
      <w:r>
        <w:rPr>
          <w:rFonts w:ascii="Arial" w:hAnsi="Arial" w:cs="Arial"/>
          <w:szCs w:val="28"/>
        </w:rPr>
        <w:t xml:space="preserve">0.001. Specifically, the number of people in the deprived comparator </w:t>
      </w:r>
      <w:proofErr w:type="spellStart"/>
      <w:r>
        <w:rPr>
          <w:rFonts w:ascii="Arial" w:hAnsi="Arial" w:cs="Arial"/>
          <w:szCs w:val="28"/>
        </w:rPr>
        <w:t>neighbourhoods</w:t>
      </w:r>
      <w:proofErr w:type="spellEnd"/>
      <w:r>
        <w:rPr>
          <w:rFonts w:ascii="Arial" w:hAnsi="Arial" w:cs="Arial"/>
          <w:szCs w:val="28"/>
        </w:rPr>
        <w:t xml:space="preserve"> reporting anxiety or depression was higher than expected, </w:t>
      </w:r>
      <w:r w:rsidRPr="00E73820">
        <w:rPr>
          <w:rFonts w:ascii="Arial" w:hAnsi="Arial" w:cs="Arial"/>
          <w:szCs w:val="28"/>
        </w:rPr>
        <w:t>χ</w:t>
      </w:r>
      <w:r w:rsidRPr="00E73820">
        <w:rPr>
          <w:rFonts w:ascii="Arial" w:hAnsi="Arial" w:cs="Arial"/>
          <w:szCs w:val="28"/>
          <w:vertAlign w:val="superscript"/>
        </w:rPr>
        <w:t>2</w:t>
      </w:r>
      <w:r w:rsidRPr="00E73820">
        <w:rPr>
          <w:rFonts w:ascii="Arial" w:hAnsi="Arial" w:cs="Arial"/>
          <w:szCs w:val="28"/>
        </w:rPr>
        <w:t xml:space="preserve"> </w:t>
      </w:r>
      <w:r>
        <w:rPr>
          <w:rFonts w:ascii="Arial" w:hAnsi="Arial" w:cs="Arial"/>
          <w:szCs w:val="28"/>
        </w:rPr>
        <w:t>(1</w:t>
      </w:r>
      <w:r w:rsidRPr="00E73820">
        <w:rPr>
          <w:rFonts w:ascii="Arial" w:hAnsi="Arial" w:cs="Arial"/>
          <w:szCs w:val="28"/>
        </w:rPr>
        <w:t xml:space="preserve">, </w:t>
      </w:r>
      <w:r w:rsidRPr="00E73820">
        <w:rPr>
          <w:rFonts w:ascii="Arial" w:hAnsi="Arial" w:cs="Arial"/>
          <w:i/>
          <w:szCs w:val="28"/>
        </w:rPr>
        <w:t>N</w:t>
      </w:r>
      <w:r w:rsidR="001E1DE7">
        <w:rPr>
          <w:rFonts w:ascii="Arial" w:hAnsi="Arial" w:cs="Arial"/>
          <w:szCs w:val="28"/>
        </w:rPr>
        <w:t xml:space="preserve"> =</w:t>
      </w:r>
      <w:r>
        <w:rPr>
          <w:rFonts w:ascii="Arial" w:hAnsi="Arial" w:cs="Arial"/>
          <w:szCs w:val="28"/>
        </w:rPr>
        <w:t>3404</w:t>
      </w:r>
      <w:r w:rsidR="001E1DE7">
        <w:rPr>
          <w:rFonts w:ascii="Arial" w:hAnsi="Arial" w:cs="Arial"/>
          <w:szCs w:val="28"/>
        </w:rPr>
        <w:t>) =</w:t>
      </w:r>
      <w:r>
        <w:rPr>
          <w:rFonts w:ascii="Arial" w:hAnsi="Arial" w:cs="Arial"/>
          <w:szCs w:val="28"/>
        </w:rPr>
        <w:t>5.4</w:t>
      </w:r>
      <w:r w:rsidRPr="00E73820">
        <w:rPr>
          <w:rFonts w:ascii="Arial" w:hAnsi="Arial" w:cs="Arial"/>
          <w:szCs w:val="28"/>
        </w:rPr>
        <w:t xml:space="preserve">, </w:t>
      </w:r>
      <w:r w:rsidRPr="00E73820">
        <w:rPr>
          <w:rFonts w:ascii="Arial" w:hAnsi="Arial" w:cs="Arial"/>
          <w:i/>
          <w:szCs w:val="28"/>
        </w:rPr>
        <w:t>p</w:t>
      </w:r>
      <w:r>
        <w:rPr>
          <w:rFonts w:ascii="Arial" w:hAnsi="Arial" w:cs="Arial"/>
          <w:i/>
          <w:szCs w:val="28"/>
        </w:rPr>
        <w:t xml:space="preserve"> </w:t>
      </w:r>
      <w:r w:rsidRPr="00E73820">
        <w:rPr>
          <w:rFonts w:ascii="Arial" w:hAnsi="Arial" w:cs="Arial"/>
          <w:szCs w:val="28"/>
        </w:rPr>
        <w:t>&lt;.05</w:t>
      </w:r>
      <w:r>
        <w:rPr>
          <w:rFonts w:ascii="Arial" w:hAnsi="Arial" w:cs="Arial"/>
          <w:szCs w:val="28"/>
        </w:rPr>
        <w:t xml:space="preserve">. </w:t>
      </w:r>
    </w:p>
    <w:p w14:paraId="29B6566C" w14:textId="77777777" w:rsidR="001C4AB8" w:rsidRDefault="001C4AB8" w:rsidP="001C4AB8">
      <w:pPr>
        <w:spacing w:after="0"/>
        <w:jc w:val="both"/>
        <w:rPr>
          <w:rFonts w:ascii="Arial" w:hAnsi="Arial" w:cs="Arial"/>
          <w:b/>
          <w:szCs w:val="28"/>
        </w:rPr>
      </w:pPr>
    </w:p>
    <w:p w14:paraId="531E449A" w14:textId="77777777" w:rsidR="009C55CB" w:rsidRPr="001C4AB8" w:rsidRDefault="009C55CB" w:rsidP="009C55CB">
      <w:pPr>
        <w:jc w:val="both"/>
        <w:rPr>
          <w:rFonts w:ascii="Arial" w:hAnsi="Arial" w:cs="Arial"/>
          <w:b/>
          <w:i/>
          <w:szCs w:val="28"/>
        </w:rPr>
      </w:pPr>
      <w:r w:rsidRPr="001C4AB8">
        <w:rPr>
          <w:rFonts w:ascii="Arial" w:hAnsi="Arial" w:cs="Arial"/>
          <w:b/>
          <w:i/>
          <w:szCs w:val="28"/>
        </w:rPr>
        <w:t>[Table 2]</w:t>
      </w:r>
    </w:p>
    <w:p w14:paraId="4B3A99D7" w14:textId="77777777" w:rsidR="009C55CB" w:rsidRDefault="009C55CB" w:rsidP="009C55CB">
      <w:pPr>
        <w:spacing w:after="0"/>
        <w:outlineLvl w:val="0"/>
        <w:rPr>
          <w:rFonts w:ascii="Arial" w:hAnsi="Arial" w:cs="Arial"/>
          <w:b/>
          <w:i/>
          <w:szCs w:val="28"/>
        </w:rPr>
      </w:pPr>
      <w:r w:rsidRPr="0055460C">
        <w:rPr>
          <w:rFonts w:ascii="Arial" w:hAnsi="Arial" w:cs="Arial"/>
          <w:b/>
          <w:i/>
          <w:szCs w:val="28"/>
        </w:rPr>
        <w:t>Housing and environment</w:t>
      </w:r>
    </w:p>
    <w:p w14:paraId="222CBB67" w14:textId="77777777" w:rsidR="009C55CB" w:rsidRDefault="009C55CB" w:rsidP="009C55CB">
      <w:pPr>
        <w:spacing w:after="0"/>
        <w:jc w:val="both"/>
        <w:rPr>
          <w:rFonts w:ascii="Arial" w:hAnsi="Arial" w:cs="Arial"/>
          <w:szCs w:val="28"/>
        </w:rPr>
      </w:pPr>
      <w:r w:rsidRPr="00F77A53">
        <w:rPr>
          <w:rFonts w:ascii="Arial" w:hAnsi="Arial" w:cs="Arial"/>
          <w:szCs w:val="28"/>
        </w:rPr>
        <w:t xml:space="preserve">There was an </w:t>
      </w:r>
      <w:r>
        <w:rPr>
          <w:rFonts w:ascii="Arial" w:hAnsi="Arial" w:cs="Arial"/>
          <w:szCs w:val="28"/>
        </w:rPr>
        <w:t>uneven distribution of people</w:t>
      </w:r>
      <w:r w:rsidRPr="00F77A53">
        <w:rPr>
          <w:rFonts w:ascii="Arial" w:hAnsi="Arial" w:cs="Arial"/>
          <w:szCs w:val="28"/>
        </w:rPr>
        <w:t xml:space="preserve"> in social housing </w:t>
      </w:r>
      <w:r>
        <w:rPr>
          <w:rFonts w:ascii="Arial" w:hAnsi="Arial" w:cs="Arial"/>
          <w:szCs w:val="28"/>
        </w:rPr>
        <w:t>across</w:t>
      </w:r>
      <w:r w:rsidRPr="00F77A53">
        <w:rPr>
          <w:rFonts w:ascii="Arial" w:hAnsi="Arial" w:cs="Arial"/>
          <w:szCs w:val="28"/>
        </w:rPr>
        <w:t xml:space="preserve"> </w:t>
      </w:r>
      <w:proofErr w:type="spellStart"/>
      <w:r w:rsidRPr="00F77A53">
        <w:rPr>
          <w:rFonts w:ascii="Arial" w:hAnsi="Arial" w:cs="Arial"/>
          <w:szCs w:val="28"/>
        </w:rPr>
        <w:t>neighbourhood</w:t>
      </w:r>
      <w:proofErr w:type="spellEnd"/>
      <w:r w:rsidRPr="00F77A53">
        <w:rPr>
          <w:rFonts w:ascii="Arial" w:hAnsi="Arial" w:cs="Arial"/>
          <w:szCs w:val="28"/>
        </w:rPr>
        <w:t xml:space="preserve"> type </w:t>
      </w:r>
      <w:r>
        <w:rPr>
          <w:rFonts w:ascii="Arial" w:hAnsi="Arial" w:cs="Arial"/>
          <w:szCs w:val="28"/>
        </w:rPr>
        <w:t>[</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 4319)=</w:t>
      </w:r>
      <w:r w:rsidRPr="00D915DA">
        <w:rPr>
          <w:rFonts w:ascii="Arial" w:hAnsi="Arial" w:cs="Arial"/>
          <w:szCs w:val="28"/>
        </w:rPr>
        <w:t xml:space="preserve">337.21, </w:t>
      </w:r>
      <w:r w:rsidRPr="00D915DA">
        <w:rPr>
          <w:rFonts w:ascii="Arial" w:hAnsi="Arial" w:cs="Arial"/>
          <w:i/>
          <w:szCs w:val="28"/>
        </w:rPr>
        <w:t>p</w:t>
      </w:r>
      <w:r>
        <w:rPr>
          <w:rFonts w:ascii="Arial" w:hAnsi="Arial" w:cs="Arial"/>
          <w:szCs w:val="28"/>
        </w:rPr>
        <w:t>&lt;0</w:t>
      </w:r>
      <w:r w:rsidRPr="00D915DA">
        <w:rPr>
          <w:rFonts w:ascii="Arial" w:hAnsi="Arial" w:cs="Arial"/>
          <w:szCs w:val="28"/>
        </w:rPr>
        <w:t>.001</w:t>
      </w:r>
      <w:r>
        <w:rPr>
          <w:rFonts w:ascii="Arial" w:hAnsi="Arial" w:cs="Arial"/>
          <w:szCs w:val="28"/>
        </w:rPr>
        <w:t>]</w:t>
      </w:r>
      <w:r w:rsidRPr="00F77A53">
        <w:rPr>
          <w:rFonts w:ascii="Arial" w:hAnsi="Arial" w:cs="Arial"/>
          <w:szCs w:val="28"/>
        </w:rPr>
        <w:t xml:space="preserve">. Significantly more people </w:t>
      </w:r>
      <w:r>
        <w:rPr>
          <w:rFonts w:ascii="Arial" w:hAnsi="Arial" w:cs="Arial"/>
          <w:szCs w:val="28"/>
        </w:rPr>
        <w:t xml:space="preserve">than expected </w:t>
      </w:r>
      <w:r w:rsidRPr="00F77A53">
        <w:rPr>
          <w:rFonts w:ascii="Arial" w:hAnsi="Arial" w:cs="Arial"/>
          <w:szCs w:val="28"/>
        </w:rPr>
        <w:t xml:space="preserve">in the </w:t>
      </w:r>
      <w:proofErr w:type="spellStart"/>
      <w:r w:rsidRPr="00F77A53">
        <w:rPr>
          <w:rFonts w:ascii="Arial" w:hAnsi="Arial" w:cs="Arial"/>
          <w:szCs w:val="28"/>
        </w:rPr>
        <w:t>NfLs</w:t>
      </w:r>
      <w:proofErr w:type="spellEnd"/>
      <w:r w:rsidRPr="00F77A53">
        <w:rPr>
          <w:rFonts w:ascii="Arial" w:hAnsi="Arial" w:cs="Arial"/>
          <w:szCs w:val="28"/>
        </w:rPr>
        <w:t xml:space="preserve"> resided in social housing </w:t>
      </w:r>
      <w:r>
        <w:rPr>
          <w:rFonts w:ascii="Arial" w:hAnsi="Arial" w:cs="Arial"/>
          <w:szCs w:val="28"/>
        </w:rPr>
        <w:t>[</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 4319)=</w:t>
      </w:r>
      <w:r w:rsidRPr="00D915DA">
        <w:rPr>
          <w:rFonts w:ascii="Arial" w:hAnsi="Arial" w:cs="Arial"/>
          <w:szCs w:val="28"/>
        </w:rPr>
        <w:t xml:space="preserve">56.2, </w:t>
      </w:r>
      <w:r w:rsidRPr="00D915DA">
        <w:rPr>
          <w:rFonts w:ascii="Arial" w:hAnsi="Arial" w:cs="Arial"/>
          <w:i/>
          <w:szCs w:val="28"/>
        </w:rPr>
        <w:t>p</w:t>
      </w:r>
      <w:r>
        <w:rPr>
          <w:rFonts w:ascii="Arial" w:hAnsi="Arial" w:cs="Arial"/>
          <w:szCs w:val="28"/>
        </w:rPr>
        <w:t>&lt;0</w:t>
      </w:r>
      <w:r w:rsidRPr="00D915DA">
        <w:rPr>
          <w:rFonts w:ascii="Arial" w:hAnsi="Arial" w:cs="Arial"/>
          <w:szCs w:val="28"/>
        </w:rPr>
        <w:t>.0</w:t>
      </w:r>
      <w:r>
        <w:rPr>
          <w:rFonts w:ascii="Arial" w:hAnsi="Arial" w:cs="Arial"/>
          <w:szCs w:val="28"/>
        </w:rPr>
        <w:t>1]</w:t>
      </w:r>
      <w:r w:rsidRPr="00F77A53">
        <w:rPr>
          <w:rFonts w:ascii="Arial" w:hAnsi="Arial" w:cs="Arial"/>
          <w:szCs w:val="28"/>
        </w:rPr>
        <w:t xml:space="preserve">, while significantly </w:t>
      </w:r>
      <w:r>
        <w:rPr>
          <w:rFonts w:ascii="Arial" w:hAnsi="Arial" w:cs="Arial"/>
          <w:szCs w:val="28"/>
        </w:rPr>
        <w:t>fewer</w:t>
      </w:r>
      <w:r w:rsidRPr="00F77A53">
        <w:rPr>
          <w:rFonts w:ascii="Arial" w:hAnsi="Arial" w:cs="Arial"/>
          <w:szCs w:val="28"/>
        </w:rPr>
        <w:t xml:space="preserve"> people </w:t>
      </w:r>
      <w:r>
        <w:rPr>
          <w:rFonts w:ascii="Arial" w:hAnsi="Arial" w:cs="Arial"/>
          <w:szCs w:val="28"/>
        </w:rPr>
        <w:t xml:space="preserve">than expected </w:t>
      </w:r>
      <w:r w:rsidRPr="00F77A53">
        <w:rPr>
          <w:rFonts w:ascii="Arial" w:hAnsi="Arial" w:cs="Arial"/>
          <w:szCs w:val="28"/>
        </w:rPr>
        <w:t xml:space="preserve">from the </w:t>
      </w:r>
      <w:r>
        <w:rPr>
          <w:rFonts w:ascii="Arial" w:hAnsi="Arial" w:cs="Arial"/>
          <w:szCs w:val="28"/>
        </w:rPr>
        <w:t>relatively advantaged</w:t>
      </w:r>
      <w:r w:rsidRPr="00F77A53">
        <w:rPr>
          <w:rFonts w:ascii="Arial" w:hAnsi="Arial" w:cs="Arial"/>
          <w:szCs w:val="28"/>
        </w:rPr>
        <w:t xml:space="preserve"> </w:t>
      </w:r>
      <w:proofErr w:type="spellStart"/>
      <w:r>
        <w:rPr>
          <w:rFonts w:ascii="Arial" w:hAnsi="Arial" w:cs="Arial"/>
          <w:szCs w:val="28"/>
        </w:rPr>
        <w:t>neighbourhoods</w:t>
      </w:r>
      <w:proofErr w:type="spellEnd"/>
      <w:r w:rsidRPr="00F77A53">
        <w:rPr>
          <w:rFonts w:ascii="Arial" w:hAnsi="Arial" w:cs="Arial"/>
          <w:szCs w:val="28"/>
        </w:rPr>
        <w:t xml:space="preserve"> reported living in social housing </w:t>
      </w:r>
      <w:r>
        <w:rPr>
          <w:rFonts w:ascii="Arial" w:hAnsi="Arial" w:cs="Arial"/>
          <w:szCs w:val="28"/>
        </w:rPr>
        <w:t>[</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 4319) =</w:t>
      </w:r>
      <w:r w:rsidRPr="00D915DA">
        <w:rPr>
          <w:rFonts w:ascii="Arial" w:hAnsi="Arial" w:cs="Arial"/>
          <w:szCs w:val="28"/>
        </w:rPr>
        <w:t xml:space="preserve">183.3, </w:t>
      </w:r>
      <w:r w:rsidRPr="00D915DA">
        <w:rPr>
          <w:rFonts w:ascii="Arial" w:hAnsi="Arial" w:cs="Arial"/>
          <w:i/>
          <w:szCs w:val="28"/>
        </w:rPr>
        <w:t>p</w:t>
      </w:r>
      <w:r>
        <w:rPr>
          <w:rFonts w:ascii="Arial" w:hAnsi="Arial" w:cs="Arial"/>
          <w:szCs w:val="28"/>
        </w:rPr>
        <w:t>&lt;0</w:t>
      </w:r>
      <w:r w:rsidRPr="00D915DA">
        <w:rPr>
          <w:rFonts w:ascii="Arial" w:hAnsi="Arial" w:cs="Arial"/>
          <w:szCs w:val="28"/>
        </w:rPr>
        <w:t>.0</w:t>
      </w:r>
      <w:r>
        <w:rPr>
          <w:rFonts w:ascii="Arial" w:hAnsi="Arial" w:cs="Arial"/>
          <w:szCs w:val="28"/>
        </w:rPr>
        <w:t>1]</w:t>
      </w:r>
      <w:r w:rsidRPr="00F77A53">
        <w:rPr>
          <w:rFonts w:ascii="Arial" w:hAnsi="Arial" w:cs="Arial"/>
          <w:szCs w:val="28"/>
        </w:rPr>
        <w:t xml:space="preserve">. </w:t>
      </w:r>
      <w:r>
        <w:rPr>
          <w:rFonts w:ascii="Arial" w:hAnsi="Arial" w:cs="Arial"/>
          <w:szCs w:val="28"/>
        </w:rPr>
        <w:t xml:space="preserve">The number of people living in social housing for the disadvantaged comparator </w:t>
      </w:r>
      <w:proofErr w:type="spellStart"/>
      <w:r>
        <w:rPr>
          <w:rFonts w:ascii="Arial" w:hAnsi="Arial" w:cs="Arial"/>
          <w:szCs w:val="28"/>
        </w:rPr>
        <w:t>neighbourhoods</w:t>
      </w:r>
      <w:proofErr w:type="spellEnd"/>
      <w:r>
        <w:rPr>
          <w:rFonts w:ascii="Arial" w:hAnsi="Arial" w:cs="Arial"/>
          <w:szCs w:val="28"/>
        </w:rPr>
        <w:t xml:space="preserve"> did not differ from expected values</w:t>
      </w:r>
      <w:r w:rsidR="00C17E44">
        <w:rPr>
          <w:rFonts w:ascii="Arial" w:hAnsi="Arial" w:cs="Arial"/>
          <w:szCs w:val="28"/>
        </w:rPr>
        <w:t xml:space="preserve"> </w:t>
      </w:r>
      <w:r>
        <w:rPr>
          <w:rFonts w:ascii="Arial" w:hAnsi="Arial" w:cs="Arial"/>
          <w:szCs w:val="28"/>
        </w:rPr>
        <w:t>[</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=4319) =1.6</w:t>
      </w:r>
      <w:r w:rsidRPr="00D915DA">
        <w:rPr>
          <w:rFonts w:ascii="Arial" w:hAnsi="Arial" w:cs="Arial"/>
          <w:szCs w:val="28"/>
        </w:rPr>
        <w:t xml:space="preserve">, </w:t>
      </w:r>
      <w:r>
        <w:rPr>
          <w:rFonts w:ascii="Arial" w:hAnsi="Arial" w:cs="Arial"/>
          <w:i/>
          <w:szCs w:val="28"/>
        </w:rPr>
        <w:t>ns</w:t>
      </w:r>
      <w:r>
        <w:rPr>
          <w:rFonts w:ascii="Arial" w:hAnsi="Arial" w:cs="Arial"/>
          <w:szCs w:val="28"/>
        </w:rPr>
        <w:t xml:space="preserve">]. </w:t>
      </w:r>
    </w:p>
    <w:p w14:paraId="291E2048" w14:textId="77777777" w:rsidR="009C55CB" w:rsidRDefault="009C55CB" w:rsidP="009C55CB">
      <w:pPr>
        <w:spacing w:after="0"/>
        <w:jc w:val="both"/>
        <w:rPr>
          <w:rFonts w:ascii="Arial" w:hAnsi="Arial" w:cs="Arial"/>
          <w:szCs w:val="28"/>
        </w:rPr>
      </w:pPr>
      <w:r>
        <w:rPr>
          <w:rFonts w:ascii="Arial" w:hAnsi="Arial" w:cs="Arial"/>
          <w:szCs w:val="28"/>
        </w:rPr>
        <w:tab/>
        <w:t xml:space="preserve">There was an overall association between “having problems with condensation” and </w:t>
      </w:r>
      <w:proofErr w:type="spellStart"/>
      <w:r>
        <w:rPr>
          <w:rFonts w:ascii="Arial" w:hAnsi="Arial" w:cs="Arial"/>
          <w:szCs w:val="28"/>
        </w:rPr>
        <w:t>neighbourhood</w:t>
      </w:r>
      <w:proofErr w:type="spellEnd"/>
      <w:r>
        <w:rPr>
          <w:rFonts w:ascii="Arial" w:hAnsi="Arial" w:cs="Arial"/>
          <w:szCs w:val="28"/>
        </w:rPr>
        <w:t xml:space="preserve"> type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=4205) =6.25</w:t>
      </w:r>
      <w:r w:rsidRPr="00D915DA">
        <w:rPr>
          <w:rFonts w:ascii="Arial" w:hAnsi="Arial" w:cs="Arial"/>
          <w:szCs w:val="28"/>
        </w:rPr>
        <w:t xml:space="preserve">, </w:t>
      </w:r>
      <w:r w:rsidRPr="00D915DA">
        <w:rPr>
          <w:rFonts w:ascii="Arial" w:hAnsi="Arial" w:cs="Arial"/>
          <w:i/>
          <w:szCs w:val="28"/>
        </w:rPr>
        <w:t>p</w:t>
      </w:r>
      <w:r>
        <w:rPr>
          <w:rFonts w:ascii="Arial" w:hAnsi="Arial" w:cs="Arial"/>
          <w:szCs w:val="28"/>
        </w:rPr>
        <w:t xml:space="preserve">&lt;.05]. However, follow-up tests revealed no individual proportions were significant at the 0.05 level for any </w:t>
      </w:r>
      <w:proofErr w:type="spellStart"/>
      <w:r>
        <w:rPr>
          <w:rFonts w:ascii="Arial" w:hAnsi="Arial" w:cs="Arial"/>
          <w:szCs w:val="28"/>
        </w:rPr>
        <w:t>neighbourhood</w:t>
      </w:r>
      <w:proofErr w:type="spellEnd"/>
      <w:r>
        <w:rPr>
          <w:rFonts w:ascii="Arial" w:hAnsi="Arial" w:cs="Arial"/>
          <w:szCs w:val="28"/>
        </w:rPr>
        <w:t xml:space="preserve"> type. Reports of </w:t>
      </w:r>
      <w:proofErr w:type="spellStart"/>
      <w:r>
        <w:rPr>
          <w:rFonts w:ascii="Arial" w:hAnsi="Arial" w:cs="Arial"/>
          <w:szCs w:val="28"/>
        </w:rPr>
        <w:t>mould</w:t>
      </w:r>
      <w:proofErr w:type="spellEnd"/>
      <w:r>
        <w:rPr>
          <w:rFonts w:ascii="Arial" w:hAnsi="Arial" w:cs="Arial"/>
          <w:szCs w:val="28"/>
        </w:rPr>
        <w:t xml:space="preserve"> showed an association with </w:t>
      </w:r>
      <w:proofErr w:type="spellStart"/>
      <w:r>
        <w:rPr>
          <w:rFonts w:ascii="Arial" w:hAnsi="Arial" w:cs="Arial"/>
          <w:szCs w:val="28"/>
        </w:rPr>
        <w:t>neighbourhood</w:t>
      </w:r>
      <w:proofErr w:type="spellEnd"/>
      <w:r>
        <w:rPr>
          <w:rFonts w:ascii="Arial" w:hAnsi="Arial" w:cs="Arial"/>
          <w:szCs w:val="28"/>
        </w:rPr>
        <w:t xml:space="preserve"> type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=4224) =20.77, </w:t>
      </w:r>
      <w:r w:rsidRPr="00D915DA">
        <w:rPr>
          <w:rFonts w:ascii="Arial" w:hAnsi="Arial" w:cs="Arial"/>
          <w:i/>
          <w:szCs w:val="28"/>
        </w:rPr>
        <w:t>p</w:t>
      </w:r>
      <w:r>
        <w:rPr>
          <w:rFonts w:ascii="Arial" w:hAnsi="Arial" w:cs="Arial"/>
          <w:szCs w:val="28"/>
        </w:rPr>
        <w:t xml:space="preserve">&lt;0.001]. The number of people reporting </w:t>
      </w:r>
      <w:proofErr w:type="spellStart"/>
      <w:r>
        <w:rPr>
          <w:rFonts w:ascii="Arial" w:hAnsi="Arial" w:cs="Arial"/>
          <w:szCs w:val="28"/>
        </w:rPr>
        <w:t>mould</w:t>
      </w:r>
      <w:proofErr w:type="spellEnd"/>
      <w:r>
        <w:rPr>
          <w:rFonts w:ascii="Arial" w:hAnsi="Arial" w:cs="Arial"/>
          <w:szCs w:val="28"/>
        </w:rPr>
        <w:t xml:space="preserve"> in the relative advantaged </w:t>
      </w:r>
      <w:proofErr w:type="spellStart"/>
      <w:r>
        <w:rPr>
          <w:rFonts w:ascii="Arial" w:hAnsi="Arial" w:cs="Arial"/>
          <w:szCs w:val="28"/>
        </w:rPr>
        <w:t>neighbourhoods</w:t>
      </w:r>
      <w:proofErr w:type="spellEnd"/>
      <w:r>
        <w:rPr>
          <w:rFonts w:ascii="Arial" w:hAnsi="Arial" w:cs="Arial"/>
          <w:szCs w:val="28"/>
        </w:rPr>
        <w:t xml:space="preserve"> was lower than expected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 4205) =11.3</w:t>
      </w:r>
      <w:r w:rsidRPr="00D915DA">
        <w:rPr>
          <w:rFonts w:ascii="Arial" w:hAnsi="Arial" w:cs="Arial"/>
          <w:szCs w:val="28"/>
        </w:rPr>
        <w:t xml:space="preserve">, </w:t>
      </w:r>
      <w:r w:rsidRPr="00D915DA">
        <w:rPr>
          <w:rFonts w:ascii="Arial" w:hAnsi="Arial" w:cs="Arial"/>
          <w:i/>
          <w:szCs w:val="28"/>
        </w:rPr>
        <w:t>p</w:t>
      </w:r>
      <w:r>
        <w:rPr>
          <w:rFonts w:ascii="Arial" w:hAnsi="Arial" w:cs="Arial"/>
          <w:szCs w:val="28"/>
        </w:rPr>
        <w:t xml:space="preserve">&lt;0.01]. A similar pattern was observed when assessing the frequencies of people reporting problems with keeping warm in winter across </w:t>
      </w:r>
      <w:proofErr w:type="spellStart"/>
      <w:r>
        <w:rPr>
          <w:rFonts w:ascii="Arial" w:hAnsi="Arial" w:cs="Arial"/>
          <w:szCs w:val="28"/>
        </w:rPr>
        <w:t>neighbourhood</w:t>
      </w:r>
      <w:proofErr w:type="spellEnd"/>
      <w:r>
        <w:rPr>
          <w:rFonts w:ascii="Arial" w:hAnsi="Arial" w:cs="Arial"/>
          <w:szCs w:val="28"/>
        </w:rPr>
        <w:t xml:space="preserve"> types. The overall association was significant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 4233)=53.88, </w:t>
      </w:r>
      <w:r w:rsidRPr="00D915DA">
        <w:rPr>
          <w:rFonts w:ascii="Arial" w:hAnsi="Arial" w:cs="Arial"/>
          <w:i/>
          <w:szCs w:val="28"/>
        </w:rPr>
        <w:t>p</w:t>
      </w:r>
      <w:r>
        <w:rPr>
          <w:rFonts w:ascii="Arial" w:hAnsi="Arial" w:cs="Arial"/>
          <w:szCs w:val="28"/>
        </w:rPr>
        <w:t xml:space="preserve">&lt;0.001] and follow-up tests revealed that in the </w:t>
      </w:r>
      <w:proofErr w:type="spellStart"/>
      <w:r>
        <w:rPr>
          <w:rFonts w:ascii="Arial" w:hAnsi="Arial" w:cs="Arial"/>
          <w:szCs w:val="28"/>
        </w:rPr>
        <w:t>NfLs</w:t>
      </w:r>
      <w:proofErr w:type="spellEnd"/>
      <w:r>
        <w:rPr>
          <w:rFonts w:ascii="Arial" w:hAnsi="Arial" w:cs="Arial"/>
          <w:szCs w:val="28"/>
        </w:rPr>
        <w:t xml:space="preserve"> there were more reports of heating problems than expected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=4205) =17</w:t>
      </w:r>
      <w:r w:rsidRPr="00D915DA">
        <w:rPr>
          <w:rFonts w:ascii="Arial" w:hAnsi="Arial" w:cs="Arial"/>
          <w:szCs w:val="28"/>
        </w:rPr>
        <w:t xml:space="preserve">, </w:t>
      </w:r>
      <w:r w:rsidRPr="00D915DA">
        <w:rPr>
          <w:rFonts w:ascii="Arial" w:hAnsi="Arial" w:cs="Arial"/>
          <w:i/>
          <w:szCs w:val="28"/>
        </w:rPr>
        <w:t>p</w:t>
      </w:r>
      <w:r>
        <w:rPr>
          <w:rFonts w:ascii="Arial" w:hAnsi="Arial" w:cs="Arial"/>
          <w:szCs w:val="28"/>
        </w:rPr>
        <w:t xml:space="preserve">&lt;0.01], whilst there were fewer reports than expected in the relatively advantaged </w:t>
      </w:r>
      <w:proofErr w:type="spellStart"/>
      <w:r>
        <w:rPr>
          <w:rFonts w:ascii="Arial" w:hAnsi="Arial" w:cs="Arial"/>
          <w:szCs w:val="28"/>
        </w:rPr>
        <w:t>neighbourhoods</w:t>
      </w:r>
      <w:proofErr w:type="spellEnd"/>
      <w:r>
        <w:rPr>
          <w:rFonts w:ascii="Arial" w:hAnsi="Arial" w:cs="Arial"/>
          <w:szCs w:val="28"/>
        </w:rPr>
        <w:t xml:space="preserve">,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 4205</w:t>
      </w:r>
      <w:r w:rsidRPr="00D915DA">
        <w:rPr>
          <w:rFonts w:ascii="Arial" w:hAnsi="Arial" w:cs="Arial"/>
          <w:szCs w:val="28"/>
        </w:rPr>
        <w:t xml:space="preserve">) = </w:t>
      </w:r>
      <w:r>
        <w:rPr>
          <w:rFonts w:ascii="Arial" w:hAnsi="Arial" w:cs="Arial"/>
          <w:szCs w:val="28"/>
        </w:rPr>
        <w:t>32.7</w:t>
      </w:r>
      <w:r w:rsidRPr="00D915DA">
        <w:rPr>
          <w:rFonts w:ascii="Arial" w:hAnsi="Arial" w:cs="Arial"/>
          <w:szCs w:val="28"/>
        </w:rPr>
        <w:t xml:space="preserve">, </w:t>
      </w:r>
      <w:r w:rsidRPr="00D915DA">
        <w:rPr>
          <w:rFonts w:ascii="Arial" w:hAnsi="Arial" w:cs="Arial"/>
          <w:i/>
          <w:szCs w:val="28"/>
        </w:rPr>
        <w:t>p</w:t>
      </w:r>
      <w:r w:rsidRPr="00D915DA">
        <w:rPr>
          <w:rFonts w:ascii="Arial" w:hAnsi="Arial" w:cs="Arial"/>
          <w:szCs w:val="28"/>
        </w:rPr>
        <w:t xml:space="preserve"> </w:t>
      </w:r>
      <w:r>
        <w:rPr>
          <w:rFonts w:ascii="Arial" w:hAnsi="Arial" w:cs="Arial"/>
          <w:szCs w:val="28"/>
        </w:rPr>
        <w:t xml:space="preserve">&lt;0.01. The number of people who reported problems keeping warm in the disadvantaged comparator </w:t>
      </w:r>
      <w:proofErr w:type="spellStart"/>
      <w:r>
        <w:rPr>
          <w:rFonts w:ascii="Arial" w:hAnsi="Arial" w:cs="Arial"/>
          <w:szCs w:val="28"/>
        </w:rPr>
        <w:t>neighbourhoods</w:t>
      </w:r>
      <w:proofErr w:type="spellEnd"/>
      <w:r>
        <w:rPr>
          <w:rFonts w:ascii="Arial" w:hAnsi="Arial" w:cs="Arial"/>
          <w:szCs w:val="28"/>
        </w:rPr>
        <w:t xml:space="preserve"> did not differ from expected values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Pr>
          <w:rFonts w:ascii="Arial" w:hAnsi="Arial" w:cs="Arial"/>
          <w:szCs w:val="28"/>
        </w:rPr>
        <w:t xml:space="preserve"> =4205</w:t>
      </w:r>
      <w:r w:rsidRPr="00D915DA">
        <w:rPr>
          <w:rFonts w:ascii="Arial" w:hAnsi="Arial" w:cs="Arial"/>
          <w:szCs w:val="28"/>
        </w:rPr>
        <w:t>) =</w:t>
      </w:r>
      <w:r>
        <w:rPr>
          <w:rFonts w:ascii="Arial" w:hAnsi="Arial" w:cs="Arial"/>
          <w:szCs w:val="28"/>
        </w:rPr>
        <w:t>.3</w:t>
      </w:r>
      <w:r w:rsidRPr="00D915DA">
        <w:rPr>
          <w:rFonts w:ascii="Arial" w:hAnsi="Arial" w:cs="Arial"/>
          <w:szCs w:val="28"/>
        </w:rPr>
        <w:t xml:space="preserve">, </w:t>
      </w:r>
      <w:r w:rsidR="00137F53">
        <w:rPr>
          <w:rFonts w:ascii="Arial" w:hAnsi="Arial" w:cs="Arial"/>
          <w:i/>
          <w:szCs w:val="28"/>
        </w:rPr>
        <w:t>ns</w:t>
      </w:r>
      <w:r>
        <w:rPr>
          <w:rFonts w:ascii="Arial" w:hAnsi="Arial" w:cs="Arial"/>
          <w:szCs w:val="28"/>
        </w:rPr>
        <w:t xml:space="preserve">].   </w:t>
      </w:r>
    </w:p>
    <w:p w14:paraId="03C93709" w14:textId="77777777" w:rsidR="009C55CB" w:rsidRDefault="00C17E44" w:rsidP="009C55CB">
      <w:pPr>
        <w:spacing w:after="0"/>
        <w:ind w:firstLine="720"/>
        <w:jc w:val="both"/>
        <w:outlineLvl w:val="0"/>
        <w:rPr>
          <w:rFonts w:ascii="Arial" w:hAnsi="Arial" w:cs="Arial"/>
          <w:szCs w:val="28"/>
        </w:rPr>
      </w:pPr>
      <w:r>
        <w:rPr>
          <w:rFonts w:ascii="Arial" w:hAnsi="Arial" w:cs="Arial"/>
          <w:szCs w:val="28"/>
        </w:rPr>
        <w:t>Consistent with the W</w:t>
      </w:r>
      <w:r w:rsidR="009C55CB">
        <w:rPr>
          <w:rFonts w:ascii="Arial" w:hAnsi="Arial" w:cs="Arial"/>
          <w:szCs w:val="28"/>
        </w:rPr>
        <w:t xml:space="preserve">ave 1 data, there was an uneven distribution of people in social housing across </w:t>
      </w:r>
      <w:r w:rsidR="00137F53">
        <w:rPr>
          <w:rFonts w:ascii="Arial" w:hAnsi="Arial" w:cs="Arial"/>
          <w:szCs w:val="28"/>
        </w:rPr>
        <w:t xml:space="preserve">the two </w:t>
      </w:r>
      <w:proofErr w:type="spellStart"/>
      <w:r w:rsidR="00137F53">
        <w:rPr>
          <w:rFonts w:ascii="Arial" w:hAnsi="Arial" w:cs="Arial"/>
          <w:szCs w:val="28"/>
        </w:rPr>
        <w:t>neighbourhood</w:t>
      </w:r>
      <w:proofErr w:type="spellEnd"/>
      <w:r w:rsidR="00137F53">
        <w:rPr>
          <w:rFonts w:ascii="Arial" w:hAnsi="Arial" w:cs="Arial"/>
          <w:szCs w:val="28"/>
        </w:rPr>
        <w:t xml:space="preserve"> types in W</w:t>
      </w:r>
      <w:r w:rsidR="009C55CB">
        <w:rPr>
          <w:rFonts w:ascii="Arial" w:hAnsi="Arial" w:cs="Arial"/>
          <w:szCs w:val="28"/>
        </w:rPr>
        <w:t>ave 2, χ</w:t>
      </w:r>
      <w:r w:rsidR="009C55CB" w:rsidRPr="00FA2A24">
        <w:rPr>
          <w:rFonts w:ascii="Arial" w:hAnsi="Arial" w:cs="Arial"/>
          <w:szCs w:val="28"/>
          <w:vertAlign w:val="superscript"/>
        </w:rPr>
        <w:t>2</w:t>
      </w:r>
      <w:r w:rsidR="009C55CB">
        <w:rPr>
          <w:rFonts w:ascii="Arial" w:hAnsi="Arial" w:cs="Arial"/>
          <w:szCs w:val="28"/>
        </w:rPr>
        <w:t xml:space="preserve">(1, </w:t>
      </w:r>
      <w:r w:rsidR="009C55CB" w:rsidRPr="00FA2A24">
        <w:rPr>
          <w:rFonts w:ascii="Arial" w:hAnsi="Arial" w:cs="Arial"/>
          <w:i/>
          <w:szCs w:val="28"/>
        </w:rPr>
        <w:t>N</w:t>
      </w:r>
      <w:r w:rsidR="001E1DE7">
        <w:rPr>
          <w:rFonts w:ascii="Arial" w:hAnsi="Arial" w:cs="Arial"/>
          <w:szCs w:val="28"/>
        </w:rPr>
        <w:t xml:space="preserve"> = 3412) =</w:t>
      </w:r>
      <w:r w:rsidR="009C55CB">
        <w:rPr>
          <w:rFonts w:ascii="Arial" w:hAnsi="Arial" w:cs="Arial"/>
          <w:szCs w:val="28"/>
        </w:rPr>
        <w:t xml:space="preserve">65.81, </w:t>
      </w:r>
      <w:r w:rsidR="009C55CB" w:rsidRPr="004E1546">
        <w:rPr>
          <w:rFonts w:ascii="Arial" w:hAnsi="Arial" w:cs="Arial"/>
          <w:i/>
          <w:szCs w:val="28"/>
        </w:rPr>
        <w:t>p</w:t>
      </w:r>
      <w:r w:rsidR="009C55CB">
        <w:rPr>
          <w:rFonts w:ascii="Arial" w:hAnsi="Arial" w:cs="Arial"/>
          <w:szCs w:val="28"/>
        </w:rPr>
        <w:t xml:space="preserve">&lt;.001. There were significantly more people than expected living in social housing in the </w:t>
      </w:r>
      <w:proofErr w:type="spellStart"/>
      <w:r w:rsidR="009C55CB">
        <w:rPr>
          <w:rFonts w:ascii="Arial" w:hAnsi="Arial" w:cs="Arial"/>
          <w:szCs w:val="28"/>
        </w:rPr>
        <w:t>NfLs</w:t>
      </w:r>
      <w:proofErr w:type="spellEnd"/>
      <w:r w:rsidR="009C55CB">
        <w:rPr>
          <w:rFonts w:ascii="Arial" w:hAnsi="Arial" w:cs="Arial"/>
          <w:szCs w:val="28"/>
        </w:rPr>
        <w:t xml:space="preserve"> [</w:t>
      </w:r>
      <w:r w:rsidR="009C55CB" w:rsidRPr="00E73820">
        <w:rPr>
          <w:rFonts w:ascii="Arial" w:hAnsi="Arial" w:cs="Arial"/>
          <w:szCs w:val="28"/>
        </w:rPr>
        <w:t>χ</w:t>
      </w:r>
      <w:r w:rsidR="009C55CB" w:rsidRPr="00E73820">
        <w:rPr>
          <w:rFonts w:ascii="Arial" w:hAnsi="Arial" w:cs="Arial"/>
          <w:szCs w:val="28"/>
          <w:vertAlign w:val="superscript"/>
        </w:rPr>
        <w:t>2</w:t>
      </w:r>
      <w:r w:rsidR="009C55CB" w:rsidRPr="00E73820">
        <w:rPr>
          <w:rFonts w:ascii="Arial" w:hAnsi="Arial" w:cs="Arial"/>
          <w:szCs w:val="28"/>
        </w:rPr>
        <w:t xml:space="preserve"> </w:t>
      </w:r>
      <w:r w:rsidR="009C55CB">
        <w:rPr>
          <w:rFonts w:ascii="Arial" w:hAnsi="Arial" w:cs="Arial"/>
          <w:szCs w:val="28"/>
        </w:rPr>
        <w:t>(1</w:t>
      </w:r>
      <w:r w:rsidR="009C55CB" w:rsidRPr="00E73820">
        <w:rPr>
          <w:rFonts w:ascii="Arial" w:hAnsi="Arial" w:cs="Arial"/>
          <w:szCs w:val="28"/>
        </w:rPr>
        <w:t xml:space="preserve">, </w:t>
      </w:r>
      <w:r w:rsidR="009C55CB" w:rsidRPr="00E73820">
        <w:rPr>
          <w:rFonts w:ascii="Arial" w:hAnsi="Arial" w:cs="Arial"/>
          <w:i/>
          <w:szCs w:val="28"/>
        </w:rPr>
        <w:t>N</w:t>
      </w:r>
      <w:r w:rsidR="009C55CB" w:rsidRPr="00E73820">
        <w:rPr>
          <w:rFonts w:ascii="Arial" w:hAnsi="Arial" w:cs="Arial"/>
          <w:szCs w:val="28"/>
        </w:rPr>
        <w:t xml:space="preserve"> = </w:t>
      </w:r>
      <w:r w:rsidR="009C55CB">
        <w:rPr>
          <w:rFonts w:ascii="Arial" w:hAnsi="Arial" w:cs="Arial"/>
          <w:szCs w:val="28"/>
        </w:rPr>
        <w:t>3412</w:t>
      </w:r>
      <w:r w:rsidR="009C55CB" w:rsidRPr="00E73820">
        <w:rPr>
          <w:rFonts w:ascii="Arial" w:hAnsi="Arial" w:cs="Arial"/>
          <w:szCs w:val="28"/>
        </w:rPr>
        <w:t xml:space="preserve">) = </w:t>
      </w:r>
      <w:r w:rsidR="009C55CB">
        <w:rPr>
          <w:rFonts w:ascii="Arial" w:hAnsi="Arial" w:cs="Arial"/>
          <w:szCs w:val="28"/>
        </w:rPr>
        <w:t>16.6</w:t>
      </w:r>
      <w:r w:rsidR="009C55CB" w:rsidRPr="00E73820">
        <w:rPr>
          <w:rFonts w:ascii="Arial" w:hAnsi="Arial" w:cs="Arial"/>
          <w:szCs w:val="28"/>
        </w:rPr>
        <w:t xml:space="preserve">, </w:t>
      </w:r>
      <w:r w:rsidR="009C55CB" w:rsidRPr="00E73820">
        <w:rPr>
          <w:rFonts w:ascii="Arial" w:hAnsi="Arial" w:cs="Arial"/>
          <w:i/>
          <w:szCs w:val="28"/>
        </w:rPr>
        <w:t>p</w:t>
      </w:r>
      <w:r w:rsidR="009C55CB">
        <w:rPr>
          <w:rFonts w:ascii="Arial" w:hAnsi="Arial" w:cs="Arial"/>
          <w:i/>
          <w:szCs w:val="28"/>
        </w:rPr>
        <w:t xml:space="preserve"> </w:t>
      </w:r>
      <w:r w:rsidR="009C55CB" w:rsidRPr="00E73820">
        <w:rPr>
          <w:rFonts w:ascii="Arial" w:hAnsi="Arial" w:cs="Arial"/>
          <w:szCs w:val="28"/>
        </w:rPr>
        <w:t>&lt;</w:t>
      </w:r>
      <w:r w:rsidR="009C55CB">
        <w:rPr>
          <w:rFonts w:ascii="Arial" w:hAnsi="Arial" w:cs="Arial"/>
          <w:szCs w:val="28"/>
        </w:rPr>
        <w:t>0</w:t>
      </w:r>
      <w:r w:rsidR="009C55CB" w:rsidRPr="00E73820">
        <w:rPr>
          <w:rFonts w:ascii="Arial" w:hAnsi="Arial" w:cs="Arial"/>
          <w:szCs w:val="28"/>
        </w:rPr>
        <w:t>.05</w:t>
      </w:r>
      <w:r w:rsidR="009C55CB">
        <w:rPr>
          <w:rFonts w:ascii="Arial" w:hAnsi="Arial" w:cs="Arial"/>
          <w:szCs w:val="28"/>
        </w:rPr>
        <w:t xml:space="preserve">] and significantly fewer people than expected living in social housing in the deprived comparator </w:t>
      </w:r>
      <w:proofErr w:type="spellStart"/>
      <w:r w:rsidR="009C55CB">
        <w:rPr>
          <w:rFonts w:ascii="Arial" w:hAnsi="Arial" w:cs="Arial"/>
          <w:szCs w:val="28"/>
        </w:rPr>
        <w:t>neighbourhoods</w:t>
      </w:r>
      <w:proofErr w:type="spellEnd"/>
      <w:r w:rsidR="009C55CB">
        <w:rPr>
          <w:rFonts w:ascii="Arial" w:hAnsi="Arial" w:cs="Arial"/>
          <w:szCs w:val="28"/>
        </w:rPr>
        <w:t xml:space="preserve">, </w:t>
      </w:r>
      <w:r w:rsidR="009C55CB" w:rsidRPr="00E73820">
        <w:rPr>
          <w:rFonts w:ascii="Arial" w:hAnsi="Arial" w:cs="Arial"/>
          <w:szCs w:val="28"/>
        </w:rPr>
        <w:t>χ</w:t>
      </w:r>
      <w:r w:rsidR="009C55CB" w:rsidRPr="00E73820">
        <w:rPr>
          <w:rFonts w:ascii="Arial" w:hAnsi="Arial" w:cs="Arial"/>
          <w:szCs w:val="28"/>
          <w:vertAlign w:val="superscript"/>
        </w:rPr>
        <w:t>2</w:t>
      </w:r>
      <w:r w:rsidR="009C55CB" w:rsidRPr="00E73820">
        <w:rPr>
          <w:rFonts w:ascii="Arial" w:hAnsi="Arial" w:cs="Arial"/>
          <w:szCs w:val="28"/>
        </w:rPr>
        <w:t xml:space="preserve"> </w:t>
      </w:r>
      <w:r w:rsidR="009C55CB">
        <w:rPr>
          <w:rFonts w:ascii="Arial" w:hAnsi="Arial" w:cs="Arial"/>
          <w:szCs w:val="28"/>
        </w:rPr>
        <w:t>(1</w:t>
      </w:r>
      <w:r w:rsidR="009C55CB" w:rsidRPr="00E73820">
        <w:rPr>
          <w:rFonts w:ascii="Arial" w:hAnsi="Arial" w:cs="Arial"/>
          <w:szCs w:val="28"/>
        </w:rPr>
        <w:t xml:space="preserve">, </w:t>
      </w:r>
      <w:r w:rsidR="009C55CB" w:rsidRPr="00E73820">
        <w:rPr>
          <w:rFonts w:ascii="Arial" w:hAnsi="Arial" w:cs="Arial"/>
          <w:i/>
          <w:szCs w:val="28"/>
        </w:rPr>
        <w:t>N</w:t>
      </w:r>
      <w:r w:rsidR="009C55CB" w:rsidRPr="00E73820">
        <w:rPr>
          <w:rFonts w:ascii="Arial" w:hAnsi="Arial" w:cs="Arial"/>
          <w:szCs w:val="28"/>
        </w:rPr>
        <w:t xml:space="preserve"> = </w:t>
      </w:r>
      <w:r w:rsidR="009C55CB">
        <w:rPr>
          <w:rFonts w:ascii="Arial" w:hAnsi="Arial" w:cs="Arial"/>
          <w:szCs w:val="28"/>
        </w:rPr>
        <w:t>3412</w:t>
      </w:r>
      <w:r w:rsidR="009C55CB" w:rsidRPr="00E73820">
        <w:rPr>
          <w:rFonts w:ascii="Arial" w:hAnsi="Arial" w:cs="Arial"/>
          <w:szCs w:val="28"/>
        </w:rPr>
        <w:t xml:space="preserve">) = </w:t>
      </w:r>
      <w:r w:rsidR="009C55CB">
        <w:rPr>
          <w:rFonts w:ascii="Arial" w:hAnsi="Arial" w:cs="Arial"/>
          <w:szCs w:val="28"/>
        </w:rPr>
        <w:t>65.81</w:t>
      </w:r>
      <w:r w:rsidR="009C55CB" w:rsidRPr="00E73820">
        <w:rPr>
          <w:rFonts w:ascii="Arial" w:hAnsi="Arial" w:cs="Arial"/>
          <w:szCs w:val="28"/>
        </w:rPr>
        <w:t xml:space="preserve">, </w:t>
      </w:r>
      <w:r w:rsidR="009C55CB" w:rsidRPr="00E73820">
        <w:rPr>
          <w:rFonts w:ascii="Arial" w:hAnsi="Arial" w:cs="Arial"/>
          <w:i/>
          <w:szCs w:val="28"/>
        </w:rPr>
        <w:t>p</w:t>
      </w:r>
      <w:r w:rsidR="009C55CB">
        <w:rPr>
          <w:rFonts w:ascii="Arial" w:hAnsi="Arial" w:cs="Arial"/>
          <w:i/>
          <w:szCs w:val="28"/>
        </w:rPr>
        <w:t xml:space="preserve"> </w:t>
      </w:r>
      <w:r w:rsidR="009C55CB" w:rsidRPr="00E73820">
        <w:rPr>
          <w:rFonts w:ascii="Arial" w:hAnsi="Arial" w:cs="Arial"/>
          <w:szCs w:val="28"/>
        </w:rPr>
        <w:t>&lt;.05</w:t>
      </w:r>
      <w:r w:rsidR="009C55CB">
        <w:rPr>
          <w:rFonts w:ascii="Arial" w:hAnsi="Arial" w:cs="Arial"/>
          <w:szCs w:val="28"/>
        </w:rPr>
        <w:t xml:space="preserve">. </w:t>
      </w:r>
    </w:p>
    <w:p w14:paraId="595115AE" w14:textId="77777777" w:rsidR="009C55CB" w:rsidRPr="00C326E0" w:rsidRDefault="009C55CB" w:rsidP="009C55CB">
      <w:pPr>
        <w:spacing w:after="0"/>
        <w:jc w:val="both"/>
        <w:rPr>
          <w:rFonts w:ascii="Arial" w:hAnsi="Arial" w:cs="Arial"/>
          <w:szCs w:val="28"/>
        </w:rPr>
      </w:pPr>
      <w:r>
        <w:rPr>
          <w:rFonts w:ascii="Arial" w:hAnsi="Arial" w:cs="Arial"/>
          <w:szCs w:val="28"/>
        </w:rPr>
        <w:t xml:space="preserve">  </w:t>
      </w:r>
      <w:r w:rsidRPr="00D915DA">
        <w:rPr>
          <w:rFonts w:ascii="Arial" w:hAnsi="Arial" w:cs="Arial"/>
          <w:szCs w:val="28"/>
        </w:rPr>
        <w:t xml:space="preserve"> </w:t>
      </w:r>
    </w:p>
    <w:p w14:paraId="16B9A402" w14:textId="77777777" w:rsidR="009C55CB" w:rsidRPr="0055460C" w:rsidRDefault="009C55CB" w:rsidP="009C55CB">
      <w:pPr>
        <w:spacing w:after="0"/>
        <w:jc w:val="both"/>
        <w:outlineLvl w:val="0"/>
        <w:rPr>
          <w:rFonts w:ascii="Arial" w:hAnsi="Arial" w:cs="Arial"/>
          <w:b/>
          <w:i/>
          <w:szCs w:val="28"/>
        </w:rPr>
      </w:pPr>
      <w:r w:rsidRPr="0055460C">
        <w:rPr>
          <w:rFonts w:ascii="Arial" w:hAnsi="Arial" w:cs="Arial"/>
          <w:b/>
          <w:i/>
          <w:szCs w:val="28"/>
        </w:rPr>
        <w:t>Work and finances</w:t>
      </w:r>
    </w:p>
    <w:p w14:paraId="6AD59480" w14:textId="77777777" w:rsidR="009C55CB" w:rsidRPr="00C326E0" w:rsidRDefault="009C55CB" w:rsidP="009C55CB">
      <w:pPr>
        <w:jc w:val="both"/>
        <w:rPr>
          <w:rFonts w:ascii="Arial" w:hAnsi="Arial" w:cs="Arial"/>
        </w:rPr>
      </w:pPr>
      <w:r>
        <w:rPr>
          <w:rFonts w:ascii="Arial" w:hAnsi="Arial" w:cs="Arial"/>
          <w:szCs w:val="28"/>
        </w:rPr>
        <w:lastRenderedPageBreak/>
        <w:t xml:space="preserve">An overall chi-square test revealed that financial struggle was associated with </w:t>
      </w:r>
      <w:proofErr w:type="spellStart"/>
      <w:r>
        <w:rPr>
          <w:rFonts w:ascii="Arial" w:hAnsi="Arial" w:cs="Arial"/>
          <w:szCs w:val="28"/>
        </w:rPr>
        <w:t>neighbourhood</w:t>
      </w:r>
      <w:proofErr w:type="spellEnd"/>
      <w:r>
        <w:rPr>
          <w:rFonts w:ascii="Arial" w:hAnsi="Arial" w:cs="Arial"/>
          <w:szCs w:val="28"/>
        </w:rPr>
        <w:t xml:space="preserve"> type [</w:t>
      </w:r>
      <w:r w:rsidRPr="00D915DA">
        <w:rPr>
          <w:rFonts w:ascii="Arial" w:hAnsi="Arial" w:cs="Arial"/>
          <w:szCs w:val="28"/>
        </w:rPr>
        <w:t>χ</w:t>
      </w:r>
      <w:r w:rsidRPr="00FA2A24">
        <w:rPr>
          <w:rFonts w:ascii="Arial" w:hAnsi="Arial" w:cs="Arial"/>
          <w:szCs w:val="28"/>
          <w:vertAlign w:val="superscript"/>
        </w:rPr>
        <w:t>2</w:t>
      </w:r>
      <w:r w:rsidRPr="00D915DA">
        <w:rPr>
          <w:rFonts w:ascii="Arial" w:hAnsi="Arial" w:cs="Arial"/>
          <w:szCs w:val="28"/>
        </w:rPr>
        <w:t xml:space="preserve"> (2</w:t>
      </w:r>
      <w:r>
        <w:rPr>
          <w:rFonts w:ascii="Arial" w:hAnsi="Arial" w:cs="Arial"/>
          <w:szCs w:val="28"/>
        </w:rPr>
        <w:t xml:space="preserve">, </w:t>
      </w:r>
      <w:r w:rsidRPr="00FA2A24">
        <w:rPr>
          <w:rFonts w:ascii="Arial" w:hAnsi="Arial" w:cs="Arial"/>
          <w:i/>
          <w:szCs w:val="28"/>
        </w:rPr>
        <w:t>N</w:t>
      </w:r>
      <w:r w:rsidR="00137F53">
        <w:rPr>
          <w:rFonts w:ascii="Arial" w:hAnsi="Arial" w:cs="Arial"/>
          <w:szCs w:val="28"/>
        </w:rPr>
        <w:t xml:space="preserve"> =</w:t>
      </w:r>
      <w:r>
        <w:rPr>
          <w:rFonts w:ascii="Arial" w:hAnsi="Arial" w:cs="Arial"/>
          <w:szCs w:val="28"/>
        </w:rPr>
        <w:t>4279) =19.44</w:t>
      </w:r>
      <w:r w:rsidRPr="00D915DA">
        <w:rPr>
          <w:rFonts w:ascii="Arial" w:hAnsi="Arial" w:cs="Arial"/>
          <w:szCs w:val="28"/>
        </w:rPr>
        <w:t xml:space="preserve">, </w:t>
      </w:r>
      <w:r w:rsidRPr="00D915DA">
        <w:rPr>
          <w:rFonts w:ascii="Arial" w:hAnsi="Arial" w:cs="Arial"/>
          <w:i/>
          <w:szCs w:val="28"/>
        </w:rPr>
        <w:t>p</w:t>
      </w:r>
      <w:r>
        <w:rPr>
          <w:rFonts w:ascii="Arial" w:hAnsi="Arial" w:cs="Arial"/>
          <w:szCs w:val="28"/>
        </w:rPr>
        <w:t xml:space="preserve">=.001]. However, follow-up tests revealed that no individual proportions were significant at the 0.05 level. </w:t>
      </w:r>
      <w:r w:rsidR="00137F53">
        <w:rPr>
          <w:rFonts w:ascii="Arial" w:hAnsi="Arial" w:cs="Arial"/>
        </w:rPr>
        <w:t>In W</w:t>
      </w:r>
      <w:r>
        <w:rPr>
          <w:rFonts w:ascii="Arial" w:hAnsi="Arial" w:cs="Arial"/>
        </w:rPr>
        <w:t xml:space="preserve">ave 2, the proportion of people experiencing various levels of financial struggles was consistent across the </w:t>
      </w:r>
      <w:proofErr w:type="spellStart"/>
      <w:r>
        <w:rPr>
          <w:rFonts w:ascii="Arial" w:hAnsi="Arial" w:cs="Arial"/>
        </w:rPr>
        <w:t>neighbourhood</w:t>
      </w:r>
      <w:proofErr w:type="spellEnd"/>
      <w:r>
        <w:rPr>
          <w:rFonts w:ascii="Arial" w:hAnsi="Arial" w:cs="Arial"/>
        </w:rPr>
        <w:t xml:space="preserve"> types, </w:t>
      </w:r>
      <w:r>
        <w:rPr>
          <w:rFonts w:ascii="Arial" w:hAnsi="Arial" w:cs="Arial"/>
          <w:szCs w:val="28"/>
        </w:rPr>
        <w:t>χ</w:t>
      </w:r>
      <w:r w:rsidRPr="00FA2A24">
        <w:rPr>
          <w:rFonts w:ascii="Arial" w:hAnsi="Arial" w:cs="Arial"/>
          <w:szCs w:val="28"/>
          <w:vertAlign w:val="superscript"/>
        </w:rPr>
        <w:t>2</w:t>
      </w:r>
      <w:r>
        <w:rPr>
          <w:rFonts w:ascii="Arial" w:hAnsi="Arial" w:cs="Arial"/>
          <w:szCs w:val="28"/>
        </w:rPr>
        <w:t xml:space="preserve">(2, </w:t>
      </w:r>
      <w:r w:rsidRPr="00FA2A24">
        <w:rPr>
          <w:rFonts w:ascii="Arial" w:hAnsi="Arial" w:cs="Arial"/>
          <w:i/>
          <w:szCs w:val="28"/>
        </w:rPr>
        <w:t>N</w:t>
      </w:r>
      <w:r w:rsidR="001E1DE7">
        <w:rPr>
          <w:rFonts w:ascii="Arial" w:hAnsi="Arial" w:cs="Arial"/>
          <w:szCs w:val="28"/>
        </w:rPr>
        <w:t xml:space="preserve"> = 3386) =3.29</w:t>
      </w:r>
      <w:r>
        <w:rPr>
          <w:rFonts w:ascii="Arial" w:hAnsi="Arial" w:cs="Arial"/>
          <w:szCs w:val="28"/>
        </w:rPr>
        <w:t xml:space="preserve">, </w:t>
      </w:r>
      <w:r w:rsidRPr="004E1546">
        <w:rPr>
          <w:rFonts w:ascii="Arial" w:hAnsi="Arial" w:cs="Arial"/>
          <w:i/>
          <w:szCs w:val="28"/>
        </w:rPr>
        <w:t>p</w:t>
      </w:r>
      <w:r w:rsidR="00137F53">
        <w:rPr>
          <w:rFonts w:ascii="Arial" w:hAnsi="Arial" w:cs="Arial"/>
          <w:szCs w:val="28"/>
        </w:rPr>
        <w:t>=</w:t>
      </w:r>
      <w:r>
        <w:rPr>
          <w:rFonts w:ascii="Arial" w:hAnsi="Arial" w:cs="Arial"/>
          <w:szCs w:val="28"/>
        </w:rPr>
        <w:t>.345</w:t>
      </w:r>
    </w:p>
    <w:p w14:paraId="1EAEE00C" w14:textId="77777777" w:rsidR="009C55CB" w:rsidRDefault="009C55CB" w:rsidP="009C55CB">
      <w:pPr>
        <w:spacing w:after="0"/>
        <w:jc w:val="both"/>
        <w:rPr>
          <w:rFonts w:ascii="Arial" w:hAnsi="Arial" w:cs="Arial"/>
          <w:szCs w:val="28"/>
        </w:rPr>
      </w:pPr>
    </w:p>
    <w:p w14:paraId="35D5F56A" w14:textId="77777777" w:rsidR="009C55CB" w:rsidRPr="0055460C" w:rsidRDefault="009C55CB" w:rsidP="009C55CB">
      <w:pPr>
        <w:spacing w:after="0"/>
        <w:jc w:val="both"/>
        <w:outlineLvl w:val="0"/>
        <w:rPr>
          <w:rFonts w:ascii="Arial" w:hAnsi="Arial" w:cs="Arial"/>
          <w:b/>
          <w:i/>
          <w:szCs w:val="28"/>
        </w:rPr>
      </w:pPr>
      <w:r w:rsidRPr="0055460C">
        <w:rPr>
          <w:rFonts w:ascii="Arial" w:hAnsi="Arial" w:cs="Arial"/>
          <w:b/>
          <w:i/>
          <w:szCs w:val="28"/>
        </w:rPr>
        <w:t>Healthcare Service Usage</w:t>
      </w:r>
    </w:p>
    <w:p w14:paraId="6C34C12A" w14:textId="77777777" w:rsidR="009C55CB" w:rsidRDefault="00B3597A" w:rsidP="009C55CB">
      <w:pPr>
        <w:spacing w:after="0"/>
        <w:jc w:val="both"/>
        <w:rPr>
          <w:rFonts w:ascii="Arial" w:hAnsi="Arial" w:cs="Arial"/>
          <w:szCs w:val="28"/>
        </w:rPr>
      </w:pPr>
      <w:r>
        <w:rPr>
          <w:rFonts w:ascii="Arial" w:hAnsi="Arial" w:cs="Arial"/>
          <w:szCs w:val="28"/>
        </w:rPr>
        <w:t>In W</w:t>
      </w:r>
      <w:r w:rsidR="009C55CB">
        <w:rPr>
          <w:rFonts w:ascii="Arial" w:hAnsi="Arial" w:cs="Arial"/>
          <w:szCs w:val="28"/>
        </w:rPr>
        <w:t xml:space="preserve">ave 1, the overall percentage of people </w:t>
      </w:r>
      <w:r w:rsidR="0086300B">
        <w:rPr>
          <w:rFonts w:ascii="Arial" w:hAnsi="Arial" w:cs="Arial"/>
          <w:szCs w:val="28"/>
        </w:rPr>
        <w:t xml:space="preserve">in our survey, </w:t>
      </w:r>
      <w:r w:rsidR="009C55CB">
        <w:rPr>
          <w:rFonts w:ascii="Arial" w:hAnsi="Arial" w:cs="Arial"/>
          <w:szCs w:val="28"/>
        </w:rPr>
        <w:t xml:space="preserve">who reported attending A&amp;E </w:t>
      </w:r>
      <w:r w:rsidR="0086300B">
        <w:rPr>
          <w:rFonts w:ascii="Arial" w:hAnsi="Arial" w:cs="Arial"/>
          <w:szCs w:val="28"/>
        </w:rPr>
        <w:t xml:space="preserve">or visiting a GP in the past 12 months </w:t>
      </w:r>
      <w:r w:rsidR="009C55CB">
        <w:rPr>
          <w:rFonts w:ascii="Arial" w:hAnsi="Arial" w:cs="Arial"/>
          <w:szCs w:val="28"/>
        </w:rPr>
        <w:t xml:space="preserve">was 25.75%, and 69.23% </w:t>
      </w:r>
      <w:r w:rsidR="0086300B">
        <w:rPr>
          <w:rFonts w:ascii="Arial" w:hAnsi="Arial" w:cs="Arial"/>
          <w:szCs w:val="28"/>
        </w:rPr>
        <w:t>respectively</w:t>
      </w:r>
      <w:r w:rsidR="009C55CB">
        <w:rPr>
          <w:rFonts w:ascii="Arial" w:hAnsi="Arial" w:cs="Arial"/>
          <w:szCs w:val="28"/>
        </w:rPr>
        <w:t xml:space="preserve">. </w:t>
      </w:r>
      <w:r w:rsidR="001501BA">
        <w:rPr>
          <w:rFonts w:ascii="Arial" w:hAnsi="Arial" w:cs="Arial"/>
          <w:szCs w:val="28"/>
        </w:rPr>
        <w:t xml:space="preserve">21.4% of participants visited both A&amp;E and their GP, 51.9% visited one of these two services, and 26.3% visited neither A&amp;E nor their GP in the previous 12 months. </w:t>
      </w:r>
      <w:r w:rsidR="009C55CB" w:rsidRPr="00F77A53">
        <w:rPr>
          <w:rFonts w:ascii="Arial" w:hAnsi="Arial" w:cs="Arial"/>
          <w:szCs w:val="28"/>
        </w:rPr>
        <w:t xml:space="preserve">There was a significant association between </w:t>
      </w:r>
      <w:proofErr w:type="spellStart"/>
      <w:r w:rsidR="009C55CB" w:rsidRPr="00F77A53">
        <w:rPr>
          <w:rFonts w:ascii="Arial" w:hAnsi="Arial" w:cs="Arial"/>
          <w:szCs w:val="28"/>
        </w:rPr>
        <w:t>neighbourhood</w:t>
      </w:r>
      <w:proofErr w:type="spellEnd"/>
      <w:r w:rsidR="009C55CB" w:rsidRPr="00F77A53">
        <w:rPr>
          <w:rFonts w:ascii="Arial" w:hAnsi="Arial" w:cs="Arial"/>
          <w:szCs w:val="28"/>
        </w:rPr>
        <w:t xml:space="preserve"> type and A&amp;E attendance</w:t>
      </w:r>
      <w:r w:rsidR="009C55CB">
        <w:rPr>
          <w:rFonts w:ascii="Arial" w:hAnsi="Arial" w:cs="Arial"/>
          <w:szCs w:val="28"/>
        </w:rPr>
        <w:t xml:space="preserve"> [</w:t>
      </w:r>
      <w:r w:rsidR="009C55CB" w:rsidRPr="00D915DA">
        <w:rPr>
          <w:rFonts w:ascii="Arial" w:hAnsi="Arial" w:cs="Arial"/>
          <w:szCs w:val="28"/>
        </w:rPr>
        <w:t>χ</w:t>
      </w:r>
      <w:r w:rsidR="009C55CB" w:rsidRPr="00FA2A24">
        <w:rPr>
          <w:rFonts w:ascii="Arial" w:hAnsi="Arial" w:cs="Arial"/>
          <w:szCs w:val="28"/>
          <w:vertAlign w:val="superscript"/>
        </w:rPr>
        <w:t>2</w:t>
      </w:r>
      <w:r w:rsidR="009C55CB" w:rsidRPr="00D915DA">
        <w:rPr>
          <w:rFonts w:ascii="Arial" w:hAnsi="Arial" w:cs="Arial"/>
          <w:szCs w:val="28"/>
        </w:rPr>
        <w:t xml:space="preserve"> (2</w:t>
      </w:r>
      <w:r w:rsidR="009C55CB">
        <w:rPr>
          <w:rFonts w:ascii="Arial" w:hAnsi="Arial" w:cs="Arial"/>
          <w:szCs w:val="28"/>
        </w:rPr>
        <w:t xml:space="preserve">, </w:t>
      </w:r>
      <w:r w:rsidR="009C55CB" w:rsidRPr="00FA2A24">
        <w:rPr>
          <w:rFonts w:ascii="Arial" w:hAnsi="Arial" w:cs="Arial"/>
          <w:i/>
          <w:szCs w:val="28"/>
        </w:rPr>
        <w:t>N</w:t>
      </w:r>
      <w:r w:rsidR="00137F53">
        <w:rPr>
          <w:rFonts w:ascii="Arial" w:hAnsi="Arial" w:cs="Arial"/>
          <w:szCs w:val="28"/>
        </w:rPr>
        <w:t>=</w:t>
      </w:r>
      <w:r w:rsidR="009C55CB">
        <w:rPr>
          <w:rFonts w:ascii="Arial" w:hAnsi="Arial" w:cs="Arial"/>
          <w:szCs w:val="28"/>
        </w:rPr>
        <w:t>4307) =15.64</w:t>
      </w:r>
      <w:r w:rsidR="009C55CB" w:rsidRPr="00D915DA">
        <w:rPr>
          <w:rFonts w:ascii="Arial" w:hAnsi="Arial" w:cs="Arial"/>
          <w:szCs w:val="28"/>
        </w:rPr>
        <w:t xml:space="preserve">, </w:t>
      </w:r>
      <w:r w:rsidR="009C55CB" w:rsidRPr="00D915DA">
        <w:rPr>
          <w:rFonts w:ascii="Arial" w:hAnsi="Arial" w:cs="Arial"/>
          <w:i/>
          <w:szCs w:val="28"/>
        </w:rPr>
        <w:t>p</w:t>
      </w:r>
      <w:r w:rsidR="009C55CB">
        <w:rPr>
          <w:rFonts w:ascii="Arial" w:hAnsi="Arial" w:cs="Arial"/>
          <w:szCs w:val="28"/>
        </w:rPr>
        <w:t xml:space="preserve">&lt;.001]. Follow-up tests indicated that there were lower than expected numbers of people attending A&amp;E in relatively advantaged </w:t>
      </w:r>
      <w:proofErr w:type="spellStart"/>
      <w:r w:rsidR="009C55CB">
        <w:rPr>
          <w:rFonts w:ascii="Arial" w:hAnsi="Arial" w:cs="Arial"/>
          <w:szCs w:val="28"/>
        </w:rPr>
        <w:t>neighbourhoods</w:t>
      </w:r>
      <w:proofErr w:type="spellEnd"/>
      <w:r w:rsidR="009C55CB">
        <w:rPr>
          <w:rFonts w:ascii="Arial" w:hAnsi="Arial" w:cs="Arial"/>
          <w:szCs w:val="28"/>
        </w:rPr>
        <w:t xml:space="preserve"> [χ</w:t>
      </w:r>
      <w:r w:rsidR="009C55CB" w:rsidRPr="00FA2A24">
        <w:rPr>
          <w:rFonts w:ascii="Arial" w:hAnsi="Arial" w:cs="Arial"/>
          <w:szCs w:val="28"/>
          <w:vertAlign w:val="superscript"/>
        </w:rPr>
        <w:t>2</w:t>
      </w:r>
      <w:r w:rsidR="009C55CB">
        <w:rPr>
          <w:rFonts w:ascii="Arial" w:hAnsi="Arial" w:cs="Arial"/>
          <w:szCs w:val="28"/>
        </w:rPr>
        <w:t xml:space="preserve">(2, </w:t>
      </w:r>
      <w:r w:rsidR="009C55CB" w:rsidRPr="00FA2A24">
        <w:rPr>
          <w:rFonts w:ascii="Arial" w:hAnsi="Arial" w:cs="Arial"/>
          <w:i/>
          <w:szCs w:val="28"/>
        </w:rPr>
        <w:t>N</w:t>
      </w:r>
      <w:r w:rsidR="00137F53">
        <w:rPr>
          <w:rFonts w:ascii="Arial" w:hAnsi="Arial" w:cs="Arial"/>
          <w:szCs w:val="28"/>
        </w:rPr>
        <w:t xml:space="preserve"> =</w:t>
      </w:r>
      <w:r w:rsidR="009C55CB">
        <w:rPr>
          <w:rFonts w:ascii="Arial" w:hAnsi="Arial" w:cs="Arial"/>
          <w:szCs w:val="28"/>
        </w:rPr>
        <w:t xml:space="preserve">4307) =9.3, </w:t>
      </w:r>
      <w:r w:rsidR="009C55CB" w:rsidRPr="004E1546">
        <w:rPr>
          <w:rFonts w:ascii="Arial" w:hAnsi="Arial" w:cs="Arial"/>
          <w:i/>
          <w:szCs w:val="28"/>
        </w:rPr>
        <w:t>p</w:t>
      </w:r>
      <w:r w:rsidR="009C55CB">
        <w:rPr>
          <w:rFonts w:ascii="Arial" w:hAnsi="Arial" w:cs="Arial"/>
          <w:szCs w:val="28"/>
        </w:rPr>
        <w:t xml:space="preserve">&lt;.01], but proportions of A&amp;E attendance in the </w:t>
      </w:r>
      <w:proofErr w:type="spellStart"/>
      <w:r w:rsidR="009C55CB">
        <w:rPr>
          <w:rFonts w:ascii="Arial" w:hAnsi="Arial" w:cs="Arial"/>
          <w:szCs w:val="28"/>
        </w:rPr>
        <w:t>NfLs</w:t>
      </w:r>
      <w:proofErr w:type="spellEnd"/>
      <w:r w:rsidR="009C55CB">
        <w:rPr>
          <w:rFonts w:ascii="Arial" w:hAnsi="Arial" w:cs="Arial"/>
          <w:szCs w:val="28"/>
        </w:rPr>
        <w:t xml:space="preserve"> and disadvantaged comparator </w:t>
      </w:r>
      <w:proofErr w:type="spellStart"/>
      <w:r w:rsidR="009C55CB">
        <w:rPr>
          <w:rFonts w:ascii="Arial" w:hAnsi="Arial" w:cs="Arial"/>
          <w:szCs w:val="28"/>
        </w:rPr>
        <w:t>neighbourhoods</w:t>
      </w:r>
      <w:proofErr w:type="spellEnd"/>
      <w:r w:rsidR="009C55CB">
        <w:rPr>
          <w:rFonts w:ascii="Arial" w:hAnsi="Arial" w:cs="Arial"/>
          <w:szCs w:val="28"/>
        </w:rPr>
        <w:t xml:space="preserve"> were not different from expected values.</w:t>
      </w:r>
      <w:r w:rsidR="009C55CB" w:rsidRPr="00F77A53">
        <w:rPr>
          <w:rFonts w:ascii="Arial" w:hAnsi="Arial" w:cs="Arial"/>
          <w:szCs w:val="28"/>
        </w:rPr>
        <w:t xml:space="preserve"> </w:t>
      </w:r>
      <w:r w:rsidR="009C55CB">
        <w:rPr>
          <w:rFonts w:ascii="Arial" w:hAnsi="Arial" w:cs="Arial"/>
          <w:szCs w:val="28"/>
        </w:rPr>
        <w:t xml:space="preserve">GP attendance rates were not significantly related to </w:t>
      </w:r>
      <w:proofErr w:type="spellStart"/>
      <w:r w:rsidR="009C55CB">
        <w:rPr>
          <w:rFonts w:ascii="Arial" w:hAnsi="Arial" w:cs="Arial"/>
          <w:szCs w:val="28"/>
        </w:rPr>
        <w:t>neighbourhood</w:t>
      </w:r>
      <w:proofErr w:type="spellEnd"/>
      <w:r w:rsidR="009C55CB">
        <w:rPr>
          <w:rFonts w:ascii="Arial" w:hAnsi="Arial" w:cs="Arial"/>
          <w:szCs w:val="28"/>
        </w:rPr>
        <w:t xml:space="preserve"> type [χ</w:t>
      </w:r>
      <w:r w:rsidR="009C55CB" w:rsidRPr="00FA2A24">
        <w:rPr>
          <w:rFonts w:ascii="Arial" w:hAnsi="Arial" w:cs="Arial"/>
          <w:szCs w:val="28"/>
          <w:vertAlign w:val="superscript"/>
        </w:rPr>
        <w:t>2</w:t>
      </w:r>
      <w:r w:rsidR="009C55CB">
        <w:rPr>
          <w:rFonts w:ascii="Arial" w:hAnsi="Arial" w:cs="Arial"/>
          <w:szCs w:val="28"/>
        </w:rPr>
        <w:t xml:space="preserve"> (2, </w:t>
      </w:r>
      <w:r w:rsidR="009C55CB" w:rsidRPr="00FA2A24">
        <w:rPr>
          <w:rFonts w:ascii="Arial" w:hAnsi="Arial" w:cs="Arial"/>
          <w:i/>
          <w:szCs w:val="28"/>
        </w:rPr>
        <w:t>N</w:t>
      </w:r>
      <w:r w:rsidR="00137F53">
        <w:rPr>
          <w:rFonts w:ascii="Arial" w:hAnsi="Arial" w:cs="Arial"/>
          <w:szCs w:val="28"/>
        </w:rPr>
        <w:t xml:space="preserve"> =</w:t>
      </w:r>
      <w:r w:rsidR="009C55CB">
        <w:rPr>
          <w:rFonts w:ascii="Arial" w:hAnsi="Arial" w:cs="Arial"/>
          <w:szCs w:val="28"/>
        </w:rPr>
        <w:t xml:space="preserve">4307) =1.62, </w:t>
      </w:r>
      <w:r w:rsidR="009C55CB" w:rsidRPr="004E1546">
        <w:rPr>
          <w:rFonts w:ascii="Arial" w:hAnsi="Arial" w:cs="Arial"/>
          <w:i/>
          <w:szCs w:val="28"/>
        </w:rPr>
        <w:t>p</w:t>
      </w:r>
      <w:r w:rsidR="009C55CB">
        <w:rPr>
          <w:rFonts w:ascii="Arial" w:hAnsi="Arial" w:cs="Arial"/>
          <w:szCs w:val="28"/>
        </w:rPr>
        <w:t xml:space="preserve">=.444]. </w:t>
      </w:r>
    </w:p>
    <w:p w14:paraId="3EE36A69" w14:textId="77777777" w:rsidR="009C55CB" w:rsidRDefault="00B3597A" w:rsidP="009C55CB">
      <w:pPr>
        <w:ind w:firstLine="720"/>
        <w:jc w:val="both"/>
        <w:rPr>
          <w:rFonts w:ascii="Arial" w:hAnsi="Arial" w:cs="Arial"/>
          <w:szCs w:val="28"/>
        </w:rPr>
      </w:pPr>
      <w:r>
        <w:rPr>
          <w:rFonts w:ascii="Arial" w:hAnsi="Arial" w:cs="Arial"/>
        </w:rPr>
        <w:t>In W</w:t>
      </w:r>
      <w:r w:rsidR="009C55CB">
        <w:rPr>
          <w:rFonts w:ascii="Arial" w:hAnsi="Arial" w:cs="Arial"/>
        </w:rPr>
        <w:t xml:space="preserve">ave 2, 24.33% of respondents reported attending A&amp;E in the previous 12 months and 62.43% of respondents visited their GP. A&amp;E attendances varied according to </w:t>
      </w:r>
      <w:proofErr w:type="spellStart"/>
      <w:r w:rsidR="009C55CB">
        <w:rPr>
          <w:rFonts w:ascii="Arial" w:hAnsi="Arial" w:cs="Arial"/>
        </w:rPr>
        <w:t>neighbourhood</w:t>
      </w:r>
      <w:proofErr w:type="spellEnd"/>
      <w:r w:rsidR="009C55CB">
        <w:rPr>
          <w:rFonts w:ascii="Arial" w:hAnsi="Arial" w:cs="Arial"/>
        </w:rPr>
        <w:t xml:space="preserve"> type, </w:t>
      </w:r>
      <w:r w:rsidR="009C55CB">
        <w:rPr>
          <w:rFonts w:ascii="Arial" w:hAnsi="Arial" w:cs="Arial"/>
          <w:szCs w:val="28"/>
        </w:rPr>
        <w:t>χ</w:t>
      </w:r>
      <w:r w:rsidR="009C55CB" w:rsidRPr="00FA2A24">
        <w:rPr>
          <w:rFonts w:ascii="Arial" w:hAnsi="Arial" w:cs="Arial"/>
          <w:szCs w:val="28"/>
          <w:vertAlign w:val="superscript"/>
        </w:rPr>
        <w:t>2</w:t>
      </w:r>
      <w:r w:rsidR="009C55CB">
        <w:rPr>
          <w:rFonts w:ascii="Arial" w:hAnsi="Arial" w:cs="Arial"/>
          <w:szCs w:val="28"/>
        </w:rPr>
        <w:t xml:space="preserve">(1, </w:t>
      </w:r>
      <w:r w:rsidR="009C55CB" w:rsidRPr="00FA2A24">
        <w:rPr>
          <w:rFonts w:ascii="Arial" w:hAnsi="Arial" w:cs="Arial"/>
          <w:i/>
          <w:szCs w:val="28"/>
        </w:rPr>
        <w:t>N</w:t>
      </w:r>
      <w:r w:rsidR="009C55CB">
        <w:rPr>
          <w:rFonts w:ascii="Arial" w:hAnsi="Arial" w:cs="Arial"/>
          <w:szCs w:val="28"/>
        </w:rPr>
        <w:t xml:space="preserve"> =3402) = 4.88, </w:t>
      </w:r>
      <w:r w:rsidR="009C55CB" w:rsidRPr="004E1546">
        <w:rPr>
          <w:rFonts w:ascii="Arial" w:hAnsi="Arial" w:cs="Arial"/>
          <w:i/>
          <w:szCs w:val="28"/>
        </w:rPr>
        <w:t>p</w:t>
      </w:r>
      <w:r w:rsidR="009C55CB">
        <w:rPr>
          <w:rFonts w:ascii="Arial" w:hAnsi="Arial" w:cs="Arial"/>
          <w:szCs w:val="28"/>
        </w:rPr>
        <w:t>=0.027, as did GP attendances, χ</w:t>
      </w:r>
      <w:r w:rsidR="009C55CB" w:rsidRPr="00FA2A24">
        <w:rPr>
          <w:rFonts w:ascii="Arial" w:hAnsi="Arial" w:cs="Arial"/>
          <w:szCs w:val="28"/>
          <w:vertAlign w:val="superscript"/>
        </w:rPr>
        <w:t>2</w:t>
      </w:r>
      <w:r w:rsidR="009C55CB">
        <w:rPr>
          <w:rFonts w:ascii="Arial" w:hAnsi="Arial" w:cs="Arial"/>
          <w:szCs w:val="28"/>
        </w:rPr>
        <w:t xml:space="preserve">(1, </w:t>
      </w:r>
      <w:r w:rsidR="009C55CB" w:rsidRPr="00FA2A24">
        <w:rPr>
          <w:rFonts w:ascii="Arial" w:hAnsi="Arial" w:cs="Arial"/>
          <w:i/>
          <w:szCs w:val="28"/>
        </w:rPr>
        <w:t>N</w:t>
      </w:r>
      <w:r w:rsidR="00137F53">
        <w:rPr>
          <w:rFonts w:ascii="Arial" w:hAnsi="Arial" w:cs="Arial"/>
          <w:szCs w:val="28"/>
        </w:rPr>
        <w:t>=</w:t>
      </w:r>
      <w:r w:rsidR="00DC12F0">
        <w:rPr>
          <w:rFonts w:ascii="Arial" w:hAnsi="Arial" w:cs="Arial"/>
          <w:szCs w:val="28"/>
        </w:rPr>
        <w:t>3401) =</w:t>
      </w:r>
      <w:r w:rsidR="009C55CB">
        <w:rPr>
          <w:rFonts w:ascii="Arial" w:hAnsi="Arial" w:cs="Arial"/>
          <w:szCs w:val="28"/>
        </w:rPr>
        <w:t xml:space="preserve">5.80, </w:t>
      </w:r>
      <w:r w:rsidR="009C55CB" w:rsidRPr="004E1546">
        <w:rPr>
          <w:rFonts w:ascii="Arial" w:hAnsi="Arial" w:cs="Arial"/>
          <w:i/>
          <w:szCs w:val="28"/>
        </w:rPr>
        <w:t>p</w:t>
      </w:r>
      <w:r w:rsidR="00137F53">
        <w:rPr>
          <w:rFonts w:ascii="Arial" w:hAnsi="Arial" w:cs="Arial"/>
          <w:szCs w:val="28"/>
        </w:rPr>
        <w:t>=</w:t>
      </w:r>
      <w:r w:rsidR="009C55CB">
        <w:rPr>
          <w:rFonts w:ascii="Arial" w:hAnsi="Arial" w:cs="Arial"/>
          <w:szCs w:val="28"/>
        </w:rPr>
        <w:t>.016. However, no individual frequency was significantly different to the expected value for either type of service use, χ</w:t>
      </w:r>
      <w:r w:rsidR="009C55CB" w:rsidRPr="00FA2A24">
        <w:rPr>
          <w:rFonts w:ascii="Arial" w:hAnsi="Arial" w:cs="Arial"/>
          <w:szCs w:val="28"/>
          <w:vertAlign w:val="superscript"/>
        </w:rPr>
        <w:t>2</w:t>
      </w:r>
      <w:r w:rsidR="009C55CB" w:rsidRPr="00050211">
        <w:rPr>
          <w:rFonts w:ascii="Arial" w:hAnsi="Arial" w:cs="Arial"/>
          <w:szCs w:val="28"/>
        </w:rPr>
        <w:t xml:space="preserve"> ‘s</w:t>
      </w:r>
      <w:r w:rsidR="001E1DE7">
        <w:rPr>
          <w:rFonts w:ascii="Arial" w:hAnsi="Arial" w:cs="Arial"/>
          <w:szCs w:val="28"/>
        </w:rPr>
        <w:t xml:space="preserve"> &lt;2.3, p’s &gt;</w:t>
      </w:r>
      <w:r w:rsidR="009C55CB">
        <w:rPr>
          <w:rFonts w:ascii="Arial" w:hAnsi="Arial" w:cs="Arial"/>
          <w:szCs w:val="28"/>
        </w:rPr>
        <w:t xml:space="preserve">.05. </w:t>
      </w:r>
      <w:r>
        <w:rPr>
          <w:rFonts w:ascii="Arial" w:hAnsi="Arial" w:cs="Arial"/>
          <w:szCs w:val="28"/>
        </w:rPr>
        <w:t xml:space="preserve">Previous analysis of the data showed that poor housing and unemployment were linked to increased A&amp;E attendance rates </w:t>
      </w:r>
      <w:r w:rsidR="001E10D5">
        <w:rPr>
          <w:rFonts w:ascii="Arial" w:hAnsi="Arial" w:cs="Arial"/>
          <w:szCs w:val="28"/>
        </w:rPr>
        <w:t>[19</w:t>
      </w:r>
      <w:r w:rsidR="00787E19">
        <w:rPr>
          <w:rFonts w:ascii="Arial" w:hAnsi="Arial" w:cs="Arial"/>
          <w:szCs w:val="28"/>
        </w:rPr>
        <w:t>]</w:t>
      </w:r>
      <w:r>
        <w:rPr>
          <w:rFonts w:ascii="Arial" w:hAnsi="Arial" w:cs="Arial"/>
          <w:szCs w:val="28"/>
        </w:rPr>
        <w:t xml:space="preserve">, </w:t>
      </w:r>
      <w:r w:rsidR="003C62D3">
        <w:rPr>
          <w:rFonts w:ascii="Arial" w:hAnsi="Arial" w:cs="Arial"/>
          <w:szCs w:val="28"/>
        </w:rPr>
        <w:t>whereas those from an ethnic minority background had a 39% lower risk of attending A&amp;E</w:t>
      </w:r>
      <w:r>
        <w:rPr>
          <w:rFonts w:ascii="Arial" w:hAnsi="Arial" w:cs="Arial"/>
          <w:szCs w:val="28"/>
        </w:rPr>
        <w:t xml:space="preserve"> </w:t>
      </w:r>
      <w:r w:rsidR="001E10D5">
        <w:rPr>
          <w:rFonts w:ascii="Arial" w:hAnsi="Arial" w:cs="Arial"/>
          <w:szCs w:val="28"/>
        </w:rPr>
        <w:t>[20</w:t>
      </w:r>
      <w:r w:rsidR="00787E19">
        <w:rPr>
          <w:rFonts w:ascii="Arial" w:hAnsi="Arial" w:cs="Arial"/>
          <w:szCs w:val="28"/>
        </w:rPr>
        <w:t>]</w:t>
      </w:r>
      <w:r>
        <w:rPr>
          <w:rFonts w:ascii="Arial" w:hAnsi="Arial" w:cs="Arial"/>
          <w:szCs w:val="28"/>
        </w:rPr>
        <w:t xml:space="preserve">. </w:t>
      </w:r>
      <w:r w:rsidR="009C55CB">
        <w:rPr>
          <w:rFonts w:ascii="Arial" w:hAnsi="Arial" w:cs="Arial"/>
          <w:szCs w:val="28"/>
        </w:rPr>
        <w:t xml:space="preserve">     </w:t>
      </w:r>
    </w:p>
    <w:p w14:paraId="35760541" w14:textId="77777777" w:rsidR="00DB269B" w:rsidRDefault="00DB269B" w:rsidP="009C55CB">
      <w:pPr>
        <w:spacing w:after="0"/>
        <w:jc w:val="both"/>
        <w:rPr>
          <w:rFonts w:ascii="Arial" w:hAnsi="Arial" w:cs="Arial"/>
          <w:szCs w:val="28"/>
        </w:rPr>
      </w:pPr>
    </w:p>
    <w:p w14:paraId="0BB4508E" w14:textId="77777777" w:rsidR="0056097A" w:rsidRDefault="0056097A" w:rsidP="00C45834">
      <w:pPr>
        <w:outlineLvl w:val="0"/>
        <w:rPr>
          <w:rFonts w:ascii="Arial" w:hAnsi="Arial" w:cs="Arial"/>
          <w:b/>
          <w:sz w:val="24"/>
          <w:szCs w:val="28"/>
        </w:rPr>
      </w:pPr>
      <w:r>
        <w:rPr>
          <w:rFonts w:ascii="Arial" w:hAnsi="Arial" w:cs="Arial"/>
          <w:b/>
          <w:sz w:val="24"/>
          <w:szCs w:val="28"/>
        </w:rPr>
        <w:t>Discussion</w:t>
      </w:r>
    </w:p>
    <w:p w14:paraId="1F830512" w14:textId="77777777" w:rsidR="00376891" w:rsidRDefault="00376891" w:rsidP="00581176">
      <w:pPr>
        <w:spacing w:after="0"/>
        <w:jc w:val="both"/>
        <w:rPr>
          <w:rFonts w:ascii="Arial" w:hAnsi="Arial" w:cs="Arial"/>
          <w:szCs w:val="28"/>
        </w:rPr>
      </w:pPr>
      <w:r>
        <w:rPr>
          <w:rFonts w:ascii="Arial" w:hAnsi="Arial" w:cs="Arial"/>
          <w:szCs w:val="28"/>
        </w:rPr>
        <w:t xml:space="preserve">This study reports the first overarching findings of the longitudinal NWC HHS, which explores health inequalities in accessing health and social care services in some of the most disadvantaged </w:t>
      </w:r>
      <w:proofErr w:type="spellStart"/>
      <w:r>
        <w:rPr>
          <w:rFonts w:ascii="Arial" w:hAnsi="Arial" w:cs="Arial"/>
          <w:szCs w:val="28"/>
        </w:rPr>
        <w:t>neighbourhoods</w:t>
      </w:r>
      <w:proofErr w:type="spellEnd"/>
      <w:r>
        <w:rPr>
          <w:rFonts w:ascii="Arial" w:hAnsi="Arial" w:cs="Arial"/>
          <w:szCs w:val="28"/>
        </w:rPr>
        <w:t xml:space="preserve"> in the country.</w:t>
      </w:r>
    </w:p>
    <w:p w14:paraId="006640D6" w14:textId="77777777" w:rsidR="00581176" w:rsidRDefault="00581176" w:rsidP="00581176">
      <w:pPr>
        <w:spacing w:after="0"/>
        <w:ind w:firstLine="720"/>
        <w:jc w:val="both"/>
        <w:rPr>
          <w:rFonts w:ascii="Arial" w:hAnsi="Arial" w:cs="Arial"/>
          <w:szCs w:val="28"/>
        </w:rPr>
      </w:pPr>
      <w:r>
        <w:rPr>
          <w:rFonts w:ascii="Arial" w:hAnsi="Arial" w:cs="Arial"/>
          <w:szCs w:val="28"/>
        </w:rPr>
        <w:t xml:space="preserve">This longitudinal survey captures a broad range of variables ranging from mental and physical health to socioeconomic factors in some of the most socio-economically disadvantaged areas of England [13]. The design process of this survey was unique in that a range of stakeholders contributed to the survey development, including researchers, local authority partners, NHS partners and to a more limited extent, members of the public. The in-depth and collaborative design process and the subsequent conduct of the survey were strongly supported by the collaborative structure of the lead research </w:t>
      </w:r>
      <w:proofErr w:type="spellStart"/>
      <w:r>
        <w:rPr>
          <w:rFonts w:ascii="Arial" w:hAnsi="Arial" w:cs="Arial"/>
          <w:szCs w:val="28"/>
        </w:rPr>
        <w:t>organisation</w:t>
      </w:r>
      <w:proofErr w:type="spellEnd"/>
      <w:r>
        <w:rPr>
          <w:rFonts w:ascii="Arial" w:hAnsi="Arial" w:cs="Arial"/>
          <w:szCs w:val="28"/>
        </w:rPr>
        <w:t xml:space="preserve">, the CLAHRC NWC. The very foundation of the CLAHRC is collaboration between researchers, health professionals, and other partner </w:t>
      </w:r>
      <w:proofErr w:type="spellStart"/>
      <w:r>
        <w:rPr>
          <w:rFonts w:ascii="Arial" w:hAnsi="Arial" w:cs="Arial"/>
          <w:szCs w:val="28"/>
        </w:rPr>
        <w:t>organisations</w:t>
      </w:r>
      <w:proofErr w:type="spellEnd"/>
      <w:r>
        <w:rPr>
          <w:rFonts w:ascii="Arial" w:hAnsi="Arial" w:cs="Arial"/>
          <w:szCs w:val="28"/>
        </w:rPr>
        <w:t>, thereby facilitating co-produced research and building capacity in non-research partners. Co-production has been shown in other health research to be beneficial because it allows the experiences of people with a condition and trained staff to shape services and research [</w:t>
      </w:r>
      <w:r w:rsidR="00B52451">
        <w:rPr>
          <w:rFonts w:ascii="Arial" w:hAnsi="Arial" w:cs="Arial"/>
          <w:szCs w:val="28"/>
        </w:rPr>
        <w:t>21,22</w:t>
      </w:r>
      <w:r>
        <w:rPr>
          <w:rFonts w:ascii="Arial" w:hAnsi="Arial" w:cs="Arial"/>
          <w:szCs w:val="28"/>
        </w:rPr>
        <w:t xml:space="preserve">]. Similarly, here, we found that different perspectives improved the quality of the research and its dissemination, whilst being mindful of limited co-production in the design </w:t>
      </w:r>
      <w:r>
        <w:rPr>
          <w:rFonts w:ascii="Arial" w:hAnsi="Arial" w:cs="Arial"/>
          <w:szCs w:val="28"/>
        </w:rPr>
        <w:lastRenderedPageBreak/>
        <w:t xml:space="preserve">and implementation stages with some local authorities and the potential impact on lower survey response rates in those areas. This could be addressed by more active co-production in future in the very early stages.   </w:t>
      </w:r>
    </w:p>
    <w:p w14:paraId="6DD1F52E" w14:textId="77777777" w:rsidR="00581176" w:rsidRDefault="00581176" w:rsidP="00581176">
      <w:pPr>
        <w:spacing w:after="0"/>
        <w:ind w:firstLine="720"/>
        <w:jc w:val="both"/>
        <w:rPr>
          <w:rFonts w:ascii="Arial" w:hAnsi="Arial" w:cs="Arial"/>
          <w:szCs w:val="28"/>
        </w:rPr>
      </w:pPr>
      <w:r>
        <w:rPr>
          <w:rFonts w:ascii="Arial" w:hAnsi="Arial" w:cs="Arial"/>
          <w:szCs w:val="28"/>
        </w:rPr>
        <w:t>Comparing the survey data to national data, the present sample was biased towards female respondents (our samp</w:t>
      </w:r>
      <w:r w:rsidR="0070173E">
        <w:rPr>
          <w:rFonts w:ascii="Arial" w:hAnsi="Arial" w:cs="Arial"/>
          <w:szCs w:val="28"/>
        </w:rPr>
        <w:t>le: 57.1%, census: 50.9%) [23</w:t>
      </w:r>
      <w:r>
        <w:rPr>
          <w:rFonts w:ascii="Arial" w:hAnsi="Arial" w:cs="Arial"/>
          <w:szCs w:val="28"/>
        </w:rPr>
        <w:t>] and Black and Minority ethnic participants (our sample: 11%, census: 8%) compared to census data for North West England [2</w:t>
      </w:r>
      <w:r w:rsidR="0070173E">
        <w:rPr>
          <w:rFonts w:ascii="Arial" w:hAnsi="Arial" w:cs="Arial"/>
          <w:szCs w:val="28"/>
        </w:rPr>
        <w:t>4</w:t>
      </w:r>
      <w:r>
        <w:rPr>
          <w:rFonts w:ascii="Arial" w:hAnsi="Arial" w:cs="Arial"/>
          <w:szCs w:val="28"/>
        </w:rPr>
        <w:t>].</w:t>
      </w:r>
      <w:r w:rsidRPr="00B37053">
        <w:rPr>
          <w:rFonts w:ascii="Arial" w:hAnsi="Arial" w:cs="Arial"/>
          <w:szCs w:val="28"/>
        </w:rPr>
        <w:t xml:space="preserve"> </w:t>
      </w:r>
      <w:r>
        <w:rPr>
          <w:rFonts w:ascii="Arial" w:hAnsi="Arial" w:cs="Arial"/>
          <w:szCs w:val="28"/>
        </w:rPr>
        <w:t xml:space="preserve">However, ethnicity and gender did not vary as a function of disadvantage. People in more disadvantaged </w:t>
      </w:r>
      <w:proofErr w:type="spellStart"/>
      <w:r>
        <w:rPr>
          <w:rFonts w:ascii="Arial" w:hAnsi="Arial" w:cs="Arial"/>
          <w:szCs w:val="28"/>
        </w:rPr>
        <w:t>neighbourhoods</w:t>
      </w:r>
      <w:proofErr w:type="spellEnd"/>
      <w:r>
        <w:rPr>
          <w:rFonts w:ascii="Arial" w:hAnsi="Arial" w:cs="Arial"/>
          <w:szCs w:val="28"/>
        </w:rPr>
        <w:t xml:space="preserve"> were younger than people in relatively advantaged </w:t>
      </w:r>
      <w:proofErr w:type="spellStart"/>
      <w:r>
        <w:rPr>
          <w:rFonts w:ascii="Arial" w:hAnsi="Arial" w:cs="Arial"/>
          <w:szCs w:val="28"/>
        </w:rPr>
        <w:t>neighbourhoods</w:t>
      </w:r>
      <w:proofErr w:type="spellEnd"/>
      <w:r>
        <w:rPr>
          <w:rFonts w:ascii="Arial" w:hAnsi="Arial" w:cs="Arial"/>
          <w:szCs w:val="28"/>
        </w:rPr>
        <w:t xml:space="preserve">. Taken together, the </w:t>
      </w:r>
      <w:proofErr w:type="spellStart"/>
      <w:r>
        <w:rPr>
          <w:rFonts w:ascii="Arial" w:hAnsi="Arial" w:cs="Arial"/>
          <w:szCs w:val="28"/>
        </w:rPr>
        <w:t>neighbourhood</w:t>
      </w:r>
      <w:proofErr w:type="spellEnd"/>
      <w:r>
        <w:rPr>
          <w:rFonts w:ascii="Arial" w:hAnsi="Arial" w:cs="Arial"/>
          <w:szCs w:val="28"/>
        </w:rPr>
        <w:t xml:space="preserve"> types were well matched demographically and were slightly biased on gender and ethnicity compared to census statistics.</w:t>
      </w:r>
    </w:p>
    <w:p w14:paraId="2AB7E2B2" w14:textId="77777777" w:rsidR="00581176" w:rsidRDefault="00581176" w:rsidP="00376891">
      <w:pPr>
        <w:spacing w:after="0"/>
        <w:ind w:firstLine="720"/>
        <w:jc w:val="both"/>
        <w:rPr>
          <w:rFonts w:ascii="Arial" w:hAnsi="Arial" w:cs="Arial"/>
          <w:sz w:val="18"/>
        </w:rPr>
      </w:pPr>
      <w:r>
        <w:rPr>
          <w:rFonts w:ascii="Arial" w:hAnsi="Arial" w:cs="Arial"/>
          <w:szCs w:val="28"/>
        </w:rPr>
        <w:t xml:space="preserve">Looking at the variations between more and relatively advantaged </w:t>
      </w:r>
      <w:proofErr w:type="spellStart"/>
      <w:r>
        <w:rPr>
          <w:rFonts w:ascii="Arial" w:hAnsi="Arial" w:cs="Arial"/>
          <w:szCs w:val="28"/>
        </w:rPr>
        <w:t>neighbourhoods</w:t>
      </w:r>
      <w:proofErr w:type="spellEnd"/>
      <w:r>
        <w:rPr>
          <w:rFonts w:ascii="Arial" w:hAnsi="Arial" w:cs="Arial"/>
          <w:szCs w:val="28"/>
        </w:rPr>
        <w:t xml:space="preserve">, socioeconomic factors differed between </w:t>
      </w:r>
      <w:proofErr w:type="spellStart"/>
      <w:r>
        <w:rPr>
          <w:rFonts w:ascii="Arial" w:hAnsi="Arial" w:cs="Arial"/>
          <w:szCs w:val="28"/>
        </w:rPr>
        <w:t>neighbourhoods</w:t>
      </w:r>
      <w:proofErr w:type="spellEnd"/>
      <w:r>
        <w:rPr>
          <w:rFonts w:ascii="Arial" w:hAnsi="Arial" w:cs="Arial"/>
          <w:szCs w:val="28"/>
        </w:rPr>
        <w:t xml:space="preserve"> in the expected directions, with less employment, lower education, and higher proportions of social housing in disadvantaged areas. Social housing, however, was only found to be higher in the </w:t>
      </w:r>
      <w:proofErr w:type="spellStart"/>
      <w:r>
        <w:rPr>
          <w:rFonts w:ascii="Arial" w:hAnsi="Arial" w:cs="Arial"/>
          <w:szCs w:val="28"/>
        </w:rPr>
        <w:t>NfLs</w:t>
      </w:r>
      <w:proofErr w:type="spellEnd"/>
      <w:r>
        <w:rPr>
          <w:rFonts w:ascii="Arial" w:hAnsi="Arial" w:cs="Arial"/>
          <w:szCs w:val="28"/>
        </w:rPr>
        <w:t xml:space="preserve">, but not in the comparator sites. General health status was better in the relatively advantaged areas, but health seemed to be worse in the </w:t>
      </w:r>
      <w:proofErr w:type="spellStart"/>
      <w:r>
        <w:rPr>
          <w:rFonts w:ascii="Arial" w:hAnsi="Arial" w:cs="Arial"/>
          <w:szCs w:val="28"/>
        </w:rPr>
        <w:t>NfLs</w:t>
      </w:r>
      <w:proofErr w:type="spellEnd"/>
      <w:r>
        <w:rPr>
          <w:rFonts w:ascii="Arial" w:hAnsi="Arial" w:cs="Arial"/>
          <w:szCs w:val="28"/>
        </w:rPr>
        <w:t xml:space="preserve"> compared to the disadvantaged comparator </w:t>
      </w:r>
      <w:proofErr w:type="spellStart"/>
      <w:r>
        <w:rPr>
          <w:rFonts w:ascii="Arial" w:hAnsi="Arial" w:cs="Arial"/>
          <w:szCs w:val="28"/>
        </w:rPr>
        <w:t>neighbourhoods</w:t>
      </w:r>
      <w:proofErr w:type="spellEnd"/>
      <w:r>
        <w:rPr>
          <w:rFonts w:ascii="Arial" w:hAnsi="Arial" w:cs="Arial"/>
          <w:szCs w:val="28"/>
        </w:rPr>
        <w:t xml:space="preserve">. Nevertheless, of the healthcare utilization variables examined, only A&amp;E attendance was found to be higher in disadvantaged </w:t>
      </w:r>
      <w:proofErr w:type="spellStart"/>
      <w:r>
        <w:rPr>
          <w:rFonts w:ascii="Arial" w:hAnsi="Arial" w:cs="Arial"/>
          <w:szCs w:val="28"/>
        </w:rPr>
        <w:t>neighbourhoods</w:t>
      </w:r>
      <w:proofErr w:type="spellEnd"/>
      <w:r>
        <w:rPr>
          <w:rFonts w:ascii="Arial" w:hAnsi="Arial" w:cs="Arial"/>
          <w:szCs w:val="28"/>
        </w:rPr>
        <w:t xml:space="preserve"> compared to the relatively advantaged areas, whilst GP attendance rates did not differ between </w:t>
      </w:r>
      <w:proofErr w:type="spellStart"/>
      <w:r>
        <w:rPr>
          <w:rFonts w:ascii="Arial" w:hAnsi="Arial" w:cs="Arial"/>
          <w:szCs w:val="28"/>
        </w:rPr>
        <w:t>neighbourhoods</w:t>
      </w:r>
      <w:proofErr w:type="spellEnd"/>
      <w:r>
        <w:rPr>
          <w:rFonts w:ascii="Arial" w:hAnsi="Arial" w:cs="Arial"/>
          <w:szCs w:val="28"/>
        </w:rPr>
        <w:t>. Comparing this to national da</w:t>
      </w:r>
      <w:r w:rsidRPr="002D7CA1">
        <w:rPr>
          <w:rFonts w:ascii="Arial" w:hAnsi="Arial" w:cs="Arial"/>
          <w:szCs w:val="28"/>
        </w:rPr>
        <w:t xml:space="preserve">ta, A&amp;E attendance in </w:t>
      </w:r>
      <w:r>
        <w:rPr>
          <w:rFonts w:ascii="Arial" w:hAnsi="Arial" w:cs="Arial"/>
          <w:szCs w:val="28"/>
        </w:rPr>
        <w:t>our</w:t>
      </w:r>
      <w:r w:rsidRPr="002D7CA1">
        <w:rPr>
          <w:rFonts w:ascii="Arial" w:hAnsi="Arial" w:cs="Arial"/>
          <w:szCs w:val="28"/>
        </w:rPr>
        <w:t xml:space="preserve"> survey</w:t>
      </w:r>
      <w:r>
        <w:rPr>
          <w:rFonts w:ascii="Arial" w:hAnsi="Arial" w:cs="Arial"/>
          <w:szCs w:val="28"/>
        </w:rPr>
        <w:t xml:space="preserve"> (20-27%)</w:t>
      </w:r>
      <w:r w:rsidRPr="002D7CA1">
        <w:rPr>
          <w:rFonts w:ascii="Arial" w:hAnsi="Arial" w:cs="Arial"/>
          <w:szCs w:val="28"/>
        </w:rPr>
        <w:t xml:space="preserve"> was lower than the 36% reported at the national level in 2017. GP attendance in </w:t>
      </w:r>
      <w:r>
        <w:rPr>
          <w:rFonts w:ascii="Arial" w:hAnsi="Arial" w:cs="Arial"/>
          <w:szCs w:val="28"/>
        </w:rPr>
        <w:t xml:space="preserve">our </w:t>
      </w:r>
      <w:r w:rsidRPr="002D7CA1">
        <w:rPr>
          <w:rFonts w:ascii="Arial" w:hAnsi="Arial" w:cs="Arial"/>
          <w:szCs w:val="28"/>
        </w:rPr>
        <w:t>survey</w:t>
      </w:r>
      <w:r>
        <w:rPr>
          <w:rFonts w:ascii="Arial" w:hAnsi="Arial" w:cs="Arial"/>
          <w:szCs w:val="28"/>
        </w:rPr>
        <w:t xml:space="preserve"> (69-70%)</w:t>
      </w:r>
      <w:r w:rsidRPr="002D7CA1">
        <w:rPr>
          <w:rFonts w:ascii="Arial" w:hAnsi="Arial" w:cs="Arial"/>
          <w:szCs w:val="28"/>
        </w:rPr>
        <w:t xml:space="preserve"> was also lower than figures reported in the GP patient survey, which reported 83.4% of respondents having attended a GP in the previous 12 months</w:t>
      </w:r>
      <w:r w:rsidR="0070173E">
        <w:rPr>
          <w:rFonts w:ascii="Arial" w:hAnsi="Arial" w:cs="Arial"/>
          <w:szCs w:val="28"/>
        </w:rPr>
        <w:t xml:space="preserve"> [25</w:t>
      </w:r>
      <w:r>
        <w:rPr>
          <w:rFonts w:ascii="Arial" w:hAnsi="Arial" w:cs="Arial"/>
          <w:szCs w:val="28"/>
        </w:rPr>
        <w:t>]</w:t>
      </w:r>
      <w:r w:rsidRPr="002D7CA1">
        <w:rPr>
          <w:rFonts w:ascii="Arial" w:hAnsi="Arial" w:cs="Arial"/>
          <w:szCs w:val="28"/>
        </w:rPr>
        <w:t>.</w:t>
      </w:r>
      <w:r>
        <w:rPr>
          <w:rFonts w:ascii="Arial" w:hAnsi="Arial" w:cs="Arial"/>
          <w:szCs w:val="28"/>
        </w:rPr>
        <w:t xml:space="preserve"> Divergent findings on A&amp;E attendance may be due to the nature of our sampling which involved recall over the previous 12 months as opposed to hospital data at time of attendance. The two GP surveys were both self-report, so the reason for this discrepancy is less clear. One possibility is that people who attend GPs more frequently are more likely to complete a GP patient survey. Our survey, on the other hand, may not be subject to this specific bias.     </w:t>
      </w:r>
      <w:r w:rsidRPr="002D7CA1">
        <w:rPr>
          <w:rFonts w:ascii="Arial" w:hAnsi="Arial" w:cs="Arial"/>
          <w:szCs w:val="28"/>
        </w:rPr>
        <w:t xml:space="preserve"> </w:t>
      </w:r>
    </w:p>
    <w:p w14:paraId="6B8087A0" w14:textId="77777777" w:rsidR="005A1B9E" w:rsidRPr="00D13662" w:rsidRDefault="00F73A9F" w:rsidP="00376891">
      <w:pPr>
        <w:spacing w:after="0"/>
        <w:ind w:firstLine="720"/>
        <w:jc w:val="both"/>
        <w:rPr>
          <w:rFonts w:ascii="Arial" w:hAnsi="Arial" w:cs="Arial"/>
        </w:rPr>
      </w:pPr>
      <w:r>
        <w:rPr>
          <w:rFonts w:ascii="Arial" w:hAnsi="Arial" w:cs="Arial"/>
        </w:rPr>
        <w:t xml:space="preserve">Whilst the survey collected data from a </w:t>
      </w:r>
      <w:r w:rsidR="005A3AA4">
        <w:rPr>
          <w:rFonts w:ascii="Arial" w:hAnsi="Arial" w:cs="Arial"/>
        </w:rPr>
        <w:t>wide</w:t>
      </w:r>
      <w:r>
        <w:rPr>
          <w:rFonts w:ascii="Arial" w:hAnsi="Arial" w:cs="Arial"/>
        </w:rPr>
        <w:t xml:space="preserve"> geographical area</w:t>
      </w:r>
      <w:r w:rsidR="004C4F0D">
        <w:rPr>
          <w:rFonts w:ascii="Arial" w:hAnsi="Arial" w:cs="Arial"/>
        </w:rPr>
        <w:t xml:space="preserve"> from both</w:t>
      </w:r>
      <w:r w:rsidR="007215BA">
        <w:rPr>
          <w:rFonts w:ascii="Arial" w:hAnsi="Arial" w:cs="Arial"/>
        </w:rPr>
        <w:t xml:space="preserve"> </w:t>
      </w:r>
      <w:r w:rsidR="00D332F2">
        <w:rPr>
          <w:rFonts w:ascii="Arial" w:hAnsi="Arial" w:cs="Arial"/>
        </w:rPr>
        <w:t xml:space="preserve">disadvantaged </w:t>
      </w:r>
      <w:r w:rsidR="007215BA">
        <w:rPr>
          <w:rFonts w:ascii="Arial" w:hAnsi="Arial" w:cs="Arial"/>
        </w:rPr>
        <w:t xml:space="preserve">and </w:t>
      </w:r>
      <w:r w:rsidR="00F74A51">
        <w:rPr>
          <w:rFonts w:ascii="Arial" w:hAnsi="Arial" w:cs="Arial"/>
        </w:rPr>
        <w:t>relatively advantaged</w:t>
      </w:r>
      <w:r w:rsidR="007215BA">
        <w:rPr>
          <w:rFonts w:ascii="Arial" w:hAnsi="Arial" w:cs="Arial"/>
        </w:rPr>
        <w:t xml:space="preserve"> areas</w:t>
      </w:r>
      <w:r>
        <w:rPr>
          <w:rFonts w:ascii="Arial" w:hAnsi="Arial" w:cs="Arial"/>
        </w:rPr>
        <w:t xml:space="preserve">, there were some limitations </w:t>
      </w:r>
      <w:r w:rsidR="005A1B9E">
        <w:rPr>
          <w:rFonts w:ascii="Arial" w:hAnsi="Arial" w:cs="Arial"/>
        </w:rPr>
        <w:t>that should be considered</w:t>
      </w:r>
      <w:r>
        <w:rPr>
          <w:rFonts w:ascii="Arial" w:hAnsi="Arial" w:cs="Arial"/>
        </w:rPr>
        <w:t xml:space="preserve">. </w:t>
      </w:r>
      <w:r w:rsidR="004C4F0D">
        <w:rPr>
          <w:rFonts w:ascii="Arial" w:hAnsi="Arial" w:cs="Arial"/>
        </w:rPr>
        <w:t>For example,</w:t>
      </w:r>
      <w:r w:rsidR="005A3AA4">
        <w:rPr>
          <w:rFonts w:ascii="Arial" w:hAnsi="Arial" w:cs="Arial"/>
        </w:rPr>
        <w:t xml:space="preserve"> interviewers ensured to knock on residents’ houses during </w:t>
      </w:r>
      <w:r w:rsidR="00D332F2">
        <w:rPr>
          <w:rFonts w:ascii="Arial" w:hAnsi="Arial" w:cs="Arial"/>
        </w:rPr>
        <w:t xml:space="preserve">different </w:t>
      </w:r>
      <w:r w:rsidR="005A3AA4">
        <w:rPr>
          <w:rFonts w:ascii="Arial" w:hAnsi="Arial" w:cs="Arial"/>
        </w:rPr>
        <w:t>times of the day,</w:t>
      </w:r>
      <w:r w:rsidR="005A1B9E">
        <w:rPr>
          <w:rFonts w:ascii="Arial" w:hAnsi="Arial" w:cs="Arial"/>
        </w:rPr>
        <w:t xml:space="preserve"> but evening sampling was limited due to practical constraints. Because of this, people in full-time employment who were at work all day are likely </w:t>
      </w:r>
      <w:r w:rsidR="007215BA">
        <w:rPr>
          <w:rFonts w:ascii="Arial" w:hAnsi="Arial" w:cs="Arial"/>
        </w:rPr>
        <w:t xml:space="preserve">to be </w:t>
      </w:r>
      <w:r w:rsidR="005A1B9E">
        <w:rPr>
          <w:rFonts w:ascii="Arial" w:hAnsi="Arial" w:cs="Arial"/>
        </w:rPr>
        <w:t xml:space="preserve">underrepresented in our sample. </w:t>
      </w:r>
      <w:r w:rsidR="004C4F0D">
        <w:rPr>
          <w:rFonts w:ascii="Arial" w:hAnsi="Arial" w:cs="Arial"/>
        </w:rPr>
        <w:t xml:space="preserve">Considering the focus on people </w:t>
      </w:r>
      <w:r w:rsidR="005A1B9E">
        <w:rPr>
          <w:rFonts w:ascii="Arial" w:hAnsi="Arial" w:cs="Arial"/>
        </w:rPr>
        <w:t xml:space="preserve">living in </w:t>
      </w:r>
      <w:r w:rsidR="007215BA">
        <w:rPr>
          <w:rFonts w:ascii="Arial" w:hAnsi="Arial" w:cs="Arial"/>
        </w:rPr>
        <w:t xml:space="preserve">disadvantaged </w:t>
      </w:r>
      <w:proofErr w:type="spellStart"/>
      <w:r w:rsidR="005A1B9E">
        <w:rPr>
          <w:rFonts w:ascii="Arial" w:hAnsi="Arial" w:cs="Arial"/>
        </w:rPr>
        <w:t>neighbourhoods</w:t>
      </w:r>
      <w:proofErr w:type="spellEnd"/>
      <w:r w:rsidR="004C4F0D">
        <w:rPr>
          <w:rFonts w:ascii="Arial" w:hAnsi="Arial" w:cs="Arial"/>
        </w:rPr>
        <w:t xml:space="preserve">, data are limited to those with a fixed address. Thus, the survey was not able to capture </w:t>
      </w:r>
      <w:r w:rsidR="00D332F2">
        <w:rPr>
          <w:rFonts w:ascii="Arial" w:hAnsi="Arial" w:cs="Arial"/>
        </w:rPr>
        <w:t xml:space="preserve">some of </w:t>
      </w:r>
      <w:r w:rsidR="004C4F0D">
        <w:rPr>
          <w:rFonts w:ascii="Arial" w:hAnsi="Arial" w:cs="Arial"/>
        </w:rPr>
        <w:t xml:space="preserve">the most </w:t>
      </w:r>
      <w:r w:rsidR="007215BA">
        <w:rPr>
          <w:rFonts w:ascii="Arial" w:hAnsi="Arial" w:cs="Arial"/>
        </w:rPr>
        <w:t xml:space="preserve">disadvantaged groups in </w:t>
      </w:r>
      <w:r w:rsidR="004C4F0D">
        <w:rPr>
          <w:rFonts w:ascii="Arial" w:hAnsi="Arial" w:cs="Arial"/>
        </w:rPr>
        <w:t>the population</w:t>
      </w:r>
      <w:r w:rsidR="00D332F2">
        <w:rPr>
          <w:rFonts w:ascii="Arial" w:hAnsi="Arial" w:cs="Arial"/>
        </w:rPr>
        <w:t>,</w:t>
      </w:r>
      <w:r w:rsidR="004C4F0D">
        <w:rPr>
          <w:rFonts w:ascii="Arial" w:hAnsi="Arial" w:cs="Arial"/>
        </w:rPr>
        <w:t xml:space="preserve"> </w:t>
      </w:r>
      <w:r w:rsidR="007215BA">
        <w:rPr>
          <w:rFonts w:ascii="Arial" w:hAnsi="Arial" w:cs="Arial"/>
        </w:rPr>
        <w:t xml:space="preserve">such as </w:t>
      </w:r>
      <w:r w:rsidR="004C4F0D">
        <w:rPr>
          <w:rFonts w:ascii="Arial" w:hAnsi="Arial" w:cs="Arial"/>
        </w:rPr>
        <w:t>homeless people</w:t>
      </w:r>
      <w:r w:rsidR="007215BA">
        <w:rPr>
          <w:rFonts w:ascii="Arial" w:hAnsi="Arial" w:cs="Arial"/>
        </w:rPr>
        <w:t xml:space="preserve"> </w:t>
      </w:r>
      <w:r w:rsidR="005A1B9E">
        <w:rPr>
          <w:rFonts w:ascii="Arial" w:hAnsi="Arial" w:cs="Arial"/>
        </w:rPr>
        <w:t>and</w:t>
      </w:r>
      <w:r w:rsidR="004C4F0D">
        <w:rPr>
          <w:rFonts w:ascii="Arial" w:hAnsi="Arial" w:cs="Arial"/>
        </w:rPr>
        <w:t xml:space="preserve"> </w:t>
      </w:r>
      <w:r w:rsidR="005A1B9E">
        <w:rPr>
          <w:rFonts w:ascii="Arial" w:hAnsi="Arial" w:cs="Arial"/>
        </w:rPr>
        <w:t>unregistered</w:t>
      </w:r>
      <w:r w:rsidR="004C4F0D">
        <w:rPr>
          <w:rFonts w:ascii="Arial" w:hAnsi="Arial" w:cs="Arial"/>
        </w:rPr>
        <w:t xml:space="preserve"> migrants. </w:t>
      </w:r>
      <w:r w:rsidR="008B0FEC">
        <w:rPr>
          <w:rFonts w:ascii="Arial" w:hAnsi="Arial" w:cs="Arial"/>
        </w:rPr>
        <w:t xml:space="preserve">In addition, because specific </w:t>
      </w:r>
      <w:proofErr w:type="spellStart"/>
      <w:r w:rsidR="008B0FEC">
        <w:rPr>
          <w:rFonts w:ascii="Arial" w:hAnsi="Arial" w:cs="Arial"/>
        </w:rPr>
        <w:t>neighbourhoods</w:t>
      </w:r>
      <w:proofErr w:type="spellEnd"/>
      <w:r w:rsidR="008B0FEC">
        <w:rPr>
          <w:rFonts w:ascii="Arial" w:hAnsi="Arial" w:cs="Arial"/>
        </w:rPr>
        <w:t xml:space="preserve"> were selected for recruitment, this survey does not comprise a random sample of the general </w:t>
      </w:r>
      <w:r w:rsidR="008B0FEC" w:rsidRPr="00D13662">
        <w:rPr>
          <w:rFonts w:ascii="Arial" w:hAnsi="Arial" w:cs="Arial"/>
        </w:rPr>
        <w:t xml:space="preserve">population. However, </w:t>
      </w:r>
      <w:proofErr w:type="spellStart"/>
      <w:r w:rsidR="008B0FEC" w:rsidRPr="00D13662">
        <w:rPr>
          <w:rFonts w:ascii="Arial" w:hAnsi="Arial" w:cs="Arial"/>
        </w:rPr>
        <w:t>neighbourhoods</w:t>
      </w:r>
      <w:proofErr w:type="spellEnd"/>
      <w:r w:rsidR="008B0FEC" w:rsidRPr="00D13662">
        <w:rPr>
          <w:rFonts w:ascii="Arial" w:hAnsi="Arial" w:cs="Arial"/>
        </w:rPr>
        <w:t xml:space="preserve"> were purposefully selected based on their level of deprivation, therefore providing a suitable sample for the focus of this survey.</w:t>
      </w:r>
      <w:r w:rsidR="00761FAA" w:rsidRPr="00D13662">
        <w:rPr>
          <w:rFonts w:ascii="Arial" w:hAnsi="Arial" w:cs="Arial"/>
        </w:rPr>
        <w:t xml:space="preserve"> In addition, there were health and demographic differences between people who participated in both waves of the survey and those who did not, insofar as people who dropped out were more likely to be male, in paid employment, and not have a long-term health condition. This has implications for future recruitment strategies, which may benefit fro</w:t>
      </w:r>
      <w:r w:rsidR="00C45E1D" w:rsidRPr="00D13662">
        <w:rPr>
          <w:rFonts w:ascii="Arial" w:hAnsi="Arial" w:cs="Arial"/>
        </w:rPr>
        <w:t>m extra measures to reduce drop-</w:t>
      </w:r>
      <w:r w:rsidR="00761FAA" w:rsidRPr="00D13662">
        <w:rPr>
          <w:rFonts w:ascii="Arial" w:hAnsi="Arial" w:cs="Arial"/>
        </w:rPr>
        <w:t xml:space="preserve">out </w:t>
      </w:r>
      <w:r w:rsidR="00FD70BB" w:rsidRPr="00D13662">
        <w:rPr>
          <w:rFonts w:ascii="Arial" w:hAnsi="Arial" w:cs="Arial"/>
        </w:rPr>
        <w:t>among specific groups, such as instigating</w:t>
      </w:r>
      <w:r w:rsidR="00761FAA" w:rsidRPr="00D13662">
        <w:rPr>
          <w:rFonts w:ascii="Arial" w:hAnsi="Arial" w:cs="Arial"/>
        </w:rPr>
        <w:t xml:space="preserve"> higher number </w:t>
      </w:r>
      <w:r w:rsidR="00761FAA" w:rsidRPr="00D13662">
        <w:rPr>
          <w:rFonts w:ascii="Arial" w:hAnsi="Arial" w:cs="Arial"/>
        </w:rPr>
        <w:lastRenderedPageBreak/>
        <w:t>call-bac</w:t>
      </w:r>
      <w:r w:rsidR="0050617B" w:rsidRPr="00D13662">
        <w:rPr>
          <w:rFonts w:ascii="Arial" w:hAnsi="Arial" w:cs="Arial"/>
        </w:rPr>
        <w:t xml:space="preserve">ks before terminating follow-up or adjusting call-back times to increase retention of people in paid employment. </w:t>
      </w:r>
      <w:r w:rsidR="00761FAA" w:rsidRPr="00D13662">
        <w:rPr>
          <w:rFonts w:ascii="Arial" w:hAnsi="Arial" w:cs="Arial"/>
        </w:rPr>
        <w:t xml:space="preserve">  </w:t>
      </w:r>
    </w:p>
    <w:p w14:paraId="3CDFF179" w14:textId="77777777" w:rsidR="00F405DB" w:rsidRDefault="004C4F0D" w:rsidP="009C55CB">
      <w:pPr>
        <w:spacing w:after="0"/>
        <w:jc w:val="both"/>
        <w:rPr>
          <w:rFonts w:ascii="Arial" w:hAnsi="Arial" w:cs="Arial"/>
        </w:rPr>
      </w:pPr>
      <w:r w:rsidRPr="00D13662">
        <w:rPr>
          <w:rFonts w:ascii="Arial" w:hAnsi="Arial" w:cs="Arial"/>
        </w:rPr>
        <w:tab/>
        <w:t xml:space="preserve">One of the lessons learned from designing, setting up, conducting, and </w:t>
      </w:r>
      <w:proofErr w:type="spellStart"/>
      <w:r w:rsidRPr="00D13662">
        <w:rPr>
          <w:rFonts w:ascii="Arial" w:hAnsi="Arial" w:cs="Arial"/>
        </w:rPr>
        <w:t>analysing</w:t>
      </w:r>
      <w:proofErr w:type="spellEnd"/>
      <w:r w:rsidRPr="00D13662">
        <w:rPr>
          <w:rFonts w:ascii="Arial" w:hAnsi="Arial" w:cs="Arial"/>
        </w:rPr>
        <w:t xml:space="preserve"> this survey is the benefit </w:t>
      </w:r>
      <w:r w:rsidR="006F4DD2" w:rsidRPr="00D13662">
        <w:rPr>
          <w:rFonts w:ascii="Arial" w:hAnsi="Arial" w:cs="Arial"/>
        </w:rPr>
        <w:t>of having co-produced</w:t>
      </w:r>
      <w:r w:rsidRPr="00D13662">
        <w:rPr>
          <w:rFonts w:ascii="Arial" w:hAnsi="Arial" w:cs="Arial"/>
        </w:rPr>
        <w:t xml:space="preserve"> the survey with </w:t>
      </w:r>
      <w:r>
        <w:rPr>
          <w:rFonts w:ascii="Arial" w:hAnsi="Arial" w:cs="Arial"/>
        </w:rPr>
        <w:t>partners</w:t>
      </w:r>
      <w:r w:rsidR="006F4DD2">
        <w:rPr>
          <w:rFonts w:ascii="Arial" w:hAnsi="Arial" w:cs="Arial"/>
        </w:rPr>
        <w:t xml:space="preserve">. Involving </w:t>
      </w:r>
      <w:r w:rsidR="00A46CCA">
        <w:rPr>
          <w:rFonts w:ascii="Arial" w:hAnsi="Arial" w:cs="Arial"/>
        </w:rPr>
        <w:t>partners</w:t>
      </w:r>
      <w:r w:rsidR="006F4DD2">
        <w:rPr>
          <w:rFonts w:ascii="Arial" w:hAnsi="Arial" w:cs="Arial"/>
        </w:rPr>
        <w:t xml:space="preserve"> at every step of the process has helped to </w:t>
      </w:r>
      <w:r w:rsidR="005A1B9E">
        <w:rPr>
          <w:rFonts w:ascii="Arial" w:hAnsi="Arial" w:cs="Arial"/>
        </w:rPr>
        <w:t xml:space="preserve">guide the research and outputs, </w:t>
      </w:r>
      <w:r w:rsidR="006F4DD2">
        <w:rPr>
          <w:rFonts w:ascii="Arial" w:hAnsi="Arial" w:cs="Arial"/>
        </w:rPr>
        <w:t xml:space="preserve">but also to interpret findings </w:t>
      </w:r>
      <w:r w:rsidR="005A1B9E">
        <w:rPr>
          <w:rFonts w:ascii="Arial" w:hAnsi="Arial" w:cs="Arial"/>
        </w:rPr>
        <w:t xml:space="preserve">and contribute to outputs </w:t>
      </w:r>
      <w:r w:rsidR="006F4DD2">
        <w:rPr>
          <w:rFonts w:ascii="Arial" w:hAnsi="Arial" w:cs="Arial"/>
        </w:rPr>
        <w:t>from a non-research</w:t>
      </w:r>
      <w:r w:rsidR="005A1B9E">
        <w:rPr>
          <w:rFonts w:ascii="Arial" w:hAnsi="Arial" w:cs="Arial"/>
        </w:rPr>
        <w:t>er</w:t>
      </w:r>
      <w:r w:rsidR="006F4DD2">
        <w:rPr>
          <w:rFonts w:ascii="Arial" w:hAnsi="Arial" w:cs="Arial"/>
        </w:rPr>
        <w:t xml:space="preserve"> point of view. </w:t>
      </w:r>
      <w:r w:rsidR="002B2C73">
        <w:rPr>
          <w:rFonts w:ascii="Arial" w:hAnsi="Arial" w:cs="Arial"/>
        </w:rPr>
        <w:t>However, partner involvement was only very small at the beginning, and needs to be amplified</w:t>
      </w:r>
      <w:r w:rsidR="00263CFC">
        <w:rPr>
          <w:rFonts w:ascii="Arial" w:hAnsi="Arial" w:cs="Arial"/>
        </w:rPr>
        <w:t xml:space="preserve"> further in future steps</w:t>
      </w:r>
      <w:r w:rsidR="002B2C73">
        <w:rPr>
          <w:rFonts w:ascii="Arial" w:hAnsi="Arial" w:cs="Arial"/>
        </w:rPr>
        <w:t xml:space="preserve">. </w:t>
      </w:r>
      <w:r w:rsidR="007C5682">
        <w:rPr>
          <w:rFonts w:ascii="Arial" w:hAnsi="Arial" w:cs="Arial"/>
        </w:rPr>
        <w:t>Members of the public have been particularly involved in the current dissemination of the findings</w:t>
      </w:r>
      <w:r w:rsidR="003C62D3">
        <w:rPr>
          <w:rFonts w:ascii="Arial" w:hAnsi="Arial" w:cs="Arial"/>
        </w:rPr>
        <w:t xml:space="preserve"> </w:t>
      </w:r>
      <w:r w:rsidR="0070173E">
        <w:rPr>
          <w:rFonts w:ascii="Arial" w:hAnsi="Arial" w:cs="Arial"/>
        </w:rPr>
        <w:t>[26</w:t>
      </w:r>
      <w:r w:rsidR="00787E19">
        <w:rPr>
          <w:rFonts w:ascii="Arial" w:hAnsi="Arial" w:cs="Arial"/>
        </w:rPr>
        <w:t>]</w:t>
      </w:r>
      <w:r w:rsidR="00287D38">
        <w:rPr>
          <w:rFonts w:ascii="Arial" w:hAnsi="Arial" w:cs="Arial"/>
        </w:rPr>
        <w:t>,</w:t>
      </w:r>
      <w:r w:rsidR="008B0FEC">
        <w:rPr>
          <w:rFonts w:ascii="Arial" w:hAnsi="Arial" w:cs="Arial"/>
        </w:rPr>
        <w:t xml:space="preserve"> including in this write up (</w:t>
      </w:r>
      <w:r w:rsidR="00287D38">
        <w:rPr>
          <w:rFonts w:ascii="Arial" w:hAnsi="Arial" w:cs="Arial"/>
        </w:rPr>
        <w:t>TW, KH)</w:t>
      </w:r>
      <w:r w:rsidR="007C5682">
        <w:rPr>
          <w:rFonts w:ascii="Arial" w:hAnsi="Arial" w:cs="Arial"/>
        </w:rPr>
        <w:t xml:space="preserve">, and </w:t>
      </w:r>
      <w:r w:rsidR="00287D38">
        <w:rPr>
          <w:rFonts w:ascii="Arial" w:hAnsi="Arial" w:cs="Arial"/>
        </w:rPr>
        <w:t xml:space="preserve">have </w:t>
      </w:r>
      <w:r w:rsidR="007C5682">
        <w:rPr>
          <w:rFonts w:ascii="Arial" w:hAnsi="Arial" w:cs="Arial"/>
        </w:rPr>
        <w:t>help</w:t>
      </w:r>
      <w:r w:rsidR="006C66AE">
        <w:rPr>
          <w:rFonts w:ascii="Arial" w:hAnsi="Arial" w:cs="Arial"/>
        </w:rPr>
        <w:t>ed</w:t>
      </w:r>
      <w:r w:rsidR="007C5682">
        <w:rPr>
          <w:rFonts w:ascii="Arial" w:hAnsi="Arial" w:cs="Arial"/>
        </w:rPr>
        <w:t xml:space="preserve"> shape the planning for Wave 2.</w:t>
      </w:r>
    </w:p>
    <w:p w14:paraId="763F7B9B" w14:textId="77777777" w:rsidR="00562333" w:rsidRPr="00562333" w:rsidRDefault="00562333" w:rsidP="009C55CB">
      <w:pPr>
        <w:jc w:val="both"/>
        <w:rPr>
          <w:rFonts w:ascii="Arial" w:hAnsi="Arial" w:cs="Arial"/>
          <w:b/>
          <w:sz w:val="24"/>
        </w:rPr>
      </w:pPr>
      <w:r w:rsidRPr="00562333">
        <w:rPr>
          <w:rFonts w:ascii="Arial" w:hAnsi="Arial" w:cs="Arial"/>
          <w:b/>
          <w:sz w:val="24"/>
        </w:rPr>
        <w:t>Conclusions</w:t>
      </w:r>
    </w:p>
    <w:p w14:paraId="7C75E28A" w14:textId="77777777" w:rsidR="00B52451" w:rsidRDefault="00081BCB" w:rsidP="00581176">
      <w:pPr>
        <w:jc w:val="both"/>
        <w:rPr>
          <w:rFonts w:ascii="Arial" w:hAnsi="Arial" w:cs="Arial"/>
        </w:rPr>
      </w:pPr>
      <w:r w:rsidRPr="00081BCB">
        <w:rPr>
          <w:rFonts w:ascii="Arial" w:hAnsi="Arial" w:cs="Arial"/>
        </w:rPr>
        <w:t xml:space="preserve">The NWC HHS has already highlighted several inequalities in accessing health care services, and is one of the first longitudinal public health surveys across England to specifically focus on people living in some of the most disadvantaged </w:t>
      </w:r>
      <w:proofErr w:type="spellStart"/>
      <w:r w:rsidRPr="00081BCB">
        <w:rPr>
          <w:rFonts w:ascii="Arial" w:hAnsi="Arial" w:cs="Arial"/>
        </w:rPr>
        <w:t>neighbourhoods</w:t>
      </w:r>
      <w:proofErr w:type="spellEnd"/>
      <w:r w:rsidRPr="00081BCB">
        <w:rPr>
          <w:rFonts w:ascii="Arial" w:hAnsi="Arial" w:cs="Arial"/>
        </w:rPr>
        <w:t xml:space="preserve"> in the country. </w:t>
      </w:r>
      <w:r w:rsidR="00B52451">
        <w:rPr>
          <w:rFonts w:ascii="Arial" w:hAnsi="Arial" w:cs="Arial"/>
        </w:rPr>
        <w:t xml:space="preserve">Findings can help identify key areas of needs to tackle to reduce health inequalities, thereby addressing the World Health </w:t>
      </w:r>
      <w:proofErr w:type="spellStart"/>
      <w:r w:rsidR="00B52451">
        <w:rPr>
          <w:rFonts w:ascii="Arial" w:hAnsi="Arial" w:cs="Arial"/>
        </w:rPr>
        <w:t>Organisation’s</w:t>
      </w:r>
      <w:proofErr w:type="spellEnd"/>
      <w:r w:rsidR="00B52451">
        <w:rPr>
          <w:rFonts w:ascii="Arial" w:hAnsi="Arial" w:cs="Arial"/>
        </w:rPr>
        <w:t xml:space="preserve"> recent Health Equity Status Report [23] and providing guidance for how to address one of the five essential conditions for healthy lives for everyone: “good quality and accessible health services” [2</w:t>
      </w:r>
      <w:r w:rsidR="0070173E">
        <w:rPr>
          <w:rFonts w:ascii="Arial" w:hAnsi="Arial" w:cs="Arial"/>
        </w:rPr>
        <w:t>7</w:t>
      </w:r>
      <w:r w:rsidR="00B52451">
        <w:rPr>
          <w:rFonts w:ascii="Arial" w:hAnsi="Arial" w:cs="Arial"/>
        </w:rPr>
        <w:t>].</w:t>
      </w:r>
    </w:p>
    <w:p w14:paraId="5180C470" w14:textId="77777777" w:rsidR="00BF1618" w:rsidRDefault="00BF1618" w:rsidP="00E00DB7">
      <w:pPr>
        <w:spacing w:line="480" w:lineRule="auto"/>
        <w:rPr>
          <w:rFonts w:ascii="Arial" w:hAnsi="Arial" w:cs="Arial"/>
        </w:rPr>
      </w:pPr>
    </w:p>
    <w:p w14:paraId="53FCE3B7" w14:textId="77777777" w:rsidR="008953E8" w:rsidRDefault="008953E8" w:rsidP="00E00DB7">
      <w:pPr>
        <w:spacing w:line="480" w:lineRule="auto"/>
        <w:rPr>
          <w:rFonts w:ascii="Arial" w:hAnsi="Arial" w:cs="Arial"/>
        </w:rPr>
      </w:pPr>
    </w:p>
    <w:p w14:paraId="27B8B3F5" w14:textId="77777777" w:rsidR="008953E8" w:rsidRDefault="008953E8" w:rsidP="00E00DB7">
      <w:pPr>
        <w:spacing w:line="480" w:lineRule="auto"/>
        <w:rPr>
          <w:rFonts w:ascii="Arial" w:hAnsi="Arial" w:cs="Arial"/>
        </w:rPr>
      </w:pPr>
    </w:p>
    <w:p w14:paraId="73DC74A0" w14:textId="77777777" w:rsidR="008953E8" w:rsidRDefault="008953E8" w:rsidP="00E00DB7">
      <w:pPr>
        <w:spacing w:line="480" w:lineRule="auto"/>
        <w:rPr>
          <w:rFonts w:ascii="Arial" w:hAnsi="Arial" w:cs="Arial"/>
        </w:rPr>
      </w:pPr>
    </w:p>
    <w:p w14:paraId="6B7307EC" w14:textId="77777777" w:rsidR="008953E8" w:rsidRDefault="008953E8" w:rsidP="00E00DB7">
      <w:pPr>
        <w:spacing w:line="480" w:lineRule="auto"/>
        <w:rPr>
          <w:rFonts w:ascii="Arial" w:hAnsi="Arial" w:cs="Arial"/>
        </w:rPr>
      </w:pPr>
    </w:p>
    <w:p w14:paraId="3703D4DB" w14:textId="77777777" w:rsidR="008953E8" w:rsidRDefault="008953E8" w:rsidP="00E00DB7">
      <w:pPr>
        <w:spacing w:line="480" w:lineRule="auto"/>
        <w:rPr>
          <w:rFonts w:ascii="Arial" w:hAnsi="Arial" w:cs="Arial"/>
        </w:rPr>
      </w:pPr>
    </w:p>
    <w:p w14:paraId="2909B398" w14:textId="77777777" w:rsidR="008953E8" w:rsidRDefault="008953E8" w:rsidP="00E00DB7">
      <w:pPr>
        <w:spacing w:line="480" w:lineRule="auto"/>
        <w:rPr>
          <w:rFonts w:ascii="Arial" w:hAnsi="Arial" w:cs="Arial"/>
        </w:rPr>
      </w:pPr>
    </w:p>
    <w:p w14:paraId="743BA67B" w14:textId="77777777" w:rsidR="008953E8" w:rsidRDefault="008953E8" w:rsidP="00E00DB7">
      <w:pPr>
        <w:spacing w:line="480" w:lineRule="auto"/>
        <w:rPr>
          <w:rFonts w:ascii="Arial" w:hAnsi="Arial" w:cs="Arial"/>
        </w:rPr>
      </w:pPr>
    </w:p>
    <w:p w14:paraId="2F6EBBD7" w14:textId="77777777" w:rsidR="008953E8" w:rsidRDefault="008953E8" w:rsidP="00E00DB7">
      <w:pPr>
        <w:spacing w:line="480" w:lineRule="auto"/>
        <w:rPr>
          <w:rFonts w:ascii="Arial" w:hAnsi="Arial" w:cs="Arial"/>
        </w:rPr>
      </w:pPr>
    </w:p>
    <w:p w14:paraId="4628E406" w14:textId="77777777" w:rsidR="008953E8" w:rsidRDefault="008953E8" w:rsidP="00E00DB7">
      <w:pPr>
        <w:spacing w:line="480" w:lineRule="auto"/>
        <w:rPr>
          <w:rFonts w:ascii="Arial" w:hAnsi="Arial" w:cs="Arial"/>
        </w:rPr>
      </w:pPr>
    </w:p>
    <w:p w14:paraId="29C08782" w14:textId="77777777" w:rsidR="008953E8" w:rsidRDefault="008953E8" w:rsidP="00E00DB7">
      <w:pPr>
        <w:spacing w:line="480" w:lineRule="auto"/>
        <w:rPr>
          <w:rFonts w:ascii="Arial" w:hAnsi="Arial" w:cs="Arial"/>
        </w:rPr>
      </w:pPr>
    </w:p>
    <w:p w14:paraId="5A1B4B16" w14:textId="77777777" w:rsidR="008953E8" w:rsidRDefault="008953E8" w:rsidP="00E00DB7">
      <w:pPr>
        <w:spacing w:line="480" w:lineRule="auto"/>
        <w:rPr>
          <w:rFonts w:ascii="Arial" w:hAnsi="Arial" w:cs="Arial"/>
        </w:rPr>
      </w:pPr>
    </w:p>
    <w:p w14:paraId="641C620F" w14:textId="77777777" w:rsidR="008953E8" w:rsidRDefault="008953E8" w:rsidP="00E00DB7">
      <w:pPr>
        <w:spacing w:line="480" w:lineRule="auto"/>
        <w:rPr>
          <w:rFonts w:ascii="Arial" w:hAnsi="Arial" w:cs="Arial"/>
        </w:rPr>
      </w:pPr>
    </w:p>
    <w:p w14:paraId="2FEAB5D6" w14:textId="77777777" w:rsidR="008953E8" w:rsidRDefault="008953E8" w:rsidP="00E00DB7">
      <w:pPr>
        <w:spacing w:line="480" w:lineRule="auto"/>
        <w:rPr>
          <w:rFonts w:ascii="Arial" w:hAnsi="Arial" w:cs="Arial"/>
        </w:rPr>
      </w:pPr>
    </w:p>
    <w:p w14:paraId="5A4EAB28" w14:textId="77777777" w:rsidR="008953E8" w:rsidRDefault="008953E8" w:rsidP="00E00DB7">
      <w:pPr>
        <w:spacing w:line="480" w:lineRule="auto"/>
        <w:rPr>
          <w:rFonts w:ascii="Arial" w:hAnsi="Arial" w:cs="Arial"/>
        </w:rPr>
      </w:pPr>
    </w:p>
    <w:p w14:paraId="17090443" w14:textId="77777777" w:rsidR="00974F76" w:rsidRDefault="00CB0E67" w:rsidP="00505E30">
      <w:pPr>
        <w:spacing w:after="0"/>
        <w:jc w:val="both"/>
        <w:rPr>
          <w:rFonts w:ascii="Arial" w:hAnsi="Arial" w:cs="Arial"/>
          <w:b/>
        </w:rPr>
      </w:pPr>
      <w:r>
        <w:rPr>
          <w:rFonts w:ascii="Arial" w:hAnsi="Arial" w:cs="Arial"/>
          <w:b/>
        </w:rPr>
        <w:t>A</w:t>
      </w:r>
      <w:r w:rsidR="00974F76">
        <w:rPr>
          <w:rFonts w:ascii="Arial" w:hAnsi="Arial" w:cs="Arial"/>
          <w:b/>
        </w:rPr>
        <w:t>bbreviations</w:t>
      </w:r>
    </w:p>
    <w:p w14:paraId="4FF532F0" w14:textId="77777777" w:rsidR="00974F76" w:rsidRDefault="00974F76" w:rsidP="00505E30">
      <w:pPr>
        <w:spacing w:after="0"/>
        <w:jc w:val="both"/>
        <w:rPr>
          <w:rFonts w:ascii="Arial" w:hAnsi="Arial" w:cs="Arial"/>
        </w:rPr>
      </w:pPr>
      <w:r>
        <w:rPr>
          <w:rFonts w:ascii="Arial" w:hAnsi="Arial" w:cs="Arial"/>
        </w:rPr>
        <w:t>HHS - Household Health Survey</w:t>
      </w:r>
    </w:p>
    <w:p w14:paraId="0CB00EA9" w14:textId="77777777" w:rsidR="00974F76" w:rsidRDefault="00974F76" w:rsidP="00505E30">
      <w:pPr>
        <w:spacing w:after="0"/>
        <w:jc w:val="both"/>
        <w:rPr>
          <w:rFonts w:ascii="Arial" w:hAnsi="Arial" w:cs="Arial"/>
        </w:rPr>
      </w:pPr>
      <w:r>
        <w:rPr>
          <w:rFonts w:ascii="Arial" w:hAnsi="Arial" w:cs="Arial"/>
        </w:rPr>
        <w:t>HIAT – Health Inequalities Assessment Toolkit</w:t>
      </w:r>
    </w:p>
    <w:p w14:paraId="592F2B55" w14:textId="77777777" w:rsidR="00974F76" w:rsidRDefault="00974F76" w:rsidP="00505E30">
      <w:pPr>
        <w:spacing w:after="0"/>
        <w:jc w:val="both"/>
        <w:rPr>
          <w:rFonts w:ascii="Arial" w:hAnsi="Arial" w:cs="Arial"/>
        </w:rPr>
      </w:pPr>
      <w:r>
        <w:rPr>
          <w:rFonts w:ascii="Arial" w:hAnsi="Arial" w:cs="Arial"/>
        </w:rPr>
        <w:t>NWC – North West Coast</w:t>
      </w:r>
    </w:p>
    <w:p w14:paraId="019E2FBA" w14:textId="77777777" w:rsidR="00974F76" w:rsidRDefault="00974F76" w:rsidP="00505E30">
      <w:pPr>
        <w:spacing w:after="0"/>
        <w:jc w:val="both"/>
        <w:rPr>
          <w:rFonts w:ascii="Arial" w:hAnsi="Arial" w:cs="Arial"/>
        </w:rPr>
      </w:pPr>
      <w:r>
        <w:rPr>
          <w:rFonts w:ascii="Arial" w:hAnsi="Arial" w:cs="Arial"/>
        </w:rPr>
        <w:t>SES – Socio-economic status</w:t>
      </w:r>
    </w:p>
    <w:p w14:paraId="2C99AFDD" w14:textId="77777777" w:rsidR="00974F76" w:rsidRDefault="00974F76" w:rsidP="00505E30">
      <w:pPr>
        <w:spacing w:after="0"/>
        <w:jc w:val="both"/>
        <w:rPr>
          <w:rFonts w:ascii="Arial" w:hAnsi="Arial" w:cs="Arial"/>
          <w:sz w:val="24"/>
          <w:szCs w:val="24"/>
        </w:rPr>
      </w:pPr>
    </w:p>
    <w:p w14:paraId="1EFC7B18" w14:textId="77777777" w:rsidR="00974F76" w:rsidRPr="00974F76" w:rsidRDefault="00974F76" w:rsidP="00505E30">
      <w:pPr>
        <w:spacing w:after="0"/>
        <w:jc w:val="both"/>
        <w:rPr>
          <w:rFonts w:ascii="Arial" w:hAnsi="Arial" w:cs="Arial"/>
          <w:b/>
          <w:sz w:val="24"/>
          <w:szCs w:val="24"/>
        </w:rPr>
      </w:pPr>
      <w:r w:rsidRPr="00974F76">
        <w:rPr>
          <w:rFonts w:ascii="Arial" w:hAnsi="Arial" w:cs="Arial"/>
          <w:b/>
          <w:sz w:val="24"/>
          <w:szCs w:val="24"/>
        </w:rPr>
        <w:t>Declarations</w:t>
      </w:r>
    </w:p>
    <w:p w14:paraId="570B0379" w14:textId="77777777" w:rsidR="00974F76" w:rsidRDefault="00974F76" w:rsidP="00505E30">
      <w:pPr>
        <w:spacing w:after="0"/>
        <w:jc w:val="both"/>
        <w:rPr>
          <w:rFonts w:ascii="Arial" w:hAnsi="Arial" w:cs="Arial"/>
        </w:rPr>
      </w:pPr>
    </w:p>
    <w:p w14:paraId="5C91208B" w14:textId="77777777" w:rsidR="00974F76" w:rsidRPr="00974F76" w:rsidRDefault="00974F76" w:rsidP="00505E30">
      <w:pPr>
        <w:spacing w:after="0"/>
        <w:jc w:val="both"/>
        <w:rPr>
          <w:rFonts w:ascii="Arial" w:hAnsi="Arial" w:cs="Arial"/>
          <w:b/>
        </w:rPr>
      </w:pPr>
      <w:r>
        <w:rPr>
          <w:rFonts w:ascii="Arial" w:hAnsi="Arial" w:cs="Arial"/>
          <w:b/>
        </w:rPr>
        <w:t>Ethics approval and consent to participate</w:t>
      </w:r>
    </w:p>
    <w:p w14:paraId="469A6616" w14:textId="77777777" w:rsidR="00974F76" w:rsidRPr="00534E6F" w:rsidRDefault="00974F76" w:rsidP="00974F76">
      <w:pPr>
        <w:shd w:val="clear" w:color="auto" w:fill="FFFFFF"/>
        <w:spacing w:after="0" w:line="240" w:lineRule="auto"/>
        <w:jc w:val="both"/>
        <w:rPr>
          <w:rFonts w:ascii="Arial" w:hAnsi="Arial" w:cs="Arial"/>
        </w:rPr>
      </w:pPr>
      <w:r w:rsidRPr="00534E6F">
        <w:rPr>
          <w:rFonts w:ascii="Arial" w:hAnsi="Arial" w:cs="Arial"/>
        </w:rPr>
        <w:t>Ethical approval was obtained from the University of Liverpool (Ref: RETH000836). Participants provided written informed consent prior to taking part in the study.</w:t>
      </w:r>
    </w:p>
    <w:p w14:paraId="2C4B41EB" w14:textId="77777777" w:rsidR="00974F76" w:rsidRDefault="00974F76" w:rsidP="00505E30">
      <w:pPr>
        <w:spacing w:after="0"/>
        <w:jc w:val="both"/>
        <w:rPr>
          <w:rFonts w:ascii="Arial" w:hAnsi="Arial" w:cs="Arial"/>
          <w:b/>
        </w:rPr>
      </w:pPr>
    </w:p>
    <w:p w14:paraId="5E2CABBC" w14:textId="77777777" w:rsidR="00974F76" w:rsidRDefault="00974F76" w:rsidP="00505E30">
      <w:pPr>
        <w:spacing w:after="0"/>
        <w:jc w:val="both"/>
        <w:rPr>
          <w:rFonts w:ascii="Arial" w:hAnsi="Arial" w:cs="Arial"/>
          <w:b/>
        </w:rPr>
      </w:pPr>
      <w:r>
        <w:rPr>
          <w:rFonts w:ascii="Arial" w:hAnsi="Arial" w:cs="Arial"/>
          <w:b/>
        </w:rPr>
        <w:t>Availability of data and material</w:t>
      </w:r>
    </w:p>
    <w:p w14:paraId="72C5438E" w14:textId="77777777" w:rsidR="00974F76" w:rsidRDefault="00974F76" w:rsidP="00974F76">
      <w:pPr>
        <w:jc w:val="both"/>
        <w:rPr>
          <w:rFonts w:ascii="Arial" w:hAnsi="Arial" w:cs="Arial"/>
          <w:b/>
        </w:rPr>
      </w:pPr>
      <w:r w:rsidRPr="00B70B69">
        <w:rPr>
          <w:rFonts w:ascii="Arial" w:hAnsi="Arial" w:cs="Arial"/>
        </w:rPr>
        <w:t>Users can obtain access to the ARC NWC HHS data files after submitting a brief proposal (including agreement to HHS’ conditions of use) at [info@pldr.org]. Users will also be required to outline which version of the survey dataset they wish to access, data security arrangements in place and how they meet the criteria for access. Access to the data will be authorized following approval from the PLDR governance board.</w:t>
      </w:r>
    </w:p>
    <w:p w14:paraId="14BD8CE2" w14:textId="77777777" w:rsidR="00974F76" w:rsidRDefault="00974F76" w:rsidP="00505E30">
      <w:pPr>
        <w:spacing w:after="0"/>
        <w:jc w:val="both"/>
        <w:rPr>
          <w:rFonts w:ascii="Arial" w:hAnsi="Arial" w:cs="Arial"/>
          <w:b/>
        </w:rPr>
      </w:pPr>
      <w:r>
        <w:rPr>
          <w:rFonts w:ascii="Arial" w:hAnsi="Arial" w:cs="Arial"/>
          <w:b/>
        </w:rPr>
        <w:t>Competing interests</w:t>
      </w:r>
    </w:p>
    <w:p w14:paraId="46D27BF7" w14:textId="77777777" w:rsidR="00974F76" w:rsidRDefault="00974F76" w:rsidP="00974F76">
      <w:pPr>
        <w:outlineLvl w:val="0"/>
        <w:rPr>
          <w:rFonts w:ascii="Arial" w:hAnsi="Arial" w:cs="Arial"/>
        </w:rPr>
      </w:pPr>
      <w:r w:rsidRPr="00C5485E">
        <w:rPr>
          <w:rFonts w:ascii="Arial" w:hAnsi="Arial" w:cs="Arial"/>
        </w:rPr>
        <w:t>The authors have no conflicts of interest to report.</w:t>
      </w:r>
    </w:p>
    <w:p w14:paraId="13EA7F9C" w14:textId="77777777" w:rsidR="00505E30" w:rsidRPr="00505E30" w:rsidRDefault="00B52451" w:rsidP="00505E30">
      <w:pPr>
        <w:spacing w:after="0"/>
        <w:jc w:val="both"/>
        <w:rPr>
          <w:rFonts w:ascii="Arial" w:hAnsi="Arial" w:cs="Arial"/>
          <w:b/>
          <w:bCs/>
          <w:color w:val="000000"/>
          <w:szCs w:val="24"/>
        </w:rPr>
      </w:pPr>
      <w:r>
        <w:rPr>
          <w:rFonts w:ascii="Arial" w:hAnsi="Arial" w:cs="Arial"/>
          <w:b/>
        </w:rPr>
        <w:t>F</w:t>
      </w:r>
      <w:r w:rsidR="00505E30">
        <w:rPr>
          <w:rFonts w:ascii="Arial" w:hAnsi="Arial" w:cs="Arial"/>
          <w:b/>
        </w:rPr>
        <w:t>unding</w:t>
      </w:r>
    </w:p>
    <w:p w14:paraId="262E4516" w14:textId="77777777" w:rsidR="00080F8D" w:rsidRDefault="00080F8D" w:rsidP="00505E30">
      <w:pPr>
        <w:spacing w:after="0"/>
        <w:jc w:val="both"/>
        <w:outlineLvl w:val="0"/>
        <w:rPr>
          <w:rFonts w:ascii="Arial" w:hAnsi="Arial" w:cs="Arial"/>
          <w:iCs/>
          <w:shd w:val="clear" w:color="auto" w:fill="FFFFFF"/>
        </w:rPr>
      </w:pPr>
      <w:r w:rsidRPr="00DA13BE">
        <w:rPr>
          <w:rFonts w:ascii="Arial" w:hAnsi="Arial" w:cs="Arial"/>
          <w:iCs/>
          <w:shd w:val="clear" w:color="auto" w:fill="FFFFFF"/>
        </w:rPr>
        <w:t>This report is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r w:rsidR="00B92447">
        <w:rPr>
          <w:rFonts w:ascii="Arial" w:hAnsi="Arial" w:cs="Arial"/>
          <w:iCs/>
          <w:shd w:val="clear" w:color="auto" w:fill="FFFFFF"/>
        </w:rPr>
        <w:t xml:space="preserve"> The funding body had no role in any aspect of this study, including the design, data collection, analysis, interpretation, and write up.</w:t>
      </w:r>
    </w:p>
    <w:p w14:paraId="581D266C" w14:textId="77777777" w:rsidR="00974F76" w:rsidRDefault="00974F76" w:rsidP="00505E30">
      <w:pPr>
        <w:spacing w:after="0"/>
        <w:jc w:val="both"/>
        <w:outlineLvl w:val="0"/>
        <w:rPr>
          <w:rFonts w:ascii="Arial" w:hAnsi="Arial" w:cs="Arial"/>
          <w:iCs/>
          <w:shd w:val="clear" w:color="auto" w:fill="FFFFFF"/>
        </w:rPr>
      </w:pPr>
    </w:p>
    <w:p w14:paraId="7157D75F" w14:textId="77777777" w:rsidR="00974F76" w:rsidRDefault="00974F76" w:rsidP="00505E30">
      <w:pPr>
        <w:spacing w:after="0"/>
        <w:jc w:val="both"/>
        <w:outlineLvl w:val="0"/>
        <w:rPr>
          <w:rFonts w:ascii="Calibri" w:hAnsi="Calibri" w:cs="Calibri"/>
          <w:i/>
          <w:iCs/>
          <w:color w:val="212121"/>
          <w:shd w:val="clear" w:color="auto" w:fill="FFFFFF"/>
        </w:rPr>
      </w:pPr>
      <w:r>
        <w:rPr>
          <w:rFonts w:ascii="Arial" w:hAnsi="Arial" w:cs="Arial"/>
          <w:b/>
          <w:iCs/>
          <w:shd w:val="clear" w:color="auto" w:fill="FFFFFF"/>
        </w:rPr>
        <w:t>Authors’ contributions</w:t>
      </w:r>
    </w:p>
    <w:p w14:paraId="51EE450E" w14:textId="77777777" w:rsidR="00974F76" w:rsidRPr="00974F76" w:rsidRDefault="00974F76" w:rsidP="00505E30">
      <w:pPr>
        <w:spacing w:after="0"/>
        <w:jc w:val="both"/>
        <w:outlineLvl w:val="0"/>
        <w:rPr>
          <w:rFonts w:ascii="Arial" w:hAnsi="Arial" w:cs="Arial"/>
          <w:iCs/>
          <w:color w:val="212121"/>
          <w:shd w:val="clear" w:color="auto" w:fill="FFFFFF"/>
        </w:rPr>
      </w:pPr>
      <w:r>
        <w:rPr>
          <w:rFonts w:ascii="Arial" w:hAnsi="Arial" w:cs="Arial"/>
          <w:iCs/>
          <w:color w:val="212121"/>
          <w:shd w:val="clear" w:color="auto" w:fill="FFFFFF"/>
        </w:rPr>
        <w:t>BB, AA, RC, MG, JP</w:t>
      </w:r>
      <w:r w:rsidR="00645B36">
        <w:rPr>
          <w:rFonts w:ascii="Arial" w:hAnsi="Arial" w:cs="Arial"/>
          <w:iCs/>
          <w:color w:val="212121"/>
          <w:shd w:val="clear" w:color="auto" w:fill="FFFFFF"/>
        </w:rPr>
        <w:t>, RB</w:t>
      </w:r>
      <w:r>
        <w:rPr>
          <w:rFonts w:ascii="Arial" w:hAnsi="Arial" w:cs="Arial"/>
          <w:iCs/>
          <w:color w:val="212121"/>
          <w:shd w:val="clear" w:color="auto" w:fill="FFFFFF"/>
        </w:rPr>
        <w:t xml:space="preserve"> designed the survey. CG drafted the manuscript. JCM performed statistical analysis. </w:t>
      </w:r>
      <w:r w:rsidR="00C96387">
        <w:rPr>
          <w:rFonts w:ascii="Arial" w:hAnsi="Arial" w:cs="Arial"/>
          <w:iCs/>
          <w:color w:val="212121"/>
          <w:shd w:val="clear" w:color="auto" w:fill="FFFFFF"/>
        </w:rPr>
        <w:t>JCM, AA, RC, KD, JD, MG, MP, JP, PW, KH, TW, RB, and BB</w:t>
      </w:r>
      <w:r>
        <w:rPr>
          <w:rFonts w:ascii="Arial" w:hAnsi="Arial" w:cs="Arial"/>
          <w:iCs/>
          <w:color w:val="212121"/>
          <w:shd w:val="clear" w:color="auto" w:fill="FFFFFF"/>
        </w:rPr>
        <w:t xml:space="preserve"> through drafts of the manuscript and approved the final version.</w:t>
      </w:r>
      <w:r w:rsidR="00231756">
        <w:rPr>
          <w:rFonts w:ascii="Arial" w:hAnsi="Arial" w:cs="Arial"/>
          <w:iCs/>
          <w:color w:val="212121"/>
          <w:shd w:val="clear" w:color="auto" w:fill="FFFFFF"/>
        </w:rPr>
        <w:t xml:space="preserve"> All authors have read and approved the final version.</w:t>
      </w:r>
    </w:p>
    <w:p w14:paraId="3CDC1981" w14:textId="77777777" w:rsidR="00974F76" w:rsidRDefault="00974F76" w:rsidP="00505E30">
      <w:pPr>
        <w:spacing w:after="0"/>
        <w:jc w:val="both"/>
        <w:outlineLvl w:val="0"/>
        <w:rPr>
          <w:rFonts w:ascii="Calibri" w:hAnsi="Calibri" w:cs="Calibri"/>
          <w:i/>
          <w:iCs/>
          <w:color w:val="212121"/>
          <w:shd w:val="clear" w:color="auto" w:fill="FFFFFF"/>
        </w:rPr>
      </w:pPr>
    </w:p>
    <w:p w14:paraId="62CB4786" w14:textId="77777777" w:rsidR="00505E30" w:rsidRDefault="00505E30" w:rsidP="00505E30">
      <w:pPr>
        <w:spacing w:after="0"/>
        <w:jc w:val="both"/>
        <w:outlineLvl w:val="0"/>
        <w:rPr>
          <w:rFonts w:ascii="Arial" w:hAnsi="Arial" w:cs="Arial"/>
        </w:rPr>
      </w:pPr>
      <w:r>
        <w:rPr>
          <w:rFonts w:ascii="Arial" w:hAnsi="Arial" w:cs="Arial"/>
          <w:b/>
        </w:rPr>
        <w:t>Acknowledgements</w:t>
      </w:r>
      <w:r w:rsidR="005051E8" w:rsidRPr="00505E30">
        <w:rPr>
          <w:rFonts w:ascii="Arial" w:hAnsi="Arial" w:cs="Arial"/>
        </w:rPr>
        <w:t xml:space="preserve"> </w:t>
      </w:r>
    </w:p>
    <w:p w14:paraId="2B83BB78" w14:textId="77777777" w:rsidR="0013637F" w:rsidRDefault="00EC7BE1" w:rsidP="001D1A68">
      <w:pPr>
        <w:jc w:val="both"/>
        <w:outlineLvl w:val="0"/>
        <w:rPr>
          <w:rFonts w:ascii="Arial" w:hAnsi="Arial" w:cs="Arial"/>
        </w:rPr>
      </w:pPr>
      <w:r>
        <w:rPr>
          <w:rFonts w:ascii="Arial" w:hAnsi="Arial" w:cs="Arial"/>
        </w:rPr>
        <w:t xml:space="preserve">We wish to thank </w:t>
      </w:r>
      <w:r w:rsidR="001B47E7">
        <w:rPr>
          <w:rFonts w:ascii="Arial" w:hAnsi="Arial" w:cs="Arial"/>
        </w:rPr>
        <w:t xml:space="preserve">BMG Research for their support in conducting this survey, and all residents who have participated in the survey. </w:t>
      </w:r>
    </w:p>
    <w:p w14:paraId="77BBB19F" w14:textId="77777777" w:rsidR="00B92447" w:rsidRDefault="00B92447" w:rsidP="00B92447">
      <w:pPr>
        <w:spacing w:after="0"/>
        <w:jc w:val="both"/>
        <w:outlineLvl w:val="0"/>
        <w:rPr>
          <w:rFonts w:ascii="Arial" w:hAnsi="Arial" w:cs="Arial"/>
          <w:b/>
        </w:rPr>
      </w:pPr>
      <w:r>
        <w:rPr>
          <w:rFonts w:ascii="Arial" w:hAnsi="Arial" w:cs="Arial"/>
          <w:b/>
        </w:rPr>
        <w:t>Consent for publication</w:t>
      </w:r>
    </w:p>
    <w:p w14:paraId="769A2874" w14:textId="77777777" w:rsidR="00B92447" w:rsidRPr="00B92447" w:rsidRDefault="00B92447" w:rsidP="001D1A68">
      <w:pPr>
        <w:jc w:val="both"/>
        <w:outlineLvl w:val="0"/>
        <w:rPr>
          <w:rFonts w:ascii="Arial" w:hAnsi="Arial" w:cs="Arial"/>
        </w:rPr>
      </w:pPr>
      <w:r>
        <w:rPr>
          <w:rFonts w:ascii="Arial" w:hAnsi="Arial" w:cs="Arial"/>
        </w:rPr>
        <w:t>Not applicable.</w:t>
      </w:r>
    </w:p>
    <w:p w14:paraId="130EE88C" w14:textId="77777777" w:rsidR="00A828C1" w:rsidRDefault="00A828C1" w:rsidP="00CE64BF">
      <w:pPr>
        <w:rPr>
          <w:rFonts w:ascii="Arial" w:hAnsi="Arial" w:cs="Arial"/>
        </w:rPr>
      </w:pPr>
    </w:p>
    <w:p w14:paraId="3DFC06D2" w14:textId="77777777" w:rsidR="008953E8" w:rsidRDefault="008953E8" w:rsidP="00CE64BF">
      <w:pPr>
        <w:rPr>
          <w:rFonts w:ascii="Arial" w:hAnsi="Arial" w:cs="Arial"/>
        </w:rPr>
      </w:pPr>
    </w:p>
    <w:p w14:paraId="089E7677" w14:textId="77777777" w:rsidR="00CE64BF" w:rsidRPr="00B43E41" w:rsidRDefault="00CE64BF" w:rsidP="00D360DB">
      <w:pPr>
        <w:outlineLvl w:val="0"/>
        <w:rPr>
          <w:rFonts w:ascii="Arial" w:hAnsi="Arial" w:cs="Arial"/>
          <w:b/>
          <w:sz w:val="24"/>
        </w:rPr>
      </w:pPr>
      <w:r w:rsidRPr="00B43E41">
        <w:rPr>
          <w:rFonts w:ascii="Arial" w:hAnsi="Arial" w:cs="Arial"/>
          <w:b/>
          <w:sz w:val="24"/>
        </w:rPr>
        <w:t>References</w:t>
      </w:r>
      <w:r w:rsidR="0054555B">
        <w:rPr>
          <w:rFonts w:ascii="Arial" w:hAnsi="Arial" w:cs="Arial"/>
          <w:b/>
          <w:sz w:val="24"/>
        </w:rPr>
        <w:t xml:space="preserve"> </w:t>
      </w:r>
    </w:p>
    <w:p w14:paraId="42337458" w14:textId="77777777" w:rsidR="00E9780B" w:rsidRDefault="00E9780B" w:rsidP="00E9780B">
      <w:pPr>
        <w:spacing w:after="0" w:line="240" w:lineRule="auto"/>
        <w:ind w:left="567" w:hanging="567"/>
        <w:jc w:val="both"/>
        <w:rPr>
          <w:rFonts w:ascii="Arial" w:hAnsi="Arial"/>
        </w:rPr>
      </w:pPr>
      <w:r>
        <w:rPr>
          <w:rFonts w:ascii="Arial" w:hAnsi="Arial"/>
        </w:rPr>
        <w:t xml:space="preserve">[1] </w:t>
      </w:r>
      <w:r>
        <w:rPr>
          <w:rFonts w:ascii="Arial" w:hAnsi="Arial"/>
        </w:rPr>
        <w:tab/>
      </w:r>
      <w:r w:rsidRPr="00F34D2A">
        <w:rPr>
          <w:rFonts w:ascii="Arial" w:hAnsi="Arial"/>
        </w:rPr>
        <w:t>WHO Commission on Social Determinants of Health, and World Health Organization. Closing the Gap in a Generation: Health Equity through Action on the Social Determinants of Health : Commission on Social Determinants of Health Final Report. Geneva, Switzerland: World Health Organization, Commission on Social Determinants of Health.</w:t>
      </w:r>
      <w:r>
        <w:rPr>
          <w:rFonts w:ascii="Arial" w:hAnsi="Arial"/>
        </w:rPr>
        <w:t xml:space="preserve"> 2008.</w:t>
      </w:r>
    </w:p>
    <w:p w14:paraId="4B0327E3" w14:textId="77777777" w:rsidR="00552455" w:rsidRDefault="00E9780B" w:rsidP="00552455">
      <w:pPr>
        <w:spacing w:after="0" w:line="240" w:lineRule="auto"/>
        <w:ind w:left="567" w:hanging="567"/>
        <w:jc w:val="both"/>
        <w:rPr>
          <w:rFonts w:ascii="Arial" w:hAnsi="Arial"/>
        </w:rPr>
      </w:pPr>
      <w:r>
        <w:rPr>
          <w:rFonts w:ascii="Arial" w:hAnsi="Arial"/>
        </w:rPr>
        <w:t xml:space="preserve">[2] </w:t>
      </w:r>
      <w:r>
        <w:rPr>
          <w:rFonts w:ascii="Arial" w:hAnsi="Arial"/>
        </w:rPr>
        <w:tab/>
      </w:r>
      <w:proofErr w:type="spellStart"/>
      <w:r w:rsidR="00552455">
        <w:rPr>
          <w:rFonts w:ascii="Arial" w:hAnsi="Arial"/>
        </w:rPr>
        <w:t>Grintsova</w:t>
      </w:r>
      <w:proofErr w:type="spellEnd"/>
      <w:r w:rsidR="00552455">
        <w:rPr>
          <w:rFonts w:ascii="Arial" w:hAnsi="Arial"/>
        </w:rPr>
        <w:t xml:space="preserve"> O, Maier W, </w:t>
      </w:r>
      <w:proofErr w:type="spellStart"/>
      <w:r w:rsidR="00552455">
        <w:rPr>
          <w:rFonts w:ascii="Arial" w:hAnsi="Arial"/>
        </w:rPr>
        <w:t>Mielck</w:t>
      </w:r>
      <w:proofErr w:type="spellEnd"/>
      <w:r w:rsidR="00552455">
        <w:rPr>
          <w:rFonts w:ascii="Arial" w:hAnsi="Arial"/>
        </w:rPr>
        <w:t xml:space="preserve"> A. Inequalities in health care among patients with type 2 diabetes by individual socio-economic status (SES) and regional deprivation: a systematic literature review. International Journal for Equity in Health 2014</w:t>
      </w:r>
      <w:proofErr w:type="gramStart"/>
      <w:r w:rsidR="00552455">
        <w:rPr>
          <w:rFonts w:ascii="Arial" w:hAnsi="Arial"/>
        </w:rPr>
        <w:t>;13:43</w:t>
      </w:r>
      <w:proofErr w:type="gramEnd"/>
      <w:r w:rsidR="00552455">
        <w:rPr>
          <w:rFonts w:ascii="Arial" w:hAnsi="Arial"/>
        </w:rPr>
        <w:t>.</w:t>
      </w:r>
    </w:p>
    <w:p w14:paraId="531E1A16" w14:textId="77777777" w:rsidR="00E9780B" w:rsidRDefault="00E9780B" w:rsidP="00E9780B">
      <w:pPr>
        <w:spacing w:after="0" w:line="240" w:lineRule="auto"/>
        <w:ind w:left="567" w:hanging="567"/>
        <w:jc w:val="both"/>
        <w:rPr>
          <w:rFonts w:ascii="Arial" w:hAnsi="Arial"/>
        </w:rPr>
      </w:pPr>
      <w:r>
        <w:rPr>
          <w:rFonts w:ascii="Arial" w:hAnsi="Arial"/>
        </w:rPr>
        <w:t>[3]</w:t>
      </w:r>
      <w:r>
        <w:rPr>
          <w:rFonts w:ascii="Arial" w:hAnsi="Arial"/>
        </w:rPr>
        <w:tab/>
      </w:r>
      <w:r w:rsidR="00552455">
        <w:rPr>
          <w:rFonts w:ascii="Arial" w:hAnsi="Arial"/>
        </w:rPr>
        <w:t xml:space="preserve">Institute of Health Equity. </w:t>
      </w:r>
      <w:r>
        <w:rPr>
          <w:rFonts w:ascii="Arial" w:hAnsi="Arial"/>
        </w:rPr>
        <w:t xml:space="preserve">Marmot Indicators Briefing 2017. </w:t>
      </w:r>
      <w:hyperlink r:id="rId9" w:history="1">
        <w:r w:rsidRPr="00643ED3">
          <w:rPr>
            <w:rStyle w:val="Hyperlink"/>
            <w:rFonts w:ascii="Arial" w:hAnsi="Arial"/>
          </w:rPr>
          <w:t>http://www.instituteofhealthequity.org/resources-reports/marmot-indicators-2017-institute-of-health-equity-briefing/marmot-indicators-briefing-2017-updated.pdf</w:t>
        </w:r>
      </w:hyperlink>
      <w:r w:rsidR="00C31178">
        <w:rPr>
          <w:rFonts w:ascii="Arial" w:hAnsi="Arial"/>
        </w:rPr>
        <w:t xml:space="preserve"> (last accessed 19.04.2018), 2017.</w:t>
      </w:r>
    </w:p>
    <w:p w14:paraId="44DBAA0A" w14:textId="77777777" w:rsidR="00E9780B" w:rsidRDefault="00E9780B" w:rsidP="00E9780B">
      <w:pPr>
        <w:autoSpaceDE w:val="0"/>
        <w:autoSpaceDN w:val="0"/>
        <w:adjustRightInd w:val="0"/>
        <w:spacing w:after="0" w:line="240" w:lineRule="auto"/>
        <w:ind w:left="567" w:hanging="567"/>
        <w:jc w:val="both"/>
        <w:rPr>
          <w:rFonts w:ascii="Arial" w:hAnsi="Arial" w:cs="Arial"/>
          <w:szCs w:val="24"/>
        </w:rPr>
      </w:pPr>
      <w:r w:rsidRPr="005C2ADC">
        <w:rPr>
          <w:rFonts w:ascii="Arial" w:hAnsi="Arial" w:cs="Arial"/>
          <w:szCs w:val="24"/>
          <w:lang w:val="nl-NL"/>
        </w:rPr>
        <w:t xml:space="preserve">[4] </w:t>
      </w:r>
      <w:r w:rsidRPr="005C2ADC">
        <w:rPr>
          <w:rFonts w:ascii="Arial" w:hAnsi="Arial" w:cs="Arial"/>
          <w:szCs w:val="24"/>
          <w:lang w:val="nl-NL"/>
        </w:rPr>
        <w:tab/>
        <w:t xml:space="preserve">Bennett JE, Li G, Foreman K, et al. </w:t>
      </w:r>
      <w:r>
        <w:rPr>
          <w:rFonts w:ascii="Arial" w:hAnsi="Arial" w:cs="Arial"/>
          <w:szCs w:val="24"/>
        </w:rPr>
        <w:t>The future of life expectancy and life expectancy inequalities in England and Wales: Bayesian spatiotemporal forecasting. Lancet 2015; 386(9989):163-170.</w:t>
      </w:r>
    </w:p>
    <w:p w14:paraId="3A1718A0" w14:textId="77777777" w:rsidR="00E9780B" w:rsidRPr="00DC12F0" w:rsidRDefault="00E9780B" w:rsidP="00E9780B">
      <w:pPr>
        <w:spacing w:after="0" w:line="240" w:lineRule="auto"/>
        <w:ind w:left="567" w:hanging="567"/>
        <w:jc w:val="both"/>
        <w:rPr>
          <w:rFonts w:ascii="Arial" w:hAnsi="Arial"/>
        </w:rPr>
      </w:pPr>
      <w:r>
        <w:rPr>
          <w:rFonts w:ascii="Arial" w:hAnsi="Arial"/>
        </w:rPr>
        <w:t xml:space="preserve">[5] </w:t>
      </w:r>
      <w:r>
        <w:rPr>
          <w:rFonts w:ascii="Arial" w:hAnsi="Arial"/>
        </w:rPr>
        <w:tab/>
      </w:r>
      <w:r w:rsidR="00DC12F0">
        <w:rPr>
          <w:rFonts w:ascii="Arial" w:hAnsi="Arial"/>
        </w:rPr>
        <w:t xml:space="preserve">World Health Organization. </w:t>
      </w:r>
      <w:r w:rsidR="00DC12F0">
        <w:rPr>
          <w:rFonts w:ascii="Arial" w:hAnsi="Arial"/>
          <w:i/>
        </w:rPr>
        <w:t xml:space="preserve">Healthy, prosperous lives for all: the European Health Equity Status Report (2019). </w:t>
      </w:r>
      <w:r w:rsidR="00DC12F0">
        <w:rPr>
          <w:rFonts w:ascii="Arial" w:hAnsi="Arial"/>
        </w:rPr>
        <w:t>Copenhagen, Denmark 2019: WHO.</w:t>
      </w:r>
    </w:p>
    <w:p w14:paraId="2318878C" w14:textId="77777777" w:rsidR="00E9780B" w:rsidRDefault="00E9780B" w:rsidP="00E9780B">
      <w:pPr>
        <w:autoSpaceDE w:val="0"/>
        <w:autoSpaceDN w:val="0"/>
        <w:adjustRightInd w:val="0"/>
        <w:spacing w:after="0" w:line="240" w:lineRule="auto"/>
        <w:ind w:left="567" w:hanging="567"/>
        <w:jc w:val="both"/>
        <w:rPr>
          <w:rFonts w:ascii="Arial" w:hAnsi="Arial" w:cs="Arial"/>
          <w:szCs w:val="24"/>
        </w:rPr>
      </w:pPr>
      <w:r>
        <w:rPr>
          <w:rFonts w:ascii="Arial" w:hAnsi="Arial" w:cs="Arial"/>
          <w:szCs w:val="24"/>
        </w:rPr>
        <w:t>[6]</w:t>
      </w:r>
      <w:r>
        <w:rPr>
          <w:rFonts w:ascii="Arial" w:hAnsi="Arial" w:cs="Arial"/>
          <w:szCs w:val="24"/>
        </w:rPr>
        <w:tab/>
        <w:t xml:space="preserve">Cookson R, Propper C, </w:t>
      </w:r>
      <w:proofErr w:type="spellStart"/>
      <w:r>
        <w:rPr>
          <w:rFonts w:ascii="Arial" w:hAnsi="Arial" w:cs="Arial"/>
          <w:szCs w:val="24"/>
        </w:rPr>
        <w:t>Asaria</w:t>
      </w:r>
      <w:proofErr w:type="spellEnd"/>
      <w:r>
        <w:rPr>
          <w:rFonts w:ascii="Arial" w:hAnsi="Arial" w:cs="Arial"/>
          <w:szCs w:val="24"/>
        </w:rPr>
        <w:t xml:space="preserve"> M, Raine R. Socio-Economic Inequalities in Health Care in England. Fiscal Studies: The Journal of Applied Public Economics 2016</w:t>
      </w:r>
      <w:proofErr w:type="gramStart"/>
      <w:r>
        <w:rPr>
          <w:rFonts w:ascii="Arial" w:hAnsi="Arial" w:cs="Arial"/>
          <w:szCs w:val="24"/>
        </w:rPr>
        <w:t>;37:371</w:t>
      </w:r>
      <w:proofErr w:type="gramEnd"/>
      <w:r>
        <w:rPr>
          <w:rFonts w:ascii="Arial" w:hAnsi="Arial" w:cs="Arial"/>
          <w:szCs w:val="24"/>
        </w:rPr>
        <w:t>-403.</w:t>
      </w:r>
    </w:p>
    <w:p w14:paraId="7F14BC07" w14:textId="77777777" w:rsidR="00E9780B" w:rsidRDefault="00E9780B" w:rsidP="00E9780B">
      <w:pPr>
        <w:spacing w:after="0" w:line="240" w:lineRule="auto"/>
        <w:ind w:left="567" w:hanging="567"/>
        <w:jc w:val="both"/>
        <w:rPr>
          <w:rFonts w:ascii="Arial" w:hAnsi="Arial"/>
        </w:rPr>
      </w:pPr>
      <w:r>
        <w:rPr>
          <w:rFonts w:ascii="Arial" w:hAnsi="Arial"/>
        </w:rPr>
        <w:t>[7]</w:t>
      </w:r>
      <w:r>
        <w:rPr>
          <w:rFonts w:ascii="Arial" w:hAnsi="Arial"/>
        </w:rPr>
        <w:tab/>
      </w:r>
      <w:proofErr w:type="spellStart"/>
      <w:r>
        <w:rPr>
          <w:rFonts w:ascii="Arial" w:hAnsi="Arial"/>
        </w:rPr>
        <w:t>Eibich</w:t>
      </w:r>
      <w:proofErr w:type="spellEnd"/>
      <w:r>
        <w:rPr>
          <w:rFonts w:ascii="Arial" w:hAnsi="Arial"/>
        </w:rPr>
        <w:t xml:space="preserve"> P, </w:t>
      </w:r>
      <w:proofErr w:type="spellStart"/>
      <w:r>
        <w:rPr>
          <w:rFonts w:ascii="Arial" w:hAnsi="Arial"/>
        </w:rPr>
        <w:t>Ziebarth</w:t>
      </w:r>
      <w:proofErr w:type="spellEnd"/>
      <w:r>
        <w:rPr>
          <w:rFonts w:ascii="Arial" w:hAnsi="Arial"/>
        </w:rPr>
        <w:t xml:space="preserve"> NR. Analyzing regional variation in health care utilization using (rich) household microdata. Health Policy 2014;114(1):41-53.</w:t>
      </w:r>
    </w:p>
    <w:p w14:paraId="597E6542" w14:textId="77777777" w:rsidR="00E9780B" w:rsidRDefault="00E9780B" w:rsidP="00E9780B">
      <w:pPr>
        <w:autoSpaceDE w:val="0"/>
        <w:autoSpaceDN w:val="0"/>
        <w:adjustRightInd w:val="0"/>
        <w:spacing w:after="0" w:line="240" w:lineRule="auto"/>
        <w:ind w:left="567" w:hanging="567"/>
        <w:jc w:val="both"/>
        <w:rPr>
          <w:rFonts w:ascii="Arial" w:hAnsi="Arial" w:cs="Arial"/>
          <w:szCs w:val="24"/>
        </w:rPr>
      </w:pPr>
      <w:r>
        <w:rPr>
          <w:rFonts w:ascii="Arial" w:hAnsi="Arial"/>
        </w:rPr>
        <w:t>[</w:t>
      </w:r>
      <w:r w:rsidR="00552455">
        <w:rPr>
          <w:rFonts w:ascii="Arial" w:hAnsi="Arial"/>
        </w:rPr>
        <w:t>8</w:t>
      </w:r>
      <w:r>
        <w:rPr>
          <w:rFonts w:ascii="Arial" w:hAnsi="Arial"/>
        </w:rPr>
        <w:t>]</w:t>
      </w:r>
      <w:r>
        <w:rPr>
          <w:rFonts w:ascii="Arial" w:hAnsi="Arial"/>
        </w:rPr>
        <w:tab/>
        <w:t>Morris S, Sutton M, Gravelle H. Inequity and inequality in the use of health care in England: an empirical investigation. Social Science &amp; Medicine 2005;60(6):1251-1266.</w:t>
      </w:r>
    </w:p>
    <w:p w14:paraId="60FF739C" w14:textId="77777777" w:rsidR="00503E7E" w:rsidRDefault="00552455" w:rsidP="00E9780B">
      <w:pPr>
        <w:autoSpaceDE w:val="0"/>
        <w:autoSpaceDN w:val="0"/>
        <w:adjustRightInd w:val="0"/>
        <w:spacing w:after="0" w:line="240" w:lineRule="auto"/>
        <w:ind w:left="567" w:hanging="567"/>
        <w:jc w:val="both"/>
        <w:rPr>
          <w:rFonts w:ascii="Arial" w:hAnsi="Arial" w:cs="Arial"/>
          <w:szCs w:val="24"/>
        </w:rPr>
      </w:pPr>
      <w:r>
        <w:rPr>
          <w:rFonts w:ascii="Arial" w:hAnsi="Arial" w:cs="Arial"/>
          <w:szCs w:val="24"/>
        </w:rPr>
        <w:t>[9</w:t>
      </w:r>
      <w:r w:rsidR="008A5B7F">
        <w:rPr>
          <w:rFonts w:ascii="Arial" w:hAnsi="Arial" w:cs="Arial"/>
          <w:szCs w:val="24"/>
        </w:rPr>
        <w:t>]</w:t>
      </w:r>
      <w:r w:rsidR="008A5B7F">
        <w:rPr>
          <w:rFonts w:ascii="Arial" w:hAnsi="Arial" w:cs="Arial"/>
          <w:szCs w:val="24"/>
        </w:rPr>
        <w:tab/>
      </w:r>
      <w:r w:rsidR="00503E7E">
        <w:rPr>
          <w:rFonts w:ascii="Arial" w:hAnsi="Arial" w:cs="Arial"/>
          <w:szCs w:val="24"/>
        </w:rPr>
        <w:t xml:space="preserve">Allen J, Balfour R, Bell R, Marmot M. Social determinants of mental health. Int Review </w:t>
      </w:r>
      <w:proofErr w:type="spellStart"/>
      <w:r w:rsidR="00503E7E">
        <w:rPr>
          <w:rFonts w:ascii="Arial" w:hAnsi="Arial" w:cs="Arial"/>
          <w:szCs w:val="24"/>
        </w:rPr>
        <w:t>Psychiatr</w:t>
      </w:r>
      <w:proofErr w:type="spellEnd"/>
      <w:r w:rsidR="00503E7E">
        <w:rPr>
          <w:rFonts w:ascii="Arial" w:hAnsi="Arial" w:cs="Arial"/>
          <w:szCs w:val="24"/>
        </w:rPr>
        <w:t xml:space="preserve"> 2014</w:t>
      </w:r>
      <w:proofErr w:type="gramStart"/>
      <w:r w:rsidR="00503E7E">
        <w:rPr>
          <w:rFonts w:ascii="Arial" w:hAnsi="Arial" w:cs="Arial"/>
          <w:szCs w:val="24"/>
        </w:rPr>
        <w:t>;26:392</w:t>
      </w:r>
      <w:proofErr w:type="gramEnd"/>
      <w:r w:rsidR="00503E7E">
        <w:rPr>
          <w:rFonts w:ascii="Arial" w:hAnsi="Arial" w:cs="Arial"/>
          <w:szCs w:val="24"/>
        </w:rPr>
        <w:t>-407.</w:t>
      </w:r>
    </w:p>
    <w:p w14:paraId="43031152" w14:textId="77777777" w:rsidR="00E9780B" w:rsidRDefault="00552455" w:rsidP="00E9780B">
      <w:pPr>
        <w:spacing w:after="0" w:line="240" w:lineRule="auto"/>
        <w:ind w:left="567" w:hanging="567"/>
        <w:jc w:val="both"/>
        <w:rPr>
          <w:rFonts w:ascii="Arial" w:hAnsi="Arial"/>
        </w:rPr>
      </w:pPr>
      <w:r>
        <w:rPr>
          <w:rFonts w:ascii="Arial" w:hAnsi="Arial"/>
        </w:rPr>
        <w:t>[10</w:t>
      </w:r>
      <w:r w:rsidR="00E9780B">
        <w:rPr>
          <w:rFonts w:ascii="Arial" w:hAnsi="Arial"/>
        </w:rPr>
        <w:t>]</w:t>
      </w:r>
      <w:r w:rsidR="00E9780B">
        <w:rPr>
          <w:rFonts w:ascii="Arial" w:hAnsi="Arial"/>
        </w:rPr>
        <w:tab/>
        <w:t>Meyer OL, Castro-</w:t>
      </w:r>
      <w:proofErr w:type="spellStart"/>
      <w:r w:rsidR="00E9780B">
        <w:rPr>
          <w:rFonts w:ascii="Arial" w:hAnsi="Arial"/>
        </w:rPr>
        <w:t>Schilo</w:t>
      </w:r>
      <w:proofErr w:type="spellEnd"/>
      <w:r w:rsidR="00E9780B">
        <w:rPr>
          <w:rFonts w:ascii="Arial" w:hAnsi="Arial"/>
        </w:rPr>
        <w:t xml:space="preserve"> L, Aguilar-</w:t>
      </w:r>
      <w:proofErr w:type="spellStart"/>
      <w:r w:rsidR="00E9780B">
        <w:rPr>
          <w:rFonts w:ascii="Arial" w:hAnsi="Arial"/>
        </w:rPr>
        <w:t>Gaxiola</w:t>
      </w:r>
      <w:proofErr w:type="spellEnd"/>
      <w:r w:rsidR="00E9780B">
        <w:rPr>
          <w:rFonts w:ascii="Arial" w:hAnsi="Arial"/>
        </w:rPr>
        <w:t xml:space="preserve"> S. Determinants of Mental Health and Self-Rated Health: A Model of Socioeconomic Status, </w:t>
      </w:r>
      <w:proofErr w:type="spellStart"/>
      <w:r w:rsidR="00E9780B">
        <w:rPr>
          <w:rFonts w:ascii="Arial" w:hAnsi="Arial"/>
        </w:rPr>
        <w:t>Neighbourhood</w:t>
      </w:r>
      <w:proofErr w:type="spellEnd"/>
      <w:r w:rsidR="00E9780B">
        <w:rPr>
          <w:rFonts w:ascii="Arial" w:hAnsi="Arial"/>
        </w:rPr>
        <w:t xml:space="preserve"> Safety, and Physical Activity. Am J Public Health 2014;104(9):1734-1741.</w:t>
      </w:r>
    </w:p>
    <w:p w14:paraId="67BC54F9" w14:textId="77777777" w:rsidR="00E9780B" w:rsidRDefault="00552455" w:rsidP="00E9780B">
      <w:pPr>
        <w:spacing w:after="0" w:line="240" w:lineRule="auto"/>
        <w:ind w:left="567" w:hanging="567"/>
        <w:jc w:val="both"/>
        <w:rPr>
          <w:rFonts w:ascii="Arial" w:hAnsi="Arial" w:cs="Arial"/>
          <w:color w:val="222222"/>
          <w:shd w:val="clear" w:color="auto" w:fill="FFFFFF"/>
        </w:rPr>
      </w:pPr>
      <w:r>
        <w:rPr>
          <w:rFonts w:ascii="Arial" w:hAnsi="Arial" w:cs="Arial"/>
          <w:color w:val="222222"/>
          <w:shd w:val="clear" w:color="auto" w:fill="FFFFFF"/>
        </w:rPr>
        <w:t>[11</w:t>
      </w:r>
      <w:r w:rsidR="00E9780B">
        <w:rPr>
          <w:rFonts w:ascii="Arial" w:hAnsi="Arial" w:cs="Arial"/>
          <w:color w:val="222222"/>
          <w:shd w:val="clear" w:color="auto" w:fill="FFFFFF"/>
        </w:rPr>
        <w:t>]</w:t>
      </w:r>
      <w:r w:rsidR="00E9780B">
        <w:rPr>
          <w:rFonts w:ascii="Arial" w:hAnsi="Arial" w:cs="Arial"/>
          <w:color w:val="222222"/>
          <w:shd w:val="clear" w:color="auto" w:fill="FFFFFF"/>
        </w:rPr>
        <w:tab/>
      </w:r>
      <w:r w:rsidR="00E9780B" w:rsidRPr="00C31178">
        <w:rPr>
          <w:rFonts w:ascii="Arial" w:hAnsi="Arial" w:cs="Arial"/>
          <w:shd w:val="clear" w:color="auto" w:fill="FFFFFF"/>
        </w:rPr>
        <w:t xml:space="preserve">Williamson S, McGregor-Shenton M, Brumble B, et al. Deprivation and healthy food access, cost and availability: a cross-sectional study. J Human Nutrition Dietetics 2017; </w:t>
      </w:r>
      <w:proofErr w:type="spellStart"/>
      <w:r w:rsidR="00E9780B" w:rsidRPr="00C31178">
        <w:rPr>
          <w:rFonts w:ascii="Arial" w:hAnsi="Arial" w:cs="Arial"/>
          <w:shd w:val="clear" w:color="auto" w:fill="FFFFFF"/>
        </w:rPr>
        <w:t>doi</w:t>
      </w:r>
      <w:proofErr w:type="spellEnd"/>
      <w:r w:rsidR="00E9780B" w:rsidRPr="00C31178">
        <w:rPr>
          <w:rFonts w:ascii="Arial" w:hAnsi="Arial" w:cs="Arial"/>
          <w:shd w:val="clear" w:color="auto" w:fill="FFFFFF"/>
        </w:rPr>
        <w:t xml:space="preserve">: </w:t>
      </w:r>
      <w:r w:rsidR="00E9780B" w:rsidRPr="00C31178">
        <w:rPr>
          <w:rFonts w:ascii="Arial" w:hAnsi="Arial" w:cs="Arial"/>
          <w:szCs w:val="21"/>
          <w:shd w:val="clear" w:color="auto" w:fill="FFFFFF"/>
        </w:rPr>
        <w:t>10.1111/jhn.12489</w:t>
      </w:r>
    </w:p>
    <w:p w14:paraId="3F14BAA9" w14:textId="77777777" w:rsidR="00552455" w:rsidRDefault="00552455" w:rsidP="00E9780B">
      <w:pPr>
        <w:spacing w:after="0" w:line="240" w:lineRule="auto"/>
        <w:ind w:left="567" w:hanging="567"/>
        <w:jc w:val="both"/>
        <w:rPr>
          <w:rFonts w:ascii="Arial" w:hAnsi="Arial"/>
        </w:rPr>
      </w:pPr>
      <w:r>
        <w:rPr>
          <w:rFonts w:ascii="Arial" w:hAnsi="Arial"/>
        </w:rPr>
        <w:t>[12]</w:t>
      </w:r>
      <w:r>
        <w:rPr>
          <w:rFonts w:ascii="Arial" w:hAnsi="Arial"/>
        </w:rPr>
        <w:tab/>
      </w:r>
      <w:r w:rsidRPr="00C31178">
        <w:rPr>
          <w:rFonts w:ascii="Arial" w:hAnsi="Arial" w:cs="Arial"/>
          <w:lang w:val="es-ES"/>
        </w:rPr>
        <w:t>Popay</w:t>
      </w:r>
      <w:r w:rsidR="00C31178">
        <w:rPr>
          <w:rFonts w:ascii="Arial" w:hAnsi="Arial" w:cs="Arial"/>
          <w:lang w:val="es-ES"/>
        </w:rPr>
        <w:t xml:space="preserve"> J</w:t>
      </w:r>
      <w:r w:rsidRPr="00C31178">
        <w:rPr>
          <w:rFonts w:ascii="Arial" w:hAnsi="Arial" w:cs="Arial"/>
          <w:lang w:val="es-ES"/>
        </w:rPr>
        <w:t>M, Porroche-Escudero A, Sadler G</w:t>
      </w:r>
      <w:r w:rsidR="00C31178">
        <w:rPr>
          <w:rFonts w:ascii="Arial" w:hAnsi="Arial" w:cs="Arial"/>
          <w:b/>
          <w:bCs/>
        </w:rPr>
        <w:t>,</w:t>
      </w:r>
      <w:r w:rsidR="00C31178" w:rsidRPr="00C31178">
        <w:rPr>
          <w:rFonts w:ascii="Arial" w:hAnsi="Arial" w:cs="Arial"/>
          <w:lang w:val="es-ES"/>
        </w:rPr>
        <w:t xml:space="preserve"> Simpson S. </w:t>
      </w:r>
      <w:r w:rsidR="00C31178" w:rsidRPr="00C31178">
        <w:rPr>
          <w:rFonts w:ascii="Arial" w:hAnsi="Arial" w:cs="Arial"/>
        </w:rPr>
        <w:t xml:space="preserve"> </w:t>
      </w:r>
      <w:r w:rsidRPr="00C31178">
        <w:rPr>
          <w:rFonts w:ascii="Arial" w:hAnsi="Arial" w:cs="Arial"/>
        </w:rPr>
        <w:t>The CLAHRC NWC Health Inequalities Assessment Toolkit V.3. Lancaster: NIHR CLAHRC NWC</w:t>
      </w:r>
      <w:r w:rsidR="00C31178" w:rsidRPr="00C31178">
        <w:rPr>
          <w:rFonts w:ascii="Arial" w:hAnsi="Arial" w:cs="Arial"/>
        </w:rPr>
        <w:t>, 2017</w:t>
      </w:r>
      <w:r w:rsidRPr="00552455">
        <w:rPr>
          <w:rFonts w:ascii="Arial" w:hAnsi="Arial" w:cs="Arial"/>
          <w:color w:val="212121"/>
        </w:rPr>
        <w:t>.</w:t>
      </w:r>
    </w:p>
    <w:p w14:paraId="1949B5F2" w14:textId="77777777" w:rsidR="00E9780B" w:rsidRDefault="00E9780B" w:rsidP="00E9780B">
      <w:pPr>
        <w:spacing w:after="0" w:line="240" w:lineRule="auto"/>
        <w:ind w:left="567" w:hanging="567"/>
        <w:jc w:val="both"/>
        <w:rPr>
          <w:rFonts w:ascii="Arial" w:hAnsi="Arial"/>
        </w:rPr>
      </w:pPr>
      <w:r>
        <w:rPr>
          <w:rFonts w:ascii="Arial" w:hAnsi="Arial"/>
        </w:rPr>
        <w:t>[13]</w:t>
      </w:r>
      <w:r>
        <w:rPr>
          <w:rFonts w:ascii="Arial" w:hAnsi="Arial"/>
        </w:rPr>
        <w:tab/>
        <w:t>Office for National Statistics. The English Indices of Deprivation 2015. Deprivation for Communities and Local Government, London: 2017.</w:t>
      </w:r>
    </w:p>
    <w:p w14:paraId="3BD5C281" w14:textId="77777777" w:rsidR="002D7CA1" w:rsidRDefault="008A5B7F" w:rsidP="00787E19">
      <w:pPr>
        <w:autoSpaceDE w:val="0"/>
        <w:autoSpaceDN w:val="0"/>
        <w:adjustRightInd w:val="0"/>
        <w:spacing w:after="0" w:line="240" w:lineRule="auto"/>
        <w:ind w:left="567" w:hanging="567"/>
        <w:jc w:val="both"/>
        <w:rPr>
          <w:rFonts w:ascii="Arial" w:hAnsi="Arial"/>
        </w:rPr>
      </w:pPr>
      <w:r>
        <w:rPr>
          <w:rFonts w:ascii="Arial" w:hAnsi="Arial" w:cs="Arial"/>
          <w:szCs w:val="24"/>
        </w:rPr>
        <w:lastRenderedPageBreak/>
        <w:t>[14]</w:t>
      </w:r>
      <w:r>
        <w:rPr>
          <w:rFonts w:ascii="Arial" w:hAnsi="Arial" w:cs="Arial"/>
          <w:szCs w:val="24"/>
        </w:rPr>
        <w:tab/>
      </w:r>
      <w:proofErr w:type="spellStart"/>
      <w:r w:rsidR="00C539FD">
        <w:rPr>
          <w:rFonts w:ascii="Arial" w:hAnsi="Arial" w:cs="Arial"/>
          <w:szCs w:val="24"/>
        </w:rPr>
        <w:t>Braveman</w:t>
      </w:r>
      <w:proofErr w:type="spellEnd"/>
      <w:r w:rsidR="00C539FD">
        <w:rPr>
          <w:rFonts w:ascii="Arial" w:hAnsi="Arial" w:cs="Arial"/>
          <w:szCs w:val="24"/>
        </w:rPr>
        <w:t xml:space="preserve"> P, Gottlieb L. The Social Determinants of Health: It’s Time to Consider the Causes of the Causes. Public Health Reports 2014;129: </w:t>
      </w:r>
      <w:r w:rsidR="001D428B">
        <w:rPr>
          <w:rFonts w:ascii="Arial" w:hAnsi="Arial" w:cs="Arial"/>
          <w:szCs w:val="24"/>
        </w:rPr>
        <w:t>19-31.</w:t>
      </w:r>
    </w:p>
    <w:p w14:paraId="1293B48B" w14:textId="77777777" w:rsidR="001E10D5" w:rsidRDefault="001E10D5" w:rsidP="001E10D5">
      <w:pPr>
        <w:spacing w:after="0" w:line="240" w:lineRule="auto"/>
        <w:ind w:left="567" w:hanging="567"/>
        <w:jc w:val="both"/>
        <w:rPr>
          <w:rFonts w:ascii="Arial" w:hAnsi="Arial" w:cs="Arial"/>
        </w:rPr>
      </w:pPr>
      <w:r>
        <w:rPr>
          <w:rFonts w:ascii="Arial" w:hAnsi="Arial" w:cs="Arial"/>
        </w:rPr>
        <w:t>[15]</w:t>
      </w:r>
      <w:r>
        <w:rPr>
          <w:rFonts w:ascii="Arial" w:hAnsi="Arial" w:cs="Arial"/>
        </w:rPr>
        <w:tab/>
        <w:t>Kroenke K, Spitzer RL, Williams JB. The PHQ-9: validity of a brief depression severity measure. J Gen Intern Med 2001; 16(9), 606-613.</w:t>
      </w:r>
    </w:p>
    <w:p w14:paraId="4781FEA1" w14:textId="77777777" w:rsidR="001E10D5" w:rsidRDefault="001E10D5" w:rsidP="001E10D5">
      <w:pPr>
        <w:spacing w:after="0" w:line="240" w:lineRule="auto"/>
        <w:ind w:left="567" w:hanging="567"/>
        <w:jc w:val="both"/>
        <w:rPr>
          <w:rFonts w:ascii="Arial" w:hAnsi="Arial" w:cs="Arial"/>
        </w:rPr>
      </w:pPr>
      <w:r>
        <w:rPr>
          <w:rFonts w:ascii="Arial" w:hAnsi="Arial" w:cs="Arial"/>
        </w:rPr>
        <w:t>[16]</w:t>
      </w:r>
      <w:r>
        <w:rPr>
          <w:rFonts w:ascii="Arial" w:hAnsi="Arial" w:cs="Arial"/>
        </w:rPr>
        <w:tab/>
        <w:t>Spitzer RL, Kroenke K, Williams JB, Lowe B. A brief measure for assessing generalized anxiety disorder: the GAD-7. Arch Intern Med 2006;16(10):1092-1097.</w:t>
      </w:r>
    </w:p>
    <w:p w14:paraId="611240ED" w14:textId="77777777" w:rsidR="001E10D5" w:rsidRDefault="001E10D5" w:rsidP="001E10D5">
      <w:pPr>
        <w:spacing w:after="0" w:line="240" w:lineRule="auto"/>
        <w:ind w:left="567" w:hanging="567"/>
        <w:jc w:val="both"/>
        <w:rPr>
          <w:rFonts w:ascii="Arial" w:hAnsi="Arial" w:cs="Arial"/>
        </w:rPr>
      </w:pPr>
      <w:r>
        <w:rPr>
          <w:rFonts w:ascii="Arial" w:hAnsi="Arial" w:cs="Arial"/>
        </w:rPr>
        <w:t>[17]</w:t>
      </w:r>
      <w:r>
        <w:rPr>
          <w:rFonts w:ascii="Arial" w:hAnsi="Arial" w:cs="Arial"/>
        </w:rPr>
        <w:tab/>
        <w:t>Tennant R, Hiller L, Fishwick R, et al. The Warwick-Edinburgh Mental Well-being Scale (WEMWBS): development and UK validation. Health Qual Life Outcomes 2007</w:t>
      </w:r>
      <w:proofErr w:type="gramStart"/>
      <w:r>
        <w:rPr>
          <w:rFonts w:ascii="Arial" w:hAnsi="Arial" w:cs="Arial"/>
        </w:rPr>
        <w:t>;5:63</w:t>
      </w:r>
      <w:proofErr w:type="gramEnd"/>
      <w:r>
        <w:rPr>
          <w:rFonts w:ascii="Arial" w:hAnsi="Arial" w:cs="Arial"/>
        </w:rPr>
        <w:t>.</w:t>
      </w:r>
    </w:p>
    <w:p w14:paraId="1451A728" w14:textId="77777777" w:rsidR="001E10D5" w:rsidRDefault="001E10D5" w:rsidP="001E10D5">
      <w:pPr>
        <w:spacing w:after="0" w:line="240" w:lineRule="auto"/>
        <w:ind w:left="567" w:hanging="567"/>
        <w:jc w:val="both"/>
        <w:rPr>
          <w:rFonts w:ascii="Arial" w:hAnsi="Arial" w:cs="Arial"/>
        </w:rPr>
      </w:pPr>
      <w:r>
        <w:rPr>
          <w:rFonts w:ascii="Arial" w:hAnsi="Arial" w:cs="Arial"/>
        </w:rPr>
        <w:t>[18]</w:t>
      </w:r>
      <w:r>
        <w:rPr>
          <w:rFonts w:ascii="Arial" w:hAnsi="Arial" w:cs="Arial"/>
        </w:rPr>
        <w:tab/>
      </w:r>
      <w:proofErr w:type="spellStart"/>
      <w:r>
        <w:rPr>
          <w:rFonts w:ascii="Arial" w:hAnsi="Arial" w:cs="Arial"/>
        </w:rPr>
        <w:t>EuroQoL</w:t>
      </w:r>
      <w:proofErr w:type="spellEnd"/>
      <w:r>
        <w:rPr>
          <w:rFonts w:ascii="Arial" w:hAnsi="Arial" w:cs="Arial"/>
        </w:rPr>
        <w:t xml:space="preserve"> Group. </w:t>
      </w:r>
      <w:proofErr w:type="spellStart"/>
      <w:r>
        <w:rPr>
          <w:rFonts w:ascii="Arial" w:hAnsi="Arial" w:cs="Arial"/>
        </w:rPr>
        <w:t>EuroQol</w:t>
      </w:r>
      <w:proofErr w:type="spellEnd"/>
      <w:r>
        <w:rPr>
          <w:rFonts w:ascii="Arial" w:hAnsi="Arial" w:cs="Arial"/>
        </w:rPr>
        <w:t xml:space="preserve"> – a new facility for the measurement of health-related quality of life. Health Policy 1990;16(3):199-208.</w:t>
      </w:r>
    </w:p>
    <w:p w14:paraId="1B8661F4" w14:textId="77777777" w:rsidR="004C2ED8" w:rsidRPr="00672D0A" w:rsidRDefault="001E10D5" w:rsidP="001E10D5">
      <w:pPr>
        <w:spacing w:after="0" w:line="240" w:lineRule="auto"/>
        <w:ind w:left="567" w:hanging="567"/>
        <w:jc w:val="both"/>
        <w:rPr>
          <w:rFonts w:ascii="Arial" w:hAnsi="Arial" w:cs="Arial"/>
          <w:i/>
          <w:szCs w:val="26"/>
          <w:shd w:val="clear" w:color="auto" w:fill="FFFFFF"/>
        </w:rPr>
      </w:pPr>
      <w:r>
        <w:rPr>
          <w:rFonts w:ascii="Arial" w:hAnsi="Arial" w:cs="Arial"/>
          <w:szCs w:val="20"/>
        </w:rPr>
        <w:t>[19</w:t>
      </w:r>
      <w:r w:rsidR="00787E19">
        <w:rPr>
          <w:rFonts w:ascii="Arial" w:hAnsi="Arial" w:cs="Arial"/>
          <w:szCs w:val="20"/>
        </w:rPr>
        <w:t>]</w:t>
      </w:r>
      <w:r w:rsidR="00787E19">
        <w:rPr>
          <w:rFonts w:ascii="Arial" w:hAnsi="Arial" w:cs="Arial"/>
          <w:szCs w:val="20"/>
        </w:rPr>
        <w:tab/>
      </w:r>
      <w:r w:rsidR="00672D0A">
        <w:rPr>
          <w:rFonts w:ascii="Arial" w:hAnsi="Arial" w:cs="Arial"/>
          <w:szCs w:val="20"/>
        </w:rPr>
        <w:t>Giebel C, McIntyre JC, Daras</w:t>
      </w:r>
      <w:r w:rsidR="007834C7" w:rsidRPr="00672D0A">
        <w:rPr>
          <w:rFonts w:ascii="Arial" w:hAnsi="Arial" w:cs="Arial"/>
          <w:szCs w:val="20"/>
        </w:rPr>
        <w:t xml:space="preserve"> K, Pirmohamed M, Gabbay M, Downing J, </w:t>
      </w:r>
      <w:r w:rsidR="00672D0A">
        <w:rPr>
          <w:rFonts w:ascii="Arial" w:hAnsi="Arial" w:cs="Arial"/>
          <w:szCs w:val="20"/>
        </w:rPr>
        <w:t xml:space="preserve">et al. </w:t>
      </w:r>
      <w:r w:rsidR="007834C7" w:rsidRPr="00672D0A">
        <w:rPr>
          <w:rFonts w:ascii="Arial" w:hAnsi="Arial" w:cs="Arial"/>
          <w:szCs w:val="20"/>
        </w:rPr>
        <w:t xml:space="preserve">What are the predictors of A&amp;E attendance in deprived </w:t>
      </w:r>
      <w:proofErr w:type="spellStart"/>
      <w:r w:rsidR="007834C7" w:rsidRPr="00672D0A">
        <w:rPr>
          <w:rFonts w:ascii="Arial" w:hAnsi="Arial" w:cs="Arial"/>
          <w:szCs w:val="20"/>
        </w:rPr>
        <w:t>neighbourhoods</w:t>
      </w:r>
      <w:proofErr w:type="spellEnd"/>
      <w:r w:rsidR="007834C7" w:rsidRPr="00672D0A">
        <w:rPr>
          <w:rFonts w:ascii="Arial" w:hAnsi="Arial" w:cs="Arial"/>
          <w:szCs w:val="20"/>
        </w:rPr>
        <w:t>? Results from a cross-sectional household health survey in the North West of England. BMJ Open</w:t>
      </w:r>
      <w:r w:rsidR="00787E19">
        <w:rPr>
          <w:rFonts w:ascii="Arial" w:hAnsi="Arial" w:cs="Arial"/>
          <w:szCs w:val="20"/>
        </w:rPr>
        <w:t xml:space="preserve"> 2019</w:t>
      </w:r>
      <w:r w:rsidR="007834C7" w:rsidRPr="00672D0A">
        <w:rPr>
          <w:rFonts w:ascii="Arial" w:hAnsi="Arial" w:cs="Arial"/>
          <w:szCs w:val="20"/>
        </w:rPr>
        <w:t xml:space="preserve">, </w:t>
      </w:r>
      <w:proofErr w:type="spellStart"/>
      <w:r w:rsidR="007834C7" w:rsidRPr="00672D0A">
        <w:rPr>
          <w:rFonts w:ascii="Arial" w:hAnsi="Arial" w:cs="Arial"/>
          <w:szCs w:val="20"/>
        </w:rPr>
        <w:t>doi</w:t>
      </w:r>
      <w:proofErr w:type="spellEnd"/>
      <w:r w:rsidR="007834C7" w:rsidRPr="00672D0A">
        <w:rPr>
          <w:rFonts w:ascii="Arial" w:hAnsi="Arial" w:cs="Arial"/>
          <w:szCs w:val="20"/>
        </w:rPr>
        <w:t xml:space="preserve">: </w:t>
      </w:r>
      <w:r w:rsidR="007834C7" w:rsidRPr="00672D0A">
        <w:rPr>
          <w:rFonts w:ascii="Arial" w:hAnsi="Arial" w:cs="Arial"/>
          <w:szCs w:val="26"/>
          <w:shd w:val="clear" w:color="auto" w:fill="FFFFFF"/>
        </w:rPr>
        <w:t>10.1136/bmjopen-2018-022820</w:t>
      </w:r>
    </w:p>
    <w:p w14:paraId="0D689EDE" w14:textId="77777777" w:rsidR="00B52451" w:rsidRDefault="00B52451" w:rsidP="00B52451">
      <w:pPr>
        <w:spacing w:after="0" w:line="240" w:lineRule="auto"/>
        <w:ind w:left="567" w:hanging="567"/>
        <w:jc w:val="both"/>
        <w:rPr>
          <w:rFonts w:ascii="Arial" w:hAnsi="Arial" w:cs="Arial"/>
          <w:szCs w:val="20"/>
        </w:rPr>
      </w:pPr>
      <w:r>
        <w:rPr>
          <w:rFonts w:ascii="Arial" w:hAnsi="Arial" w:cs="Arial"/>
          <w:szCs w:val="20"/>
        </w:rPr>
        <w:t>[20]</w:t>
      </w:r>
      <w:r>
        <w:rPr>
          <w:rFonts w:ascii="Arial" w:hAnsi="Arial" w:cs="Arial"/>
          <w:szCs w:val="20"/>
        </w:rPr>
        <w:tab/>
        <w:t>Saini P, McIntyre J, Corcoran R</w:t>
      </w:r>
      <w:r w:rsidRPr="00672D0A">
        <w:rPr>
          <w:rFonts w:ascii="Arial" w:hAnsi="Arial" w:cs="Arial"/>
          <w:szCs w:val="20"/>
        </w:rPr>
        <w:t xml:space="preserve">, </w:t>
      </w:r>
      <w:r>
        <w:rPr>
          <w:rFonts w:ascii="Arial" w:hAnsi="Arial" w:cs="Arial"/>
          <w:szCs w:val="20"/>
        </w:rPr>
        <w:t>Daras K, Giebel C, Fuller L, et al.</w:t>
      </w:r>
      <w:r w:rsidRPr="00672D0A">
        <w:rPr>
          <w:rFonts w:ascii="Arial" w:hAnsi="Arial" w:cs="Arial"/>
          <w:szCs w:val="20"/>
        </w:rPr>
        <w:t xml:space="preserve"> Social and Mental Health Predictors of Emergency Department and General Practitioner Usage. </w:t>
      </w:r>
      <w:r>
        <w:rPr>
          <w:rFonts w:ascii="Arial" w:hAnsi="Arial" w:cs="Arial"/>
          <w:szCs w:val="20"/>
        </w:rPr>
        <w:t>Br J Gen</w:t>
      </w:r>
      <w:r w:rsidRPr="00672D0A">
        <w:rPr>
          <w:rFonts w:ascii="Arial" w:hAnsi="Arial" w:cs="Arial"/>
          <w:szCs w:val="20"/>
        </w:rPr>
        <w:t xml:space="preserve"> Practice, </w:t>
      </w:r>
      <w:r w:rsidR="009C4A47">
        <w:rPr>
          <w:rFonts w:ascii="Arial" w:hAnsi="Arial" w:cs="Arial"/>
          <w:szCs w:val="20"/>
        </w:rPr>
        <w:t xml:space="preserve">2020; </w:t>
      </w:r>
      <w:r w:rsidR="009C4A47" w:rsidRPr="009C4A47">
        <w:rPr>
          <w:rStyle w:val="highwire-cite-metadata-volume"/>
          <w:rFonts w:ascii="Arial" w:hAnsi="Arial" w:cs="Arial"/>
          <w:szCs w:val="18"/>
          <w:bdr w:val="none" w:sz="0" w:space="0" w:color="auto" w:frame="1"/>
          <w:shd w:val="clear" w:color="auto" w:fill="FFFFFF"/>
        </w:rPr>
        <w:t>70 </w:t>
      </w:r>
      <w:r w:rsidR="009C4A47" w:rsidRPr="009C4A47">
        <w:rPr>
          <w:rStyle w:val="highwire-cite-metadata-issue"/>
          <w:rFonts w:ascii="Arial" w:hAnsi="Arial" w:cs="Arial"/>
          <w:szCs w:val="18"/>
          <w:bdr w:val="none" w:sz="0" w:space="0" w:color="auto" w:frame="1"/>
          <w:shd w:val="clear" w:color="auto" w:fill="FFFFFF"/>
        </w:rPr>
        <w:t>(690): </w:t>
      </w:r>
      <w:r w:rsidR="009C4A47" w:rsidRPr="009C4A47">
        <w:rPr>
          <w:rStyle w:val="highwire-cite-metadata-pages"/>
          <w:rFonts w:ascii="Arial" w:hAnsi="Arial" w:cs="Arial"/>
          <w:szCs w:val="18"/>
          <w:bdr w:val="none" w:sz="0" w:space="0" w:color="auto" w:frame="1"/>
          <w:shd w:val="clear" w:color="auto" w:fill="FFFFFF"/>
        </w:rPr>
        <w:t>e1-e8. </w:t>
      </w:r>
      <w:proofErr w:type="spellStart"/>
      <w:r w:rsidR="009C4A47" w:rsidRPr="009C4A47">
        <w:rPr>
          <w:rStyle w:val="label"/>
          <w:rFonts w:ascii="Arial" w:hAnsi="Arial" w:cs="Arial"/>
          <w:bCs/>
          <w:szCs w:val="18"/>
          <w:bdr w:val="none" w:sz="0" w:space="0" w:color="auto" w:frame="1"/>
          <w:shd w:val="clear" w:color="auto" w:fill="FFFFFF"/>
        </w:rPr>
        <w:t>doi</w:t>
      </w:r>
      <w:proofErr w:type="spellEnd"/>
      <w:r w:rsidR="009C4A47" w:rsidRPr="009C4A47">
        <w:rPr>
          <w:rStyle w:val="label"/>
          <w:rFonts w:ascii="Arial" w:hAnsi="Arial" w:cs="Arial"/>
          <w:bCs/>
          <w:szCs w:val="18"/>
          <w:bdr w:val="none" w:sz="0" w:space="0" w:color="auto" w:frame="1"/>
          <w:shd w:val="clear" w:color="auto" w:fill="FFFFFF"/>
        </w:rPr>
        <w:t>:</w:t>
      </w:r>
      <w:r w:rsidR="009C4A47" w:rsidRPr="009C4A47">
        <w:rPr>
          <w:rStyle w:val="highwire-cite-metadata-doi"/>
          <w:rFonts w:ascii="Arial" w:hAnsi="Arial" w:cs="Arial"/>
          <w:szCs w:val="18"/>
          <w:bdr w:val="none" w:sz="0" w:space="0" w:color="auto" w:frame="1"/>
          <w:shd w:val="clear" w:color="auto" w:fill="FFFFFF"/>
        </w:rPr>
        <w:t> https://doi.org/10.3399/bjgp19X707093.</w:t>
      </w:r>
    </w:p>
    <w:p w14:paraId="01A35A3B" w14:textId="77777777" w:rsidR="00B52451" w:rsidRDefault="00B52451" w:rsidP="00B52451">
      <w:pPr>
        <w:spacing w:after="0" w:line="240" w:lineRule="auto"/>
        <w:ind w:left="567" w:hanging="567"/>
        <w:jc w:val="both"/>
        <w:rPr>
          <w:rFonts w:ascii="Arial" w:hAnsi="Arial" w:cs="Arial"/>
          <w:color w:val="333333"/>
          <w:sz w:val="20"/>
          <w:szCs w:val="20"/>
        </w:rPr>
      </w:pPr>
      <w:r>
        <w:rPr>
          <w:rFonts w:ascii="Arial" w:hAnsi="Arial"/>
        </w:rPr>
        <w:t xml:space="preserve">[21] </w:t>
      </w:r>
      <w:r>
        <w:rPr>
          <w:rFonts w:ascii="Arial" w:hAnsi="Arial"/>
        </w:rPr>
        <w:tab/>
        <w:t xml:space="preserve">Hales S, </w:t>
      </w:r>
      <w:proofErr w:type="spellStart"/>
      <w:r>
        <w:rPr>
          <w:rFonts w:ascii="Arial" w:hAnsi="Arial"/>
        </w:rPr>
        <w:t>Fossey</w:t>
      </w:r>
      <w:proofErr w:type="spellEnd"/>
      <w:r>
        <w:rPr>
          <w:rFonts w:ascii="Arial" w:hAnsi="Arial"/>
        </w:rPr>
        <w:t xml:space="preserve"> J. Caring for me and you: the co-production of a computerized cognitive </w:t>
      </w:r>
      <w:proofErr w:type="spellStart"/>
      <w:r>
        <w:rPr>
          <w:rFonts w:ascii="Arial" w:hAnsi="Arial"/>
        </w:rPr>
        <w:t>behavioural</w:t>
      </w:r>
      <w:proofErr w:type="spellEnd"/>
      <w:r>
        <w:rPr>
          <w:rFonts w:ascii="Arial" w:hAnsi="Arial"/>
        </w:rPr>
        <w:t xml:space="preserve"> therapy (</w:t>
      </w:r>
      <w:proofErr w:type="spellStart"/>
      <w:r>
        <w:rPr>
          <w:rFonts w:ascii="Arial" w:hAnsi="Arial"/>
        </w:rPr>
        <w:t>cCBT</w:t>
      </w:r>
      <w:proofErr w:type="spellEnd"/>
      <w:r>
        <w:rPr>
          <w:rFonts w:ascii="Arial" w:hAnsi="Arial"/>
        </w:rPr>
        <w:t xml:space="preserve">) package for </w:t>
      </w:r>
      <w:proofErr w:type="spellStart"/>
      <w:r>
        <w:rPr>
          <w:rFonts w:ascii="Arial" w:hAnsi="Arial"/>
        </w:rPr>
        <w:t>carers</w:t>
      </w:r>
      <w:proofErr w:type="spellEnd"/>
      <w:r>
        <w:rPr>
          <w:rFonts w:ascii="Arial" w:hAnsi="Arial"/>
        </w:rPr>
        <w:t xml:space="preserve"> of people with dementia. Aging </w:t>
      </w:r>
      <w:proofErr w:type="spellStart"/>
      <w:r>
        <w:rPr>
          <w:rFonts w:ascii="Arial" w:hAnsi="Arial"/>
        </w:rPr>
        <w:t>Ment</w:t>
      </w:r>
      <w:proofErr w:type="spellEnd"/>
      <w:r>
        <w:rPr>
          <w:rFonts w:ascii="Arial" w:hAnsi="Arial"/>
        </w:rPr>
        <w:t xml:space="preserve"> Health 2017; </w:t>
      </w:r>
      <w:proofErr w:type="spellStart"/>
      <w:r>
        <w:rPr>
          <w:rFonts w:ascii="Arial" w:hAnsi="Arial"/>
        </w:rPr>
        <w:t>doi</w:t>
      </w:r>
      <w:proofErr w:type="spellEnd"/>
      <w:r>
        <w:rPr>
          <w:rFonts w:ascii="Arial" w:hAnsi="Arial"/>
        </w:rPr>
        <w:t>:</w:t>
      </w:r>
      <w:r w:rsidRPr="00D57CB4">
        <w:rPr>
          <w:rFonts w:ascii="Arial" w:hAnsi="Arial" w:cs="Arial"/>
          <w:color w:val="333333"/>
          <w:sz w:val="20"/>
          <w:szCs w:val="20"/>
        </w:rPr>
        <w:t xml:space="preserve"> </w:t>
      </w:r>
      <w:r w:rsidRPr="00D57CB4">
        <w:rPr>
          <w:rFonts w:ascii="Arial" w:hAnsi="Arial" w:cs="Arial"/>
        </w:rPr>
        <w:t>10.1080/13607863.2017.1348475</w:t>
      </w:r>
    </w:p>
    <w:p w14:paraId="72C94A05" w14:textId="77777777" w:rsidR="00B52451" w:rsidRPr="00B52451" w:rsidRDefault="00B52451" w:rsidP="00B52451">
      <w:pPr>
        <w:spacing w:after="0" w:line="240" w:lineRule="auto"/>
        <w:ind w:left="567" w:hanging="567"/>
        <w:jc w:val="both"/>
        <w:rPr>
          <w:rFonts w:ascii="Arial" w:hAnsi="Arial" w:cs="Arial"/>
          <w:shd w:val="clear" w:color="auto" w:fill="FFFFFF"/>
        </w:rPr>
      </w:pPr>
      <w:r w:rsidRPr="00B52451">
        <w:rPr>
          <w:rFonts w:ascii="Arial" w:hAnsi="Arial" w:cs="Arial"/>
          <w:shd w:val="clear" w:color="auto" w:fill="FFFFFF"/>
          <w:lang w:val="nl-NL"/>
        </w:rPr>
        <w:t>[</w:t>
      </w:r>
      <w:r>
        <w:rPr>
          <w:rFonts w:ascii="Arial" w:hAnsi="Arial" w:cs="Arial"/>
          <w:shd w:val="clear" w:color="auto" w:fill="FFFFFF"/>
          <w:lang w:val="nl-NL"/>
        </w:rPr>
        <w:t>22</w:t>
      </w:r>
      <w:r w:rsidRPr="00B52451">
        <w:rPr>
          <w:rFonts w:ascii="Arial" w:hAnsi="Arial" w:cs="Arial"/>
          <w:shd w:val="clear" w:color="auto" w:fill="FFFFFF"/>
          <w:lang w:val="nl-NL"/>
        </w:rPr>
        <w:t>]</w:t>
      </w:r>
      <w:r w:rsidRPr="00B52451">
        <w:rPr>
          <w:rFonts w:ascii="Arial" w:hAnsi="Arial" w:cs="Arial"/>
          <w:shd w:val="clear" w:color="auto" w:fill="FFFFFF"/>
          <w:lang w:val="nl-NL"/>
        </w:rPr>
        <w:tab/>
        <w:t xml:space="preserve">Vaeggemose U, Ankersen PV, Aagaard J, et al. </w:t>
      </w:r>
      <w:r w:rsidRPr="00B52451">
        <w:rPr>
          <w:rFonts w:ascii="Arial" w:hAnsi="Arial" w:cs="Arial"/>
          <w:shd w:val="clear" w:color="auto" w:fill="FFFFFF"/>
        </w:rPr>
        <w:t xml:space="preserve">Co-production of community mental health services: </w:t>
      </w:r>
      <w:proofErr w:type="spellStart"/>
      <w:r w:rsidRPr="00B52451">
        <w:rPr>
          <w:rFonts w:ascii="Arial" w:hAnsi="Arial" w:cs="Arial"/>
          <w:shd w:val="clear" w:color="auto" w:fill="FFFFFF"/>
        </w:rPr>
        <w:t>Organising</w:t>
      </w:r>
      <w:proofErr w:type="spellEnd"/>
      <w:r w:rsidRPr="00B52451">
        <w:rPr>
          <w:rFonts w:ascii="Arial" w:hAnsi="Arial" w:cs="Arial"/>
          <w:shd w:val="clear" w:color="auto" w:fill="FFFFFF"/>
        </w:rPr>
        <w:t xml:space="preserve"> the interplay between public services and civil society in Denmark. Health Soc Care Comm 2018; 26(1):122-130.</w:t>
      </w:r>
    </w:p>
    <w:p w14:paraId="2F2991B0" w14:textId="77777777" w:rsidR="0070173E" w:rsidRPr="0070173E" w:rsidRDefault="0070173E" w:rsidP="0070173E">
      <w:pPr>
        <w:spacing w:after="0" w:line="240" w:lineRule="auto"/>
        <w:ind w:left="567" w:hanging="567"/>
        <w:jc w:val="both"/>
        <w:rPr>
          <w:rFonts w:ascii="Arial" w:hAnsi="Arial" w:cs="Arial"/>
          <w:shd w:val="clear" w:color="auto" w:fill="FFFFFF"/>
        </w:rPr>
      </w:pPr>
      <w:r w:rsidRPr="0070173E">
        <w:rPr>
          <w:rFonts w:ascii="Arial" w:hAnsi="Arial" w:cs="Arial"/>
          <w:shd w:val="clear" w:color="auto" w:fill="FFFFFF"/>
        </w:rPr>
        <w:t>[23]</w:t>
      </w:r>
      <w:r w:rsidRPr="0070173E">
        <w:rPr>
          <w:rFonts w:ascii="Arial" w:hAnsi="Arial" w:cs="Arial"/>
          <w:shd w:val="clear" w:color="auto" w:fill="FFFFFF"/>
        </w:rPr>
        <w:tab/>
        <w:t>Office for National Statistics. 2011 Census: Key Statistics for England and Wales, March 2011. London, England: 2011</w:t>
      </w:r>
    </w:p>
    <w:p w14:paraId="68C6D34B" w14:textId="77777777" w:rsidR="0070173E" w:rsidRPr="0070173E" w:rsidRDefault="0070173E" w:rsidP="0070173E">
      <w:pPr>
        <w:spacing w:after="0" w:line="240" w:lineRule="auto"/>
        <w:ind w:left="567" w:hanging="567"/>
        <w:jc w:val="both"/>
        <w:rPr>
          <w:rFonts w:ascii="Arial" w:hAnsi="Arial"/>
        </w:rPr>
      </w:pPr>
      <w:r w:rsidRPr="0070173E">
        <w:rPr>
          <w:rFonts w:ascii="Arial" w:hAnsi="Arial" w:cs="Arial"/>
          <w:shd w:val="clear" w:color="auto" w:fill="FFFFFF"/>
        </w:rPr>
        <w:t>[24</w:t>
      </w:r>
      <w:r>
        <w:rPr>
          <w:rFonts w:ascii="Arial" w:hAnsi="Arial" w:cs="Arial"/>
          <w:shd w:val="clear" w:color="auto" w:fill="FFFFFF"/>
        </w:rPr>
        <w:t xml:space="preserve">] </w:t>
      </w:r>
      <w:r>
        <w:rPr>
          <w:rFonts w:ascii="Arial" w:hAnsi="Arial" w:cs="Arial"/>
          <w:shd w:val="clear" w:color="auto" w:fill="FFFFFF"/>
        </w:rPr>
        <w:tab/>
        <w:t>Young R, Sly F</w:t>
      </w:r>
      <w:r w:rsidRPr="0070173E">
        <w:rPr>
          <w:rFonts w:ascii="Arial" w:hAnsi="Arial" w:cs="Arial"/>
          <w:shd w:val="clear" w:color="auto" w:fill="FFFFFF"/>
        </w:rPr>
        <w:t xml:space="preserve">. </w:t>
      </w:r>
      <w:r w:rsidRPr="0070173E">
        <w:rPr>
          <w:rFonts w:ascii="Arial" w:hAnsi="Arial" w:cs="Arial"/>
          <w:i/>
          <w:shd w:val="clear" w:color="auto" w:fill="FFFFFF"/>
        </w:rPr>
        <w:t>Regional Trends: Portrait of the North West.</w:t>
      </w:r>
      <w:r w:rsidRPr="0070173E">
        <w:rPr>
          <w:rFonts w:ascii="Arial" w:hAnsi="Arial" w:cs="Arial"/>
          <w:shd w:val="clear" w:color="auto" w:fill="FFFFFF"/>
        </w:rPr>
        <w:t xml:space="preserve"> London</w:t>
      </w:r>
      <w:r>
        <w:rPr>
          <w:rFonts w:ascii="Arial" w:hAnsi="Arial" w:cs="Arial"/>
          <w:shd w:val="clear" w:color="auto" w:fill="FFFFFF"/>
        </w:rPr>
        <w:t>, UK</w:t>
      </w:r>
      <w:r w:rsidRPr="0070173E">
        <w:rPr>
          <w:rFonts w:ascii="Arial" w:hAnsi="Arial" w:cs="Arial"/>
          <w:shd w:val="clear" w:color="auto" w:fill="FFFFFF"/>
        </w:rPr>
        <w:t>: Office for National Statistics</w:t>
      </w:r>
      <w:r>
        <w:rPr>
          <w:rFonts w:ascii="Arial" w:hAnsi="Arial" w:cs="Arial"/>
          <w:shd w:val="clear" w:color="auto" w:fill="FFFFFF"/>
        </w:rPr>
        <w:t>, 2011</w:t>
      </w:r>
      <w:r w:rsidRPr="0070173E">
        <w:rPr>
          <w:rFonts w:ascii="Arial" w:hAnsi="Arial" w:cs="Arial"/>
          <w:shd w:val="clear" w:color="auto" w:fill="FFFFFF"/>
        </w:rPr>
        <w:t>.</w:t>
      </w:r>
    </w:p>
    <w:p w14:paraId="2EA4D397" w14:textId="77777777" w:rsidR="0070173E" w:rsidRDefault="0070173E" w:rsidP="0070173E">
      <w:pPr>
        <w:spacing w:after="0" w:line="240" w:lineRule="auto"/>
        <w:ind w:left="567" w:hanging="567"/>
        <w:jc w:val="both"/>
        <w:outlineLvl w:val="0"/>
        <w:rPr>
          <w:rFonts w:ascii="Arial" w:hAnsi="Arial"/>
        </w:rPr>
      </w:pPr>
      <w:r>
        <w:rPr>
          <w:rFonts w:ascii="Arial" w:hAnsi="Arial"/>
        </w:rPr>
        <w:t>[25]</w:t>
      </w:r>
      <w:r>
        <w:rPr>
          <w:rFonts w:ascii="Arial" w:hAnsi="Arial"/>
        </w:rPr>
        <w:tab/>
        <w:t xml:space="preserve">GP Patient Survey. </w:t>
      </w:r>
      <w:hyperlink r:id="rId10" w:history="1">
        <w:r w:rsidRPr="00A92039">
          <w:rPr>
            <w:rStyle w:val="Hyperlink"/>
            <w:rFonts w:ascii="Arial" w:hAnsi="Arial"/>
          </w:rPr>
          <w:t>https://gp-patient.co.uk/SurveysAndReports</w:t>
        </w:r>
      </w:hyperlink>
      <w:r>
        <w:rPr>
          <w:rFonts w:ascii="Arial" w:hAnsi="Arial"/>
        </w:rPr>
        <w:t xml:space="preserve"> (last accessed 10.01.2020)</w:t>
      </w:r>
    </w:p>
    <w:p w14:paraId="04561E8D" w14:textId="77777777" w:rsidR="00B52451" w:rsidRDefault="00B52451" w:rsidP="0070173E">
      <w:pPr>
        <w:spacing w:after="0" w:line="240" w:lineRule="auto"/>
        <w:ind w:left="567" w:hanging="567"/>
        <w:jc w:val="both"/>
        <w:rPr>
          <w:rFonts w:ascii="Arial" w:hAnsi="Arial" w:cs="Arial"/>
          <w:szCs w:val="20"/>
        </w:rPr>
      </w:pPr>
      <w:r>
        <w:rPr>
          <w:rFonts w:ascii="Arial" w:hAnsi="Arial" w:cs="Arial"/>
          <w:szCs w:val="20"/>
        </w:rPr>
        <w:t>[2</w:t>
      </w:r>
      <w:r w:rsidR="0070173E">
        <w:rPr>
          <w:rFonts w:ascii="Arial" w:hAnsi="Arial" w:cs="Arial"/>
          <w:szCs w:val="20"/>
        </w:rPr>
        <w:t>6</w:t>
      </w:r>
      <w:r>
        <w:rPr>
          <w:rFonts w:ascii="Arial" w:hAnsi="Arial" w:cs="Arial"/>
          <w:szCs w:val="20"/>
        </w:rPr>
        <w:t>]</w:t>
      </w:r>
      <w:r>
        <w:rPr>
          <w:rFonts w:ascii="Arial" w:hAnsi="Arial" w:cs="Arial"/>
          <w:szCs w:val="20"/>
        </w:rPr>
        <w:tab/>
        <w:t>Giebel</w:t>
      </w:r>
      <w:r w:rsidRPr="00672D0A">
        <w:rPr>
          <w:rFonts w:ascii="Arial" w:hAnsi="Arial" w:cs="Arial"/>
          <w:szCs w:val="20"/>
        </w:rPr>
        <w:t xml:space="preserve"> C,</w:t>
      </w:r>
      <w:r w:rsidRPr="00672D0A">
        <w:rPr>
          <w:rFonts w:ascii="Arial" w:hAnsi="Arial" w:cs="Arial"/>
          <w:b/>
          <w:szCs w:val="20"/>
        </w:rPr>
        <w:t xml:space="preserve"> </w:t>
      </w:r>
      <w:r>
        <w:rPr>
          <w:rFonts w:ascii="Arial" w:hAnsi="Arial" w:cs="Arial"/>
          <w:szCs w:val="20"/>
        </w:rPr>
        <w:t xml:space="preserve">Hassan </w:t>
      </w:r>
      <w:r w:rsidRPr="00672D0A">
        <w:rPr>
          <w:rFonts w:ascii="Arial" w:hAnsi="Arial" w:cs="Arial"/>
          <w:szCs w:val="20"/>
        </w:rPr>
        <w:t>S, McIntyre</w:t>
      </w:r>
      <w:r>
        <w:rPr>
          <w:rFonts w:ascii="Arial" w:hAnsi="Arial" w:cs="Arial"/>
          <w:szCs w:val="20"/>
        </w:rPr>
        <w:t xml:space="preserve"> J, Corcoran R, Comerford T, Barr</w:t>
      </w:r>
      <w:r w:rsidRPr="00672D0A">
        <w:rPr>
          <w:rFonts w:ascii="Arial" w:hAnsi="Arial" w:cs="Arial"/>
          <w:szCs w:val="20"/>
        </w:rPr>
        <w:t xml:space="preserve"> B, Gabba</w:t>
      </w:r>
      <w:r>
        <w:rPr>
          <w:rFonts w:ascii="Arial" w:hAnsi="Arial" w:cs="Arial"/>
          <w:szCs w:val="20"/>
        </w:rPr>
        <w:t>y M, Downing J, Alfirevic A.</w:t>
      </w:r>
      <w:r w:rsidRPr="00672D0A">
        <w:rPr>
          <w:rFonts w:ascii="Arial" w:hAnsi="Arial" w:cs="Arial"/>
          <w:szCs w:val="20"/>
        </w:rPr>
        <w:t xml:space="preserve"> Public involvement in the dissemination of the North West Coast Household Health Survey: Experiences and lessons of co-producing research together. Health Expectations 2019;22(</w:t>
      </w:r>
      <w:r>
        <w:rPr>
          <w:rFonts w:ascii="Arial" w:hAnsi="Arial" w:cs="Arial"/>
          <w:szCs w:val="20"/>
        </w:rPr>
        <w:t>4):</w:t>
      </w:r>
      <w:r w:rsidRPr="00672D0A">
        <w:rPr>
          <w:rFonts w:ascii="Arial" w:hAnsi="Arial" w:cs="Arial"/>
          <w:szCs w:val="20"/>
        </w:rPr>
        <w:t>643-649.</w:t>
      </w:r>
    </w:p>
    <w:p w14:paraId="76DEC0C4" w14:textId="77777777" w:rsidR="0070173E" w:rsidRDefault="0070173E" w:rsidP="0070173E">
      <w:pPr>
        <w:spacing w:after="0" w:line="240" w:lineRule="auto"/>
        <w:ind w:left="567" w:hanging="567"/>
        <w:jc w:val="both"/>
        <w:rPr>
          <w:rFonts w:ascii="Arial" w:hAnsi="Arial" w:cs="Arial"/>
          <w:szCs w:val="20"/>
        </w:rPr>
      </w:pPr>
      <w:r>
        <w:rPr>
          <w:rFonts w:ascii="Arial" w:hAnsi="Arial" w:cs="Arial"/>
          <w:szCs w:val="20"/>
        </w:rPr>
        <w:t>[27]</w:t>
      </w:r>
      <w:r>
        <w:rPr>
          <w:rFonts w:ascii="Arial" w:hAnsi="Arial" w:cs="Arial"/>
          <w:szCs w:val="20"/>
        </w:rPr>
        <w:tab/>
        <w:t xml:space="preserve">World Health </w:t>
      </w:r>
      <w:proofErr w:type="spellStart"/>
      <w:r>
        <w:rPr>
          <w:rFonts w:ascii="Arial" w:hAnsi="Arial" w:cs="Arial"/>
          <w:szCs w:val="20"/>
        </w:rPr>
        <w:t>Organisation</w:t>
      </w:r>
      <w:proofErr w:type="spellEnd"/>
      <w:r>
        <w:rPr>
          <w:rFonts w:ascii="Arial" w:hAnsi="Arial" w:cs="Arial"/>
          <w:szCs w:val="20"/>
        </w:rPr>
        <w:t xml:space="preserve">. </w:t>
      </w:r>
      <w:r>
        <w:rPr>
          <w:rFonts w:ascii="Arial" w:hAnsi="Arial" w:cs="Arial"/>
          <w:i/>
          <w:szCs w:val="20"/>
        </w:rPr>
        <w:t>Healthy, prosperous lives for all: the European Health Equity Status Report (2019).</w:t>
      </w:r>
      <w:r>
        <w:rPr>
          <w:rFonts w:ascii="Arial" w:hAnsi="Arial" w:cs="Arial"/>
          <w:szCs w:val="20"/>
        </w:rPr>
        <w:t xml:space="preserve"> Copenhagen, Denmark: WHO, 2019.</w:t>
      </w:r>
    </w:p>
    <w:p w14:paraId="5A960C39" w14:textId="77777777" w:rsidR="007B6303" w:rsidRPr="007B6303" w:rsidRDefault="007B6303" w:rsidP="007B6303">
      <w:pPr>
        <w:shd w:val="clear" w:color="auto" w:fill="FFFFFF"/>
        <w:spacing w:after="150" w:line="240" w:lineRule="auto"/>
        <w:jc w:val="both"/>
        <w:rPr>
          <w:rFonts w:ascii="Arial" w:eastAsia="Times New Roman" w:hAnsi="Arial" w:cs="Arial"/>
          <w:lang w:val="en-GB" w:eastAsia="en-GB"/>
        </w:rPr>
      </w:pPr>
      <w:r w:rsidRPr="007B6303">
        <w:rPr>
          <w:rFonts w:ascii="Arial" w:eastAsia="Times New Roman" w:hAnsi="Arial" w:cs="Arial"/>
          <w:lang w:val="en-GB" w:eastAsia="en-GB"/>
        </w:rPr>
        <w:t xml:space="preserve">Barr B, </w:t>
      </w:r>
      <w:proofErr w:type="spellStart"/>
      <w:r w:rsidRPr="007B6303">
        <w:rPr>
          <w:rFonts w:ascii="Arial" w:eastAsia="Times New Roman" w:hAnsi="Arial" w:cs="Arial"/>
          <w:lang w:val="en-GB" w:eastAsia="en-GB"/>
        </w:rPr>
        <w:t>Higgerson</w:t>
      </w:r>
      <w:proofErr w:type="spellEnd"/>
      <w:r w:rsidRPr="007B6303">
        <w:rPr>
          <w:rFonts w:ascii="Arial" w:eastAsia="Times New Roman" w:hAnsi="Arial" w:cs="Arial"/>
          <w:lang w:val="en-GB" w:eastAsia="en-GB"/>
        </w:rPr>
        <w:t xml:space="preserve"> J, Whitehead M Investigating the impact of the English health inequalities strategy: time trend analysis </w:t>
      </w:r>
      <w:r w:rsidRPr="007B6303">
        <w:rPr>
          <w:rFonts w:ascii="Arial" w:eastAsia="Times New Roman" w:hAnsi="Arial" w:cs="Arial"/>
          <w:i/>
          <w:iCs/>
          <w:lang w:val="en-GB" w:eastAsia="en-GB"/>
        </w:rPr>
        <w:t>BMJ </w:t>
      </w:r>
      <w:r w:rsidRPr="007B6303">
        <w:rPr>
          <w:rFonts w:ascii="Arial" w:eastAsia="Times New Roman" w:hAnsi="Arial" w:cs="Arial"/>
          <w:lang w:val="en-GB" w:eastAsia="en-GB"/>
        </w:rPr>
        <w:t>2017; </w:t>
      </w:r>
      <w:r w:rsidRPr="007B6303">
        <w:rPr>
          <w:rFonts w:ascii="Arial" w:eastAsia="Times New Roman" w:hAnsi="Arial" w:cs="Arial"/>
          <w:b/>
          <w:bCs/>
          <w:lang w:val="en-GB" w:eastAsia="en-GB"/>
        </w:rPr>
        <w:t>358: </w:t>
      </w:r>
      <w:r w:rsidRPr="007B6303">
        <w:rPr>
          <w:rFonts w:ascii="Arial" w:eastAsia="Times New Roman" w:hAnsi="Arial" w:cs="Arial"/>
          <w:lang w:val="en-GB" w:eastAsia="en-GB"/>
        </w:rPr>
        <w:t>j3310 </w:t>
      </w:r>
    </w:p>
    <w:p w14:paraId="495FCBA3" w14:textId="77777777" w:rsidR="007B6303" w:rsidRPr="007B6303" w:rsidRDefault="007B6303" w:rsidP="007B6303">
      <w:pPr>
        <w:shd w:val="clear" w:color="auto" w:fill="FFFFFF"/>
        <w:spacing w:after="150" w:line="240" w:lineRule="auto"/>
        <w:jc w:val="both"/>
        <w:rPr>
          <w:rFonts w:ascii="Arial" w:eastAsia="Times New Roman" w:hAnsi="Arial" w:cs="Arial"/>
          <w:lang w:val="en-GB" w:eastAsia="en-GB"/>
        </w:rPr>
      </w:pPr>
      <w:r w:rsidRPr="007B6303">
        <w:rPr>
          <w:rFonts w:ascii="Arial" w:eastAsia="Times New Roman" w:hAnsi="Arial" w:cs="Arial"/>
          <w:lang w:val="en-GB" w:eastAsia="en-GB"/>
        </w:rPr>
        <w:t>Marshall L, Finch D</w:t>
      </w:r>
      <w:proofErr w:type="gramStart"/>
      <w:r w:rsidRPr="007B6303">
        <w:rPr>
          <w:rFonts w:ascii="Arial" w:eastAsia="Times New Roman" w:hAnsi="Arial" w:cs="Arial"/>
          <w:lang w:val="en-GB" w:eastAsia="en-GB"/>
        </w:rPr>
        <w:t xml:space="preserve">,  </w:t>
      </w:r>
      <w:proofErr w:type="spellStart"/>
      <w:r w:rsidRPr="007B6303">
        <w:rPr>
          <w:rFonts w:ascii="Arial" w:eastAsia="Times New Roman" w:hAnsi="Arial" w:cs="Arial"/>
          <w:lang w:val="en-GB" w:eastAsia="en-GB"/>
        </w:rPr>
        <w:t>Cairncross</w:t>
      </w:r>
      <w:proofErr w:type="spellEnd"/>
      <w:proofErr w:type="gramEnd"/>
      <w:r w:rsidRPr="007B6303">
        <w:rPr>
          <w:rFonts w:ascii="Arial" w:eastAsia="Times New Roman" w:hAnsi="Arial" w:cs="Arial"/>
          <w:lang w:val="en-GB" w:eastAsia="en-GB"/>
        </w:rPr>
        <w:t xml:space="preserve"> L, Bibby J Mortality and life expectancy trends in the UK: stalling progress 2019, London health Foundation</w:t>
      </w:r>
    </w:p>
    <w:p w14:paraId="7B13F963" w14:textId="77777777" w:rsidR="007B6303" w:rsidRPr="007B6303" w:rsidRDefault="007B6303" w:rsidP="007B6303">
      <w:pPr>
        <w:shd w:val="clear" w:color="auto" w:fill="FFFFFF"/>
        <w:spacing w:after="150" w:line="240" w:lineRule="auto"/>
        <w:jc w:val="both"/>
        <w:rPr>
          <w:rFonts w:ascii="Arial" w:eastAsia="Times New Roman" w:hAnsi="Arial" w:cs="Arial"/>
          <w:lang w:val="en-GB" w:eastAsia="en-GB"/>
        </w:rPr>
      </w:pPr>
      <w:r w:rsidRPr="007B6303">
        <w:rPr>
          <w:rFonts w:ascii="Arial" w:eastAsia="Times New Roman" w:hAnsi="Arial" w:cs="Arial"/>
          <w:lang w:val="en-GB" w:eastAsia="en-GB"/>
        </w:rPr>
        <w:t>Office for National Statistics. Health state life expectancies UK: 2016-2018. </w:t>
      </w:r>
      <w:r w:rsidRPr="007B6303">
        <w:rPr>
          <w:rFonts w:ascii="Arial" w:eastAsia="Times New Roman" w:hAnsi="Arial" w:cs="Arial"/>
          <w:i/>
          <w:iCs/>
          <w:lang w:val="en-GB" w:eastAsia="en-GB"/>
        </w:rPr>
        <w:t>Statistical Bulletin </w:t>
      </w:r>
      <w:r w:rsidRPr="007B6303">
        <w:rPr>
          <w:rFonts w:ascii="Arial" w:eastAsia="Times New Roman" w:hAnsi="Arial" w:cs="Arial"/>
          <w:lang w:val="en-GB" w:eastAsia="en-GB"/>
        </w:rPr>
        <w:t>2019, London ONS</w:t>
      </w:r>
    </w:p>
    <w:p w14:paraId="48534E9D" w14:textId="77777777" w:rsidR="007B6303" w:rsidRPr="007B6303" w:rsidRDefault="007B6303" w:rsidP="007B6303">
      <w:pPr>
        <w:shd w:val="clear" w:color="auto" w:fill="FFFFFF"/>
        <w:spacing w:after="150" w:line="240" w:lineRule="auto"/>
        <w:jc w:val="both"/>
        <w:rPr>
          <w:rFonts w:ascii="Arial" w:eastAsia="Times New Roman" w:hAnsi="Arial" w:cs="Arial"/>
          <w:lang w:val="en-GB" w:eastAsia="en-GB"/>
        </w:rPr>
      </w:pPr>
      <w:r w:rsidRPr="007B6303">
        <w:rPr>
          <w:rFonts w:ascii="Arial" w:eastAsia="Times New Roman" w:hAnsi="Arial" w:cs="Arial"/>
          <w:lang w:val="en-GB" w:eastAsia="en-GB"/>
        </w:rPr>
        <w:t xml:space="preserve">Marmot M, Allen J, Boyce T, Goldblatt P, </w:t>
      </w:r>
      <w:proofErr w:type="spellStart"/>
      <w:r w:rsidRPr="007B6303">
        <w:rPr>
          <w:rFonts w:ascii="Arial" w:eastAsia="Times New Roman" w:hAnsi="Arial" w:cs="Arial"/>
          <w:lang w:val="en-GB" w:eastAsia="en-GB"/>
        </w:rPr>
        <w:t>Morrisson</w:t>
      </w:r>
      <w:proofErr w:type="spellEnd"/>
      <w:r w:rsidRPr="007B6303">
        <w:rPr>
          <w:rFonts w:ascii="Arial" w:eastAsia="Times New Roman" w:hAnsi="Arial" w:cs="Arial"/>
          <w:lang w:val="en-GB" w:eastAsia="en-GB"/>
        </w:rPr>
        <w:t xml:space="preserve"> J Health equity in England: the Marmot Review 10 years on 2020 London Institute of Health Equity</w:t>
      </w:r>
    </w:p>
    <w:p w14:paraId="3EFBBC6B" w14:textId="77777777" w:rsidR="007B6303" w:rsidRPr="0070173E" w:rsidRDefault="007B6303" w:rsidP="0070173E">
      <w:pPr>
        <w:spacing w:after="0" w:line="240" w:lineRule="auto"/>
        <w:ind w:left="567" w:hanging="567"/>
        <w:jc w:val="both"/>
        <w:rPr>
          <w:rFonts w:ascii="Arial" w:hAnsi="Arial" w:cs="Arial"/>
          <w:szCs w:val="20"/>
        </w:rPr>
      </w:pPr>
    </w:p>
    <w:p w14:paraId="5A78377A" w14:textId="77777777" w:rsidR="0070173E" w:rsidRDefault="0070173E" w:rsidP="00B52451">
      <w:pPr>
        <w:spacing w:after="0" w:line="240" w:lineRule="auto"/>
        <w:ind w:left="567" w:hanging="567"/>
        <w:jc w:val="both"/>
        <w:rPr>
          <w:rFonts w:ascii="Arial" w:hAnsi="Arial" w:cs="Arial"/>
          <w:szCs w:val="20"/>
        </w:rPr>
      </w:pPr>
    </w:p>
    <w:p w14:paraId="50F51EA8" w14:textId="77777777" w:rsidR="00B52451" w:rsidRDefault="00B52451" w:rsidP="001E10D5">
      <w:pPr>
        <w:spacing w:after="0" w:line="240" w:lineRule="auto"/>
        <w:ind w:left="567" w:hanging="567"/>
        <w:jc w:val="both"/>
        <w:rPr>
          <w:rFonts w:ascii="Arial" w:hAnsi="Arial" w:cs="Arial"/>
          <w:szCs w:val="20"/>
        </w:rPr>
      </w:pPr>
    </w:p>
    <w:p w14:paraId="66A5FCFA" w14:textId="77777777" w:rsidR="00B52451" w:rsidRPr="00672D0A" w:rsidRDefault="00B52451" w:rsidP="001E10D5">
      <w:pPr>
        <w:spacing w:after="0" w:line="240" w:lineRule="auto"/>
        <w:ind w:left="567" w:hanging="567"/>
        <w:jc w:val="both"/>
        <w:rPr>
          <w:rFonts w:ascii="Arial" w:hAnsi="Arial" w:cs="Arial"/>
          <w:szCs w:val="20"/>
        </w:rPr>
      </w:pPr>
    </w:p>
    <w:p w14:paraId="08E6FCE2" w14:textId="77777777" w:rsidR="00B52451" w:rsidRDefault="00B52451" w:rsidP="001E10D5">
      <w:pPr>
        <w:spacing w:after="0" w:line="240" w:lineRule="auto"/>
        <w:ind w:left="567" w:hanging="567"/>
        <w:jc w:val="both"/>
        <w:rPr>
          <w:rFonts w:ascii="Arial" w:hAnsi="Arial" w:cs="Arial"/>
          <w:szCs w:val="20"/>
        </w:rPr>
      </w:pPr>
    </w:p>
    <w:p w14:paraId="20801975" w14:textId="77777777" w:rsidR="00DA13BE" w:rsidRDefault="00DA13BE" w:rsidP="00787E19">
      <w:pPr>
        <w:spacing w:line="240" w:lineRule="auto"/>
        <w:ind w:left="567" w:hanging="567"/>
        <w:jc w:val="both"/>
        <w:rPr>
          <w:rFonts w:ascii="Arial" w:hAnsi="Arial" w:cs="Arial"/>
        </w:rPr>
      </w:pPr>
    </w:p>
    <w:p w14:paraId="6D5D6F8C" w14:textId="77777777" w:rsidR="00807B71" w:rsidRDefault="00807B71" w:rsidP="00787E19">
      <w:pPr>
        <w:spacing w:line="240" w:lineRule="auto"/>
        <w:ind w:left="567" w:hanging="567"/>
        <w:jc w:val="both"/>
        <w:rPr>
          <w:rFonts w:ascii="Arial" w:hAnsi="Arial" w:cs="Arial"/>
        </w:rPr>
      </w:pPr>
    </w:p>
    <w:p w14:paraId="348D4A17" w14:textId="77777777" w:rsidR="00807B71" w:rsidRDefault="00807B71" w:rsidP="00787E19">
      <w:pPr>
        <w:spacing w:line="240" w:lineRule="auto"/>
        <w:ind w:left="567" w:hanging="567"/>
        <w:jc w:val="both"/>
        <w:rPr>
          <w:rFonts w:ascii="Arial" w:hAnsi="Arial" w:cs="Arial"/>
        </w:rPr>
      </w:pPr>
    </w:p>
    <w:p w14:paraId="2B60347D" w14:textId="77777777" w:rsidR="00807B71" w:rsidRDefault="00807B71" w:rsidP="00787E19">
      <w:pPr>
        <w:spacing w:line="240" w:lineRule="auto"/>
        <w:ind w:left="567" w:hanging="567"/>
        <w:jc w:val="both"/>
        <w:rPr>
          <w:rFonts w:ascii="Arial" w:hAnsi="Arial" w:cs="Arial"/>
        </w:rPr>
      </w:pPr>
    </w:p>
    <w:p w14:paraId="24CA7AF9" w14:textId="77777777" w:rsidR="00807B71" w:rsidRDefault="00807B71" w:rsidP="00787E19">
      <w:pPr>
        <w:spacing w:line="240" w:lineRule="auto"/>
        <w:ind w:left="567" w:hanging="567"/>
        <w:jc w:val="both"/>
        <w:rPr>
          <w:rFonts w:ascii="Arial" w:hAnsi="Arial" w:cs="Arial"/>
        </w:rPr>
      </w:pPr>
    </w:p>
    <w:p w14:paraId="06DC7AF3" w14:textId="77777777" w:rsidR="00807B71" w:rsidRDefault="00807B71" w:rsidP="00787E19">
      <w:pPr>
        <w:spacing w:line="240" w:lineRule="auto"/>
        <w:ind w:left="567" w:hanging="567"/>
        <w:jc w:val="both"/>
        <w:rPr>
          <w:rFonts w:ascii="Arial" w:hAnsi="Arial" w:cs="Arial"/>
        </w:rPr>
      </w:pPr>
    </w:p>
    <w:p w14:paraId="5365839C" w14:textId="77777777" w:rsidR="00807B71" w:rsidRDefault="00807B71" w:rsidP="00787E19">
      <w:pPr>
        <w:spacing w:line="240" w:lineRule="auto"/>
        <w:ind w:left="567" w:hanging="567"/>
        <w:jc w:val="both"/>
        <w:rPr>
          <w:rFonts w:ascii="Arial" w:hAnsi="Arial" w:cs="Arial"/>
        </w:rPr>
      </w:pPr>
    </w:p>
    <w:p w14:paraId="7876CE83" w14:textId="77777777" w:rsidR="00807B71" w:rsidRDefault="00807B71" w:rsidP="00787E19">
      <w:pPr>
        <w:spacing w:line="240" w:lineRule="auto"/>
        <w:ind w:left="567" w:hanging="567"/>
        <w:jc w:val="both"/>
        <w:rPr>
          <w:rFonts w:ascii="Arial" w:hAnsi="Arial" w:cs="Arial"/>
        </w:rPr>
      </w:pPr>
    </w:p>
    <w:p w14:paraId="00DD6570" w14:textId="77777777" w:rsidR="00F435AF" w:rsidRDefault="00F435AF" w:rsidP="00787E19">
      <w:pPr>
        <w:spacing w:line="240" w:lineRule="auto"/>
        <w:ind w:left="567" w:hanging="567"/>
        <w:jc w:val="both"/>
        <w:rPr>
          <w:rFonts w:ascii="Arial" w:hAnsi="Arial" w:cs="Arial"/>
        </w:rPr>
      </w:pPr>
    </w:p>
    <w:p w14:paraId="48893841" w14:textId="77777777" w:rsidR="00F435AF" w:rsidRDefault="00F435AF" w:rsidP="00787E19">
      <w:pPr>
        <w:spacing w:line="240" w:lineRule="auto"/>
        <w:ind w:left="567" w:hanging="567"/>
        <w:jc w:val="both"/>
        <w:rPr>
          <w:rFonts w:ascii="Arial" w:hAnsi="Arial" w:cs="Arial"/>
          <w:b/>
          <w:sz w:val="24"/>
        </w:rPr>
      </w:pPr>
      <w:r>
        <w:rPr>
          <w:rFonts w:ascii="Arial" w:hAnsi="Arial" w:cs="Arial"/>
          <w:b/>
          <w:sz w:val="24"/>
        </w:rPr>
        <w:t>Additional files</w:t>
      </w:r>
    </w:p>
    <w:p w14:paraId="533FE2CA" w14:textId="77777777" w:rsidR="00F435AF" w:rsidRDefault="00F435AF" w:rsidP="00787E19">
      <w:pPr>
        <w:spacing w:line="240" w:lineRule="auto"/>
        <w:ind w:left="567" w:hanging="567"/>
        <w:jc w:val="both"/>
        <w:rPr>
          <w:rFonts w:ascii="Arial" w:hAnsi="Arial" w:cs="Arial"/>
        </w:rPr>
      </w:pPr>
      <w:r w:rsidRPr="00F435AF">
        <w:rPr>
          <w:rFonts w:ascii="Arial" w:hAnsi="Arial" w:cs="Arial"/>
          <w:b/>
        </w:rPr>
        <w:t xml:space="preserve">File name: </w:t>
      </w:r>
      <w:r>
        <w:rPr>
          <w:rFonts w:ascii="Arial" w:hAnsi="Arial" w:cs="Arial"/>
        </w:rPr>
        <w:t>Additional File 1</w:t>
      </w:r>
    </w:p>
    <w:p w14:paraId="54EC4822" w14:textId="77777777" w:rsidR="00F435AF" w:rsidRPr="005F7368" w:rsidRDefault="00F435AF" w:rsidP="00787E19">
      <w:pPr>
        <w:spacing w:line="240" w:lineRule="auto"/>
        <w:ind w:left="567" w:hanging="567"/>
        <w:jc w:val="both"/>
        <w:rPr>
          <w:rFonts w:ascii="Arial" w:hAnsi="Arial" w:cs="Arial"/>
        </w:rPr>
      </w:pPr>
      <w:r w:rsidRPr="00F435AF">
        <w:rPr>
          <w:rFonts w:ascii="Arial" w:hAnsi="Arial" w:cs="Arial"/>
          <w:b/>
        </w:rPr>
        <w:t>Title of data:</w:t>
      </w:r>
      <w:r w:rsidR="005F7368">
        <w:rPr>
          <w:rFonts w:ascii="Arial" w:hAnsi="Arial" w:cs="Arial"/>
          <w:b/>
        </w:rPr>
        <w:t xml:space="preserve"> </w:t>
      </w:r>
      <w:r w:rsidR="005F7368">
        <w:rPr>
          <w:rFonts w:ascii="Arial" w:hAnsi="Arial" w:cs="Arial"/>
        </w:rPr>
        <w:t>The CLAHRC NWC Household Health Survey</w:t>
      </w:r>
    </w:p>
    <w:p w14:paraId="079817A6" w14:textId="77777777" w:rsidR="00F435AF" w:rsidRPr="005F7368" w:rsidRDefault="00F435AF" w:rsidP="00787E19">
      <w:pPr>
        <w:spacing w:line="240" w:lineRule="auto"/>
        <w:ind w:left="567" w:hanging="567"/>
        <w:jc w:val="both"/>
        <w:rPr>
          <w:rFonts w:ascii="Arial" w:hAnsi="Arial" w:cs="Arial"/>
        </w:rPr>
      </w:pPr>
      <w:r w:rsidRPr="00F435AF">
        <w:rPr>
          <w:rFonts w:ascii="Arial" w:hAnsi="Arial" w:cs="Arial"/>
          <w:b/>
        </w:rPr>
        <w:t>Description of data:</w:t>
      </w:r>
      <w:r w:rsidR="005F7368">
        <w:rPr>
          <w:rFonts w:ascii="Arial" w:hAnsi="Arial" w:cs="Arial"/>
          <w:b/>
        </w:rPr>
        <w:t xml:space="preserve"> </w:t>
      </w:r>
      <w:r w:rsidR="005F7368">
        <w:rPr>
          <w:rFonts w:ascii="Arial" w:hAnsi="Arial" w:cs="Arial"/>
        </w:rPr>
        <w:t>Public health survey</w:t>
      </w:r>
    </w:p>
    <w:p w14:paraId="70CFDFDE" w14:textId="77777777" w:rsidR="00F435AF" w:rsidRDefault="00F435AF" w:rsidP="00787E19">
      <w:pPr>
        <w:spacing w:line="240" w:lineRule="auto"/>
        <w:ind w:left="567" w:hanging="567"/>
        <w:jc w:val="both"/>
        <w:rPr>
          <w:rFonts w:ascii="Arial" w:hAnsi="Arial" w:cs="Arial"/>
          <w:b/>
          <w:sz w:val="24"/>
        </w:rPr>
      </w:pPr>
    </w:p>
    <w:p w14:paraId="71CC3A10" w14:textId="77777777" w:rsidR="00F435AF" w:rsidRDefault="00F435AF" w:rsidP="00787E19">
      <w:pPr>
        <w:spacing w:line="240" w:lineRule="auto"/>
        <w:ind w:left="567" w:hanging="567"/>
        <w:jc w:val="both"/>
        <w:rPr>
          <w:rFonts w:ascii="Arial" w:hAnsi="Arial" w:cs="Arial"/>
          <w:b/>
          <w:sz w:val="24"/>
        </w:rPr>
      </w:pPr>
    </w:p>
    <w:p w14:paraId="42DC5FBD" w14:textId="77777777" w:rsidR="00F435AF" w:rsidRDefault="00F435AF" w:rsidP="00787E19">
      <w:pPr>
        <w:spacing w:line="240" w:lineRule="auto"/>
        <w:ind w:left="567" w:hanging="567"/>
        <w:jc w:val="both"/>
        <w:rPr>
          <w:rFonts w:ascii="Arial" w:hAnsi="Arial" w:cs="Arial"/>
          <w:b/>
          <w:sz w:val="24"/>
        </w:rPr>
      </w:pPr>
    </w:p>
    <w:p w14:paraId="1B51AD1B" w14:textId="77777777" w:rsidR="00F435AF" w:rsidRDefault="00F435AF" w:rsidP="00787E19">
      <w:pPr>
        <w:spacing w:line="240" w:lineRule="auto"/>
        <w:ind w:left="567" w:hanging="567"/>
        <w:jc w:val="both"/>
        <w:rPr>
          <w:rFonts w:ascii="Arial" w:hAnsi="Arial" w:cs="Arial"/>
          <w:b/>
          <w:sz w:val="24"/>
        </w:rPr>
      </w:pPr>
    </w:p>
    <w:p w14:paraId="276A9750" w14:textId="77777777" w:rsidR="00F435AF" w:rsidRDefault="00F435AF" w:rsidP="00787E19">
      <w:pPr>
        <w:spacing w:line="240" w:lineRule="auto"/>
        <w:ind w:left="567" w:hanging="567"/>
        <w:jc w:val="both"/>
        <w:rPr>
          <w:rFonts w:ascii="Arial" w:hAnsi="Arial" w:cs="Arial"/>
          <w:b/>
          <w:sz w:val="24"/>
        </w:rPr>
      </w:pPr>
    </w:p>
    <w:p w14:paraId="3F3B9BDF" w14:textId="77777777" w:rsidR="00F435AF" w:rsidRDefault="00F435AF" w:rsidP="00787E19">
      <w:pPr>
        <w:spacing w:line="240" w:lineRule="auto"/>
        <w:ind w:left="567" w:hanging="567"/>
        <w:jc w:val="both"/>
        <w:rPr>
          <w:rFonts w:ascii="Arial" w:hAnsi="Arial" w:cs="Arial"/>
          <w:b/>
          <w:sz w:val="24"/>
        </w:rPr>
      </w:pPr>
    </w:p>
    <w:p w14:paraId="6CD7A29C" w14:textId="77777777" w:rsidR="00F435AF" w:rsidRDefault="00F435AF" w:rsidP="00787E19">
      <w:pPr>
        <w:spacing w:line="240" w:lineRule="auto"/>
        <w:ind w:left="567" w:hanging="567"/>
        <w:jc w:val="both"/>
        <w:rPr>
          <w:rFonts w:ascii="Arial" w:hAnsi="Arial" w:cs="Arial"/>
          <w:b/>
          <w:sz w:val="24"/>
        </w:rPr>
      </w:pPr>
    </w:p>
    <w:p w14:paraId="27862A64" w14:textId="77777777" w:rsidR="00F435AF" w:rsidRDefault="00F435AF" w:rsidP="00787E19">
      <w:pPr>
        <w:spacing w:line="240" w:lineRule="auto"/>
        <w:ind w:left="567" w:hanging="567"/>
        <w:jc w:val="both"/>
        <w:rPr>
          <w:rFonts w:ascii="Arial" w:hAnsi="Arial" w:cs="Arial"/>
          <w:b/>
          <w:sz w:val="24"/>
        </w:rPr>
      </w:pPr>
    </w:p>
    <w:p w14:paraId="61151192" w14:textId="77777777" w:rsidR="00F435AF" w:rsidRDefault="00F435AF" w:rsidP="00787E19">
      <w:pPr>
        <w:spacing w:line="240" w:lineRule="auto"/>
        <w:ind w:left="567" w:hanging="567"/>
        <w:jc w:val="both"/>
        <w:rPr>
          <w:rFonts w:ascii="Arial" w:hAnsi="Arial" w:cs="Arial"/>
          <w:b/>
          <w:sz w:val="24"/>
        </w:rPr>
      </w:pPr>
    </w:p>
    <w:p w14:paraId="005006AE" w14:textId="77777777" w:rsidR="00F435AF" w:rsidRDefault="00F435AF" w:rsidP="00787E19">
      <w:pPr>
        <w:spacing w:line="240" w:lineRule="auto"/>
        <w:ind w:left="567" w:hanging="567"/>
        <w:jc w:val="both"/>
        <w:rPr>
          <w:rFonts w:ascii="Arial" w:hAnsi="Arial" w:cs="Arial"/>
          <w:b/>
          <w:sz w:val="24"/>
        </w:rPr>
      </w:pPr>
    </w:p>
    <w:p w14:paraId="191CDF43" w14:textId="77777777" w:rsidR="00F435AF" w:rsidRDefault="00F435AF" w:rsidP="00787E19">
      <w:pPr>
        <w:spacing w:line="240" w:lineRule="auto"/>
        <w:ind w:left="567" w:hanging="567"/>
        <w:jc w:val="both"/>
        <w:rPr>
          <w:rFonts w:ascii="Arial" w:hAnsi="Arial" w:cs="Arial"/>
          <w:b/>
          <w:sz w:val="24"/>
        </w:rPr>
      </w:pPr>
    </w:p>
    <w:p w14:paraId="03ADBA9A" w14:textId="77777777" w:rsidR="00F435AF" w:rsidRDefault="00F435AF" w:rsidP="00787E19">
      <w:pPr>
        <w:spacing w:line="240" w:lineRule="auto"/>
        <w:ind w:left="567" w:hanging="567"/>
        <w:jc w:val="both"/>
        <w:rPr>
          <w:rFonts w:ascii="Arial" w:hAnsi="Arial" w:cs="Arial"/>
          <w:b/>
          <w:sz w:val="24"/>
        </w:rPr>
      </w:pPr>
    </w:p>
    <w:p w14:paraId="3ADC5CB3" w14:textId="77777777" w:rsidR="00F435AF" w:rsidRDefault="00F435AF" w:rsidP="00787E19">
      <w:pPr>
        <w:spacing w:line="240" w:lineRule="auto"/>
        <w:ind w:left="567" w:hanging="567"/>
        <w:jc w:val="both"/>
        <w:rPr>
          <w:rFonts w:ascii="Arial" w:hAnsi="Arial" w:cs="Arial"/>
          <w:b/>
          <w:sz w:val="24"/>
        </w:rPr>
      </w:pPr>
    </w:p>
    <w:p w14:paraId="32DD1840" w14:textId="77777777" w:rsidR="00F435AF" w:rsidRDefault="00F435AF" w:rsidP="00787E19">
      <w:pPr>
        <w:spacing w:line="240" w:lineRule="auto"/>
        <w:ind w:left="567" w:hanging="567"/>
        <w:jc w:val="both"/>
        <w:rPr>
          <w:rFonts w:ascii="Arial" w:hAnsi="Arial" w:cs="Arial"/>
          <w:b/>
          <w:sz w:val="24"/>
        </w:rPr>
      </w:pPr>
    </w:p>
    <w:p w14:paraId="66F81767" w14:textId="77777777" w:rsidR="00F435AF" w:rsidRDefault="00F435AF" w:rsidP="00787E19">
      <w:pPr>
        <w:spacing w:line="240" w:lineRule="auto"/>
        <w:ind w:left="567" w:hanging="567"/>
        <w:jc w:val="both"/>
        <w:rPr>
          <w:rFonts w:ascii="Arial" w:hAnsi="Arial" w:cs="Arial"/>
          <w:b/>
          <w:sz w:val="24"/>
        </w:rPr>
      </w:pPr>
    </w:p>
    <w:p w14:paraId="56A6C78C" w14:textId="77777777" w:rsidR="00F435AF" w:rsidRDefault="00F435AF" w:rsidP="00787E19">
      <w:pPr>
        <w:spacing w:line="240" w:lineRule="auto"/>
        <w:ind w:left="567" w:hanging="567"/>
        <w:jc w:val="both"/>
        <w:rPr>
          <w:rFonts w:ascii="Arial" w:hAnsi="Arial" w:cs="Arial"/>
          <w:b/>
          <w:sz w:val="24"/>
        </w:rPr>
      </w:pPr>
    </w:p>
    <w:p w14:paraId="57422CBC" w14:textId="77777777" w:rsidR="00F435AF" w:rsidRDefault="00F435AF" w:rsidP="00787E19">
      <w:pPr>
        <w:spacing w:line="240" w:lineRule="auto"/>
        <w:ind w:left="567" w:hanging="567"/>
        <w:jc w:val="both"/>
        <w:rPr>
          <w:rFonts w:ascii="Arial" w:hAnsi="Arial" w:cs="Arial"/>
          <w:b/>
          <w:sz w:val="24"/>
        </w:rPr>
      </w:pPr>
    </w:p>
    <w:p w14:paraId="20BB1133" w14:textId="77777777" w:rsidR="00B36C94" w:rsidRDefault="00B36C94" w:rsidP="00787E19">
      <w:pPr>
        <w:spacing w:line="240" w:lineRule="auto"/>
        <w:ind w:left="567" w:hanging="567"/>
        <w:jc w:val="both"/>
        <w:rPr>
          <w:rFonts w:ascii="Arial" w:hAnsi="Arial" w:cs="Arial"/>
          <w:b/>
          <w:sz w:val="24"/>
        </w:rPr>
      </w:pPr>
    </w:p>
    <w:p w14:paraId="438F9064" w14:textId="77777777" w:rsidR="00B36C94" w:rsidRDefault="00B36C94" w:rsidP="00787E19">
      <w:pPr>
        <w:spacing w:line="240" w:lineRule="auto"/>
        <w:ind w:left="567" w:hanging="567"/>
        <w:jc w:val="both"/>
        <w:rPr>
          <w:rFonts w:ascii="Arial" w:hAnsi="Arial" w:cs="Arial"/>
          <w:b/>
          <w:sz w:val="24"/>
        </w:rPr>
      </w:pPr>
    </w:p>
    <w:p w14:paraId="75A33560" w14:textId="77777777" w:rsidR="00B36C94" w:rsidRDefault="00B36C94" w:rsidP="00787E19">
      <w:pPr>
        <w:spacing w:line="240" w:lineRule="auto"/>
        <w:ind w:left="567" w:hanging="567"/>
        <w:jc w:val="both"/>
        <w:rPr>
          <w:rFonts w:ascii="Arial" w:hAnsi="Arial" w:cs="Arial"/>
          <w:b/>
          <w:sz w:val="24"/>
        </w:rPr>
      </w:pPr>
    </w:p>
    <w:p w14:paraId="1143970B" w14:textId="77777777" w:rsidR="00B36C94" w:rsidRPr="00F435AF" w:rsidRDefault="00B36C94" w:rsidP="00787E19">
      <w:pPr>
        <w:spacing w:line="240" w:lineRule="auto"/>
        <w:ind w:left="567" w:hanging="567"/>
        <w:jc w:val="both"/>
        <w:rPr>
          <w:rFonts w:ascii="Arial" w:hAnsi="Arial" w:cs="Arial"/>
          <w:b/>
          <w:sz w:val="24"/>
        </w:rPr>
      </w:pPr>
    </w:p>
    <w:p w14:paraId="69063B83" w14:textId="77777777" w:rsidR="00807B71" w:rsidRDefault="00807B71" w:rsidP="00787E19">
      <w:pPr>
        <w:spacing w:line="240" w:lineRule="auto"/>
        <w:ind w:left="567" w:hanging="567"/>
        <w:jc w:val="both"/>
        <w:rPr>
          <w:rFonts w:ascii="Arial" w:hAnsi="Arial" w:cs="Arial"/>
        </w:rPr>
      </w:pPr>
    </w:p>
    <w:p w14:paraId="2F260B79" w14:textId="77777777" w:rsidR="00596F3D" w:rsidRDefault="00596F3D" w:rsidP="00596F3D">
      <w:pPr>
        <w:rPr>
          <w:rFonts w:ascii="Arial" w:hAnsi="Arial" w:cs="Arial"/>
          <w:b/>
        </w:rPr>
      </w:pPr>
      <w:r w:rsidRPr="00676A93">
        <w:rPr>
          <w:rFonts w:ascii="Arial" w:hAnsi="Arial" w:cs="Arial"/>
          <w:b/>
          <w:noProof/>
        </w:rPr>
        <mc:AlternateContent>
          <mc:Choice Requires="wps">
            <w:drawing>
              <wp:anchor distT="45720" distB="45720" distL="114300" distR="114300" simplePos="0" relativeHeight="251667456" behindDoc="0" locked="0" layoutInCell="1" allowOverlap="1" wp14:anchorId="668A11BB" wp14:editId="59D72DE4">
                <wp:simplePos x="0" y="0"/>
                <wp:positionH relativeFrom="column">
                  <wp:posOffset>2276475</wp:posOffset>
                </wp:positionH>
                <wp:positionV relativeFrom="paragraph">
                  <wp:posOffset>183515</wp:posOffset>
                </wp:positionV>
                <wp:extent cx="1600200" cy="5143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
                        </a:xfrm>
                        <a:prstGeom prst="rect">
                          <a:avLst/>
                        </a:prstGeom>
                        <a:solidFill>
                          <a:srgbClr val="FFFFFF"/>
                        </a:solidFill>
                        <a:ln w="9525">
                          <a:solidFill>
                            <a:srgbClr val="000000"/>
                          </a:solidFill>
                          <a:miter lim="800000"/>
                          <a:headEnd/>
                          <a:tailEnd/>
                        </a:ln>
                      </wps:spPr>
                      <wps:txbx>
                        <w:txbxContent>
                          <w:p w14:paraId="08B633C6" w14:textId="77777777" w:rsidR="000632EC" w:rsidRPr="002111AB" w:rsidRDefault="000632EC" w:rsidP="00596F3D">
                            <w:pPr>
                              <w:rPr>
                                <w:rFonts w:ascii="Arial" w:hAnsi="Arial" w:cs="Arial"/>
                              </w:rPr>
                            </w:pPr>
                            <w:r w:rsidRPr="002111AB">
                              <w:rPr>
                                <w:rFonts w:ascii="Arial" w:hAnsi="Arial" w:cs="Arial"/>
                              </w:rPr>
                              <w:t xml:space="preserve">Identifying neighbourhoods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7BC0C" id="_x0000_t202" coordsize="21600,21600" o:spt="202" path="m,l,21600r21600,l21600,xe">
                <v:stroke joinstyle="miter"/>
                <v:path gradientshapeok="t" o:connecttype="rect"/>
              </v:shapetype>
              <v:shape id="Text Box 2" o:spid="_x0000_s1026" type="#_x0000_t202" style="position:absolute;margin-left:179.25pt;margin-top:14.45pt;width:126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">
                <v:textbox>
                  <w:txbxContent>
                    <w:p w:rsidR="000632EC" w:rsidRPr="002111AB" w:rsidRDefault="000632EC" w:rsidP="00596F3D">
                      <w:pPr>
                        <w:rPr>
                          <w:rFonts w:ascii="Arial" w:hAnsi="Arial" w:cs="Arial"/>
                        </w:rPr>
                      </w:pPr>
                      <w:r w:rsidRPr="002111AB">
                        <w:rPr>
                          <w:rFonts w:ascii="Arial" w:hAnsi="Arial" w:cs="Arial"/>
                        </w:rPr>
                        <w:t xml:space="preserve">Identifying neighbourhoods </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2F086071" wp14:editId="6F689601">
                <wp:simplePos x="0" y="0"/>
                <wp:positionH relativeFrom="column">
                  <wp:posOffset>1638300</wp:posOffset>
                </wp:positionH>
                <wp:positionV relativeFrom="paragraph">
                  <wp:posOffset>106680</wp:posOffset>
                </wp:positionV>
                <wp:extent cx="2905125" cy="5553075"/>
                <wp:effectExtent l="19050" t="0" r="28575" b="47625"/>
                <wp:wrapNone/>
                <wp:docPr id="23" name="Down Arrow 23"/>
                <wp:cNvGraphicFramePr/>
                <a:graphic xmlns:a="http://schemas.openxmlformats.org/drawingml/2006/main">
                  <a:graphicData uri="http://schemas.microsoft.com/office/word/2010/wordprocessingShape">
                    <wps:wsp>
                      <wps:cNvSpPr/>
                      <wps:spPr>
                        <a:xfrm>
                          <a:off x="0" y="0"/>
                          <a:ext cx="2905125" cy="5553075"/>
                        </a:xfrm>
                        <a:prstGeom prst="downArrow">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AB6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129pt;margin-top:8.4pt;width:228.75pt;height:4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" adj="15950" fillcolor="#d8d8d8 [2732]" strokecolor="#d8d8d8 [2732]" strokeweight="2pt"/>
            </w:pict>
          </mc:Fallback>
        </mc:AlternateContent>
      </w:r>
    </w:p>
    <w:p w14:paraId="6192F699" w14:textId="77777777" w:rsidR="00DA13BE" w:rsidRDefault="00DA13BE" w:rsidP="00596F3D">
      <w:pPr>
        <w:rPr>
          <w:rFonts w:ascii="Arial" w:hAnsi="Arial" w:cs="Arial"/>
          <w:b/>
        </w:rPr>
      </w:pPr>
    </w:p>
    <w:p w14:paraId="5E0B3D06" w14:textId="77777777" w:rsidR="00596F3D" w:rsidRDefault="00596F3D" w:rsidP="00596F3D">
      <w:pPr>
        <w:rPr>
          <w:rFonts w:ascii="Arial" w:hAnsi="Arial" w:cs="Arial"/>
          <w:b/>
        </w:rPr>
      </w:pPr>
      <w:r w:rsidRPr="00676A93">
        <w:rPr>
          <w:rFonts w:ascii="Arial" w:hAnsi="Arial" w:cs="Arial"/>
          <w:b/>
          <w:noProof/>
        </w:rPr>
        <mc:AlternateContent>
          <mc:Choice Requires="wps">
            <w:drawing>
              <wp:anchor distT="45720" distB="45720" distL="114300" distR="114300" simplePos="0" relativeHeight="251666432" behindDoc="0" locked="0" layoutInCell="1" allowOverlap="1" wp14:anchorId="1A4FA518" wp14:editId="7C7D3F97">
                <wp:simplePos x="0" y="0"/>
                <wp:positionH relativeFrom="column">
                  <wp:posOffset>2276475</wp:posOffset>
                </wp:positionH>
                <wp:positionV relativeFrom="paragraph">
                  <wp:posOffset>302895</wp:posOffset>
                </wp:positionV>
                <wp:extent cx="1600200" cy="504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solidFill>
                          <a:srgbClr val="FFFFFF"/>
                        </a:solidFill>
                        <a:ln w="9525">
                          <a:solidFill>
                            <a:srgbClr val="000000"/>
                          </a:solidFill>
                          <a:miter lim="800000"/>
                          <a:headEnd/>
                          <a:tailEnd/>
                        </a:ln>
                      </wps:spPr>
                      <wps:txbx>
                        <w:txbxContent>
                          <w:p w14:paraId="2A222309" w14:textId="77777777" w:rsidR="000632EC" w:rsidRPr="002111AB" w:rsidRDefault="000632EC" w:rsidP="00596F3D">
                            <w:pPr>
                              <w:rPr>
                                <w:rFonts w:ascii="Arial" w:hAnsi="Arial" w:cs="Arial"/>
                              </w:rPr>
                            </w:pPr>
                            <w:r w:rsidRPr="002111AB">
                              <w:rPr>
                                <w:rFonts w:ascii="Arial" w:hAnsi="Arial" w:cs="Arial"/>
                              </w:rPr>
                              <w:t xml:space="preserve">Meetings with resident advisors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43317" id="_x0000_s1027" type="#_x0000_t202" style="position:absolute;margin-left:179.25pt;margin-top:23.85pt;width:126pt;height: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">
                <v:textbox>
                  <w:txbxContent>
                    <w:p w:rsidR="000632EC" w:rsidRPr="002111AB" w:rsidRDefault="000632EC" w:rsidP="00596F3D">
                      <w:pPr>
                        <w:rPr>
                          <w:rFonts w:ascii="Arial" w:hAnsi="Arial" w:cs="Arial"/>
                        </w:rPr>
                      </w:pPr>
                      <w:r w:rsidRPr="002111AB">
                        <w:rPr>
                          <w:rFonts w:ascii="Arial" w:hAnsi="Arial" w:cs="Arial"/>
                        </w:rPr>
                        <w:t xml:space="preserve">Meetings with resident advisors </w:t>
                      </w:r>
                    </w:p>
                  </w:txbxContent>
                </v:textbox>
                <w10:wrap type="square"/>
              </v:shape>
            </w:pict>
          </mc:Fallback>
        </mc:AlternateContent>
      </w:r>
    </w:p>
    <w:p w14:paraId="7030E92A" w14:textId="77777777" w:rsidR="00596F3D" w:rsidRDefault="00596F3D" w:rsidP="00596F3D">
      <w:pPr>
        <w:rPr>
          <w:rFonts w:ascii="Arial" w:hAnsi="Arial" w:cs="Arial"/>
          <w:b/>
        </w:rPr>
      </w:pPr>
    </w:p>
    <w:p w14:paraId="1F6DF63B" w14:textId="77777777" w:rsidR="00596F3D" w:rsidRDefault="00596F3D" w:rsidP="00596F3D">
      <w:pPr>
        <w:rPr>
          <w:rFonts w:ascii="Arial" w:hAnsi="Arial" w:cs="Arial"/>
          <w:b/>
        </w:rPr>
      </w:pPr>
    </w:p>
    <w:p w14:paraId="588C0694" w14:textId="77777777" w:rsidR="00596F3D" w:rsidRDefault="00596F3D" w:rsidP="00596F3D">
      <w:pPr>
        <w:rPr>
          <w:rFonts w:ascii="Arial" w:hAnsi="Arial" w:cs="Arial"/>
          <w:b/>
        </w:rPr>
      </w:pPr>
      <w:r w:rsidRPr="00676A93">
        <w:rPr>
          <w:rFonts w:ascii="Arial" w:hAnsi="Arial" w:cs="Arial"/>
          <w:b/>
          <w:noProof/>
        </w:rPr>
        <mc:AlternateContent>
          <mc:Choice Requires="wps">
            <w:drawing>
              <wp:anchor distT="45720" distB="45720" distL="114300" distR="114300" simplePos="0" relativeHeight="251674624" behindDoc="0" locked="0" layoutInCell="1" allowOverlap="1" wp14:anchorId="6BFD74B2" wp14:editId="7572BFC8">
                <wp:simplePos x="0" y="0"/>
                <wp:positionH relativeFrom="column">
                  <wp:posOffset>4286250</wp:posOffset>
                </wp:positionH>
                <wp:positionV relativeFrom="paragraph">
                  <wp:posOffset>253365</wp:posOffset>
                </wp:positionV>
                <wp:extent cx="1562100" cy="4095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solidFill>
                          <a:srgbClr val="FFFFFF"/>
                        </a:solidFill>
                        <a:ln w="9525">
                          <a:solidFill>
                            <a:srgbClr val="000000"/>
                          </a:solidFill>
                          <a:miter lim="800000"/>
                          <a:headEnd/>
                          <a:tailEnd/>
                        </a:ln>
                      </wps:spPr>
                      <wps:txbx>
                        <w:txbxContent>
                          <w:p w14:paraId="6C3A1657" w14:textId="77777777" w:rsidR="000632EC" w:rsidRPr="00360AF5" w:rsidRDefault="000632EC" w:rsidP="00596F3D">
                            <w:pPr>
                              <w:rPr>
                                <w:rFonts w:ascii="Arial" w:hAnsi="Arial" w:cs="Arial"/>
                                <w:sz w:val="20"/>
                              </w:rPr>
                            </w:pPr>
                            <w:r w:rsidRPr="00360AF5">
                              <w:rPr>
                                <w:rFonts w:ascii="Arial" w:hAnsi="Arial" w:cs="Arial"/>
                                <w:b/>
                                <w:sz w:val="20"/>
                              </w:rPr>
                              <w:t>Survey Implementation Group</w:t>
                            </w:r>
                            <w:r w:rsidRPr="00360AF5">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BAD74" id="_x0000_s1028" type="#_x0000_t202" style="position:absolute;margin-left:337.5pt;margin-top:19.95pt;width:123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">
                <v:textbox>
                  <w:txbxContent>
                    <w:p w:rsidR="000632EC" w:rsidRPr="00360AF5" w:rsidRDefault="000632EC" w:rsidP="00596F3D">
                      <w:pPr>
                        <w:rPr>
                          <w:rFonts w:ascii="Arial" w:hAnsi="Arial" w:cs="Arial"/>
                          <w:sz w:val="20"/>
                        </w:rPr>
                      </w:pPr>
                      <w:r w:rsidRPr="00360AF5">
                        <w:rPr>
                          <w:rFonts w:ascii="Arial" w:hAnsi="Arial" w:cs="Arial"/>
                          <w:b/>
                          <w:sz w:val="20"/>
                        </w:rPr>
                        <w:t>Survey Implementation Group</w:t>
                      </w:r>
                      <w:r w:rsidRPr="00360AF5">
                        <w:rPr>
                          <w:rFonts w:ascii="Arial" w:hAnsi="Arial" w:cs="Arial"/>
                          <w:sz w:val="20"/>
                        </w:rPr>
                        <w:t xml:space="preserve"> </w:t>
                      </w:r>
                    </w:p>
                  </w:txbxContent>
                </v:textbox>
                <w10:wrap type="square"/>
              </v:shape>
            </w:pict>
          </mc:Fallback>
        </mc:AlternateContent>
      </w:r>
      <w:r w:rsidRPr="00676A93">
        <w:rPr>
          <w:rFonts w:ascii="Arial" w:hAnsi="Arial" w:cs="Arial"/>
          <w:b/>
          <w:noProof/>
        </w:rPr>
        <mc:AlternateContent>
          <mc:Choice Requires="wps">
            <w:drawing>
              <wp:anchor distT="45720" distB="45720" distL="114300" distR="114300" simplePos="0" relativeHeight="251668480" behindDoc="0" locked="0" layoutInCell="1" allowOverlap="1" wp14:anchorId="4E3443E2" wp14:editId="461D020E">
                <wp:simplePos x="0" y="0"/>
                <wp:positionH relativeFrom="column">
                  <wp:posOffset>2266950</wp:posOffset>
                </wp:positionH>
                <wp:positionV relativeFrom="paragraph">
                  <wp:posOffset>99695</wp:posOffset>
                </wp:positionV>
                <wp:extent cx="1600200" cy="676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6275"/>
                        </a:xfrm>
                        <a:prstGeom prst="rect">
                          <a:avLst/>
                        </a:prstGeom>
                        <a:solidFill>
                          <a:srgbClr val="FFFFFF"/>
                        </a:solidFill>
                        <a:ln w="9525">
                          <a:solidFill>
                            <a:srgbClr val="000000"/>
                          </a:solidFill>
                          <a:miter lim="800000"/>
                          <a:headEnd/>
                          <a:tailEnd/>
                        </a:ln>
                      </wps:spPr>
                      <wps:txbx>
                        <w:txbxContent>
                          <w:p w14:paraId="12A3120F" w14:textId="77777777" w:rsidR="000632EC" w:rsidRPr="002111AB" w:rsidRDefault="000632EC" w:rsidP="00596F3D">
                            <w:pPr>
                              <w:rPr>
                                <w:rFonts w:ascii="Arial" w:hAnsi="Arial" w:cs="Arial"/>
                              </w:rPr>
                            </w:pPr>
                            <w:r w:rsidRPr="002111AB">
                              <w:rPr>
                                <w:rFonts w:ascii="Arial" w:hAnsi="Arial" w:cs="Arial"/>
                              </w:rPr>
                              <w:t xml:space="preserve">Designing survey with public advisers and local authorities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6C8A3" id="_x0000_s1029" type="#_x0000_t202" style="position:absolute;margin-left:178.5pt;margin-top:7.85pt;width:126pt;height:5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ijJQIAAEw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">
                <v:textbox>
                  <w:txbxContent>
                    <w:p w:rsidR="000632EC" w:rsidRPr="002111AB" w:rsidRDefault="000632EC" w:rsidP="00596F3D">
                      <w:pPr>
                        <w:rPr>
                          <w:rFonts w:ascii="Arial" w:hAnsi="Arial" w:cs="Arial"/>
                        </w:rPr>
                      </w:pPr>
                      <w:r w:rsidRPr="002111AB">
                        <w:rPr>
                          <w:rFonts w:ascii="Arial" w:hAnsi="Arial" w:cs="Arial"/>
                        </w:rPr>
                        <w:t xml:space="preserve">Designing survey with public advisers and local authorities </w:t>
                      </w:r>
                    </w:p>
                  </w:txbxContent>
                </v:textbox>
                <w10:wrap type="square"/>
              </v:shape>
            </w:pict>
          </mc:Fallback>
        </mc:AlternateContent>
      </w:r>
    </w:p>
    <w:p w14:paraId="0EE5511B"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61E49B77" wp14:editId="1A2D0FE8">
                <wp:simplePos x="0" y="0"/>
                <wp:positionH relativeFrom="column">
                  <wp:posOffset>3800475</wp:posOffset>
                </wp:positionH>
                <wp:positionV relativeFrom="paragraph">
                  <wp:posOffset>27940</wp:posOffset>
                </wp:positionV>
                <wp:extent cx="504825" cy="257175"/>
                <wp:effectExtent l="0" t="19050" r="47625" b="47625"/>
                <wp:wrapNone/>
                <wp:docPr id="22" name="Right Arrow 22"/>
                <wp:cNvGraphicFramePr/>
                <a:graphic xmlns:a="http://schemas.openxmlformats.org/drawingml/2006/main">
                  <a:graphicData uri="http://schemas.microsoft.com/office/word/2010/wordprocessingShape">
                    <wps:wsp>
                      <wps:cNvSpPr/>
                      <wps:spPr>
                        <a:xfrm>
                          <a:off x="0" y="0"/>
                          <a:ext cx="504825" cy="257175"/>
                        </a:xfrm>
                        <a:prstGeom prst="rightArrow">
                          <a:avLst/>
                        </a:prstGeom>
                        <a:solidFill>
                          <a:schemeClr val="bg1">
                            <a:lumMod val="6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76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99.25pt;margin-top:2.2pt;width:39.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" adj="16098" fillcolor="#a5a5a5 [2092]" strokecolor="#7f7f7f [1612]" strokeweight=".5pt"/>
            </w:pict>
          </mc:Fallback>
        </mc:AlternateContent>
      </w:r>
    </w:p>
    <w:p w14:paraId="0E653D85" w14:textId="77777777" w:rsidR="00596F3D" w:rsidRDefault="00596F3D" w:rsidP="00596F3D">
      <w:pPr>
        <w:rPr>
          <w:rFonts w:ascii="Arial" w:hAnsi="Arial" w:cs="Arial"/>
          <w:b/>
        </w:rPr>
      </w:pPr>
    </w:p>
    <w:p w14:paraId="5CF5E072"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4DC7EB6E" wp14:editId="099FC4FD">
                <wp:simplePos x="0" y="0"/>
                <wp:positionH relativeFrom="column">
                  <wp:posOffset>2266315</wp:posOffset>
                </wp:positionH>
                <wp:positionV relativeFrom="paragraph">
                  <wp:posOffset>52070</wp:posOffset>
                </wp:positionV>
                <wp:extent cx="1666875" cy="5048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666875" cy="504825"/>
                        </a:xfrm>
                        <a:prstGeom prst="round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DF91B" w14:textId="77777777" w:rsidR="000632EC" w:rsidRPr="00194143" w:rsidRDefault="000632EC" w:rsidP="00596F3D">
                            <w:pPr>
                              <w:jc w:val="center"/>
                              <w:rPr>
                                <w:rFonts w:ascii="Arial" w:hAnsi="Arial" w:cs="Arial"/>
                                <w:b/>
                                <w:color w:val="000000" w:themeColor="text1"/>
                                <w:sz w:val="24"/>
                              </w:rPr>
                            </w:pPr>
                            <w:r>
                              <w:rPr>
                                <w:rFonts w:ascii="Arial" w:hAnsi="Arial" w:cs="Arial"/>
                                <w:b/>
                                <w:color w:val="000000" w:themeColor="text1"/>
                                <w:sz w:val="24"/>
                              </w:rPr>
                              <w:t>Pilot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025B23" id="Rounded Rectangle 15" o:spid="_x0000_s1030" style="position:absolute;margin-left:178.45pt;margin-top:4.1pt;width:131.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" fillcolor="#f2f2f2 [3052]" strokecolor="black [3213]" strokeweight=".5pt">
                <v:textbox>
                  <w:txbxContent>
                    <w:p w:rsidR="000632EC" w:rsidRPr="00194143" w:rsidRDefault="000632EC" w:rsidP="00596F3D">
                      <w:pPr>
                        <w:jc w:val="center"/>
                        <w:rPr>
                          <w:rFonts w:ascii="Arial" w:hAnsi="Arial" w:cs="Arial"/>
                          <w:b/>
                          <w:color w:val="000000" w:themeColor="text1"/>
                          <w:sz w:val="24"/>
                        </w:rPr>
                      </w:pPr>
                      <w:r>
                        <w:rPr>
                          <w:rFonts w:ascii="Arial" w:hAnsi="Arial" w:cs="Arial"/>
                          <w:b/>
                          <w:color w:val="000000" w:themeColor="text1"/>
                          <w:sz w:val="24"/>
                        </w:rPr>
                        <w:t>Pilot</w:t>
                      </w:r>
                    </w:p>
                  </w:txbxContent>
                </v:textbox>
              </v:roundrect>
            </w:pict>
          </mc:Fallback>
        </mc:AlternateContent>
      </w:r>
    </w:p>
    <w:p w14:paraId="5FB05A0B" w14:textId="77777777" w:rsidR="00596F3D" w:rsidRDefault="00596F3D" w:rsidP="00596F3D">
      <w:pPr>
        <w:rPr>
          <w:rFonts w:ascii="Arial" w:hAnsi="Arial" w:cs="Arial"/>
          <w:b/>
        </w:rPr>
      </w:pPr>
    </w:p>
    <w:p w14:paraId="0B7B2FAA" w14:textId="77777777" w:rsidR="00596F3D" w:rsidRDefault="00596F3D" w:rsidP="00596F3D">
      <w:pPr>
        <w:rPr>
          <w:rFonts w:ascii="Arial" w:hAnsi="Arial" w:cs="Arial"/>
          <w:b/>
        </w:rPr>
      </w:pPr>
      <w:r w:rsidRPr="00676A93">
        <w:rPr>
          <w:rFonts w:ascii="Arial" w:hAnsi="Arial" w:cs="Arial"/>
          <w:b/>
          <w:noProof/>
        </w:rPr>
        <mc:AlternateContent>
          <mc:Choice Requires="wps">
            <w:drawing>
              <wp:anchor distT="45720" distB="45720" distL="114300" distR="114300" simplePos="0" relativeHeight="251676672" behindDoc="0" locked="0" layoutInCell="1" allowOverlap="1" wp14:anchorId="5154D236" wp14:editId="3E113337">
                <wp:simplePos x="0" y="0"/>
                <wp:positionH relativeFrom="column">
                  <wp:posOffset>590550</wp:posOffset>
                </wp:positionH>
                <wp:positionV relativeFrom="paragraph">
                  <wp:posOffset>26670</wp:posOffset>
                </wp:positionV>
                <wp:extent cx="1562100" cy="9810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81075"/>
                        </a:xfrm>
                        <a:prstGeom prst="rect">
                          <a:avLst/>
                        </a:prstGeom>
                        <a:solidFill>
                          <a:srgbClr val="FFFFFF"/>
                        </a:solidFill>
                        <a:ln w="9525">
                          <a:solidFill>
                            <a:srgbClr val="000000"/>
                          </a:solidFill>
                          <a:miter lim="800000"/>
                          <a:headEnd/>
                          <a:tailEnd/>
                        </a:ln>
                      </wps:spPr>
                      <wps:txbx>
                        <w:txbxContent>
                          <w:p w14:paraId="50F0D1D0" w14:textId="77777777" w:rsidR="000632EC" w:rsidRPr="00360AF5" w:rsidRDefault="000632EC" w:rsidP="00596F3D">
                            <w:pPr>
                              <w:rPr>
                                <w:rFonts w:ascii="Arial" w:hAnsi="Arial" w:cs="Arial"/>
                                <w:b/>
                                <w:sz w:val="20"/>
                              </w:rPr>
                            </w:pPr>
                            <w:r>
                              <w:rPr>
                                <w:rFonts w:ascii="Arial" w:hAnsi="Arial" w:cs="Arial"/>
                                <w:b/>
                                <w:sz w:val="20"/>
                              </w:rPr>
                              <w:t>Healthcare Utilisation/PLDR</w:t>
                            </w:r>
                            <w:r w:rsidRPr="00360AF5">
                              <w:rPr>
                                <w:rFonts w:ascii="Arial" w:hAnsi="Arial" w:cs="Arial"/>
                                <w:b/>
                                <w:sz w:val="20"/>
                              </w:rPr>
                              <w:t xml:space="preserve"> </w:t>
                            </w:r>
                            <w:r>
                              <w:rPr>
                                <w:rFonts w:ascii="Arial" w:hAnsi="Arial" w:cs="Arial"/>
                                <w:b/>
                                <w:sz w:val="20"/>
                              </w:rPr>
                              <w:t xml:space="preserve">Analysis/Writing </w:t>
                            </w:r>
                            <w:r w:rsidRPr="00360AF5">
                              <w:rPr>
                                <w:rFonts w:ascii="Arial" w:hAnsi="Arial" w:cs="Arial"/>
                                <w:b/>
                                <w:sz w:val="20"/>
                              </w:rPr>
                              <w:t>Group</w:t>
                            </w:r>
                            <w:r w:rsidRPr="00360AF5">
                              <w:rPr>
                                <w:rFonts w:ascii="Arial" w:hAnsi="Arial" w:cs="Arial"/>
                                <w:sz w:val="20"/>
                              </w:rPr>
                              <w:t xml:space="preserve"> and</w:t>
                            </w:r>
                            <w:r>
                              <w:rPr>
                                <w:rFonts w:ascii="Arial" w:hAnsi="Arial" w:cs="Arial"/>
                                <w:b/>
                                <w:sz w:val="20"/>
                              </w:rPr>
                              <w:t xml:space="preserve"> Mental Health Analysis Group</w:t>
                            </w:r>
                          </w:p>
                          <w:p w14:paraId="41AE04FC" w14:textId="77777777" w:rsidR="000632EC" w:rsidRPr="00360AF5" w:rsidRDefault="000632EC" w:rsidP="00596F3D">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08BB4" id="_x0000_s1031" type="#_x0000_t202" style="position:absolute;margin-left:46.5pt;margin-top:2.1pt;width:123pt;height:7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">
                <v:textbox>
                  <w:txbxContent>
                    <w:p w:rsidR="000632EC" w:rsidRPr="00360AF5" w:rsidRDefault="000632EC" w:rsidP="00596F3D">
                      <w:pPr>
                        <w:rPr>
                          <w:rFonts w:ascii="Arial" w:hAnsi="Arial" w:cs="Arial"/>
                          <w:b/>
                          <w:sz w:val="20"/>
                        </w:rPr>
                      </w:pPr>
                      <w:r>
                        <w:rPr>
                          <w:rFonts w:ascii="Arial" w:hAnsi="Arial" w:cs="Arial"/>
                          <w:b/>
                          <w:sz w:val="20"/>
                        </w:rPr>
                        <w:t>Healthcare Utilisation/PLDR</w:t>
                      </w:r>
                      <w:r w:rsidRPr="00360AF5">
                        <w:rPr>
                          <w:rFonts w:ascii="Arial" w:hAnsi="Arial" w:cs="Arial"/>
                          <w:b/>
                          <w:sz w:val="20"/>
                        </w:rPr>
                        <w:t xml:space="preserve"> </w:t>
                      </w:r>
                      <w:r>
                        <w:rPr>
                          <w:rFonts w:ascii="Arial" w:hAnsi="Arial" w:cs="Arial"/>
                          <w:b/>
                          <w:sz w:val="20"/>
                        </w:rPr>
                        <w:t xml:space="preserve">Analysis/Writing </w:t>
                      </w:r>
                      <w:r w:rsidRPr="00360AF5">
                        <w:rPr>
                          <w:rFonts w:ascii="Arial" w:hAnsi="Arial" w:cs="Arial"/>
                          <w:b/>
                          <w:sz w:val="20"/>
                        </w:rPr>
                        <w:t>Group</w:t>
                      </w:r>
                      <w:r w:rsidRPr="00360AF5">
                        <w:rPr>
                          <w:rFonts w:ascii="Arial" w:hAnsi="Arial" w:cs="Arial"/>
                          <w:sz w:val="20"/>
                        </w:rPr>
                        <w:t xml:space="preserve"> and</w:t>
                      </w:r>
                      <w:r>
                        <w:rPr>
                          <w:rFonts w:ascii="Arial" w:hAnsi="Arial" w:cs="Arial"/>
                          <w:b/>
                          <w:sz w:val="20"/>
                        </w:rPr>
                        <w:t xml:space="preserve"> Mental Health Analysis Group</w:t>
                      </w:r>
                    </w:p>
                    <w:p w:rsidR="000632EC" w:rsidRPr="00360AF5" w:rsidRDefault="000632EC" w:rsidP="00596F3D">
                      <w:pPr>
                        <w:rPr>
                          <w:rFonts w:ascii="Arial" w:hAnsi="Arial" w:cs="Arial"/>
                          <w:sz w:val="20"/>
                        </w:rPr>
                      </w:pP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34E69767" wp14:editId="0D4B1CC5">
                <wp:simplePos x="0" y="0"/>
                <wp:positionH relativeFrom="column">
                  <wp:posOffset>2276475</wp:posOffset>
                </wp:positionH>
                <wp:positionV relativeFrom="paragraph">
                  <wp:posOffset>97790</wp:posOffset>
                </wp:positionV>
                <wp:extent cx="1657350" cy="742950"/>
                <wp:effectExtent l="0" t="0" r="19050" b="19050"/>
                <wp:wrapNone/>
                <wp:docPr id="4" name="Oval 4"/>
                <wp:cNvGraphicFramePr/>
                <a:graphic xmlns:a="http://schemas.openxmlformats.org/drawingml/2006/main">
                  <a:graphicData uri="http://schemas.microsoft.com/office/word/2010/wordprocessingShape">
                    <wps:wsp>
                      <wps:cNvSpPr/>
                      <wps:spPr>
                        <a:xfrm>
                          <a:off x="0" y="0"/>
                          <a:ext cx="1657350" cy="742950"/>
                        </a:xfrm>
                        <a:prstGeom prst="ellipse">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D7FA2" w14:textId="77777777" w:rsidR="000632EC" w:rsidRPr="00676A93" w:rsidRDefault="000632EC" w:rsidP="00596F3D">
                            <w:pPr>
                              <w:jc w:val="center"/>
                              <w:rPr>
                                <w:rFonts w:ascii="Arial" w:hAnsi="Arial" w:cs="Arial"/>
                                <w:b/>
                                <w:color w:val="000000" w:themeColor="text1"/>
                                <w:sz w:val="24"/>
                              </w:rPr>
                            </w:pPr>
                            <w:r w:rsidRPr="00676A93">
                              <w:rPr>
                                <w:rFonts w:ascii="Arial" w:hAnsi="Arial" w:cs="Arial"/>
                                <w:b/>
                                <w:color w:val="000000" w:themeColor="text1"/>
                                <w:sz w:val="24"/>
                              </w:rPr>
                              <w:t>Wave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5E6EFF" id="Oval 4" o:spid="_x0000_s1032" style="position:absolute;margin-left:179.25pt;margin-top:7.7pt;width:130.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" fillcolor="#a5a5a5 [2092]" strokecolor="black [3213]" strokeweight=".5pt">
                <v:textbox>
                  <w:txbxContent>
                    <w:p w:rsidR="000632EC" w:rsidRPr="00676A93" w:rsidRDefault="000632EC" w:rsidP="00596F3D">
                      <w:pPr>
                        <w:jc w:val="center"/>
                        <w:rPr>
                          <w:rFonts w:ascii="Arial" w:hAnsi="Arial" w:cs="Arial"/>
                          <w:b/>
                          <w:color w:val="000000" w:themeColor="text1"/>
                          <w:sz w:val="24"/>
                        </w:rPr>
                      </w:pPr>
                      <w:r w:rsidRPr="00676A93">
                        <w:rPr>
                          <w:rFonts w:ascii="Arial" w:hAnsi="Arial" w:cs="Arial"/>
                          <w:b/>
                          <w:color w:val="000000" w:themeColor="text1"/>
                          <w:sz w:val="24"/>
                        </w:rPr>
                        <w:t>Wave 1</w:t>
                      </w:r>
                    </w:p>
                  </w:txbxContent>
                </v:textbox>
              </v:oval>
            </w:pict>
          </mc:Fallback>
        </mc:AlternateContent>
      </w:r>
    </w:p>
    <w:p w14:paraId="0FE0542B"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159B5695" wp14:editId="035561A2">
                <wp:simplePos x="0" y="0"/>
                <wp:positionH relativeFrom="column">
                  <wp:posOffset>-382772</wp:posOffset>
                </wp:positionH>
                <wp:positionV relativeFrom="paragraph">
                  <wp:posOffset>228599</wp:posOffset>
                </wp:positionV>
                <wp:extent cx="819593" cy="471377"/>
                <wp:effectExtent l="0" t="0" r="19050" b="24130"/>
                <wp:wrapNone/>
                <wp:docPr id="16" name="Oval 16"/>
                <wp:cNvGraphicFramePr/>
                <a:graphic xmlns:a="http://schemas.openxmlformats.org/drawingml/2006/main">
                  <a:graphicData uri="http://schemas.microsoft.com/office/word/2010/wordprocessingShape">
                    <wps:wsp>
                      <wps:cNvSpPr/>
                      <wps:spPr>
                        <a:xfrm>
                          <a:off x="0" y="0"/>
                          <a:ext cx="819593" cy="471377"/>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F494C" w14:textId="77777777" w:rsidR="000632EC" w:rsidRPr="00014362" w:rsidRDefault="000632EC" w:rsidP="00596F3D">
                            <w:pPr>
                              <w:jc w:val="center"/>
                              <w:rPr>
                                <w:rFonts w:ascii="Arial" w:hAnsi="Arial" w:cs="Arial"/>
                                <w:color w:val="000000" w:themeColor="text1"/>
                              </w:rPr>
                            </w:pPr>
                            <w:r>
                              <w:rPr>
                                <w:rFonts w:ascii="Arial" w:hAnsi="Arial" w:cs="Arial"/>
                                <w:color w:val="000000" w:themeColor="text1"/>
                              </w:rPr>
                              <w:t>PLD</w:t>
                            </w:r>
                            <w:r w:rsidRPr="00014362">
                              <w:rPr>
                                <w:rFonts w:ascii="Arial" w:hAnsi="Arial" w:cs="Arial"/>
                                <w:color w:val="000000" w:themeColor="text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136E45" id="Oval 16" o:spid="_x0000_s1033" style="position:absolute;margin-left:-30.15pt;margin-top:18pt;width:64.55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" fillcolor="white [3212]" strokecolor="black [3213]">
                <v:textbox>
                  <w:txbxContent>
                    <w:p w:rsidR="000632EC" w:rsidRPr="00014362" w:rsidRDefault="000632EC" w:rsidP="00596F3D">
                      <w:pPr>
                        <w:jc w:val="center"/>
                        <w:rPr>
                          <w:rFonts w:ascii="Arial" w:hAnsi="Arial" w:cs="Arial"/>
                          <w:color w:val="000000" w:themeColor="text1"/>
                        </w:rPr>
                      </w:pPr>
                      <w:r>
                        <w:rPr>
                          <w:rFonts w:ascii="Arial" w:hAnsi="Arial" w:cs="Arial"/>
                          <w:color w:val="000000" w:themeColor="text1"/>
                        </w:rPr>
                        <w:t>PLD</w:t>
                      </w:r>
                      <w:r w:rsidRPr="00014362">
                        <w:rPr>
                          <w:rFonts w:ascii="Arial" w:hAnsi="Arial" w:cs="Arial"/>
                          <w:color w:val="000000" w:themeColor="text1"/>
                        </w:rPr>
                        <w:t>R</w:t>
                      </w:r>
                    </w:p>
                  </w:txbxContent>
                </v:textbox>
              </v:oval>
            </w:pict>
          </mc:Fallback>
        </mc:AlternateContent>
      </w:r>
    </w:p>
    <w:p w14:paraId="2C09AD12"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77696" behindDoc="0" locked="0" layoutInCell="1" allowOverlap="1" wp14:anchorId="7D8F2C9C" wp14:editId="78AF55AE">
                <wp:simplePos x="0" y="0"/>
                <wp:positionH relativeFrom="column">
                  <wp:posOffset>1619251</wp:posOffset>
                </wp:positionH>
                <wp:positionV relativeFrom="paragraph">
                  <wp:posOffset>281305</wp:posOffset>
                </wp:positionV>
                <wp:extent cx="323850" cy="190500"/>
                <wp:effectExtent l="0" t="28575" r="47625" b="28575"/>
                <wp:wrapNone/>
                <wp:docPr id="25" name="Right Arrow 25"/>
                <wp:cNvGraphicFramePr/>
                <a:graphic xmlns:a="http://schemas.openxmlformats.org/drawingml/2006/main">
                  <a:graphicData uri="http://schemas.microsoft.com/office/word/2010/wordprocessingShape">
                    <wps:wsp>
                      <wps:cNvSpPr/>
                      <wps:spPr>
                        <a:xfrm rot="16200000">
                          <a:off x="0" y="0"/>
                          <a:ext cx="323850" cy="190500"/>
                        </a:xfrm>
                        <a:prstGeom prst="rightArrow">
                          <a:avLst/>
                        </a:prstGeom>
                        <a:solidFill>
                          <a:schemeClr val="bg1">
                            <a:lumMod val="6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707C6" id="Right Arrow 25" o:spid="_x0000_s1026" type="#_x0000_t13" style="position:absolute;margin-left:127.5pt;margin-top:22.15pt;width:25.5pt;height: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" adj="15247" fillcolor="#a5a5a5 [2092]" strokecolor="#7f7f7f [1612]" strokeweight=".5pt"/>
            </w:pict>
          </mc:Fallback>
        </mc:AlternateContent>
      </w:r>
      <w:r>
        <w:rPr>
          <w:rFonts w:ascii="Arial" w:hAnsi="Arial" w:cs="Arial"/>
          <w:b/>
          <w:noProof/>
        </w:rPr>
        <mc:AlternateContent>
          <mc:Choice Requires="wps">
            <w:drawing>
              <wp:anchor distT="0" distB="0" distL="114300" distR="114300" simplePos="0" relativeHeight="251672576" behindDoc="0" locked="0" layoutInCell="1" allowOverlap="1" wp14:anchorId="7976F276" wp14:editId="63409B9D">
                <wp:simplePos x="0" y="0"/>
                <wp:positionH relativeFrom="column">
                  <wp:posOffset>361950</wp:posOffset>
                </wp:positionH>
                <wp:positionV relativeFrom="paragraph">
                  <wp:posOffset>262255</wp:posOffset>
                </wp:positionV>
                <wp:extent cx="161925" cy="219075"/>
                <wp:effectExtent l="38100" t="38100" r="47625" b="47625"/>
                <wp:wrapNone/>
                <wp:docPr id="18" name="Straight Arrow Connector 18"/>
                <wp:cNvGraphicFramePr/>
                <a:graphic xmlns:a="http://schemas.openxmlformats.org/drawingml/2006/main">
                  <a:graphicData uri="http://schemas.microsoft.com/office/word/2010/wordprocessingShape">
                    <wps:wsp>
                      <wps:cNvCnPr/>
                      <wps:spPr>
                        <a:xfrm>
                          <a:off x="0" y="0"/>
                          <a:ext cx="161925" cy="2190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D41B30" id="_x0000_t32" coordsize="21600,21600" o:spt="32" o:oned="t" path="m,l21600,21600e" filled="f">
                <v:path arrowok="t" fillok="f" o:connecttype="none"/>
                <o:lock v:ext="edit" shapetype="t"/>
              </v:shapetype>
              <v:shape id="Straight Arrow Connector 18" o:spid="_x0000_s1026" type="#_x0000_t32" style="position:absolute;margin-left:28.5pt;margin-top:20.65pt;width:12.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" strokecolor="black [3040]">
                <v:stroke startarrow="block" endarrow="block"/>
              </v:shape>
            </w:pict>
          </mc:Fallback>
        </mc:AlternateContent>
      </w:r>
    </w:p>
    <w:p w14:paraId="0A414EE7" w14:textId="77777777" w:rsidR="00596F3D" w:rsidRDefault="00596F3D" w:rsidP="00596F3D">
      <w:pPr>
        <w:rPr>
          <w:rFonts w:ascii="Arial" w:hAnsi="Arial" w:cs="Arial"/>
          <w:b/>
        </w:rPr>
      </w:pPr>
      <w:r w:rsidRPr="00676A93">
        <w:rPr>
          <w:rFonts w:ascii="Arial" w:hAnsi="Arial" w:cs="Arial"/>
          <w:b/>
          <w:noProof/>
        </w:rPr>
        <mc:AlternateContent>
          <mc:Choice Requires="wps">
            <w:drawing>
              <wp:anchor distT="45720" distB="45720" distL="114300" distR="114300" simplePos="0" relativeHeight="251662336" behindDoc="0" locked="0" layoutInCell="1" allowOverlap="1" wp14:anchorId="409ED4E4" wp14:editId="2859F629">
                <wp:simplePos x="0" y="0"/>
                <wp:positionH relativeFrom="column">
                  <wp:posOffset>342900</wp:posOffset>
                </wp:positionH>
                <wp:positionV relativeFrom="paragraph">
                  <wp:posOffset>169545</wp:posOffset>
                </wp:positionV>
                <wp:extent cx="1600200" cy="1085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85850"/>
                        </a:xfrm>
                        <a:prstGeom prst="rect">
                          <a:avLst/>
                        </a:prstGeom>
                        <a:solidFill>
                          <a:srgbClr val="FFFFFF"/>
                        </a:solidFill>
                        <a:ln w="9525">
                          <a:solidFill>
                            <a:srgbClr val="000000"/>
                          </a:solidFill>
                          <a:miter lim="800000"/>
                          <a:headEnd/>
                          <a:tailEnd/>
                        </a:ln>
                      </wps:spPr>
                      <wps:txbx>
                        <w:txbxContent>
                          <w:p w14:paraId="2A608A9C" w14:textId="77777777" w:rsidR="000632EC" w:rsidRPr="002111AB" w:rsidRDefault="000632EC" w:rsidP="00596F3D">
                            <w:pPr>
                              <w:rPr>
                                <w:rFonts w:ascii="Arial" w:hAnsi="Arial" w:cs="Arial"/>
                              </w:rPr>
                            </w:pPr>
                            <w:r w:rsidRPr="002111AB">
                              <w:rPr>
                                <w:rFonts w:ascii="Arial" w:hAnsi="Arial" w:cs="Arial"/>
                              </w:rPr>
                              <w:t xml:space="preserve">Data analysis and dissemination with public advisors </w:t>
                            </w:r>
                            <w:r>
                              <w:rPr>
                                <w:rFonts w:ascii="Arial" w:hAnsi="Arial" w:cs="Arial"/>
                              </w:rPr>
                              <w:t>and partner representatives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A418B" id="_x0000_s1034" type="#_x0000_t202" style="position:absolute;margin-left:27pt;margin-top:13.35pt;width:126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">
                <v:textbox>
                  <w:txbxContent>
                    <w:p w:rsidR="000632EC" w:rsidRPr="002111AB" w:rsidRDefault="000632EC" w:rsidP="00596F3D">
                      <w:pPr>
                        <w:rPr>
                          <w:rFonts w:ascii="Arial" w:hAnsi="Arial" w:cs="Arial"/>
                        </w:rPr>
                      </w:pPr>
                      <w:r w:rsidRPr="002111AB">
                        <w:rPr>
                          <w:rFonts w:ascii="Arial" w:hAnsi="Arial" w:cs="Arial"/>
                        </w:rPr>
                        <w:t xml:space="preserve">Data analysis and dissemination with public advisors </w:t>
                      </w:r>
                      <w:r>
                        <w:rPr>
                          <w:rFonts w:ascii="Arial" w:hAnsi="Arial" w:cs="Arial"/>
                        </w:rPr>
                        <w:t>and partner representatives</w:t>
                      </w:r>
                    </w:p>
                  </w:txbxContent>
                </v:textbox>
                <w10:wrap type="square"/>
              </v:shape>
            </w:pict>
          </mc:Fallback>
        </mc:AlternateContent>
      </w:r>
      <w:r w:rsidRPr="00676A93">
        <w:rPr>
          <w:rFonts w:ascii="Arial" w:hAnsi="Arial" w:cs="Arial"/>
          <w:b/>
          <w:noProof/>
        </w:rPr>
        <mc:AlternateContent>
          <mc:Choice Requires="wps">
            <w:drawing>
              <wp:anchor distT="45720" distB="45720" distL="114300" distR="114300" simplePos="0" relativeHeight="251664384" behindDoc="0" locked="0" layoutInCell="1" allowOverlap="1" wp14:anchorId="1E4559BD" wp14:editId="65906F24">
                <wp:simplePos x="0" y="0"/>
                <wp:positionH relativeFrom="column">
                  <wp:posOffset>4200525</wp:posOffset>
                </wp:positionH>
                <wp:positionV relativeFrom="paragraph">
                  <wp:posOffset>160020</wp:posOffset>
                </wp:positionV>
                <wp:extent cx="1600200" cy="596900"/>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6900"/>
                        </a:xfrm>
                        <a:prstGeom prst="rect">
                          <a:avLst/>
                        </a:prstGeom>
                        <a:solidFill>
                          <a:srgbClr val="FFFFFF"/>
                        </a:solidFill>
                        <a:ln w="9525">
                          <a:solidFill>
                            <a:srgbClr val="000000"/>
                          </a:solidFill>
                          <a:miter lim="800000"/>
                          <a:headEnd/>
                          <a:tailEnd/>
                        </a:ln>
                      </wps:spPr>
                      <wps:txbx>
                        <w:txbxContent>
                          <w:p w14:paraId="59C79CEF" w14:textId="77777777" w:rsidR="000632EC" w:rsidRPr="002111AB" w:rsidRDefault="000632EC" w:rsidP="00596F3D">
                            <w:pPr>
                              <w:rPr>
                                <w:rFonts w:ascii="Arial" w:hAnsi="Arial" w:cs="Arial"/>
                              </w:rPr>
                            </w:pPr>
                            <w:r w:rsidRPr="002111AB">
                              <w:rPr>
                                <w:rFonts w:ascii="Arial" w:hAnsi="Arial" w:cs="Arial"/>
                              </w:rPr>
                              <w:t xml:space="preserve">Public workshop(s) for dissemination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941AD" id="_x0000_s1035" type="#_x0000_t202" style="position:absolute;margin-left:330.75pt;margin-top:12.6pt;width:126pt;height:4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">
                <v:textbox style="mso-fit-shape-to-text:t">
                  <w:txbxContent>
                    <w:p w:rsidR="000632EC" w:rsidRPr="002111AB" w:rsidRDefault="000632EC" w:rsidP="00596F3D">
                      <w:pPr>
                        <w:rPr>
                          <w:rFonts w:ascii="Arial" w:hAnsi="Arial" w:cs="Arial"/>
                        </w:rPr>
                      </w:pPr>
                      <w:r w:rsidRPr="002111AB">
                        <w:rPr>
                          <w:rFonts w:ascii="Arial" w:hAnsi="Arial" w:cs="Arial"/>
                        </w:rPr>
                        <w:t xml:space="preserve">Public workshop(s) for dissemination </w:t>
                      </w:r>
                    </w:p>
                  </w:txbxContent>
                </v:textbox>
                <w10:wrap type="square"/>
              </v:shape>
            </w:pict>
          </mc:Fallback>
        </mc:AlternateContent>
      </w:r>
      <w:r w:rsidRPr="00676A93">
        <w:rPr>
          <w:rFonts w:ascii="Arial" w:hAnsi="Arial" w:cs="Arial"/>
          <w:b/>
          <w:noProof/>
        </w:rPr>
        <mc:AlternateContent>
          <mc:Choice Requires="wps">
            <w:drawing>
              <wp:anchor distT="45720" distB="45720" distL="114300" distR="114300" simplePos="0" relativeHeight="251663360" behindDoc="0" locked="0" layoutInCell="1" allowOverlap="1" wp14:anchorId="71049CDB" wp14:editId="59026329">
                <wp:simplePos x="0" y="0"/>
                <wp:positionH relativeFrom="column">
                  <wp:posOffset>2266950</wp:posOffset>
                </wp:positionH>
                <wp:positionV relativeFrom="paragraph">
                  <wp:posOffset>169545</wp:posOffset>
                </wp:positionV>
                <wp:extent cx="1600200" cy="412115"/>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2115"/>
                        </a:xfrm>
                        <a:prstGeom prst="rect">
                          <a:avLst/>
                        </a:prstGeom>
                        <a:solidFill>
                          <a:srgbClr val="FFFFFF"/>
                        </a:solidFill>
                        <a:ln w="9525">
                          <a:solidFill>
                            <a:srgbClr val="000000"/>
                          </a:solidFill>
                          <a:miter lim="800000"/>
                          <a:headEnd/>
                          <a:tailEnd/>
                        </a:ln>
                      </wps:spPr>
                      <wps:txbx>
                        <w:txbxContent>
                          <w:p w14:paraId="754605CE" w14:textId="77777777" w:rsidR="000632EC" w:rsidRPr="002111AB" w:rsidRDefault="000632EC" w:rsidP="00596F3D">
                            <w:pPr>
                              <w:rPr>
                                <w:rFonts w:ascii="Arial" w:hAnsi="Arial" w:cs="Arial"/>
                              </w:rPr>
                            </w:pPr>
                            <w:r w:rsidRPr="002111AB">
                              <w:rPr>
                                <w:rFonts w:ascii="Arial" w:hAnsi="Arial" w:cs="Arial"/>
                              </w:rPr>
                              <w:t xml:space="preserve">Designing Wave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910DF" id="_x0000_s1036" type="#_x0000_t202" style="position:absolute;margin-left:178.5pt;margin-top:13.35pt;width:126pt;height:32.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lJAIAAEw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">
                <v:textbox style="mso-fit-shape-to-text:t">
                  <w:txbxContent>
                    <w:p w:rsidR="000632EC" w:rsidRPr="002111AB" w:rsidRDefault="000632EC" w:rsidP="00596F3D">
                      <w:pPr>
                        <w:rPr>
                          <w:rFonts w:ascii="Arial" w:hAnsi="Arial" w:cs="Arial"/>
                        </w:rPr>
                      </w:pPr>
                      <w:r w:rsidRPr="002111AB">
                        <w:rPr>
                          <w:rFonts w:ascii="Arial" w:hAnsi="Arial" w:cs="Arial"/>
                        </w:rPr>
                        <w:t xml:space="preserve">Designing Wave 2 </w:t>
                      </w:r>
                    </w:p>
                  </w:txbxContent>
                </v:textbox>
                <w10:wrap type="square"/>
              </v:shape>
            </w:pict>
          </mc:Fallback>
        </mc:AlternateContent>
      </w:r>
    </w:p>
    <w:p w14:paraId="067CB2B6" w14:textId="77777777" w:rsidR="00596F3D" w:rsidRDefault="00596F3D" w:rsidP="00596F3D">
      <w:pPr>
        <w:rPr>
          <w:rFonts w:ascii="Arial" w:hAnsi="Arial" w:cs="Arial"/>
          <w:b/>
        </w:rPr>
      </w:pPr>
    </w:p>
    <w:p w14:paraId="78E0ABD5"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4BA3016C" wp14:editId="477A6ACB">
                <wp:simplePos x="0" y="0"/>
                <wp:positionH relativeFrom="column">
                  <wp:posOffset>2266950</wp:posOffset>
                </wp:positionH>
                <wp:positionV relativeFrom="paragraph">
                  <wp:posOffset>187325</wp:posOffset>
                </wp:positionV>
                <wp:extent cx="1657350" cy="742950"/>
                <wp:effectExtent l="0" t="0" r="19050" b="19050"/>
                <wp:wrapNone/>
                <wp:docPr id="5" name="Oval 5"/>
                <wp:cNvGraphicFramePr/>
                <a:graphic xmlns:a="http://schemas.openxmlformats.org/drawingml/2006/main">
                  <a:graphicData uri="http://schemas.microsoft.com/office/word/2010/wordprocessingShape">
                    <wps:wsp>
                      <wps:cNvSpPr/>
                      <wps:spPr>
                        <a:xfrm>
                          <a:off x="0" y="0"/>
                          <a:ext cx="1657350" cy="742950"/>
                        </a:xfrm>
                        <a:prstGeom prst="ellipse">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682AB" w14:textId="77777777" w:rsidR="000632EC" w:rsidRPr="00676A93" w:rsidRDefault="000632EC" w:rsidP="00596F3D">
                            <w:pPr>
                              <w:jc w:val="center"/>
                              <w:rPr>
                                <w:rFonts w:ascii="Arial" w:hAnsi="Arial" w:cs="Arial"/>
                                <w:b/>
                                <w:color w:val="000000" w:themeColor="text1"/>
                                <w:sz w:val="24"/>
                              </w:rPr>
                            </w:pPr>
                            <w:r>
                              <w:rPr>
                                <w:rFonts w:ascii="Arial" w:hAnsi="Arial" w:cs="Arial"/>
                                <w:b/>
                                <w:color w:val="000000" w:themeColor="text1"/>
                                <w:sz w:val="24"/>
                              </w:rPr>
                              <w:t>Wave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08B56E" id="Oval 5" o:spid="_x0000_s1037" style="position:absolute;margin-left:178.5pt;margin-top:14.75pt;width:130.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" fillcolor="#a5a5a5 [2092]" strokecolor="black [3213]" strokeweight=".5pt">
                <v:textbox>
                  <w:txbxContent>
                    <w:p w:rsidR="000632EC" w:rsidRPr="00676A93" w:rsidRDefault="000632EC" w:rsidP="00596F3D">
                      <w:pPr>
                        <w:jc w:val="center"/>
                        <w:rPr>
                          <w:rFonts w:ascii="Arial" w:hAnsi="Arial" w:cs="Arial"/>
                          <w:b/>
                          <w:color w:val="000000" w:themeColor="text1"/>
                          <w:sz w:val="24"/>
                        </w:rPr>
                      </w:pPr>
                      <w:r>
                        <w:rPr>
                          <w:rFonts w:ascii="Arial" w:hAnsi="Arial" w:cs="Arial"/>
                          <w:b/>
                          <w:color w:val="000000" w:themeColor="text1"/>
                          <w:sz w:val="24"/>
                        </w:rPr>
                        <w:t>Wave 2</w:t>
                      </w:r>
                    </w:p>
                  </w:txbxContent>
                </v:textbox>
              </v:oval>
            </w:pict>
          </mc:Fallback>
        </mc:AlternateContent>
      </w:r>
    </w:p>
    <w:p w14:paraId="5E2D01AA" w14:textId="77777777" w:rsidR="00596F3D" w:rsidRDefault="00596F3D" w:rsidP="00596F3D">
      <w:pPr>
        <w:rPr>
          <w:rFonts w:ascii="Arial" w:hAnsi="Arial" w:cs="Arial"/>
          <w:b/>
        </w:rPr>
      </w:pPr>
    </w:p>
    <w:p w14:paraId="7FA5B730"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3E5FD06D" wp14:editId="7CCBC7E6">
                <wp:simplePos x="0" y="0"/>
                <wp:positionH relativeFrom="column">
                  <wp:posOffset>-287079</wp:posOffset>
                </wp:positionH>
                <wp:positionV relativeFrom="paragraph">
                  <wp:posOffset>186690</wp:posOffset>
                </wp:positionV>
                <wp:extent cx="723900" cy="435935"/>
                <wp:effectExtent l="0" t="0" r="19050" b="21590"/>
                <wp:wrapNone/>
                <wp:docPr id="17" name="Oval 17"/>
                <wp:cNvGraphicFramePr/>
                <a:graphic xmlns:a="http://schemas.openxmlformats.org/drawingml/2006/main">
                  <a:graphicData uri="http://schemas.microsoft.com/office/word/2010/wordprocessingShape">
                    <wps:wsp>
                      <wps:cNvSpPr/>
                      <wps:spPr>
                        <a:xfrm>
                          <a:off x="0" y="0"/>
                          <a:ext cx="723900" cy="43593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EC3A9" w14:textId="77777777" w:rsidR="000632EC" w:rsidRPr="00014362" w:rsidRDefault="000632EC" w:rsidP="00596F3D">
                            <w:pPr>
                              <w:jc w:val="center"/>
                              <w:rPr>
                                <w:rFonts w:ascii="Arial" w:hAnsi="Arial" w:cs="Arial"/>
                                <w:color w:val="000000" w:themeColor="text1"/>
                              </w:rPr>
                            </w:pPr>
                            <w:r>
                              <w:rPr>
                                <w:rFonts w:ascii="Arial" w:hAnsi="Arial" w:cs="Arial"/>
                                <w:color w:val="000000" w:themeColor="text1"/>
                              </w:rPr>
                              <w: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4D239E" id="Oval 17" o:spid="_x0000_s1038" style="position:absolute;margin-left:-22.6pt;margin-top:14.7pt;width:57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" fillcolor="white [3212]" strokecolor="black [3213]">
                <v:textbox>
                  <w:txbxContent>
                    <w:p w:rsidR="000632EC" w:rsidRPr="00014362" w:rsidRDefault="000632EC" w:rsidP="00596F3D">
                      <w:pPr>
                        <w:jc w:val="center"/>
                        <w:rPr>
                          <w:rFonts w:ascii="Arial" w:hAnsi="Arial" w:cs="Arial"/>
                          <w:color w:val="000000" w:themeColor="text1"/>
                        </w:rPr>
                      </w:pPr>
                      <w:r>
                        <w:rPr>
                          <w:rFonts w:ascii="Arial" w:hAnsi="Arial" w:cs="Arial"/>
                          <w:color w:val="000000" w:themeColor="text1"/>
                        </w:rPr>
                        <w:t>HES</w:t>
                      </w:r>
                    </w:p>
                  </w:txbxContent>
                </v:textbox>
              </v:oval>
            </w:pict>
          </mc:Fallback>
        </mc:AlternateContent>
      </w:r>
      <w:r>
        <w:rPr>
          <w:rFonts w:ascii="Arial" w:hAnsi="Arial" w:cs="Arial"/>
          <w:b/>
          <w:noProof/>
        </w:rPr>
        <mc:AlternateContent>
          <mc:Choice Requires="wps">
            <w:drawing>
              <wp:anchor distT="0" distB="0" distL="114300" distR="114300" simplePos="0" relativeHeight="251673600" behindDoc="0" locked="0" layoutInCell="1" allowOverlap="1" wp14:anchorId="30C0CEBF" wp14:editId="6FC84987">
                <wp:simplePos x="0" y="0"/>
                <wp:positionH relativeFrom="column">
                  <wp:posOffset>361950</wp:posOffset>
                </wp:positionH>
                <wp:positionV relativeFrom="paragraph">
                  <wp:posOffset>8255</wp:posOffset>
                </wp:positionV>
                <wp:extent cx="161925" cy="247650"/>
                <wp:effectExtent l="38100" t="38100" r="47625" b="57150"/>
                <wp:wrapNone/>
                <wp:docPr id="19" name="Straight Arrow Connector 19"/>
                <wp:cNvGraphicFramePr/>
                <a:graphic xmlns:a="http://schemas.openxmlformats.org/drawingml/2006/main">
                  <a:graphicData uri="http://schemas.microsoft.com/office/word/2010/wordprocessingShape">
                    <wps:wsp>
                      <wps:cNvCnPr/>
                      <wps:spPr>
                        <a:xfrm flipH="1">
                          <a:off x="0" y="0"/>
                          <a:ext cx="161925" cy="247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73A82" id="Straight Arrow Connector 19" o:spid="_x0000_s1026" type="#_x0000_t32" style="position:absolute;margin-left:28.5pt;margin-top:.65pt;width:12.75pt;height: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" strokecolor="black [3040]">
                <v:stroke startarrow="block" endarrow="block"/>
              </v:shape>
            </w:pict>
          </mc:Fallback>
        </mc:AlternateContent>
      </w:r>
    </w:p>
    <w:p w14:paraId="1371A3E0" w14:textId="77777777" w:rsidR="00596F3D" w:rsidRDefault="00596F3D" w:rsidP="00596F3D">
      <w:pPr>
        <w:rPr>
          <w:rFonts w:ascii="Arial" w:hAnsi="Arial" w:cs="Arial"/>
          <w:b/>
        </w:rPr>
      </w:pPr>
      <w:r w:rsidRPr="00676A93">
        <w:rPr>
          <w:rFonts w:ascii="Arial" w:hAnsi="Arial" w:cs="Arial"/>
          <w:b/>
          <w:noProof/>
        </w:rPr>
        <mc:AlternateContent>
          <mc:Choice Requires="wps">
            <w:drawing>
              <wp:anchor distT="45720" distB="45720" distL="114300" distR="114300" simplePos="0" relativeHeight="251665408" behindDoc="0" locked="0" layoutInCell="1" allowOverlap="1" wp14:anchorId="71B9BF91" wp14:editId="7DF723DE">
                <wp:simplePos x="0" y="0"/>
                <wp:positionH relativeFrom="column">
                  <wp:posOffset>2276475</wp:posOffset>
                </wp:positionH>
                <wp:positionV relativeFrom="paragraph">
                  <wp:posOffset>144145</wp:posOffset>
                </wp:positionV>
                <wp:extent cx="1600200" cy="1057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7275"/>
                        </a:xfrm>
                        <a:prstGeom prst="rect">
                          <a:avLst/>
                        </a:prstGeom>
                        <a:solidFill>
                          <a:srgbClr val="FFFFFF"/>
                        </a:solidFill>
                        <a:ln w="9525">
                          <a:solidFill>
                            <a:srgbClr val="000000"/>
                          </a:solidFill>
                          <a:miter lim="800000"/>
                          <a:headEnd/>
                          <a:tailEnd/>
                        </a:ln>
                      </wps:spPr>
                      <wps:txbx>
                        <w:txbxContent>
                          <w:p w14:paraId="031C6071" w14:textId="77777777" w:rsidR="000632EC" w:rsidRPr="002111AB" w:rsidRDefault="000632EC" w:rsidP="00596F3D">
                            <w:pPr>
                              <w:rPr>
                                <w:rFonts w:ascii="Arial" w:hAnsi="Arial" w:cs="Arial"/>
                              </w:rPr>
                            </w:pPr>
                            <w:r w:rsidRPr="002111AB">
                              <w:rPr>
                                <w:rFonts w:ascii="Arial" w:hAnsi="Arial" w:cs="Arial"/>
                              </w:rPr>
                              <w:t xml:space="preserve">Data analysis and dissemination with public advisors </w:t>
                            </w:r>
                            <w:r>
                              <w:rPr>
                                <w:rFonts w:ascii="Arial" w:hAnsi="Arial" w:cs="Arial"/>
                              </w:rPr>
                              <w:t>and partner representatives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1C284" id="_x0000_s1039" type="#_x0000_t202" style="position:absolute;margin-left:179.25pt;margin-top:11.35pt;width:126pt;height:8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">
                <v:textbox>
                  <w:txbxContent>
                    <w:p w:rsidR="000632EC" w:rsidRPr="002111AB" w:rsidRDefault="000632EC" w:rsidP="00596F3D">
                      <w:pPr>
                        <w:rPr>
                          <w:rFonts w:ascii="Arial" w:hAnsi="Arial" w:cs="Arial"/>
                        </w:rPr>
                      </w:pPr>
                      <w:r w:rsidRPr="002111AB">
                        <w:rPr>
                          <w:rFonts w:ascii="Arial" w:hAnsi="Arial" w:cs="Arial"/>
                        </w:rPr>
                        <w:t xml:space="preserve">Data analysis and dissemination with public advisors </w:t>
                      </w:r>
                      <w:r>
                        <w:rPr>
                          <w:rFonts w:ascii="Arial" w:hAnsi="Arial" w:cs="Arial"/>
                        </w:rPr>
                        <w:t>and partner representatives</w:t>
                      </w:r>
                    </w:p>
                  </w:txbxContent>
                </v:textbox>
                <w10:wrap type="square"/>
              </v:shape>
            </w:pict>
          </mc:Fallback>
        </mc:AlternateContent>
      </w:r>
    </w:p>
    <w:p w14:paraId="09A89089" w14:textId="77777777" w:rsidR="00596F3D" w:rsidRDefault="00596F3D" w:rsidP="00596F3D">
      <w:pPr>
        <w:rPr>
          <w:rFonts w:ascii="Arial" w:hAnsi="Arial" w:cs="Arial"/>
          <w:b/>
        </w:rPr>
      </w:pPr>
    </w:p>
    <w:p w14:paraId="22BD882D" w14:textId="77777777" w:rsidR="00596F3D" w:rsidRDefault="00596F3D" w:rsidP="00596F3D">
      <w:pPr>
        <w:rPr>
          <w:rFonts w:ascii="Arial" w:hAnsi="Arial" w:cs="Arial"/>
          <w:b/>
        </w:rPr>
      </w:pPr>
    </w:p>
    <w:p w14:paraId="5C1DE6DC" w14:textId="77777777" w:rsidR="00596F3D" w:rsidRDefault="00596F3D" w:rsidP="00596F3D">
      <w:pPr>
        <w:rPr>
          <w:rFonts w:ascii="Arial" w:hAnsi="Arial" w:cs="Arial"/>
          <w:b/>
        </w:rPr>
      </w:pPr>
    </w:p>
    <w:p w14:paraId="022E6ED3" w14:textId="77777777" w:rsidR="00596F3D" w:rsidRDefault="00596F3D" w:rsidP="00596F3D">
      <w:pPr>
        <w:rPr>
          <w:rFonts w:ascii="Arial" w:hAnsi="Arial" w:cs="Arial"/>
          <w:b/>
        </w:rPr>
      </w:pPr>
    </w:p>
    <w:p w14:paraId="4A5E5384" w14:textId="77777777" w:rsidR="00787E19" w:rsidRDefault="00787E19" w:rsidP="00596F3D">
      <w:pPr>
        <w:rPr>
          <w:rFonts w:ascii="Arial" w:hAnsi="Arial" w:cs="Arial"/>
          <w:b/>
        </w:rPr>
      </w:pPr>
    </w:p>
    <w:p w14:paraId="1FB6D802" w14:textId="77777777" w:rsidR="00596F3D" w:rsidRDefault="00596F3D" w:rsidP="00FF17D4">
      <w:pPr>
        <w:spacing w:after="0"/>
        <w:outlineLvl w:val="0"/>
        <w:rPr>
          <w:rFonts w:ascii="Arial" w:hAnsi="Arial" w:cs="Arial"/>
          <w:b/>
        </w:rPr>
      </w:pPr>
      <w:r>
        <w:rPr>
          <w:rFonts w:ascii="Arial" w:hAnsi="Arial" w:cs="Arial"/>
          <w:b/>
        </w:rPr>
        <w:t xml:space="preserve">Figure 1. </w:t>
      </w:r>
      <w:r w:rsidR="00CD3604">
        <w:rPr>
          <w:rFonts w:ascii="Arial" w:hAnsi="Arial" w:cs="Arial"/>
          <w:b/>
        </w:rPr>
        <w:t xml:space="preserve">Flowchart </w:t>
      </w:r>
      <w:r>
        <w:rPr>
          <w:rFonts w:ascii="Arial" w:hAnsi="Arial" w:cs="Arial"/>
          <w:b/>
        </w:rPr>
        <w:t>of different stages of Household Health Survey</w:t>
      </w:r>
    </w:p>
    <w:p w14:paraId="4489822B" w14:textId="77777777" w:rsidR="00596F3D" w:rsidRDefault="00596F3D" w:rsidP="00596F3D">
      <w:pPr>
        <w:outlineLvl w:val="0"/>
        <w:rPr>
          <w:rFonts w:ascii="Arial" w:hAnsi="Arial" w:cs="Arial"/>
          <w:sz w:val="18"/>
        </w:rPr>
      </w:pPr>
      <w:r>
        <w:rPr>
          <w:rFonts w:ascii="Arial" w:hAnsi="Arial" w:cs="Arial"/>
          <w:sz w:val="18"/>
        </w:rPr>
        <w:t>HES=</w:t>
      </w:r>
      <w:r w:rsidR="00F81856">
        <w:rPr>
          <w:rFonts w:ascii="Arial" w:hAnsi="Arial" w:cs="Arial"/>
          <w:sz w:val="18"/>
        </w:rPr>
        <w:t>Hospital Episode Statistics; PLD</w:t>
      </w:r>
      <w:r>
        <w:rPr>
          <w:rFonts w:ascii="Arial" w:hAnsi="Arial" w:cs="Arial"/>
          <w:sz w:val="18"/>
        </w:rPr>
        <w:t>R=</w:t>
      </w:r>
      <w:r w:rsidR="00F81856">
        <w:rPr>
          <w:rFonts w:ascii="Arial" w:hAnsi="Arial" w:cs="Arial"/>
          <w:sz w:val="18"/>
        </w:rPr>
        <w:t>Place-based Longitudinal Data Resource</w:t>
      </w:r>
      <w:r>
        <w:rPr>
          <w:rFonts w:ascii="Arial" w:hAnsi="Arial" w:cs="Arial"/>
          <w:sz w:val="18"/>
        </w:rPr>
        <w:t xml:space="preserve"> </w:t>
      </w:r>
    </w:p>
    <w:p w14:paraId="6A53835C" w14:textId="77777777" w:rsidR="00DA6837" w:rsidRDefault="00DA6837" w:rsidP="00596F3D">
      <w:pPr>
        <w:outlineLvl w:val="0"/>
        <w:rPr>
          <w:rFonts w:ascii="Arial" w:hAnsi="Arial" w:cs="Arial"/>
          <w:b/>
        </w:rPr>
      </w:pPr>
    </w:p>
    <w:p w14:paraId="20E3552A" w14:textId="77777777" w:rsidR="00596F3D" w:rsidRDefault="00596F3D" w:rsidP="00596F3D">
      <w:pPr>
        <w:outlineLvl w:val="0"/>
        <w:rPr>
          <w:rFonts w:ascii="Arial" w:hAnsi="Arial" w:cs="Arial"/>
          <w:b/>
        </w:rPr>
      </w:pPr>
      <w:r>
        <w:rPr>
          <w:rFonts w:ascii="Arial" w:hAnsi="Arial" w:cs="Arial"/>
          <w:b/>
        </w:rPr>
        <w:t>Table 1. Measures included in the Household Health Survey</w:t>
      </w: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788"/>
      </w:tblGrid>
      <w:tr w:rsidR="00596F3D" w14:paraId="495F2FB4" w14:textId="77777777" w:rsidTr="00F12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C46DF95" w14:textId="77777777" w:rsidR="00596F3D" w:rsidRPr="004A3539" w:rsidRDefault="00596F3D" w:rsidP="0064292A">
            <w:pPr>
              <w:rPr>
                <w:rFonts w:ascii="Arial" w:hAnsi="Arial" w:cs="Arial"/>
                <w:sz w:val="20"/>
                <w:szCs w:val="20"/>
              </w:rPr>
            </w:pPr>
            <w:r w:rsidRPr="004A3539">
              <w:rPr>
                <w:rFonts w:ascii="Arial" w:hAnsi="Arial" w:cs="Arial"/>
                <w:sz w:val="20"/>
                <w:szCs w:val="20"/>
              </w:rPr>
              <w:t>CATEGORY</w:t>
            </w:r>
          </w:p>
        </w:tc>
        <w:tc>
          <w:tcPr>
            <w:tcW w:w="4788" w:type="dxa"/>
          </w:tcPr>
          <w:p w14:paraId="55FC413A" w14:textId="77777777" w:rsidR="00596F3D" w:rsidRPr="004A3539" w:rsidRDefault="00596F3D" w:rsidP="0064292A">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A3539">
              <w:rPr>
                <w:rFonts w:ascii="Arial" w:hAnsi="Arial" w:cs="Arial"/>
                <w:sz w:val="20"/>
              </w:rPr>
              <w:t>MEASURES</w:t>
            </w:r>
          </w:p>
        </w:tc>
      </w:tr>
      <w:tr w:rsidR="00596F3D" w14:paraId="4442A03D" w14:textId="77777777" w:rsidTr="00F1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3B5D9DD" w14:textId="77777777" w:rsidR="00596F3D" w:rsidRPr="00B56C6B" w:rsidRDefault="00596F3D" w:rsidP="0064292A">
            <w:pPr>
              <w:rPr>
                <w:rFonts w:ascii="Arial" w:hAnsi="Arial" w:cs="Arial"/>
                <w:b w:val="0"/>
                <w:sz w:val="20"/>
                <w:szCs w:val="20"/>
              </w:rPr>
            </w:pPr>
            <w:r w:rsidRPr="00B56C6B">
              <w:rPr>
                <w:rFonts w:ascii="Arial" w:hAnsi="Arial" w:cs="Arial"/>
                <w:b w:val="0"/>
                <w:sz w:val="20"/>
                <w:szCs w:val="20"/>
              </w:rPr>
              <w:t>Demographics</w:t>
            </w:r>
          </w:p>
        </w:tc>
        <w:tc>
          <w:tcPr>
            <w:tcW w:w="4788" w:type="dxa"/>
          </w:tcPr>
          <w:p w14:paraId="5273EC72" w14:textId="77777777" w:rsidR="00596F3D" w:rsidRPr="005C1833" w:rsidRDefault="00596F3D" w:rsidP="0064292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Age, Gender, Relationship status, Education, Employment, Ethnicity, Religion, Sexuality, Postcode</w:t>
            </w:r>
          </w:p>
        </w:tc>
      </w:tr>
      <w:tr w:rsidR="00596F3D" w14:paraId="0F064E11" w14:textId="77777777" w:rsidTr="00F1283F">
        <w:tc>
          <w:tcPr>
            <w:cnfStyle w:val="001000000000" w:firstRow="0" w:lastRow="0" w:firstColumn="1" w:lastColumn="0" w:oddVBand="0" w:evenVBand="0" w:oddHBand="0" w:evenHBand="0" w:firstRowFirstColumn="0" w:firstRowLastColumn="0" w:lastRowFirstColumn="0" w:lastRowLastColumn="0"/>
            <w:tcW w:w="2518" w:type="dxa"/>
          </w:tcPr>
          <w:p w14:paraId="4B0A214C" w14:textId="77777777" w:rsidR="00596F3D" w:rsidRPr="00B56C6B" w:rsidRDefault="00596F3D" w:rsidP="0064292A">
            <w:pPr>
              <w:rPr>
                <w:rFonts w:ascii="Arial" w:hAnsi="Arial" w:cs="Arial"/>
                <w:b w:val="0"/>
                <w:sz w:val="20"/>
                <w:szCs w:val="20"/>
              </w:rPr>
            </w:pPr>
            <w:r>
              <w:rPr>
                <w:rFonts w:ascii="Arial" w:hAnsi="Arial" w:cs="Arial"/>
                <w:b w:val="0"/>
                <w:sz w:val="20"/>
                <w:szCs w:val="20"/>
              </w:rPr>
              <w:t>Physical health</w:t>
            </w:r>
          </w:p>
        </w:tc>
        <w:tc>
          <w:tcPr>
            <w:tcW w:w="4788" w:type="dxa"/>
          </w:tcPr>
          <w:p w14:paraId="5EAC31FB" w14:textId="77777777" w:rsidR="00596F3D" w:rsidRPr="005C1833" w:rsidRDefault="00596F3D" w:rsidP="0064292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Medication, Chronic illness, Multimorbidity, Self-care ability, Ability to perform usual activities, Pain, Hospital and GP visits, other health care </w:t>
            </w:r>
            <w:proofErr w:type="spellStart"/>
            <w:r>
              <w:rPr>
                <w:rFonts w:ascii="Arial" w:hAnsi="Arial" w:cs="Arial"/>
                <w:sz w:val="20"/>
              </w:rPr>
              <w:t>utilisation</w:t>
            </w:r>
            <w:proofErr w:type="spellEnd"/>
            <w:r>
              <w:rPr>
                <w:rFonts w:ascii="Arial" w:hAnsi="Arial" w:cs="Arial"/>
                <w:sz w:val="20"/>
              </w:rPr>
              <w:t xml:space="preserve">, Physical measures </w:t>
            </w:r>
          </w:p>
        </w:tc>
      </w:tr>
      <w:tr w:rsidR="00596F3D" w14:paraId="19553AF7" w14:textId="77777777" w:rsidTr="00F1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FED9A85" w14:textId="77777777" w:rsidR="00596F3D" w:rsidRPr="00B56C6B" w:rsidRDefault="00596F3D" w:rsidP="0064292A">
            <w:pPr>
              <w:rPr>
                <w:rFonts w:ascii="Arial" w:hAnsi="Arial" w:cs="Arial"/>
                <w:b w:val="0"/>
                <w:sz w:val="20"/>
                <w:szCs w:val="20"/>
              </w:rPr>
            </w:pPr>
            <w:r>
              <w:rPr>
                <w:rFonts w:ascii="Arial" w:hAnsi="Arial" w:cs="Arial"/>
                <w:b w:val="0"/>
                <w:sz w:val="20"/>
                <w:szCs w:val="20"/>
              </w:rPr>
              <w:t>Lifestyle</w:t>
            </w:r>
          </w:p>
        </w:tc>
        <w:tc>
          <w:tcPr>
            <w:tcW w:w="4788" w:type="dxa"/>
          </w:tcPr>
          <w:p w14:paraId="594DD0EF" w14:textId="77777777" w:rsidR="00596F3D" w:rsidRPr="005C1833" w:rsidRDefault="00596F3D" w:rsidP="0064292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Smoking, alcohol consumption, Exercise, Physical effort at work</w:t>
            </w:r>
          </w:p>
        </w:tc>
      </w:tr>
      <w:tr w:rsidR="00596F3D" w14:paraId="49FB71CE" w14:textId="77777777" w:rsidTr="00F1283F">
        <w:tc>
          <w:tcPr>
            <w:cnfStyle w:val="001000000000" w:firstRow="0" w:lastRow="0" w:firstColumn="1" w:lastColumn="0" w:oddVBand="0" w:evenVBand="0" w:oddHBand="0" w:evenHBand="0" w:firstRowFirstColumn="0" w:firstRowLastColumn="0" w:lastRowFirstColumn="0" w:lastRowLastColumn="0"/>
            <w:tcW w:w="2518" w:type="dxa"/>
          </w:tcPr>
          <w:p w14:paraId="75C3DCE9" w14:textId="77777777" w:rsidR="00596F3D" w:rsidRPr="00B56C6B" w:rsidRDefault="00596F3D" w:rsidP="0064292A">
            <w:pPr>
              <w:rPr>
                <w:rFonts w:ascii="Arial" w:hAnsi="Arial" w:cs="Arial"/>
                <w:b w:val="0"/>
                <w:sz w:val="20"/>
                <w:szCs w:val="20"/>
              </w:rPr>
            </w:pPr>
            <w:r>
              <w:rPr>
                <w:rFonts w:ascii="Arial" w:hAnsi="Arial" w:cs="Arial"/>
                <w:b w:val="0"/>
                <w:sz w:val="20"/>
                <w:szCs w:val="20"/>
              </w:rPr>
              <w:t>Mental health</w:t>
            </w:r>
          </w:p>
        </w:tc>
        <w:tc>
          <w:tcPr>
            <w:tcW w:w="4788" w:type="dxa"/>
          </w:tcPr>
          <w:p w14:paraId="75FEC5E9" w14:textId="77777777" w:rsidR="00596F3D" w:rsidRPr="005C1833" w:rsidRDefault="00596F3D" w:rsidP="0064292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Well-being (</w:t>
            </w:r>
            <w:proofErr w:type="spellStart"/>
            <w:r>
              <w:rPr>
                <w:rFonts w:ascii="Arial" w:hAnsi="Arial" w:cs="Arial"/>
                <w:sz w:val="20"/>
              </w:rPr>
              <w:t>sWEMWEBS</w:t>
            </w:r>
            <w:proofErr w:type="spellEnd"/>
            <w:r>
              <w:rPr>
                <w:rFonts w:ascii="Arial" w:hAnsi="Arial" w:cs="Arial"/>
                <w:sz w:val="20"/>
              </w:rPr>
              <w:t>), Depression, Anxiety (GAD-7), Auditory hallucinations (LSHS4), Empathy (EQ), Paranoia, Dark Triad, Rumination, Hope/Hopelessness, Locus of control, Threat anticipation, Self-esteem</w:t>
            </w:r>
          </w:p>
        </w:tc>
      </w:tr>
      <w:tr w:rsidR="00596F3D" w14:paraId="35079D8F" w14:textId="77777777" w:rsidTr="00F1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E49D6E8" w14:textId="77777777" w:rsidR="00596F3D" w:rsidRPr="00B56C6B" w:rsidRDefault="00596F3D" w:rsidP="0064292A">
            <w:pPr>
              <w:rPr>
                <w:rFonts w:ascii="Arial" w:hAnsi="Arial" w:cs="Arial"/>
                <w:b w:val="0"/>
                <w:sz w:val="20"/>
                <w:szCs w:val="20"/>
              </w:rPr>
            </w:pPr>
            <w:r>
              <w:rPr>
                <w:rFonts w:ascii="Arial" w:hAnsi="Arial" w:cs="Arial"/>
                <w:b w:val="0"/>
                <w:sz w:val="20"/>
                <w:szCs w:val="20"/>
              </w:rPr>
              <w:t>Psychological</w:t>
            </w:r>
          </w:p>
        </w:tc>
        <w:tc>
          <w:tcPr>
            <w:tcW w:w="4788" w:type="dxa"/>
          </w:tcPr>
          <w:p w14:paraId="01C671C7" w14:textId="77777777" w:rsidR="00596F3D" w:rsidRPr="005C1833" w:rsidRDefault="00596F3D" w:rsidP="0064292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Self-control, Social Capital, Altruism, Supporting friends and family</w:t>
            </w:r>
          </w:p>
        </w:tc>
      </w:tr>
      <w:tr w:rsidR="00596F3D" w14:paraId="5CBB96F1" w14:textId="77777777" w:rsidTr="00F1283F">
        <w:tc>
          <w:tcPr>
            <w:cnfStyle w:val="001000000000" w:firstRow="0" w:lastRow="0" w:firstColumn="1" w:lastColumn="0" w:oddVBand="0" w:evenVBand="0" w:oddHBand="0" w:evenHBand="0" w:firstRowFirstColumn="0" w:firstRowLastColumn="0" w:lastRowFirstColumn="0" w:lastRowLastColumn="0"/>
            <w:tcW w:w="2518" w:type="dxa"/>
          </w:tcPr>
          <w:p w14:paraId="00344E9F" w14:textId="77777777" w:rsidR="00596F3D" w:rsidRPr="00B56C6B" w:rsidRDefault="00596F3D" w:rsidP="0064292A">
            <w:pPr>
              <w:rPr>
                <w:rFonts w:ascii="Arial" w:hAnsi="Arial" w:cs="Arial"/>
                <w:b w:val="0"/>
                <w:sz w:val="20"/>
                <w:szCs w:val="20"/>
              </w:rPr>
            </w:pPr>
            <w:r>
              <w:rPr>
                <w:rFonts w:ascii="Arial" w:hAnsi="Arial" w:cs="Arial"/>
                <w:b w:val="0"/>
                <w:sz w:val="20"/>
                <w:szCs w:val="20"/>
              </w:rPr>
              <w:t>Housing</w:t>
            </w:r>
          </w:p>
        </w:tc>
        <w:tc>
          <w:tcPr>
            <w:tcW w:w="4788" w:type="dxa"/>
          </w:tcPr>
          <w:p w14:paraId="71B8E1CE" w14:textId="77777777" w:rsidR="00596F3D" w:rsidRPr="005C1833" w:rsidRDefault="00596F3D" w:rsidP="0064292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Housing status, Condensation, Heating, Maintenance</w:t>
            </w:r>
          </w:p>
        </w:tc>
      </w:tr>
      <w:tr w:rsidR="00596F3D" w14:paraId="0ECD9EE9" w14:textId="77777777" w:rsidTr="00F1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39A9490" w14:textId="77777777" w:rsidR="00596F3D" w:rsidRPr="00B56C6B" w:rsidRDefault="00596F3D" w:rsidP="0064292A">
            <w:pPr>
              <w:rPr>
                <w:rFonts w:ascii="Arial" w:hAnsi="Arial" w:cs="Arial"/>
                <w:b w:val="0"/>
                <w:sz w:val="20"/>
                <w:szCs w:val="20"/>
              </w:rPr>
            </w:pPr>
            <w:r>
              <w:rPr>
                <w:rFonts w:ascii="Arial" w:hAnsi="Arial" w:cs="Arial"/>
                <w:b w:val="0"/>
                <w:sz w:val="20"/>
                <w:szCs w:val="20"/>
              </w:rPr>
              <w:t>Social issues</w:t>
            </w:r>
          </w:p>
        </w:tc>
        <w:tc>
          <w:tcPr>
            <w:tcW w:w="4788" w:type="dxa"/>
          </w:tcPr>
          <w:p w14:paraId="7C421932" w14:textId="77777777" w:rsidR="00596F3D" w:rsidRPr="005C1833" w:rsidRDefault="00596F3D" w:rsidP="0064292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Observed drunkenness, observed rubbish, observed vandalism, observed racially motivated attacks, observed teenage loitering, observed troublesome </w:t>
            </w:r>
            <w:proofErr w:type="spellStart"/>
            <w:r>
              <w:rPr>
                <w:rFonts w:ascii="Arial" w:hAnsi="Arial" w:cs="Arial"/>
                <w:sz w:val="20"/>
              </w:rPr>
              <w:t>neighbours</w:t>
            </w:r>
            <w:proofErr w:type="spellEnd"/>
            <w:r>
              <w:rPr>
                <w:rFonts w:ascii="Arial" w:hAnsi="Arial" w:cs="Arial"/>
                <w:sz w:val="20"/>
              </w:rPr>
              <w:t>, collective action</w:t>
            </w:r>
          </w:p>
        </w:tc>
      </w:tr>
      <w:tr w:rsidR="00596F3D" w14:paraId="03FB358F" w14:textId="77777777" w:rsidTr="00F1283F">
        <w:tc>
          <w:tcPr>
            <w:cnfStyle w:val="001000000000" w:firstRow="0" w:lastRow="0" w:firstColumn="1" w:lastColumn="0" w:oddVBand="0" w:evenVBand="0" w:oddHBand="0" w:evenHBand="0" w:firstRowFirstColumn="0" w:firstRowLastColumn="0" w:lastRowFirstColumn="0" w:lastRowLastColumn="0"/>
            <w:tcW w:w="2518" w:type="dxa"/>
          </w:tcPr>
          <w:p w14:paraId="0155FAFC" w14:textId="77777777" w:rsidR="00596F3D" w:rsidRPr="00B56C6B" w:rsidRDefault="00596F3D" w:rsidP="0064292A">
            <w:pPr>
              <w:rPr>
                <w:rFonts w:ascii="Arial" w:hAnsi="Arial" w:cs="Arial"/>
                <w:b w:val="0"/>
                <w:sz w:val="20"/>
                <w:szCs w:val="20"/>
              </w:rPr>
            </w:pPr>
            <w:r>
              <w:rPr>
                <w:rFonts w:ascii="Arial" w:hAnsi="Arial" w:cs="Arial"/>
                <w:b w:val="0"/>
                <w:sz w:val="20"/>
                <w:szCs w:val="20"/>
              </w:rPr>
              <w:t>Environment</w:t>
            </w:r>
          </w:p>
        </w:tc>
        <w:tc>
          <w:tcPr>
            <w:tcW w:w="4788" w:type="dxa"/>
          </w:tcPr>
          <w:p w14:paraId="5A8A3AB6" w14:textId="77777777" w:rsidR="00596F3D" w:rsidRPr="005C1833" w:rsidRDefault="00596F3D" w:rsidP="0064292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Use of public areas, Internet usage </w:t>
            </w:r>
          </w:p>
        </w:tc>
      </w:tr>
      <w:tr w:rsidR="00596F3D" w14:paraId="586FF063" w14:textId="77777777" w:rsidTr="00F1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7425AEE" w14:textId="77777777" w:rsidR="00596F3D" w:rsidRDefault="00596F3D" w:rsidP="0064292A">
            <w:pPr>
              <w:rPr>
                <w:rFonts w:ascii="Arial" w:hAnsi="Arial" w:cs="Arial"/>
                <w:b w:val="0"/>
                <w:sz w:val="20"/>
                <w:szCs w:val="20"/>
              </w:rPr>
            </w:pPr>
            <w:r>
              <w:rPr>
                <w:rFonts w:ascii="Arial" w:hAnsi="Arial" w:cs="Arial"/>
                <w:b w:val="0"/>
                <w:sz w:val="20"/>
                <w:szCs w:val="20"/>
              </w:rPr>
              <w:t>Work and finance</w:t>
            </w:r>
          </w:p>
        </w:tc>
        <w:tc>
          <w:tcPr>
            <w:tcW w:w="4788" w:type="dxa"/>
          </w:tcPr>
          <w:p w14:paraId="27A74E34" w14:textId="77777777" w:rsidR="00596F3D" w:rsidRPr="005C1833" w:rsidRDefault="00596F3D" w:rsidP="0064292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Position, size of workplace, salary, hours of work, financial struggle, debt problems</w:t>
            </w:r>
          </w:p>
        </w:tc>
      </w:tr>
    </w:tbl>
    <w:p w14:paraId="5965FB74" w14:textId="77777777" w:rsidR="00596F3D" w:rsidRPr="009E0DD2" w:rsidRDefault="00596F3D" w:rsidP="00F1283F">
      <w:pPr>
        <w:spacing w:before="240"/>
        <w:ind w:right="2272"/>
        <w:rPr>
          <w:rFonts w:ascii="Arial" w:hAnsi="Arial" w:cs="Arial"/>
          <w:sz w:val="18"/>
        </w:rPr>
      </w:pPr>
      <w:r>
        <w:rPr>
          <w:rFonts w:ascii="Arial" w:hAnsi="Arial" w:cs="Arial"/>
          <w:b/>
          <w:sz w:val="18"/>
        </w:rPr>
        <w:t xml:space="preserve">Legend. </w:t>
      </w:r>
      <w:r>
        <w:rPr>
          <w:rFonts w:ascii="Arial" w:hAnsi="Arial" w:cs="Arial"/>
          <w:sz w:val="18"/>
        </w:rPr>
        <w:t xml:space="preserve">EQ – Empathy Quotient scale; GAD-7 – General Anxiety Disorder scale; LSHS4 – Launay-Slade Hallucination Scale; </w:t>
      </w:r>
      <w:proofErr w:type="spellStart"/>
      <w:r>
        <w:rPr>
          <w:rFonts w:ascii="Arial" w:hAnsi="Arial" w:cs="Arial"/>
          <w:sz w:val="18"/>
        </w:rPr>
        <w:t>sWEMWEBS</w:t>
      </w:r>
      <w:proofErr w:type="spellEnd"/>
      <w:r>
        <w:rPr>
          <w:rFonts w:ascii="Arial" w:hAnsi="Arial" w:cs="Arial"/>
          <w:sz w:val="18"/>
        </w:rPr>
        <w:t xml:space="preserve"> – Warwick-Edinburgh Mental Wellbeing Scale; </w:t>
      </w:r>
    </w:p>
    <w:p w14:paraId="386C63CA" w14:textId="77777777" w:rsidR="00596F3D" w:rsidRDefault="00596F3D" w:rsidP="00CE64BF">
      <w:pPr>
        <w:rPr>
          <w:rFonts w:ascii="Arial" w:hAnsi="Arial" w:cs="Arial"/>
          <w:b/>
        </w:rPr>
      </w:pPr>
    </w:p>
    <w:p w14:paraId="313CFD46" w14:textId="77777777" w:rsidR="00596F3D" w:rsidRDefault="00596F3D" w:rsidP="00CE64BF">
      <w:pPr>
        <w:rPr>
          <w:rFonts w:ascii="Arial" w:hAnsi="Arial" w:cs="Arial"/>
          <w:b/>
        </w:rPr>
      </w:pPr>
    </w:p>
    <w:p w14:paraId="0BCD2573" w14:textId="77777777" w:rsidR="00596F3D" w:rsidRDefault="00596F3D" w:rsidP="00CE64BF">
      <w:pPr>
        <w:rPr>
          <w:rFonts w:ascii="Arial" w:hAnsi="Arial" w:cs="Arial"/>
          <w:b/>
        </w:rPr>
      </w:pPr>
    </w:p>
    <w:p w14:paraId="58225709" w14:textId="77777777" w:rsidR="00596F3D" w:rsidRDefault="00596F3D" w:rsidP="00CE64BF">
      <w:pPr>
        <w:rPr>
          <w:rFonts w:ascii="Arial" w:hAnsi="Arial" w:cs="Arial"/>
          <w:b/>
        </w:rPr>
      </w:pPr>
    </w:p>
    <w:p w14:paraId="3871DF31" w14:textId="77777777" w:rsidR="00596F3D" w:rsidRDefault="00596F3D" w:rsidP="00CE64BF">
      <w:pPr>
        <w:rPr>
          <w:rFonts w:ascii="Arial" w:hAnsi="Arial" w:cs="Arial"/>
          <w:b/>
        </w:rPr>
      </w:pPr>
    </w:p>
    <w:p w14:paraId="038C3C5D" w14:textId="77777777" w:rsidR="00596F3D" w:rsidRDefault="00596F3D" w:rsidP="00CE64BF">
      <w:pPr>
        <w:rPr>
          <w:rFonts w:ascii="Arial" w:hAnsi="Arial" w:cs="Arial"/>
          <w:b/>
        </w:rPr>
      </w:pPr>
    </w:p>
    <w:p w14:paraId="35F45BEE" w14:textId="77777777" w:rsidR="00596F3D" w:rsidRDefault="00596F3D" w:rsidP="00CE64BF">
      <w:pPr>
        <w:rPr>
          <w:rFonts w:ascii="Arial" w:hAnsi="Arial" w:cs="Arial"/>
          <w:b/>
        </w:rPr>
      </w:pPr>
    </w:p>
    <w:p w14:paraId="7A779060" w14:textId="77777777" w:rsidR="009705FE" w:rsidRDefault="009705FE" w:rsidP="00CE64BF">
      <w:pPr>
        <w:rPr>
          <w:rFonts w:ascii="Arial" w:hAnsi="Arial" w:cs="Arial"/>
          <w:b/>
        </w:rPr>
      </w:pPr>
    </w:p>
    <w:p w14:paraId="57EAA7B0" w14:textId="77777777" w:rsidR="00596F3D" w:rsidRDefault="00596F3D" w:rsidP="00CE64BF">
      <w:pPr>
        <w:rPr>
          <w:rFonts w:ascii="Arial" w:hAnsi="Arial" w:cs="Arial"/>
          <w:b/>
        </w:rPr>
      </w:pPr>
    </w:p>
    <w:p w14:paraId="602FEBAB" w14:textId="77777777" w:rsidR="00596F3D" w:rsidRDefault="00596F3D" w:rsidP="00CE64BF">
      <w:pPr>
        <w:rPr>
          <w:rFonts w:ascii="Arial" w:hAnsi="Arial" w:cs="Arial"/>
          <w:b/>
        </w:rPr>
      </w:pPr>
    </w:p>
    <w:p w14:paraId="2970EC12" w14:textId="77777777" w:rsidR="00596F3D" w:rsidRDefault="00596F3D" w:rsidP="00CE64BF">
      <w:pPr>
        <w:rPr>
          <w:rFonts w:ascii="Arial" w:hAnsi="Arial" w:cs="Arial"/>
          <w:b/>
        </w:rPr>
      </w:pPr>
    </w:p>
    <w:p w14:paraId="6C1D260F" w14:textId="77777777" w:rsidR="009705FE" w:rsidRDefault="009705FE" w:rsidP="00CE64BF">
      <w:pPr>
        <w:rPr>
          <w:rFonts w:ascii="Arial" w:hAnsi="Arial" w:cs="Arial"/>
          <w:b/>
        </w:rPr>
      </w:pPr>
    </w:p>
    <w:p w14:paraId="3549FE24"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14:anchorId="0D280824" wp14:editId="53CD16BB">
                <wp:simplePos x="0" y="0"/>
                <wp:positionH relativeFrom="column">
                  <wp:posOffset>-266700</wp:posOffset>
                </wp:positionH>
                <wp:positionV relativeFrom="paragraph">
                  <wp:posOffset>361950</wp:posOffset>
                </wp:positionV>
                <wp:extent cx="2771775" cy="22860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2771775" cy="22860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8C318" w14:textId="77777777"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population likely to be impacted by resilience interventions</w:t>
                            </w:r>
                          </w:p>
                          <w:p w14:paraId="51115FE3" w14:textId="77777777"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population between 5,000 and 10,000 residents</w:t>
                            </w:r>
                          </w:p>
                          <w:p w14:paraId="22985E16" w14:textId="77777777"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 xml:space="preserve">have </w:t>
                            </w:r>
                            <w:r>
                              <w:rPr>
                                <w:rFonts w:ascii="Arial" w:hAnsi="Arial" w:cs="Arial"/>
                                <w:color w:val="000000" w:themeColor="text1"/>
                                <w14:textOutline w14:w="9525" w14:cap="rnd" w14:cmpd="sng" w14:algn="ctr">
                                  <w14:noFill/>
                                  <w14:prstDash w14:val="solid"/>
                                  <w14:bevel/>
                                </w14:textOutline>
                              </w:rPr>
                              <w:t>a</w:t>
                            </w:r>
                            <w:r w:rsidRPr="00037805">
                              <w:rPr>
                                <w:rFonts w:ascii="Arial" w:hAnsi="Arial" w:cs="Arial"/>
                                <w:color w:val="000000" w:themeColor="text1"/>
                                <w14:textOutline w14:w="9525" w14:cap="rnd" w14:cmpd="sng" w14:algn="ctr">
                                  <w14:noFill/>
                                  <w14:prstDash w14:val="solid"/>
                                  <w14:bevel/>
                                </w14:textOutline>
                              </w:rPr>
                              <w:t xml:space="preserve"> deprivation index (IMD) in the bottom 10% nationally</w:t>
                            </w:r>
                          </w:p>
                          <w:p w14:paraId="4A5E2492" w14:textId="77777777"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have a coherent or shared sense of identity among residents</w:t>
                            </w:r>
                          </w:p>
                          <w:p w14:paraId="18ADBFD2" w14:textId="77777777"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have local infrastructure to implement resilience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76DCDF" id="Rounded Rectangle 28" o:spid="_x0000_s1040" style="position:absolute;margin-left:-21pt;margin-top:28.5pt;width:218.25pt;height:1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" fillcolor="white [3212]" strokecolor="black [3213]" strokeweight="2pt">
                <v:textbox>
                  <w:txbxContent>
                    <w:p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population likely to be impacted by resilience interventions</w:t>
                      </w:r>
                    </w:p>
                    <w:p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population between 5,000 and 10,000 residents</w:t>
                      </w:r>
                    </w:p>
                    <w:p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 xml:space="preserve">have </w:t>
                      </w:r>
                      <w:r>
                        <w:rPr>
                          <w:rFonts w:ascii="Arial" w:hAnsi="Arial" w:cs="Arial"/>
                          <w:color w:val="000000" w:themeColor="text1"/>
                          <w14:textOutline w14:w="9525" w14:cap="rnd" w14:cmpd="sng" w14:algn="ctr">
                            <w14:noFill/>
                            <w14:prstDash w14:val="solid"/>
                            <w14:bevel/>
                          </w14:textOutline>
                        </w:rPr>
                        <w:t>a</w:t>
                      </w:r>
                      <w:r w:rsidRPr="00037805">
                        <w:rPr>
                          <w:rFonts w:ascii="Arial" w:hAnsi="Arial" w:cs="Arial"/>
                          <w:color w:val="000000" w:themeColor="text1"/>
                          <w14:textOutline w14:w="9525" w14:cap="rnd" w14:cmpd="sng" w14:algn="ctr">
                            <w14:noFill/>
                            <w14:prstDash w14:val="solid"/>
                            <w14:bevel/>
                          </w14:textOutline>
                        </w:rPr>
                        <w:t xml:space="preserve"> deprivation index (IMD) in the bottom 10% nationally</w:t>
                      </w:r>
                    </w:p>
                    <w:p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have a coherent or shared sense of identity among residents</w:t>
                      </w:r>
                    </w:p>
                    <w:p w:rsidR="000632EC" w:rsidRPr="00037805" w:rsidRDefault="000632EC" w:rsidP="00FF17D4">
                      <w:pPr>
                        <w:pStyle w:val="ListParagraph"/>
                        <w:numPr>
                          <w:ilvl w:val="0"/>
                          <w:numId w:val="7"/>
                        </w:numPr>
                        <w:ind w:left="284"/>
                        <w:jc w:val="center"/>
                        <w:rPr>
                          <w:rFonts w:ascii="Arial" w:hAnsi="Arial" w:cs="Arial"/>
                          <w:color w:val="000000" w:themeColor="text1"/>
                          <w14:textOutline w14:w="9525" w14:cap="rnd" w14:cmpd="sng" w14:algn="ctr">
                            <w14:noFill/>
                            <w14:prstDash w14:val="solid"/>
                            <w14:bevel/>
                          </w14:textOutline>
                        </w:rPr>
                      </w:pPr>
                      <w:r w:rsidRPr="00037805">
                        <w:rPr>
                          <w:rFonts w:ascii="Arial" w:hAnsi="Arial" w:cs="Arial"/>
                          <w:color w:val="000000" w:themeColor="text1"/>
                          <w14:textOutline w14:w="9525" w14:cap="rnd" w14:cmpd="sng" w14:algn="ctr">
                            <w14:noFill/>
                            <w14:prstDash w14:val="solid"/>
                            <w14:bevel/>
                          </w14:textOutline>
                        </w:rPr>
                        <w:t>have local infrastructure to implement resilience initiatives</w:t>
                      </w:r>
                    </w:p>
                  </w:txbxContent>
                </v:textbox>
              </v:roundrect>
            </w:pict>
          </mc:Fallback>
        </mc:AlternateContent>
      </w:r>
    </w:p>
    <w:p w14:paraId="72A78C1C"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80768" behindDoc="0" locked="0" layoutInCell="1" allowOverlap="1" wp14:anchorId="7DEDF2F9" wp14:editId="2C8F4201">
                <wp:simplePos x="0" y="0"/>
                <wp:positionH relativeFrom="column">
                  <wp:posOffset>3267075</wp:posOffset>
                </wp:positionH>
                <wp:positionV relativeFrom="paragraph">
                  <wp:posOffset>50165</wp:posOffset>
                </wp:positionV>
                <wp:extent cx="3009900" cy="22383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3009900" cy="2238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DF483" w14:textId="77777777"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Income Deprivation</w:t>
                            </w:r>
                          </w:p>
                          <w:p w14:paraId="13BA153E" w14:textId="77777777"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Employment Deprivation</w:t>
                            </w:r>
                          </w:p>
                          <w:p w14:paraId="64CDA238" w14:textId="77777777"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Health Deprivation and Disability</w:t>
                            </w:r>
                          </w:p>
                          <w:p w14:paraId="3FD52F1C" w14:textId="77777777"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Education, Skills and Training Deprivation</w:t>
                            </w:r>
                          </w:p>
                          <w:p w14:paraId="707D2D2B" w14:textId="77777777"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Barriers to Housing and Services</w:t>
                            </w:r>
                          </w:p>
                          <w:p w14:paraId="0D3ACF53" w14:textId="77777777"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Crime</w:t>
                            </w:r>
                          </w:p>
                          <w:p w14:paraId="24304AA4" w14:textId="77777777" w:rsidR="000632EC" w:rsidRPr="00037805"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Living Environment Deprivation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FE8D75" id="Rounded Rectangle 29" o:spid="_x0000_s1041" style="position:absolute;margin-left:257.25pt;margin-top:3.95pt;width:237pt;height:17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" fillcolor="white [3212]" strokecolor="black [3213]" strokeweight="2pt">
                <v:textbox>
                  <w:txbxContent>
                    <w:p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Income Deprivation</w:t>
                      </w:r>
                    </w:p>
                    <w:p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Employment Deprivation</w:t>
                      </w:r>
                    </w:p>
                    <w:p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Health Deprivation and Disability</w:t>
                      </w:r>
                    </w:p>
                    <w:p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Education, Skills and Training Deprivation</w:t>
                      </w:r>
                    </w:p>
                    <w:p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Barriers to Housing and Services</w:t>
                      </w:r>
                    </w:p>
                    <w:p w:rsidR="000632EC"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Crime</w:t>
                      </w:r>
                    </w:p>
                    <w:p w:rsidR="000632EC" w:rsidRPr="00037805" w:rsidRDefault="000632EC" w:rsidP="00596F3D">
                      <w:pPr>
                        <w:pStyle w:val="ListParagraph"/>
                        <w:numPr>
                          <w:ilvl w:val="0"/>
                          <w:numId w:val="8"/>
                        </w:numPr>
                        <w:ind w:left="993"/>
                        <w:rPr>
                          <w:rFonts w:ascii="Arial" w:hAnsi="Arial" w:cs="Arial"/>
                          <w:color w:val="000000" w:themeColor="text1"/>
                          <w14:textOutline w14:w="9525" w14:cap="rnd" w14:cmpd="sng" w14:algn="ctr">
                            <w14:noFill/>
                            <w14:prstDash w14:val="solid"/>
                            <w14:bevel/>
                          </w14:textOutline>
                        </w:rPr>
                      </w:pPr>
                      <w:r>
                        <w:rPr>
                          <w:rFonts w:ascii="Arial" w:hAnsi="Arial" w:cs="Arial"/>
                          <w:color w:val="000000" w:themeColor="text1"/>
                          <w14:textOutline w14:w="9525" w14:cap="rnd" w14:cmpd="sng" w14:algn="ctr">
                            <w14:noFill/>
                            <w14:prstDash w14:val="solid"/>
                            <w14:bevel/>
                          </w14:textOutline>
                        </w:rPr>
                        <w:t>Living Environment Deprivation</w:t>
                      </w:r>
                    </w:p>
                  </w:txbxContent>
                </v:textbox>
              </v:roundrect>
            </w:pict>
          </mc:Fallback>
        </mc:AlternateContent>
      </w:r>
    </w:p>
    <w:p w14:paraId="20B6F0A1" w14:textId="77777777" w:rsidR="00596F3D" w:rsidRDefault="00596F3D" w:rsidP="00596F3D">
      <w:pPr>
        <w:rPr>
          <w:rFonts w:ascii="Arial" w:hAnsi="Arial" w:cs="Arial"/>
          <w:b/>
        </w:rPr>
      </w:pPr>
    </w:p>
    <w:p w14:paraId="253A1E0B" w14:textId="77777777" w:rsidR="00596F3D" w:rsidRDefault="00596F3D" w:rsidP="00596F3D">
      <w:pPr>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14:anchorId="0EE3EA78" wp14:editId="58A6C9B8">
                <wp:simplePos x="0" y="0"/>
                <wp:positionH relativeFrom="column">
                  <wp:posOffset>2381250</wp:posOffset>
                </wp:positionH>
                <wp:positionV relativeFrom="paragraph">
                  <wp:posOffset>255270</wp:posOffset>
                </wp:positionV>
                <wp:extent cx="1238250" cy="552450"/>
                <wp:effectExtent l="0" t="19050" r="38100" b="38100"/>
                <wp:wrapNone/>
                <wp:docPr id="30" name="Right Arrow 30"/>
                <wp:cNvGraphicFramePr/>
                <a:graphic xmlns:a="http://schemas.openxmlformats.org/drawingml/2006/main">
                  <a:graphicData uri="http://schemas.microsoft.com/office/word/2010/wordprocessingShape">
                    <wps:wsp>
                      <wps:cNvSpPr/>
                      <wps:spPr>
                        <a:xfrm>
                          <a:off x="0" y="0"/>
                          <a:ext cx="1238250" cy="552450"/>
                        </a:xfrm>
                        <a:prstGeom prst="right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A3FC7" w14:textId="77777777" w:rsidR="000632EC" w:rsidRPr="001221BF" w:rsidRDefault="000632EC" w:rsidP="00596F3D">
                            <w:pPr>
                              <w:jc w:val="center"/>
                              <w:rPr>
                                <w:rFonts w:ascii="Arial" w:hAnsi="Arial" w:cs="Arial"/>
                                <w:b/>
                              </w:rPr>
                            </w:pPr>
                            <w:r w:rsidRPr="001221BF">
                              <w:rPr>
                                <w:rFonts w:ascii="Arial" w:hAnsi="Arial" w:cs="Arial"/>
                                <w:b/>
                              </w:rPr>
                              <w:t>IMD Domains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B8C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42" type="#_x0000_t13" style="position:absolute;margin-left:187.5pt;margin-top:20.1pt;width:97.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" adj="16782" fillcolor="#a5a5a5 [2092]" strokecolor="#7f7f7f [1612]" strokeweight="2pt">
                <v:textbox>
                  <w:txbxContent>
                    <w:p w:rsidR="000632EC" w:rsidRPr="001221BF" w:rsidRDefault="000632EC" w:rsidP="00596F3D">
                      <w:pPr>
                        <w:jc w:val="center"/>
                        <w:rPr>
                          <w:rFonts w:ascii="Arial" w:hAnsi="Arial" w:cs="Arial"/>
                          <w:b/>
                        </w:rPr>
                      </w:pPr>
                      <w:r w:rsidRPr="001221BF">
                        <w:rPr>
                          <w:rFonts w:ascii="Arial" w:hAnsi="Arial" w:cs="Arial"/>
                          <w:b/>
                        </w:rPr>
                        <w:t>IMD Domains</w:t>
                      </w:r>
                    </w:p>
                  </w:txbxContent>
                </v:textbox>
              </v:shape>
            </w:pict>
          </mc:Fallback>
        </mc:AlternateContent>
      </w:r>
    </w:p>
    <w:p w14:paraId="419F3F66" w14:textId="77777777" w:rsidR="00596F3D" w:rsidRDefault="00596F3D" w:rsidP="00596F3D">
      <w:pPr>
        <w:rPr>
          <w:rFonts w:ascii="Arial" w:hAnsi="Arial" w:cs="Arial"/>
          <w:b/>
        </w:rPr>
      </w:pPr>
    </w:p>
    <w:p w14:paraId="154FF6C3" w14:textId="77777777" w:rsidR="00596F3D" w:rsidRDefault="00596F3D" w:rsidP="00596F3D">
      <w:pPr>
        <w:rPr>
          <w:rFonts w:ascii="Arial" w:hAnsi="Arial" w:cs="Arial"/>
          <w:b/>
        </w:rPr>
      </w:pPr>
    </w:p>
    <w:p w14:paraId="37BA4DFD" w14:textId="77777777" w:rsidR="00596F3D" w:rsidRDefault="00596F3D" w:rsidP="00596F3D">
      <w:pPr>
        <w:rPr>
          <w:rFonts w:ascii="Arial" w:hAnsi="Arial" w:cs="Arial"/>
          <w:b/>
        </w:rPr>
      </w:pPr>
    </w:p>
    <w:p w14:paraId="014EB0C4" w14:textId="77777777" w:rsidR="00596F3D" w:rsidRDefault="00596F3D" w:rsidP="00596F3D">
      <w:pPr>
        <w:rPr>
          <w:rFonts w:ascii="Arial" w:hAnsi="Arial" w:cs="Arial"/>
          <w:b/>
        </w:rPr>
      </w:pPr>
    </w:p>
    <w:p w14:paraId="42DFF81D" w14:textId="77777777" w:rsidR="00596F3D" w:rsidRDefault="00596F3D" w:rsidP="00596F3D">
      <w:pPr>
        <w:rPr>
          <w:rFonts w:ascii="Arial" w:hAnsi="Arial" w:cs="Arial"/>
          <w:b/>
        </w:rPr>
      </w:pPr>
    </w:p>
    <w:p w14:paraId="253E511F" w14:textId="77777777" w:rsidR="00596F3D" w:rsidRDefault="00596F3D" w:rsidP="00596F3D">
      <w:pPr>
        <w:rPr>
          <w:rFonts w:ascii="Arial" w:hAnsi="Arial" w:cs="Arial"/>
          <w:b/>
        </w:rPr>
      </w:pPr>
    </w:p>
    <w:p w14:paraId="62BAD65F" w14:textId="77777777" w:rsidR="00596F3D" w:rsidRPr="00CC4DC9" w:rsidRDefault="00596F3D" w:rsidP="00FF17D4">
      <w:pPr>
        <w:spacing w:after="0"/>
        <w:outlineLvl w:val="0"/>
        <w:rPr>
          <w:rFonts w:ascii="Arial" w:hAnsi="Arial" w:cs="Arial"/>
          <w:b/>
        </w:rPr>
      </w:pPr>
      <w:r>
        <w:rPr>
          <w:rFonts w:ascii="Arial" w:hAnsi="Arial" w:cs="Arial"/>
          <w:b/>
        </w:rPr>
        <w:t>Figure 2</w:t>
      </w:r>
      <w:r w:rsidRPr="00CC4DC9">
        <w:rPr>
          <w:rFonts w:ascii="Arial" w:hAnsi="Arial" w:cs="Arial"/>
          <w:b/>
        </w:rPr>
        <w:t>. Deprivation criteria applied in the sample selection</w:t>
      </w:r>
    </w:p>
    <w:p w14:paraId="34BED89F" w14:textId="77777777" w:rsidR="00596F3D" w:rsidRDefault="00596F3D" w:rsidP="00596F3D">
      <w:pPr>
        <w:rPr>
          <w:rFonts w:ascii="Arial" w:hAnsi="Arial" w:cs="Arial"/>
          <w:sz w:val="20"/>
        </w:rPr>
      </w:pPr>
      <w:r>
        <w:rPr>
          <w:rFonts w:ascii="Arial" w:hAnsi="Arial" w:cs="Arial"/>
          <w:sz w:val="20"/>
        </w:rPr>
        <w:t xml:space="preserve">To be considered a disadvantaged area, the </w:t>
      </w:r>
      <w:proofErr w:type="spellStart"/>
      <w:r>
        <w:rPr>
          <w:rFonts w:ascii="Arial" w:hAnsi="Arial" w:cs="Arial"/>
          <w:sz w:val="20"/>
        </w:rPr>
        <w:t>neighbourhood</w:t>
      </w:r>
      <w:proofErr w:type="spellEnd"/>
      <w:r>
        <w:rPr>
          <w:rFonts w:ascii="Arial" w:hAnsi="Arial" w:cs="Arial"/>
          <w:sz w:val="20"/>
        </w:rPr>
        <w:t xml:space="preserve"> had to meet the above five criteria. These referred to the Index of Multiple Deprivation (IMD) from the English Indices of Deprivation (ONS, 2015).</w:t>
      </w:r>
    </w:p>
    <w:p w14:paraId="18892B00" w14:textId="77777777" w:rsidR="00596F3D" w:rsidRDefault="00596F3D" w:rsidP="00CE64BF">
      <w:pPr>
        <w:rPr>
          <w:rFonts w:ascii="Arial" w:hAnsi="Arial" w:cs="Arial"/>
          <w:b/>
        </w:rPr>
      </w:pPr>
    </w:p>
    <w:p w14:paraId="61434D4E" w14:textId="77777777" w:rsidR="00596F3D" w:rsidRDefault="00596F3D" w:rsidP="00CE64BF">
      <w:pPr>
        <w:rPr>
          <w:rFonts w:ascii="Arial" w:hAnsi="Arial" w:cs="Arial"/>
          <w:b/>
        </w:rPr>
      </w:pPr>
    </w:p>
    <w:p w14:paraId="6DF98CEA" w14:textId="77777777" w:rsidR="00596F3D" w:rsidRDefault="00596F3D" w:rsidP="00CE64BF">
      <w:pPr>
        <w:rPr>
          <w:rFonts w:ascii="Arial" w:hAnsi="Arial" w:cs="Arial"/>
          <w:b/>
        </w:rPr>
      </w:pPr>
    </w:p>
    <w:p w14:paraId="199FD636" w14:textId="77777777" w:rsidR="00596F3D" w:rsidRDefault="00596F3D" w:rsidP="00CE64BF">
      <w:pPr>
        <w:rPr>
          <w:rFonts w:ascii="Arial" w:hAnsi="Arial" w:cs="Arial"/>
          <w:b/>
        </w:rPr>
      </w:pPr>
    </w:p>
    <w:p w14:paraId="23E989FE" w14:textId="77777777" w:rsidR="00596F3D" w:rsidRDefault="00596F3D" w:rsidP="00CE64BF">
      <w:pPr>
        <w:rPr>
          <w:rFonts w:ascii="Arial" w:hAnsi="Arial" w:cs="Arial"/>
          <w:b/>
        </w:rPr>
      </w:pPr>
    </w:p>
    <w:p w14:paraId="515FADD7" w14:textId="77777777" w:rsidR="00596F3D" w:rsidRDefault="00596F3D" w:rsidP="00CE64BF">
      <w:pPr>
        <w:rPr>
          <w:rFonts w:ascii="Arial" w:hAnsi="Arial" w:cs="Arial"/>
          <w:b/>
        </w:rPr>
      </w:pPr>
    </w:p>
    <w:p w14:paraId="5E9CDF67" w14:textId="77777777" w:rsidR="00596F3D" w:rsidRDefault="00596F3D" w:rsidP="00CE64BF">
      <w:pPr>
        <w:rPr>
          <w:rFonts w:ascii="Arial" w:hAnsi="Arial" w:cs="Arial"/>
          <w:b/>
        </w:rPr>
      </w:pPr>
    </w:p>
    <w:p w14:paraId="43336B81" w14:textId="77777777" w:rsidR="00596F3D" w:rsidRDefault="00596F3D" w:rsidP="00CE64BF">
      <w:pPr>
        <w:rPr>
          <w:rFonts w:ascii="Arial" w:hAnsi="Arial" w:cs="Arial"/>
          <w:b/>
        </w:rPr>
      </w:pPr>
    </w:p>
    <w:p w14:paraId="26AFFBB9" w14:textId="77777777" w:rsidR="00596F3D" w:rsidRDefault="00596F3D" w:rsidP="00CE64BF">
      <w:pPr>
        <w:rPr>
          <w:rFonts w:ascii="Arial" w:hAnsi="Arial" w:cs="Arial"/>
          <w:b/>
        </w:rPr>
      </w:pPr>
    </w:p>
    <w:p w14:paraId="4858A31A" w14:textId="77777777" w:rsidR="00596F3D" w:rsidRDefault="00596F3D" w:rsidP="00CE64BF">
      <w:pPr>
        <w:rPr>
          <w:rFonts w:ascii="Arial" w:hAnsi="Arial" w:cs="Arial"/>
          <w:b/>
        </w:rPr>
      </w:pPr>
    </w:p>
    <w:p w14:paraId="0B75ED72" w14:textId="77777777" w:rsidR="00596F3D" w:rsidRDefault="00596F3D" w:rsidP="00CE64BF">
      <w:pPr>
        <w:rPr>
          <w:rFonts w:ascii="Arial" w:hAnsi="Arial" w:cs="Arial"/>
          <w:b/>
        </w:rPr>
      </w:pPr>
    </w:p>
    <w:p w14:paraId="4622EF74" w14:textId="77777777" w:rsidR="00596F3D" w:rsidRDefault="00596F3D" w:rsidP="00CE64BF">
      <w:pPr>
        <w:rPr>
          <w:rFonts w:ascii="Arial" w:hAnsi="Arial" w:cs="Arial"/>
          <w:b/>
        </w:rPr>
      </w:pPr>
    </w:p>
    <w:p w14:paraId="45490218" w14:textId="77777777" w:rsidR="00596F3D" w:rsidRDefault="00596F3D" w:rsidP="00CE64BF">
      <w:pPr>
        <w:rPr>
          <w:rFonts w:ascii="Arial" w:hAnsi="Arial" w:cs="Arial"/>
          <w:b/>
        </w:rPr>
      </w:pPr>
    </w:p>
    <w:p w14:paraId="1CE21B1A" w14:textId="77777777" w:rsidR="00596F3D" w:rsidRDefault="00596F3D" w:rsidP="00596F3D">
      <w:pPr>
        <w:spacing w:after="0"/>
        <w:outlineLvl w:val="0"/>
        <w:rPr>
          <w:rFonts w:ascii="Arial" w:eastAsia="Calibri" w:hAnsi="Arial" w:cs="Arial"/>
          <w:b/>
        </w:rPr>
        <w:sectPr w:rsidR="00596F3D" w:rsidSect="00391BA2">
          <w:footerReference w:type="default" r:id="rId11"/>
          <w:pgSz w:w="12240" w:h="15840"/>
          <w:pgMar w:top="1440" w:right="1440" w:bottom="1440" w:left="1440" w:header="720" w:footer="720" w:gutter="0"/>
          <w:pgNumType w:start="0"/>
          <w:cols w:space="720"/>
          <w:titlePg/>
          <w:docGrid w:linePitch="360"/>
        </w:sectPr>
      </w:pPr>
    </w:p>
    <w:p w14:paraId="293679C1" w14:textId="77777777" w:rsidR="00596F3D" w:rsidRPr="007B7F1F" w:rsidRDefault="00596F3D" w:rsidP="00596F3D">
      <w:pPr>
        <w:spacing w:after="0"/>
        <w:outlineLvl w:val="0"/>
        <w:rPr>
          <w:rFonts w:ascii="Arial" w:eastAsia="Calibri" w:hAnsi="Arial" w:cs="Arial"/>
          <w:b/>
        </w:rPr>
      </w:pPr>
      <w:r w:rsidRPr="007B7F1F">
        <w:rPr>
          <w:rFonts w:ascii="Arial" w:eastAsia="Calibri" w:hAnsi="Arial" w:cs="Arial"/>
          <w:b/>
        </w:rPr>
        <w:lastRenderedPageBreak/>
        <w:t xml:space="preserve">Table 2. Descriptive characteristics by area type </w:t>
      </w:r>
      <w:r w:rsidR="001221BF">
        <w:rPr>
          <w:rFonts w:ascii="Arial" w:eastAsia="Calibri" w:hAnsi="Arial" w:cs="Arial"/>
          <w:b/>
        </w:rPr>
        <w:t>for Waves 1 and 2</w:t>
      </w:r>
    </w:p>
    <w:tbl>
      <w:tblPr>
        <w:tblStyle w:val="TableGrid"/>
        <w:tblW w:w="1190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1701"/>
        <w:gridCol w:w="1701"/>
        <w:gridCol w:w="1701"/>
        <w:gridCol w:w="1984"/>
        <w:gridCol w:w="2268"/>
      </w:tblGrid>
      <w:tr w:rsidR="00596F3D" w:rsidRPr="007671E2" w14:paraId="1693DD8B" w14:textId="77777777" w:rsidTr="007671E2">
        <w:tc>
          <w:tcPr>
            <w:tcW w:w="2552" w:type="dxa"/>
          </w:tcPr>
          <w:p w14:paraId="29E9BBA1" w14:textId="77777777" w:rsidR="00596F3D" w:rsidRPr="007671E2" w:rsidRDefault="00596F3D" w:rsidP="00596F3D">
            <w:pPr>
              <w:rPr>
                <w:rFonts w:ascii="Arial" w:eastAsia="Calibri" w:hAnsi="Arial" w:cs="Arial"/>
                <w:b/>
                <w:sz w:val="16"/>
                <w:szCs w:val="20"/>
              </w:rPr>
            </w:pPr>
          </w:p>
        </w:tc>
        <w:tc>
          <w:tcPr>
            <w:tcW w:w="1701" w:type="dxa"/>
          </w:tcPr>
          <w:p w14:paraId="06CFD327" w14:textId="77777777" w:rsidR="00596F3D" w:rsidRPr="007671E2" w:rsidRDefault="00596F3D" w:rsidP="00596F3D">
            <w:pPr>
              <w:jc w:val="center"/>
              <w:rPr>
                <w:rFonts w:ascii="Arial" w:eastAsia="Calibri" w:hAnsi="Arial" w:cs="Arial"/>
                <w:b/>
                <w:sz w:val="16"/>
                <w:szCs w:val="20"/>
              </w:rPr>
            </w:pPr>
            <w:proofErr w:type="spellStart"/>
            <w:r w:rsidRPr="007671E2">
              <w:rPr>
                <w:rFonts w:ascii="Arial" w:eastAsia="Calibri" w:hAnsi="Arial" w:cs="Arial"/>
                <w:b/>
                <w:sz w:val="16"/>
                <w:szCs w:val="20"/>
              </w:rPr>
              <w:t>Neighbourhoods</w:t>
            </w:r>
            <w:proofErr w:type="spellEnd"/>
            <w:r w:rsidRPr="007671E2">
              <w:rPr>
                <w:rFonts w:ascii="Arial" w:eastAsia="Calibri" w:hAnsi="Arial" w:cs="Arial"/>
                <w:b/>
                <w:sz w:val="16"/>
                <w:szCs w:val="20"/>
              </w:rPr>
              <w:t xml:space="preserve"> for Learning </w:t>
            </w:r>
          </w:p>
          <w:p w14:paraId="6DE43377" w14:textId="77777777" w:rsidR="00596F3D" w:rsidRPr="007671E2" w:rsidRDefault="00596F3D" w:rsidP="00596F3D">
            <w:pPr>
              <w:jc w:val="center"/>
              <w:rPr>
                <w:rFonts w:ascii="Arial" w:eastAsia="Calibri" w:hAnsi="Arial" w:cs="Arial"/>
                <w:b/>
                <w:sz w:val="16"/>
                <w:szCs w:val="20"/>
              </w:rPr>
            </w:pPr>
            <w:r w:rsidRPr="007671E2">
              <w:rPr>
                <w:rFonts w:ascii="Arial" w:eastAsia="Calibri" w:hAnsi="Arial" w:cs="Arial"/>
                <w:b/>
                <w:sz w:val="16"/>
                <w:szCs w:val="20"/>
              </w:rPr>
              <w:t>Wave 1 (n=2,009)</w:t>
            </w:r>
          </w:p>
        </w:tc>
        <w:tc>
          <w:tcPr>
            <w:tcW w:w="1701" w:type="dxa"/>
          </w:tcPr>
          <w:p w14:paraId="66975430" w14:textId="77777777" w:rsidR="00596F3D" w:rsidRPr="007671E2" w:rsidRDefault="00596F3D" w:rsidP="00596F3D">
            <w:pPr>
              <w:jc w:val="center"/>
              <w:rPr>
                <w:rFonts w:ascii="Arial" w:eastAsia="Calibri" w:hAnsi="Arial" w:cs="Arial"/>
                <w:b/>
                <w:sz w:val="16"/>
                <w:szCs w:val="20"/>
              </w:rPr>
            </w:pPr>
            <w:proofErr w:type="spellStart"/>
            <w:r w:rsidRPr="007671E2">
              <w:rPr>
                <w:rFonts w:ascii="Arial" w:eastAsia="Calibri" w:hAnsi="Arial" w:cs="Arial"/>
                <w:b/>
                <w:sz w:val="16"/>
                <w:szCs w:val="20"/>
              </w:rPr>
              <w:t>Neighbourhoods</w:t>
            </w:r>
            <w:proofErr w:type="spellEnd"/>
            <w:r w:rsidRPr="007671E2">
              <w:rPr>
                <w:rFonts w:ascii="Arial" w:eastAsia="Calibri" w:hAnsi="Arial" w:cs="Arial"/>
                <w:b/>
                <w:sz w:val="16"/>
                <w:szCs w:val="20"/>
              </w:rPr>
              <w:t xml:space="preserve"> for Learning</w:t>
            </w:r>
          </w:p>
          <w:p w14:paraId="5685AE4C" w14:textId="77777777" w:rsidR="00596F3D" w:rsidRPr="007671E2" w:rsidRDefault="00596F3D" w:rsidP="00596F3D">
            <w:pPr>
              <w:jc w:val="center"/>
              <w:rPr>
                <w:rFonts w:ascii="Arial" w:eastAsia="Calibri" w:hAnsi="Arial" w:cs="Arial"/>
                <w:b/>
                <w:sz w:val="16"/>
                <w:szCs w:val="20"/>
              </w:rPr>
            </w:pPr>
            <w:r w:rsidRPr="007671E2">
              <w:rPr>
                <w:rFonts w:ascii="Arial" w:eastAsia="Calibri" w:hAnsi="Arial" w:cs="Arial"/>
                <w:b/>
                <w:sz w:val="16"/>
                <w:szCs w:val="20"/>
              </w:rPr>
              <w:t>Wave 2 (n=2,026)</w:t>
            </w:r>
          </w:p>
        </w:tc>
        <w:tc>
          <w:tcPr>
            <w:tcW w:w="1701" w:type="dxa"/>
          </w:tcPr>
          <w:p w14:paraId="617C72EC" w14:textId="77777777" w:rsidR="00596F3D" w:rsidRPr="007671E2" w:rsidRDefault="009705FE" w:rsidP="00596F3D">
            <w:pPr>
              <w:jc w:val="center"/>
              <w:rPr>
                <w:rFonts w:ascii="Arial" w:eastAsia="Calibri" w:hAnsi="Arial" w:cs="Arial"/>
                <w:b/>
                <w:sz w:val="16"/>
                <w:szCs w:val="20"/>
              </w:rPr>
            </w:pPr>
            <w:r w:rsidRPr="007671E2">
              <w:rPr>
                <w:rFonts w:ascii="Arial" w:eastAsia="Calibri" w:hAnsi="Arial" w:cs="Arial"/>
                <w:b/>
                <w:sz w:val="16"/>
                <w:szCs w:val="20"/>
              </w:rPr>
              <w:t xml:space="preserve">Disadvantaged </w:t>
            </w:r>
            <w:r w:rsidR="00596F3D" w:rsidRPr="007671E2">
              <w:rPr>
                <w:rFonts w:ascii="Arial" w:eastAsia="Calibri" w:hAnsi="Arial" w:cs="Arial"/>
                <w:b/>
                <w:sz w:val="16"/>
                <w:szCs w:val="20"/>
              </w:rPr>
              <w:t>Comparator areas</w:t>
            </w:r>
          </w:p>
          <w:p w14:paraId="7E51B55A" w14:textId="77777777" w:rsidR="00596F3D" w:rsidRPr="007671E2" w:rsidRDefault="00596F3D" w:rsidP="00596F3D">
            <w:pPr>
              <w:jc w:val="center"/>
              <w:rPr>
                <w:rFonts w:ascii="Arial" w:eastAsia="Calibri" w:hAnsi="Arial" w:cs="Arial"/>
                <w:b/>
                <w:sz w:val="16"/>
                <w:szCs w:val="20"/>
              </w:rPr>
            </w:pPr>
            <w:r w:rsidRPr="007671E2">
              <w:rPr>
                <w:rFonts w:ascii="Arial" w:eastAsia="Calibri" w:hAnsi="Arial" w:cs="Arial"/>
                <w:b/>
                <w:sz w:val="16"/>
                <w:szCs w:val="20"/>
              </w:rPr>
              <w:t>Wave 1 (n=1,501)</w:t>
            </w:r>
          </w:p>
        </w:tc>
        <w:tc>
          <w:tcPr>
            <w:tcW w:w="1984" w:type="dxa"/>
          </w:tcPr>
          <w:p w14:paraId="1FA733EF" w14:textId="77777777" w:rsidR="00596F3D" w:rsidRPr="007671E2" w:rsidRDefault="00596F3D" w:rsidP="00596F3D">
            <w:pPr>
              <w:jc w:val="center"/>
              <w:rPr>
                <w:rFonts w:ascii="Arial" w:eastAsia="Calibri" w:hAnsi="Arial" w:cs="Arial"/>
                <w:b/>
                <w:sz w:val="16"/>
                <w:szCs w:val="20"/>
              </w:rPr>
            </w:pPr>
            <w:r w:rsidRPr="007671E2">
              <w:rPr>
                <w:rFonts w:ascii="Arial" w:eastAsia="Calibri" w:hAnsi="Arial" w:cs="Arial"/>
                <w:b/>
                <w:sz w:val="16"/>
                <w:szCs w:val="20"/>
              </w:rPr>
              <w:t>Comparator areas</w:t>
            </w:r>
          </w:p>
          <w:p w14:paraId="6C802393" w14:textId="77777777" w:rsidR="00596F3D" w:rsidRPr="007671E2" w:rsidRDefault="00596F3D" w:rsidP="00596F3D">
            <w:pPr>
              <w:jc w:val="center"/>
              <w:rPr>
                <w:rFonts w:ascii="Arial" w:eastAsia="Calibri" w:hAnsi="Arial" w:cs="Arial"/>
                <w:b/>
                <w:sz w:val="16"/>
                <w:szCs w:val="20"/>
              </w:rPr>
            </w:pPr>
            <w:r w:rsidRPr="007671E2">
              <w:rPr>
                <w:rFonts w:ascii="Arial" w:eastAsia="Calibri" w:hAnsi="Arial" w:cs="Arial"/>
                <w:b/>
                <w:sz w:val="16"/>
                <w:szCs w:val="20"/>
              </w:rPr>
              <w:t>Wave 2 (n=1386)</w:t>
            </w:r>
          </w:p>
        </w:tc>
        <w:tc>
          <w:tcPr>
            <w:tcW w:w="2268" w:type="dxa"/>
          </w:tcPr>
          <w:p w14:paraId="0AE1B0BF" w14:textId="77777777" w:rsidR="00596F3D" w:rsidRPr="007671E2" w:rsidRDefault="009705FE" w:rsidP="00596F3D">
            <w:pPr>
              <w:jc w:val="center"/>
              <w:rPr>
                <w:rFonts w:ascii="Arial" w:eastAsia="Calibri" w:hAnsi="Arial" w:cs="Arial"/>
                <w:b/>
                <w:sz w:val="16"/>
                <w:szCs w:val="20"/>
              </w:rPr>
            </w:pPr>
            <w:r w:rsidRPr="007671E2">
              <w:rPr>
                <w:rFonts w:ascii="Arial" w:eastAsia="Calibri" w:hAnsi="Arial" w:cs="Arial"/>
                <w:b/>
                <w:sz w:val="16"/>
                <w:szCs w:val="20"/>
              </w:rPr>
              <w:t>Relatively Advantaged</w:t>
            </w:r>
            <w:r w:rsidR="00596F3D" w:rsidRPr="007671E2">
              <w:rPr>
                <w:rFonts w:ascii="Arial" w:eastAsia="Calibri" w:hAnsi="Arial" w:cs="Arial"/>
                <w:b/>
                <w:sz w:val="16"/>
                <w:szCs w:val="20"/>
              </w:rPr>
              <w:t xml:space="preserve"> areas </w:t>
            </w:r>
          </w:p>
          <w:p w14:paraId="0F464A0F" w14:textId="77777777" w:rsidR="00596F3D" w:rsidRPr="007671E2" w:rsidRDefault="00596F3D" w:rsidP="00596F3D">
            <w:pPr>
              <w:jc w:val="center"/>
              <w:rPr>
                <w:rFonts w:ascii="Arial" w:eastAsia="Calibri" w:hAnsi="Arial" w:cs="Arial"/>
                <w:b/>
                <w:sz w:val="16"/>
                <w:szCs w:val="20"/>
              </w:rPr>
            </w:pPr>
            <w:r w:rsidRPr="007671E2">
              <w:rPr>
                <w:rFonts w:ascii="Arial" w:eastAsia="Calibri" w:hAnsi="Arial" w:cs="Arial"/>
                <w:b/>
                <w:sz w:val="16"/>
                <w:szCs w:val="20"/>
              </w:rPr>
              <w:t>Wave 1 (n=809)</w:t>
            </w:r>
          </w:p>
        </w:tc>
      </w:tr>
      <w:tr w:rsidR="00596F3D" w:rsidRPr="007671E2" w14:paraId="69A4F2A4" w14:textId="77777777" w:rsidTr="007671E2">
        <w:tc>
          <w:tcPr>
            <w:tcW w:w="2552" w:type="dxa"/>
          </w:tcPr>
          <w:p w14:paraId="41A6EAE6"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Age,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3B8E4562"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18-24 </w:t>
            </w:r>
            <w:proofErr w:type="spellStart"/>
            <w:r w:rsidRPr="007671E2">
              <w:rPr>
                <w:rFonts w:ascii="Arial" w:eastAsia="Calibri" w:hAnsi="Arial" w:cs="Arial"/>
                <w:sz w:val="16"/>
                <w:szCs w:val="20"/>
              </w:rPr>
              <w:t>yrs</w:t>
            </w:r>
            <w:proofErr w:type="spellEnd"/>
          </w:p>
          <w:p w14:paraId="5C08938C"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25-34 </w:t>
            </w:r>
            <w:proofErr w:type="spellStart"/>
            <w:r w:rsidRPr="007671E2">
              <w:rPr>
                <w:rFonts w:ascii="Arial" w:eastAsia="Calibri" w:hAnsi="Arial" w:cs="Arial"/>
                <w:sz w:val="16"/>
                <w:szCs w:val="20"/>
              </w:rPr>
              <w:t>yrs</w:t>
            </w:r>
            <w:proofErr w:type="spellEnd"/>
          </w:p>
          <w:p w14:paraId="50113E9F"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35-44 </w:t>
            </w:r>
            <w:proofErr w:type="spellStart"/>
            <w:r w:rsidRPr="007671E2">
              <w:rPr>
                <w:rFonts w:ascii="Arial" w:eastAsia="Calibri" w:hAnsi="Arial" w:cs="Arial"/>
                <w:sz w:val="16"/>
                <w:szCs w:val="20"/>
              </w:rPr>
              <w:t>yrs</w:t>
            </w:r>
            <w:proofErr w:type="spellEnd"/>
          </w:p>
          <w:p w14:paraId="409C2EA8"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45-54 </w:t>
            </w:r>
            <w:proofErr w:type="spellStart"/>
            <w:r w:rsidRPr="007671E2">
              <w:rPr>
                <w:rFonts w:ascii="Arial" w:eastAsia="Calibri" w:hAnsi="Arial" w:cs="Arial"/>
                <w:sz w:val="16"/>
                <w:szCs w:val="20"/>
              </w:rPr>
              <w:t>yrs</w:t>
            </w:r>
            <w:proofErr w:type="spellEnd"/>
          </w:p>
          <w:p w14:paraId="42B6B527"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55-64 </w:t>
            </w:r>
            <w:proofErr w:type="spellStart"/>
            <w:r w:rsidRPr="007671E2">
              <w:rPr>
                <w:rFonts w:ascii="Arial" w:eastAsia="Calibri" w:hAnsi="Arial" w:cs="Arial"/>
                <w:sz w:val="16"/>
                <w:szCs w:val="20"/>
              </w:rPr>
              <w:t>yrs</w:t>
            </w:r>
            <w:proofErr w:type="spellEnd"/>
          </w:p>
          <w:p w14:paraId="76507600"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65-74 </w:t>
            </w:r>
            <w:proofErr w:type="spellStart"/>
            <w:r w:rsidRPr="007671E2">
              <w:rPr>
                <w:rFonts w:ascii="Arial" w:eastAsia="Calibri" w:hAnsi="Arial" w:cs="Arial"/>
                <w:sz w:val="16"/>
                <w:szCs w:val="20"/>
              </w:rPr>
              <w:t>yrs</w:t>
            </w:r>
            <w:proofErr w:type="spellEnd"/>
          </w:p>
          <w:p w14:paraId="07CBE03B"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75+</w:t>
            </w:r>
          </w:p>
        </w:tc>
        <w:tc>
          <w:tcPr>
            <w:tcW w:w="1701" w:type="dxa"/>
          </w:tcPr>
          <w:p w14:paraId="3365DF39" w14:textId="77777777" w:rsidR="00596F3D" w:rsidRPr="007671E2" w:rsidRDefault="00596F3D" w:rsidP="00596F3D">
            <w:pPr>
              <w:jc w:val="center"/>
              <w:rPr>
                <w:rFonts w:ascii="Arial" w:eastAsia="Calibri" w:hAnsi="Arial" w:cs="Arial"/>
                <w:sz w:val="16"/>
                <w:szCs w:val="20"/>
              </w:rPr>
            </w:pPr>
          </w:p>
          <w:p w14:paraId="6631527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240 (12.0)</w:t>
            </w:r>
          </w:p>
          <w:p w14:paraId="0D367BE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391 (19.4)</w:t>
            </w:r>
          </w:p>
          <w:p w14:paraId="7E3AFA8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325 (16.2)</w:t>
            </w:r>
          </w:p>
          <w:p w14:paraId="37A9985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302 (15.0)</w:t>
            </w:r>
          </w:p>
          <w:p w14:paraId="0046C56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262 (13.0)</w:t>
            </w:r>
          </w:p>
          <w:p w14:paraId="360F10C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271 (13.5)</w:t>
            </w:r>
          </w:p>
          <w:p w14:paraId="7B03636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218 (10.9)</w:t>
            </w:r>
          </w:p>
        </w:tc>
        <w:tc>
          <w:tcPr>
            <w:tcW w:w="1701" w:type="dxa"/>
          </w:tcPr>
          <w:p w14:paraId="4C096F16" w14:textId="77777777" w:rsidR="00596F3D" w:rsidRPr="007671E2" w:rsidRDefault="00596F3D" w:rsidP="00596F3D">
            <w:pPr>
              <w:jc w:val="center"/>
              <w:rPr>
                <w:rFonts w:ascii="Arial" w:eastAsia="Calibri" w:hAnsi="Arial" w:cs="Arial"/>
                <w:sz w:val="16"/>
                <w:szCs w:val="20"/>
              </w:rPr>
            </w:pPr>
          </w:p>
          <w:p w14:paraId="20F784D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210 (10.4)</w:t>
            </w:r>
          </w:p>
          <w:p w14:paraId="52AF405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370 (18.3)</w:t>
            </w:r>
          </w:p>
          <w:p w14:paraId="2844DB9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308 (15.2)</w:t>
            </w:r>
          </w:p>
          <w:p w14:paraId="74AA203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316 (15.6)</w:t>
            </w:r>
          </w:p>
          <w:p w14:paraId="3DA242A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302 (14.9)</w:t>
            </w:r>
          </w:p>
          <w:p w14:paraId="14E30F4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297 (14.7)</w:t>
            </w:r>
          </w:p>
          <w:p w14:paraId="65CEDDA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218 (10.8)</w:t>
            </w:r>
          </w:p>
        </w:tc>
        <w:tc>
          <w:tcPr>
            <w:tcW w:w="1701" w:type="dxa"/>
          </w:tcPr>
          <w:p w14:paraId="4C194F77" w14:textId="77777777" w:rsidR="00596F3D" w:rsidRPr="007671E2" w:rsidRDefault="00596F3D" w:rsidP="00596F3D">
            <w:pPr>
              <w:jc w:val="center"/>
              <w:rPr>
                <w:rFonts w:ascii="Arial" w:eastAsia="Calibri" w:hAnsi="Arial" w:cs="Arial"/>
                <w:sz w:val="16"/>
                <w:szCs w:val="20"/>
              </w:rPr>
            </w:pPr>
          </w:p>
          <w:p w14:paraId="020A6A3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128 (8.53)</w:t>
            </w:r>
          </w:p>
          <w:p w14:paraId="649A701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284 (18.92)</w:t>
            </w:r>
          </w:p>
          <w:p w14:paraId="13CBED18"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226 (15.06)</w:t>
            </w:r>
          </w:p>
          <w:p w14:paraId="1153730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245 (16.32)</w:t>
            </w:r>
          </w:p>
          <w:p w14:paraId="4971C8E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248 (16.52)</w:t>
            </w:r>
          </w:p>
          <w:p w14:paraId="2D3570E8"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186 (12.39)</w:t>
            </w:r>
          </w:p>
          <w:p w14:paraId="76393B1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183 (12.19)</w:t>
            </w:r>
          </w:p>
        </w:tc>
        <w:tc>
          <w:tcPr>
            <w:tcW w:w="1984" w:type="dxa"/>
          </w:tcPr>
          <w:p w14:paraId="0C9CADC9" w14:textId="77777777" w:rsidR="00596F3D" w:rsidRPr="007671E2" w:rsidRDefault="00596F3D" w:rsidP="00596F3D">
            <w:pPr>
              <w:jc w:val="center"/>
              <w:rPr>
                <w:rFonts w:ascii="Arial" w:eastAsia="Calibri" w:hAnsi="Arial" w:cs="Arial"/>
                <w:sz w:val="16"/>
                <w:szCs w:val="20"/>
              </w:rPr>
            </w:pPr>
          </w:p>
          <w:p w14:paraId="71C3B5F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116 (8.4)</w:t>
            </w:r>
          </w:p>
          <w:p w14:paraId="7C2966B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266 (19.2)</w:t>
            </w:r>
          </w:p>
          <w:p w14:paraId="5B55DF6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229 (16.5)</w:t>
            </w:r>
          </w:p>
          <w:p w14:paraId="0869694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211 (15.2)</w:t>
            </w:r>
          </w:p>
          <w:p w14:paraId="4EF8E5B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204 (14.7)</w:t>
            </w:r>
          </w:p>
          <w:p w14:paraId="3D909EC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206 (14.9)</w:t>
            </w:r>
          </w:p>
          <w:p w14:paraId="70280C3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150 (10.8)</w:t>
            </w:r>
          </w:p>
        </w:tc>
        <w:tc>
          <w:tcPr>
            <w:tcW w:w="2268" w:type="dxa"/>
          </w:tcPr>
          <w:p w14:paraId="4B695E3D" w14:textId="77777777" w:rsidR="00596F3D" w:rsidRPr="007671E2" w:rsidRDefault="00596F3D" w:rsidP="00596F3D">
            <w:pPr>
              <w:jc w:val="center"/>
              <w:rPr>
                <w:rFonts w:ascii="Arial" w:eastAsia="Calibri" w:hAnsi="Arial" w:cs="Arial"/>
                <w:sz w:val="16"/>
                <w:szCs w:val="20"/>
              </w:rPr>
            </w:pPr>
          </w:p>
          <w:p w14:paraId="2451364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53 (6.55)</w:t>
            </w:r>
          </w:p>
          <w:p w14:paraId="5A9C461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98 (12.11)</w:t>
            </w:r>
          </w:p>
          <w:p w14:paraId="383ABE3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114 (14.09)</w:t>
            </w:r>
          </w:p>
          <w:p w14:paraId="409F611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143 (17.68)</w:t>
            </w:r>
          </w:p>
          <w:p w14:paraId="3D5BF8B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129 (15.95)</w:t>
            </w:r>
          </w:p>
          <w:p w14:paraId="0C620E2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159 (19.65)</w:t>
            </w:r>
          </w:p>
          <w:p w14:paraId="28C6B1E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112 (13.84)</w:t>
            </w:r>
          </w:p>
        </w:tc>
      </w:tr>
      <w:tr w:rsidR="00596F3D" w:rsidRPr="007671E2" w14:paraId="4D445706" w14:textId="77777777" w:rsidTr="007671E2">
        <w:tc>
          <w:tcPr>
            <w:tcW w:w="2552" w:type="dxa"/>
          </w:tcPr>
          <w:p w14:paraId="77FD6F17"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Gender,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509BCCAD"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Male</w:t>
            </w:r>
          </w:p>
          <w:p w14:paraId="0407E47D"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Female</w:t>
            </w:r>
          </w:p>
        </w:tc>
        <w:tc>
          <w:tcPr>
            <w:tcW w:w="1701" w:type="dxa"/>
          </w:tcPr>
          <w:p w14:paraId="3DD54882" w14:textId="77777777" w:rsidR="00596F3D" w:rsidRPr="007671E2" w:rsidRDefault="00596F3D" w:rsidP="00596F3D">
            <w:pPr>
              <w:jc w:val="center"/>
              <w:rPr>
                <w:rFonts w:ascii="Arial" w:eastAsia="Calibri" w:hAnsi="Arial" w:cs="Arial"/>
                <w:sz w:val="16"/>
                <w:szCs w:val="20"/>
              </w:rPr>
            </w:pPr>
          </w:p>
          <w:p w14:paraId="3A4B667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856 (42.6)</w:t>
            </w:r>
          </w:p>
          <w:p w14:paraId="79A5ADE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1,153 (57.4)</w:t>
            </w:r>
          </w:p>
        </w:tc>
        <w:tc>
          <w:tcPr>
            <w:tcW w:w="1701" w:type="dxa"/>
          </w:tcPr>
          <w:p w14:paraId="640D613D" w14:textId="77777777" w:rsidR="00596F3D" w:rsidRPr="007671E2" w:rsidRDefault="00596F3D" w:rsidP="00596F3D">
            <w:pPr>
              <w:jc w:val="center"/>
              <w:rPr>
                <w:rFonts w:ascii="Arial" w:eastAsia="Calibri" w:hAnsi="Arial" w:cs="Arial"/>
                <w:sz w:val="16"/>
                <w:szCs w:val="20"/>
              </w:rPr>
            </w:pPr>
          </w:p>
          <w:p w14:paraId="705857C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910 (44.9)</w:t>
            </w:r>
          </w:p>
          <w:p w14:paraId="082C0F0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1116 (55.1)</w:t>
            </w:r>
          </w:p>
        </w:tc>
        <w:tc>
          <w:tcPr>
            <w:tcW w:w="1701" w:type="dxa"/>
          </w:tcPr>
          <w:p w14:paraId="1D48B60A" w14:textId="77777777" w:rsidR="00596F3D" w:rsidRPr="007671E2" w:rsidRDefault="00596F3D" w:rsidP="00596F3D">
            <w:pPr>
              <w:jc w:val="center"/>
              <w:rPr>
                <w:rFonts w:ascii="Arial" w:eastAsia="Calibri" w:hAnsi="Arial" w:cs="Arial"/>
                <w:sz w:val="16"/>
                <w:szCs w:val="20"/>
              </w:rPr>
            </w:pPr>
          </w:p>
          <w:p w14:paraId="097C703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625 (41.6)</w:t>
            </w:r>
          </w:p>
          <w:p w14:paraId="05E95B2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876 (58.4)</w:t>
            </w:r>
          </w:p>
        </w:tc>
        <w:tc>
          <w:tcPr>
            <w:tcW w:w="1984" w:type="dxa"/>
          </w:tcPr>
          <w:p w14:paraId="645B907B" w14:textId="77777777" w:rsidR="00596F3D" w:rsidRPr="007671E2" w:rsidRDefault="00596F3D" w:rsidP="00596F3D">
            <w:pPr>
              <w:jc w:val="center"/>
              <w:rPr>
                <w:rFonts w:ascii="Arial" w:eastAsia="Calibri" w:hAnsi="Arial" w:cs="Arial"/>
                <w:sz w:val="16"/>
                <w:szCs w:val="20"/>
              </w:rPr>
            </w:pPr>
          </w:p>
          <w:p w14:paraId="27C2B54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580 (41.9)</w:t>
            </w:r>
          </w:p>
          <w:p w14:paraId="73B1ECB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806 (58.15)</w:t>
            </w:r>
          </w:p>
        </w:tc>
        <w:tc>
          <w:tcPr>
            <w:tcW w:w="2268" w:type="dxa"/>
          </w:tcPr>
          <w:p w14:paraId="0BD2121A" w14:textId="77777777" w:rsidR="00596F3D" w:rsidRPr="007671E2" w:rsidRDefault="00596F3D" w:rsidP="00596F3D">
            <w:pPr>
              <w:jc w:val="center"/>
              <w:rPr>
                <w:rFonts w:ascii="Arial" w:eastAsia="Calibri" w:hAnsi="Arial" w:cs="Arial"/>
                <w:sz w:val="16"/>
                <w:szCs w:val="20"/>
              </w:rPr>
            </w:pPr>
          </w:p>
          <w:p w14:paraId="150D3428"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373 (46.1)</w:t>
            </w:r>
          </w:p>
          <w:p w14:paraId="3696ABA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436 (53.9)</w:t>
            </w:r>
          </w:p>
        </w:tc>
      </w:tr>
      <w:tr w:rsidR="00596F3D" w:rsidRPr="007671E2" w14:paraId="415B077A" w14:textId="77777777" w:rsidTr="007671E2">
        <w:tc>
          <w:tcPr>
            <w:tcW w:w="2552" w:type="dxa"/>
          </w:tcPr>
          <w:p w14:paraId="51CB58D8"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Ethnicity,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011C443E"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White</w:t>
            </w:r>
          </w:p>
          <w:p w14:paraId="3472B5F9"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BME</w:t>
            </w:r>
          </w:p>
        </w:tc>
        <w:tc>
          <w:tcPr>
            <w:tcW w:w="1701" w:type="dxa"/>
          </w:tcPr>
          <w:p w14:paraId="2FBBD4D2" w14:textId="77777777" w:rsidR="00596F3D" w:rsidRPr="007671E2" w:rsidRDefault="00596F3D" w:rsidP="00596F3D">
            <w:pPr>
              <w:jc w:val="center"/>
              <w:rPr>
                <w:rFonts w:ascii="Arial" w:eastAsia="Calibri" w:hAnsi="Arial" w:cs="Arial"/>
                <w:sz w:val="16"/>
                <w:szCs w:val="20"/>
              </w:rPr>
            </w:pPr>
          </w:p>
          <w:p w14:paraId="53E0469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1,790 (89.2)</w:t>
            </w:r>
          </w:p>
          <w:p w14:paraId="5E008C7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217 (10.8)</w:t>
            </w:r>
          </w:p>
        </w:tc>
        <w:tc>
          <w:tcPr>
            <w:tcW w:w="1701" w:type="dxa"/>
          </w:tcPr>
          <w:p w14:paraId="561AB582" w14:textId="77777777" w:rsidR="00596F3D" w:rsidRPr="007671E2" w:rsidRDefault="00596F3D" w:rsidP="00596F3D">
            <w:pPr>
              <w:jc w:val="center"/>
              <w:rPr>
                <w:rFonts w:ascii="Arial" w:eastAsia="Calibri" w:hAnsi="Arial" w:cs="Arial"/>
                <w:sz w:val="16"/>
                <w:szCs w:val="20"/>
              </w:rPr>
            </w:pPr>
          </w:p>
          <w:p w14:paraId="59B2201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1800 (89.6)</w:t>
            </w:r>
          </w:p>
          <w:p w14:paraId="21868A8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209 (10.4)</w:t>
            </w:r>
          </w:p>
        </w:tc>
        <w:tc>
          <w:tcPr>
            <w:tcW w:w="1701" w:type="dxa"/>
          </w:tcPr>
          <w:p w14:paraId="417CDA92" w14:textId="77777777" w:rsidR="00596F3D" w:rsidRPr="007671E2" w:rsidRDefault="00596F3D" w:rsidP="00596F3D">
            <w:pPr>
              <w:jc w:val="center"/>
              <w:rPr>
                <w:rFonts w:ascii="Arial" w:eastAsia="Calibri" w:hAnsi="Arial" w:cs="Arial"/>
                <w:sz w:val="16"/>
                <w:szCs w:val="20"/>
              </w:rPr>
            </w:pPr>
          </w:p>
          <w:p w14:paraId="6DD9ED1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1,348 (90.1)</w:t>
            </w:r>
          </w:p>
          <w:p w14:paraId="5C69E50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149 (9.9)</w:t>
            </w:r>
          </w:p>
        </w:tc>
        <w:tc>
          <w:tcPr>
            <w:tcW w:w="1984" w:type="dxa"/>
          </w:tcPr>
          <w:p w14:paraId="6583E447" w14:textId="77777777" w:rsidR="00596F3D" w:rsidRPr="007671E2" w:rsidRDefault="00596F3D" w:rsidP="00596F3D">
            <w:pPr>
              <w:jc w:val="center"/>
              <w:rPr>
                <w:rFonts w:ascii="Arial" w:eastAsia="Calibri" w:hAnsi="Arial" w:cs="Arial"/>
                <w:sz w:val="16"/>
                <w:szCs w:val="20"/>
              </w:rPr>
            </w:pPr>
          </w:p>
          <w:p w14:paraId="0FD9747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1228 (89.5)</w:t>
            </w:r>
          </w:p>
          <w:p w14:paraId="2456296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144 (10.5)</w:t>
            </w:r>
          </w:p>
        </w:tc>
        <w:tc>
          <w:tcPr>
            <w:tcW w:w="2268" w:type="dxa"/>
          </w:tcPr>
          <w:p w14:paraId="187E963B" w14:textId="77777777" w:rsidR="00596F3D" w:rsidRPr="007671E2" w:rsidRDefault="00596F3D" w:rsidP="00596F3D">
            <w:pPr>
              <w:jc w:val="center"/>
              <w:rPr>
                <w:rFonts w:ascii="Arial" w:eastAsia="Calibri" w:hAnsi="Arial" w:cs="Arial"/>
                <w:sz w:val="16"/>
                <w:szCs w:val="20"/>
              </w:rPr>
            </w:pPr>
          </w:p>
          <w:p w14:paraId="4B56120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717 (89.0)</w:t>
            </w:r>
          </w:p>
          <w:p w14:paraId="3FFF548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89 (11.0)</w:t>
            </w:r>
          </w:p>
        </w:tc>
      </w:tr>
      <w:tr w:rsidR="00596F3D" w:rsidRPr="007671E2" w14:paraId="3200700B" w14:textId="77777777" w:rsidTr="007671E2">
        <w:tc>
          <w:tcPr>
            <w:tcW w:w="2552" w:type="dxa"/>
          </w:tcPr>
          <w:p w14:paraId="5C3AA8E3"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Education,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516DF6F0"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No qualifications</w:t>
            </w:r>
          </w:p>
          <w:p w14:paraId="02A7334D"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Certificate</w:t>
            </w:r>
          </w:p>
          <w:p w14:paraId="6367C9D7"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Degree/higher</w:t>
            </w:r>
          </w:p>
        </w:tc>
        <w:tc>
          <w:tcPr>
            <w:tcW w:w="1701" w:type="dxa"/>
          </w:tcPr>
          <w:p w14:paraId="1FB73824" w14:textId="77777777" w:rsidR="00596F3D" w:rsidRPr="007671E2" w:rsidRDefault="00596F3D" w:rsidP="00596F3D">
            <w:pPr>
              <w:jc w:val="center"/>
              <w:rPr>
                <w:rFonts w:ascii="Arial" w:eastAsia="Calibri" w:hAnsi="Arial" w:cs="Arial"/>
                <w:sz w:val="16"/>
                <w:szCs w:val="20"/>
              </w:rPr>
            </w:pPr>
          </w:p>
          <w:p w14:paraId="52F1914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903 (45.0)</w:t>
            </w:r>
          </w:p>
          <w:p w14:paraId="185FF0B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867 (43.3)</w:t>
            </w:r>
          </w:p>
          <w:p w14:paraId="33A3849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235 (11.7)</w:t>
            </w:r>
          </w:p>
        </w:tc>
        <w:tc>
          <w:tcPr>
            <w:tcW w:w="1701" w:type="dxa"/>
          </w:tcPr>
          <w:p w14:paraId="232246FC" w14:textId="77777777" w:rsidR="00596F3D" w:rsidRPr="007671E2" w:rsidRDefault="00596F3D" w:rsidP="00596F3D">
            <w:pPr>
              <w:jc w:val="center"/>
              <w:rPr>
                <w:rFonts w:ascii="Arial" w:eastAsia="Calibri" w:hAnsi="Arial" w:cs="Arial"/>
                <w:sz w:val="16"/>
                <w:szCs w:val="20"/>
              </w:rPr>
            </w:pPr>
          </w:p>
          <w:p w14:paraId="7509F8E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844 (41.7)</w:t>
            </w:r>
          </w:p>
          <w:p w14:paraId="1A9DA69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923 (45.6)</w:t>
            </w:r>
          </w:p>
          <w:p w14:paraId="2D0C69B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257 (12.7)</w:t>
            </w:r>
          </w:p>
        </w:tc>
        <w:tc>
          <w:tcPr>
            <w:tcW w:w="1701" w:type="dxa"/>
          </w:tcPr>
          <w:p w14:paraId="503F4A52" w14:textId="77777777" w:rsidR="00596F3D" w:rsidRPr="007671E2" w:rsidRDefault="00596F3D" w:rsidP="00596F3D">
            <w:pPr>
              <w:jc w:val="center"/>
              <w:rPr>
                <w:rFonts w:ascii="Arial" w:eastAsia="Calibri" w:hAnsi="Arial" w:cs="Arial"/>
                <w:sz w:val="16"/>
                <w:szCs w:val="20"/>
              </w:rPr>
            </w:pPr>
          </w:p>
          <w:p w14:paraId="27130D4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613 (41.0)</w:t>
            </w:r>
          </w:p>
          <w:p w14:paraId="20F0F5F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712 (47.6)</w:t>
            </w:r>
          </w:p>
          <w:p w14:paraId="5719062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170 (11.4)</w:t>
            </w:r>
          </w:p>
        </w:tc>
        <w:tc>
          <w:tcPr>
            <w:tcW w:w="1984" w:type="dxa"/>
          </w:tcPr>
          <w:p w14:paraId="760D146D" w14:textId="77777777" w:rsidR="00596F3D" w:rsidRPr="007671E2" w:rsidRDefault="00596F3D" w:rsidP="00596F3D">
            <w:pPr>
              <w:jc w:val="center"/>
              <w:rPr>
                <w:rFonts w:ascii="Arial" w:eastAsia="Calibri" w:hAnsi="Arial" w:cs="Arial"/>
                <w:sz w:val="16"/>
                <w:szCs w:val="20"/>
              </w:rPr>
            </w:pPr>
          </w:p>
          <w:p w14:paraId="6ED57DC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542 (39.2)</w:t>
            </w:r>
          </w:p>
          <w:p w14:paraId="0F470F9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652 (47.1)</w:t>
            </w:r>
          </w:p>
          <w:p w14:paraId="342DD4A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 xml:space="preserve">190 (13.7)    </w:t>
            </w:r>
          </w:p>
        </w:tc>
        <w:tc>
          <w:tcPr>
            <w:tcW w:w="2268" w:type="dxa"/>
          </w:tcPr>
          <w:p w14:paraId="5D448287" w14:textId="77777777" w:rsidR="00596F3D" w:rsidRPr="007671E2" w:rsidRDefault="00596F3D" w:rsidP="00596F3D">
            <w:pPr>
              <w:jc w:val="center"/>
              <w:rPr>
                <w:rFonts w:ascii="Arial" w:eastAsia="Calibri" w:hAnsi="Arial" w:cs="Arial"/>
                <w:sz w:val="16"/>
                <w:szCs w:val="20"/>
              </w:rPr>
            </w:pPr>
          </w:p>
          <w:p w14:paraId="2850702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202 (25.0)</w:t>
            </w:r>
          </w:p>
          <w:p w14:paraId="30EB4C5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352 (43.6)</w:t>
            </w:r>
          </w:p>
          <w:p w14:paraId="4DDCFDC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254 (31.4)</w:t>
            </w:r>
          </w:p>
        </w:tc>
      </w:tr>
      <w:tr w:rsidR="00596F3D" w:rsidRPr="007671E2" w14:paraId="1B18D8CC" w14:textId="77777777" w:rsidTr="007671E2">
        <w:tc>
          <w:tcPr>
            <w:tcW w:w="2552" w:type="dxa"/>
          </w:tcPr>
          <w:p w14:paraId="55D72B0A"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Employment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3A9AFEB1"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Paid </w:t>
            </w:r>
          </w:p>
          <w:p w14:paraId="6729A0E5"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Studying</w:t>
            </w:r>
          </w:p>
          <w:p w14:paraId="430E4DCE"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Looking for work</w:t>
            </w:r>
          </w:p>
          <w:p w14:paraId="16CB9ECC"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Unable due to illness</w:t>
            </w:r>
          </w:p>
          <w:p w14:paraId="1C97AC1D"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Retired</w:t>
            </w:r>
          </w:p>
          <w:p w14:paraId="01B28A43"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Homemaker</w:t>
            </w:r>
          </w:p>
          <w:p w14:paraId="396EE8E2"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Other</w:t>
            </w:r>
          </w:p>
        </w:tc>
        <w:tc>
          <w:tcPr>
            <w:tcW w:w="1701" w:type="dxa"/>
          </w:tcPr>
          <w:p w14:paraId="6EE8F6F3" w14:textId="77777777" w:rsidR="00596F3D" w:rsidRPr="007671E2" w:rsidRDefault="00596F3D" w:rsidP="00596F3D">
            <w:pPr>
              <w:jc w:val="center"/>
              <w:rPr>
                <w:rFonts w:ascii="Arial" w:eastAsia="Calibri" w:hAnsi="Arial" w:cs="Arial"/>
                <w:sz w:val="16"/>
                <w:szCs w:val="20"/>
              </w:rPr>
            </w:pPr>
          </w:p>
          <w:p w14:paraId="7A56B8B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742 (37.0)</w:t>
            </w:r>
          </w:p>
          <w:p w14:paraId="6BFA439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91 (4.5)</w:t>
            </w:r>
          </w:p>
          <w:p w14:paraId="7AFFC75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128 (6.4)</w:t>
            </w:r>
          </w:p>
          <w:p w14:paraId="418FBD4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240 (11.9)</w:t>
            </w:r>
          </w:p>
          <w:p w14:paraId="425C66A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528 (26.3)</w:t>
            </w:r>
          </w:p>
          <w:p w14:paraId="6DDB71D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262 (13.1)</w:t>
            </w:r>
          </w:p>
          <w:p w14:paraId="16ABC03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17 (0.8)</w:t>
            </w:r>
          </w:p>
        </w:tc>
        <w:tc>
          <w:tcPr>
            <w:tcW w:w="1701" w:type="dxa"/>
          </w:tcPr>
          <w:p w14:paraId="55F8E55A" w14:textId="77777777" w:rsidR="00596F3D" w:rsidRPr="007671E2" w:rsidRDefault="00596F3D" w:rsidP="00596F3D">
            <w:pPr>
              <w:jc w:val="center"/>
              <w:rPr>
                <w:rFonts w:ascii="Arial" w:eastAsia="Calibri" w:hAnsi="Arial" w:cs="Arial"/>
                <w:sz w:val="16"/>
                <w:szCs w:val="20"/>
              </w:rPr>
            </w:pPr>
          </w:p>
          <w:p w14:paraId="4883877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781 (38.6)</w:t>
            </w:r>
          </w:p>
          <w:p w14:paraId="78F0849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87 (4.3)</w:t>
            </w:r>
          </w:p>
          <w:p w14:paraId="3E1AB28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89 (4.4)</w:t>
            </w:r>
          </w:p>
          <w:p w14:paraId="2140991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294 (14.5)</w:t>
            </w:r>
          </w:p>
          <w:p w14:paraId="463D3D2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538 (26.6)</w:t>
            </w:r>
          </w:p>
          <w:p w14:paraId="3660C7E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194 (9.6)</w:t>
            </w:r>
          </w:p>
          <w:p w14:paraId="39E2D47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40 (2.0)</w:t>
            </w:r>
          </w:p>
        </w:tc>
        <w:tc>
          <w:tcPr>
            <w:tcW w:w="1701" w:type="dxa"/>
          </w:tcPr>
          <w:p w14:paraId="4DFDE5B8" w14:textId="77777777" w:rsidR="00596F3D" w:rsidRPr="007671E2" w:rsidRDefault="00596F3D" w:rsidP="00596F3D">
            <w:pPr>
              <w:jc w:val="center"/>
              <w:rPr>
                <w:rFonts w:ascii="Arial" w:eastAsia="Calibri" w:hAnsi="Arial" w:cs="Arial"/>
                <w:sz w:val="16"/>
                <w:szCs w:val="20"/>
              </w:rPr>
            </w:pPr>
          </w:p>
          <w:p w14:paraId="2062B3C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628 (41.9)</w:t>
            </w:r>
          </w:p>
          <w:p w14:paraId="05980E1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46 (3.1)</w:t>
            </w:r>
          </w:p>
          <w:p w14:paraId="3561940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69 (4.6)</w:t>
            </w:r>
          </w:p>
          <w:p w14:paraId="7B7873D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150 (10.0)</w:t>
            </w:r>
          </w:p>
          <w:p w14:paraId="5700A16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416 (27.7)</w:t>
            </w:r>
          </w:p>
          <w:p w14:paraId="4E3D8D9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187 (12.5)</w:t>
            </w:r>
          </w:p>
          <w:p w14:paraId="2A6CCBA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 (0.2)</w:t>
            </w:r>
          </w:p>
        </w:tc>
        <w:tc>
          <w:tcPr>
            <w:tcW w:w="1984" w:type="dxa"/>
          </w:tcPr>
          <w:p w14:paraId="2ACD35DC" w14:textId="77777777" w:rsidR="00596F3D" w:rsidRPr="007671E2" w:rsidRDefault="00596F3D" w:rsidP="00596F3D">
            <w:pPr>
              <w:jc w:val="center"/>
              <w:rPr>
                <w:rFonts w:ascii="Arial" w:eastAsia="Calibri" w:hAnsi="Arial" w:cs="Arial"/>
                <w:sz w:val="16"/>
                <w:szCs w:val="20"/>
              </w:rPr>
            </w:pPr>
          </w:p>
          <w:p w14:paraId="1D98064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605 (44.1)</w:t>
            </w:r>
          </w:p>
          <w:p w14:paraId="6C348A1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43 (3.1)</w:t>
            </w:r>
          </w:p>
          <w:p w14:paraId="36A32B3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44 (3.2)</w:t>
            </w:r>
          </w:p>
          <w:p w14:paraId="2CBE9FB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154 (11.2)</w:t>
            </w:r>
          </w:p>
          <w:p w14:paraId="2801560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351 (25.6)</w:t>
            </w:r>
          </w:p>
          <w:p w14:paraId="564DB5F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151 (11.0)</w:t>
            </w:r>
          </w:p>
          <w:p w14:paraId="7E4993E5"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25 (1.8)</w:t>
            </w:r>
          </w:p>
        </w:tc>
        <w:tc>
          <w:tcPr>
            <w:tcW w:w="2268" w:type="dxa"/>
          </w:tcPr>
          <w:p w14:paraId="67BBC4FB" w14:textId="77777777" w:rsidR="00596F3D" w:rsidRPr="007671E2" w:rsidRDefault="00596F3D" w:rsidP="00596F3D">
            <w:pPr>
              <w:jc w:val="center"/>
              <w:rPr>
                <w:rFonts w:ascii="Arial" w:eastAsia="Calibri" w:hAnsi="Arial" w:cs="Arial"/>
                <w:sz w:val="16"/>
                <w:szCs w:val="20"/>
              </w:rPr>
            </w:pPr>
          </w:p>
          <w:p w14:paraId="2980B6B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387 (48.0)</w:t>
            </w:r>
          </w:p>
          <w:p w14:paraId="49EE42A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33 (4.1)</w:t>
            </w:r>
          </w:p>
          <w:p w14:paraId="5480C98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13 (1.6)</w:t>
            </w:r>
          </w:p>
          <w:p w14:paraId="6BC0225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13 (1.6)</w:t>
            </w:r>
          </w:p>
          <w:p w14:paraId="44F2962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299 (37.1)</w:t>
            </w:r>
          </w:p>
          <w:p w14:paraId="2977770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60 (7.4)</w:t>
            </w:r>
          </w:p>
          <w:p w14:paraId="671E93C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 (0.2)</w:t>
            </w:r>
          </w:p>
        </w:tc>
      </w:tr>
      <w:tr w:rsidR="00596F3D" w:rsidRPr="007671E2" w14:paraId="7F592857" w14:textId="77777777" w:rsidTr="007671E2">
        <w:tc>
          <w:tcPr>
            <w:tcW w:w="2552" w:type="dxa"/>
          </w:tcPr>
          <w:p w14:paraId="2341BBDD"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Social rent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tc>
        <w:tc>
          <w:tcPr>
            <w:tcW w:w="1701" w:type="dxa"/>
          </w:tcPr>
          <w:p w14:paraId="2BD0D82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 xml:space="preserve">752 (37.4) </w:t>
            </w:r>
          </w:p>
        </w:tc>
        <w:tc>
          <w:tcPr>
            <w:tcW w:w="1701" w:type="dxa"/>
          </w:tcPr>
          <w:p w14:paraId="0600A22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1149 (56.7)</w:t>
            </w:r>
          </w:p>
        </w:tc>
        <w:tc>
          <w:tcPr>
            <w:tcW w:w="1701" w:type="dxa"/>
          </w:tcPr>
          <w:p w14:paraId="6159EADD"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 xml:space="preserve">454 (30.3) </w:t>
            </w:r>
          </w:p>
        </w:tc>
        <w:tc>
          <w:tcPr>
            <w:tcW w:w="1984" w:type="dxa"/>
          </w:tcPr>
          <w:p w14:paraId="519416A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976 (70.4)</w:t>
            </w:r>
          </w:p>
        </w:tc>
        <w:tc>
          <w:tcPr>
            <w:tcW w:w="2268" w:type="dxa"/>
          </w:tcPr>
          <w:p w14:paraId="39369E0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 xml:space="preserve">25 (3.09) </w:t>
            </w:r>
          </w:p>
        </w:tc>
      </w:tr>
      <w:tr w:rsidR="00596F3D" w:rsidRPr="007671E2" w14:paraId="08016F6B" w14:textId="77777777" w:rsidTr="007671E2">
        <w:tc>
          <w:tcPr>
            <w:tcW w:w="2552" w:type="dxa"/>
          </w:tcPr>
          <w:p w14:paraId="1A6D7B7B"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Financial struggle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7526EA7B"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Better off than 12 months ago</w:t>
            </w:r>
          </w:p>
          <w:p w14:paraId="70FE77DA"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Same as 12 months ago</w:t>
            </w:r>
          </w:p>
          <w:p w14:paraId="6D48DA1B"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Worse off than 12 months ago</w:t>
            </w:r>
          </w:p>
        </w:tc>
        <w:tc>
          <w:tcPr>
            <w:tcW w:w="1701" w:type="dxa"/>
          </w:tcPr>
          <w:p w14:paraId="1EE43E03" w14:textId="77777777" w:rsidR="00596F3D" w:rsidRPr="007671E2" w:rsidRDefault="00596F3D" w:rsidP="00596F3D">
            <w:pPr>
              <w:jc w:val="center"/>
              <w:rPr>
                <w:rFonts w:ascii="Arial" w:eastAsia="Calibri" w:hAnsi="Arial" w:cs="Arial"/>
                <w:sz w:val="16"/>
                <w:szCs w:val="20"/>
              </w:rPr>
            </w:pPr>
          </w:p>
          <w:p w14:paraId="352BCAD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224 (11.3)</w:t>
            </w:r>
          </w:p>
          <w:p w14:paraId="6C11541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1,403 (70.5)</w:t>
            </w:r>
          </w:p>
          <w:p w14:paraId="6FD4338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363 (18.2)</w:t>
            </w:r>
          </w:p>
        </w:tc>
        <w:tc>
          <w:tcPr>
            <w:tcW w:w="1701" w:type="dxa"/>
          </w:tcPr>
          <w:p w14:paraId="3ACA746D" w14:textId="77777777" w:rsidR="00596F3D" w:rsidRPr="007671E2" w:rsidRDefault="00596F3D" w:rsidP="00596F3D">
            <w:pPr>
              <w:jc w:val="center"/>
              <w:rPr>
                <w:rFonts w:ascii="Arial" w:eastAsia="Calibri" w:hAnsi="Arial" w:cs="Arial"/>
                <w:sz w:val="16"/>
                <w:szCs w:val="20"/>
              </w:rPr>
            </w:pPr>
          </w:p>
          <w:p w14:paraId="03E1491A"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217 (10.8)</w:t>
            </w:r>
          </w:p>
          <w:p w14:paraId="74BE133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1485 (73.8)</w:t>
            </w:r>
          </w:p>
          <w:p w14:paraId="3AF3AAE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309 (15.4)</w:t>
            </w:r>
          </w:p>
        </w:tc>
        <w:tc>
          <w:tcPr>
            <w:tcW w:w="1701" w:type="dxa"/>
          </w:tcPr>
          <w:p w14:paraId="30F020E2" w14:textId="77777777" w:rsidR="00596F3D" w:rsidRPr="007671E2" w:rsidRDefault="00596F3D" w:rsidP="00596F3D">
            <w:pPr>
              <w:jc w:val="center"/>
              <w:rPr>
                <w:rFonts w:ascii="Arial" w:eastAsia="Calibri" w:hAnsi="Arial" w:cs="Arial"/>
                <w:sz w:val="16"/>
                <w:szCs w:val="20"/>
              </w:rPr>
            </w:pPr>
          </w:p>
          <w:p w14:paraId="072A4417"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195 (13.1)</w:t>
            </w:r>
          </w:p>
          <w:p w14:paraId="7B82CC7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1,078 (72.5)</w:t>
            </w:r>
          </w:p>
          <w:p w14:paraId="63EBE91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215 (14.4)</w:t>
            </w:r>
          </w:p>
        </w:tc>
        <w:tc>
          <w:tcPr>
            <w:tcW w:w="1984" w:type="dxa"/>
          </w:tcPr>
          <w:p w14:paraId="6C593592" w14:textId="77777777" w:rsidR="00596F3D" w:rsidRPr="007671E2" w:rsidRDefault="00596F3D" w:rsidP="00596F3D">
            <w:pPr>
              <w:jc w:val="center"/>
              <w:rPr>
                <w:rFonts w:ascii="Arial" w:eastAsia="Calibri" w:hAnsi="Arial" w:cs="Arial"/>
                <w:sz w:val="16"/>
                <w:szCs w:val="20"/>
              </w:rPr>
            </w:pPr>
          </w:p>
          <w:p w14:paraId="356920A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161 (11.7)</w:t>
            </w:r>
          </w:p>
          <w:p w14:paraId="1D17191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1025 (74.6)</w:t>
            </w:r>
          </w:p>
          <w:p w14:paraId="1A294598"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189 (13.8)</w:t>
            </w:r>
          </w:p>
        </w:tc>
        <w:tc>
          <w:tcPr>
            <w:tcW w:w="2268" w:type="dxa"/>
          </w:tcPr>
          <w:p w14:paraId="3C5F9656" w14:textId="77777777" w:rsidR="00596F3D" w:rsidRPr="007671E2" w:rsidRDefault="00596F3D" w:rsidP="00596F3D">
            <w:pPr>
              <w:jc w:val="center"/>
              <w:rPr>
                <w:rFonts w:ascii="Arial" w:eastAsia="Calibri" w:hAnsi="Arial" w:cs="Arial"/>
                <w:sz w:val="16"/>
                <w:szCs w:val="20"/>
              </w:rPr>
            </w:pPr>
          </w:p>
          <w:p w14:paraId="3A172AF9"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91 (11.4)</w:t>
            </w:r>
          </w:p>
          <w:p w14:paraId="25D8621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609 (76.0)</w:t>
            </w:r>
          </w:p>
          <w:p w14:paraId="793882DE"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101 (12.6)</w:t>
            </w:r>
          </w:p>
        </w:tc>
      </w:tr>
      <w:tr w:rsidR="00596F3D" w:rsidRPr="007671E2" w14:paraId="5873C46D" w14:textId="77777777" w:rsidTr="007671E2">
        <w:tc>
          <w:tcPr>
            <w:tcW w:w="2552" w:type="dxa"/>
          </w:tcPr>
          <w:p w14:paraId="3A1C1D95"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Caring responsibilities </w:t>
            </w:r>
            <w:proofErr w:type="gramStart"/>
            <w:r w:rsidRPr="007671E2">
              <w:rPr>
                <w:rFonts w:ascii="Arial" w:eastAsia="Calibri" w:hAnsi="Arial" w:cs="Arial"/>
                <w:sz w:val="16"/>
                <w:szCs w:val="20"/>
              </w:rPr>
              <w:t>N(</w:t>
            </w:r>
            <w:proofErr w:type="gramEnd"/>
            <w:r w:rsidRPr="007671E2">
              <w:rPr>
                <w:rFonts w:ascii="Arial" w:eastAsia="Calibri" w:hAnsi="Arial" w:cs="Arial"/>
                <w:sz w:val="16"/>
                <w:szCs w:val="20"/>
              </w:rPr>
              <w:t>%)</w:t>
            </w:r>
          </w:p>
          <w:p w14:paraId="63A7C26E"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No</w:t>
            </w:r>
          </w:p>
          <w:p w14:paraId="35DAE5FB"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Yes (1-19 h/week)</w:t>
            </w:r>
          </w:p>
          <w:p w14:paraId="29B596DE"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Yes (20-49 h/week)</w:t>
            </w:r>
          </w:p>
          <w:p w14:paraId="36697D78" w14:textId="77777777" w:rsidR="00596F3D" w:rsidRPr="007671E2" w:rsidRDefault="00596F3D" w:rsidP="00596F3D">
            <w:pPr>
              <w:rPr>
                <w:rFonts w:ascii="Arial" w:eastAsia="Calibri" w:hAnsi="Arial" w:cs="Arial"/>
                <w:sz w:val="16"/>
                <w:szCs w:val="20"/>
              </w:rPr>
            </w:pPr>
            <w:r w:rsidRPr="007671E2">
              <w:rPr>
                <w:rFonts w:ascii="Arial" w:eastAsia="Calibri" w:hAnsi="Arial" w:cs="Arial"/>
                <w:sz w:val="16"/>
                <w:szCs w:val="20"/>
              </w:rPr>
              <w:t xml:space="preserve">  Yes (50+ h/week)</w:t>
            </w:r>
          </w:p>
        </w:tc>
        <w:tc>
          <w:tcPr>
            <w:tcW w:w="1701" w:type="dxa"/>
          </w:tcPr>
          <w:p w14:paraId="07FF2EA0" w14:textId="77777777" w:rsidR="00596F3D" w:rsidRPr="007671E2" w:rsidRDefault="00596F3D" w:rsidP="00596F3D">
            <w:pPr>
              <w:jc w:val="center"/>
              <w:rPr>
                <w:rFonts w:ascii="Arial" w:eastAsia="Calibri" w:hAnsi="Arial" w:cs="Arial"/>
                <w:sz w:val="16"/>
                <w:szCs w:val="20"/>
              </w:rPr>
            </w:pPr>
          </w:p>
          <w:p w14:paraId="63AC7548"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1,736 (86.4)</w:t>
            </w:r>
          </w:p>
          <w:p w14:paraId="6A1C3E18"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111 (5.5)</w:t>
            </w:r>
          </w:p>
          <w:p w14:paraId="588710F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45 (2.3)</w:t>
            </w:r>
          </w:p>
          <w:p w14:paraId="50A36D76"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117 (5.8)</w:t>
            </w:r>
          </w:p>
        </w:tc>
        <w:tc>
          <w:tcPr>
            <w:tcW w:w="1701" w:type="dxa"/>
          </w:tcPr>
          <w:p w14:paraId="28AB2082" w14:textId="77777777" w:rsidR="00596F3D" w:rsidRPr="007671E2" w:rsidRDefault="00596F3D" w:rsidP="00596F3D">
            <w:pPr>
              <w:jc w:val="center"/>
              <w:rPr>
                <w:rFonts w:ascii="Arial" w:eastAsia="Calibri" w:hAnsi="Arial" w:cs="Arial"/>
                <w:sz w:val="16"/>
                <w:szCs w:val="20"/>
              </w:rPr>
            </w:pPr>
          </w:p>
          <w:p w14:paraId="480AF07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1751 (86.4)</w:t>
            </w:r>
          </w:p>
          <w:p w14:paraId="66B906B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110 (5.4)</w:t>
            </w:r>
          </w:p>
          <w:p w14:paraId="634448E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57 (2.8)</w:t>
            </w:r>
          </w:p>
          <w:p w14:paraId="4DAD309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108 (5.3)</w:t>
            </w:r>
          </w:p>
        </w:tc>
        <w:tc>
          <w:tcPr>
            <w:tcW w:w="1701" w:type="dxa"/>
          </w:tcPr>
          <w:p w14:paraId="082CE712" w14:textId="77777777" w:rsidR="00596F3D" w:rsidRPr="007671E2" w:rsidRDefault="00596F3D" w:rsidP="00596F3D">
            <w:pPr>
              <w:jc w:val="center"/>
              <w:rPr>
                <w:rFonts w:ascii="Arial" w:eastAsia="Calibri" w:hAnsi="Arial" w:cs="Arial"/>
                <w:sz w:val="16"/>
                <w:szCs w:val="20"/>
              </w:rPr>
            </w:pPr>
          </w:p>
          <w:p w14:paraId="3DA9607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1,283 (85.5)</w:t>
            </w:r>
          </w:p>
          <w:p w14:paraId="25E5FD7C"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102 (6.8)</w:t>
            </w:r>
          </w:p>
          <w:p w14:paraId="033A527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29 (1.9)</w:t>
            </w:r>
          </w:p>
          <w:p w14:paraId="6F7B7A7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87 (5.8)</w:t>
            </w:r>
          </w:p>
        </w:tc>
        <w:tc>
          <w:tcPr>
            <w:tcW w:w="1984" w:type="dxa"/>
          </w:tcPr>
          <w:p w14:paraId="6F155CFA" w14:textId="77777777" w:rsidR="00596F3D" w:rsidRPr="007671E2" w:rsidRDefault="00596F3D" w:rsidP="00596F3D">
            <w:pPr>
              <w:jc w:val="center"/>
              <w:rPr>
                <w:rFonts w:ascii="Arial" w:eastAsia="Calibri" w:hAnsi="Arial" w:cs="Arial"/>
                <w:sz w:val="16"/>
                <w:szCs w:val="20"/>
              </w:rPr>
            </w:pPr>
          </w:p>
          <w:p w14:paraId="219CD37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1222 (88.2)</w:t>
            </w:r>
          </w:p>
          <w:p w14:paraId="186849D4"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71 (5.1)</w:t>
            </w:r>
          </w:p>
          <w:p w14:paraId="73E51132"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33 (2.4)</w:t>
            </w:r>
          </w:p>
          <w:p w14:paraId="35D19A6F"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59 (4.3)</w:t>
            </w:r>
          </w:p>
        </w:tc>
        <w:tc>
          <w:tcPr>
            <w:tcW w:w="2268" w:type="dxa"/>
          </w:tcPr>
          <w:p w14:paraId="451E641F" w14:textId="77777777" w:rsidR="00596F3D" w:rsidRPr="007671E2" w:rsidRDefault="00596F3D" w:rsidP="00596F3D">
            <w:pPr>
              <w:jc w:val="center"/>
              <w:rPr>
                <w:rFonts w:ascii="Arial" w:eastAsia="Calibri" w:hAnsi="Arial" w:cs="Arial"/>
                <w:sz w:val="16"/>
                <w:szCs w:val="20"/>
              </w:rPr>
            </w:pPr>
          </w:p>
          <w:p w14:paraId="39F3E443"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697 (86.1)</w:t>
            </w:r>
          </w:p>
          <w:p w14:paraId="5C88A080"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62 (7.7)</w:t>
            </w:r>
          </w:p>
          <w:p w14:paraId="00823741"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26 (3.2)</w:t>
            </w:r>
          </w:p>
          <w:p w14:paraId="1E8E698B" w14:textId="77777777" w:rsidR="00596F3D" w:rsidRPr="007671E2" w:rsidRDefault="00596F3D" w:rsidP="00596F3D">
            <w:pPr>
              <w:jc w:val="center"/>
              <w:rPr>
                <w:rFonts w:ascii="Arial" w:eastAsia="Calibri" w:hAnsi="Arial" w:cs="Arial"/>
                <w:sz w:val="16"/>
                <w:szCs w:val="20"/>
              </w:rPr>
            </w:pPr>
            <w:r w:rsidRPr="007671E2">
              <w:rPr>
                <w:rFonts w:ascii="Arial" w:eastAsia="Calibri" w:hAnsi="Arial" w:cs="Arial"/>
                <w:sz w:val="16"/>
                <w:szCs w:val="20"/>
              </w:rPr>
              <w:t>24 (3.0)</w:t>
            </w:r>
          </w:p>
        </w:tc>
      </w:tr>
    </w:tbl>
    <w:p w14:paraId="6C436126" w14:textId="77777777" w:rsidR="00596F3D" w:rsidRDefault="00596F3D" w:rsidP="00CE64BF">
      <w:pPr>
        <w:rPr>
          <w:rFonts w:ascii="Arial" w:hAnsi="Arial" w:cs="Arial"/>
          <w:b/>
        </w:rPr>
      </w:pPr>
    </w:p>
    <w:p w14:paraId="6FF2E557" w14:textId="77777777" w:rsidR="00596F3D" w:rsidRDefault="00596F3D" w:rsidP="00CE64BF">
      <w:pPr>
        <w:rPr>
          <w:rFonts w:ascii="Arial" w:hAnsi="Arial" w:cs="Arial"/>
          <w:b/>
        </w:rPr>
        <w:sectPr w:rsidR="00596F3D" w:rsidSect="00596F3D">
          <w:pgSz w:w="15840" w:h="12240" w:orient="landscape"/>
          <w:pgMar w:top="1440" w:right="1440" w:bottom="1440" w:left="1440" w:header="720" w:footer="720" w:gutter="0"/>
          <w:pgNumType w:start="0"/>
          <w:cols w:space="720"/>
          <w:titlePg/>
          <w:docGrid w:linePitch="360"/>
        </w:sectPr>
      </w:pPr>
    </w:p>
    <w:p w14:paraId="5455223B" w14:textId="77777777" w:rsidR="00F1283F" w:rsidRDefault="00F1283F" w:rsidP="002F312A">
      <w:pPr>
        <w:rPr>
          <w:noProof/>
        </w:rPr>
      </w:pPr>
    </w:p>
    <w:p w14:paraId="610F135D" w14:textId="77777777" w:rsidR="00F1283F" w:rsidRDefault="00F1283F" w:rsidP="002F312A">
      <w:pPr>
        <w:rPr>
          <w:noProof/>
        </w:rPr>
      </w:pPr>
      <w:r>
        <w:rPr>
          <w:noProof/>
        </w:rPr>
        <w:drawing>
          <wp:inline distT="0" distB="0" distL="0" distR="0" wp14:anchorId="119586AA" wp14:editId="305BF409">
            <wp:extent cx="5676900" cy="370046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66C023" w14:textId="77777777" w:rsidR="009A3F1B" w:rsidRPr="00F1283F" w:rsidRDefault="009A3F1B" w:rsidP="002F312A">
      <w:pPr>
        <w:rPr>
          <w:rFonts w:ascii="Arial" w:hAnsi="Arial" w:cs="Arial"/>
        </w:rPr>
      </w:pPr>
      <w:r w:rsidRPr="00F1283F">
        <w:rPr>
          <w:rFonts w:ascii="Arial" w:hAnsi="Arial" w:cs="Arial"/>
          <w:b/>
        </w:rPr>
        <w:t xml:space="preserve">Figure 3. </w:t>
      </w:r>
      <w:r w:rsidR="00F1283F" w:rsidRPr="00F1283F">
        <w:rPr>
          <w:rFonts w:ascii="Arial" w:hAnsi="Arial" w:cs="Arial"/>
          <w:b/>
        </w:rPr>
        <w:t xml:space="preserve">Percentage of people with Long-term conditions, mental health conditions, and who have attended A&amp;E in the past 12 months across </w:t>
      </w:r>
      <w:proofErr w:type="spellStart"/>
      <w:r w:rsidR="00F1283F" w:rsidRPr="00F1283F">
        <w:rPr>
          <w:rFonts w:ascii="Arial" w:hAnsi="Arial" w:cs="Arial"/>
          <w:b/>
        </w:rPr>
        <w:t>neighbourhood</w:t>
      </w:r>
      <w:proofErr w:type="spellEnd"/>
      <w:r w:rsidR="00F1283F" w:rsidRPr="00F1283F">
        <w:rPr>
          <w:rFonts w:ascii="Arial" w:hAnsi="Arial" w:cs="Arial"/>
          <w:b/>
        </w:rPr>
        <w:t xml:space="preserve"> types</w:t>
      </w:r>
    </w:p>
    <w:p w14:paraId="72E5C106" w14:textId="77777777" w:rsidR="00596F3D" w:rsidRDefault="00596F3D" w:rsidP="00CE64BF">
      <w:pPr>
        <w:rPr>
          <w:rFonts w:ascii="Arial" w:hAnsi="Arial" w:cs="Arial"/>
          <w:b/>
        </w:rPr>
      </w:pPr>
    </w:p>
    <w:p w14:paraId="732AF9DD" w14:textId="77777777" w:rsidR="00596F3D" w:rsidRDefault="00596F3D" w:rsidP="00CE64BF">
      <w:pPr>
        <w:rPr>
          <w:rFonts w:ascii="Arial" w:hAnsi="Arial" w:cs="Arial"/>
          <w:b/>
        </w:rPr>
      </w:pPr>
    </w:p>
    <w:p w14:paraId="52C088B2" w14:textId="77777777" w:rsidR="00596F3D" w:rsidRDefault="00596F3D" w:rsidP="00CE64BF">
      <w:pPr>
        <w:rPr>
          <w:rFonts w:ascii="Arial" w:hAnsi="Arial" w:cs="Arial"/>
          <w:b/>
        </w:rPr>
      </w:pPr>
    </w:p>
    <w:p w14:paraId="3F4906C8" w14:textId="77777777" w:rsidR="00596F3D" w:rsidRDefault="00596F3D" w:rsidP="00CE64BF">
      <w:pPr>
        <w:rPr>
          <w:rFonts w:ascii="Arial" w:hAnsi="Arial" w:cs="Arial"/>
          <w:b/>
        </w:rPr>
      </w:pPr>
    </w:p>
    <w:p w14:paraId="6F95F2A2" w14:textId="77777777" w:rsidR="00596F3D" w:rsidRDefault="00596F3D" w:rsidP="00CE64BF">
      <w:pPr>
        <w:rPr>
          <w:rFonts w:ascii="Arial" w:hAnsi="Arial" w:cs="Arial"/>
          <w:b/>
        </w:rPr>
      </w:pPr>
    </w:p>
    <w:sectPr w:rsidR="00596F3D" w:rsidSect="00391BA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95D74" w14:textId="77777777" w:rsidR="00932450" w:rsidRDefault="00932450" w:rsidP="00391BA2">
      <w:pPr>
        <w:spacing w:after="0" w:line="240" w:lineRule="auto"/>
      </w:pPr>
      <w:r>
        <w:separator/>
      </w:r>
    </w:p>
  </w:endnote>
  <w:endnote w:type="continuationSeparator" w:id="0">
    <w:p w14:paraId="74B19326" w14:textId="77777777" w:rsidR="00932450" w:rsidRDefault="00932450" w:rsidP="0039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78698"/>
      <w:docPartObj>
        <w:docPartGallery w:val="Page Numbers (Bottom of Page)"/>
        <w:docPartUnique/>
      </w:docPartObj>
    </w:sdtPr>
    <w:sdtEndPr>
      <w:rPr>
        <w:noProof/>
      </w:rPr>
    </w:sdtEndPr>
    <w:sdtContent>
      <w:p w14:paraId="1D960F22" w14:textId="77777777" w:rsidR="000632EC" w:rsidRDefault="000632EC">
        <w:pPr>
          <w:pStyle w:val="Footer"/>
          <w:jc w:val="right"/>
        </w:pPr>
        <w:r>
          <w:fldChar w:fldCharType="begin"/>
        </w:r>
        <w:r>
          <w:instrText xml:space="preserve"> PAGE   \* MERGEFORMAT </w:instrText>
        </w:r>
        <w:r>
          <w:fldChar w:fldCharType="separate"/>
        </w:r>
        <w:r w:rsidR="0077313E">
          <w:rPr>
            <w:noProof/>
          </w:rPr>
          <w:t>19</w:t>
        </w:r>
        <w:r>
          <w:rPr>
            <w:noProof/>
          </w:rPr>
          <w:fldChar w:fldCharType="end"/>
        </w:r>
      </w:p>
    </w:sdtContent>
  </w:sdt>
  <w:p w14:paraId="20CF4FD7" w14:textId="77777777" w:rsidR="000632EC" w:rsidRDefault="00063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DD3A9" w14:textId="77777777" w:rsidR="00932450" w:rsidRDefault="00932450" w:rsidP="00391BA2">
      <w:pPr>
        <w:spacing w:after="0" w:line="240" w:lineRule="auto"/>
      </w:pPr>
      <w:r>
        <w:separator/>
      </w:r>
    </w:p>
  </w:footnote>
  <w:footnote w:type="continuationSeparator" w:id="0">
    <w:p w14:paraId="515F16E3" w14:textId="77777777" w:rsidR="00932450" w:rsidRDefault="00932450" w:rsidP="00391B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1A5"/>
    <w:multiLevelType w:val="hybridMultilevel"/>
    <w:tmpl w:val="998AD21C"/>
    <w:lvl w:ilvl="0" w:tplc="FF88A2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873B8"/>
    <w:multiLevelType w:val="hybridMultilevel"/>
    <w:tmpl w:val="2CD68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55B9C"/>
    <w:multiLevelType w:val="hybridMultilevel"/>
    <w:tmpl w:val="EEA48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830E7"/>
    <w:multiLevelType w:val="hybridMultilevel"/>
    <w:tmpl w:val="8CD6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E2517"/>
    <w:multiLevelType w:val="hybridMultilevel"/>
    <w:tmpl w:val="A73C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33C11"/>
    <w:multiLevelType w:val="hybridMultilevel"/>
    <w:tmpl w:val="802ED152"/>
    <w:lvl w:ilvl="0" w:tplc="5FCC86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806129"/>
    <w:multiLevelType w:val="hybridMultilevel"/>
    <w:tmpl w:val="955C8D62"/>
    <w:lvl w:ilvl="0" w:tplc="0B0C314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C494D"/>
    <w:multiLevelType w:val="hybridMultilevel"/>
    <w:tmpl w:val="8ABA7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9571A4"/>
    <w:multiLevelType w:val="hybridMultilevel"/>
    <w:tmpl w:val="089EE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30461D"/>
    <w:multiLevelType w:val="multilevel"/>
    <w:tmpl w:val="29A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143E7"/>
    <w:multiLevelType w:val="hybridMultilevel"/>
    <w:tmpl w:val="089EE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2F2597"/>
    <w:multiLevelType w:val="hybridMultilevel"/>
    <w:tmpl w:val="017AF044"/>
    <w:lvl w:ilvl="0" w:tplc="7A9E76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571C90"/>
    <w:multiLevelType w:val="hybridMultilevel"/>
    <w:tmpl w:val="9A6A5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10"/>
  </w:num>
  <w:num w:numId="5">
    <w:abstractNumId w:val="5"/>
  </w:num>
  <w:num w:numId="6">
    <w:abstractNumId w:val="11"/>
  </w:num>
  <w:num w:numId="7">
    <w:abstractNumId w:val="0"/>
  </w:num>
  <w:num w:numId="8">
    <w:abstractNumId w:val="12"/>
  </w:num>
  <w:num w:numId="9">
    <w:abstractNumId w:val="9"/>
  </w:num>
  <w:num w:numId="10">
    <w:abstractNumId w:val="8"/>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05"/>
    <w:rsid w:val="00002989"/>
    <w:rsid w:val="00003059"/>
    <w:rsid w:val="000040E9"/>
    <w:rsid w:val="0000432A"/>
    <w:rsid w:val="00007BCB"/>
    <w:rsid w:val="00007BE4"/>
    <w:rsid w:val="00013243"/>
    <w:rsid w:val="00014362"/>
    <w:rsid w:val="00015910"/>
    <w:rsid w:val="00016EF7"/>
    <w:rsid w:val="000204C5"/>
    <w:rsid w:val="00021394"/>
    <w:rsid w:val="0002350A"/>
    <w:rsid w:val="00030504"/>
    <w:rsid w:val="00037805"/>
    <w:rsid w:val="00040E7C"/>
    <w:rsid w:val="0005589C"/>
    <w:rsid w:val="00055AD6"/>
    <w:rsid w:val="00061427"/>
    <w:rsid w:val="00062497"/>
    <w:rsid w:val="000632EC"/>
    <w:rsid w:val="00067030"/>
    <w:rsid w:val="00071936"/>
    <w:rsid w:val="000732AB"/>
    <w:rsid w:val="00080F8D"/>
    <w:rsid w:val="00081BCB"/>
    <w:rsid w:val="000862B4"/>
    <w:rsid w:val="000966CD"/>
    <w:rsid w:val="000A5489"/>
    <w:rsid w:val="000B18B9"/>
    <w:rsid w:val="000D4DF8"/>
    <w:rsid w:val="000E394C"/>
    <w:rsid w:val="000E4B49"/>
    <w:rsid w:val="000E7CA5"/>
    <w:rsid w:val="000F0D8A"/>
    <w:rsid w:val="000F1076"/>
    <w:rsid w:val="000F1EB1"/>
    <w:rsid w:val="000F5003"/>
    <w:rsid w:val="0010094A"/>
    <w:rsid w:val="00101FF3"/>
    <w:rsid w:val="00110858"/>
    <w:rsid w:val="001110BD"/>
    <w:rsid w:val="00112AFF"/>
    <w:rsid w:val="0011398D"/>
    <w:rsid w:val="0011572A"/>
    <w:rsid w:val="00116E92"/>
    <w:rsid w:val="0012167B"/>
    <w:rsid w:val="001221BF"/>
    <w:rsid w:val="001276DD"/>
    <w:rsid w:val="00131079"/>
    <w:rsid w:val="001330BE"/>
    <w:rsid w:val="0013373F"/>
    <w:rsid w:val="0013637F"/>
    <w:rsid w:val="00137F53"/>
    <w:rsid w:val="00140AB0"/>
    <w:rsid w:val="00140C17"/>
    <w:rsid w:val="001444E2"/>
    <w:rsid w:val="001501BA"/>
    <w:rsid w:val="00150695"/>
    <w:rsid w:val="0015110B"/>
    <w:rsid w:val="00155D11"/>
    <w:rsid w:val="00155E47"/>
    <w:rsid w:val="00157B47"/>
    <w:rsid w:val="00160093"/>
    <w:rsid w:val="00162A5D"/>
    <w:rsid w:val="001667C6"/>
    <w:rsid w:val="00182D24"/>
    <w:rsid w:val="00184A37"/>
    <w:rsid w:val="00190357"/>
    <w:rsid w:val="00194143"/>
    <w:rsid w:val="001951C8"/>
    <w:rsid w:val="001951F8"/>
    <w:rsid w:val="00196012"/>
    <w:rsid w:val="001969BC"/>
    <w:rsid w:val="00197C16"/>
    <w:rsid w:val="001A0089"/>
    <w:rsid w:val="001A1E2C"/>
    <w:rsid w:val="001A2F2C"/>
    <w:rsid w:val="001B47E7"/>
    <w:rsid w:val="001B5B9D"/>
    <w:rsid w:val="001B67A2"/>
    <w:rsid w:val="001B7F22"/>
    <w:rsid w:val="001C4AB8"/>
    <w:rsid w:val="001C54EB"/>
    <w:rsid w:val="001D1A68"/>
    <w:rsid w:val="001D1C0A"/>
    <w:rsid w:val="001D428B"/>
    <w:rsid w:val="001D56CD"/>
    <w:rsid w:val="001D6FA6"/>
    <w:rsid w:val="001D7831"/>
    <w:rsid w:val="001E10D5"/>
    <w:rsid w:val="001E1DE7"/>
    <w:rsid w:val="001F0449"/>
    <w:rsid w:val="001F34D4"/>
    <w:rsid w:val="002038E0"/>
    <w:rsid w:val="00203ED6"/>
    <w:rsid w:val="0020725E"/>
    <w:rsid w:val="002111AB"/>
    <w:rsid w:val="002138D1"/>
    <w:rsid w:val="00216089"/>
    <w:rsid w:val="00217214"/>
    <w:rsid w:val="00220848"/>
    <w:rsid w:val="002260BA"/>
    <w:rsid w:val="00226758"/>
    <w:rsid w:val="002273E0"/>
    <w:rsid w:val="0023128B"/>
    <w:rsid w:val="00231756"/>
    <w:rsid w:val="0023222A"/>
    <w:rsid w:val="00235E43"/>
    <w:rsid w:val="0024666F"/>
    <w:rsid w:val="002474A6"/>
    <w:rsid w:val="00250F05"/>
    <w:rsid w:val="00251A3A"/>
    <w:rsid w:val="00255EC1"/>
    <w:rsid w:val="00262AA5"/>
    <w:rsid w:val="00263CFC"/>
    <w:rsid w:val="00275C61"/>
    <w:rsid w:val="00280C24"/>
    <w:rsid w:val="00287D38"/>
    <w:rsid w:val="002901E9"/>
    <w:rsid w:val="00292574"/>
    <w:rsid w:val="00292C51"/>
    <w:rsid w:val="002A363E"/>
    <w:rsid w:val="002A4A9D"/>
    <w:rsid w:val="002B204B"/>
    <w:rsid w:val="002B2C73"/>
    <w:rsid w:val="002B64FB"/>
    <w:rsid w:val="002B6EBB"/>
    <w:rsid w:val="002C4C49"/>
    <w:rsid w:val="002C6178"/>
    <w:rsid w:val="002C76EC"/>
    <w:rsid w:val="002C78B5"/>
    <w:rsid w:val="002D2441"/>
    <w:rsid w:val="002D76CC"/>
    <w:rsid w:val="002D7CA1"/>
    <w:rsid w:val="002E2E13"/>
    <w:rsid w:val="002E3BA5"/>
    <w:rsid w:val="002E610A"/>
    <w:rsid w:val="002E7AFD"/>
    <w:rsid w:val="002F312A"/>
    <w:rsid w:val="002F3ACE"/>
    <w:rsid w:val="00311FED"/>
    <w:rsid w:val="00323B61"/>
    <w:rsid w:val="00323D35"/>
    <w:rsid w:val="00327C0C"/>
    <w:rsid w:val="003305F7"/>
    <w:rsid w:val="00335AC4"/>
    <w:rsid w:val="00340E29"/>
    <w:rsid w:val="00341BA4"/>
    <w:rsid w:val="003424F1"/>
    <w:rsid w:val="00343787"/>
    <w:rsid w:val="003443F0"/>
    <w:rsid w:val="00346DC3"/>
    <w:rsid w:val="003471DE"/>
    <w:rsid w:val="0035153F"/>
    <w:rsid w:val="00360AF5"/>
    <w:rsid w:val="00361FE9"/>
    <w:rsid w:val="00365267"/>
    <w:rsid w:val="00376891"/>
    <w:rsid w:val="00377192"/>
    <w:rsid w:val="00381C55"/>
    <w:rsid w:val="0038261D"/>
    <w:rsid w:val="00382DBA"/>
    <w:rsid w:val="00390E45"/>
    <w:rsid w:val="0039102C"/>
    <w:rsid w:val="00391BA2"/>
    <w:rsid w:val="0039581D"/>
    <w:rsid w:val="00395953"/>
    <w:rsid w:val="003A14A0"/>
    <w:rsid w:val="003A1BDD"/>
    <w:rsid w:val="003A4B5F"/>
    <w:rsid w:val="003A73F0"/>
    <w:rsid w:val="003B01AF"/>
    <w:rsid w:val="003B281C"/>
    <w:rsid w:val="003B3DF8"/>
    <w:rsid w:val="003B49A9"/>
    <w:rsid w:val="003B70B2"/>
    <w:rsid w:val="003B7690"/>
    <w:rsid w:val="003C35FE"/>
    <w:rsid w:val="003C4333"/>
    <w:rsid w:val="003C4AA7"/>
    <w:rsid w:val="003C4C53"/>
    <w:rsid w:val="003C62D3"/>
    <w:rsid w:val="003D1B63"/>
    <w:rsid w:val="003D3740"/>
    <w:rsid w:val="003D4AFD"/>
    <w:rsid w:val="003D5B20"/>
    <w:rsid w:val="003E034C"/>
    <w:rsid w:val="003E1D9D"/>
    <w:rsid w:val="003F56B6"/>
    <w:rsid w:val="003F7AA1"/>
    <w:rsid w:val="0040014D"/>
    <w:rsid w:val="004004F7"/>
    <w:rsid w:val="00400ADF"/>
    <w:rsid w:val="00402368"/>
    <w:rsid w:val="0040369A"/>
    <w:rsid w:val="00406964"/>
    <w:rsid w:val="00410F1F"/>
    <w:rsid w:val="00411E1F"/>
    <w:rsid w:val="00421848"/>
    <w:rsid w:val="00422DD7"/>
    <w:rsid w:val="00423027"/>
    <w:rsid w:val="004246BB"/>
    <w:rsid w:val="00434AF4"/>
    <w:rsid w:val="00436B88"/>
    <w:rsid w:val="004370C5"/>
    <w:rsid w:val="0044564A"/>
    <w:rsid w:val="0044710F"/>
    <w:rsid w:val="0044786C"/>
    <w:rsid w:val="0045028B"/>
    <w:rsid w:val="0045208B"/>
    <w:rsid w:val="0045392A"/>
    <w:rsid w:val="00454E15"/>
    <w:rsid w:val="00456F7F"/>
    <w:rsid w:val="0045786F"/>
    <w:rsid w:val="00463FBC"/>
    <w:rsid w:val="00465057"/>
    <w:rsid w:val="00472A8F"/>
    <w:rsid w:val="00473C3E"/>
    <w:rsid w:val="0047648E"/>
    <w:rsid w:val="00476E6F"/>
    <w:rsid w:val="004819BC"/>
    <w:rsid w:val="004824B2"/>
    <w:rsid w:val="00482BA4"/>
    <w:rsid w:val="004868A7"/>
    <w:rsid w:val="00491F62"/>
    <w:rsid w:val="00494ABC"/>
    <w:rsid w:val="00495073"/>
    <w:rsid w:val="00495318"/>
    <w:rsid w:val="004A155C"/>
    <w:rsid w:val="004A1DD6"/>
    <w:rsid w:val="004A3539"/>
    <w:rsid w:val="004B46FE"/>
    <w:rsid w:val="004C2ED8"/>
    <w:rsid w:val="004C4F0D"/>
    <w:rsid w:val="004D2489"/>
    <w:rsid w:val="004D3C7F"/>
    <w:rsid w:val="004E00D4"/>
    <w:rsid w:val="004E378D"/>
    <w:rsid w:val="004E6BA7"/>
    <w:rsid w:val="004F2D80"/>
    <w:rsid w:val="00503E7E"/>
    <w:rsid w:val="005051E8"/>
    <w:rsid w:val="00505E30"/>
    <w:rsid w:val="0050617B"/>
    <w:rsid w:val="00506500"/>
    <w:rsid w:val="00507E84"/>
    <w:rsid w:val="005100CB"/>
    <w:rsid w:val="00513A10"/>
    <w:rsid w:val="005204D1"/>
    <w:rsid w:val="005226CE"/>
    <w:rsid w:val="00527FF2"/>
    <w:rsid w:val="005333F0"/>
    <w:rsid w:val="00536413"/>
    <w:rsid w:val="005372F7"/>
    <w:rsid w:val="0053772A"/>
    <w:rsid w:val="005416A4"/>
    <w:rsid w:val="005418C7"/>
    <w:rsid w:val="00543A38"/>
    <w:rsid w:val="005448DF"/>
    <w:rsid w:val="0054555B"/>
    <w:rsid w:val="00552455"/>
    <w:rsid w:val="0055460C"/>
    <w:rsid w:val="0056097A"/>
    <w:rsid w:val="00562158"/>
    <w:rsid w:val="00562333"/>
    <w:rsid w:val="00563F52"/>
    <w:rsid w:val="005663F9"/>
    <w:rsid w:val="0057228E"/>
    <w:rsid w:val="00572AF1"/>
    <w:rsid w:val="00574A49"/>
    <w:rsid w:val="0057696D"/>
    <w:rsid w:val="00577243"/>
    <w:rsid w:val="0057749C"/>
    <w:rsid w:val="00577F34"/>
    <w:rsid w:val="00581176"/>
    <w:rsid w:val="00583903"/>
    <w:rsid w:val="00583A6F"/>
    <w:rsid w:val="00583FB7"/>
    <w:rsid w:val="00584C86"/>
    <w:rsid w:val="00585556"/>
    <w:rsid w:val="00587753"/>
    <w:rsid w:val="00591798"/>
    <w:rsid w:val="005926AA"/>
    <w:rsid w:val="00594462"/>
    <w:rsid w:val="00596F3D"/>
    <w:rsid w:val="005A1B9E"/>
    <w:rsid w:val="005A259A"/>
    <w:rsid w:val="005A3AA4"/>
    <w:rsid w:val="005A3E41"/>
    <w:rsid w:val="005A424E"/>
    <w:rsid w:val="005B17DA"/>
    <w:rsid w:val="005B3004"/>
    <w:rsid w:val="005B610A"/>
    <w:rsid w:val="005B6498"/>
    <w:rsid w:val="005B6557"/>
    <w:rsid w:val="005B72E8"/>
    <w:rsid w:val="005C1833"/>
    <w:rsid w:val="005C2ADC"/>
    <w:rsid w:val="005C572F"/>
    <w:rsid w:val="005D4828"/>
    <w:rsid w:val="005E2851"/>
    <w:rsid w:val="005F0F30"/>
    <w:rsid w:val="005F4837"/>
    <w:rsid w:val="005F7368"/>
    <w:rsid w:val="00602516"/>
    <w:rsid w:val="006031C9"/>
    <w:rsid w:val="0060474A"/>
    <w:rsid w:val="006053BD"/>
    <w:rsid w:val="006065FB"/>
    <w:rsid w:val="00610C0F"/>
    <w:rsid w:val="0061294B"/>
    <w:rsid w:val="006130EF"/>
    <w:rsid w:val="006205CE"/>
    <w:rsid w:val="00622BDD"/>
    <w:rsid w:val="00631E79"/>
    <w:rsid w:val="00632958"/>
    <w:rsid w:val="0064292A"/>
    <w:rsid w:val="00645B36"/>
    <w:rsid w:val="0065187D"/>
    <w:rsid w:val="006524B9"/>
    <w:rsid w:val="00652F35"/>
    <w:rsid w:val="0066004F"/>
    <w:rsid w:val="00662C64"/>
    <w:rsid w:val="00662DE4"/>
    <w:rsid w:val="00665481"/>
    <w:rsid w:val="00666A0A"/>
    <w:rsid w:val="00670786"/>
    <w:rsid w:val="00670DC5"/>
    <w:rsid w:val="006710A5"/>
    <w:rsid w:val="00672D0A"/>
    <w:rsid w:val="00674C84"/>
    <w:rsid w:val="006752B7"/>
    <w:rsid w:val="00676A93"/>
    <w:rsid w:val="006803D8"/>
    <w:rsid w:val="006806E6"/>
    <w:rsid w:val="006825BF"/>
    <w:rsid w:val="00684F10"/>
    <w:rsid w:val="0068591E"/>
    <w:rsid w:val="006906E3"/>
    <w:rsid w:val="006908E1"/>
    <w:rsid w:val="00695323"/>
    <w:rsid w:val="006A5449"/>
    <w:rsid w:val="006A78C6"/>
    <w:rsid w:val="006B4B34"/>
    <w:rsid w:val="006C44E7"/>
    <w:rsid w:val="006C464A"/>
    <w:rsid w:val="006C66AE"/>
    <w:rsid w:val="006E1C08"/>
    <w:rsid w:val="006E46B8"/>
    <w:rsid w:val="006F4DD2"/>
    <w:rsid w:val="006F68A3"/>
    <w:rsid w:val="0070173E"/>
    <w:rsid w:val="0070291C"/>
    <w:rsid w:val="00703C02"/>
    <w:rsid w:val="00705212"/>
    <w:rsid w:val="00706D4F"/>
    <w:rsid w:val="0071752F"/>
    <w:rsid w:val="0072112D"/>
    <w:rsid w:val="007215BA"/>
    <w:rsid w:val="00721F4E"/>
    <w:rsid w:val="00723159"/>
    <w:rsid w:val="00724FF5"/>
    <w:rsid w:val="007257EE"/>
    <w:rsid w:val="00726ADF"/>
    <w:rsid w:val="0072779B"/>
    <w:rsid w:val="00733997"/>
    <w:rsid w:val="00736F6D"/>
    <w:rsid w:val="00740BCA"/>
    <w:rsid w:val="00743969"/>
    <w:rsid w:val="0074480E"/>
    <w:rsid w:val="00757D24"/>
    <w:rsid w:val="007611C2"/>
    <w:rsid w:val="007613D4"/>
    <w:rsid w:val="00761FAA"/>
    <w:rsid w:val="007622E2"/>
    <w:rsid w:val="00765FBE"/>
    <w:rsid w:val="007671E2"/>
    <w:rsid w:val="007704C2"/>
    <w:rsid w:val="00770BA9"/>
    <w:rsid w:val="0077126F"/>
    <w:rsid w:val="0077289D"/>
    <w:rsid w:val="0077313E"/>
    <w:rsid w:val="00780405"/>
    <w:rsid w:val="00782EDE"/>
    <w:rsid w:val="007834C7"/>
    <w:rsid w:val="00787E19"/>
    <w:rsid w:val="0079062B"/>
    <w:rsid w:val="0079314C"/>
    <w:rsid w:val="00793E23"/>
    <w:rsid w:val="007A0B58"/>
    <w:rsid w:val="007A44F1"/>
    <w:rsid w:val="007A62D8"/>
    <w:rsid w:val="007B2BAA"/>
    <w:rsid w:val="007B4EC6"/>
    <w:rsid w:val="007B6303"/>
    <w:rsid w:val="007B6EEC"/>
    <w:rsid w:val="007B71E1"/>
    <w:rsid w:val="007C1A5A"/>
    <w:rsid w:val="007C5682"/>
    <w:rsid w:val="007C6D84"/>
    <w:rsid w:val="007C6E06"/>
    <w:rsid w:val="007E0021"/>
    <w:rsid w:val="007E0E30"/>
    <w:rsid w:val="007E13B5"/>
    <w:rsid w:val="007E73AA"/>
    <w:rsid w:val="007E73E5"/>
    <w:rsid w:val="007F75AC"/>
    <w:rsid w:val="008014DF"/>
    <w:rsid w:val="00805F77"/>
    <w:rsid w:val="00806895"/>
    <w:rsid w:val="00806BEF"/>
    <w:rsid w:val="00806FA2"/>
    <w:rsid w:val="00807B71"/>
    <w:rsid w:val="00816683"/>
    <w:rsid w:val="00816E12"/>
    <w:rsid w:val="00823026"/>
    <w:rsid w:val="008248F7"/>
    <w:rsid w:val="00826A55"/>
    <w:rsid w:val="00836AD4"/>
    <w:rsid w:val="00842452"/>
    <w:rsid w:val="00842C72"/>
    <w:rsid w:val="00845C83"/>
    <w:rsid w:val="00846BE4"/>
    <w:rsid w:val="00850306"/>
    <w:rsid w:val="008538D5"/>
    <w:rsid w:val="00862E9E"/>
    <w:rsid w:val="0086300B"/>
    <w:rsid w:val="0086607F"/>
    <w:rsid w:val="00867FE4"/>
    <w:rsid w:val="00872AE0"/>
    <w:rsid w:val="0088200E"/>
    <w:rsid w:val="0088282A"/>
    <w:rsid w:val="00882B94"/>
    <w:rsid w:val="00885F20"/>
    <w:rsid w:val="00887D2A"/>
    <w:rsid w:val="0089196A"/>
    <w:rsid w:val="008953E8"/>
    <w:rsid w:val="008A55ED"/>
    <w:rsid w:val="008A5B7F"/>
    <w:rsid w:val="008A7C94"/>
    <w:rsid w:val="008A7D65"/>
    <w:rsid w:val="008B0FEC"/>
    <w:rsid w:val="008B1EFF"/>
    <w:rsid w:val="008B2830"/>
    <w:rsid w:val="008B29E9"/>
    <w:rsid w:val="008B2E07"/>
    <w:rsid w:val="008B5901"/>
    <w:rsid w:val="008C33BF"/>
    <w:rsid w:val="008C6295"/>
    <w:rsid w:val="008C787F"/>
    <w:rsid w:val="008D084F"/>
    <w:rsid w:val="008D18A7"/>
    <w:rsid w:val="008E0D01"/>
    <w:rsid w:val="008E413B"/>
    <w:rsid w:val="008E5460"/>
    <w:rsid w:val="008E5653"/>
    <w:rsid w:val="009008FB"/>
    <w:rsid w:val="00900CB7"/>
    <w:rsid w:val="009013A4"/>
    <w:rsid w:val="0090142B"/>
    <w:rsid w:val="009043BC"/>
    <w:rsid w:val="0090550D"/>
    <w:rsid w:val="00906179"/>
    <w:rsid w:val="00907633"/>
    <w:rsid w:val="00912638"/>
    <w:rsid w:val="00915EBA"/>
    <w:rsid w:val="00917CF9"/>
    <w:rsid w:val="00930432"/>
    <w:rsid w:val="009308D6"/>
    <w:rsid w:val="00931AAB"/>
    <w:rsid w:val="00932450"/>
    <w:rsid w:val="0093413E"/>
    <w:rsid w:val="0093531E"/>
    <w:rsid w:val="009419BD"/>
    <w:rsid w:val="00941D88"/>
    <w:rsid w:val="0094332B"/>
    <w:rsid w:val="00943E59"/>
    <w:rsid w:val="00950213"/>
    <w:rsid w:val="0095271E"/>
    <w:rsid w:val="009536AA"/>
    <w:rsid w:val="0095414F"/>
    <w:rsid w:val="00957FDE"/>
    <w:rsid w:val="00963264"/>
    <w:rsid w:val="00964851"/>
    <w:rsid w:val="00964A99"/>
    <w:rsid w:val="0096633A"/>
    <w:rsid w:val="0096648B"/>
    <w:rsid w:val="009705FE"/>
    <w:rsid w:val="00971451"/>
    <w:rsid w:val="00972933"/>
    <w:rsid w:val="00973CFC"/>
    <w:rsid w:val="00973F1A"/>
    <w:rsid w:val="0097448D"/>
    <w:rsid w:val="00974F76"/>
    <w:rsid w:val="009755C3"/>
    <w:rsid w:val="00977180"/>
    <w:rsid w:val="00977FA0"/>
    <w:rsid w:val="00982073"/>
    <w:rsid w:val="0098710B"/>
    <w:rsid w:val="0099370B"/>
    <w:rsid w:val="00994EF6"/>
    <w:rsid w:val="00996895"/>
    <w:rsid w:val="009A1255"/>
    <w:rsid w:val="009A15A0"/>
    <w:rsid w:val="009A3F1B"/>
    <w:rsid w:val="009A516A"/>
    <w:rsid w:val="009B7610"/>
    <w:rsid w:val="009C03E3"/>
    <w:rsid w:val="009C32C6"/>
    <w:rsid w:val="009C4A47"/>
    <w:rsid w:val="009C55CB"/>
    <w:rsid w:val="009C7188"/>
    <w:rsid w:val="009D034D"/>
    <w:rsid w:val="009D0740"/>
    <w:rsid w:val="009D25CC"/>
    <w:rsid w:val="009D4D0B"/>
    <w:rsid w:val="009E01F4"/>
    <w:rsid w:val="009E0DBA"/>
    <w:rsid w:val="009E0DD2"/>
    <w:rsid w:val="009E16DB"/>
    <w:rsid w:val="009E327C"/>
    <w:rsid w:val="009F1545"/>
    <w:rsid w:val="009F34B5"/>
    <w:rsid w:val="009F5D3A"/>
    <w:rsid w:val="00A10038"/>
    <w:rsid w:val="00A12E91"/>
    <w:rsid w:val="00A13AAF"/>
    <w:rsid w:val="00A15F75"/>
    <w:rsid w:val="00A20219"/>
    <w:rsid w:val="00A22973"/>
    <w:rsid w:val="00A2557E"/>
    <w:rsid w:val="00A27041"/>
    <w:rsid w:val="00A323F6"/>
    <w:rsid w:val="00A36EEB"/>
    <w:rsid w:val="00A46787"/>
    <w:rsid w:val="00A46CCA"/>
    <w:rsid w:val="00A625ED"/>
    <w:rsid w:val="00A63B4B"/>
    <w:rsid w:val="00A70EC3"/>
    <w:rsid w:val="00A7282C"/>
    <w:rsid w:val="00A74046"/>
    <w:rsid w:val="00A74497"/>
    <w:rsid w:val="00A828C1"/>
    <w:rsid w:val="00A85673"/>
    <w:rsid w:val="00A9355A"/>
    <w:rsid w:val="00A96D47"/>
    <w:rsid w:val="00AA52F6"/>
    <w:rsid w:val="00AA73C1"/>
    <w:rsid w:val="00AA7636"/>
    <w:rsid w:val="00AB22FB"/>
    <w:rsid w:val="00AB4A83"/>
    <w:rsid w:val="00AB61F2"/>
    <w:rsid w:val="00AC0987"/>
    <w:rsid w:val="00AD4D3C"/>
    <w:rsid w:val="00AE10CA"/>
    <w:rsid w:val="00AE1145"/>
    <w:rsid w:val="00AE6BD9"/>
    <w:rsid w:val="00AE7FEB"/>
    <w:rsid w:val="00AF2A5B"/>
    <w:rsid w:val="00AF61A8"/>
    <w:rsid w:val="00B04D2B"/>
    <w:rsid w:val="00B119BF"/>
    <w:rsid w:val="00B1213D"/>
    <w:rsid w:val="00B160AB"/>
    <w:rsid w:val="00B16820"/>
    <w:rsid w:val="00B1775C"/>
    <w:rsid w:val="00B20607"/>
    <w:rsid w:val="00B21840"/>
    <w:rsid w:val="00B23632"/>
    <w:rsid w:val="00B250B4"/>
    <w:rsid w:val="00B30188"/>
    <w:rsid w:val="00B320E1"/>
    <w:rsid w:val="00B34D4D"/>
    <w:rsid w:val="00B3597A"/>
    <w:rsid w:val="00B36C94"/>
    <w:rsid w:val="00B37053"/>
    <w:rsid w:val="00B3763C"/>
    <w:rsid w:val="00B43E41"/>
    <w:rsid w:val="00B5192A"/>
    <w:rsid w:val="00B51A28"/>
    <w:rsid w:val="00B52451"/>
    <w:rsid w:val="00B53EA4"/>
    <w:rsid w:val="00B56992"/>
    <w:rsid w:val="00B56C6B"/>
    <w:rsid w:val="00B6472E"/>
    <w:rsid w:val="00B64811"/>
    <w:rsid w:val="00B6778C"/>
    <w:rsid w:val="00B67FCE"/>
    <w:rsid w:val="00B7224D"/>
    <w:rsid w:val="00B728CB"/>
    <w:rsid w:val="00B72B4C"/>
    <w:rsid w:val="00B743D6"/>
    <w:rsid w:val="00B767F0"/>
    <w:rsid w:val="00B76A8D"/>
    <w:rsid w:val="00B77DE3"/>
    <w:rsid w:val="00B80978"/>
    <w:rsid w:val="00B86051"/>
    <w:rsid w:val="00B905DE"/>
    <w:rsid w:val="00B9101C"/>
    <w:rsid w:val="00B9175F"/>
    <w:rsid w:val="00B92447"/>
    <w:rsid w:val="00B94C61"/>
    <w:rsid w:val="00B9749E"/>
    <w:rsid w:val="00B97C69"/>
    <w:rsid w:val="00BA1E34"/>
    <w:rsid w:val="00BA38D4"/>
    <w:rsid w:val="00BA631E"/>
    <w:rsid w:val="00BA6453"/>
    <w:rsid w:val="00BB1C14"/>
    <w:rsid w:val="00BB3664"/>
    <w:rsid w:val="00BB4EBA"/>
    <w:rsid w:val="00BC1823"/>
    <w:rsid w:val="00BC2DBB"/>
    <w:rsid w:val="00BC69FA"/>
    <w:rsid w:val="00BC796F"/>
    <w:rsid w:val="00BD5063"/>
    <w:rsid w:val="00BE1767"/>
    <w:rsid w:val="00BE6634"/>
    <w:rsid w:val="00BF1122"/>
    <w:rsid w:val="00BF127F"/>
    <w:rsid w:val="00BF1618"/>
    <w:rsid w:val="00BF2F89"/>
    <w:rsid w:val="00BF393F"/>
    <w:rsid w:val="00BF5F96"/>
    <w:rsid w:val="00C0105A"/>
    <w:rsid w:val="00C04C86"/>
    <w:rsid w:val="00C07079"/>
    <w:rsid w:val="00C11259"/>
    <w:rsid w:val="00C174FE"/>
    <w:rsid w:val="00C17E44"/>
    <w:rsid w:val="00C26B6A"/>
    <w:rsid w:val="00C272A3"/>
    <w:rsid w:val="00C3031A"/>
    <w:rsid w:val="00C31178"/>
    <w:rsid w:val="00C35D48"/>
    <w:rsid w:val="00C37068"/>
    <w:rsid w:val="00C45834"/>
    <w:rsid w:val="00C45E1D"/>
    <w:rsid w:val="00C50E20"/>
    <w:rsid w:val="00C52B49"/>
    <w:rsid w:val="00C53895"/>
    <w:rsid w:val="00C539FD"/>
    <w:rsid w:val="00C53D1F"/>
    <w:rsid w:val="00C5485E"/>
    <w:rsid w:val="00C54D19"/>
    <w:rsid w:val="00C55EB5"/>
    <w:rsid w:val="00C67D38"/>
    <w:rsid w:val="00C7018F"/>
    <w:rsid w:val="00C71877"/>
    <w:rsid w:val="00C71CE3"/>
    <w:rsid w:val="00C81BB6"/>
    <w:rsid w:val="00C83566"/>
    <w:rsid w:val="00C847F8"/>
    <w:rsid w:val="00C849A4"/>
    <w:rsid w:val="00C8649F"/>
    <w:rsid w:val="00C9026C"/>
    <w:rsid w:val="00C930E3"/>
    <w:rsid w:val="00C96387"/>
    <w:rsid w:val="00CA3355"/>
    <w:rsid w:val="00CA4C6F"/>
    <w:rsid w:val="00CA6A3F"/>
    <w:rsid w:val="00CA7017"/>
    <w:rsid w:val="00CB0E67"/>
    <w:rsid w:val="00CB289C"/>
    <w:rsid w:val="00CB4D7C"/>
    <w:rsid w:val="00CB58F5"/>
    <w:rsid w:val="00CC1B44"/>
    <w:rsid w:val="00CC360D"/>
    <w:rsid w:val="00CC4DC9"/>
    <w:rsid w:val="00CD0EC4"/>
    <w:rsid w:val="00CD2412"/>
    <w:rsid w:val="00CD3604"/>
    <w:rsid w:val="00CD5C4A"/>
    <w:rsid w:val="00CD7089"/>
    <w:rsid w:val="00CE0004"/>
    <w:rsid w:val="00CE007A"/>
    <w:rsid w:val="00CE09B4"/>
    <w:rsid w:val="00CE4B06"/>
    <w:rsid w:val="00CE5055"/>
    <w:rsid w:val="00CE5308"/>
    <w:rsid w:val="00CE64BF"/>
    <w:rsid w:val="00CE6529"/>
    <w:rsid w:val="00CF1CA7"/>
    <w:rsid w:val="00CF1CF4"/>
    <w:rsid w:val="00D00F92"/>
    <w:rsid w:val="00D021DF"/>
    <w:rsid w:val="00D04043"/>
    <w:rsid w:val="00D044D6"/>
    <w:rsid w:val="00D11095"/>
    <w:rsid w:val="00D13662"/>
    <w:rsid w:val="00D160CB"/>
    <w:rsid w:val="00D202F8"/>
    <w:rsid w:val="00D204E7"/>
    <w:rsid w:val="00D25D21"/>
    <w:rsid w:val="00D332F2"/>
    <w:rsid w:val="00D360DB"/>
    <w:rsid w:val="00D361AA"/>
    <w:rsid w:val="00D3787F"/>
    <w:rsid w:val="00D37DE8"/>
    <w:rsid w:val="00D40AA7"/>
    <w:rsid w:val="00D51379"/>
    <w:rsid w:val="00D52205"/>
    <w:rsid w:val="00D53DFC"/>
    <w:rsid w:val="00D55C6B"/>
    <w:rsid w:val="00D57CB4"/>
    <w:rsid w:val="00D6000F"/>
    <w:rsid w:val="00D63D7F"/>
    <w:rsid w:val="00D64E99"/>
    <w:rsid w:val="00D65926"/>
    <w:rsid w:val="00D66D77"/>
    <w:rsid w:val="00D71F89"/>
    <w:rsid w:val="00D73B49"/>
    <w:rsid w:val="00D74B7C"/>
    <w:rsid w:val="00D80DB2"/>
    <w:rsid w:val="00D84C8E"/>
    <w:rsid w:val="00D915DA"/>
    <w:rsid w:val="00D93339"/>
    <w:rsid w:val="00DA13BE"/>
    <w:rsid w:val="00DA32B9"/>
    <w:rsid w:val="00DA3C78"/>
    <w:rsid w:val="00DA6837"/>
    <w:rsid w:val="00DA7AE3"/>
    <w:rsid w:val="00DB269B"/>
    <w:rsid w:val="00DB3ECD"/>
    <w:rsid w:val="00DB5722"/>
    <w:rsid w:val="00DB5939"/>
    <w:rsid w:val="00DB63B8"/>
    <w:rsid w:val="00DB6B8A"/>
    <w:rsid w:val="00DC12F0"/>
    <w:rsid w:val="00DC3A34"/>
    <w:rsid w:val="00DC49CE"/>
    <w:rsid w:val="00DC7403"/>
    <w:rsid w:val="00DD7D93"/>
    <w:rsid w:val="00DE1C6B"/>
    <w:rsid w:val="00DE209A"/>
    <w:rsid w:val="00DE2DA4"/>
    <w:rsid w:val="00DE3FA2"/>
    <w:rsid w:val="00DE5B4E"/>
    <w:rsid w:val="00DE6647"/>
    <w:rsid w:val="00DE7A29"/>
    <w:rsid w:val="00E00DB7"/>
    <w:rsid w:val="00E0326A"/>
    <w:rsid w:val="00E0455E"/>
    <w:rsid w:val="00E10D09"/>
    <w:rsid w:val="00E1423B"/>
    <w:rsid w:val="00E142E2"/>
    <w:rsid w:val="00E1497A"/>
    <w:rsid w:val="00E2772B"/>
    <w:rsid w:val="00E27785"/>
    <w:rsid w:val="00E27BC5"/>
    <w:rsid w:val="00E32560"/>
    <w:rsid w:val="00E333C4"/>
    <w:rsid w:val="00E35A05"/>
    <w:rsid w:val="00E37123"/>
    <w:rsid w:val="00E37337"/>
    <w:rsid w:val="00E37520"/>
    <w:rsid w:val="00E444AE"/>
    <w:rsid w:val="00E4731A"/>
    <w:rsid w:val="00E50958"/>
    <w:rsid w:val="00E5188D"/>
    <w:rsid w:val="00E55801"/>
    <w:rsid w:val="00E56C63"/>
    <w:rsid w:val="00E6156E"/>
    <w:rsid w:val="00E61E2E"/>
    <w:rsid w:val="00E66328"/>
    <w:rsid w:val="00E6650A"/>
    <w:rsid w:val="00E73820"/>
    <w:rsid w:val="00E75282"/>
    <w:rsid w:val="00E757FD"/>
    <w:rsid w:val="00E76F66"/>
    <w:rsid w:val="00E773AD"/>
    <w:rsid w:val="00E84EB7"/>
    <w:rsid w:val="00E926CB"/>
    <w:rsid w:val="00E93E42"/>
    <w:rsid w:val="00E9780B"/>
    <w:rsid w:val="00EA16BE"/>
    <w:rsid w:val="00EA1F1D"/>
    <w:rsid w:val="00EA412C"/>
    <w:rsid w:val="00EA7A2A"/>
    <w:rsid w:val="00EB1D86"/>
    <w:rsid w:val="00EC0744"/>
    <w:rsid w:val="00EC7BE1"/>
    <w:rsid w:val="00ED268B"/>
    <w:rsid w:val="00EF1CD1"/>
    <w:rsid w:val="00EF2790"/>
    <w:rsid w:val="00F00DF5"/>
    <w:rsid w:val="00F1283F"/>
    <w:rsid w:val="00F1337D"/>
    <w:rsid w:val="00F236C3"/>
    <w:rsid w:val="00F2415D"/>
    <w:rsid w:val="00F26E3E"/>
    <w:rsid w:val="00F27ABE"/>
    <w:rsid w:val="00F405DB"/>
    <w:rsid w:val="00F40CCB"/>
    <w:rsid w:val="00F435AF"/>
    <w:rsid w:val="00F43A65"/>
    <w:rsid w:val="00F567C9"/>
    <w:rsid w:val="00F5763F"/>
    <w:rsid w:val="00F57E72"/>
    <w:rsid w:val="00F64D1E"/>
    <w:rsid w:val="00F65732"/>
    <w:rsid w:val="00F65F04"/>
    <w:rsid w:val="00F66AEB"/>
    <w:rsid w:val="00F702B3"/>
    <w:rsid w:val="00F73A9F"/>
    <w:rsid w:val="00F74A51"/>
    <w:rsid w:val="00F77A53"/>
    <w:rsid w:val="00F80809"/>
    <w:rsid w:val="00F81856"/>
    <w:rsid w:val="00F85D89"/>
    <w:rsid w:val="00F86185"/>
    <w:rsid w:val="00F8627A"/>
    <w:rsid w:val="00F93875"/>
    <w:rsid w:val="00F9672E"/>
    <w:rsid w:val="00FA0312"/>
    <w:rsid w:val="00FA0D5F"/>
    <w:rsid w:val="00FA16AE"/>
    <w:rsid w:val="00FC1680"/>
    <w:rsid w:val="00FC65B4"/>
    <w:rsid w:val="00FC660A"/>
    <w:rsid w:val="00FC6C7C"/>
    <w:rsid w:val="00FD04B0"/>
    <w:rsid w:val="00FD1388"/>
    <w:rsid w:val="00FD2F3D"/>
    <w:rsid w:val="00FD70BB"/>
    <w:rsid w:val="00FE49F4"/>
    <w:rsid w:val="00FE536F"/>
    <w:rsid w:val="00FE605C"/>
    <w:rsid w:val="00FE685D"/>
    <w:rsid w:val="00FE6F82"/>
    <w:rsid w:val="00FE762A"/>
    <w:rsid w:val="00FF17D4"/>
    <w:rsid w:val="00FF60C4"/>
    <w:rsid w:val="00FF61F8"/>
    <w:rsid w:val="00FF6D87"/>
    <w:rsid w:val="00FF6FA6"/>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7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05"/>
    <w:pPr>
      <w:ind w:left="720"/>
      <w:contextualSpacing/>
    </w:pPr>
  </w:style>
  <w:style w:type="character" w:customStyle="1" w:styleId="BodyTextChar">
    <w:name w:val="Body Text Char"/>
    <w:aliases w:val="F4 Main Text Char"/>
    <w:basedOn w:val="DefaultParagraphFont"/>
    <w:link w:val="BodyText"/>
    <w:uiPriority w:val="4"/>
    <w:semiHidden/>
    <w:locked/>
    <w:rsid w:val="009008FB"/>
    <w:rPr>
      <w:lang w:val="en-GB"/>
    </w:rPr>
  </w:style>
  <w:style w:type="paragraph" w:styleId="BodyText">
    <w:name w:val="Body Text"/>
    <w:aliases w:val="F4 Main Text"/>
    <w:basedOn w:val="Normal"/>
    <w:link w:val="BodyTextChar"/>
    <w:uiPriority w:val="4"/>
    <w:semiHidden/>
    <w:unhideWhenUsed/>
    <w:qFormat/>
    <w:rsid w:val="009008FB"/>
    <w:pPr>
      <w:spacing w:before="120" w:after="120"/>
      <w:ind w:left="567"/>
      <w:jc w:val="both"/>
    </w:pPr>
    <w:rPr>
      <w:lang w:val="en-GB"/>
    </w:rPr>
  </w:style>
  <w:style w:type="character" w:customStyle="1" w:styleId="BodyTextChar1">
    <w:name w:val="Body Text Char1"/>
    <w:basedOn w:val="DefaultParagraphFont"/>
    <w:uiPriority w:val="99"/>
    <w:semiHidden/>
    <w:rsid w:val="009008FB"/>
  </w:style>
  <w:style w:type="paragraph" w:styleId="Header">
    <w:name w:val="header"/>
    <w:basedOn w:val="Normal"/>
    <w:link w:val="HeaderChar"/>
    <w:uiPriority w:val="99"/>
    <w:unhideWhenUsed/>
    <w:rsid w:val="00391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A2"/>
  </w:style>
  <w:style w:type="paragraph" w:styleId="Footer">
    <w:name w:val="footer"/>
    <w:basedOn w:val="Normal"/>
    <w:link w:val="FooterChar"/>
    <w:uiPriority w:val="99"/>
    <w:unhideWhenUsed/>
    <w:rsid w:val="0039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A2"/>
  </w:style>
  <w:style w:type="character" w:styleId="CommentReference">
    <w:name w:val="annotation reference"/>
    <w:basedOn w:val="DefaultParagraphFont"/>
    <w:uiPriority w:val="99"/>
    <w:semiHidden/>
    <w:unhideWhenUsed/>
    <w:rsid w:val="00F702B3"/>
    <w:rPr>
      <w:sz w:val="16"/>
      <w:szCs w:val="16"/>
    </w:rPr>
  </w:style>
  <w:style w:type="paragraph" w:styleId="CommentText">
    <w:name w:val="annotation text"/>
    <w:basedOn w:val="Normal"/>
    <w:link w:val="CommentTextChar"/>
    <w:uiPriority w:val="99"/>
    <w:unhideWhenUsed/>
    <w:rsid w:val="00F702B3"/>
    <w:pPr>
      <w:spacing w:line="240" w:lineRule="auto"/>
    </w:pPr>
    <w:rPr>
      <w:sz w:val="20"/>
      <w:szCs w:val="20"/>
    </w:rPr>
  </w:style>
  <w:style w:type="character" w:customStyle="1" w:styleId="CommentTextChar">
    <w:name w:val="Comment Text Char"/>
    <w:basedOn w:val="DefaultParagraphFont"/>
    <w:link w:val="CommentText"/>
    <w:uiPriority w:val="99"/>
    <w:rsid w:val="00F702B3"/>
    <w:rPr>
      <w:sz w:val="20"/>
      <w:szCs w:val="20"/>
    </w:rPr>
  </w:style>
  <w:style w:type="paragraph" w:styleId="CommentSubject">
    <w:name w:val="annotation subject"/>
    <w:basedOn w:val="CommentText"/>
    <w:next w:val="CommentText"/>
    <w:link w:val="CommentSubjectChar"/>
    <w:uiPriority w:val="99"/>
    <w:semiHidden/>
    <w:unhideWhenUsed/>
    <w:rsid w:val="00F702B3"/>
    <w:rPr>
      <w:b/>
      <w:bCs/>
    </w:rPr>
  </w:style>
  <w:style w:type="character" w:customStyle="1" w:styleId="CommentSubjectChar">
    <w:name w:val="Comment Subject Char"/>
    <w:basedOn w:val="CommentTextChar"/>
    <w:link w:val="CommentSubject"/>
    <w:uiPriority w:val="99"/>
    <w:semiHidden/>
    <w:rsid w:val="00F702B3"/>
    <w:rPr>
      <w:b/>
      <w:bCs/>
      <w:sz w:val="20"/>
      <w:szCs w:val="20"/>
    </w:rPr>
  </w:style>
  <w:style w:type="paragraph" w:styleId="BalloonText">
    <w:name w:val="Balloon Text"/>
    <w:basedOn w:val="Normal"/>
    <w:link w:val="BalloonTextChar"/>
    <w:uiPriority w:val="99"/>
    <w:semiHidden/>
    <w:unhideWhenUsed/>
    <w:rsid w:val="00F7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B3"/>
    <w:rPr>
      <w:rFonts w:ascii="Segoe UI" w:hAnsi="Segoe UI" w:cs="Segoe UI"/>
      <w:sz w:val="18"/>
      <w:szCs w:val="18"/>
    </w:rPr>
  </w:style>
  <w:style w:type="table" w:styleId="TableGrid">
    <w:name w:val="Table Grid"/>
    <w:basedOn w:val="TableNormal"/>
    <w:uiPriority w:val="59"/>
    <w:rsid w:val="00F4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6031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FE49F4"/>
    <w:pPr>
      <w:spacing w:after="0" w:line="240" w:lineRule="auto"/>
    </w:pPr>
    <w:rPr>
      <w:sz w:val="24"/>
      <w:szCs w:val="24"/>
      <w:lang w:val="en-GB"/>
    </w:rPr>
  </w:style>
  <w:style w:type="character" w:customStyle="1" w:styleId="FootnoteTextChar">
    <w:name w:val="Footnote Text Char"/>
    <w:basedOn w:val="DefaultParagraphFont"/>
    <w:link w:val="FootnoteText"/>
    <w:uiPriority w:val="99"/>
    <w:semiHidden/>
    <w:rsid w:val="00FE49F4"/>
    <w:rPr>
      <w:sz w:val="24"/>
      <w:szCs w:val="24"/>
      <w:lang w:val="en-GB"/>
    </w:rPr>
  </w:style>
  <w:style w:type="character" w:styleId="FootnoteReference">
    <w:name w:val="footnote reference"/>
    <w:basedOn w:val="DefaultParagraphFont"/>
    <w:uiPriority w:val="99"/>
    <w:semiHidden/>
    <w:unhideWhenUsed/>
    <w:rsid w:val="00FE49F4"/>
    <w:rPr>
      <w:vertAlign w:val="superscript"/>
    </w:rPr>
  </w:style>
  <w:style w:type="character" w:styleId="Hyperlink">
    <w:name w:val="Hyperlink"/>
    <w:basedOn w:val="DefaultParagraphFont"/>
    <w:uiPriority w:val="99"/>
    <w:unhideWhenUsed/>
    <w:rsid w:val="00B51A28"/>
    <w:rPr>
      <w:color w:val="0000FF" w:themeColor="hyperlink"/>
      <w:u w:val="single"/>
    </w:rPr>
  </w:style>
  <w:style w:type="character" w:styleId="FollowedHyperlink">
    <w:name w:val="FollowedHyperlink"/>
    <w:basedOn w:val="DefaultParagraphFont"/>
    <w:uiPriority w:val="99"/>
    <w:semiHidden/>
    <w:unhideWhenUsed/>
    <w:rsid w:val="002D7CA1"/>
    <w:rPr>
      <w:color w:val="800080" w:themeColor="followedHyperlink"/>
      <w:u w:val="single"/>
    </w:rPr>
  </w:style>
  <w:style w:type="paragraph" w:styleId="Revision">
    <w:name w:val="Revision"/>
    <w:hidden/>
    <w:uiPriority w:val="99"/>
    <w:semiHidden/>
    <w:rsid w:val="00D360DB"/>
    <w:pPr>
      <w:spacing w:after="0" w:line="240" w:lineRule="auto"/>
    </w:pPr>
  </w:style>
  <w:style w:type="character" w:customStyle="1" w:styleId="highwire-cite-metadata-volume">
    <w:name w:val="highwire-cite-metadata-volume"/>
    <w:basedOn w:val="DefaultParagraphFont"/>
    <w:rsid w:val="009C4A47"/>
  </w:style>
  <w:style w:type="character" w:customStyle="1" w:styleId="highwire-cite-metadata-issue">
    <w:name w:val="highwire-cite-metadata-issue"/>
    <w:basedOn w:val="DefaultParagraphFont"/>
    <w:rsid w:val="009C4A47"/>
  </w:style>
  <w:style w:type="character" w:customStyle="1" w:styleId="highwire-cite-metadata-pages">
    <w:name w:val="highwire-cite-metadata-pages"/>
    <w:basedOn w:val="DefaultParagraphFont"/>
    <w:rsid w:val="009C4A47"/>
  </w:style>
  <w:style w:type="character" w:customStyle="1" w:styleId="highwire-cite-metadata-doi">
    <w:name w:val="highwire-cite-metadata-doi"/>
    <w:basedOn w:val="DefaultParagraphFont"/>
    <w:rsid w:val="009C4A47"/>
  </w:style>
  <w:style w:type="character" w:customStyle="1" w:styleId="label">
    <w:name w:val="label"/>
    <w:basedOn w:val="DefaultParagraphFont"/>
    <w:rsid w:val="009C4A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05"/>
    <w:pPr>
      <w:ind w:left="720"/>
      <w:contextualSpacing/>
    </w:pPr>
  </w:style>
  <w:style w:type="character" w:customStyle="1" w:styleId="BodyTextChar">
    <w:name w:val="Body Text Char"/>
    <w:aliases w:val="F4 Main Text Char"/>
    <w:basedOn w:val="DefaultParagraphFont"/>
    <w:link w:val="BodyText"/>
    <w:uiPriority w:val="4"/>
    <w:semiHidden/>
    <w:locked/>
    <w:rsid w:val="009008FB"/>
    <w:rPr>
      <w:lang w:val="en-GB"/>
    </w:rPr>
  </w:style>
  <w:style w:type="paragraph" w:styleId="BodyText">
    <w:name w:val="Body Text"/>
    <w:aliases w:val="F4 Main Text"/>
    <w:basedOn w:val="Normal"/>
    <w:link w:val="BodyTextChar"/>
    <w:uiPriority w:val="4"/>
    <w:semiHidden/>
    <w:unhideWhenUsed/>
    <w:qFormat/>
    <w:rsid w:val="009008FB"/>
    <w:pPr>
      <w:spacing w:before="120" w:after="120"/>
      <w:ind w:left="567"/>
      <w:jc w:val="both"/>
    </w:pPr>
    <w:rPr>
      <w:lang w:val="en-GB"/>
    </w:rPr>
  </w:style>
  <w:style w:type="character" w:customStyle="1" w:styleId="BodyTextChar1">
    <w:name w:val="Body Text Char1"/>
    <w:basedOn w:val="DefaultParagraphFont"/>
    <w:uiPriority w:val="99"/>
    <w:semiHidden/>
    <w:rsid w:val="009008FB"/>
  </w:style>
  <w:style w:type="paragraph" w:styleId="Header">
    <w:name w:val="header"/>
    <w:basedOn w:val="Normal"/>
    <w:link w:val="HeaderChar"/>
    <w:uiPriority w:val="99"/>
    <w:unhideWhenUsed/>
    <w:rsid w:val="00391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A2"/>
  </w:style>
  <w:style w:type="paragraph" w:styleId="Footer">
    <w:name w:val="footer"/>
    <w:basedOn w:val="Normal"/>
    <w:link w:val="FooterChar"/>
    <w:uiPriority w:val="99"/>
    <w:unhideWhenUsed/>
    <w:rsid w:val="0039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A2"/>
  </w:style>
  <w:style w:type="character" w:styleId="CommentReference">
    <w:name w:val="annotation reference"/>
    <w:basedOn w:val="DefaultParagraphFont"/>
    <w:uiPriority w:val="99"/>
    <w:semiHidden/>
    <w:unhideWhenUsed/>
    <w:rsid w:val="00F702B3"/>
    <w:rPr>
      <w:sz w:val="16"/>
      <w:szCs w:val="16"/>
    </w:rPr>
  </w:style>
  <w:style w:type="paragraph" w:styleId="CommentText">
    <w:name w:val="annotation text"/>
    <w:basedOn w:val="Normal"/>
    <w:link w:val="CommentTextChar"/>
    <w:uiPriority w:val="99"/>
    <w:unhideWhenUsed/>
    <w:rsid w:val="00F702B3"/>
    <w:pPr>
      <w:spacing w:line="240" w:lineRule="auto"/>
    </w:pPr>
    <w:rPr>
      <w:sz w:val="20"/>
      <w:szCs w:val="20"/>
    </w:rPr>
  </w:style>
  <w:style w:type="character" w:customStyle="1" w:styleId="CommentTextChar">
    <w:name w:val="Comment Text Char"/>
    <w:basedOn w:val="DefaultParagraphFont"/>
    <w:link w:val="CommentText"/>
    <w:uiPriority w:val="99"/>
    <w:rsid w:val="00F702B3"/>
    <w:rPr>
      <w:sz w:val="20"/>
      <w:szCs w:val="20"/>
    </w:rPr>
  </w:style>
  <w:style w:type="paragraph" w:styleId="CommentSubject">
    <w:name w:val="annotation subject"/>
    <w:basedOn w:val="CommentText"/>
    <w:next w:val="CommentText"/>
    <w:link w:val="CommentSubjectChar"/>
    <w:uiPriority w:val="99"/>
    <w:semiHidden/>
    <w:unhideWhenUsed/>
    <w:rsid w:val="00F702B3"/>
    <w:rPr>
      <w:b/>
      <w:bCs/>
    </w:rPr>
  </w:style>
  <w:style w:type="character" w:customStyle="1" w:styleId="CommentSubjectChar">
    <w:name w:val="Comment Subject Char"/>
    <w:basedOn w:val="CommentTextChar"/>
    <w:link w:val="CommentSubject"/>
    <w:uiPriority w:val="99"/>
    <w:semiHidden/>
    <w:rsid w:val="00F702B3"/>
    <w:rPr>
      <w:b/>
      <w:bCs/>
      <w:sz w:val="20"/>
      <w:szCs w:val="20"/>
    </w:rPr>
  </w:style>
  <w:style w:type="paragraph" w:styleId="BalloonText">
    <w:name w:val="Balloon Text"/>
    <w:basedOn w:val="Normal"/>
    <w:link w:val="BalloonTextChar"/>
    <w:uiPriority w:val="99"/>
    <w:semiHidden/>
    <w:unhideWhenUsed/>
    <w:rsid w:val="00F7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B3"/>
    <w:rPr>
      <w:rFonts w:ascii="Segoe UI" w:hAnsi="Segoe UI" w:cs="Segoe UI"/>
      <w:sz w:val="18"/>
      <w:szCs w:val="18"/>
    </w:rPr>
  </w:style>
  <w:style w:type="table" w:styleId="TableGrid">
    <w:name w:val="Table Grid"/>
    <w:basedOn w:val="TableNormal"/>
    <w:uiPriority w:val="59"/>
    <w:rsid w:val="00F4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6031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FE49F4"/>
    <w:pPr>
      <w:spacing w:after="0" w:line="240" w:lineRule="auto"/>
    </w:pPr>
    <w:rPr>
      <w:sz w:val="24"/>
      <w:szCs w:val="24"/>
      <w:lang w:val="en-GB"/>
    </w:rPr>
  </w:style>
  <w:style w:type="character" w:customStyle="1" w:styleId="FootnoteTextChar">
    <w:name w:val="Footnote Text Char"/>
    <w:basedOn w:val="DefaultParagraphFont"/>
    <w:link w:val="FootnoteText"/>
    <w:uiPriority w:val="99"/>
    <w:semiHidden/>
    <w:rsid w:val="00FE49F4"/>
    <w:rPr>
      <w:sz w:val="24"/>
      <w:szCs w:val="24"/>
      <w:lang w:val="en-GB"/>
    </w:rPr>
  </w:style>
  <w:style w:type="character" w:styleId="FootnoteReference">
    <w:name w:val="footnote reference"/>
    <w:basedOn w:val="DefaultParagraphFont"/>
    <w:uiPriority w:val="99"/>
    <w:semiHidden/>
    <w:unhideWhenUsed/>
    <w:rsid w:val="00FE49F4"/>
    <w:rPr>
      <w:vertAlign w:val="superscript"/>
    </w:rPr>
  </w:style>
  <w:style w:type="character" w:styleId="Hyperlink">
    <w:name w:val="Hyperlink"/>
    <w:basedOn w:val="DefaultParagraphFont"/>
    <w:uiPriority w:val="99"/>
    <w:unhideWhenUsed/>
    <w:rsid w:val="00B51A28"/>
    <w:rPr>
      <w:color w:val="0000FF" w:themeColor="hyperlink"/>
      <w:u w:val="single"/>
    </w:rPr>
  </w:style>
  <w:style w:type="character" w:styleId="FollowedHyperlink">
    <w:name w:val="FollowedHyperlink"/>
    <w:basedOn w:val="DefaultParagraphFont"/>
    <w:uiPriority w:val="99"/>
    <w:semiHidden/>
    <w:unhideWhenUsed/>
    <w:rsid w:val="002D7CA1"/>
    <w:rPr>
      <w:color w:val="800080" w:themeColor="followedHyperlink"/>
      <w:u w:val="single"/>
    </w:rPr>
  </w:style>
  <w:style w:type="paragraph" w:styleId="Revision">
    <w:name w:val="Revision"/>
    <w:hidden/>
    <w:uiPriority w:val="99"/>
    <w:semiHidden/>
    <w:rsid w:val="00D360DB"/>
    <w:pPr>
      <w:spacing w:after="0" w:line="240" w:lineRule="auto"/>
    </w:pPr>
  </w:style>
  <w:style w:type="character" w:customStyle="1" w:styleId="highwire-cite-metadata-volume">
    <w:name w:val="highwire-cite-metadata-volume"/>
    <w:basedOn w:val="DefaultParagraphFont"/>
    <w:rsid w:val="009C4A47"/>
  </w:style>
  <w:style w:type="character" w:customStyle="1" w:styleId="highwire-cite-metadata-issue">
    <w:name w:val="highwire-cite-metadata-issue"/>
    <w:basedOn w:val="DefaultParagraphFont"/>
    <w:rsid w:val="009C4A47"/>
  </w:style>
  <w:style w:type="character" w:customStyle="1" w:styleId="highwire-cite-metadata-pages">
    <w:name w:val="highwire-cite-metadata-pages"/>
    <w:basedOn w:val="DefaultParagraphFont"/>
    <w:rsid w:val="009C4A47"/>
  </w:style>
  <w:style w:type="character" w:customStyle="1" w:styleId="highwire-cite-metadata-doi">
    <w:name w:val="highwire-cite-metadata-doi"/>
    <w:basedOn w:val="DefaultParagraphFont"/>
    <w:rsid w:val="009C4A47"/>
  </w:style>
  <w:style w:type="character" w:customStyle="1" w:styleId="label">
    <w:name w:val="label"/>
    <w:basedOn w:val="DefaultParagraphFont"/>
    <w:rsid w:val="009C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7138">
      <w:bodyDiv w:val="1"/>
      <w:marLeft w:val="0"/>
      <w:marRight w:val="0"/>
      <w:marTop w:val="0"/>
      <w:marBottom w:val="0"/>
      <w:divBdr>
        <w:top w:val="none" w:sz="0" w:space="0" w:color="auto"/>
        <w:left w:val="none" w:sz="0" w:space="0" w:color="auto"/>
        <w:bottom w:val="none" w:sz="0" w:space="0" w:color="auto"/>
        <w:right w:val="none" w:sz="0" w:space="0" w:color="auto"/>
      </w:divBdr>
      <w:divsChild>
        <w:div w:id="1468011564">
          <w:marLeft w:val="0"/>
          <w:marRight w:val="0"/>
          <w:marTop w:val="0"/>
          <w:marBottom w:val="150"/>
          <w:divBdr>
            <w:top w:val="none" w:sz="0" w:space="0" w:color="auto"/>
            <w:left w:val="none" w:sz="0" w:space="0" w:color="auto"/>
            <w:bottom w:val="none" w:sz="0" w:space="0" w:color="auto"/>
            <w:right w:val="none" w:sz="0" w:space="0" w:color="auto"/>
          </w:divBdr>
          <w:divsChild>
            <w:div w:id="415517083">
              <w:marLeft w:val="0"/>
              <w:marRight w:val="0"/>
              <w:marTop w:val="0"/>
              <w:marBottom w:val="0"/>
              <w:divBdr>
                <w:top w:val="none" w:sz="0" w:space="0" w:color="auto"/>
                <w:left w:val="none" w:sz="0" w:space="0" w:color="auto"/>
                <w:bottom w:val="none" w:sz="0" w:space="0" w:color="auto"/>
                <w:right w:val="none" w:sz="0" w:space="0" w:color="auto"/>
              </w:divBdr>
            </w:div>
          </w:divsChild>
        </w:div>
        <w:div w:id="696585991">
          <w:marLeft w:val="0"/>
          <w:marRight w:val="0"/>
          <w:marTop w:val="0"/>
          <w:marBottom w:val="150"/>
          <w:divBdr>
            <w:top w:val="none" w:sz="0" w:space="0" w:color="auto"/>
            <w:left w:val="none" w:sz="0" w:space="0" w:color="auto"/>
            <w:bottom w:val="none" w:sz="0" w:space="0" w:color="auto"/>
            <w:right w:val="none" w:sz="0" w:space="0" w:color="auto"/>
          </w:divBdr>
          <w:divsChild>
            <w:div w:id="2012442329">
              <w:marLeft w:val="0"/>
              <w:marRight w:val="0"/>
              <w:marTop w:val="0"/>
              <w:marBottom w:val="0"/>
              <w:divBdr>
                <w:top w:val="none" w:sz="0" w:space="0" w:color="auto"/>
                <w:left w:val="none" w:sz="0" w:space="0" w:color="auto"/>
                <w:bottom w:val="none" w:sz="0" w:space="0" w:color="auto"/>
                <w:right w:val="none" w:sz="0" w:space="0" w:color="auto"/>
              </w:divBdr>
            </w:div>
          </w:divsChild>
        </w:div>
        <w:div w:id="1464229020">
          <w:marLeft w:val="0"/>
          <w:marRight w:val="0"/>
          <w:marTop w:val="0"/>
          <w:marBottom w:val="150"/>
          <w:divBdr>
            <w:top w:val="none" w:sz="0" w:space="0" w:color="auto"/>
            <w:left w:val="none" w:sz="0" w:space="0" w:color="auto"/>
            <w:bottom w:val="none" w:sz="0" w:space="0" w:color="auto"/>
            <w:right w:val="none" w:sz="0" w:space="0" w:color="auto"/>
          </w:divBdr>
          <w:divsChild>
            <w:div w:id="488207494">
              <w:marLeft w:val="0"/>
              <w:marRight w:val="0"/>
              <w:marTop w:val="0"/>
              <w:marBottom w:val="0"/>
              <w:divBdr>
                <w:top w:val="none" w:sz="0" w:space="0" w:color="auto"/>
                <w:left w:val="none" w:sz="0" w:space="0" w:color="auto"/>
                <w:bottom w:val="none" w:sz="0" w:space="0" w:color="auto"/>
                <w:right w:val="none" w:sz="0" w:space="0" w:color="auto"/>
              </w:divBdr>
            </w:div>
          </w:divsChild>
        </w:div>
        <w:div w:id="1281954685">
          <w:marLeft w:val="0"/>
          <w:marRight w:val="0"/>
          <w:marTop w:val="0"/>
          <w:marBottom w:val="150"/>
          <w:divBdr>
            <w:top w:val="none" w:sz="0" w:space="0" w:color="auto"/>
            <w:left w:val="none" w:sz="0" w:space="0" w:color="auto"/>
            <w:bottom w:val="none" w:sz="0" w:space="0" w:color="auto"/>
            <w:right w:val="none" w:sz="0" w:space="0" w:color="auto"/>
          </w:divBdr>
          <w:divsChild>
            <w:div w:id="171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4580">
      <w:bodyDiv w:val="1"/>
      <w:marLeft w:val="0"/>
      <w:marRight w:val="0"/>
      <w:marTop w:val="0"/>
      <w:marBottom w:val="0"/>
      <w:divBdr>
        <w:top w:val="none" w:sz="0" w:space="0" w:color="auto"/>
        <w:left w:val="none" w:sz="0" w:space="0" w:color="auto"/>
        <w:bottom w:val="none" w:sz="0" w:space="0" w:color="auto"/>
        <w:right w:val="none" w:sz="0" w:space="0" w:color="auto"/>
      </w:divBdr>
    </w:div>
    <w:div w:id="1354457218">
      <w:bodyDiv w:val="1"/>
      <w:marLeft w:val="0"/>
      <w:marRight w:val="0"/>
      <w:marTop w:val="0"/>
      <w:marBottom w:val="0"/>
      <w:divBdr>
        <w:top w:val="none" w:sz="0" w:space="0" w:color="auto"/>
        <w:left w:val="none" w:sz="0" w:space="0" w:color="auto"/>
        <w:bottom w:val="none" w:sz="0" w:space="0" w:color="auto"/>
        <w:right w:val="none" w:sz="0" w:space="0" w:color="auto"/>
      </w:divBdr>
    </w:div>
    <w:div w:id="1658149467">
      <w:bodyDiv w:val="1"/>
      <w:marLeft w:val="0"/>
      <w:marRight w:val="0"/>
      <w:marTop w:val="0"/>
      <w:marBottom w:val="0"/>
      <w:divBdr>
        <w:top w:val="none" w:sz="0" w:space="0" w:color="auto"/>
        <w:left w:val="none" w:sz="0" w:space="0" w:color="auto"/>
        <w:bottom w:val="none" w:sz="0" w:space="0" w:color="auto"/>
        <w:right w:val="none" w:sz="0" w:space="0" w:color="auto"/>
      </w:divBdr>
    </w:div>
    <w:div w:id="20776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chart" Target="charts/chart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stituteofhealthequity.org/resources-reports/marmot-indicators-2017-institute-of-health-equity-briefing/marmot-indicators-briefing-2017-updated.pdf" TargetMode="External"/><Relationship Id="rId10" Type="http://schemas.openxmlformats.org/officeDocument/2006/relationships/hyperlink" Target="https://gp-patient.co.uk/SurveysAndRepor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so1318\Desktop\Working%20from%20home\HHS%20Methods%20Paper\RandR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870815805558"/>
          <c:y val="0.0422373816198886"/>
          <c:w val="0.615185165210513"/>
          <c:h val="0.57705223684461"/>
        </c:manualLayout>
      </c:layout>
      <c:barChart>
        <c:barDir val="col"/>
        <c:grouping val="clustered"/>
        <c:varyColors val="0"/>
        <c:ser>
          <c:idx val="0"/>
          <c:order val="0"/>
          <c:tx>
            <c:strRef>
              <c:f>Sheet1!$C$10</c:f>
              <c:strCache>
                <c:ptCount val="1"/>
                <c:pt idx="0">
                  <c:v>Neighbourhoods for Learning</c:v>
                </c:pt>
              </c:strCache>
            </c:strRef>
          </c:tx>
          <c:spPr>
            <a:solidFill>
              <a:schemeClr val="tx1">
                <a:lumMod val="85000"/>
                <a:lumOff val="15000"/>
              </a:schemeClr>
            </a:solidFill>
          </c:spPr>
          <c:invertIfNegative val="0"/>
          <c:cat>
            <c:strRef>
              <c:f>Sheet1!$B$11:$B$16</c:f>
              <c:strCache>
                <c:ptCount val="6"/>
                <c:pt idx="0">
                  <c:v>LT Condition (wave 1)</c:v>
                </c:pt>
                <c:pt idx="1">
                  <c:v>LT Condition (wave 2)</c:v>
                </c:pt>
                <c:pt idx="2">
                  <c:v>MH Condition (wave 1)</c:v>
                </c:pt>
                <c:pt idx="3">
                  <c:v>MH Condition (wave 2)</c:v>
                </c:pt>
                <c:pt idx="4">
                  <c:v>A&amp;E attendance (wave 1)</c:v>
                </c:pt>
                <c:pt idx="5">
                  <c:v>A&amp;E attendance (wave 2)</c:v>
                </c:pt>
              </c:strCache>
            </c:strRef>
          </c:cat>
          <c:val>
            <c:numRef>
              <c:f>Sheet1!$C$11:$C$16</c:f>
              <c:numCache>
                <c:formatCode>General</c:formatCode>
                <c:ptCount val="6"/>
                <c:pt idx="0">
                  <c:v>44.5</c:v>
                </c:pt>
                <c:pt idx="1">
                  <c:v>47.42</c:v>
                </c:pt>
                <c:pt idx="2">
                  <c:v>14.6</c:v>
                </c:pt>
                <c:pt idx="3">
                  <c:v>19.95</c:v>
                </c:pt>
                <c:pt idx="4">
                  <c:v>26.74</c:v>
                </c:pt>
                <c:pt idx="5">
                  <c:v>25.74</c:v>
                </c:pt>
              </c:numCache>
            </c:numRef>
          </c:val>
          <c:extLst xmlns:c16r2="http://schemas.microsoft.com/office/drawing/2015/06/chart">
            <c:ext xmlns:c16="http://schemas.microsoft.com/office/drawing/2014/chart" uri="{C3380CC4-5D6E-409C-BE32-E72D297353CC}">
              <c16:uniqueId val="{00000000-93E4-4958-BBF0-185E711CB386}"/>
            </c:ext>
          </c:extLst>
        </c:ser>
        <c:ser>
          <c:idx val="1"/>
          <c:order val="1"/>
          <c:tx>
            <c:strRef>
              <c:f>Sheet1!$D$10</c:f>
              <c:strCache>
                <c:ptCount val="1"/>
                <c:pt idx="0">
                  <c:v>Disadvantaged Comparator</c:v>
                </c:pt>
              </c:strCache>
            </c:strRef>
          </c:tx>
          <c:spPr>
            <a:solidFill>
              <a:schemeClr val="tx1">
                <a:lumMod val="50000"/>
                <a:lumOff val="50000"/>
              </a:schemeClr>
            </a:solidFill>
          </c:spPr>
          <c:invertIfNegative val="0"/>
          <c:cat>
            <c:strRef>
              <c:f>Sheet1!$B$11:$B$16</c:f>
              <c:strCache>
                <c:ptCount val="6"/>
                <c:pt idx="0">
                  <c:v>LT Condition (wave 1)</c:v>
                </c:pt>
                <c:pt idx="1">
                  <c:v>LT Condition (wave 2)</c:v>
                </c:pt>
                <c:pt idx="2">
                  <c:v>MH Condition (wave 1)</c:v>
                </c:pt>
                <c:pt idx="3">
                  <c:v>MH Condition (wave 2)</c:v>
                </c:pt>
                <c:pt idx="4">
                  <c:v>A&amp;E attendance (wave 1)</c:v>
                </c:pt>
                <c:pt idx="5">
                  <c:v>A&amp;E attendance (wave 2)</c:v>
                </c:pt>
              </c:strCache>
            </c:strRef>
          </c:cat>
          <c:val>
            <c:numRef>
              <c:f>Sheet1!$D$11:$D$16</c:f>
              <c:numCache>
                <c:formatCode>General</c:formatCode>
                <c:ptCount val="6"/>
                <c:pt idx="0">
                  <c:v>43.36</c:v>
                </c:pt>
                <c:pt idx="1">
                  <c:v>40.81</c:v>
                </c:pt>
                <c:pt idx="2">
                  <c:v>12.01</c:v>
                </c:pt>
                <c:pt idx="3">
                  <c:v>16.07999999999999</c:v>
                </c:pt>
                <c:pt idx="4">
                  <c:v>27.37</c:v>
                </c:pt>
                <c:pt idx="5">
                  <c:v>22.43</c:v>
                </c:pt>
              </c:numCache>
            </c:numRef>
          </c:val>
          <c:extLst xmlns:c16r2="http://schemas.microsoft.com/office/drawing/2015/06/chart">
            <c:ext xmlns:c16="http://schemas.microsoft.com/office/drawing/2014/chart" uri="{C3380CC4-5D6E-409C-BE32-E72D297353CC}">
              <c16:uniqueId val="{00000001-93E4-4958-BBF0-185E711CB386}"/>
            </c:ext>
          </c:extLst>
        </c:ser>
        <c:ser>
          <c:idx val="2"/>
          <c:order val="2"/>
          <c:tx>
            <c:strRef>
              <c:f>Sheet1!$E$10</c:f>
              <c:strCache>
                <c:ptCount val="1"/>
                <c:pt idx="0">
                  <c:v>Relatively Advantaged </c:v>
                </c:pt>
              </c:strCache>
            </c:strRef>
          </c:tx>
          <c:spPr>
            <a:pattFill prst="dkUpDiag">
              <a:fgClr>
                <a:schemeClr val="tx1">
                  <a:lumMod val="50000"/>
                  <a:lumOff val="50000"/>
                </a:schemeClr>
              </a:fgClr>
              <a:bgClr>
                <a:schemeClr val="bg1"/>
              </a:bgClr>
            </a:pattFill>
          </c:spPr>
          <c:invertIfNegative val="0"/>
          <c:cat>
            <c:strRef>
              <c:f>Sheet1!$B$11:$B$16</c:f>
              <c:strCache>
                <c:ptCount val="6"/>
                <c:pt idx="0">
                  <c:v>LT Condition (wave 1)</c:v>
                </c:pt>
                <c:pt idx="1">
                  <c:v>LT Condition (wave 2)</c:v>
                </c:pt>
                <c:pt idx="2">
                  <c:v>MH Condition (wave 1)</c:v>
                </c:pt>
                <c:pt idx="3">
                  <c:v>MH Condition (wave 2)</c:v>
                </c:pt>
                <c:pt idx="4">
                  <c:v>A&amp;E attendance (wave 1)</c:v>
                </c:pt>
                <c:pt idx="5">
                  <c:v>A&amp;E attendance (wave 2)</c:v>
                </c:pt>
              </c:strCache>
            </c:strRef>
          </c:cat>
          <c:val>
            <c:numRef>
              <c:f>Sheet1!$E$11:$E$16</c:f>
              <c:numCache>
                <c:formatCode>General</c:formatCode>
                <c:ptCount val="6"/>
                <c:pt idx="0">
                  <c:v>36.88</c:v>
                </c:pt>
                <c:pt idx="2">
                  <c:v>5.34</c:v>
                </c:pt>
                <c:pt idx="4">
                  <c:v>20.3</c:v>
                </c:pt>
              </c:numCache>
            </c:numRef>
          </c:val>
          <c:extLst xmlns:c16r2="http://schemas.microsoft.com/office/drawing/2015/06/chart">
            <c:ext xmlns:c16="http://schemas.microsoft.com/office/drawing/2014/chart" uri="{C3380CC4-5D6E-409C-BE32-E72D297353CC}">
              <c16:uniqueId val="{00000002-93E4-4958-BBF0-185E711CB386}"/>
            </c:ext>
          </c:extLst>
        </c:ser>
        <c:dLbls>
          <c:showLegendKey val="0"/>
          <c:showVal val="0"/>
          <c:showCatName val="0"/>
          <c:showSerName val="0"/>
          <c:showPercent val="0"/>
          <c:showBubbleSize val="0"/>
        </c:dLbls>
        <c:gapWidth val="150"/>
        <c:axId val="2116509000"/>
        <c:axId val="2116512088"/>
      </c:barChart>
      <c:catAx>
        <c:axId val="2116509000"/>
        <c:scaling>
          <c:orientation val="minMax"/>
        </c:scaling>
        <c:delete val="0"/>
        <c:axPos val="b"/>
        <c:numFmt formatCode="General" sourceLinked="0"/>
        <c:majorTickMark val="out"/>
        <c:minorTickMark val="none"/>
        <c:tickLblPos val="nextTo"/>
        <c:txPr>
          <a:bodyPr/>
          <a:lstStyle/>
          <a:p>
            <a:pPr>
              <a:defRPr sz="1100" b="1">
                <a:latin typeface="Arial" panose="020B0604020202020204" pitchFamily="34" charset="0"/>
                <a:cs typeface="Arial" panose="020B0604020202020204" pitchFamily="34" charset="0"/>
              </a:defRPr>
            </a:pPr>
            <a:endParaRPr lang="en-US"/>
          </a:p>
        </c:txPr>
        <c:crossAx val="2116512088"/>
        <c:crosses val="autoZero"/>
        <c:auto val="1"/>
        <c:lblAlgn val="ctr"/>
        <c:lblOffset val="100"/>
        <c:noMultiLvlLbl val="0"/>
      </c:catAx>
      <c:valAx>
        <c:axId val="2116512088"/>
        <c:scaling>
          <c:orientation val="minMax"/>
          <c:max val="100.0"/>
        </c:scaling>
        <c:delete val="0"/>
        <c:axPos val="l"/>
        <c:numFmt formatCode="General" sourceLinked="1"/>
        <c:majorTickMark val="out"/>
        <c:minorTickMark val="none"/>
        <c:tickLblPos val="nextTo"/>
        <c:txPr>
          <a:bodyPr/>
          <a:lstStyle/>
          <a:p>
            <a:pPr>
              <a:defRPr sz="1100" b="1">
                <a:latin typeface="Arial" panose="020B0604020202020204" pitchFamily="34" charset="0"/>
                <a:cs typeface="Arial" panose="020B0604020202020204" pitchFamily="34" charset="0"/>
              </a:defRPr>
            </a:pPr>
            <a:endParaRPr lang="en-US"/>
          </a:p>
        </c:txPr>
        <c:crossAx val="2116509000"/>
        <c:crosses val="autoZero"/>
        <c:crossBetween val="between"/>
        <c:majorUnit val="20.0"/>
      </c:valAx>
    </c:plotArea>
    <c:legend>
      <c:legendPos val="r"/>
      <c:layout>
        <c:manualLayout>
          <c:xMode val="edge"/>
          <c:yMode val="edge"/>
          <c:x val="0.414366819919322"/>
          <c:y val="0.0292136337497136"/>
          <c:w val="0.405440997727633"/>
          <c:h val="0.226620229246927"/>
        </c:manualLayout>
      </c:layout>
      <c:overlay val="0"/>
      <c:txPr>
        <a:bodyPr/>
        <a:lstStyle/>
        <a:p>
          <a:pPr>
            <a:defRPr sz="11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1BA9-A697-E848-8759-8262BD38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22</Pages>
  <Words>6988</Words>
  <Characters>39837</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jaso1318</dc:creator>
  <cp:lastModifiedBy>Rhiannon Corcoran</cp:lastModifiedBy>
  <cp:revision>23</cp:revision>
  <cp:lastPrinted>2018-08-10T10:33:00Z</cp:lastPrinted>
  <dcterms:created xsi:type="dcterms:W3CDTF">2020-07-07T14:11:00Z</dcterms:created>
  <dcterms:modified xsi:type="dcterms:W3CDTF">2020-08-10T13:44:00Z</dcterms:modified>
</cp:coreProperties>
</file>