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EE965" w14:textId="7A16921B" w:rsidR="00DD2299" w:rsidRPr="0046706F" w:rsidRDefault="00DD2299" w:rsidP="00DD2299">
      <w:pPr>
        <w:spacing w:line="480" w:lineRule="auto"/>
        <w:jc w:val="center"/>
        <w:rPr>
          <w:rFonts w:ascii="Times New Roman" w:hAnsi="Times New Roman" w:cs="Times New Roman"/>
          <w:b/>
          <w:sz w:val="24"/>
          <w:szCs w:val="24"/>
          <w:lang w:val="en-US"/>
        </w:rPr>
      </w:pPr>
      <w:r w:rsidRPr="0046706F">
        <w:rPr>
          <w:rFonts w:ascii="Times New Roman" w:hAnsi="Times New Roman" w:cs="Times New Roman"/>
          <w:b/>
          <w:sz w:val="24"/>
          <w:szCs w:val="24"/>
          <w:lang w:val="en-US"/>
        </w:rPr>
        <w:t>Thromboembolic and bleeding outcomes in patients with atrial fibrillation and valvular heart disease: A descriptive nationwide cohort study</w:t>
      </w:r>
    </w:p>
    <w:p w14:paraId="120350DF" w14:textId="77777777" w:rsidR="006A2CD7" w:rsidRPr="00625E61" w:rsidRDefault="006A2CD7" w:rsidP="006A2CD7">
      <w:pPr>
        <w:spacing w:line="480" w:lineRule="auto"/>
        <w:jc w:val="left"/>
        <w:rPr>
          <w:rFonts w:ascii="Times New Roman" w:hAnsi="Times New Roman" w:cs="Times New Roman"/>
          <w:sz w:val="24"/>
          <w:szCs w:val="24"/>
          <w:lang w:val="en-GB"/>
        </w:rPr>
      </w:pPr>
      <w:r w:rsidRPr="00625E61">
        <w:rPr>
          <w:rFonts w:ascii="Times New Roman" w:hAnsi="Times New Roman" w:cs="Times New Roman"/>
          <w:b/>
          <w:sz w:val="24"/>
          <w:szCs w:val="24"/>
          <w:lang w:val="en-GB"/>
        </w:rPr>
        <w:t>Short title</w:t>
      </w:r>
      <w:r w:rsidRPr="00625E61">
        <w:rPr>
          <w:rFonts w:ascii="Times New Roman" w:hAnsi="Times New Roman" w:cs="Times New Roman"/>
          <w:sz w:val="24"/>
          <w:szCs w:val="24"/>
          <w:lang w:val="en-GB"/>
        </w:rPr>
        <w:t>: Outcomes in AF patients with valvular disease</w:t>
      </w:r>
    </w:p>
    <w:p w14:paraId="244235FB" w14:textId="77777777" w:rsidR="006A2CD7" w:rsidRPr="00625E61" w:rsidRDefault="006A2CD7" w:rsidP="006A2CD7">
      <w:pPr>
        <w:spacing w:after="0" w:line="480" w:lineRule="auto"/>
        <w:jc w:val="left"/>
        <w:rPr>
          <w:rFonts w:ascii="Times New Roman" w:hAnsi="Times New Roman" w:cs="Times New Roman"/>
          <w:b/>
          <w:sz w:val="24"/>
          <w:szCs w:val="24"/>
          <w:lang w:val="en-GB"/>
        </w:rPr>
      </w:pPr>
      <w:r w:rsidRPr="00625E61">
        <w:rPr>
          <w:rFonts w:ascii="Times New Roman" w:hAnsi="Times New Roman" w:cs="Times New Roman"/>
          <w:b/>
          <w:sz w:val="24"/>
          <w:szCs w:val="24"/>
          <w:lang w:val="en-GB"/>
        </w:rPr>
        <w:t xml:space="preserve">Authors: </w:t>
      </w:r>
    </w:p>
    <w:p w14:paraId="1B1DB627" w14:textId="77777777" w:rsidR="006A2CD7" w:rsidRPr="00625E61" w:rsidRDefault="006A2CD7" w:rsidP="006A2CD7">
      <w:pPr>
        <w:spacing w:after="0" w:line="480" w:lineRule="auto"/>
        <w:jc w:val="left"/>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Line </w:t>
      </w:r>
      <w:proofErr w:type="spellStart"/>
      <w:r w:rsidRPr="00625E61">
        <w:rPr>
          <w:rFonts w:ascii="Times New Roman" w:hAnsi="Times New Roman" w:cs="Times New Roman"/>
          <w:sz w:val="24"/>
          <w:szCs w:val="24"/>
          <w:lang w:val="en-US"/>
        </w:rPr>
        <w:t>Melgaard</w:t>
      </w:r>
      <w:r w:rsidRPr="00625E61">
        <w:rPr>
          <w:rFonts w:ascii="Times New Roman" w:hAnsi="Times New Roman" w:cs="Times New Roman"/>
          <w:sz w:val="24"/>
          <w:szCs w:val="24"/>
          <w:vertAlign w:val="superscript"/>
          <w:lang w:val="en-US"/>
        </w:rPr>
        <w:t>a</w:t>
      </w:r>
      <w:proofErr w:type="gramStart"/>
      <w:r w:rsidRPr="00625E61">
        <w:rPr>
          <w:rFonts w:ascii="Times New Roman" w:hAnsi="Times New Roman" w:cs="Times New Roman"/>
          <w:sz w:val="24"/>
          <w:szCs w:val="24"/>
          <w:vertAlign w:val="superscript"/>
          <w:lang w:val="en-US"/>
        </w:rPr>
        <w:t>,b</w:t>
      </w:r>
      <w:proofErr w:type="spellEnd"/>
      <w:proofErr w:type="gramEnd"/>
      <w:r w:rsidRPr="00625E61">
        <w:rPr>
          <w:rFonts w:ascii="Times New Roman" w:hAnsi="Times New Roman" w:cs="Times New Roman"/>
          <w:sz w:val="24"/>
          <w:szCs w:val="24"/>
          <w:lang w:val="en-US"/>
        </w:rPr>
        <w:t>, e-mail: line.melgaard@rn.dk</w:t>
      </w:r>
    </w:p>
    <w:p w14:paraId="5DE1B315" w14:textId="77777777" w:rsidR="006A2CD7" w:rsidRPr="00625E61" w:rsidRDefault="006A2CD7" w:rsidP="006A2CD7">
      <w:pPr>
        <w:spacing w:after="0" w:line="480" w:lineRule="auto"/>
        <w:jc w:val="left"/>
        <w:rPr>
          <w:rFonts w:ascii="Times New Roman" w:hAnsi="Times New Roman" w:cs="Times New Roman"/>
          <w:sz w:val="24"/>
          <w:szCs w:val="24"/>
          <w:lang w:val="en-US"/>
        </w:rPr>
      </w:pPr>
      <w:r w:rsidRPr="00625E61">
        <w:rPr>
          <w:rFonts w:ascii="Times New Roman" w:hAnsi="Times New Roman" w:cs="Times New Roman"/>
          <w:sz w:val="24"/>
          <w:szCs w:val="24"/>
          <w:lang w:val="en-US"/>
        </w:rPr>
        <w:t>Martin Jensen</w:t>
      </w:r>
      <w:r w:rsidRPr="00625E61">
        <w:rPr>
          <w:rFonts w:ascii="Times New Roman" w:hAnsi="Times New Roman" w:cs="Times New Roman"/>
          <w:sz w:val="24"/>
          <w:szCs w:val="24"/>
          <w:vertAlign w:val="superscript"/>
          <w:lang w:val="en-US"/>
        </w:rPr>
        <w:t xml:space="preserve"> b</w:t>
      </w:r>
      <w:r w:rsidRPr="00625E61">
        <w:rPr>
          <w:rFonts w:ascii="Times New Roman" w:hAnsi="Times New Roman" w:cs="Times New Roman"/>
          <w:sz w:val="24"/>
          <w:szCs w:val="24"/>
          <w:lang w:val="en-US"/>
        </w:rPr>
        <w:t>, e-mail: mjen@rn.dk</w:t>
      </w:r>
    </w:p>
    <w:p w14:paraId="36A02052" w14:textId="77777777" w:rsidR="006A2CD7" w:rsidRPr="00625E61" w:rsidRDefault="006A2CD7" w:rsidP="006A2CD7">
      <w:pPr>
        <w:spacing w:after="0" w:line="480" w:lineRule="auto"/>
        <w:jc w:val="left"/>
        <w:rPr>
          <w:rFonts w:ascii="Times New Roman" w:hAnsi="Times New Roman" w:cs="Times New Roman"/>
          <w:sz w:val="24"/>
          <w:szCs w:val="24"/>
        </w:rPr>
      </w:pPr>
      <w:r w:rsidRPr="00625E61">
        <w:rPr>
          <w:rFonts w:ascii="Times New Roman" w:hAnsi="Times New Roman" w:cs="Times New Roman"/>
          <w:sz w:val="24"/>
          <w:szCs w:val="24"/>
        </w:rPr>
        <w:t xml:space="preserve">Thure Filskov </w:t>
      </w:r>
      <w:proofErr w:type="spellStart"/>
      <w:proofErr w:type="gramStart"/>
      <w:r w:rsidRPr="00625E61">
        <w:rPr>
          <w:rFonts w:ascii="Times New Roman" w:hAnsi="Times New Roman" w:cs="Times New Roman"/>
          <w:sz w:val="24"/>
          <w:szCs w:val="24"/>
        </w:rPr>
        <w:t>Overvad</w:t>
      </w:r>
      <w:r w:rsidRPr="00625E61">
        <w:rPr>
          <w:rFonts w:ascii="Times New Roman" w:hAnsi="Times New Roman" w:cs="Times New Roman"/>
          <w:sz w:val="24"/>
          <w:szCs w:val="24"/>
          <w:vertAlign w:val="superscript"/>
        </w:rPr>
        <w:t>a,b</w:t>
      </w:r>
      <w:proofErr w:type="spellEnd"/>
      <w:proofErr w:type="gramEnd"/>
      <w:r w:rsidRPr="00625E61">
        <w:rPr>
          <w:rFonts w:ascii="Times New Roman" w:hAnsi="Times New Roman" w:cs="Times New Roman"/>
          <w:sz w:val="24"/>
          <w:szCs w:val="24"/>
        </w:rPr>
        <w:t>, e-mail: t.overvad@rn.dk</w:t>
      </w:r>
    </w:p>
    <w:p w14:paraId="3804AEA6" w14:textId="77777777" w:rsidR="006A2CD7" w:rsidRPr="00625E61" w:rsidRDefault="006A2CD7" w:rsidP="006A2CD7">
      <w:pPr>
        <w:spacing w:after="0" w:line="480" w:lineRule="auto"/>
        <w:jc w:val="left"/>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Torben Bjerregaard </w:t>
      </w:r>
      <w:proofErr w:type="spellStart"/>
      <w:r w:rsidRPr="00625E61">
        <w:rPr>
          <w:rFonts w:ascii="Times New Roman" w:hAnsi="Times New Roman" w:cs="Times New Roman"/>
          <w:sz w:val="24"/>
          <w:szCs w:val="24"/>
          <w:lang w:val="en-US"/>
        </w:rPr>
        <w:t>Larsen</w:t>
      </w:r>
      <w:r w:rsidRPr="00625E61">
        <w:rPr>
          <w:rFonts w:ascii="Times New Roman" w:hAnsi="Times New Roman" w:cs="Times New Roman"/>
          <w:sz w:val="24"/>
          <w:szCs w:val="24"/>
          <w:vertAlign w:val="superscript"/>
          <w:lang w:val="en-US"/>
        </w:rPr>
        <w:t>a</w:t>
      </w:r>
      <w:proofErr w:type="gramStart"/>
      <w:r w:rsidRPr="00625E61">
        <w:rPr>
          <w:rFonts w:ascii="Times New Roman" w:hAnsi="Times New Roman" w:cs="Times New Roman"/>
          <w:sz w:val="24"/>
          <w:szCs w:val="24"/>
          <w:vertAlign w:val="superscript"/>
          <w:lang w:val="en-US"/>
        </w:rPr>
        <w:t>,b</w:t>
      </w:r>
      <w:proofErr w:type="spellEnd"/>
      <w:proofErr w:type="gramEnd"/>
      <w:r w:rsidRPr="00625E61">
        <w:rPr>
          <w:rFonts w:ascii="Times New Roman" w:hAnsi="Times New Roman" w:cs="Times New Roman"/>
          <w:sz w:val="24"/>
          <w:szCs w:val="24"/>
          <w:vertAlign w:val="superscript"/>
          <w:lang w:val="en-US"/>
        </w:rPr>
        <w:t>*</w:t>
      </w:r>
      <w:r w:rsidRPr="00625E61">
        <w:rPr>
          <w:rFonts w:ascii="Times New Roman" w:hAnsi="Times New Roman" w:cs="Times New Roman"/>
          <w:sz w:val="24"/>
          <w:szCs w:val="24"/>
          <w:lang w:val="en-US"/>
        </w:rPr>
        <w:t>, e-mail: tobl@rn.dk</w:t>
      </w:r>
    </w:p>
    <w:p w14:paraId="26ACED60" w14:textId="77777777" w:rsidR="006A2CD7" w:rsidRPr="00625E61" w:rsidRDefault="006A2CD7" w:rsidP="006A2CD7">
      <w:pPr>
        <w:spacing w:after="0" w:line="480" w:lineRule="auto"/>
        <w:jc w:val="left"/>
        <w:rPr>
          <w:rFonts w:ascii="Times New Roman" w:hAnsi="Times New Roman" w:cs="Times New Roman"/>
          <w:sz w:val="24"/>
          <w:szCs w:val="24"/>
          <w:lang w:val="en-US"/>
        </w:rPr>
      </w:pPr>
      <w:r w:rsidRPr="00625E61">
        <w:rPr>
          <w:rFonts w:ascii="Times New Roman" w:hAnsi="Times New Roman" w:cs="Times New Roman"/>
          <w:sz w:val="24"/>
          <w:szCs w:val="24"/>
          <w:lang w:val="en-US"/>
        </w:rPr>
        <w:t>Gregory Y. H. Lip</w:t>
      </w:r>
      <w:r w:rsidRPr="00625E61">
        <w:rPr>
          <w:rFonts w:ascii="Times New Roman" w:hAnsi="Times New Roman" w:cs="Times New Roman"/>
          <w:sz w:val="24"/>
          <w:szCs w:val="24"/>
          <w:vertAlign w:val="superscript"/>
          <w:lang w:val="en-US"/>
        </w:rPr>
        <w:t xml:space="preserve"> </w:t>
      </w:r>
      <w:proofErr w:type="spellStart"/>
      <w:r w:rsidRPr="00625E61">
        <w:rPr>
          <w:rFonts w:ascii="Times New Roman" w:hAnsi="Times New Roman" w:cs="Times New Roman"/>
          <w:sz w:val="24"/>
          <w:szCs w:val="24"/>
          <w:vertAlign w:val="superscript"/>
          <w:lang w:val="en-US"/>
        </w:rPr>
        <w:t>b</w:t>
      </w:r>
      <w:proofErr w:type="gramStart"/>
      <w:r w:rsidRPr="00625E61">
        <w:rPr>
          <w:rFonts w:ascii="Times New Roman" w:hAnsi="Times New Roman" w:cs="Times New Roman"/>
          <w:sz w:val="24"/>
          <w:szCs w:val="24"/>
          <w:vertAlign w:val="superscript"/>
          <w:lang w:val="en-US"/>
        </w:rPr>
        <w:t>,c</w:t>
      </w:r>
      <w:proofErr w:type="spellEnd"/>
      <w:proofErr w:type="gramEnd"/>
      <w:r w:rsidRPr="00625E61">
        <w:rPr>
          <w:rFonts w:ascii="Times New Roman" w:hAnsi="Times New Roman" w:cs="Times New Roman"/>
          <w:sz w:val="24"/>
          <w:szCs w:val="24"/>
          <w:vertAlign w:val="superscript"/>
          <w:lang w:val="en-US"/>
        </w:rPr>
        <w:t>*</w:t>
      </w:r>
      <w:r w:rsidRPr="00625E61">
        <w:rPr>
          <w:rFonts w:ascii="Times New Roman" w:hAnsi="Times New Roman" w:cs="Times New Roman"/>
          <w:sz w:val="24"/>
          <w:szCs w:val="24"/>
          <w:lang w:val="en-US"/>
        </w:rPr>
        <w:t>, e-mail: gregory.lip@liverpool.ac.uk</w:t>
      </w:r>
    </w:p>
    <w:p w14:paraId="531B31E6" w14:textId="77777777" w:rsidR="006A2CD7" w:rsidRPr="00625E61" w:rsidRDefault="006A2CD7" w:rsidP="006A2CD7">
      <w:pPr>
        <w:spacing w:line="480" w:lineRule="auto"/>
        <w:jc w:val="left"/>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Peter Brønnum </w:t>
      </w:r>
      <w:proofErr w:type="spellStart"/>
      <w:r w:rsidRPr="00625E61">
        <w:rPr>
          <w:rFonts w:ascii="Times New Roman" w:hAnsi="Times New Roman" w:cs="Times New Roman"/>
          <w:sz w:val="24"/>
          <w:szCs w:val="24"/>
          <w:lang w:val="en-US"/>
        </w:rPr>
        <w:t>Nielsen</w:t>
      </w:r>
      <w:r w:rsidRPr="00625E61">
        <w:rPr>
          <w:rFonts w:ascii="Times New Roman" w:hAnsi="Times New Roman" w:cs="Times New Roman"/>
          <w:sz w:val="24"/>
          <w:szCs w:val="24"/>
          <w:vertAlign w:val="superscript"/>
          <w:lang w:val="en-US"/>
        </w:rPr>
        <w:t>a</w:t>
      </w:r>
      <w:proofErr w:type="gramStart"/>
      <w:r w:rsidRPr="00625E61">
        <w:rPr>
          <w:rFonts w:ascii="Times New Roman" w:hAnsi="Times New Roman" w:cs="Times New Roman"/>
          <w:sz w:val="24"/>
          <w:szCs w:val="24"/>
          <w:vertAlign w:val="superscript"/>
          <w:lang w:val="en-US"/>
        </w:rPr>
        <w:t>,b</w:t>
      </w:r>
      <w:proofErr w:type="spellEnd"/>
      <w:proofErr w:type="gramEnd"/>
      <w:r w:rsidRPr="00625E61">
        <w:rPr>
          <w:rFonts w:ascii="Times New Roman" w:hAnsi="Times New Roman" w:cs="Times New Roman"/>
          <w:sz w:val="24"/>
          <w:szCs w:val="24"/>
          <w:vertAlign w:val="superscript"/>
          <w:lang w:val="en-US"/>
        </w:rPr>
        <w:t>*</w:t>
      </w:r>
      <w:r w:rsidRPr="00625E61">
        <w:rPr>
          <w:rFonts w:ascii="Times New Roman" w:hAnsi="Times New Roman" w:cs="Times New Roman"/>
          <w:sz w:val="24"/>
          <w:szCs w:val="24"/>
          <w:lang w:val="en-US"/>
        </w:rPr>
        <w:t>, e-mail: pbn@rn.dk</w:t>
      </w:r>
    </w:p>
    <w:p w14:paraId="55561CF8" w14:textId="77777777" w:rsidR="006A2CD7" w:rsidRPr="00625E61" w:rsidRDefault="006A2CD7" w:rsidP="006A2CD7">
      <w:pPr>
        <w:spacing w:after="0" w:line="480" w:lineRule="auto"/>
        <w:rPr>
          <w:rFonts w:ascii="Times New Roman" w:hAnsi="Times New Roman" w:cs="Times New Roman"/>
          <w:sz w:val="24"/>
          <w:szCs w:val="24"/>
          <w:lang w:val="en-US"/>
        </w:rPr>
      </w:pPr>
      <w:proofErr w:type="gramStart"/>
      <w:r w:rsidRPr="00625E61">
        <w:rPr>
          <w:rFonts w:ascii="Times New Roman" w:hAnsi="Times New Roman" w:cs="Times New Roman"/>
          <w:sz w:val="24"/>
          <w:szCs w:val="24"/>
          <w:vertAlign w:val="superscript"/>
          <w:lang w:val="en-US"/>
        </w:rPr>
        <w:t>a</w:t>
      </w:r>
      <w:proofErr w:type="gramEnd"/>
      <w:r w:rsidRPr="00625E61">
        <w:rPr>
          <w:rFonts w:ascii="Times New Roman" w:hAnsi="Times New Roman" w:cs="Times New Roman"/>
          <w:sz w:val="24"/>
          <w:szCs w:val="24"/>
          <w:lang w:val="en-US"/>
        </w:rPr>
        <w:t xml:space="preserve"> Department of Cardiology, Aalborg University Hospital, Aalborg, Denmark</w:t>
      </w:r>
    </w:p>
    <w:p w14:paraId="63A23CD2" w14:textId="77777777" w:rsidR="006A2CD7" w:rsidRPr="00625E61" w:rsidRDefault="006A2CD7" w:rsidP="006A2CD7">
      <w:pPr>
        <w:spacing w:after="0" w:line="480" w:lineRule="auto"/>
        <w:rPr>
          <w:rFonts w:ascii="Times New Roman" w:hAnsi="Times New Roman" w:cs="Times New Roman"/>
          <w:sz w:val="24"/>
          <w:szCs w:val="24"/>
          <w:lang w:val="en-US"/>
        </w:rPr>
      </w:pPr>
      <w:proofErr w:type="gramStart"/>
      <w:r w:rsidRPr="00625E61">
        <w:rPr>
          <w:rFonts w:ascii="Times New Roman" w:hAnsi="Times New Roman" w:cs="Times New Roman"/>
          <w:sz w:val="24"/>
          <w:szCs w:val="24"/>
          <w:vertAlign w:val="superscript"/>
          <w:lang w:val="en-US"/>
        </w:rPr>
        <w:t>b</w:t>
      </w:r>
      <w:proofErr w:type="gramEnd"/>
      <w:r w:rsidRPr="00625E61">
        <w:rPr>
          <w:rFonts w:ascii="Times New Roman" w:hAnsi="Times New Roman" w:cs="Times New Roman"/>
          <w:sz w:val="24"/>
          <w:szCs w:val="24"/>
          <w:lang w:val="en-US"/>
        </w:rPr>
        <w:t xml:space="preserve"> Aalborg Thrombosis Research Unit, Department of Clinical Medicine, Faculty of Health, Aalborg University, Aalborg, Denmark</w:t>
      </w:r>
    </w:p>
    <w:p w14:paraId="62041F40" w14:textId="77777777" w:rsidR="006A2CD7" w:rsidRPr="00625E61" w:rsidRDefault="006A2CD7" w:rsidP="006A2CD7">
      <w:pPr>
        <w:spacing w:after="0" w:line="480" w:lineRule="auto"/>
        <w:rPr>
          <w:rFonts w:ascii="Times New Roman" w:hAnsi="Times New Roman" w:cs="Times New Roman"/>
          <w:sz w:val="24"/>
          <w:szCs w:val="24"/>
          <w:lang w:val="en-US"/>
        </w:rPr>
      </w:pPr>
      <w:proofErr w:type="gramStart"/>
      <w:r w:rsidRPr="00625E61">
        <w:rPr>
          <w:rFonts w:ascii="Times New Roman" w:hAnsi="Times New Roman" w:cs="Times New Roman"/>
          <w:sz w:val="24"/>
          <w:szCs w:val="24"/>
          <w:vertAlign w:val="superscript"/>
          <w:lang w:val="en-US"/>
        </w:rPr>
        <w:t>c</w:t>
      </w:r>
      <w:proofErr w:type="gramEnd"/>
      <w:r w:rsidRPr="00625E61">
        <w:rPr>
          <w:rFonts w:ascii="Times New Roman" w:hAnsi="Times New Roman" w:cs="Times New Roman"/>
          <w:sz w:val="24"/>
          <w:szCs w:val="24"/>
          <w:lang w:val="en-US"/>
        </w:rPr>
        <w:t xml:space="preserve"> Liverpool Centre for Cardiovascular Sciences, University Liverpool and Liverpool Heart &amp; Chest Hospital, Liverpool, UK</w:t>
      </w:r>
    </w:p>
    <w:p w14:paraId="532FC7B8"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sz w:val="24"/>
          <w:szCs w:val="24"/>
          <w:lang w:val="en-US"/>
        </w:rPr>
        <w:t>[*Joint senior authors]</w:t>
      </w:r>
    </w:p>
    <w:p w14:paraId="07C8D8AC" w14:textId="77777777" w:rsidR="006A2CD7" w:rsidRDefault="006A2CD7" w:rsidP="006A2CD7">
      <w:pPr>
        <w:spacing w:after="0" w:line="480" w:lineRule="auto"/>
        <w:rPr>
          <w:rFonts w:ascii="Times New Roman" w:hAnsi="Times New Roman" w:cs="Times New Roman"/>
          <w:b/>
          <w:color w:val="000000" w:themeColor="text1"/>
          <w:sz w:val="24"/>
          <w:szCs w:val="24"/>
          <w:lang w:val="en-US"/>
        </w:rPr>
      </w:pPr>
    </w:p>
    <w:p w14:paraId="0A774D4A"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b/>
          <w:color w:val="000000" w:themeColor="text1"/>
          <w:sz w:val="24"/>
          <w:szCs w:val="24"/>
          <w:lang w:val="en-US"/>
        </w:rPr>
        <w:t>Address for correspondence</w:t>
      </w:r>
    </w:p>
    <w:p w14:paraId="1DDCCD40"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sz w:val="24"/>
          <w:szCs w:val="24"/>
          <w:lang w:val="en-US"/>
        </w:rPr>
        <w:t>Line Melgaard, MSc, PhD</w:t>
      </w:r>
    </w:p>
    <w:p w14:paraId="3ABAE106"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Department of Cardiology, Aalborg University Hospital, </w:t>
      </w:r>
      <w:proofErr w:type="spellStart"/>
      <w:r w:rsidRPr="00625E61">
        <w:rPr>
          <w:rFonts w:ascii="Times New Roman" w:hAnsi="Times New Roman" w:cs="Times New Roman"/>
          <w:sz w:val="24"/>
          <w:szCs w:val="24"/>
          <w:lang w:val="en-US"/>
        </w:rPr>
        <w:t>Sdr</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Skovvej</w:t>
      </w:r>
      <w:proofErr w:type="spellEnd"/>
      <w:r w:rsidRPr="00625E61">
        <w:rPr>
          <w:rFonts w:ascii="Times New Roman" w:hAnsi="Times New Roman" w:cs="Times New Roman"/>
          <w:sz w:val="24"/>
          <w:szCs w:val="24"/>
          <w:lang w:val="en-US"/>
        </w:rPr>
        <w:t xml:space="preserve"> 15, DK-9000, Denmark</w:t>
      </w:r>
    </w:p>
    <w:p w14:paraId="2E5775AD"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Phone: +45 51 94 19 87. E-mail: </w:t>
      </w:r>
      <w:hyperlink r:id="rId8" w:history="1">
        <w:r w:rsidRPr="00625E61">
          <w:rPr>
            <w:rStyle w:val="Hyperlink"/>
            <w:rFonts w:ascii="Times New Roman" w:hAnsi="Times New Roman" w:cs="Times New Roman"/>
            <w:sz w:val="24"/>
            <w:szCs w:val="24"/>
            <w:lang w:val="en-US"/>
          </w:rPr>
          <w:t>line.melgaard@rn.dk</w:t>
        </w:r>
      </w:hyperlink>
      <w:r w:rsidRPr="00625E61">
        <w:rPr>
          <w:rFonts w:ascii="Times New Roman" w:hAnsi="Times New Roman" w:cs="Times New Roman"/>
          <w:sz w:val="24"/>
          <w:szCs w:val="24"/>
          <w:lang w:val="en-US"/>
        </w:rPr>
        <w:t>.</w:t>
      </w:r>
    </w:p>
    <w:p w14:paraId="6C4A4729" w14:textId="07F78BF3" w:rsidR="006A2CD7" w:rsidRPr="00625E61" w:rsidRDefault="006A2CD7" w:rsidP="006A2CD7">
      <w:pPr>
        <w:jc w:val="left"/>
        <w:rPr>
          <w:rFonts w:ascii="Times New Roman" w:hAnsi="Times New Roman" w:cs="Times New Roman"/>
          <w:b/>
          <w:sz w:val="24"/>
          <w:szCs w:val="24"/>
          <w:lang w:val="en-US"/>
        </w:rPr>
      </w:pPr>
    </w:p>
    <w:p w14:paraId="3EC098C8" w14:textId="77777777" w:rsidR="00826407" w:rsidRDefault="00826407" w:rsidP="006A2CD7">
      <w:pPr>
        <w:spacing w:after="0" w:line="480" w:lineRule="auto"/>
        <w:rPr>
          <w:rFonts w:ascii="Times New Roman" w:hAnsi="Times New Roman" w:cs="Times New Roman"/>
          <w:i/>
          <w:sz w:val="24"/>
          <w:szCs w:val="24"/>
          <w:lang w:val="en-US"/>
        </w:rPr>
      </w:pPr>
    </w:p>
    <w:p w14:paraId="7DB210A3" w14:textId="77777777" w:rsidR="00826407" w:rsidRDefault="00826407" w:rsidP="006A2CD7">
      <w:pPr>
        <w:spacing w:after="0" w:line="480" w:lineRule="auto"/>
        <w:rPr>
          <w:rFonts w:ascii="Times New Roman" w:hAnsi="Times New Roman" w:cs="Times New Roman"/>
          <w:i/>
          <w:sz w:val="24"/>
          <w:szCs w:val="24"/>
          <w:lang w:val="en-US"/>
        </w:rPr>
      </w:pPr>
    </w:p>
    <w:p w14:paraId="7898DD83" w14:textId="60DC8AE2" w:rsidR="006A2CD7" w:rsidRPr="00625E61" w:rsidRDefault="006A2CD7" w:rsidP="006A2CD7">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Funding</w:t>
      </w:r>
    </w:p>
    <w:p w14:paraId="1B76E0E7"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The study was supported by “The BMS/Pfizer European Thrombosis Investigator Initiated Research Program (ERISTA) 2018” (CV185-697) and the </w:t>
      </w:r>
      <w:proofErr w:type="spellStart"/>
      <w:r w:rsidRPr="00625E61">
        <w:rPr>
          <w:rFonts w:ascii="Times New Roman" w:hAnsi="Times New Roman" w:cs="Times New Roman"/>
          <w:sz w:val="24"/>
          <w:szCs w:val="24"/>
          <w:lang w:val="en-US"/>
        </w:rPr>
        <w:t>Obel</w:t>
      </w:r>
      <w:proofErr w:type="spellEnd"/>
      <w:r w:rsidRPr="00625E61">
        <w:rPr>
          <w:rFonts w:ascii="Times New Roman" w:hAnsi="Times New Roman" w:cs="Times New Roman"/>
          <w:sz w:val="24"/>
          <w:szCs w:val="24"/>
          <w:lang w:val="en-US"/>
        </w:rPr>
        <w:t xml:space="preserve"> Family Foundation. The sponsors had no role in the design and conduct of the study; collection, management, analysis, and interpretation of the data; preparation, review, or approval of the manuscript; and decision to submit the manuscript for publication.</w:t>
      </w:r>
    </w:p>
    <w:p w14:paraId="3A9ED091" w14:textId="77777777" w:rsidR="006A2CD7" w:rsidRPr="00625E61" w:rsidRDefault="006A2CD7" w:rsidP="006A2CD7">
      <w:pPr>
        <w:spacing w:after="0" w:line="480" w:lineRule="auto"/>
        <w:rPr>
          <w:rFonts w:ascii="Times New Roman" w:hAnsi="Times New Roman" w:cs="Times New Roman"/>
          <w:sz w:val="24"/>
          <w:szCs w:val="24"/>
          <w:lang w:val="en-US"/>
        </w:rPr>
      </w:pPr>
    </w:p>
    <w:p w14:paraId="79B40B8F" w14:textId="77777777" w:rsidR="006A2CD7" w:rsidRPr="00625E61" w:rsidRDefault="006A2CD7" w:rsidP="006A2CD7">
      <w:pPr>
        <w:spacing w:after="0" w:line="480" w:lineRule="auto"/>
        <w:rPr>
          <w:rFonts w:ascii="Times New Roman" w:hAnsi="Times New Roman" w:cs="Times New Roman"/>
          <w:i/>
          <w:sz w:val="24"/>
          <w:szCs w:val="24"/>
          <w:lang w:val="en-US"/>
        </w:rPr>
      </w:pPr>
      <w:r w:rsidRPr="00625E61">
        <w:rPr>
          <w:rFonts w:ascii="Times New Roman" w:hAnsi="Times New Roman" w:cs="Times New Roman"/>
          <w:i/>
          <w:sz w:val="24"/>
          <w:szCs w:val="24"/>
          <w:lang w:val="en-US"/>
        </w:rPr>
        <w:t>Conflicts of interest</w:t>
      </w:r>
    </w:p>
    <w:p w14:paraId="0B2C78B2" w14:textId="77777777" w:rsidR="006A2CD7" w:rsidRPr="00625E61" w:rsidRDefault="006A2CD7" w:rsidP="006A2CD7">
      <w:pPr>
        <w:spacing w:after="0" w:line="480" w:lineRule="auto"/>
        <w:rPr>
          <w:rFonts w:ascii="Times New Roman" w:hAnsi="Times New Roman" w:cs="Times New Roman"/>
          <w:sz w:val="24"/>
          <w:szCs w:val="24"/>
          <w:lang w:val="en-US"/>
        </w:rPr>
      </w:pPr>
      <w:r w:rsidRPr="00625E61">
        <w:rPr>
          <w:rFonts w:ascii="Times New Roman" w:hAnsi="Times New Roman" w:cs="Times New Roman"/>
          <w:sz w:val="24"/>
          <w:szCs w:val="24"/>
          <w:lang w:val="en-US"/>
        </w:rPr>
        <w:t xml:space="preserve">Professor Lip: Consultant for Bayer/Janssen, BMS/Pfizer, </w:t>
      </w:r>
      <w:proofErr w:type="spellStart"/>
      <w:r w:rsidRPr="00625E61">
        <w:rPr>
          <w:rFonts w:ascii="Times New Roman" w:hAnsi="Times New Roman" w:cs="Times New Roman"/>
          <w:sz w:val="24"/>
          <w:szCs w:val="24"/>
          <w:lang w:val="en-US"/>
        </w:rPr>
        <w:t>Biotronik</w:t>
      </w:r>
      <w:proofErr w:type="spellEnd"/>
      <w:r w:rsidRPr="00625E61">
        <w:rPr>
          <w:rFonts w:ascii="Times New Roman" w:hAnsi="Times New Roman" w:cs="Times New Roman"/>
          <w:sz w:val="24"/>
          <w:szCs w:val="24"/>
          <w:lang w:val="en-US"/>
        </w:rPr>
        <w:t xml:space="preserve">, Medtronic, </w:t>
      </w:r>
      <w:proofErr w:type="spellStart"/>
      <w:r w:rsidRPr="00625E61">
        <w:rPr>
          <w:rFonts w:ascii="Times New Roman" w:hAnsi="Times New Roman" w:cs="Times New Roman"/>
          <w:sz w:val="24"/>
          <w:szCs w:val="24"/>
          <w:lang w:val="en-US"/>
        </w:rPr>
        <w:t>Boehringer</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Ingelheim</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Microlife</w:t>
      </w:r>
      <w:proofErr w:type="spellEnd"/>
      <w:r w:rsidRPr="00625E61">
        <w:rPr>
          <w:rFonts w:ascii="Times New Roman" w:hAnsi="Times New Roman" w:cs="Times New Roman"/>
          <w:sz w:val="24"/>
          <w:szCs w:val="24"/>
          <w:lang w:val="en-US"/>
        </w:rPr>
        <w:t xml:space="preserve"> and Daiichi-Sankyo. Speaker for Bayer, BMS/Pfizer, Medtronic, </w:t>
      </w:r>
      <w:proofErr w:type="spellStart"/>
      <w:r w:rsidRPr="00625E61">
        <w:rPr>
          <w:rFonts w:ascii="Times New Roman" w:hAnsi="Times New Roman" w:cs="Times New Roman"/>
          <w:sz w:val="24"/>
          <w:szCs w:val="24"/>
          <w:lang w:val="en-US"/>
        </w:rPr>
        <w:t>Boehringer</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Ingelheim</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Microlife</w:t>
      </w:r>
      <w:proofErr w:type="spellEnd"/>
      <w:r w:rsidRPr="00625E61">
        <w:rPr>
          <w:rFonts w:ascii="Times New Roman" w:hAnsi="Times New Roman" w:cs="Times New Roman"/>
          <w:sz w:val="24"/>
          <w:szCs w:val="24"/>
          <w:lang w:val="en-US"/>
        </w:rPr>
        <w:t xml:space="preserve">, Roche and Daiichi-Sankyo. No fees are received personally. Professor Larsen: Investigator for Janssen Scientific Affairs, LLC, and </w:t>
      </w:r>
      <w:proofErr w:type="spellStart"/>
      <w:r w:rsidRPr="00625E61">
        <w:rPr>
          <w:rFonts w:ascii="Times New Roman" w:hAnsi="Times New Roman" w:cs="Times New Roman"/>
          <w:sz w:val="24"/>
          <w:szCs w:val="24"/>
          <w:lang w:val="en-US"/>
        </w:rPr>
        <w:t>Boehringer</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Ingelheim</w:t>
      </w:r>
      <w:proofErr w:type="spellEnd"/>
      <w:r w:rsidRPr="00625E61">
        <w:rPr>
          <w:rFonts w:ascii="Times New Roman" w:hAnsi="Times New Roman" w:cs="Times New Roman"/>
          <w:sz w:val="24"/>
          <w:szCs w:val="24"/>
          <w:lang w:val="en-US"/>
        </w:rPr>
        <w:t xml:space="preserve">. Speaker for Bayer, BMS/Pfizer, Janssen Pharmaceuticals, Takeda, Roche Diagnostics, and </w:t>
      </w:r>
      <w:proofErr w:type="spellStart"/>
      <w:r w:rsidRPr="00625E61">
        <w:rPr>
          <w:rFonts w:ascii="Times New Roman" w:hAnsi="Times New Roman" w:cs="Times New Roman"/>
          <w:sz w:val="24"/>
          <w:szCs w:val="24"/>
          <w:lang w:val="en-US"/>
        </w:rPr>
        <w:t>Boehringer</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Ingelheim</w:t>
      </w:r>
      <w:proofErr w:type="spellEnd"/>
      <w:r w:rsidRPr="00625E61">
        <w:rPr>
          <w:rFonts w:ascii="Times New Roman" w:hAnsi="Times New Roman" w:cs="Times New Roman"/>
          <w:sz w:val="24"/>
          <w:szCs w:val="24"/>
          <w:lang w:val="en-US"/>
        </w:rPr>
        <w:t xml:space="preserve">.  No fees are received personally. Mr. Nielsen: Speaking fees </w:t>
      </w:r>
      <w:proofErr w:type="spellStart"/>
      <w:r w:rsidRPr="00625E61">
        <w:rPr>
          <w:rFonts w:ascii="Times New Roman" w:hAnsi="Times New Roman" w:cs="Times New Roman"/>
          <w:sz w:val="24"/>
          <w:szCs w:val="24"/>
          <w:lang w:val="en-US"/>
        </w:rPr>
        <w:t>Boehringer</w:t>
      </w:r>
      <w:proofErr w:type="spellEnd"/>
      <w:r w:rsidRPr="00625E61">
        <w:rPr>
          <w:rFonts w:ascii="Times New Roman" w:hAnsi="Times New Roman" w:cs="Times New Roman"/>
          <w:sz w:val="24"/>
          <w:szCs w:val="24"/>
          <w:lang w:val="en-US"/>
        </w:rPr>
        <w:t xml:space="preserve"> </w:t>
      </w:r>
      <w:proofErr w:type="spellStart"/>
      <w:r w:rsidRPr="00625E61">
        <w:rPr>
          <w:rFonts w:ascii="Times New Roman" w:hAnsi="Times New Roman" w:cs="Times New Roman"/>
          <w:sz w:val="24"/>
          <w:szCs w:val="24"/>
          <w:lang w:val="en-US"/>
        </w:rPr>
        <w:t>Ingelheim</w:t>
      </w:r>
      <w:proofErr w:type="spellEnd"/>
      <w:r w:rsidRPr="00625E61">
        <w:rPr>
          <w:rFonts w:ascii="Times New Roman" w:hAnsi="Times New Roman" w:cs="Times New Roman"/>
          <w:sz w:val="24"/>
          <w:szCs w:val="24"/>
          <w:lang w:val="en-US"/>
        </w:rPr>
        <w:t>, consulting fees from Bayer, and grant support from BMS/Pfizer. Ms. Melgaard: Grant support from BMS/Pfizer. Other authors: no conflict of interest. All authors have read and approved the submitted manuscript.</w:t>
      </w:r>
    </w:p>
    <w:p w14:paraId="30B2499D" w14:textId="77777777" w:rsidR="00DD2299" w:rsidRPr="0046706F" w:rsidRDefault="00DD2299" w:rsidP="0030608D">
      <w:pPr>
        <w:rPr>
          <w:rFonts w:ascii="Times New Roman" w:hAnsi="Times New Roman" w:cs="Times New Roman"/>
          <w:b/>
          <w:sz w:val="24"/>
          <w:szCs w:val="24"/>
          <w:lang w:val="en-US"/>
        </w:rPr>
      </w:pPr>
    </w:p>
    <w:p w14:paraId="71C39E86" w14:textId="77777777" w:rsidR="006A2CD7" w:rsidRDefault="006A2CD7">
      <w:pPr>
        <w:jc w:val="left"/>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AD0FC76" w14:textId="441EEF00" w:rsidR="0030608D" w:rsidRPr="0046706F" w:rsidRDefault="0030608D" w:rsidP="0030608D">
      <w:pPr>
        <w:rPr>
          <w:rFonts w:ascii="Times New Roman" w:hAnsi="Times New Roman" w:cs="Times New Roman"/>
          <w:sz w:val="24"/>
          <w:szCs w:val="24"/>
          <w:lang w:val="en-US"/>
        </w:rPr>
      </w:pPr>
      <w:r w:rsidRPr="0046706F">
        <w:rPr>
          <w:rFonts w:ascii="Times New Roman" w:hAnsi="Times New Roman" w:cs="Times New Roman"/>
          <w:b/>
          <w:sz w:val="24"/>
          <w:szCs w:val="24"/>
          <w:lang w:val="en-US"/>
        </w:rPr>
        <w:lastRenderedPageBreak/>
        <w:t>Abstract</w:t>
      </w:r>
    </w:p>
    <w:p w14:paraId="3E724437" w14:textId="393EDB54" w:rsidR="0030608D" w:rsidRPr="0046706F" w:rsidRDefault="00FA7FB7" w:rsidP="00FA7FB7">
      <w:pPr>
        <w:pStyle w:val="Ingenafstand"/>
        <w:spacing w:after="240" w:line="480" w:lineRule="auto"/>
        <w:jc w:val="both"/>
        <w:rPr>
          <w:rFonts w:ascii="Times New Roman" w:hAnsi="Times New Roman" w:cs="Times New Roman"/>
          <w:sz w:val="24"/>
          <w:szCs w:val="24"/>
          <w:lang w:val="en-US"/>
        </w:rPr>
      </w:pPr>
      <w:r w:rsidRPr="0046706F">
        <w:rPr>
          <w:rFonts w:ascii="Times New Roman" w:hAnsi="Times New Roman" w:cs="Times New Roman"/>
          <w:sz w:val="24"/>
          <w:szCs w:val="24"/>
          <w:lang w:val="en-US"/>
        </w:rPr>
        <w:t>Aims</w:t>
      </w:r>
      <w:r w:rsidR="0030608D" w:rsidRPr="0046706F">
        <w:rPr>
          <w:rFonts w:ascii="Times New Roman" w:hAnsi="Times New Roman" w:cs="Times New Roman"/>
          <w:sz w:val="24"/>
          <w:szCs w:val="24"/>
          <w:lang w:val="en-US"/>
        </w:rPr>
        <w:t xml:space="preserve">: The risks of thromboembolism and bleeding in patients with atrial fibrillation (AF) and valvular heart disease (VHD) are sparsely described. </w:t>
      </w:r>
      <w:r w:rsidR="0030608D" w:rsidRPr="0046706F">
        <w:rPr>
          <w:rFonts w:ascii="Times New Roman" w:hAnsi="Times New Roman" w:cs="Times New Roman"/>
          <w:sz w:val="24"/>
          <w:szCs w:val="24"/>
          <w:lang w:val="en-GB"/>
        </w:rPr>
        <w:t xml:space="preserve">We </w:t>
      </w:r>
      <w:r w:rsidR="00E932C2" w:rsidRPr="0046706F">
        <w:rPr>
          <w:rFonts w:ascii="Times New Roman" w:hAnsi="Times New Roman" w:cs="Times New Roman"/>
          <w:sz w:val="24"/>
          <w:szCs w:val="24"/>
          <w:lang w:val="en-GB"/>
        </w:rPr>
        <w:t>described</w:t>
      </w:r>
      <w:r w:rsidR="0030608D" w:rsidRPr="0046706F">
        <w:rPr>
          <w:rFonts w:ascii="Times New Roman" w:hAnsi="Times New Roman" w:cs="Times New Roman"/>
          <w:sz w:val="24"/>
          <w:szCs w:val="24"/>
          <w:lang w:val="en-US"/>
        </w:rPr>
        <w:t xml:space="preserve"> the risk of events in non-anticoagulated and anticoagulated patients with AF and VHD according to the EHRA classification, EHRA Type 1 and Type 2 VHD, and within subgroups of EHRA Type 1 and Type 2 VHD.</w:t>
      </w:r>
    </w:p>
    <w:p w14:paraId="2277E0D9" w14:textId="65AF0E1A" w:rsidR="002D5533" w:rsidRDefault="0030608D" w:rsidP="00FA7FB7">
      <w:pPr>
        <w:pStyle w:val="Ingenafstand"/>
        <w:spacing w:after="240" w:line="480" w:lineRule="auto"/>
        <w:jc w:val="both"/>
        <w:rPr>
          <w:rFonts w:ascii="Times New Roman" w:eastAsia="AdvTimes" w:hAnsi="Times New Roman" w:cs="Times New Roman"/>
          <w:sz w:val="24"/>
          <w:szCs w:val="24"/>
          <w:lang w:val="en-US"/>
        </w:rPr>
      </w:pPr>
      <w:r w:rsidRPr="0046706F">
        <w:rPr>
          <w:rFonts w:ascii="Times New Roman" w:hAnsi="Times New Roman" w:cs="Times New Roman"/>
          <w:sz w:val="24"/>
          <w:szCs w:val="24"/>
          <w:lang w:val="en-US"/>
        </w:rPr>
        <w:t xml:space="preserve">Methods and results: Cohort study of AF patients with coexisting VHD, identified in nationwide Danish registries from 2000-2018. </w:t>
      </w:r>
      <w:r w:rsidR="00C9300F" w:rsidRPr="0046706F">
        <w:rPr>
          <w:rFonts w:ascii="Times New Roman" w:hAnsi="Times New Roman" w:cs="Times New Roman"/>
          <w:sz w:val="24"/>
          <w:szCs w:val="24"/>
          <w:lang w:val="en-US"/>
        </w:rPr>
        <w:t>R</w:t>
      </w:r>
      <w:r w:rsidRPr="0046706F">
        <w:rPr>
          <w:rFonts w:ascii="Times New Roman" w:hAnsi="Times New Roman" w:cs="Times New Roman"/>
          <w:sz w:val="24"/>
          <w:szCs w:val="24"/>
          <w:lang w:val="en-US"/>
        </w:rPr>
        <w:t xml:space="preserve">isk of thromboembolism and bleeding after 1 year of follow-up were calculated in each group. </w:t>
      </w:r>
      <w:r w:rsidR="002D5533" w:rsidRPr="0046706F">
        <w:rPr>
          <w:rFonts w:ascii="Times New Roman" w:hAnsi="Times New Roman" w:cs="Times New Roman"/>
          <w:sz w:val="24"/>
          <w:szCs w:val="24"/>
          <w:lang w:val="en-US"/>
        </w:rPr>
        <w:t xml:space="preserve">We identified </w:t>
      </w:r>
      <w:r w:rsidR="009854B7">
        <w:rPr>
          <w:rFonts w:ascii="Times New Roman" w:hAnsi="Times New Roman" w:cs="Times New Roman"/>
          <w:color w:val="FFC000"/>
          <w:sz w:val="24"/>
          <w:szCs w:val="24"/>
          <w:lang w:val="en-US"/>
        </w:rPr>
        <w:t>28,770</w:t>
      </w:r>
      <w:r w:rsidRPr="005034F0">
        <w:rPr>
          <w:rFonts w:ascii="Times New Roman" w:hAnsi="Times New Roman" w:cs="Times New Roman"/>
          <w:color w:val="FFC000"/>
          <w:sz w:val="24"/>
          <w:szCs w:val="24"/>
          <w:lang w:val="en-US"/>
        </w:rPr>
        <w:t xml:space="preserve"> </w:t>
      </w:r>
      <w:r w:rsidRPr="0046706F">
        <w:rPr>
          <w:rFonts w:ascii="Times New Roman" w:hAnsi="Times New Roman" w:cs="Times New Roman"/>
          <w:sz w:val="24"/>
          <w:szCs w:val="24"/>
          <w:lang w:val="en-US"/>
        </w:rPr>
        <w:t>incident</w:t>
      </w:r>
      <w:r w:rsidRPr="0046706F">
        <w:rPr>
          <w:rFonts w:ascii="Times New Roman" w:hAnsi="Times New Roman" w:cs="Times New Roman"/>
          <w:b/>
          <w:sz w:val="24"/>
          <w:szCs w:val="24"/>
          <w:lang w:val="en-US"/>
        </w:rPr>
        <w:t xml:space="preserve"> </w:t>
      </w:r>
      <w:r w:rsidRPr="0046706F">
        <w:rPr>
          <w:rFonts w:ascii="Times New Roman" w:eastAsia="AdvTimes" w:hAnsi="Times New Roman" w:cs="Times New Roman"/>
          <w:sz w:val="24"/>
          <w:szCs w:val="24"/>
          <w:lang w:val="en-US"/>
        </w:rPr>
        <w:t>AF patients with VHD</w:t>
      </w:r>
      <w:r w:rsidRPr="0046706F">
        <w:rPr>
          <w:rFonts w:ascii="Times New Roman" w:hAnsi="Times New Roman" w:cs="Times New Roman"/>
          <w:sz w:val="24"/>
          <w:szCs w:val="24"/>
          <w:lang w:val="en-US"/>
        </w:rPr>
        <w:t xml:space="preserve">. </w:t>
      </w:r>
      <w:r w:rsidR="002D5533" w:rsidRPr="0046706F">
        <w:rPr>
          <w:rFonts w:ascii="Times New Roman" w:hAnsi="Times New Roman" w:cs="Times New Roman"/>
          <w:sz w:val="24"/>
          <w:szCs w:val="24"/>
          <w:lang w:val="en-US"/>
        </w:rPr>
        <w:t xml:space="preserve">Not surprisingly, we </w:t>
      </w:r>
      <w:r w:rsidR="00E932C2" w:rsidRPr="0046706F">
        <w:rPr>
          <w:rFonts w:ascii="Times New Roman" w:hAnsi="Times New Roman" w:cs="Times New Roman"/>
          <w:sz w:val="24"/>
          <w:szCs w:val="24"/>
          <w:lang w:val="en-US"/>
        </w:rPr>
        <w:t>observed</w:t>
      </w:r>
      <w:r w:rsidRPr="0046706F">
        <w:rPr>
          <w:rFonts w:ascii="Times New Roman" w:hAnsi="Times New Roman" w:cs="Times New Roman"/>
          <w:sz w:val="24"/>
          <w:szCs w:val="24"/>
          <w:lang w:val="en-US"/>
        </w:rPr>
        <w:t xml:space="preserve"> </w:t>
      </w:r>
      <w:r w:rsidR="002D5533" w:rsidRPr="0046706F">
        <w:rPr>
          <w:rFonts w:ascii="Times New Roman" w:hAnsi="Times New Roman" w:cs="Times New Roman"/>
          <w:sz w:val="24"/>
          <w:szCs w:val="24"/>
          <w:lang w:val="en-US"/>
        </w:rPr>
        <w:t xml:space="preserve">the highest </w:t>
      </w:r>
      <w:r w:rsidRPr="0046706F">
        <w:rPr>
          <w:rFonts w:ascii="Times New Roman" w:eastAsia="AdvTimes" w:hAnsi="Times New Roman" w:cs="Times New Roman"/>
          <w:sz w:val="24"/>
          <w:szCs w:val="24"/>
          <w:lang w:val="en-US"/>
        </w:rPr>
        <w:t xml:space="preserve">risks of thromboembolism </w:t>
      </w:r>
      <w:r w:rsidR="002D5533" w:rsidRPr="0046706F">
        <w:rPr>
          <w:rFonts w:ascii="Times New Roman" w:eastAsia="AdvTimes" w:hAnsi="Times New Roman" w:cs="Times New Roman"/>
          <w:sz w:val="24"/>
          <w:szCs w:val="24"/>
          <w:lang w:val="en-US"/>
        </w:rPr>
        <w:t>in the</w:t>
      </w:r>
      <w:r w:rsidR="000477F3" w:rsidRPr="0046706F">
        <w:rPr>
          <w:rFonts w:ascii="Times New Roman" w:eastAsia="AdvTimes" w:hAnsi="Times New Roman" w:cs="Times New Roman"/>
          <w:sz w:val="24"/>
          <w:szCs w:val="24"/>
          <w:lang w:val="en-US"/>
        </w:rPr>
        <w:t xml:space="preserve"> non-anticoagulated AF </w:t>
      </w:r>
      <w:r w:rsidR="000477F3" w:rsidRPr="00E3404E">
        <w:rPr>
          <w:rFonts w:ascii="Times New Roman" w:eastAsia="AdvTimes" w:hAnsi="Times New Roman" w:cs="Times New Roman"/>
          <w:sz w:val="24"/>
          <w:szCs w:val="24"/>
          <w:lang w:val="en-US"/>
        </w:rPr>
        <w:t>patients</w:t>
      </w:r>
      <w:r w:rsidRPr="00E3404E">
        <w:rPr>
          <w:rFonts w:ascii="Times New Roman" w:eastAsia="AdvTimes" w:hAnsi="Times New Roman" w:cs="Times New Roman"/>
          <w:sz w:val="24"/>
          <w:szCs w:val="24"/>
          <w:lang w:val="en-US"/>
        </w:rPr>
        <w:t xml:space="preserve"> </w:t>
      </w:r>
      <w:r w:rsidR="002D5533" w:rsidRPr="00E3404E">
        <w:rPr>
          <w:rFonts w:ascii="Times New Roman" w:eastAsia="AdvTimes" w:hAnsi="Times New Roman" w:cs="Times New Roman"/>
          <w:sz w:val="24"/>
          <w:szCs w:val="24"/>
          <w:lang w:val="en-US"/>
        </w:rPr>
        <w:t>with EHRA Type 1 and Type 2 VHD (</w:t>
      </w:r>
      <w:r w:rsidR="00E3404E" w:rsidRPr="00E3404E">
        <w:rPr>
          <w:rFonts w:ascii="Times New Roman" w:eastAsia="AdvTimes" w:hAnsi="Times New Roman" w:cs="Times New Roman"/>
          <w:color w:val="FFC000"/>
          <w:sz w:val="24"/>
          <w:szCs w:val="24"/>
          <w:lang w:val="en-US"/>
        </w:rPr>
        <w:t xml:space="preserve">4.9%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 xml:space="preserve">2.6% </w:t>
      </w:r>
      <w:r w:rsidR="00E3404E" w:rsidRPr="00E3404E">
        <w:rPr>
          <w:rFonts w:ascii="Times New Roman" w:eastAsia="AdvTimes" w:hAnsi="Times New Roman" w:cs="Times New Roman"/>
          <w:sz w:val="24"/>
          <w:szCs w:val="24"/>
          <w:lang w:val="en-US"/>
        </w:rPr>
        <w:t>and</w:t>
      </w:r>
      <w:r w:rsidR="00E3404E" w:rsidRPr="00E3404E">
        <w:rPr>
          <w:rFonts w:ascii="Times New Roman" w:eastAsia="AdvTimes" w:hAnsi="Times New Roman" w:cs="Times New Roman"/>
          <w:color w:val="FFC000"/>
          <w:sz w:val="24"/>
          <w:szCs w:val="24"/>
          <w:lang w:val="en-US"/>
        </w:rPr>
        <w:t xml:space="preserve"> 3.2%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1.9%</w:t>
      </w:r>
      <w:r w:rsidR="00E3404E" w:rsidRPr="00E3404E">
        <w:rPr>
          <w:rFonts w:ascii="Times New Roman" w:eastAsia="AdvTimes" w:hAnsi="Times New Roman" w:cs="Times New Roman"/>
          <w:sz w:val="24"/>
          <w:szCs w:val="24"/>
          <w:lang w:val="en-US"/>
        </w:rPr>
        <w:t>)</w:t>
      </w:r>
      <w:r w:rsidR="00E3404E" w:rsidRPr="00E3404E">
        <w:rPr>
          <w:rFonts w:ascii="Times New Roman" w:eastAsia="AdvTimes" w:hAnsi="Times New Roman" w:cs="Times New Roman"/>
          <w:color w:val="FFC000"/>
          <w:sz w:val="24"/>
          <w:szCs w:val="24"/>
          <w:lang w:val="en-US"/>
        </w:rPr>
        <w:t xml:space="preserve"> </w:t>
      </w:r>
      <w:r w:rsidR="002D5533" w:rsidRPr="00E3404E">
        <w:rPr>
          <w:rFonts w:ascii="Times New Roman" w:eastAsia="AdvTimes" w:hAnsi="Times New Roman" w:cs="Times New Roman"/>
          <w:sz w:val="24"/>
          <w:szCs w:val="24"/>
          <w:lang w:val="en-US"/>
        </w:rPr>
        <w:t xml:space="preserve">and the highest risks of bleeding in the anticoagulated AF patients with </w:t>
      </w:r>
      <w:r w:rsidRPr="00E3404E">
        <w:rPr>
          <w:rFonts w:ascii="Times New Roman" w:eastAsia="AdvTimes" w:hAnsi="Times New Roman" w:cs="Times New Roman"/>
          <w:sz w:val="24"/>
          <w:szCs w:val="24"/>
          <w:lang w:val="en-US"/>
        </w:rPr>
        <w:t xml:space="preserve">EHRA Type 1 and Type 2 VHD </w:t>
      </w:r>
      <w:r w:rsidR="002D5533" w:rsidRPr="00E3404E">
        <w:rPr>
          <w:rFonts w:ascii="Times New Roman" w:eastAsia="AdvTimes" w:hAnsi="Times New Roman" w:cs="Times New Roman"/>
          <w:sz w:val="24"/>
          <w:szCs w:val="24"/>
          <w:lang w:val="en-US"/>
        </w:rPr>
        <w:t>(</w:t>
      </w:r>
      <w:r w:rsidR="00E3404E" w:rsidRPr="00E3404E">
        <w:rPr>
          <w:rFonts w:ascii="Times New Roman" w:eastAsia="AdvTimes" w:hAnsi="Times New Roman" w:cs="Times New Roman"/>
          <w:color w:val="FFC000"/>
          <w:sz w:val="24"/>
          <w:szCs w:val="24"/>
          <w:lang w:val="en-US"/>
        </w:rPr>
        <w:t xml:space="preserve">6.6%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 xml:space="preserve">4.3% </w:t>
      </w:r>
      <w:r w:rsidR="00E3404E" w:rsidRPr="00E3404E">
        <w:rPr>
          <w:rFonts w:ascii="Times New Roman" w:eastAsia="AdvTimes" w:hAnsi="Times New Roman" w:cs="Times New Roman"/>
          <w:sz w:val="24"/>
          <w:szCs w:val="24"/>
          <w:lang w:val="en-US"/>
        </w:rPr>
        <w:t xml:space="preserve">and </w:t>
      </w:r>
      <w:r w:rsidR="00E3404E" w:rsidRPr="00E3404E">
        <w:rPr>
          <w:rFonts w:ascii="Times New Roman" w:eastAsia="AdvTimes" w:hAnsi="Times New Roman" w:cs="Times New Roman"/>
          <w:color w:val="FFC000"/>
          <w:sz w:val="24"/>
          <w:szCs w:val="24"/>
          <w:lang w:val="en-US"/>
        </w:rPr>
        <w:t xml:space="preserve">6.1%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4.9%,</w:t>
      </w:r>
      <w:r w:rsidR="002D5533" w:rsidRPr="00E3404E">
        <w:rPr>
          <w:rFonts w:ascii="Times New Roman" w:eastAsia="AdvTimes" w:hAnsi="Times New Roman" w:cs="Times New Roman"/>
          <w:sz w:val="24"/>
          <w:szCs w:val="24"/>
          <w:lang w:val="en-US"/>
        </w:rPr>
        <w:t xml:space="preserve">). </w:t>
      </w:r>
      <w:r w:rsidR="005E0B2A" w:rsidRPr="00E3404E">
        <w:rPr>
          <w:rFonts w:ascii="Times New Roman" w:eastAsia="AdvTimes" w:hAnsi="Times New Roman" w:cs="Times New Roman"/>
          <w:sz w:val="24"/>
          <w:szCs w:val="24"/>
          <w:lang w:val="en-US"/>
        </w:rPr>
        <w:t>However, w</w:t>
      </w:r>
      <w:r w:rsidR="002D5533" w:rsidRPr="00E3404E">
        <w:rPr>
          <w:rFonts w:ascii="Times New Roman" w:eastAsia="AdvTimes" w:hAnsi="Times New Roman" w:cs="Times New Roman"/>
          <w:sz w:val="24"/>
          <w:szCs w:val="24"/>
          <w:lang w:val="en-US"/>
        </w:rPr>
        <w:t>ithin</w:t>
      </w:r>
      <w:r w:rsidRPr="00E3404E">
        <w:rPr>
          <w:rFonts w:ascii="Times New Roman" w:eastAsia="AdvTimes" w:hAnsi="Times New Roman" w:cs="Times New Roman"/>
          <w:sz w:val="24"/>
          <w:szCs w:val="24"/>
          <w:lang w:val="en-US"/>
        </w:rPr>
        <w:t xml:space="preserve"> the subgroups</w:t>
      </w:r>
      <w:r w:rsidR="002D5533" w:rsidRPr="00E3404E">
        <w:rPr>
          <w:rFonts w:ascii="Times New Roman" w:eastAsia="AdvTimes" w:hAnsi="Times New Roman" w:cs="Times New Roman"/>
          <w:sz w:val="24"/>
          <w:szCs w:val="24"/>
          <w:lang w:val="en-US"/>
        </w:rPr>
        <w:t xml:space="preserve"> of AF patients with EHRA Type 1 and Type 2 VHD, we observed</w:t>
      </w:r>
      <w:r w:rsidR="002D5533" w:rsidRPr="0046706F">
        <w:rPr>
          <w:rFonts w:ascii="Times New Roman" w:eastAsia="AdvTimes" w:hAnsi="Times New Roman" w:cs="Times New Roman"/>
          <w:sz w:val="24"/>
          <w:szCs w:val="24"/>
          <w:lang w:val="en-US"/>
        </w:rPr>
        <w:t xml:space="preserve"> a large proportion of non-anticoagulated patients</w:t>
      </w:r>
      <w:r w:rsidR="001C4A15" w:rsidRPr="0046706F">
        <w:rPr>
          <w:rFonts w:ascii="Times New Roman" w:eastAsia="AdvTimes" w:hAnsi="Times New Roman" w:cs="Times New Roman"/>
          <w:sz w:val="24"/>
          <w:szCs w:val="24"/>
          <w:lang w:val="en-US"/>
        </w:rPr>
        <w:t xml:space="preserve"> (32.9-49.2%)</w:t>
      </w:r>
      <w:r w:rsidR="002D5533" w:rsidRPr="0046706F">
        <w:rPr>
          <w:rFonts w:ascii="Times New Roman" w:eastAsia="AdvTimes" w:hAnsi="Times New Roman" w:cs="Times New Roman"/>
          <w:sz w:val="24"/>
          <w:szCs w:val="24"/>
          <w:lang w:val="en-US"/>
        </w:rPr>
        <w:t>, despite a</w:t>
      </w:r>
      <w:r w:rsidR="005E0B2A" w:rsidRPr="0046706F">
        <w:rPr>
          <w:rFonts w:ascii="Times New Roman" w:eastAsia="AdvTimes" w:hAnsi="Times New Roman" w:cs="Times New Roman"/>
          <w:sz w:val="24"/>
          <w:szCs w:val="24"/>
          <w:lang w:val="en-US"/>
        </w:rPr>
        <w:t xml:space="preserve"> </w:t>
      </w:r>
      <w:r w:rsidR="001C4A15" w:rsidRPr="0046706F">
        <w:rPr>
          <w:rFonts w:ascii="Times New Roman" w:hAnsi="Times New Roman" w:cs="Times New Roman"/>
          <w:sz w:val="24"/>
          <w:szCs w:val="24"/>
          <w:lang w:val="en-US"/>
        </w:rPr>
        <w:t>CHA</w:t>
      </w:r>
      <w:r w:rsidR="001C4A15" w:rsidRPr="0046706F">
        <w:rPr>
          <w:rFonts w:ascii="Times New Roman" w:hAnsi="Times New Roman" w:cs="Times New Roman"/>
          <w:sz w:val="24"/>
          <w:szCs w:val="24"/>
          <w:vertAlign w:val="subscript"/>
          <w:lang w:val="en-US"/>
        </w:rPr>
        <w:t>2</w:t>
      </w:r>
      <w:r w:rsidR="001C4A15" w:rsidRPr="0046706F">
        <w:rPr>
          <w:rFonts w:ascii="Times New Roman" w:hAnsi="Times New Roman" w:cs="Times New Roman"/>
          <w:sz w:val="24"/>
          <w:szCs w:val="24"/>
          <w:lang w:val="en-US"/>
        </w:rPr>
        <w:t>DS</w:t>
      </w:r>
      <w:r w:rsidR="001C4A15" w:rsidRPr="0046706F">
        <w:rPr>
          <w:rFonts w:ascii="Times New Roman" w:hAnsi="Times New Roman" w:cs="Times New Roman"/>
          <w:sz w:val="24"/>
          <w:szCs w:val="24"/>
          <w:vertAlign w:val="subscript"/>
          <w:lang w:val="en-US"/>
        </w:rPr>
        <w:t>2</w:t>
      </w:r>
      <w:r w:rsidR="001C4A15" w:rsidRPr="0046706F">
        <w:rPr>
          <w:rFonts w:ascii="Times New Roman" w:hAnsi="Times New Roman" w:cs="Times New Roman"/>
          <w:sz w:val="24"/>
          <w:szCs w:val="24"/>
          <w:lang w:val="en-US"/>
        </w:rPr>
        <w:t>-VASc score of 2</w:t>
      </w:r>
      <w:r w:rsidR="00AA5865" w:rsidRPr="0046706F">
        <w:rPr>
          <w:rFonts w:ascii="Times New Roman" w:hAnsi="Times New Roman" w:cs="Times New Roman"/>
          <w:sz w:val="24"/>
          <w:szCs w:val="24"/>
          <w:lang w:val="en-US"/>
        </w:rPr>
        <w:t>≤</w:t>
      </w:r>
      <w:r w:rsidR="001C4A15" w:rsidRPr="0046706F">
        <w:rPr>
          <w:rFonts w:ascii="Times New Roman" w:hAnsi="Times New Roman" w:cs="Times New Roman"/>
          <w:sz w:val="24"/>
          <w:szCs w:val="24"/>
          <w:lang w:val="en-US"/>
        </w:rPr>
        <w:t xml:space="preserve"> in the majority of these patients</w:t>
      </w:r>
      <w:r w:rsidR="00263B3F" w:rsidRPr="0046706F">
        <w:rPr>
          <w:rFonts w:ascii="Times New Roman" w:hAnsi="Times New Roman" w:cs="Times New Roman"/>
          <w:sz w:val="24"/>
          <w:szCs w:val="24"/>
          <w:lang w:val="en-US"/>
        </w:rPr>
        <w:t xml:space="preserve"> (81.9</w:t>
      </w:r>
      <w:r w:rsidR="001C4A15" w:rsidRPr="0046706F">
        <w:rPr>
          <w:rFonts w:ascii="Times New Roman" w:hAnsi="Times New Roman" w:cs="Times New Roman"/>
          <w:sz w:val="24"/>
          <w:szCs w:val="24"/>
          <w:lang w:val="en-US"/>
        </w:rPr>
        <w:t>-95.6%)</w:t>
      </w:r>
      <w:r w:rsidR="002D5533" w:rsidRPr="0046706F">
        <w:rPr>
          <w:rFonts w:ascii="Times New Roman" w:eastAsia="AdvTimes" w:hAnsi="Times New Roman" w:cs="Times New Roman"/>
          <w:sz w:val="24"/>
          <w:szCs w:val="24"/>
          <w:lang w:val="en-US"/>
        </w:rPr>
        <w:t>.</w:t>
      </w:r>
    </w:p>
    <w:p w14:paraId="309026F7" w14:textId="433FE17C" w:rsidR="0030608D" w:rsidRPr="0046706F" w:rsidRDefault="0030608D" w:rsidP="0030608D">
      <w:pPr>
        <w:pStyle w:val="Ingenafstand"/>
        <w:spacing w:line="480" w:lineRule="auto"/>
        <w:jc w:val="both"/>
        <w:rPr>
          <w:rFonts w:ascii="Times New Roman" w:hAnsi="Times New Roman" w:cs="Times New Roman"/>
          <w:sz w:val="24"/>
          <w:szCs w:val="24"/>
          <w:lang w:val="en-US"/>
        </w:rPr>
      </w:pPr>
      <w:r w:rsidRPr="0046706F">
        <w:rPr>
          <w:rFonts w:ascii="Times New Roman" w:hAnsi="Times New Roman" w:cs="Times New Roman"/>
          <w:sz w:val="24"/>
          <w:szCs w:val="24"/>
          <w:lang w:val="en-US"/>
        </w:rPr>
        <w:t xml:space="preserve">Conclusions: </w:t>
      </w:r>
      <w:r w:rsidR="00773EAA" w:rsidRPr="0046706F">
        <w:rPr>
          <w:rFonts w:ascii="Times New Roman" w:hAnsi="Times New Roman" w:cs="Times New Roman"/>
          <w:sz w:val="24"/>
          <w:szCs w:val="24"/>
          <w:lang w:val="en-US"/>
        </w:rPr>
        <w:t>When u</w:t>
      </w:r>
      <w:r w:rsidR="00EA0E75" w:rsidRPr="0046706F">
        <w:rPr>
          <w:rFonts w:ascii="Times New Roman" w:hAnsi="Times New Roman" w:cs="Times New Roman"/>
          <w:sz w:val="24"/>
          <w:szCs w:val="24"/>
          <w:lang w:val="en-GB"/>
        </w:rPr>
        <w:t xml:space="preserve">sing data reflecting </w:t>
      </w:r>
      <w:r w:rsidR="00FA2BBF" w:rsidRPr="0046706F">
        <w:rPr>
          <w:rFonts w:ascii="Times New Roman" w:hAnsi="Times New Roman" w:cs="Times New Roman"/>
          <w:sz w:val="24"/>
          <w:szCs w:val="24"/>
          <w:lang w:val="en-GB"/>
        </w:rPr>
        <w:t xml:space="preserve">contemporary </w:t>
      </w:r>
      <w:r w:rsidR="00EA0E75" w:rsidRPr="0046706F">
        <w:rPr>
          <w:rFonts w:ascii="Times New Roman" w:hAnsi="Times New Roman" w:cs="Times New Roman"/>
          <w:sz w:val="24"/>
          <w:szCs w:val="24"/>
          <w:lang w:val="en-GB"/>
        </w:rPr>
        <w:t xml:space="preserve">clinical practice, </w:t>
      </w:r>
      <w:r w:rsidR="00EA0E75" w:rsidRPr="0046706F">
        <w:rPr>
          <w:rFonts w:ascii="Times New Roman" w:hAnsi="Times New Roman" w:cs="Times New Roman"/>
          <w:sz w:val="24"/>
          <w:szCs w:val="24"/>
          <w:lang w:val="en-US"/>
        </w:rPr>
        <w:t>we</w:t>
      </w:r>
      <w:r w:rsidR="003E70A6" w:rsidRPr="0046706F">
        <w:rPr>
          <w:rFonts w:ascii="Times New Roman" w:hAnsi="Times New Roman" w:cs="Times New Roman"/>
          <w:sz w:val="24"/>
          <w:szCs w:val="24"/>
          <w:lang w:val="en-US"/>
        </w:rPr>
        <w:t xml:space="preserve"> </w:t>
      </w:r>
      <w:r w:rsidR="005E0B2A" w:rsidRPr="0046706F">
        <w:rPr>
          <w:rFonts w:ascii="Times New Roman" w:hAnsi="Times New Roman" w:cs="Times New Roman"/>
          <w:sz w:val="24"/>
          <w:szCs w:val="24"/>
          <w:lang w:val="en-US"/>
        </w:rPr>
        <w:t xml:space="preserve">observed </w:t>
      </w:r>
      <w:r w:rsidR="0023712D" w:rsidRPr="0046706F">
        <w:rPr>
          <w:rFonts w:ascii="Times New Roman" w:hAnsi="Times New Roman" w:cs="Times New Roman"/>
          <w:sz w:val="24"/>
          <w:szCs w:val="24"/>
          <w:lang w:val="en-US"/>
        </w:rPr>
        <w:t xml:space="preserve">markedly different risks of </w:t>
      </w:r>
      <w:r w:rsidR="003D2627" w:rsidRPr="0046706F">
        <w:rPr>
          <w:rFonts w:ascii="Times New Roman" w:hAnsi="Times New Roman" w:cs="Times New Roman"/>
          <w:sz w:val="24"/>
          <w:szCs w:val="24"/>
          <w:lang w:val="en-US"/>
        </w:rPr>
        <w:t>thromboemboli</w:t>
      </w:r>
      <w:r w:rsidR="0023712D" w:rsidRPr="0046706F">
        <w:rPr>
          <w:rFonts w:ascii="Times New Roman" w:hAnsi="Times New Roman" w:cs="Times New Roman"/>
          <w:sz w:val="24"/>
          <w:szCs w:val="24"/>
          <w:lang w:val="en-US"/>
        </w:rPr>
        <w:t>sm</w:t>
      </w:r>
      <w:r w:rsidR="003D2627" w:rsidRPr="0046706F">
        <w:rPr>
          <w:rFonts w:ascii="Times New Roman" w:hAnsi="Times New Roman" w:cs="Times New Roman"/>
          <w:sz w:val="24"/>
          <w:szCs w:val="24"/>
          <w:lang w:val="en-US"/>
        </w:rPr>
        <w:t xml:space="preserve"> </w:t>
      </w:r>
      <w:r w:rsidR="00AA5865" w:rsidRPr="0046706F">
        <w:rPr>
          <w:rFonts w:ascii="Times New Roman" w:hAnsi="Times New Roman" w:cs="Times New Roman"/>
          <w:sz w:val="24"/>
          <w:szCs w:val="24"/>
          <w:lang w:val="en-US"/>
        </w:rPr>
        <w:t xml:space="preserve">and bleeding </w:t>
      </w:r>
      <w:r w:rsidR="0023712D" w:rsidRPr="0046706F">
        <w:rPr>
          <w:rFonts w:ascii="Times New Roman" w:hAnsi="Times New Roman" w:cs="Times New Roman"/>
          <w:sz w:val="24"/>
          <w:szCs w:val="24"/>
          <w:lang w:val="en-US"/>
        </w:rPr>
        <w:t xml:space="preserve">in </w:t>
      </w:r>
      <w:r w:rsidR="005E0B2A" w:rsidRPr="0046706F">
        <w:rPr>
          <w:rFonts w:ascii="Times New Roman" w:eastAsia="AdvTimes" w:hAnsi="Times New Roman" w:cs="Times New Roman"/>
          <w:sz w:val="24"/>
          <w:szCs w:val="24"/>
          <w:lang w:val="en-US"/>
        </w:rPr>
        <w:t>EHRA Type 1 and Type 2 VHD</w:t>
      </w:r>
      <w:r w:rsidR="0023712D" w:rsidRPr="0046706F">
        <w:rPr>
          <w:rFonts w:ascii="Times New Roman" w:eastAsia="AdvTimes" w:hAnsi="Times New Roman" w:cs="Times New Roman"/>
          <w:sz w:val="24"/>
          <w:szCs w:val="24"/>
          <w:lang w:val="en-US"/>
        </w:rPr>
        <w:t xml:space="preserve">. </w:t>
      </w:r>
      <w:r w:rsidR="0023712D" w:rsidRPr="0046706F">
        <w:rPr>
          <w:rFonts w:ascii="Times New Roman" w:hAnsi="Times New Roman" w:cs="Times New Roman"/>
          <w:sz w:val="24"/>
          <w:szCs w:val="24"/>
          <w:lang w:val="en-US"/>
        </w:rPr>
        <w:t>Additionally</w:t>
      </w:r>
      <w:r w:rsidR="007D09C5" w:rsidRPr="0046706F">
        <w:rPr>
          <w:rFonts w:ascii="Times New Roman" w:hAnsi="Times New Roman" w:cs="Times New Roman"/>
          <w:sz w:val="24"/>
          <w:szCs w:val="24"/>
          <w:lang w:val="en-US"/>
        </w:rPr>
        <w:t xml:space="preserve">, </w:t>
      </w:r>
      <w:r w:rsidR="005E0B2A" w:rsidRPr="0046706F">
        <w:rPr>
          <w:rFonts w:ascii="Times New Roman" w:eastAsia="AdvTimes" w:hAnsi="Times New Roman" w:cs="Times New Roman"/>
          <w:sz w:val="24"/>
          <w:szCs w:val="24"/>
          <w:lang w:val="en-US"/>
        </w:rPr>
        <w:t xml:space="preserve">we observed a </w:t>
      </w:r>
      <w:r w:rsidR="00446B41" w:rsidRPr="0046706F">
        <w:rPr>
          <w:rFonts w:ascii="Times New Roman" w:eastAsia="AdvTimes" w:hAnsi="Times New Roman" w:cs="Times New Roman"/>
          <w:sz w:val="24"/>
          <w:szCs w:val="24"/>
          <w:lang w:val="en-US"/>
        </w:rPr>
        <w:t>potential underuse of oral anticoagulati</w:t>
      </w:r>
      <w:r w:rsidR="000477F3" w:rsidRPr="0046706F">
        <w:rPr>
          <w:rFonts w:ascii="Times New Roman" w:eastAsia="AdvTimes" w:hAnsi="Times New Roman" w:cs="Times New Roman"/>
          <w:sz w:val="24"/>
          <w:szCs w:val="24"/>
          <w:lang w:val="en-US"/>
        </w:rPr>
        <w:t>on within the subgroups of</w:t>
      </w:r>
      <w:r w:rsidR="005E0B2A" w:rsidRPr="0046706F">
        <w:rPr>
          <w:rFonts w:ascii="Times New Roman" w:eastAsia="AdvTimes" w:hAnsi="Times New Roman" w:cs="Times New Roman"/>
          <w:sz w:val="24"/>
          <w:szCs w:val="24"/>
          <w:lang w:val="en-US"/>
        </w:rPr>
        <w:t xml:space="preserve"> AF </w:t>
      </w:r>
      <w:r w:rsidR="006732A6" w:rsidRPr="0046706F">
        <w:rPr>
          <w:rFonts w:ascii="Times New Roman" w:hAnsi="Times New Roman" w:cs="Times New Roman"/>
          <w:sz w:val="24"/>
          <w:szCs w:val="24"/>
          <w:lang w:val="en-US"/>
        </w:rPr>
        <w:t xml:space="preserve">patients </w:t>
      </w:r>
      <w:r w:rsidR="006732A6" w:rsidRPr="0046706F">
        <w:rPr>
          <w:rFonts w:ascii="Times New Roman" w:eastAsia="AdvTimes" w:hAnsi="Times New Roman" w:cs="Times New Roman"/>
          <w:sz w:val="24"/>
          <w:szCs w:val="24"/>
          <w:lang w:val="en-US"/>
        </w:rPr>
        <w:t>with EHRA Type 1 and Type 2 VHD</w:t>
      </w:r>
      <w:r w:rsidR="00446B41" w:rsidRPr="0046706F">
        <w:rPr>
          <w:rFonts w:ascii="Times New Roman" w:eastAsia="AdvTimes" w:hAnsi="Times New Roman" w:cs="Times New Roman"/>
          <w:sz w:val="24"/>
          <w:szCs w:val="24"/>
          <w:lang w:val="en-US"/>
        </w:rPr>
        <w:t xml:space="preserve">, </w:t>
      </w:r>
      <w:r w:rsidR="0023712D" w:rsidRPr="0046706F">
        <w:rPr>
          <w:rFonts w:ascii="Times New Roman" w:eastAsia="AdvTimes" w:hAnsi="Times New Roman" w:cs="Times New Roman"/>
          <w:sz w:val="24"/>
          <w:szCs w:val="24"/>
          <w:lang w:val="en-US"/>
        </w:rPr>
        <w:t xml:space="preserve">underlining </w:t>
      </w:r>
      <w:r w:rsidR="00C9300F" w:rsidRPr="0046706F">
        <w:rPr>
          <w:rFonts w:ascii="Times New Roman" w:eastAsia="AdvTimes" w:hAnsi="Times New Roman" w:cs="Times New Roman"/>
          <w:sz w:val="24"/>
          <w:szCs w:val="24"/>
          <w:lang w:val="en-US"/>
        </w:rPr>
        <w:t xml:space="preserve">need </w:t>
      </w:r>
      <w:r w:rsidR="0023712D" w:rsidRPr="0046706F">
        <w:rPr>
          <w:rFonts w:ascii="Times New Roman" w:eastAsia="AdvTimes" w:hAnsi="Times New Roman" w:cs="Times New Roman"/>
          <w:sz w:val="24"/>
          <w:szCs w:val="24"/>
          <w:lang w:val="en-US"/>
        </w:rPr>
        <w:t xml:space="preserve">for further </w:t>
      </w:r>
      <w:r w:rsidR="00C9300F" w:rsidRPr="0046706F">
        <w:rPr>
          <w:rFonts w:ascii="Times New Roman" w:eastAsia="AdvTimes" w:hAnsi="Times New Roman" w:cs="Times New Roman"/>
          <w:sz w:val="24"/>
          <w:szCs w:val="24"/>
          <w:lang w:val="en-US"/>
        </w:rPr>
        <w:t xml:space="preserve">attention on this patient group. </w:t>
      </w:r>
    </w:p>
    <w:p w14:paraId="2533A820" w14:textId="77777777" w:rsidR="0030608D" w:rsidRPr="0046706F" w:rsidRDefault="0030608D" w:rsidP="0030608D">
      <w:pPr>
        <w:jc w:val="left"/>
        <w:rPr>
          <w:rFonts w:ascii="Times New Roman" w:hAnsi="Times New Roman" w:cs="Times New Roman"/>
          <w:b/>
          <w:sz w:val="24"/>
          <w:szCs w:val="24"/>
          <w:lang w:val="en-US"/>
        </w:rPr>
      </w:pPr>
    </w:p>
    <w:p w14:paraId="49C597A9" w14:textId="77777777" w:rsidR="0030608D" w:rsidRPr="0046706F" w:rsidRDefault="0030608D" w:rsidP="0030608D">
      <w:pPr>
        <w:jc w:val="left"/>
        <w:rPr>
          <w:rFonts w:ascii="Times New Roman" w:hAnsi="Times New Roman" w:cs="Times New Roman"/>
          <w:b/>
          <w:sz w:val="24"/>
          <w:szCs w:val="24"/>
          <w:lang w:val="en-US"/>
        </w:rPr>
      </w:pPr>
      <w:r w:rsidRPr="0046706F">
        <w:rPr>
          <w:rFonts w:ascii="Times New Roman" w:hAnsi="Times New Roman" w:cs="Times New Roman"/>
          <w:b/>
          <w:sz w:val="24"/>
          <w:szCs w:val="24"/>
          <w:lang w:val="en-US"/>
        </w:rPr>
        <w:t>Keywords</w:t>
      </w:r>
    </w:p>
    <w:p w14:paraId="03E46BEC" w14:textId="3EBF28DE" w:rsidR="0030608D" w:rsidRPr="0046706F" w:rsidRDefault="004901F5" w:rsidP="0030608D">
      <w:pPr>
        <w:jc w:val="left"/>
        <w:rPr>
          <w:rFonts w:ascii="Times New Roman" w:hAnsi="Times New Roman" w:cs="Times New Roman"/>
          <w:sz w:val="24"/>
          <w:szCs w:val="24"/>
          <w:lang w:val="en-US"/>
        </w:rPr>
      </w:pPr>
      <w:r w:rsidRPr="0046706F">
        <w:rPr>
          <w:rFonts w:ascii="Times New Roman" w:hAnsi="Times New Roman" w:cs="Times New Roman"/>
          <w:sz w:val="24"/>
          <w:szCs w:val="24"/>
          <w:lang w:val="en-US"/>
        </w:rPr>
        <w:t>Atrial fibrillation;</w:t>
      </w:r>
      <w:r w:rsidR="0030608D" w:rsidRPr="0046706F">
        <w:rPr>
          <w:rFonts w:ascii="Times New Roman" w:hAnsi="Times New Roman" w:cs="Times New Roman"/>
          <w:sz w:val="24"/>
          <w:szCs w:val="24"/>
          <w:lang w:val="en-US"/>
        </w:rPr>
        <w:t xml:space="preserve"> valvular heart disease</w:t>
      </w:r>
      <w:r w:rsidRPr="0046706F">
        <w:rPr>
          <w:rFonts w:ascii="Times New Roman" w:hAnsi="Times New Roman" w:cs="Times New Roman"/>
          <w:sz w:val="24"/>
          <w:szCs w:val="24"/>
          <w:lang w:val="en-US"/>
        </w:rPr>
        <w:t>;</w:t>
      </w:r>
      <w:r w:rsidR="0030608D" w:rsidRPr="0046706F">
        <w:rPr>
          <w:rFonts w:ascii="Times New Roman" w:hAnsi="Times New Roman" w:cs="Times New Roman"/>
          <w:sz w:val="24"/>
          <w:szCs w:val="24"/>
          <w:lang w:val="en-US"/>
        </w:rPr>
        <w:t xml:space="preserve"> thromboembolism</w:t>
      </w:r>
      <w:r w:rsidRPr="0046706F">
        <w:rPr>
          <w:rFonts w:ascii="Times New Roman" w:hAnsi="Times New Roman" w:cs="Times New Roman"/>
          <w:sz w:val="24"/>
          <w:szCs w:val="24"/>
          <w:lang w:val="en-US"/>
        </w:rPr>
        <w:t>; bleeding;</w:t>
      </w:r>
      <w:r w:rsidR="0030608D" w:rsidRPr="0046706F">
        <w:rPr>
          <w:rFonts w:ascii="Times New Roman" w:hAnsi="Times New Roman" w:cs="Times New Roman"/>
          <w:sz w:val="24"/>
          <w:szCs w:val="24"/>
          <w:lang w:val="en-US"/>
        </w:rPr>
        <w:t xml:space="preserve"> anticoagulation.</w:t>
      </w:r>
    </w:p>
    <w:p w14:paraId="7FF1FBA3" w14:textId="77777777" w:rsidR="006A2CD7" w:rsidRDefault="006A2CD7">
      <w:pPr>
        <w:jc w:val="left"/>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9F464D6" w14:textId="670D0C7F" w:rsidR="007E6B6C" w:rsidRDefault="007E6B6C" w:rsidP="007E6B6C">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What’s already known about this </w:t>
      </w:r>
      <w:proofErr w:type="gramStart"/>
      <w:r>
        <w:rPr>
          <w:rFonts w:ascii="Times New Roman" w:hAnsi="Times New Roman" w:cs="Times New Roman"/>
          <w:b/>
          <w:sz w:val="24"/>
          <w:szCs w:val="24"/>
          <w:lang w:val="en-US"/>
        </w:rPr>
        <w:t>topic:</w:t>
      </w:r>
      <w:proofErr w:type="gramEnd"/>
    </w:p>
    <w:p w14:paraId="07D4DE75" w14:textId="691C8B64" w:rsidR="007E6B6C" w:rsidRPr="007E6B6C" w:rsidRDefault="007E6B6C" w:rsidP="007E6B6C">
      <w:pPr>
        <w:spacing w:line="480" w:lineRule="auto"/>
        <w:jc w:val="left"/>
        <w:rPr>
          <w:rFonts w:ascii="Times New Roman" w:hAnsi="Times New Roman" w:cs="Times New Roman"/>
          <w:sz w:val="24"/>
          <w:szCs w:val="24"/>
          <w:lang w:val="en-US"/>
        </w:rPr>
      </w:pPr>
      <w:r w:rsidRPr="007E6B6C">
        <w:rPr>
          <w:rFonts w:ascii="Times New Roman" w:hAnsi="Times New Roman" w:cs="Times New Roman"/>
          <w:sz w:val="24"/>
          <w:szCs w:val="24"/>
          <w:lang w:val="en-US"/>
        </w:rPr>
        <w:t>- Atrial fibrillation (AF) and valvular heart disease (VHD) often coexist.</w:t>
      </w:r>
      <w:r>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They are independent causes of mortality and morbidity, and both have been associated with risk of thromboembolism and bleeding events</w:t>
      </w:r>
      <w:r>
        <w:rPr>
          <w:rFonts w:ascii="Times New Roman" w:hAnsi="Times New Roman" w:cs="Times New Roman"/>
          <w:sz w:val="24"/>
          <w:szCs w:val="24"/>
          <w:lang w:val="en-US"/>
        </w:rPr>
        <w:t>.</w:t>
      </w:r>
    </w:p>
    <w:p w14:paraId="0C66DFCF" w14:textId="78F92635" w:rsidR="007E6B6C" w:rsidRPr="007E6B6C" w:rsidRDefault="007E6B6C" w:rsidP="007E6B6C">
      <w:pPr>
        <w:spacing w:line="48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However, n</w:t>
      </w:r>
      <w:r w:rsidRPr="007E6B6C">
        <w:rPr>
          <w:rFonts w:ascii="Times New Roman" w:hAnsi="Times New Roman" w:cs="Times New Roman"/>
          <w:sz w:val="24"/>
          <w:szCs w:val="24"/>
          <w:lang w:val="en-US"/>
        </w:rPr>
        <w:t>o study has thoroughly described the risk of thromboembolism and</w:t>
      </w:r>
      <w:r>
        <w:rPr>
          <w:rFonts w:ascii="Times New Roman" w:hAnsi="Times New Roman" w:cs="Times New Roman"/>
          <w:sz w:val="24"/>
          <w:szCs w:val="24"/>
          <w:lang w:val="en-US"/>
        </w:rPr>
        <w:t xml:space="preserve"> major bleeding according to this</w:t>
      </w:r>
      <w:r w:rsidRPr="007E6B6C">
        <w:rPr>
          <w:rFonts w:ascii="Times New Roman" w:hAnsi="Times New Roman" w:cs="Times New Roman"/>
          <w:sz w:val="24"/>
          <w:szCs w:val="24"/>
          <w:lang w:val="en-US"/>
        </w:rPr>
        <w:t xml:space="preserve"> newly proposed EHRA classification.</w:t>
      </w:r>
    </w:p>
    <w:p w14:paraId="318F22C0" w14:textId="6BB13657" w:rsidR="007E6B6C" w:rsidRDefault="007E6B6C" w:rsidP="007E6B6C">
      <w:pPr>
        <w:spacing w:line="480" w:lineRule="auto"/>
        <w:jc w:val="left"/>
        <w:rPr>
          <w:rFonts w:ascii="Times New Roman" w:hAnsi="Times New Roman" w:cs="Times New Roman"/>
          <w:b/>
          <w:sz w:val="24"/>
          <w:szCs w:val="24"/>
          <w:lang w:val="en-US"/>
        </w:rPr>
      </w:pPr>
      <w:r w:rsidRPr="007E6B6C">
        <w:rPr>
          <w:rFonts w:ascii="Times New Roman" w:hAnsi="Times New Roman" w:cs="Times New Roman"/>
          <w:sz w:val="24"/>
          <w:szCs w:val="24"/>
          <w:lang w:val="en-US"/>
        </w:rPr>
        <w:t>- Specifically, no study has described the risk in subgroups within EHRA Type 1 VHD and EHRA Type 2 VHD.</w:t>
      </w:r>
      <w:r w:rsidRPr="007E6B6C">
        <w:rPr>
          <w:rFonts w:ascii="Times New Roman" w:hAnsi="Times New Roman" w:cs="Times New Roman"/>
          <w:b/>
          <w:sz w:val="24"/>
          <w:szCs w:val="24"/>
          <w:lang w:val="en-US"/>
        </w:rPr>
        <w:t xml:space="preserve">  </w:t>
      </w:r>
    </w:p>
    <w:p w14:paraId="087E9202" w14:textId="77777777" w:rsidR="007E6B6C" w:rsidRPr="007E6B6C" w:rsidRDefault="007E6B6C" w:rsidP="007E6B6C">
      <w:pPr>
        <w:spacing w:line="480" w:lineRule="auto"/>
        <w:jc w:val="left"/>
        <w:rPr>
          <w:rFonts w:ascii="Times New Roman" w:hAnsi="Times New Roman" w:cs="Times New Roman"/>
          <w:sz w:val="24"/>
          <w:szCs w:val="24"/>
          <w:lang w:val="en-US"/>
        </w:rPr>
      </w:pPr>
    </w:p>
    <w:p w14:paraId="194FB8C9" w14:textId="77777777" w:rsidR="007E6B6C" w:rsidRDefault="007E6B6C" w:rsidP="007E6B6C">
      <w:pPr>
        <w:spacing w:line="48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What does this article </w:t>
      </w:r>
      <w:proofErr w:type="gramStart"/>
      <w:r>
        <w:rPr>
          <w:rFonts w:ascii="Times New Roman" w:hAnsi="Times New Roman" w:cs="Times New Roman"/>
          <w:b/>
          <w:sz w:val="24"/>
          <w:szCs w:val="24"/>
          <w:lang w:val="en-US"/>
        </w:rPr>
        <w:t>add:</w:t>
      </w:r>
      <w:proofErr w:type="gramEnd"/>
    </w:p>
    <w:p w14:paraId="7B8BA713" w14:textId="77777777" w:rsidR="007E6B6C" w:rsidRPr="007E6B6C" w:rsidRDefault="007E6B6C" w:rsidP="007E6B6C">
      <w:pPr>
        <w:spacing w:line="480" w:lineRule="auto"/>
        <w:jc w:val="left"/>
        <w:rPr>
          <w:rFonts w:ascii="Times New Roman" w:hAnsi="Times New Roman" w:cs="Times New Roman"/>
          <w:sz w:val="24"/>
          <w:szCs w:val="24"/>
          <w:lang w:val="en-US"/>
        </w:rPr>
      </w:pPr>
      <w:r w:rsidRPr="007E6B6C">
        <w:rPr>
          <w:rFonts w:ascii="Times New Roman" w:hAnsi="Times New Roman" w:cs="Times New Roman"/>
          <w:sz w:val="24"/>
          <w:szCs w:val="24"/>
          <w:lang w:val="en-US"/>
        </w:rPr>
        <w:t xml:space="preserve">- When using data reflecting contemporary clinical practice, we observed markedly different risks of thromboembolism and bleeding in EHRA Type 1 and Type 2 VHD, emphasizing the differences in these two underlying diseases. </w:t>
      </w:r>
    </w:p>
    <w:p w14:paraId="37956CBA" w14:textId="77777777" w:rsidR="007E6B6C" w:rsidRPr="007E6B6C" w:rsidRDefault="007E6B6C" w:rsidP="007E6B6C">
      <w:pPr>
        <w:spacing w:line="480" w:lineRule="auto"/>
        <w:jc w:val="left"/>
        <w:rPr>
          <w:rFonts w:ascii="Times New Roman" w:hAnsi="Times New Roman" w:cs="Times New Roman"/>
          <w:sz w:val="24"/>
          <w:szCs w:val="24"/>
          <w:lang w:val="en-US"/>
        </w:rPr>
      </w:pPr>
      <w:r w:rsidRPr="007E6B6C">
        <w:rPr>
          <w:rFonts w:ascii="Times New Roman" w:hAnsi="Times New Roman" w:cs="Times New Roman"/>
          <w:sz w:val="24"/>
          <w:szCs w:val="24"/>
          <w:lang w:val="en-US"/>
        </w:rPr>
        <w:t xml:space="preserve">- Additionally, we observed a potential underuse of oral anticoagulation within the subgroups of AF patients with EHRA Type 1 and Type 2 VHD, underlining an unmet need for appropriate anticoagulation in this patient group. </w:t>
      </w:r>
    </w:p>
    <w:p w14:paraId="30765F33" w14:textId="0E18070F" w:rsidR="007E6B6C" w:rsidRDefault="007E6B6C" w:rsidP="007E6B6C">
      <w:pPr>
        <w:spacing w:line="480" w:lineRule="auto"/>
        <w:jc w:val="left"/>
        <w:rPr>
          <w:rFonts w:ascii="Times New Roman" w:hAnsi="Times New Roman" w:cs="Times New Roman"/>
          <w:b/>
          <w:sz w:val="24"/>
          <w:szCs w:val="24"/>
          <w:lang w:val="en-US"/>
        </w:rPr>
      </w:pPr>
      <w:r w:rsidRPr="007E6B6C">
        <w:rPr>
          <w:rFonts w:ascii="Times New Roman" w:hAnsi="Times New Roman" w:cs="Times New Roman"/>
          <w:sz w:val="24"/>
          <w:szCs w:val="24"/>
          <w:lang w:val="en-US"/>
        </w:rPr>
        <w:t>- Future studies examining the optimal antithrombotic treatment strategy in each subgroup of EHRA Type 1 VHD and EHRA Type 2 VHD are needed.</w:t>
      </w:r>
      <w:r w:rsidRPr="007E6B6C">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type="page"/>
      </w:r>
    </w:p>
    <w:p w14:paraId="41D735E4" w14:textId="6520A567" w:rsidR="001A4C32" w:rsidRPr="0046706F" w:rsidRDefault="001A4C32" w:rsidP="0030608D">
      <w:pPr>
        <w:jc w:val="left"/>
        <w:rPr>
          <w:rFonts w:ascii="Times New Roman" w:hAnsi="Times New Roman" w:cs="Times New Roman"/>
          <w:b/>
          <w:sz w:val="24"/>
          <w:szCs w:val="24"/>
          <w:lang w:val="en-US"/>
        </w:rPr>
      </w:pPr>
      <w:r w:rsidRPr="0046706F">
        <w:rPr>
          <w:rFonts w:ascii="Times New Roman" w:hAnsi="Times New Roman" w:cs="Times New Roman"/>
          <w:b/>
          <w:sz w:val="24"/>
          <w:szCs w:val="24"/>
          <w:lang w:val="en-US"/>
        </w:rPr>
        <w:lastRenderedPageBreak/>
        <w:t>Introduction</w:t>
      </w:r>
    </w:p>
    <w:p w14:paraId="481B0FF9" w14:textId="5221E044" w:rsidR="000D3F0D" w:rsidRPr="0046706F" w:rsidRDefault="000D3F0D" w:rsidP="00456522">
      <w:pPr>
        <w:spacing w:after="0" w:line="480" w:lineRule="auto"/>
        <w:rPr>
          <w:rFonts w:ascii="Times New Roman" w:eastAsiaTheme="majorEastAsia" w:hAnsi="Times New Roman" w:cs="Times New Roman"/>
          <w:b/>
          <w:bCs/>
          <w:color w:val="4F81BD" w:themeColor="accent1"/>
          <w:sz w:val="24"/>
          <w:szCs w:val="24"/>
          <w:lang w:val="en-US"/>
        </w:rPr>
      </w:pPr>
      <w:r w:rsidRPr="0046706F">
        <w:rPr>
          <w:rFonts w:ascii="Times New Roman" w:hAnsi="Times New Roman" w:cs="Times New Roman"/>
          <w:sz w:val="24"/>
          <w:szCs w:val="24"/>
          <w:lang w:val="en-US"/>
        </w:rPr>
        <w:t>Atrial fibrillation (AF) and valvular heart disease (VHD) often coexist</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lang w:val="en-US"/>
        </w:rPr>
        <w:fldChar w:fldCharType="begin" w:fldLock="1"/>
      </w:r>
      <w:r w:rsidR="002B2E8D" w:rsidRPr="0046706F">
        <w:rPr>
          <w:rFonts w:ascii="Times New Roman" w:hAnsi="Times New Roman" w:cs="Times New Roman"/>
          <w:sz w:val="24"/>
          <w:szCs w:val="24"/>
          <w:lang w:val="en-US"/>
        </w:rPr>
        <w:instrText>ADDIN CSL_CITATION {"citationItems":[{"id":"ITEM-1","itemData":{"ISSN":"1532-2092","PMID":"24084680","abstract":"AIMS We sought to describe the management of patients with atrial fibrillation (AF) in Europe after the release of the 2010 AF Guidelines of the European Society of Cardiology. METHODS AND RESULTS The PREFER in AF registry enrolled consecutive patients with AF from January 2012 to January 2013 in 461 centres in seven European countries. Seven thousand two hundred and forty-three evaluable patients were enrolled, aged 71.5 ± 11 years, 60.1% male, CHA2DS2VASc score 3.4 ± 1.8 (mean ± standard deviation). Thirty per cent patients had paroxysmal, 24.0% had persistent, 7.2% had long-standing persistent, and 38.8% had permanent AF. Oral anticoagulation was used in the majority of patients: 4799 patients (66.3%) received a vitamin K antagonist (VKA) as mono-therapy, 720 patients a combination of VKA and antiplatelet agents (9.9%), 442 patients (6.1%) a new oral anticoagulant drugs (NOAC). Antiplatelet agents alone were given to 808 patients (11.2%), no antithrombotic therapy to 474 patients (6.5%). Of 7034 evaluable patients, 5530 (78.6%) patients were adequately rate controlled (mean heart rate 60-100 bpm). Half of the patients (50.7%) received rhythm control therapy by electrical cardioversion (18.1%), pharmacological cardioversion (19.5%), antiarrhythmic drugs (amiodarone 24.1%, flecainide or propafenone 13.5%, sotalol 5.5%, dronedarone 4.0%), and catheter ablation (5.0%). CONCLUSION The management of AF patients in 2012 has adapted to recent evidence and guideline recommendations. Oral anticoagulant therapy with VKA (majority) or NOACs is given to over 80% of eligible patients, including those at risk for bleeding. Rate is often adequately controlled, and rhythm control therapy is widely used.","author":[{"dropping-particle":"","family":"Kirchhof","given":"Paulus","non-dropping-particle":"","parse-names":false,"suffix":""},{"dropping-particle":"","family":"Ammentorp","given":"Bettina","non-dropping-particle":"","parse-names":false,"suffix":""},{"dropping-particle":"","family":"Darius","given":"Harald","non-dropping-particle":"","parse-names":false,"suffix":""},{"dropping-particle":"","family":"Caterina","given":"Raffaele","non-dropping-particle":"De","parse-names":false,"suffix":""},{"dropping-particle":"","family":"Heuzey","given":"Jean-Yves","non-dropping-particle":"Le","parse-names":false,"suffix":""},{"dropping-particle":"","family":"Schilling","given":"Richard John","non-dropping-particle":"","parse-names":false,"suffix":""},{"dropping-particle":"","family":"Schmitt","given":"Josef","non-dropping-particle":"","parse-names":false,"suffix":""},{"dropping-particle":"","family":"Zamorano","given":"Jose Luis","non-dropping-particle":"","parse-names":false,"suffix":""}],"container-title":"Europace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Cardiology","id":"ITEM-1","issued":{"date-parts":[["2014"]]},"page":"6-14","title":"Management of atrial fibrillation in seven European countries after the publication of the 2010 ESC Guidelines on atrial fibrillation: primary results of the PREvention oF thromboemolic events--European Registry in Atrial Fibrillation (PREFER in AF).","type":"article-journal","volume":"16"},"uris":["http://www.mendeley.com/documents/?uuid=4884144c-921d-3664-960b-6d5da22db816","http://www.mendeley.com/documents/?uuid=e04a56c5-352c-43e2-8d38-66e32b33719a","http://www.mendeley.com/documents/?uuid=053e3200-e618-4152-8e31-d1ae3b556e4e"]},{"id":"ITEM-2","itemData":{"ISSN":"0004-5772","PMID":"26710395","abstract":"OBJECTIVES To estimate incidence of atrial fibrillation in patients of rheumatic heart disease, to study clinical correlation of atrial fibrillation in term of mitral valve area in mitral stenosis, to estimate incidence of systemic embolization and to find out association of atrial fibrillation with recurrent respiratory infections. MATERIAL AND METHODS Ninty-four cases were assigned with different groups according to type of valvular lesion, age group, sex and severity. The incidence of atrial fibrillation was compared among these groups. Patients were grouped according to the type of valvular lesion, age and mitral valve area. Incidence of different types of systemic embolization was studied in cases suffering from atrial fibrillation. We also looked for association of atrial fibrillation with respiratory tract infections. RESULTS The incidence of atrial fibrillation was 41 out of 94 cases (43.61%). The highest incidence of atrial fibrillation was in the age group of 21-30 yrs (55%) and the incidence was more in females (72.72%) as compared to males (27.27%). The incidence of atrial fibrillation in patients with pure mitral stenosis was 48.2% and in cases of predominant mitral regurgitation 43.3%. The incidence of atrial fibrillation in cases of mitral stenosis with mitral valve area &lt; 1 cm2 was 70.4% as compared to 29.6% in cases of mitral stenosis with mitral valve area &gt; 1 cm2. Out of 41 cases of atrial fibrillation, nine had evidence of systemic embolization out of which six were cerebral (66.66%), two were peripheral (33.33%) and one was mesenteric (16.66%). The respiratory infections were more commonly present in patients with atrial fibrillation as compared to patients without atrial fibrillation (24.39% Vs 5.66%). CONCLUSIONS The incidence of atrial fibrillation is significant in cases of rheumatic heart disease. The incidence is higher in females and in the age group of 21-30 yrs. The incidence of atrial fibrillation increases with severity of valvular stenosis. Systemic embolization is present in significant number of patients with rheumatic heart disease with atrial fibrillation. Cerebral embolization is more common as compared to peripheral and followed by mesenteric. The respiratory tract infection is more commonly present in patients with atrial fibrillation as compared to patients without atrial fibrillation.","author":[{"dropping-particle":"","family":"Sharma","given":"S K","non-dropping-particle":"","parse-names":false,"suffix":""},{"dropping-particle":"","family":"Verma","given":"S H","non-dropping-particle":"","parse-names":false,"suffix":""}],"container-title":"The Journal of the Association of Physicians of India","id":"ITEM-2","issued":{"date-parts":[["2015"]]},"page":"22-5","title":"A Clinical Evaluation of Atrial Fibrillation in Rheumatic Heart Disease.","type":"article-journal","volume":"63"},"uris":["http://www.mendeley.com/documents/?uuid=759c0610-dd7a-30f9-9c47-b2cd28587c22","http://www.mendeley.com/documents/?uuid=9b9e18ba-abf5-4da3-a32a-f733b0fe5f9e","http://www.mendeley.com/documents/?uuid=9e297565-1f8f-4961-9e05-80a18f54f879"]},{"id":"ITEM-3","itemData":{"ISSN":"0002-9149","PMID":"8540469","abstract":"The highest frequency of AF in RHD occurs in those with mitral stenosis, mitral regurgitation, and tricuspid regurgitation in combination. AF, while occurring in 29% of patients with isolated mitral stenosis and in 16% with isolated mitral regurgitation, is an infrequent finding (1%) in patients with aortic valvular disease. Left atrial diameter by univariate analysis, and age and left atrial diameter by multivariate analysis have been shown to be the most important parameters to determine the occurrence of AF in patients with RHD.","author":[{"dropping-particle":"","family":"Diker","given":"E","non-dropping-particle":"","parse-names":false,"suffix":""},{"dropping-particle":"","family":"Aydogdu","given":"S","non-dropping-particle":"","parse-names":false,"suffix":""},{"dropping-particle":"","family":"Ozdemir","given":"M","non-dropping-particle":"","parse-names":false,"suffix":""},{"dropping-particle":"","family":"Kural","given":"T","non-dropping-particle":"","parse-names":false,"suffix":""},{"dropping-particle":"","family":"Polat","given":"K","non-dropping-particle":"","parse-names":false,"suffix":""},{"dropping-particle":"","family":"Cehreli","given":"S","non-dropping-particle":"","parse-names":false,"suffix":""},{"dropping-particle":"","family":"Erdogan","given":"A","non-dropping-particle":"","parse-names":false,"suffix":""},{"dropping-particle":"","family":"Göksel","given":"S","non-dropping-particle":"","parse-names":false,"suffix":""}],"container-title":"The American journal of cardiology","id":"ITEM-3","issued":{"date-parts":[["1996"]]},"page":"96-8","title":"Prevalence and predictors of atrial fibrillation in rheumatic valvular heart disease.","type":"article-journal","volume":"77"},"uris":["http://www.mendeley.com/documents/?uuid=0b1761be-a68a-3214-8cfd-0579c02565e8","http://www.mendeley.com/documents/?uuid=180abdb0-cba6-439b-b371-62112a79db9c","http://www.mendeley.com/documents/?uuid=b293ab44-beb1-4ec6-8b1e-ce6e2e2792ed"]}],"mendeley":{"formattedCitation":"[1–3]","plainTextFormattedCitation":"[1–3]","previouslyFormattedCitation":"[1–3]"},"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bCs/>
          <w:noProof/>
          <w:sz w:val="24"/>
          <w:szCs w:val="24"/>
          <w:lang w:val="en-US"/>
        </w:rPr>
        <w:t>[1–3]</w:t>
      </w:r>
      <w:r w:rsidR="0033165D"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w:t>
      </w:r>
      <w:r w:rsidRPr="0046706F">
        <w:rPr>
          <w:rFonts w:ascii="Times New Roman" w:hAnsi="Times New Roman" w:cs="Times New Roman"/>
          <w:sz w:val="24"/>
          <w:szCs w:val="24"/>
          <w:lang w:val="en-US"/>
        </w:rPr>
        <w:t xml:space="preserve"> They are independent causes of mortality and morbidity, and both have been associ</w:t>
      </w:r>
      <w:r w:rsidR="007A1A71" w:rsidRPr="0046706F">
        <w:rPr>
          <w:rFonts w:ascii="Times New Roman" w:hAnsi="Times New Roman" w:cs="Times New Roman"/>
          <w:sz w:val="24"/>
          <w:szCs w:val="24"/>
          <w:lang w:val="en-US"/>
        </w:rPr>
        <w:t>ated with risk of thromboembolism and bleeding</w:t>
      </w:r>
      <w:r w:rsidRPr="0046706F">
        <w:rPr>
          <w:rFonts w:ascii="Times New Roman" w:hAnsi="Times New Roman" w:cs="Times New Roman"/>
          <w:sz w:val="24"/>
          <w:szCs w:val="24"/>
          <w:lang w:val="en-US"/>
        </w:rPr>
        <w:t xml:space="preserve"> events</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lang w:val="en-US"/>
        </w:rPr>
        <w:fldChar w:fldCharType="begin" w:fldLock="1"/>
      </w:r>
      <w:r w:rsidR="002B2E8D" w:rsidRPr="0046706F">
        <w:rPr>
          <w:rFonts w:ascii="Times New Roman" w:hAnsi="Times New Roman" w:cs="Times New Roman"/>
          <w:sz w:val="24"/>
          <w:szCs w:val="24"/>
          <w:lang w:val="en-US"/>
        </w:rPr>
        <w:instrText>ADDIN CSL_CITATION {"citationItems":[{"id":"ITEM-1","itemData":{"ISSN":"0735-1097","PMID":"7897124","abstract":"OBJECTIVES We studied the rate of thromboembolism in patients undergoing bioprosthetic replacement of the aortic or mitral valve, or both, at serial intervals after operation and the effects of anticoagulant or antiplatelet treatment and risk factors. BACKGROUND Thromboembolism appears to occur early after operation, but the incidence, timing and risk factors for thromboembolism and the role, timing, adequacy, effectiveness, duration and risk of anticoagulation and antiplatelet agents are uncertain. METHODS The rate of thromboembolism was studied at three time intervals after operation (1 to 10, 11 to 90 and &gt; 90 days) in 816 patients who underwent bioprosthetic replacement of the aortic or mitral valve, or both, at the Mayo Clinic from January 1975 to December 1982. The effect of antithrombotic therapy (warfarin, aspirin or dipyridamole, alone or in combination) was evaluated. RESULTS Median follow-up of surviving patients was 8.6 years. The rate of thromboembolism (%/year) decreased significantly (p &lt; 0.01) at each time interval after operation (1 to 10, 11 to 90 and &gt; 90 days) for mitral valve replacement (55%, 10% and 2.4%/year, respectively) and over the first time interval for aortic valve replacement (41%, 3.6% and 1.9%/year, respectively). During the first 10 days, 52% to 70% of prothrombin time ratios were low (&lt; 1.5 x control). Patients with mitral valve replacement who received anticoagulation had a lower rate of thromboembolism for the entire follow-up period (2.5%/year with vs. 3.9%/year without anticoagulation, p = 0.05). Of 112 patients with a first thromboembolic episode, permanent disability occurred in 38% and death in 4%. Risk factors for emboli were lack of anticoagulation, mitral valve location, history of thromboembolism and increasing age. Only 10% of aortic, 44% of mitral and 17% of double valve recipients had anticoagulation at the time of an event. Patients with bleeding episodes (2.3%/year) were older and usually underwent anticoagulation. Blood transfusions were required in 60 of 111 patients (1.2%/year), and 13 patients (0.3%/year) died. CONCLUSIONS Thromboembolic risk was especially high for aortic and mitral valve replacement for 90 days after operation, and overall was increased with lack of anticoagulation, mitral valve location, previous thromboembolism and increasing age. Anticoagulation reduced thromboemboli and appears to be indicated in all patients as early as possible for 3 months and thereafter in those with risk…","author":[{"dropping-particle":"","family":"Heras","given":"M","non-dropping-particle":"","parse-names":false,"suffix":""},{"dropping-particle":"","family":"Chesebro","given":"J H","non-dropping-particle":"","parse-names":false,"suffix":""},{"dropping-particle":"","family":"Fuster","given":"V","non-dropping-particle":"","parse-names":false,"suffix":""},{"dropping-particle":"","family":"Penny","given":"W J","non-dropping-particle":"","parse-names":false,"suffix":""},{"dropping-particle":"","family":"Grill","given":"D E","non-dropping-particle":"","parse-names":false,"suffix":""},{"dropping-particle":"","family":"Bailey","given":"K R","non-dropping-particle":"","parse-names":false,"suffix":""},{"dropping-particle":"","family":"Danielson","given":"G K","non-dropping-particle":"","parse-names":false,"suffix":""},{"dropping-particle":"","family":"Orszulak","given":"T A","non-dropping-particle":"","parse-names":false,"suffix":""},{"dropping-particle":"","family":"Pluth","given":"J R","non-dropping-particle":"","parse-names":false,"suffix":""},{"dropping-particle":"","family":"Puga","given":"F J","non-dropping-particle":"","parse-names":false,"suffix":""}],"container-title":"Journal of the American College of Cardiology","id":"ITEM-1","issued":{"date-parts":[["1995"]]},"page":"1111-9","title":"High risk of thromboemboli early after bioprosthetic cardiac valve replacement.","type":"article-journal","volume":"25"},"uris":["http://www.mendeley.com/documents/?uuid=d368d049-7b4b-3def-8793-3cb15538ae9d","http://www.mendeley.com/documents/?uuid=d99f8abc-77e5-4fdf-b6ac-edb6b57921b5"]},{"id":"ITEM-2","itemData":{"ISBN":"0022-5223 (Print)\\r0022-5223 (Linking)","ISSN":"00225223","PMID":"12928631","abstract":"Objective: We evaluated risk factors for mortality and stroke after mechanical mitral valve replacement between May 1977 and December 2001. Methods: Early and late mortality and stroke were assessed. Potential predictors of mortality and stroke were entered into a Cox proportional hazards model. Actuarial survival and freedom from stroke were determined by a log-rank test. Results: Mitral valve replacement was performed in 812 patients. Concomitant procedures included left atrial appendage closure in 493 (61%) patients, tricuspid annuloplasty-replacement in 348 (43%) patients, maze procedure in 185 (23%) patients, plication of the left atrium in 148 (18%) patients, and other procedures in 151 (19%) patients. Five-year actuarial survival was 91.1% ± 2.3%. Freedom from stroke at 8 years was significantly better in patients with sinus rhythm versus atrial fibrillation (P &lt; .001). Ninety-nine percent of patients with mitral valve replacement combined with a maze procedure were free from stroke, whereas only 89% of patients with mitral valve replacement alone were free from stroke at 8 years after surgical intervention. Seventy-two patients had late stroke; sixty-five patients (90%) were in atrial fibrillation, and 47 (65%) patients had the left atrial appendage closed. Multivariate analysis showed that late atrial fibrillation (odds ratio, 3.39; 95% confidence interval, 1.72-6.67; P = .0001) and omission of the maze procedure (odds ratio, 3.40; 95% confidence interval, 1.14-10.14; P = .003) were the significant risk factors for late stroke. Conclusions: Persistent atrial fibrillation was the most significant risk factor for late stroke after mechanical mitral valve replacement. Restoration of sinus rhythm with a maze procedure nearly eliminated the risk of late stroke, whereas neither closure of the left atrial appendage nor therapeutic anticoagulation prevented this complication.","author":[{"dropping-particle":"","family":"Bando","given":"Ko","non-dropping-particle":"","parse-names":false,"suffix":""},{"dropping-particle":"","family":"Kobayashi","given":"Junjiro","non-dropping-particle":"","parse-names":false,"suffix":""},{"dropping-particle":"","family":"Hirata","given":"Mitsuhiro","non-dropping-particle":"","parse-names":false,"suffix":""},{"dropping-particle":"","family":"Satoh","given":"Toshihiko","non-dropping-particle":"","parse-names":false,"suffix":""},{"dropping-particle":"","family":"Niwaya","given":"Kazuo","non-dropping-particle":"","parse-names":false,"suffix":""},{"dropping-particle":"","family":"Tagusari","given":"Osamu","non-dropping-particle":"","parse-names":false,"suffix":""},{"dropping-particle":"","family":"Nakatani","given":"Satoshi","non-dropping-particle":"","parse-names":false,"suffix":""},{"dropping-particle":"","family":"Yagihara","given":"Toshikatsu","non-dropping-particle":"","parse-names":false,"suffix":""},{"dropping-particle":"","family":"Kitamura","given":"Soichiro","non-dropping-particle":"","parse-names":false,"suffix":""},{"dropping-particle":"","family":"Akins","given":"Cary","non-dropping-particle":"","parse-names":false,"suffix":""}],"container-title":"Journal of Thoracic and Cardiovascular Surgery","id":"ITEM-2","issued":{"date-parts":[["2003"]]},"page":"358-364","title":"Early and late stroke after mitral valve replacement with a mechanical prosthesis: Risk factor analysis of a 24-year experience","type":"article-journal","volume":"126"},"uris":["http://www.mendeley.com/documents/?uuid=fb0d355f-f8f5-4303-a760-fdcdde03b6fb","http://www.mendeley.com/documents/?uuid=fd31e22a-6894-4135-9d28-50a3fea7a123"]},{"id":"ITEM-3","itemData":{"author":[{"dropping-particle":"","family":"Wolf","given":"P. A.","non-dropping-particle":"","parse-names":false,"suffix":""},{"dropping-particle":"","family":"Abbott","given":"R. D.","non-dropping-particle":"","parse-names":false,"suffix":""},{"dropping-particle":"","family":"Kannel","given":"W. B.","non-dropping-particle":"","parse-names":false,"suffix":""}],"container-title":"Stroke","id":"ITEM-3","issued":{"date-parts":[["1991"]]},"page":"983-988","title":"Atrial fibrillation as an independent risk factor for stroke: the Framingham Study","type":"article-journal","volume":"22"},"uris":["http://www.mendeley.com/documents/?uuid=4a4cef92-f0fd-418b-9b78-a4c3a7facf07","http://www.mendeley.com/documents/?uuid=61012cc7-9861-4dfb-8979-23fd9569120e"]}],"mendeley":{"formattedCitation":"[4–6]","plainTextFormattedCitation":"[4–6]","previouslyFormattedCitation":"[4–6]"},"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noProof/>
          <w:sz w:val="24"/>
          <w:szCs w:val="24"/>
          <w:lang w:val="en-US"/>
        </w:rPr>
        <w:t>[4–6]</w:t>
      </w:r>
      <w:r w:rsidR="0033165D"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Patients with AF have historically been categorized as ‘valvular AF’ or ‘non-valvular AF’. However, these terms have lacked clear-cut definitions, which challenged physicians and caused confusing terminology in medical research</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lang w:val="en-US"/>
        </w:rPr>
        <w:fldChar w:fldCharType="begin" w:fldLock="1"/>
      </w:r>
      <w:r w:rsidR="002B2E8D" w:rsidRPr="0046706F">
        <w:rPr>
          <w:rFonts w:ascii="Times New Roman" w:hAnsi="Times New Roman" w:cs="Times New Roman"/>
          <w:sz w:val="24"/>
          <w:szCs w:val="24"/>
          <w:lang w:val="en-US"/>
        </w:rPr>
        <w:instrText>ADDIN CSL_CITATION {"citationItems":[{"id":"ITEM-1","itemData":{"ISSN":"18752136","PMID":"26184867","abstract":"Atrial fibrillation (AF) confers a substantial risk of stroke. Recent trials comparing vitamin K antagonists (VKAs) with non-vitamin K antagonist oral anticoagulants (NOACs) in AF were performed among patients with so-called \"non-valvular\" AF. The distinction between \"valvular\" and \"non-valvular\" AF remains a matter of debate. Currently, \"valvular AF\" refers to patients with mitral stenosis or artificial heart valves (and valve repair in North American guidelines only), and should be treated with VKAs. Valvular heart diseases, such as mitral regurgitation, aortic stenosis (AS) and aortic insufficiency, do not result in conditions of low flow in the left atrium, and do not apparently increase the risk of thromboembolism brought by AF. Post-hoc analyses suggest that these conditions probably do not make the thromboembolic risk less responsive to NOACs compared with most forms of \"non-valvular\" AF. The pathogenesis of thrombosis is probably different for blood coming into contact with a mechanical prosthetic valve compared with what occurs in most other forms of AF. This may explain the results of the only trial performed with a NOAC in patients with a mechanical prosthetic valve (only a few of whom had AF), where warfarin was more effective and safer than dabigatran. By contrast, AF in the presence of a bioprosthetic heart valve or after valve repair appears to have a risk of thromboembolism that is not markedly different from other forms of \"non-valvular\" AF. Obviously, we should no longer consider the classification of AF as \"valvular\" (or not) for the purpose of defining the aetiology of the arrhythmia, but for the determination of a different risk of thromboembolic events and the need for a specific antithrombotic strategy. As long as there is no better new term or widely accepted definition, \"valvular AF\" refers to patients with mitral stenosis or artificial heart valves. Patients with \"non-valvular AF\" may have other types of valvular heart disease. One should emphasize that \"non-valvular AF\" does not exclude patients with some types of valvular heart disease from therapy with NOACs.","author":[{"dropping-particle":"","family":"Fauchier","given":"Laurent","non-dropping-particle":"","parse-names":false,"suffix":""},{"dropping-particle":"","family":"Philippart","given":"Raphael","non-dropping-particle":"","parse-names":false,"suffix":""},{"dropping-particle":"","family":"Clementy","given":"Nicolas","non-dropping-particle":"","parse-names":false,"suffix":""},{"dropping-particle":"","family":"Bourguignon","given":"Thierry","non-dropping-particle":"","parse-names":false,"suffix":""},{"dropping-particle":"","family":"Angoulvant","given":"Denis","non-dropping-particle":"","parse-names":false,"suffix":""},{"dropping-particle":"","family":"Ivanes","given":"Fabrice","non-dropping-particle":"","parse-names":false,"suffix":""},{"dropping-particle":"","family":"Babuty","given":"Dominique","non-dropping-particle":"","parse-names":false,"suffix":""},{"dropping-particle":"","family":"Bernard","given":"Anne","non-dropping-particle":"","parse-names":false,"suffix":""}],"container-title":"Archives of Cardiovascular Diseases","id":"ITEM-1","issued":{"date-parts":[["2015","7"]]},"page":"530-539","title":"How to define valvular atrial fibrillation?","type":"article-journal","volume":"108"},"uris":["http://www.mendeley.com/documents/?uuid=c58c432c-8ef1-4b2b-b076-84712b82efa0","http://www.mendeley.com/documents/?uuid=1fabba7e-0083-4af6-be74-6de59acc7c29"]},{"id":"ITEM-2","itemData":{"ISSN":"1532-2092","PMID":"25087153","abstract":"AIMS To assess different aspects of the definition of valvular/non-valvular atrial fibrillation (AF) used in clinical practice by physicians who usually treat this condition. METHODS AND RESULTS We prospectively conducted a web-based survey including cardiologists and internists who attended continuing medical education courses on cardiovascular medicine. A questionnaire was drawn up, containing 17 questions clustered into five main topics: (A) known rheumatic aetiology; (B) site/type of valve involvement; (C) prosthetic heart valve; (D) haemodynamic relevance; (E) miscellaneous. The overall response rate was 22.4% (21.1% for cardiologists and 24% for internists). Coexistence of both medical history of rheumatic disease and clinical signs of valvular involvement were considered as essential prerequisites for the diagnosis of rheumatic AF by half of the respondents, and one-third assumed that lone aortic valve disease was sufficient for AF to be defined as valvular. A similar proportion of respondents considered that in the presence of mitral regurgitation, AF had to be defined as valvular. The majority of responding physicians considered the degree of valvular defect of lesser importance for the definition of valvular or non-valvular origin of AF. CONCLUSION We found important heterogeneity and uncertainties in the answers given by physicians who usually treat patients with AF, as evidence of the lack of precise and unique definitions of the origin of AF (valvular/non-valvular). It is urgent to issue clear widely accepted definitions of the origin of AF, which should improve clinical practice and research.","author":[{"dropping-particle":"","family":"Molteni","given":"Mauro","non-dropping-particle":"","parse-names":false,"suffix":""},{"dropping-particle":"","family":"Polo Friz","given":"Hernan","non-dropping-particle":"","parse-names":false,"suffix":""},{"dropping-particle":"","family":"Primitz","given":"Laura","non-dropping-particle":"","parse-names":false,"suffix":""},{"dropping-particle":"","family":"Marano","given":"Giuseppe","non-dropping-particle":"","parse-names":false,"suffix":""},{"dropping-particle":"","family":"Boracchi","given":"Patrizia","non-dropping-particle":"","parse-names":false,"suffix":""},{"dropping-particle":"","family":"Cimminiello","given":"Claudio","non-dropping-particle":"","parse-names":false,"suffix":""}],"container-title":"Europace : European pacing, arrhythmias, and cardiac electrophysiology : journal of the working groups on cardiac pacing, arrhythmias, and cardiac cellular electrophysiology of the European Society of Cardiology","id":"ITEM-2","issued":{"date-parts":[["2014"]]},"page":"1720-5","title":"The definition of valvular and non-valvular atrial fibrillation: results of a physicians' survey.","type":"article-journal","volume":"16"},"uris":["http://www.mendeley.com/documents/?uuid=f36b1bc0-fc87-4992-980a-20dd190c71c0","http://www.mendeley.com/documents/?uuid=f013d8e0-096d-469f-bc44-8f7075ea297b"]},{"id":"ITEM-3","itemData":{"ISBN":"0195-668X","ISSN":"15229645","PMID":"25265975","abstract":"Raffaele De Caterina1 and A. John Camm2,*1Institute of Cardiology and Center of Excellence on Aging, G. D&amp;#039;Annunzio University – Chieti, and G. Monasterio Foundation, Pisa, Italy2Division of Clinical Sciences, St George&amp;#039;s University of London, London, UK</w:instrText>
      </w:r>
      <w:r w:rsidR="002B2E8D" w:rsidRPr="0046706F">
        <w:rPr>
          <w:rFonts w:ascii="Cambria Math" w:hAnsi="Cambria Math" w:cs="Cambria Math"/>
          <w:sz w:val="24"/>
          <w:szCs w:val="24"/>
          <w:lang w:val="en-US"/>
        </w:rPr>
        <w:instrText>↵</w:instrText>
      </w:r>
      <w:r w:rsidR="002B2E8D" w:rsidRPr="0046706F">
        <w:rPr>
          <w:rFonts w:ascii="Times New Roman" w:hAnsi="Times New Roman" w:cs="Times New Roman"/>
          <w:sz w:val="24"/>
          <w:szCs w:val="24"/>
          <w:lang w:val="en-US"/>
        </w:rPr>
        <w:instrText>*Corresponding author. Email: jcamm{at}sgul.ac.ukThe opinions expressed in this article are not necessarily those of the Editors of the European Heart Journal or of the European Society of Cardiology.Received April 22, 2014.Revision received July 18, 2014.Accepted August 6, 2014.Introduction Despite the same electrophysiological abnormality, the risk of stroke and systemic embolism in atrial fibrillation (AF) ranges from &amp;amp;lt;1%/year to &amp;amp;gt;20%/year and can be assessed by simple clinical risk factors.1 This has led to the gradual adoption of vitamin K antagonist (VKA) oral anticoagulation as a preventive strategy for most patients with AF, unless clearly identifiable to be at very-low risk.2,3 The recent availability of non-VKA oral anticoagulants (NOACs) is likely to increase the number of AF patients treated with these drugs for stroke prevention in the future. In some such patients, atrial appendage occlusion devices are now also a viable alternative.3 All the pivotal trials comparing VKAs with the NOACs in AF have enrolled patients with so-called ‘non-valvular’ AF and excluded patients at particularly high risk of thrombo-embolism, such as those with AF accompanying mitral stenosis or patients with mechanical prosthetic valves.4 The reasons for not including these patients in trials testing NOACs also included the possibility that the pathogenesis of thrombo-embolism may be substantially different from other types of AF. The distinction between ‘valvular’ AF ‘non-valvular’ AF, however, still remains uncertain, with variable definitions adopted in the NOAC trials. This has led to therapeutic confusion, well illustrated by a recent web-based survey among over 500 Italian physicians mainly involved in the prescription of anticoagulants to AF patients. Here, only 57.1% of the cardiologists and 67.9% of the internists agreed that the existing definitions of non-valvular AF (e.g. from Guidelines) were sufficiently clear.5 Because of this, we have reviewed the literature related to the thrombo-embolic risk in AF in the presence of the various types of valvular …","author":[{"dropping-particle":"","family":"Caterina","given":"Raffaele","non-dropping-particle":"De","parse-names":false,"suffix":""},{"dropping-particle":"","family":"Camm","given":"A. John","non-dropping-particle":"","parse-names":false,"suffix":""}],"container-title":"European Heart Journal","id":"ITEM-3","issued":{"date-parts":[["2014"]]},"page":"3328-3335","title":"What is 'valvular' atrial fibrillation? A reappraisal","type":"article-journal","volume":"35"},"uris":["http://www.mendeley.com/documents/?uuid=052011e8-d046-43d5-a3c3-0c6f1c664cf5","http://www.mendeley.com/documents/?uuid=dd2b276b-07f9-4842-84e7-d7035e0c7649"]},{"id":"ITEM-4","itemData":{"ISSN":"1099-5129","PMID":"27876696","abstract":"The purpose of this European Heart Rhythm Association (EHRA) Survey was to assess the perceptions of 'valvular' atrial fibrillation (AF) and management of AF patients with various heart valve abnormalities in daily clinical practice in European electrophysiology (EP) centres. Questionnaire survey was sent via the Internet to the EHRA-EP Research Network Centres. Of the 52 responding centres, 42 (80.8%) were university hospitals. Choosing the most comprehensive definition of valvular AF, a total of 49 centres (94.2%) encountered a mechanical prosthetic heart valve and significant rheumatic mitral stenosis, 35 centres (67.3%) also considered bioprosthetic valves, and 25 centres (48.1%) included any significant valvular heart disease, requiring surgical repair in the definition of valvular AF. Only three centres (5.8%) would define valvular AF as the presence of any (even mild) valvular abnormality. None of the centres would use non-vitamin K antagonist oral anticoagulants (NOACs) in AF patients with mechanical prosthetic valves, only 5 centres (9.8%) would use NOACs in patients with significant mitral stenosis, 17 centres (32.7%) would consider the use of NOACs in patients with bioprosthetic valves, and 21 centres (41.2%) would use NOACs in patients with a non-recent transcatheter valve replacement/implantation, while 13 centres (25.5%) would never consider the use of NOACs in AF patients with even mild native heart valve abnormality. Our survey showed marked heterogeneity in the definition of valvular AF and thromboprophylactic treatments, with the use of variable NOACs in patients with valvular heart disease other than prosthetic heart valves or significant mitral stenosis, indicating that this term may be misleading and should not be used.","author":[{"dropping-particle":"","family":"Potpara","given":"Tatjana S.","non-dropping-particle":"","parse-names":false,"suffix":""},{"dropping-particle":"","family":"Lip","given":"Gregory Y.H.","non-dropping-particle":"","parse-names":false,"suffix":""},{"dropping-particle":"","family":"Larsen","given":"Torben B.","non-dropping-particle":"","parse-names":false,"suffix":""},{"dropping-particle":"","family":"Madrid","given":"Antonio","non-dropping-particle":"","parse-names":false,"suffix":""},{"dropping-particle":"","family":"Dobreanu","given":"Dan","non-dropping-particle":"","parse-names":false,"suffix":""},{"dropping-particle":"","family":"Jędrzejczyk-Patej","given":"Ewa","non-dropping-particle":"","parse-names":false,"suffix":""},{"dropping-particle":"","family":"Dagres","given":"Nikolaos","non-dropping-particle":"","parse-names":false,"suffix":""},{"dropping-particle":"","family":"conducted by the Scientific Initiatives Committee","given":"European Heart Rhythm Association","non-dropping-particle":"","parse-names":false,"suffix":""}],"container-title":"Europace","id":"ITEM-4","issued":{"date-parts":[["2016"]]},"page":"1593-1598","title":"Stroke prevention strategies in patients with atrial fibrillation and heart valve abnormalities: perceptions of ‘valvular’ atrial fibrillation: results of the European Heart Rhythm Association Survey","type":"article-journal","volume":"18"},"uris":["http://www.mendeley.com/documents/?uuid=004206a5-3b12-4b73-9f04-f3148a0a7470","http://www.mendeley.com/documents/?uuid=4858d191-d9bf-4a76-9327-cfaebcf4ce9b"]}],"mendeley":{"formattedCitation":"[7–10]","plainTextFormattedCitation":"[7–10]","previouslyFormattedCitation":"[7–10]"},"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noProof/>
          <w:sz w:val="24"/>
          <w:szCs w:val="24"/>
          <w:lang w:val="en-US"/>
        </w:rPr>
        <w:t>[7–10]</w:t>
      </w:r>
      <w:r w:rsidR="0033165D"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This led to the proposal of a new classification of AF patients with VHD: the ‘Evaluated Heartvalves, Rheumatic or Artificial’ (EHRA) valve classification, categorizing patients into: (</w:t>
      </w:r>
      <w:proofErr w:type="spellStart"/>
      <w:r w:rsidRPr="0046706F">
        <w:rPr>
          <w:rFonts w:ascii="Times New Roman" w:hAnsi="Times New Roman" w:cs="Times New Roman"/>
          <w:sz w:val="24"/>
          <w:szCs w:val="24"/>
          <w:lang w:val="en-US"/>
        </w:rPr>
        <w:t>i</w:t>
      </w:r>
      <w:proofErr w:type="spellEnd"/>
      <w:r w:rsidRPr="0046706F">
        <w:rPr>
          <w:rFonts w:ascii="Times New Roman" w:hAnsi="Times New Roman" w:cs="Times New Roman"/>
          <w:sz w:val="24"/>
          <w:szCs w:val="24"/>
          <w:lang w:val="en-US"/>
        </w:rPr>
        <w:t>) EHRA Type 1 VHD, which refers to AF patients with ‘VHD needing therapy with a Vitamin K antagonist (VKA)’ and (ii) EHRA Type 2 VHD, which refers to AF patients with ‘VHD needing therapy with a VKA or a non</w:t>
      </w:r>
      <w:r w:rsidR="00B2113F" w:rsidRPr="0046706F">
        <w:rPr>
          <w:rFonts w:ascii="Times New Roman" w:hAnsi="Times New Roman" w:cs="Times New Roman"/>
          <w:sz w:val="24"/>
          <w:szCs w:val="24"/>
          <w:lang w:val="en-US"/>
        </w:rPr>
        <w:t xml:space="preserve">-VKA oral anticoagulant (NOAC)’ </w:t>
      </w:r>
      <w:r w:rsidR="0033165D" w:rsidRPr="0046706F">
        <w:rPr>
          <w:rStyle w:val="Fodnotehenvisning"/>
          <w:rFonts w:ascii="Times New Roman" w:hAnsi="Times New Roman" w:cs="Times New Roman"/>
          <w:sz w:val="24"/>
          <w:szCs w:val="24"/>
          <w:lang w:val="en-US"/>
        </w:rPr>
        <w:fldChar w:fldCharType="begin" w:fldLock="1"/>
      </w:r>
      <w:r w:rsidR="00F033FF" w:rsidRPr="0046706F">
        <w:rPr>
          <w:rFonts w:ascii="Times New Roman" w:hAnsi="Times New Roman" w:cs="Times New Roman"/>
          <w:sz w:val="24"/>
          <w:szCs w:val="24"/>
          <w:lang w:val="en-US"/>
        </w:rPr>
        <w:instrText>ADDIN CSL_CITATION {"citationItems":[{"id":"ITEM-1","itemData":{"author":[{"dropping-particle":"","family":"Lip","given":"Gregory Y H","non-dropping-particle":"","parse-names":false,"suffix":""},{"dropping-particle":"","family":"Collet","given":"Jean Philippe","non-dropping-particle":"","parse-names":false,"suffix":""},{"dropping-particle":"De","family":"Caterina","given":"Raffaele","non-dropping-particle":"","parse-names":false,"suffix":""},{"dropping-particle":"","family":"Fauchier","given":"Laurent","non-dropping-particle":"","parse-names":false,"suffix":""},{"dropping-particle":"","family":"Lane","given":"Deirdre A","non-dropping-particle":"","parse-names":false,"suffix":""},{"dropping-particle":"","family":"Larsen","given":"Torben B","non-dropping-particle":"","parse-names":false,"suffix":""},{"dropping-particle":"","family":"Marin","given":"Francisco","non-dropping-particle":"","parse-names":false,"suffix":""},{"dropping-particle":"","family":"Morais","given":"Joao","non-dropping-particle":"","parse-names":false,"suffix":""},{"dropping-particle":"","family":"Narasimhan","given":"Calambur","non-dropping-particle":"","parse-names":false,"suffix":""},{"dropping-particle":"","family":"Olshansky","given":"Brian","non-dropping-particle":"","parse-names":false,"suffix":""},{"dropping-particle":"","family":"Pierard","given":"Luc","non-dropping-particle":"","parse-names":false,"suffix":""}],"container-title":"Europace","id":"ITEM-1","issued":{"date-parts":[["2017"]]},"page":"1757-1758","title":"Antithrombotic therapy in atrial fibrillation associated with valvular heart disease : A joint consensus document from the European Heart Rhythm Association (EHRA) and European Society of Cardiology Working Group on Thrombosis , endorsed by the ESC Work","type":"article-journal","volume":"19"},"uris":["http://www.mendeley.com/documents/?uuid=756f763a-513c-43cc-809a-753c7c38a4f3","http://www.mendeley.com/documents/?uuid=6118537c-d5f7-4ec8-b810-9f283b687260"]},{"id":"ITEM-2","itemData":{"abstract":"© The Author(s) 2018. Substantial interest has been directed towards stroke risk stratification in patients with atrial fibrillation (AF) but prior studies have focused on AF without significant valvular heart disease (VHD), so-called 'non-valvular AF'. A formal validation exercise addressing stroke risks in relation to the CHA2DS2-VASc risk factor(s) in AF patients with VHD is lacking. Also, the use of the HAS-BLED score in anticoagulated patients with VHD has not been previously studied. The aim of this study was to investigate stroke and bleeding rates in AF patients with VHD in relation to the CHA2DS2-VASc and HAS-BLED scores. We conducted a nationwide cohort study. VHD were categorized based on the 2017 joint European consensus document definition, i.e. Evaluated Heartvalves, Rheumatic or Artificial (EHRA) categorization, as follows: (i) EHRA Type 1 VHD, which refers to AF patients with 'VHD needing therapy with a Vitamin K antagonist (VKA)', thus including severe native mitral stenosis and prosthetic mechanical heart valves and (ii) EHRA Type 2 VHD, which refers to AF patients with 'VHD needing therapy with a VKA or a non-VKA oral anticoagulant (NOAC)', thus including all other forms of VHD. We identified 25 818 AF patients with VHD with EHRA Type 2 in 90% (n = 23 253). Thromboembolism and bleeding events increased with increasing CHA2DS2-VASc and HAS-BLED scores, whether with 1 or 2.5 years follow-up. EHRA Type 1 outcomes: The predictive value of CHA2DS2-VASc score for thromboembolism was modest, c-indexes 0.62 (0.55-0.70) at 1 year. The predictive value of the HAS-BLED score for bleeding was also modest being 0.59 (0.53-0.65) at 1 year. EHRA Type 2 outcomes: The predictive value of CHA2DS2-VASc score for thromboembolism was modest, c-indexes 0.63 (0.60-0.65) at 1 year. The predictive value of the HAS-BLED score for bleeding was also modest being 0.59 (0.53-0.65) at 1 year. This is the first validation of CHA2DS2-VASc and HAS-BLED scores in AF patients with VHD (so-called 'valvular AF') using the new EHRA classification. Both scores are modestly predictive of thromboembolism and bleeding events in VHD, respectively. Event rates increased with increasing risk factors as evident by increasing CHA2DS2-VASc and HAS-BLED score points, consistent with performance of these clinical scores in 'non-valvular AF' patients.","author":[{"dropping-particle":"","family":"Lip","given":"G.Y.H.","non-dropping-particle":"","parse-names":false,"suffix":""},{"dropping-particle":"","family":"Jensen","given":"M.","non-dropping-particle":"","parse-names":false,"suffix":""},{"dropping-particle":"","family":"Melgaard","given":"L.","non-dropping-particle":"","parse-names":false,"suffix":""},{"dropping-particle":"","family":"Skjøth","given":"F.","non-dropping-particle":"","parse-names":false,"suffix":""},{"dropping-particle":"","family":"Nielsen","given":"P.B.","non-dropping-particle":"","parse-names":false,"suffix":""},{"dropping-particle":"","family":"Larsen","given":"T.B.","non-dropping-particle":"","parse-names":false,"suffix":""}],"container-title":"Europace","id":"ITEM-2","issue":"1","issued":{"date-parts":[["2019"]]},"page":"33-40","title":"Stroke and bleeding risk scores in patients with atrial fibrillation and valvular heart disease: Evaluating 'valvular heart disease' in a nationwide cohort study","type":"article-journal","volume":"21"},"uris":["http://www.mendeley.com/documents/?uuid=f0361e70-82ec-3fe4-bb06-566d95fc39f6"]}],"mendeley":{"formattedCitation":"[11,12]","plainTextFormattedCitation":"[11,12]","previouslyFormattedCitation":"[11,12]"},"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bCs/>
          <w:noProof/>
          <w:sz w:val="24"/>
          <w:szCs w:val="24"/>
          <w:lang w:val="en-US"/>
        </w:rPr>
        <w:t>[11,12]</w:t>
      </w:r>
      <w:r w:rsidR="0033165D"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EHRA Type 1 VHD comprises AF patients with mitral stenosis (moderate-severe, of rheumatic origin) or a mechanical prosthetic valve replacement with an indisp</w:t>
      </w:r>
      <w:r w:rsidR="004251CF" w:rsidRPr="0046706F">
        <w:rPr>
          <w:rFonts w:ascii="Times New Roman" w:hAnsi="Times New Roman" w:cs="Times New Roman"/>
          <w:sz w:val="24"/>
          <w:szCs w:val="24"/>
          <w:lang w:val="en-US"/>
        </w:rPr>
        <w:t>utable high thromboembolic risk. G</w:t>
      </w:r>
      <w:r w:rsidR="0065583D" w:rsidRPr="0046706F">
        <w:rPr>
          <w:rFonts w:ascii="Times New Roman" w:hAnsi="Times New Roman" w:cs="Times New Roman"/>
          <w:sz w:val="24"/>
          <w:szCs w:val="24"/>
          <w:lang w:val="en-US"/>
        </w:rPr>
        <w:t xml:space="preserve">uidelines </w:t>
      </w:r>
      <w:r w:rsidR="007A1A71" w:rsidRPr="0046706F">
        <w:rPr>
          <w:rFonts w:ascii="Times New Roman" w:hAnsi="Times New Roman" w:cs="Times New Roman"/>
          <w:sz w:val="24"/>
          <w:szCs w:val="24"/>
          <w:lang w:val="en-US"/>
        </w:rPr>
        <w:t xml:space="preserve">generally </w:t>
      </w:r>
      <w:r w:rsidR="0065583D" w:rsidRPr="0046706F">
        <w:rPr>
          <w:rFonts w:ascii="Times New Roman" w:hAnsi="Times New Roman" w:cs="Times New Roman"/>
          <w:sz w:val="24"/>
          <w:szCs w:val="24"/>
          <w:lang w:val="en-US"/>
        </w:rPr>
        <w:t>agree that this group requires</w:t>
      </w:r>
      <w:r w:rsidRPr="0046706F">
        <w:rPr>
          <w:rFonts w:ascii="Times New Roman" w:hAnsi="Times New Roman" w:cs="Times New Roman"/>
          <w:sz w:val="24"/>
          <w:szCs w:val="24"/>
          <w:lang w:val="en-US"/>
        </w:rPr>
        <w:t xml:space="preserve"> lifelong anticoagulation with a VKA.</w:t>
      </w:r>
      <w:r w:rsidR="00EB55FE" w:rsidRPr="0046706F">
        <w:rPr>
          <w:rFonts w:ascii="Times New Roman" w:hAnsi="Times New Roman" w:cs="Times New Roman"/>
          <w:sz w:val="24"/>
          <w:szCs w:val="24"/>
          <w:lang w:val="en-US"/>
        </w:rPr>
        <w:t xml:space="preserve"> EHRA Type 2 VHD includes AF patients with any other heart valve disease or a bio</w:t>
      </w:r>
      <w:r w:rsidR="00B2113F" w:rsidRPr="0046706F">
        <w:rPr>
          <w:rFonts w:ascii="Times New Roman" w:hAnsi="Times New Roman" w:cs="Times New Roman"/>
          <w:sz w:val="24"/>
          <w:szCs w:val="24"/>
          <w:lang w:val="en-US"/>
        </w:rPr>
        <w:t xml:space="preserve">prosthetic valve replacement </w:t>
      </w:r>
      <w:r w:rsidR="0033165D" w:rsidRPr="0046706F">
        <w:rPr>
          <w:rStyle w:val="Fodnotehenvisning"/>
          <w:rFonts w:ascii="Times New Roman" w:hAnsi="Times New Roman" w:cs="Times New Roman"/>
          <w:sz w:val="24"/>
          <w:szCs w:val="24"/>
          <w:lang w:val="en-US"/>
        </w:rPr>
        <w:fldChar w:fldCharType="begin" w:fldLock="1"/>
      </w:r>
      <w:r w:rsidR="002B2E8D" w:rsidRPr="0046706F">
        <w:rPr>
          <w:rFonts w:ascii="Times New Roman" w:hAnsi="Times New Roman" w:cs="Times New Roman"/>
          <w:sz w:val="24"/>
          <w:szCs w:val="24"/>
          <w:lang w:val="en-US"/>
        </w:rPr>
        <w:instrText>ADDIN CSL_CITATION {"citationItems":[{"id":"ITEM-1","itemData":{"author":[{"dropping-particle":"","family":"Lip","given":"Gregory Y H","non-dropping-particle":"","parse-names":false,"suffix":""},{"dropping-particle":"","family":"Collet","given":"Jean Philippe","non-dropping-particle":"","parse-names":false,"suffix":""},{"dropping-particle":"De","family":"Caterina","given":"Raffaele","non-dropping-particle":"","parse-names":false,"suffix":""},{"dropping-particle":"","family":"Fauchier","given":"Laurent","non-dropping-particle":"","parse-names":false,"suffix":""},{"dropping-particle":"","family":"Lane","given":"Deirdre A","non-dropping-particle":"","parse-names":false,"suffix":""},{"dropping-particle":"","family":"Larsen","given":"Torben B","non-dropping-particle":"","parse-names":false,"suffix":""},{"dropping-particle":"","family":"Marin","given":"Francisco","non-dropping-particle":"","parse-names":false,"suffix":""},{"dropping-particle":"","family":"Morais","given":"Joao","non-dropping-particle":"","parse-names":false,"suffix":""},{"dropping-particle":"","family":"Narasimhan","given":"Calambur","non-dropping-particle":"","parse-names":false,"suffix":""},{"dropping-particle":"","family":"Olshansky","given":"Brian","non-dropping-particle":"","parse-names":false,"suffix":""},{"dropping-particle":"","family":"Pierard","given":"Luc","non-dropping-particle":"","parse-names":false,"suffix":""}],"container-title":"Europace","id":"ITEM-1","issued":{"date-parts":[["2017"]]},"page":"1757-1758","title":"Antithrombotic therapy in atrial fibrillation associated with valvular heart disease : A joint consensus document from the European Heart Rhythm Association (EHRA) and European Society of Cardiology Working Group on Thrombosis , endorsed by the ESC Work","type":"article-journal","volume":"19"},"uris":["http://www.mendeley.com/documents/?uuid=6118537c-d5f7-4ec8-b810-9f283b687260","http://www.mendeley.com/documents/?uuid=756f763a-513c-43cc-809a-753c7c38a4f3"]}],"mendeley":{"formattedCitation":"[11]","plainTextFormattedCitation":"[11]","previouslyFormattedCitation":"[11]"},"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noProof/>
          <w:sz w:val="24"/>
          <w:szCs w:val="24"/>
          <w:lang w:val="en-US"/>
        </w:rPr>
        <w:t>[11]</w:t>
      </w:r>
      <w:r w:rsidR="0033165D"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 xml:space="preserve">The thromboembolic risk in this heterogeneous group is more uncertain and, thus, antithrombotic treatment recommendations are less </w:t>
      </w:r>
      <w:r w:rsidR="00701B38" w:rsidRPr="0046706F">
        <w:rPr>
          <w:rFonts w:ascii="Times New Roman" w:hAnsi="Times New Roman" w:cs="Times New Roman"/>
          <w:sz w:val="24"/>
          <w:szCs w:val="24"/>
          <w:lang w:val="en-US"/>
        </w:rPr>
        <w:t>consistent</w:t>
      </w:r>
      <w:r w:rsidRPr="0046706F">
        <w:rPr>
          <w:rFonts w:ascii="Times New Roman" w:hAnsi="Times New Roman" w:cs="Times New Roman"/>
          <w:sz w:val="24"/>
          <w:szCs w:val="24"/>
          <w:lang w:val="en-US"/>
        </w:rPr>
        <w:t>.</w:t>
      </w:r>
    </w:p>
    <w:p w14:paraId="2C0EEA7D" w14:textId="78A56FB6" w:rsidR="000A0698" w:rsidRPr="0046706F" w:rsidRDefault="00C91175" w:rsidP="000A0698">
      <w:pPr>
        <w:pStyle w:val="Ingenafstand"/>
        <w:spacing w:line="480" w:lineRule="auto"/>
        <w:jc w:val="both"/>
        <w:rPr>
          <w:rFonts w:ascii="Times New Roman" w:hAnsi="Times New Roman" w:cs="Times New Roman"/>
          <w:sz w:val="24"/>
          <w:szCs w:val="24"/>
          <w:lang w:val="en-US"/>
        </w:rPr>
      </w:pPr>
      <w:r w:rsidRPr="0046706F">
        <w:rPr>
          <w:rFonts w:ascii="Times New Roman" w:hAnsi="Times New Roman" w:cs="Times New Roman"/>
          <w:color w:val="000000"/>
          <w:sz w:val="24"/>
          <w:szCs w:val="24"/>
          <w:lang w:val="en-US"/>
        </w:rPr>
        <w:t xml:space="preserve">The EHRA classification has been </w:t>
      </w:r>
      <w:r w:rsidR="00701B38" w:rsidRPr="0046706F">
        <w:rPr>
          <w:rFonts w:ascii="Times New Roman" w:hAnsi="Times New Roman" w:cs="Times New Roman"/>
          <w:color w:val="000000"/>
          <w:sz w:val="24"/>
          <w:szCs w:val="24"/>
          <w:lang w:val="en-US"/>
        </w:rPr>
        <w:t>examined</w:t>
      </w:r>
      <w:r w:rsidRPr="0046706F">
        <w:rPr>
          <w:rFonts w:ascii="Times New Roman" w:hAnsi="Times New Roman" w:cs="Times New Roman"/>
          <w:color w:val="000000"/>
          <w:sz w:val="24"/>
          <w:szCs w:val="24"/>
          <w:lang w:val="en-US"/>
        </w:rPr>
        <w:t xml:space="preserve"> in two previous studies validating the CHA</w:t>
      </w:r>
      <w:r w:rsidRPr="0046706F">
        <w:rPr>
          <w:rFonts w:ascii="Times New Roman" w:hAnsi="Times New Roman" w:cs="Times New Roman"/>
          <w:color w:val="000000"/>
          <w:sz w:val="24"/>
          <w:szCs w:val="24"/>
          <w:vertAlign w:val="subscript"/>
          <w:lang w:val="en-US"/>
        </w:rPr>
        <w:t>2</w:t>
      </w:r>
      <w:r w:rsidRPr="0046706F">
        <w:rPr>
          <w:rFonts w:ascii="Times New Roman" w:hAnsi="Times New Roman" w:cs="Times New Roman"/>
          <w:color w:val="000000"/>
          <w:sz w:val="24"/>
          <w:szCs w:val="24"/>
          <w:lang w:val="en-US"/>
        </w:rPr>
        <w:t>DS</w:t>
      </w:r>
      <w:r w:rsidRPr="0046706F">
        <w:rPr>
          <w:rFonts w:ascii="Times New Roman" w:hAnsi="Times New Roman" w:cs="Times New Roman"/>
          <w:color w:val="000000"/>
          <w:sz w:val="24"/>
          <w:szCs w:val="24"/>
          <w:vertAlign w:val="subscript"/>
          <w:lang w:val="en-US"/>
        </w:rPr>
        <w:t>2</w:t>
      </w:r>
      <w:r w:rsidRPr="0046706F">
        <w:rPr>
          <w:rFonts w:ascii="Times New Roman" w:hAnsi="Times New Roman" w:cs="Times New Roman"/>
          <w:color w:val="000000"/>
          <w:sz w:val="24"/>
          <w:szCs w:val="24"/>
          <w:lang w:val="en-US"/>
        </w:rPr>
        <w:t>-VASc and HAS</w:t>
      </w:r>
      <w:r w:rsidR="00BF2616" w:rsidRPr="0046706F">
        <w:rPr>
          <w:rFonts w:ascii="Times New Roman" w:hAnsi="Times New Roman" w:cs="Times New Roman"/>
          <w:color w:val="000000"/>
          <w:sz w:val="24"/>
          <w:szCs w:val="24"/>
          <w:lang w:val="en-US"/>
        </w:rPr>
        <w:t>-</w:t>
      </w:r>
      <w:r w:rsidRPr="0046706F">
        <w:rPr>
          <w:rFonts w:ascii="Times New Roman" w:hAnsi="Times New Roman" w:cs="Times New Roman"/>
          <w:color w:val="000000"/>
          <w:sz w:val="24"/>
          <w:szCs w:val="24"/>
          <w:lang w:val="en-US"/>
        </w:rPr>
        <w:t>BLED score</w:t>
      </w:r>
      <w:r w:rsidR="00BF2616" w:rsidRPr="0046706F">
        <w:rPr>
          <w:rFonts w:ascii="Times New Roman" w:hAnsi="Times New Roman" w:cs="Times New Roman"/>
          <w:color w:val="000000"/>
          <w:sz w:val="24"/>
          <w:szCs w:val="24"/>
          <w:lang w:val="en-US"/>
        </w:rPr>
        <w:t>s</w:t>
      </w:r>
      <w:r w:rsidRPr="0046706F">
        <w:rPr>
          <w:rFonts w:ascii="Times New Roman" w:hAnsi="Times New Roman" w:cs="Times New Roman"/>
          <w:color w:val="000000"/>
          <w:sz w:val="24"/>
          <w:szCs w:val="24"/>
          <w:lang w:val="en-US"/>
        </w:rPr>
        <w:t xml:space="preserve"> in AF patients with VHD</w:t>
      </w:r>
      <w:r w:rsidR="00B2113F" w:rsidRPr="0046706F">
        <w:rPr>
          <w:rFonts w:ascii="Times New Roman" w:hAnsi="Times New Roman" w:cs="Times New Roman"/>
          <w:color w:val="000000"/>
          <w:sz w:val="24"/>
          <w:szCs w:val="24"/>
          <w:lang w:val="en-US"/>
        </w:rPr>
        <w:t xml:space="preserve"> </w:t>
      </w:r>
      <w:r w:rsidR="0033165D" w:rsidRPr="0046706F">
        <w:rPr>
          <w:rStyle w:val="Fodnotehenvisning"/>
          <w:rFonts w:ascii="Times New Roman" w:hAnsi="Times New Roman" w:cs="Times New Roman"/>
          <w:color w:val="000000"/>
          <w:sz w:val="24"/>
          <w:szCs w:val="24"/>
          <w:lang w:val="en-US"/>
        </w:rPr>
        <w:fldChar w:fldCharType="begin" w:fldLock="1"/>
      </w:r>
      <w:r w:rsidR="00F033FF" w:rsidRPr="0046706F">
        <w:rPr>
          <w:rFonts w:ascii="Times New Roman" w:hAnsi="Times New Roman" w:cs="Times New Roman"/>
          <w:color w:val="000000"/>
          <w:sz w:val="24"/>
          <w:szCs w:val="24"/>
          <w:lang w:val="en-US"/>
        </w:rPr>
        <w:instrText>ADDIN CSL_CITATION {"citationItems":[{"id":"ITEM-1","itemData":{"ISSN":"18741754","PMID":"29540261","abstract":"Aims: We compared thromboembolic (TE) and bleeding risks in patients with atrial fibrillation (AF) according to the new ‘Evaluated Heartvalves, Rheumatic or Artificial’ (EHRA) valve classification. Methods: Patients were divided into 3 categories: (i) EHRA type 1 corresponds to the previous ‘valvular’ AF patients, with either rheumatic mitral valve stenosis or mechanical prosthetic heart valves; (ii) EHRA type 2 includes AF patients with other valvular heart disease (VHD) and valve bioprosthesis or repair; and (iii) ‘non-VHD controls’ i.e. all AF patients with neither VHD nor post-surgical valve disease. Results: Among 8962 AF patients seen between 2000 and 2010, 357 (4%) were EHRA type 1, 1754 (20%) were EHRA type 2 and 6851 (76%) non-VHD controls. EHRA type 2 patients were older and had a higher CHA2DS2-VASc and HAS-BLED scores than either type 1 and non-VHD patients. After a mean follow-up of 1264 ± 1160 days, the occurrence of TE events was higher in EHRA type 2 than non-VHD patients (HR (95%CI): 1.30 1.09–1.54), p = 0.003; also, p = 0.31 for type 1 vs 2, p = 0.68 for type 1 vs non-VHD controls). The rate of major BARC bleeding events for AF patients was higher in either EHRA type 1 (HR (95%CI): 3.16(2.11–4.72), p &lt; 0.0001) or type 2 (HR (95%CI): 2.19(1.69–2.84), p &lt; 0.0001) compared to non-VHD controls. Conclusion: The EHRA valve classification of AF patients with VHD appears useful in categorizing these patients, in terms of TE and bleeding risks. This classification can be used in clinical practice for appropriate choices of oral anticoagulation therapy and follow-up.","author":[{"dropping-particle":"","family":"Bisson","given":"Arnaud","non-dropping-particle":"","parse-names":false,"suffix":""},{"dropping-particle":"","family":"Bodin","given":"Alexandre","non-dropping-particle":"","parse-names":false,"suffix":""},{"dropping-particle":"","family":"Clementy","given":"Nicolas","non-dropping-particle":"","parse-names":false,"suffix":""},{"dropping-particle":"","family":"Bernard","given":"Anne","non-dropping-particle":"","parse-names":false,"suffix":""},{"dropping-particle":"","family":"Babuty","given":"Dominique","non-dropping-particle":"","parse-names":false,"suffix":""},{"dropping-particle":"","family":"Lip","given":"Gregory Y.H.","non-dropping-particle":"","parse-names":false,"suffix":""},{"dropping-particle":"","family":"Fauchier","given":"Laurent","non-dropping-particle":"","parse-names":false,"suffix":""}],"container-title":"International Journal of Cardiology","id":"ITEM-1","issued":{"date-parts":[["2018"]]},"page":"93-98","publisher":"Elsevier B.V.","title":"Stroke, thromboembolism and bleeding in patients with atrial fibrillation according to the EHRA valvular heart disease classification","type":"article-journal","volume":"260"},"uris":["http://www.mendeley.com/documents/?uuid=d1ff571f-1b97-4d26-a18b-e3011c0acf59","http://www.mendeley.com/documents/?uuid=8ceb2582-3ee2-4046-9c1b-0b5698ffce46"]},{"id":"ITEM-2","itemData":{"abstract":"© The Author(s) 2018. Substantial interest has been directed towards stroke risk stratification in patients with atrial fibrillation (AF) but prior studies have focused on AF without significant valvular heart disease (VHD), so-called 'non-valvular AF'. A formal validation exercise addressing stroke risks in relation to the CHA2DS2-VASc risk factor(s) in AF patients with VHD is lacking. Also, the use of the HAS-BLED score in anticoagulated patients with VHD has not been previously studied. The aim of this study was to investigate stroke and bleeding rates in AF patients with VHD in relation to the CHA2DS2-VASc and HAS-BLED scores. We conducted a nationwide cohort study. VHD were categorized based on the 2017 joint European consensus document definition, i.e. Evaluated Heartvalves, Rheumatic or Artificial (EHRA) categorization, as follows: (i) EHRA Type 1 VHD, which refers to AF patients with 'VHD needing therapy with a Vitamin K antagonist (VKA)', thus including severe native mitral stenosis and prosthetic mechanical heart valves and (ii) EHRA Type 2 VHD, which refers to AF patients with 'VHD needing therapy with a VKA or a non-VKA oral anticoagulant (NOAC)', thus including all other forms of VHD. We identified 25 818 AF patients with VHD with EHRA Type 2 in 90% (n = 23 253). Thromboembolism and bleeding events increased with increasing CHA2DS2-VASc and HAS-BLED scores, whether with 1 or 2.5 years follow-up. EHRA Type 1 outcomes: The predictive value of CHA2DS2-VASc score for thromboembolism was modest, c-indexes 0.62 (0.55-0.70) at 1 year. The predictive value of the HAS-BLED score for bleeding was also modest being 0.59 (0.53-0.65) at 1 year. EHRA Type 2 outcomes: The predictive value of CHA2DS2-VASc score for thromboembolism was modest, c-indexes 0.63 (0.60-0.65) at 1 year. The predictive value of the HAS-BLED score for bleeding was also modest being 0.59 (0.53-0.65) at 1 year. This is the first validation of CHA2DS2-VASc and HAS-BLED scores in AF patients with VHD (so-called 'valvular AF') using the new EHRA classification. Both scores are modestly predictive of thromboembolism and bleeding events in VHD, respectively. Event rates increased with increasing risk factors as evident by increasing CHA2DS2-VASc and HAS-BLED score points, consistent with performance of these clinical scores in 'non-valvular AF' patients.","author":[{"dropping-particle":"","family":"Lip","given":"G.Y.H.","non-dropping-particle":"","parse-names":false,"suffix":""},{"dropping-particle":"","family":"Jensen","given":"M.","non-dropping-particle":"","parse-names":false,"suffix":""},{"dropping-particle":"","family":"Melgaard","given":"L.","non-dropping-particle":"","parse-names":false,"suffix":""},{"dropping-particle":"","family":"Skjøth","given":"F.","non-dropping-particle":"","parse-names":false,"suffix":""},{"dropping-particle":"","family":"Nielsen","given":"P.B.","non-dropping-particle":"","parse-names":false,"suffix":""},{"dropping-particle":"","family":"Larsen","given":"T.B.","non-dropping-particle":"","parse-names":false,"suffix":""}],"container-title":"Europace","id":"ITEM-2","issue":"1","issued":{"date-parts":[["2019"]]},"page":"33-40","title":"Stroke and bleeding risk scores in patients with atrial fibrillation and valvular heart disease: Evaluating 'valvular heart disease' in a nationwide cohort study","type":"article-journal","volume":"21"},"uris":["http://www.mendeley.com/documents/?uuid=f0361e70-82ec-3fe4-bb06-566d95fc39f6"]}],"mendeley":{"formattedCitation":"[12,13]","plainTextFormattedCitation":"[12,13]","previouslyFormattedCitation":"[12,13]"},"properties":{"noteIndex":0},"schema":"https://github.com/citation-style-language/schema/raw/master/csl-citation.json"}</w:instrText>
      </w:r>
      <w:r w:rsidR="0033165D" w:rsidRPr="0046706F">
        <w:rPr>
          <w:rStyle w:val="Fodnotehenvisning"/>
          <w:rFonts w:ascii="Times New Roman" w:hAnsi="Times New Roman" w:cs="Times New Roman"/>
          <w:color w:val="000000"/>
          <w:sz w:val="24"/>
          <w:szCs w:val="24"/>
          <w:lang w:val="en-US"/>
        </w:rPr>
        <w:fldChar w:fldCharType="separate"/>
      </w:r>
      <w:r w:rsidR="00F05DEB" w:rsidRPr="0046706F">
        <w:rPr>
          <w:rFonts w:ascii="Times New Roman" w:hAnsi="Times New Roman" w:cs="Times New Roman"/>
          <w:bCs/>
          <w:noProof/>
          <w:color w:val="000000"/>
          <w:sz w:val="24"/>
          <w:szCs w:val="24"/>
          <w:lang w:val="en-US"/>
        </w:rPr>
        <w:t>[12,13]</w:t>
      </w:r>
      <w:r w:rsidR="0033165D" w:rsidRPr="0046706F">
        <w:rPr>
          <w:rStyle w:val="Fodnotehenvisning"/>
          <w:rFonts w:ascii="Times New Roman" w:hAnsi="Times New Roman" w:cs="Times New Roman"/>
          <w:color w:val="000000"/>
          <w:sz w:val="24"/>
          <w:szCs w:val="24"/>
          <w:lang w:val="en-US"/>
        </w:rPr>
        <w:fldChar w:fldCharType="end"/>
      </w:r>
      <w:r w:rsidRPr="0046706F">
        <w:rPr>
          <w:rFonts w:ascii="Times New Roman" w:hAnsi="Times New Roman" w:cs="Times New Roman"/>
          <w:color w:val="000000"/>
          <w:sz w:val="24"/>
          <w:szCs w:val="24"/>
          <w:lang w:val="en-US"/>
        </w:rPr>
        <w:t xml:space="preserve">. </w:t>
      </w:r>
      <w:r w:rsidRPr="0046706F">
        <w:rPr>
          <w:rFonts w:ascii="Times New Roman" w:hAnsi="Times New Roman" w:cs="Times New Roman"/>
          <w:sz w:val="24"/>
          <w:szCs w:val="24"/>
          <w:lang w:val="en-US"/>
        </w:rPr>
        <w:t xml:space="preserve">However, no study has thoroughly </w:t>
      </w:r>
      <w:r w:rsidR="00BF2616" w:rsidRPr="0046706F">
        <w:rPr>
          <w:rFonts w:ascii="Times New Roman" w:hAnsi="Times New Roman" w:cs="Times New Roman"/>
          <w:sz w:val="24"/>
          <w:szCs w:val="24"/>
          <w:lang w:val="en-US"/>
        </w:rPr>
        <w:t>described</w:t>
      </w:r>
      <w:r w:rsidRPr="0046706F">
        <w:rPr>
          <w:rFonts w:ascii="Times New Roman" w:hAnsi="Times New Roman" w:cs="Times New Roman"/>
          <w:sz w:val="24"/>
          <w:szCs w:val="24"/>
          <w:lang w:val="en-US"/>
        </w:rPr>
        <w:t xml:space="preserve"> the risk of thromboembolism and major bleedi</w:t>
      </w:r>
      <w:r w:rsidR="00BF2616" w:rsidRPr="0046706F">
        <w:rPr>
          <w:rFonts w:ascii="Times New Roman" w:hAnsi="Times New Roman" w:cs="Times New Roman"/>
          <w:sz w:val="24"/>
          <w:szCs w:val="24"/>
          <w:lang w:val="en-US"/>
        </w:rPr>
        <w:t>ng</w:t>
      </w:r>
      <w:r w:rsidRPr="0046706F">
        <w:rPr>
          <w:rFonts w:ascii="Times New Roman" w:hAnsi="Times New Roman" w:cs="Times New Roman"/>
          <w:sz w:val="24"/>
          <w:szCs w:val="24"/>
          <w:lang w:val="en-US"/>
        </w:rPr>
        <w:t xml:space="preserve"> according to the </w:t>
      </w:r>
      <w:r w:rsidR="00BF2616" w:rsidRPr="0046706F">
        <w:rPr>
          <w:rFonts w:ascii="Times New Roman" w:hAnsi="Times New Roman" w:cs="Times New Roman"/>
          <w:sz w:val="24"/>
          <w:szCs w:val="24"/>
          <w:lang w:val="en-US"/>
        </w:rPr>
        <w:t xml:space="preserve">newly proposed </w:t>
      </w:r>
      <w:r w:rsidRPr="0046706F">
        <w:rPr>
          <w:rFonts w:ascii="Times New Roman" w:hAnsi="Times New Roman" w:cs="Times New Roman"/>
          <w:sz w:val="24"/>
          <w:szCs w:val="24"/>
          <w:lang w:val="en-US"/>
        </w:rPr>
        <w:t xml:space="preserve">EHRA classification. </w:t>
      </w:r>
      <w:r w:rsidR="004D2694" w:rsidRPr="0046706F">
        <w:rPr>
          <w:rFonts w:ascii="Times New Roman" w:hAnsi="Times New Roman" w:cs="Times New Roman"/>
          <w:sz w:val="24"/>
          <w:szCs w:val="24"/>
          <w:lang w:val="en-US"/>
        </w:rPr>
        <w:t>Furthermore</w:t>
      </w:r>
      <w:r w:rsidRPr="0046706F">
        <w:rPr>
          <w:rFonts w:ascii="Times New Roman" w:hAnsi="Times New Roman" w:cs="Times New Roman"/>
          <w:sz w:val="24"/>
          <w:szCs w:val="24"/>
          <w:lang w:val="en-US"/>
        </w:rPr>
        <w:t xml:space="preserve">, </w:t>
      </w:r>
      <w:r w:rsidR="00553805" w:rsidRPr="0046706F">
        <w:rPr>
          <w:rFonts w:ascii="Times New Roman" w:hAnsi="Times New Roman" w:cs="Times New Roman"/>
          <w:sz w:val="24"/>
          <w:szCs w:val="24"/>
          <w:lang w:val="en-US"/>
        </w:rPr>
        <w:t xml:space="preserve">EHRA </w:t>
      </w:r>
      <w:r w:rsidR="00AB616A" w:rsidRPr="0046706F">
        <w:rPr>
          <w:rFonts w:ascii="Times New Roman" w:hAnsi="Times New Roman" w:cs="Times New Roman"/>
          <w:sz w:val="24"/>
          <w:szCs w:val="24"/>
          <w:lang w:val="en-US"/>
        </w:rPr>
        <w:t xml:space="preserve">Type 1 VHD and EHRA </w:t>
      </w:r>
      <w:r w:rsidR="00553805" w:rsidRPr="0046706F">
        <w:rPr>
          <w:rFonts w:ascii="Times New Roman" w:hAnsi="Times New Roman" w:cs="Times New Roman"/>
          <w:sz w:val="24"/>
          <w:szCs w:val="24"/>
          <w:lang w:val="en-US"/>
        </w:rPr>
        <w:t>Type 2</w:t>
      </w:r>
      <w:r w:rsidR="00AB616A" w:rsidRPr="0046706F">
        <w:rPr>
          <w:rFonts w:ascii="Times New Roman" w:hAnsi="Times New Roman" w:cs="Times New Roman"/>
          <w:sz w:val="24"/>
          <w:szCs w:val="24"/>
          <w:lang w:val="en-US"/>
        </w:rPr>
        <w:t xml:space="preserve"> VHD include</w:t>
      </w:r>
      <w:r w:rsidRPr="0046706F">
        <w:rPr>
          <w:rFonts w:ascii="Times New Roman" w:hAnsi="Times New Roman" w:cs="Times New Roman"/>
          <w:sz w:val="24"/>
          <w:szCs w:val="24"/>
          <w:lang w:val="en-US"/>
        </w:rPr>
        <w:t xml:space="preserve"> a variety of valve lesions, which may have different etiolog</w:t>
      </w:r>
      <w:r w:rsidR="007A6248" w:rsidRPr="0046706F">
        <w:rPr>
          <w:rFonts w:ascii="Times New Roman" w:hAnsi="Times New Roman" w:cs="Times New Roman"/>
          <w:sz w:val="24"/>
          <w:szCs w:val="24"/>
          <w:lang w:val="en-US"/>
        </w:rPr>
        <w:t>ies</w:t>
      </w:r>
      <w:r w:rsidRPr="0046706F">
        <w:rPr>
          <w:rFonts w:ascii="Times New Roman" w:hAnsi="Times New Roman" w:cs="Times New Roman"/>
          <w:sz w:val="24"/>
          <w:szCs w:val="24"/>
          <w:lang w:val="en-US"/>
        </w:rPr>
        <w:t xml:space="preserve"> and</w:t>
      </w:r>
      <w:r w:rsidR="00251A67" w:rsidRPr="0046706F">
        <w:rPr>
          <w:rFonts w:ascii="Times New Roman" w:hAnsi="Times New Roman" w:cs="Times New Roman"/>
          <w:sz w:val="24"/>
          <w:szCs w:val="24"/>
          <w:lang w:val="en-US"/>
        </w:rPr>
        <w:t>,</w:t>
      </w:r>
      <w:r w:rsidRPr="0046706F">
        <w:rPr>
          <w:rFonts w:ascii="Times New Roman" w:hAnsi="Times New Roman" w:cs="Times New Roman"/>
          <w:sz w:val="24"/>
          <w:szCs w:val="24"/>
          <w:lang w:val="en-US"/>
        </w:rPr>
        <w:t xml:space="preserve"> </w:t>
      </w:r>
      <w:r w:rsidR="003C0E2A" w:rsidRPr="0046706F">
        <w:rPr>
          <w:rFonts w:ascii="Times New Roman" w:hAnsi="Times New Roman" w:cs="Times New Roman"/>
          <w:sz w:val="24"/>
          <w:szCs w:val="24"/>
          <w:lang w:val="en-US"/>
        </w:rPr>
        <w:t>therefore</w:t>
      </w:r>
      <w:r w:rsidR="00251A67" w:rsidRPr="0046706F">
        <w:rPr>
          <w:rFonts w:ascii="Times New Roman" w:hAnsi="Times New Roman" w:cs="Times New Roman"/>
          <w:sz w:val="24"/>
          <w:szCs w:val="24"/>
          <w:lang w:val="en-US"/>
        </w:rPr>
        <w:t>,</w:t>
      </w:r>
      <w:r w:rsidR="003C0E2A"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 xml:space="preserve">different </w:t>
      </w:r>
      <w:r w:rsidR="003C0E2A" w:rsidRPr="0046706F">
        <w:rPr>
          <w:rFonts w:ascii="Times New Roman" w:hAnsi="Times New Roman" w:cs="Times New Roman"/>
          <w:sz w:val="24"/>
          <w:szCs w:val="24"/>
          <w:lang w:val="en-US"/>
        </w:rPr>
        <w:t>prognoses</w:t>
      </w:r>
      <w:r w:rsidR="00701B38" w:rsidRPr="0046706F">
        <w:rPr>
          <w:rFonts w:ascii="Times New Roman" w:hAnsi="Times New Roman" w:cs="Times New Roman"/>
          <w:sz w:val="24"/>
          <w:szCs w:val="24"/>
          <w:lang w:val="en-US"/>
        </w:rPr>
        <w:t>. Yet,</w:t>
      </w:r>
      <w:r w:rsidRPr="0046706F">
        <w:rPr>
          <w:rFonts w:ascii="Times New Roman" w:hAnsi="Times New Roman" w:cs="Times New Roman"/>
          <w:sz w:val="24"/>
          <w:szCs w:val="24"/>
          <w:lang w:val="en-US"/>
        </w:rPr>
        <w:t xml:space="preserve"> no study has </w:t>
      </w:r>
      <w:r w:rsidR="000477F3" w:rsidRPr="0046706F">
        <w:rPr>
          <w:rFonts w:ascii="Times New Roman" w:hAnsi="Times New Roman" w:cs="Times New Roman"/>
          <w:sz w:val="24"/>
          <w:szCs w:val="24"/>
          <w:lang w:val="en-US"/>
        </w:rPr>
        <w:t>described</w:t>
      </w:r>
      <w:r w:rsidRPr="0046706F">
        <w:rPr>
          <w:rFonts w:ascii="Times New Roman" w:hAnsi="Times New Roman" w:cs="Times New Roman"/>
          <w:sz w:val="24"/>
          <w:szCs w:val="24"/>
          <w:lang w:val="en-US"/>
        </w:rPr>
        <w:t xml:space="preserve"> the risk in t</w:t>
      </w:r>
      <w:r w:rsidR="002445A9" w:rsidRPr="0046706F">
        <w:rPr>
          <w:rFonts w:ascii="Times New Roman" w:hAnsi="Times New Roman" w:cs="Times New Roman"/>
          <w:sz w:val="24"/>
          <w:szCs w:val="24"/>
          <w:lang w:val="en-US"/>
        </w:rPr>
        <w:t>he</w:t>
      </w:r>
      <w:r w:rsidRPr="0046706F">
        <w:rPr>
          <w:rFonts w:ascii="Times New Roman" w:hAnsi="Times New Roman" w:cs="Times New Roman"/>
          <w:sz w:val="24"/>
          <w:szCs w:val="24"/>
          <w:lang w:val="en-US"/>
        </w:rPr>
        <w:t>s</w:t>
      </w:r>
      <w:r w:rsidR="002445A9" w:rsidRPr="0046706F">
        <w:rPr>
          <w:rFonts w:ascii="Times New Roman" w:hAnsi="Times New Roman" w:cs="Times New Roman"/>
          <w:sz w:val="24"/>
          <w:szCs w:val="24"/>
          <w:lang w:val="en-US"/>
        </w:rPr>
        <w:t xml:space="preserve">e subgroups within </w:t>
      </w:r>
      <w:r w:rsidR="00AB616A" w:rsidRPr="0046706F">
        <w:rPr>
          <w:rFonts w:ascii="Times New Roman" w:hAnsi="Times New Roman" w:cs="Times New Roman"/>
          <w:sz w:val="24"/>
          <w:szCs w:val="24"/>
          <w:lang w:val="en-US"/>
        </w:rPr>
        <w:t xml:space="preserve">EHRA Type 1 VHD and </w:t>
      </w:r>
      <w:r w:rsidR="002445A9" w:rsidRPr="0046706F">
        <w:rPr>
          <w:rFonts w:ascii="Times New Roman" w:hAnsi="Times New Roman" w:cs="Times New Roman"/>
          <w:sz w:val="24"/>
          <w:szCs w:val="24"/>
          <w:lang w:val="en-US"/>
        </w:rPr>
        <w:t>EHRA Type 2 VHD</w:t>
      </w:r>
      <w:r w:rsidR="007A6248"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Therefore, the aim of the present study w</w:t>
      </w:r>
      <w:r w:rsidR="00701B38" w:rsidRPr="0046706F">
        <w:rPr>
          <w:rFonts w:ascii="Times New Roman" w:hAnsi="Times New Roman" w:cs="Times New Roman"/>
          <w:sz w:val="24"/>
          <w:szCs w:val="24"/>
          <w:lang w:val="en-US"/>
        </w:rPr>
        <w:t xml:space="preserve">as </w:t>
      </w:r>
      <w:r w:rsidR="007F0E45" w:rsidRPr="0046706F">
        <w:rPr>
          <w:rFonts w:ascii="Times New Roman" w:hAnsi="Times New Roman" w:cs="Times New Roman"/>
          <w:sz w:val="24"/>
          <w:szCs w:val="24"/>
          <w:lang w:val="en-US"/>
        </w:rPr>
        <w:t xml:space="preserve">to </w:t>
      </w:r>
      <w:r w:rsidR="000A0698" w:rsidRPr="0046706F">
        <w:rPr>
          <w:rFonts w:ascii="Times New Roman" w:hAnsi="Times New Roman" w:cs="Times New Roman"/>
          <w:sz w:val="24"/>
          <w:szCs w:val="24"/>
          <w:lang w:val="en-US"/>
        </w:rPr>
        <w:t xml:space="preserve">describe the risk of thromboembolism and </w:t>
      </w:r>
      <w:r w:rsidR="00E63675" w:rsidRPr="0046706F">
        <w:rPr>
          <w:rFonts w:ascii="Times New Roman" w:hAnsi="Times New Roman" w:cs="Times New Roman"/>
          <w:sz w:val="24"/>
          <w:szCs w:val="24"/>
          <w:lang w:val="en-US"/>
        </w:rPr>
        <w:t xml:space="preserve">major </w:t>
      </w:r>
      <w:r w:rsidR="000A0698" w:rsidRPr="0046706F">
        <w:rPr>
          <w:rFonts w:ascii="Times New Roman" w:hAnsi="Times New Roman" w:cs="Times New Roman"/>
          <w:sz w:val="24"/>
          <w:szCs w:val="24"/>
          <w:lang w:val="en-US"/>
        </w:rPr>
        <w:t>bleeding in non-anticoagulated and anticoagulated patients with AF and VHD according to the EHRA classification, EHRA Type 1 and Type 2, and within subgroups of EHRA Type 1 and Type 2 VHD.</w:t>
      </w:r>
    </w:p>
    <w:p w14:paraId="0B2B51C1" w14:textId="32F19A51" w:rsidR="005727D2" w:rsidRPr="0046706F" w:rsidRDefault="005727D2" w:rsidP="0030608D">
      <w:pPr>
        <w:pStyle w:val="Overskrift2"/>
        <w:spacing w:line="480" w:lineRule="auto"/>
        <w:rPr>
          <w:rFonts w:ascii="Times New Roman" w:hAnsi="Times New Roman" w:cs="Times New Roman"/>
          <w:color w:val="auto"/>
          <w:sz w:val="24"/>
          <w:szCs w:val="24"/>
          <w:lang w:val="en-US"/>
        </w:rPr>
      </w:pPr>
      <w:r w:rsidRPr="0046706F">
        <w:rPr>
          <w:rFonts w:ascii="Times New Roman" w:hAnsi="Times New Roman" w:cs="Times New Roman"/>
          <w:color w:val="auto"/>
          <w:sz w:val="24"/>
          <w:szCs w:val="24"/>
          <w:lang w:val="en-US"/>
        </w:rPr>
        <w:lastRenderedPageBreak/>
        <w:t>M</w:t>
      </w:r>
      <w:r w:rsidR="001A4C32" w:rsidRPr="0046706F">
        <w:rPr>
          <w:rFonts w:ascii="Times New Roman" w:hAnsi="Times New Roman" w:cs="Times New Roman"/>
          <w:color w:val="auto"/>
          <w:sz w:val="24"/>
          <w:szCs w:val="24"/>
          <w:lang w:val="en-US"/>
        </w:rPr>
        <w:t>ethods</w:t>
      </w:r>
    </w:p>
    <w:p w14:paraId="6C127362" w14:textId="3EC89537" w:rsidR="00A477CF" w:rsidRPr="0046706F" w:rsidRDefault="00A477CF" w:rsidP="001A4C32">
      <w:pPr>
        <w:spacing w:after="0" w:line="480" w:lineRule="auto"/>
        <w:rPr>
          <w:rFonts w:ascii="Times New Roman" w:hAnsi="Times New Roman" w:cs="Times New Roman"/>
          <w:i/>
          <w:sz w:val="24"/>
          <w:szCs w:val="24"/>
          <w:lang w:val="en-US"/>
        </w:rPr>
      </w:pPr>
      <w:r w:rsidRPr="0046706F">
        <w:rPr>
          <w:rFonts w:ascii="Times New Roman" w:hAnsi="Times New Roman" w:cs="Times New Roman"/>
          <w:i/>
          <w:sz w:val="24"/>
          <w:szCs w:val="24"/>
          <w:lang w:val="en-US"/>
        </w:rPr>
        <w:t>Study design and data sources</w:t>
      </w:r>
    </w:p>
    <w:p w14:paraId="07BC340C" w14:textId="24CA6641" w:rsidR="00A24C74" w:rsidRPr="0046706F" w:rsidRDefault="004D2694" w:rsidP="001A4C32">
      <w:pPr>
        <w:spacing w:after="0" w:line="480" w:lineRule="auto"/>
        <w:rPr>
          <w:rFonts w:ascii="Times New Roman" w:hAnsi="Times New Roman" w:cs="Times New Roman"/>
          <w:color w:val="000000"/>
          <w:sz w:val="24"/>
          <w:szCs w:val="24"/>
          <w:lang w:val="en-US"/>
        </w:rPr>
      </w:pPr>
      <w:r w:rsidRPr="0046706F">
        <w:rPr>
          <w:rFonts w:ascii="Times New Roman" w:hAnsi="Times New Roman" w:cs="Times New Roman"/>
          <w:sz w:val="24"/>
          <w:szCs w:val="24"/>
          <w:lang w:val="en-US"/>
        </w:rPr>
        <w:t>This study wa</w:t>
      </w:r>
      <w:r w:rsidR="005727D2" w:rsidRPr="0046706F">
        <w:rPr>
          <w:rFonts w:ascii="Times New Roman" w:hAnsi="Times New Roman" w:cs="Times New Roman"/>
          <w:sz w:val="24"/>
          <w:szCs w:val="24"/>
          <w:lang w:val="en-US"/>
        </w:rPr>
        <w:t>s a register-based nationwide cohort</w:t>
      </w:r>
      <w:r w:rsidR="00215B80" w:rsidRPr="0046706F">
        <w:rPr>
          <w:rFonts w:ascii="Times New Roman" w:hAnsi="Times New Roman" w:cs="Times New Roman"/>
          <w:sz w:val="24"/>
          <w:szCs w:val="24"/>
          <w:lang w:val="en-US"/>
        </w:rPr>
        <w:t xml:space="preserve"> study using data</w:t>
      </w:r>
      <w:r w:rsidR="005727D2" w:rsidRPr="0046706F">
        <w:rPr>
          <w:rFonts w:ascii="Times New Roman" w:hAnsi="Times New Roman" w:cs="Times New Roman"/>
          <w:sz w:val="24"/>
          <w:szCs w:val="24"/>
          <w:lang w:val="en-US"/>
        </w:rPr>
        <w:t xml:space="preserve"> from three Danish nationwide registries: </w:t>
      </w:r>
      <w:proofErr w:type="spellStart"/>
      <w:r w:rsidR="005727D2" w:rsidRPr="0046706F">
        <w:rPr>
          <w:rFonts w:ascii="Times New Roman" w:hAnsi="Times New Roman" w:cs="Times New Roman"/>
          <w:sz w:val="24"/>
          <w:szCs w:val="24"/>
          <w:lang w:val="en-US"/>
        </w:rPr>
        <w:t>i</w:t>
      </w:r>
      <w:proofErr w:type="spellEnd"/>
      <w:r w:rsidR="005727D2" w:rsidRPr="0046706F">
        <w:rPr>
          <w:rFonts w:ascii="Times New Roman" w:hAnsi="Times New Roman" w:cs="Times New Roman"/>
          <w:sz w:val="24"/>
          <w:szCs w:val="24"/>
          <w:lang w:val="en-US"/>
        </w:rPr>
        <w:t xml:space="preserve">) The Danish Civil Registration System, which </w:t>
      </w:r>
      <w:r w:rsidR="005727D2" w:rsidRPr="0046706F">
        <w:rPr>
          <w:rFonts w:ascii="Times New Roman" w:eastAsia="AdvTimes" w:hAnsi="Times New Roman" w:cs="Times New Roman"/>
          <w:sz w:val="24"/>
          <w:szCs w:val="24"/>
          <w:lang w:val="en-US"/>
        </w:rPr>
        <w:t>holds information on sex, date of birth, vital and emigration status of all persons living in Denmark</w:t>
      </w:r>
      <w:r w:rsidR="00B2113F" w:rsidRPr="0046706F">
        <w:rPr>
          <w:rFonts w:ascii="Times New Roman" w:eastAsia="AdvTimes" w:hAnsi="Times New Roman" w:cs="Times New Roman"/>
          <w:sz w:val="24"/>
          <w:szCs w:val="24"/>
          <w:lang w:val="en-US"/>
        </w:rPr>
        <w:t xml:space="preserve"> </w:t>
      </w:r>
      <w:r w:rsidR="0033165D" w:rsidRPr="0046706F">
        <w:rPr>
          <w:rStyle w:val="Fodnotehenvisning"/>
          <w:rFonts w:ascii="Times New Roman" w:eastAsia="AdvTimes" w:hAnsi="Times New Roman" w:cs="Times New Roman"/>
          <w:sz w:val="24"/>
          <w:szCs w:val="24"/>
          <w:lang w:val="en-US"/>
        </w:rPr>
        <w:fldChar w:fldCharType="begin" w:fldLock="1"/>
      </w:r>
      <w:r w:rsidR="002B2E8D" w:rsidRPr="0046706F">
        <w:rPr>
          <w:rFonts w:ascii="Times New Roman" w:eastAsia="AdvTimes" w:hAnsi="Times New Roman" w:cs="Times New Roman"/>
          <w:sz w:val="24"/>
          <w:szCs w:val="24"/>
          <w:lang w:val="en-US"/>
        </w:rPr>
        <w:instrText>ADDIN CSL_CITATION {"citationItems":[{"id":"ITEM-1","itemData":{"ISSN":"1651-1905","PMID":"21775345","abstract":"INTRODUCTION: The Danish Civil Registration System (CRS) was established in 1968, and all persons alive and living in Denmark were registered for administrative use. CONTENT: CRS includes individual information on the unique personal identification number, name, gender, date of birth, place of birth, citizenship, identity of parents and continuously updated information on vital status, place of residence and spouses. VALIDITY AND COVERAGE: Since 1968, CRS has recorded current and historical information on all persons living in Denmark. Among persons born in Denmark in 1960 or later it contains complete information on maternal identity. For women born in Denmark in April 1935 or later it contains complete information on all their children. CRS contains complete information on immigrations and emigrations from 1969 onwards, permanent residence in a Danish municipality from 1971 onwards, and full address in Denmark from 1977 onwards. CONCLUSION: CRS in connection with other registers and biobanks will continue to provide the basis for significant knowledge relevant to the aetiological understanding and possible prevention of human diseases.","author":[{"dropping-particle":"","family":"Pedersen","given":"Carsten Bøcker CB","non-dropping-particle":"","parse-names":false,"suffix":""}],"container-title":"Scandinavian journal of public health","id":"ITEM-1","issued":{"date-parts":[["2011"]]},"page":"22-25","title":"The Danish Civil Registration System.","type":"article-journal","volume":"39"},"uris":["http://www.mendeley.com/documents/?uuid=01fb21da-3196-43c4-9dfd-99b0cb43af13","http://www.mendeley.com/documents/?uuid=3e173e62-7d83-4203-9388-9afae8b92f89"]}],"mendeley":{"formattedCitation":"[14]","plainTextFormattedCitation":"[14]","previouslyFormattedCitation":"[14]"},"properties":{"noteIndex":0},"schema":"https://github.com/citation-style-language/schema/raw/master/csl-citation.json"}</w:instrText>
      </w:r>
      <w:r w:rsidR="0033165D" w:rsidRPr="0046706F">
        <w:rPr>
          <w:rStyle w:val="Fodnotehenvisning"/>
          <w:rFonts w:ascii="Times New Roman" w:eastAsia="AdvTimes" w:hAnsi="Times New Roman" w:cs="Times New Roman"/>
          <w:sz w:val="24"/>
          <w:szCs w:val="24"/>
          <w:lang w:val="en-US"/>
        </w:rPr>
        <w:fldChar w:fldCharType="separate"/>
      </w:r>
      <w:r w:rsidR="00F05DEB" w:rsidRPr="0046706F">
        <w:rPr>
          <w:rFonts w:ascii="Times New Roman" w:eastAsia="AdvTimes" w:hAnsi="Times New Roman" w:cs="Times New Roman"/>
          <w:bCs/>
          <w:noProof/>
          <w:sz w:val="24"/>
          <w:szCs w:val="24"/>
          <w:lang w:val="en-US"/>
        </w:rPr>
        <w:t>[14]</w:t>
      </w:r>
      <w:r w:rsidR="0033165D" w:rsidRPr="0046706F">
        <w:rPr>
          <w:rStyle w:val="Fodnotehenvisning"/>
          <w:rFonts w:ascii="Times New Roman" w:eastAsia="AdvTimes" w:hAnsi="Times New Roman" w:cs="Times New Roman"/>
          <w:sz w:val="24"/>
          <w:szCs w:val="24"/>
          <w:lang w:val="en-US"/>
        </w:rPr>
        <w:fldChar w:fldCharType="end"/>
      </w:r>
      <w:r w:rsidR="005727D2" w:rsidRPr="0046706F">
        <w:rPr>
          <w:rFonts w:ascii="Times New Roman" w:eastAsia="AdvTimes" w:hAnsi="Times New Roman" w:cs="Times New Roman"/>
          <w:sz w:val="24"/>
          <w:szCs w:val="24"/>
          <w:lang w:val="en-US"/>
        </w:rPr>
        <w:t>;</w:t>
      </w:r>
      <w:r w:rsidR="005727D2" w:rsidRPr="0046706F">
        <w:rPr>
          <w:rFonts w:ascii="Times New Roman" w:hAnsi="Times New Roman" w:cs="Times New Roman"/>
          <w:sz w:val="24"/>
          <w:szCs w:val="24"/>
          <w:lang w:val="en-US"/>
        </w:rPr>
        <w:t xml:space="preserve"> ii)</w:t>
      </w:r>
      <w:r w:rsidR="005727D2" w:rsidRPr="0046706F">
        <w:rPr>
          <w:rFonts w:ascii="Times New Roman" w:eastAsia="AdvTimes" w:hAnsi="Times New Roman" w:cs="Times New Roman"/>
          <w:sz w:val="24"/>
          <w:szCs w:val="24"/>
          <w:lang w:val="en-US"/>
        </w:rPr>
        <w:t xml:space="preserve"> t</w:t>
      </w:r>
      <w:r w:rsidR="005727D2" w:rsidRPr="0046706F">
        <w:rPr>
          <w:rFonts w:ascii="Times New Roman" w:hAnsi="Times New Roman" w:cs="Times New Roman"/>
          <w:sz w:val="24"/>
          <w:szCs w:val="24"/>
          <w:lang w:val="en-US"/>
        </w:rPr>
        <w:t>he National Prescription Registry</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lang w:val="en-US"/>
        </w:rPr>
        <w:fldChar w:fldCharType="begin" w:fldLock="1"/>
      </w:r>
      <w:r w:rsidR="002B2E8D" w:rsidRPr="0046706F">
        <w:rPr>
          <w:rFonts w:ascii="Times New Roman" w:hAnsi="Times New Roman" w:cs="Times New Roman"/>
          <w:sz w:val="24"/>
          <w:szCs w:val="24"/>
          <w:lang w:val="en-US"/>
        </w:rPr>
        <w:instrText>ADDIN CSL_CITATION {"citationItems":[{"id":"ITEM-1","itemData":{"ISSN":"1651-1905","PMID":"21775349","abstract":"Individual-level data on all prescription drugs sold in Danish community pharmacies has since 1994 been recorded in the Register of Medicinal Products Statistics of the Danish Medicines Agency.","author":[{"dropping-particle":"","family":"Kildemoes","given":"Helle Wallach","non-dropping-particle":"","parse-names":false,"suffix":""},{"dropping-particle":"","family":"Sørensen","given":"Henrik Toft","non-dropping-particle":"","parse-names":false,"suffix":""},{"dropping-particle":"","family":"Hallas","given":"Jesper","non-dropping-particle":"","parse-names":false,"suffix":""}],"container-title":"Scandinavian journal of public health","id":"ITEM-1","issued":{"date-parts":[["2011"]]},"page":"38-41","title":"The Danish National Prescription Registry.","type":"article-journal","volume":"39"},"uris":["http://www.mendeley.com/documents/?uuid=35d11811-34bf-4bc0-b739-56612708ef6e","http://www.mendeley.com/documents/?uuid=dd644f1e-ca59-4a87-8b38-b9ea4577d2d8"]}],"mendeley":{"formattedCitation":"[15]","plainTextFormattedCitation":"[15]","previouslyFormattedCitation":"[15]"},"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bCs/>
          <w:noProof/>
          <w:sz w:val="24"/>
          <w:szCs w:val="24"/>
          <w:lang w:val="en-US"/>
        </w:rPr>
        <w:t>[15]</w:t>
      </w:r>
      <w:r w:rsidR="0033165D" w:rsidRPr="0046706F">
        <w:rPr>
          <w:rStyle w:val="Fodnotehenvisning"/>
          <w:rFonts w:ascii="Times New Roman" w:hAnsi="Times New Roman" w:cs="Times New Roman"/>
          <w:sz w:val="24"/>
          <w:szCs w:val="24"/>
          <w:lang w:val="en-US"/>
        </w:rPr>
        <w:fldChar w:fldCharType="end"/>
      </w:r>
      <w:r w:rsidR="005727D2" w:rsidRPr="0046706F">
        <w:rPr>
          <w:rFonts w:ascii="Times New Roman" w:hAnsi="Times New Roman" w:cs="Times New Roman"/>
          <w:sz w:val="24"/>
          <w:szCs w:val="24"/>
          <w:lang w:val="en-US"/>
        </w:rPr>
        <w:t>, which contains</w:t>
      </w:r>
      <w:r w:rsidR="005727D2" w:rsidRPr="0046706F">
        <w:rPr>
          <w:rFonts w:ascii="Times New Roman" w:eastAsia="AdvTimes" w:hAnsi="Times New Roman" w:cs="Times New Roman"/>
          <w:sz w:val="24"/>
          <w:szCs w:val="24"/>
          <w:lang w:val="en-US"/>
        </w:rPr>
        <w:t xml:space="preserve"> data on all prescriptions dispensed from Danish pharmacies since 1994, coded according to the Anatomical Therapeutic Chemical (ATC) Classification System; iii) </w:t>
      </w:r>
      <w:r w:rsidR="005727D2" w:rsidRPr="0046706F">
        <w:rPr>
          <w:rFonts w:ascii="Times New Roman" w:hAnsi="Times New Roman" w:cs="Times New Roman"/>
          <w:sz w:val="24"/>
          <w:szCs w:val="24"/>
          <w:lang w:val="en-US"/>
        </w:rPr>
        <w:t>the Danish National Patient Registry</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lang w:val="en-US"/>
        </w:rPr>
        <w:fldChar w:fldCharType="begin" w:fldLock="1"/>
      </w:r>
      <w:r w:rsidR="002B2E8D" w:rsidRPr="0046706F">
        <w:rPr>
          <w:rFonts w:ascii="Times New Roman" w:hAnsi="Times New Roman" w:cs="Times New Roman"/>
          <w:sz w:val="24"/>
          <w:szCs w:val="24"/>
          <w:lang w:val="en-US"/>
        </w:rPr>
        <w:instrText>ADDIN CSL_CITATION {"citationItems":[{"id":"ITEM-1","itemData":{"ISSN":"1651-1905","PMID":"21775347","abstract":"INTRODUCTION: The Danish National Patient Register (NPR) was established in 1977, and it is considered to be the finest of its kind internationally. CONTENT: At the onset the register included information on inpatient in somatic wards. The content of the register has gradually been expanded, and since 2007 the register has included information on all patients in Danish hospitals. VALIDITY AND COVERAGE: Although the NPR is overall a sound data source, both the content and the definitions of single variables have changed over time. Changes in the organisation and provision of health services may affect both the type and the completeness of registrations. CONCLUSION: The NPR is a unique data source. Researchers using the data should carefully consider potential fallacies in the data before drawing conclusions.","author":[{"dropping-particle":"","family":"Lynge","given":"E","non-dropping-particle":"","parse-names":false,"suffix":""},{"dropping-particle":"","family":"Sandegaard","given":"JL","non-dropping-particle":"","parse-names":false,"suffix":""},{"dropping-particle":"","family":"Rebolj","given":"M","non-dropping-particle":"","parse-names":false,"suffix":""}],"container-title":"Scandinavian journal of public health","id":"ITEM-1","issued":{"date-parts":[["2011"]]},"page":"30-33","title":"The Danish National Patient Register.","type":"article-journal","volume":"39"},"uris":["http://www.mendeley.com/documents/?uuid=25a84329-2566-4c4d-bfaa-12ed6cd7784f","http://www.mendeley.com/documents/?uuid=e8942442-b8bf-4339-884f-a2edb583cfbd"]}],"mendeley":{"formattedCitation":"[16]","plainTextFormattedCitation":"[16]","previouslyFormattedCitation":"[16]"},"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F05DEB" w:rsidRPr="0046706F">
        <w:rPr>
          <w:rFonts w:ascii="Times New Roman" w:hAnsi="Times New Roman" w:cs="Times New Roman"/>
          <w:bCs/>
          <w:noProof/>
          <w:sz w:val="24"/>
          <w:szCs w:val="24"/>
          <w:lang w:val="en-US"/>
        </w:rPr>
        <w:t>[16]</w:t>
      </w:r>
      <w:r w:rsidR="0033165D" w:rsidRPr="0046706F">
        <w:rPr>
          <w:rStyle w:val="Fodnotehenvisning"/>
          <w:rFonts w:ascii="Times New Roman" w:hAnsi="Times New Roman" w:cs="Times New Roman"/>
          <w:sz w:val="24"/>
          <w:szCs w:val="24"/>
          <w:lang w:val="en-US"/>
        </w:rPr>
        <w:fldChar w:fldCharType="end"/>
      </w:r>
      <w:r w:rsidR="005727D2" w:rsidRPr="0046706F">
        <w:rPr>
          <w:rFonts w:ascii="Times New Roman" w:hAnsi="Times New Roman" w:cs="Times New Roman"/>
          <w:sz w:val="24"/>
          <w:szCs w:val="24"/>
          <w:lang w:val="en-US"/>
        </w:rPr>
        <w:t xml:space="preserve">, which </w:t>
      </w:r>
      <w:r w:rsidR="005727D2" w:rsidRPr="0046706F">
        <w:rPr>
          <w:rFonts w:ascii="Times New Roman" w:eastAsia="AdvTimes" w:hAnsi="Times New Roman" w:cs="Times New Roman"/>
          <w:sz w:val="24"/>
          <w:szCs w:val="24"/>
          <w:lang w:val="en-US"/>
        </w:rPr>
        <w:t xml:space="preserve">has registered dates of hospital admissions and discharges, </w:t>
      </w:r>
      <w:r w:rsidRPr="0046706F">
        <w:rPr>
          <w:rFonts w:ascii="Times New Roman" w:eastAsia="AdvTimes" w:hAnsi="Times New Roman" w:cs="Times New Roman"/>
          <w:sz w:val="24"/>
          <w:szCs w:val="24"/>
          <w:lang w:val="en-US"/>
        </w:rPr>
        <w:t>outpatient</w:t>
      </w:r>
      <w:r w:rsidR="005727D2" w:rsidRPr="0046706F">
        <w:rPr>
          <w:rFonts w:ascii="Times New Roman" w:eastAsia="AdvTimes" w:hAnsi="Times New Roman" w:cs="Times New Roman"/>
          <w:sz w:val="24"/>
          <w:szCs w:val="24"/>
          <w:lang w:val="en-US"/>
        </w:rPr>
        <w:t xml:space="preserve"> and emergency room contacts, and discharge diagnoses classified according to the 10</w:t>
      </w:r>
      <w:r w:rsidR="005727D2" w:rsidRPr="0046706F">
        <w:rPr>
          <w:rFonts w:ascii="Times New Roman" w:eastAsia="AdvTimes" w:hAnsi="Times New Roman" w:cs="Times New Roman"/>
          <w:sz w:val="24"/>
          <w:szCs w:val="24"/>
          <w:vertAlign w:val="superscript"/>
          <w:lang w:val="en-US"/>
        </w:rPr>
        <w:t>th</w:t>
      </w:r>
      <w:r w:rsidR="005727D2" w:rsidRPr="0046706F">
        <w:rPr>
          <w:rFonts w:ascii="Times New Roman" w:eastAsia="AdvTimes" w:hAnsi="Times New Roman" w:cs="Times New Roman"/>
          <w:sz w:val="24"/>
          <w:szCs w:val="24"/>
          <w:lang w:val="en-US"/>
        </w:rPr>
        <w:t xml:space="preserve"> revision of the International Classification of Diseases (ICD) for more than 99% of hospital admissions in Denmark since 1994</w:t>
      </w:r>
      <w:r w:rsidR="005727D2" w:rsidRPr="0046706F">
        <w:rPr>
          <w:rFonts w:ascii="Times New Roman" w:hAnsi="Times New Roman" w:cs="Times New Roman"/>
          <w:sz w:val="24"/>
          <w:szCs w:val="24"/>
          <w:lang w:val="en-US"/>
        </w:rPr>
        <w:t>. The Danish National Patient Registry also holds information about surgical procedures and clinical investigations coded according to th</w:t>
      </w:r>
      <w:r w:rsidR="00EB55FE" w:rsidRPr="0046706F">
        <w:rPr>
          <w:rFonts w:ascii="Times New Roman" w:hAnsi="Times New Roman" w:cs="Times New Roman"/>
          <w:sz w:val="24"/>
          <w:szCs w:val="24"/>
          <w:lang w:val="en-US"/>
        </w:rPr>
        <w:t xml:space="preserve">e Danish version of </w:t>
      </w:r>
      <w:r w:rsidR="001F55DE" w:rsidRPr="0046706F">
        <w:rPr>
          <w:rFonts w:ascii="Times New Roman" w:hAnsi="Times New Roman" w:cs="Times New Roman"/>
          <w:sz w:val="24"/>
          <w:szCs w:val="24"/>
          <w:lang w:val="en-US"/>
        </w:rPr>
        <w:t xml:space="preserve">the </w:t>
      </w:r>
      <w:r w:rsidR="00EB55FE" w:rsidRPr="0046706F">
        <w:rPr>
          <w:rFonts w:ascii="Times New Roman" w:hAnsi="Times New Roman" w:cs="Times New Roman"/>
          <w:sz w:val="24"/>
          <w:szCs w:val="24"/>
          <w:lang w:val="en-US"/>
        </w:rPr>
        <w:t>N</w:t>
      </w:r>
      <w:r w:rsidR="005727D2" w:rsidRPr="0046706F">
        <w:rPr>
          <w:rFonts w:ascii="Times New Roman" w:hAnsi="Times New Roman" w:cs="Times New Roman"/>
          <w:sz w:val="24"/>
          <w:szCs w:val="24"/>
          <w:lang w:val="en-US"/>
        </w:rPr>
        <w:t>ordic NOMESCO Classification of Surgical Procedure provided by the Da</w:t>
      </w:r>
      <w:r w:rsidRPr="0046706F">
        <w:rPr>
          <w:rFonts w:ascii="Times New Roman" w:hAnsi="Times New Roman" w:cs="Times New Roman"/>
          <w:sz w:val="24"/>
          <w:szCs w:val="24"/>
          <w:lang w:val="en-US"/>
        </w:rPr>
        <w:t>nish Health Data Agency. Data wer</w:t>
      </w:r>
      <w:r w:rsidR="005727D2" w:rsidRPr="0046706F">
        <w:rPr>
          <w:rFonts w:ascii="Times New Roman" w:hAnsi="Times New Roman" w:cs="Times New Roman"/>
          <w:sz w:val="24"/>
          <w:szCs w:val="24"/>
          <w:lang w:val="en-US"/>
        </w:rPr>
        <w:t>e linked via a unique personal identification number used across all Danish national registries</w:t>
      </w:r>
      <w:r w:rsidR="002669A6" w:rsidRPr="0046706F">
        <w:rPr>
          <w:rFonts w:ascii="Times New Roman" w:hAnsi="Times New Roman" w:cs="Times New Roman"/>
          <w:sz w:val="24"/>
          <w:szCs w:val="24"/>
          <w:lang w:val="en-US"/>
        </w:rPr>
        <w:t>.</w:t>
      </w:r>
    </w:p>
    <w:p w14:paraId="2FB51FE0" w14:textId="77777777" w:rsidR="00D9528C" w:rsidRPr="0046706F" w:rsidRDefault="00D9528C" w:rsidP="001A4C32">
      <w:pPr>
        <w:spacing w:after="0" w:line="480" w:lineRule="auto"/>
        <w:rPr>
          <w:rFonts w:ascii="Times New Roman" w:hAnsi="Times New Roman" w:cs="Times New Roman"/>
          <w:color w:val="000000"/>
          <w:sz w:val="24"/>
          <w:szCs w:val="24"/>
          <w:lang w:val="en-US"/>
        </w:rPr>
      </w:pPr>
    </w:p>
    <w:p w14:paraId="3AA4F84A" w14:textId="30112244" w:rsidR="00456522" w:rsidRPr="0046706F" w:rsidRDefault="00D9528C" w:rsidP="001A4C32">
      <w:pPr>
        <w:spacing w:after="0" w:line="480" w:lineRule="auto"/>
        <w:rPr>
          <w:rFonts w:ascii="Times New Roman" w:hAnsi="Times New Roman" w:cs="Times New Roman"/>
          <w:i/>
          <w:color w:val="000000"/>
          <w:sz w:val="24"/>
          <w:szCs w:val="24"/>
          <w:lang w:val="en-US"/>
        </w:rPr>
      </w:pPr>
      <w:r w:rsidRPr="0046706F">
        <w:rPr>
          <w:rFonts w:ascii="Times New Roman" w:hAnsi="Times New Roman" w:cs="Times New Roman"/>
          <w:i/>
          <w:color w:val="000000"/>
          <w:sz w:val="24"/>
          <w:szCs w:val="24"/>
          <w:lang w:val="en-US"/>
        </w:rPr>
        <w:t>Study population</w:t>
      </w:r>
    </w:p>
    <w:p w14:paraId="770AB60E" w14:textId="4696A747" w:rsidR="00F178FF" w:rsidRPr="0046706F" w:rsidRDefault="005727D2" w:rsidP="001A4C32">
      <w:pPr>
        <w:spacing w:after="0" w:line="480" w:lineRule="auto"/>
        <w:rPr>
          <w:rFonts w:ascii="Times New Roman" w:hAnsi="Times New Roman" w:cs="Times New Roman"/>
          <w:sz w:val="24"/>
          <w:szCs w:val="24"/>
          <w:lang w:val="en-US"/>
        </w:rPr>
      </w:pPr>
      <w:r w:rsidRPr="0046706F">
        <w:rPr>
          <w:rFonts w:ascii="Times New Roman" w:hAnsi="Times New Roman" w:cs="Times New Roman"/>
          <w:bCs/>
          <w:sz w:val="24"/>
          <w:szCs w:val="24"/>
          <w:lang w:val="en-US" w:bidi="th-TH"/>
        </w:rPr>
        <w:t>The study population consist</w:t>
      </w:r>
      <w:r w:rsidR="004D2694" w:rsidRPr="0046706F">
        <w:rPr>
          <w:rFonts w:ascii="Times New Roman" w:hAnsi="Times New Roman" w:cs="Times New Roman"/>
          <w:bCs/>
          <w:sz w:val="24"/>
          <w:szCs w:val="24"/>
          <w:lang w:val="en-US" w:bidi="th-TH"/>
        </w:rPr>
        <w:t>ed</w:t>
      </w:r>
      <w:r w:rsidRPr="0046706F">
        <w:rPr>
          <w:rFonts w:ascii="Times New Roman" w:hAnsi="Times New Roman" w:cs="Times New Roman"/>
          <w:bCs/>
          <w:sz w:val="24"/>
          <w:szCs w:val="24"/>
          <w:lang w:val="en-US" w:bidi="th-TH"/>
        </w:rPr>
        <w:t xml:space="preserve"> of all Danish citizens (age ≥18) with an incident AF diagnosis (ICD-10: I48) between January </w:t>
      </w:r>
      <w:r w:rsidR="009E40CF" w:rsidRPr="0046706F">
        <w:rPr>
          <w:rFonts w:ascii="Times New Roman" w:hAnsi="Times New Roman" w:cs="Times New Roman"/>
          <w:bCs/>
          <w:sz w:val="24"/>
          <w:szCs w:val="24"/>
          <w:lang w:val="en-US" w:bidi="th-TH"/>
        </w:rPr>
        <w:t>2000</w:t>
      </w:r>
      <w:r w:rsidRPr="0046706F">
        <w:rPr>
          <w:rFonts w:ascii="Times New Roman" w:hAnsi="Times New Roman" w:cs="Times New Roman"/>
          <w:bCs/>
          <w:sz w:val="24"/>
          <w:szCs w:val="24"/>
          <w:lang w:val="en-US" w:bidi="th-TH"/>
        </w:rPr>
        <w:t xml:space="preserve"> and </w:t>
      </w:r>
      <w:r w:rsidR="004D2694" w:rsidRPr="0046706F">
        <w:rPr>
          <w:rFonts w:ascii="Times New Roman" w:hAnsi="Times New Roman" w:cs="Times New Roman"/>
          <w:bCs/>
          <w:sz w:val="24"/>
          <w:szCs w:val="24"/>
          <w:lang w:val="en-US" w:bidi="th-TH"/>
        </w:rPr>
        <w:t>July 2018</w:t>
      </w:r>
      <w:r w:rsidRPr="0046706F">
        <w:rPr>
          <w:rFonts w:ascii="Times New Roman" w:hAnsi="Times New Roman" w:cs="Times New Roman"/>
          <w:bCs/>
          <w:sz w:val="24"/>
          <w:szCs w:val="24"/>
          <w:lang w:val="en-US" w:bidi="th-TH"/>
        </w:rPr>
        <w:t xml:space="preserve">. To focus on AF patients with VHD, only patients with a concomitant diagnosis of VHD either prior </w:t>
      </w:r>
      <w:r w:rsidR="00830B4C" w:rsidRPr="0046706F">
        <w:rPr>
          <w:rFonts w:ascii="Times New Roman" w:hAnsi="Times New Roman" w:cs="Times New Roman"/>
          <w:bCs/>
          <w:sz w:val="24"/>
          <w:szCs w:val="24"/>
          <w:lang w:val="en-US" w:bidi="th-TH"/>
        </w:rPr>
        <w:t xml:space="preserve">to </w:t>
      </w:r>
      <w:r w:rsidRPr="0046706F">
        <w:rPr>
          <w:rFonts w:ascii="Times New Roman" w:hAnsi="Times New Roman" w:cs="Times New Roman"/>
          <w:bCs/>
          <w:sz w:val="24"/>
          <w:szCs w:val="24"/>
          <w:lang w:val="en-US" w:bidi="th-TH"/>
        </w:rPr>
        <w:t>or wit</w:t>
      </w:r>
      <w:r w:rsidR="004D2694" w:rsidRPr="0046706F">
        <w:rPr>
          <w:rFonts w:ascii="Times New Roman" w:hAnsi="Times New Roman" w:cs="Times New Roman"/>
          <w:bCs/>
          <w:sz w:val="24"/>
          <w:szCs w:val="24"/>
          <w:lang w:val="en-US" w:bidi="th-TH"/>
        </w:rPr>
        <w:t>hin 30 days after AF diagnosis were included.</w:t>
      </w:r>
      <w:r w:rsidR="00830B4C" w:rsidRPr="0046706F">
        <w:rPr>
          <w:rFonts w:ascii="Times New Roman" w:hAnsi="Times New Roman" w:cs="Times New Roman"/>
          <w:bCs/>
          <w:sz w:val="24"/>
          <w:szCs w:val="24"/>
          <w:lang w:val="en-US" w:bidi="th-TH"/>
        </w:rPr>
        <w:t xml:space="preserve"> </w:t>
      </w:r>
      <w:r w:rsidR="00830B4C" w:rsidRPr="0046706F">
        <w:rPr>
          <w:rFonts w:ascii="Times New Roman" w:hAnsi="Times New Roman" w:cs="Times New Roman"/>
          <w:sz w:val="24"/>
          <w:szCs w:val="24"/>
          <w:lang w:val="en-US"/>
        </w:rPr>
        <w:t>Hospital diagnosis date of incident AF was the index date (baseline) for this study.</w:t>
      </w:r>
      <w:r w:rsidR="004D2694" w:rsidRPr="0046706F">
        <w:rPr>
          <w:rFonts w:ascii="Times New Roman" w:hAnsi="Times New Roman" w:cs="Times New Roman"/>
          <w:bCs/>
          <w:sz w:val="24"/>
          <w:szCs w:val="24"/>
          <w:lang w:val="en-US" w:bidi="th-TH"/>
        </w:rPr>
        <w:t xml:space="preserve"> VHD wa</w:t>
      </w:r>
      <w:r w:rsidRPr="0046706F">
        <w:rPr>
          <w:rFonts w:ascii="Times New Roman" w:hAnsi="Times New Roman" w:cs="Times New Roman"/>
          <w:bCs/>
          <w:sz w:val="24"/>
          <w:szCs w:val="24"/>
          <w:lang w:val="en-US" w:bidi="th-TH"/>
        </w:rPr>
        <w:t>s defined by a diagnosis/procedural code of mechanica</w:t>
      </w:r>
      <w:r w:rsidR="009E40CF" w:rsidRPr="0046706F">
        <w:rPr>
          <w:rFonts w:ascii="Times New Roman" w:hAnsi="Times New Roman" w:cs="Times New Roman"/>
          <w:bCs/>
          <w:sz w:val="24"/>
          <w:szCs w:val="24"/>
          <w:lang w:val="en-US" w:bidi="th-TH"/>
        </w:rPr>
        <w:t>l prosthetic valve replacement</w:t>
      </w:r>
      <w:r w:rsidR="004041DA">
        <w:rPr>
          <w:rFonts w:ascii="Times New Roman" w:hAnsi="Times New Roman" w:cs="Times New Roman"/>
          <w:bCs/>
          <w:sz w:val="24"/>
          <w:szCs w:val="24"/>
          <w:lang w:val="en-US" w:bidi="th-TH"/>
        </w:rPr>
        <w:t xml:space="preserve"> (aortic or mitral/</w:t>
      </w:r>
      <w:proofErr w:type="spellStart"/>
      <w:r w:rsidR="004041DA">
        <w:rPr>
          <w:rFonts w:ascii="Times New Roman" w:hAnsi="Times New Roman" w:cs="Times New Roman"/>
          <w:bCs/>
          <w:sz w:val="24"/>
          <w:szCs w:val="24"/>
          <w:lang w:val="en-US" w:bidi="th-TH"/>
        </w:rPr>
        <w:t>mitro</w:t>
      </w:r>
      <w:proofErr w:type="spellEnd"/>
      <w:r w:rsidR="004041DA">
        <w:rPr>
          <w:rFonts w:ascii="Times New Roman" w:hAnsi="Times New Roman" w:cs="Times New Roman"/>
          <w:bCs/>
          <w:sz w:val="24"/>
          <w:szCs w:val="24"/>
          <w:lang w:val="en-US" w:bidi="th-TH"/>
        </w:rPr>
        <w:t>-aortic)</w:t>
      </w:r>
      <w:r w:rsidR="009E40CF" w:rsidRPr="0046706F">
        <w:rPr>
          <w:rFonts w:ascii="Times New Roman" w:hAnsi="Times New Roman" w:cs="Times New Roman"/>
          <w:bCs/>
          <w:sz w:val="24"/>
          <w:szCs w:val="24"/>
          <w:lang w:val="en-US" w:bidi="th-TH"/>
        </w:rPr>
        <w:t xml:space="preserve"> or mitral stenosis </w:t>
      </w:r>
      <w:r w:rsidRPr="0046706F">
        <w:rPr>
          <w:rFonts w:ascii="Times New Roman" w:hAnsi="Times New Roman" w:cs="Times New Roman"/>
          <w:bCs/>
          <w:sz w:val="24"/>
          <w:szCs w:val="24"/>
          <w:lang w:val="en-US" w:bidi="th-TH"/>
        </w:rPr>
        <w:t xml:space="preserve">(categorized as </w:t>
      </w:r>
      <w:r w:rsidRPr="0046706F">
        <w:rPr>
          <w:rFonts w:ascii="Times New Roman" w:hAnsi="Times New Roman" w:cs="Times New Roman"/>
          <w:sz w:val="24"/>
          <w:szCs w:val="24"/>
          <w:lang w:val="en-US"/>
        </w:rPr>
        <w:t>EHRA Type 1 VHD</w:t>
      </w:r>
      <w:r w:rsidRPr="0046706F">
        <w:rPr>
          <w:rFonts w:ascii="Times New Roman" w:hAnsi="Times New Roman" w:cs="Times New Roman"/>
          <w:bCs/>
          <w:sz w:val="24"/>
          <w:szCs w:val="24"/>
          <w:lang w:val="en-US" w:bidi="th-TH"/>
        </w:rPr>
        <w:t>) or a diagnosis/procedural code of mitral regurgitation,</w:t>
      </w:r>
      <w:r w:rsidR="00AC7D07" w:rsidRPr="0046706F">
        <w:rPr>
          <w:rFonts w:ascii="Times New Roman" w:hAnsi="Times New Roman" w:cs="Times New Roman"/>
          <w:bCs/>
          <w:sz w:val="24"/>
          <w:szCs w:val="24"/>
          <w:lang w:val="en-US" w:bidi="th-TH"/>
        </w:rPr>
        <w:t xml:space="preserve"> aortic stenosis/regurgitation</w:t>
      </w:r>
      <w:r w:rsidRPr="0046706F">
        <w:rPr>
          <w:rFonts w:ascii="Times New Roman" w:hAnsi="Times New Roman" w:cs="Times New Roman"/>
          <w:bCs/>
          <w:sz w:val="24"/>
          <w:szCs w:val="24"/>
          <w:lang w:val="en-US" w:bidi="th-TH"/>
        </w:rPr>
        <w:t xml:space="preserve">, </w:t>
      </w:r>
      <w:r w:rsidR="004D419C" w:rsidRPr="0046706F">
        <w:rPr>
          <w:rFonts w:ascii="Times New Roman" w:hAnsi="Times New Roman" w:cs="Times New Roman"/>
          <w:bCs/>
          <w:sz w:val="24"/>
          <w:szCs w:val="24"/>
          <w:lang w:val="en-US" w:bidi="th-TH"/>
        </w:rPr>
        <w:t>bioprosthetic</w:t>
      </w:r>
      <w:r w:rsidR="00677597" w:rsidRPr="0046706F">
        <w:rPr>
          <w:rFonts w:ascii="Times New Roman" w:hAnsi="Times New Roman" w:cs="Times New Roman"/>
          <w:bCs/>
          <w:sz w:val="24"/>
          <w:szCs w:val="24"/>
          <w:lang w:val="en-US" w:bidi="th-TH"/>
        </w:rPr>
        <w:t xml:space="preserve"> aortic valve </w:t>
      </w:r>
      <w:r w:rsidR="007456F1" w:rsidRPr="0046706F">
        <w:rPr>
          <w:rFonts w:ascii="Times New Roman" w:hAnsi="Times New Roman" w:cs="Times New Roman"/>
          <w:bCs/>
          <w:sz w:val="24"/>
          <w:szCs w:val="24"/>
          <w:lang w:val="en-US" w:bidi="th-TH"/>
        </w:rPr>
        <w:t>replacement</w:t>
      </w:r>
      <w:r w:rsidR="00E96BF4" w:rsidRPr="0046706F">
        <w:rPr>
          <w:rFonts w:ascii="Times New Roman" w:hAnsi="Times New Roman" w:cs="Times New Roman"/>
          <w:bCs/>
          <w:sz w:val="24"/>
          <w:szCs w:val="24"/>
          <w:lang w:val="en-US" w:bidi="th-TH"/>
        </w:rPr>
        <w:t>,</w:t>
      </w:r>
      <w:r w:rsidR="00677597" w:rsidRPr="0046706F">
        <w:rPr>
          <w:rFonts w:ascii="Times New Roman" w:hAnsi="Times New Roman" w:cs="Times New Roman"/>
          <w:bCs/>
          <w:sz w:val="24"/>
          <w:szCs w:val="24"/>
          <w:lang w:val="en-US" w:bidi="th-TH"/>
        </w:rPr>
        <w:t xml:space="preserve"> </w:t>
      </w:r>
      <w:r w:rsidR="004D419C" w:rsidRPr="0046706F">
        <w:rPr>
          <w:rFonts w:ascii="Times New Roman" w:hAnsi="Times New Roman" w:cs="Times New Roman"/>
          <w:bCs/>
          <w:sz w:val="24"/>
          <w:szCs w:val="24"/>
          <w:lang w:val="en-US" w:bidi="th-TH"/>
        </w:rPr>
        <w:t xml:space="preserve">bioprosthetic mitral valve </w:t>
      </w:r>
      <w:r w:rsidR="00D644E4" w:rsidRPr="0046706F">
        <w:rPr>
          <w:rFonts w:ascii="Times New Roman" w:hAnsi="Times New Roman" w:cs="Times New Roman"/>
          <w:bCs/>
          <w:sz w:val="24"/>
          <w:szCs w:val="24"/>
          <w:lang w:val="en-US" w:bidi="th-TH"/>
        </w:rPr>
        <w:t>replacement</w:t>
      </w:r>
      <w:r w:rsidR="00E96BF4" w:rsidRPr="0046706F">
        <w:rPr>
          <w:rFonts w:ascii="Times New Roman" w:hAnsi="Times New Roman" w:cs="Times New Roman"/>
          <w:bCs/>
          <w:sz w:val="24"/>
          <w:szCs w:val="24"/>
          <w:lang w:val="en-US" w:bidi="th-TH"/>
        </w:rPr>
        <w:t xml:space="preserve">, or other </w:t>
      </w:r>
      <w:r w:rsidR="000E3634" w:rsidRPr="0046706F">
        <w:rPr>
          <w:rFonts w:ascii="Times New Roman" w:hAnsi="Times New Roman" w:cs="Times New Roman"/>
          <w:bCs/>
          <w:sz w:val="24"/>
          <w:szCs w:val="24"/>
          <w:lang w:val="en-US" w:bidi="th-TH"/>
        </w:rPr>
        <w:t>valve disease/</w:t>
      </w:r>
      <w:r w:rsidR="00D136CC" w:rsidRPr="0046706F">
        <w:rPr>
          <w:rFonts w:ascii="Times New Roman" w:hAnsi="Times New Roman" w:cs="Times New Roman"/>
          <w:bCs/>
          <w:sz w:val="24"/>
          <w:szCs w:val="24"/>
          <w:lang w:val="en-US" w:bidi="th-TH"/>
        </w:rPr>
        <w:t>procedure</w:t>
      </w:r>
      <w:r w:rsidR="00D5427A" w:rsidRPr="0046706F">
        <w:rPr>
          <w:rFonts w:ascii="Times New Roman" w:hAnsi="Times New Roman" w:cs="Times New Roman"/>
          <w:bCs/>
          <w:sz w:val="24"/>
          <w:szCs w:val="24"/>
          <w:lang w:val="en-US" w:bidi="th-TH"/>
        </w:rPr>
        <w:t xml:space="preserve"> (tricuspid stenosis/regurgitation, pulmonary va</w:t>
      </w:r>
      <w:r w:rsidR="00BC03E4" w:rsidRPr="0046706F">
        <w:rPr>
          <w:rFonts w:ascii="Times New Roman" w:hAnsi="Times New Roman" w:cs="Times New Roman"/>
          <w:bCs/>
          <w:sz w:val="24"/>
          <w:szCs w:val="24"/>
          <w:lang w:val="en-US" w:bidi="th-TH"/>
        </w:rPr>
        <w:t xml:space="preserve">lve stenosis/regurgitation, or </w:t>
      </w:r>
      <w:r w:rsidR="00D5427A" w:rsidRPr="0046706F">
        <w:rPr>
          <w:rFonts w:ascii="Times New Roman" w:hAnsi="Times New Roman" w:cs="Times New Roman"/>
          <w:bCs/>
          <w:sz w:val="24"/>
          <w:szCs w:val="24"/>
          <w:lang w:val="en-US" w:bidi="th-TH"/>
        </w:rPr>
        <w:t>multiple valve disease)</w:t>
      </w:r>
      <w:r w:rsidR="00677597" w:rsidRPr="0046706F">
        <w:rPr>
          <w:rFonts w:ascii="Times New Roman" w:hAnsi="Times New Roman" w:cs="Times New Roman"/>
          <w:bCs/>
          <w:sz w:val="24"/>
          <w:szCs w:val="24"/>
          <w:lang w:val="en-US" w:bidi="th-TH"/>
        </w:rPr>
        <w:t xml:space="preserve"> </w:t>
      </w:r>
      <w:r w:rsidRPr="0046706F">
        <w:rPr>
          <w:rFonts w:ascii="Times New Roman" w:hAnsi="Times New Roman" w:cs="Times New Roman"/>
          <w:bCs/>
          <w:sz w:val="24"/>
          <w:szCs w:val="24"/>
          <w:lang w:val="en-US" w:bidi="th-TH"/>
        </w:rPr>
        <w:t xml:space="preserve">(categorized as </w:t>
      </w:r>
      <w:r w:rsidRPr="0046706F">
        <w:rPr>
          <w:rFonts w:ascii="Times New Roman" w:hAnsi="Times New Roman" w:cs="Times New Roman"/>
          <w:sz w:val="24"/>
          <w:szCs w:val="24"/>
          <w:lang w:val="en-US"/>
        </w:rPr>
        <w:t>EHRA Type 2 VHD</w:t>
      </w:r>
      <w:r w:rsidRPr="0046706F">
        <w:rPr>
          <w:rFonts w:ascii="Times New Roman" w:hAnsi="Times New Roman" w:cs="Times New Roman"/>
          <w:bCs/>
          <w:sz w:val="24"/>
          <w:szCs w:val="24"/>
          <w:lang w:val="en-US" w:bidi="th-TH"/>
        </w:rPr>
        <w:t>)</w:t>
      </w:r>
      <w:r w:rsidR="00F9677B" w:rsidRPr="0046706F">
        <w:rPr>
          <w:rFonts w:ascii="Times New Roman" w:hAnsi="Times New Roman" w:cs="Times New Roman"/>
          <w:bCs/>
          <w:sz w:val="24"/>
          <w:szCs w:val="24"/>
          <w:lang w:val="en-US" w:bidi="th-TH"/>
        </w:rPr>
        <w:t xml:space="preserve"> (See </w:t>
      </w:r>
      <w:proofErr w:type="spellStart"/>
      <w:r w:rsidR="00F9677B" w:rsidRPr="0046706F">
        <w:rPr>
          <w:rFonts w:ascii="Times New Roman" w:hAnsi="Times New Roman" w:cs="Times New Roman"/>
          <w:b/>
          <w:bCs/>
          <w:sz w:val="24"/>
          <w:szCs w:val="24"/>
          <w:lang w:val="en-US" w:bidi="th-TH"/>
        </w:rPr>
        <w:t>eTable</w:t>
      </w:r>
      <w:proofErr w:type="spellEnd"/>
      <w:r w:rsidR="00F9677B" w:rsidRPr="0046706F">
        <w:rPr>
          <w:rFonts w:ascii="Times New Roman" w:hAnsi="Times New Roman" w:cs="Times New Roman"/>
          <w:b/>
          <w:bCs/>
          <w:sz w:val="24"/>
          <w:szCs w:val="24"/>
          <w:lang w:val="en-US" w:bidi="th-TH"/>
        </w:rPr>
        <w:t xml:space="preserve"> 1</w:t>
      </w:r>
      <w:r w:rsidR="00F9677B" w:rsidRPr="0046706F">
        <w:rPr>
          <w:rFonts w:ascii="Times New Roman" w:hAnsi="Times New Roman" w:cs="Times New Roman"/>
          <w:bCs/>
          <w:sz w:val="24"/>
          <w:szCs w:val="24"/>
          <w:lang w:val="en-US" w:bidi="th-TH"/>
        </w:rPr>
        <w:t xml:space="preserve"> </w:t>
      </w:r>
      <w:r w:rsidR="00BA3BBF" w:rsidRPr="0046706F">
        <w:rPr>
          <w:rFonts w:ascii="Times New Roman" w:hAnsi="Times New Roman" w:cs="Times New Roman"/>
          <w:bCs/>
          <w:sz w:val="24"/>
          <w:szCs w:val="24"/>
          <w:lang w:val="en-US" w:bidi="th-TH"/>
        </w:rPr>
        <w:lastRenderedPageBreak/>
        <w:t xml:space="preserve">and </w:t>
      </w:r>
      <w:proofErr w:type="spellStart"/>
      <w:r w:rsidR="00BA3BBF" w:rsidRPr="0046706F">
        <w:rPr>
          <w:rFonts w:ascii="Times New Roman" w:hAnsi="Times New Roman" w:cs="Times New Roman"/>
          <w:b/>
          <w:bCs/>
          <w:sz w:val="24"/>
          <w:szCs w:val="24"/>
          <w:lang w:val="en-US" w:bidi="th-TH"/>
        </w:rPr>
        <w:t>eTable</w:t>
      </w:r>
      <w:proofErr w:type="spellEnd"/>
      <w:r w:rsidR="00BA3BBF" w:rsidRPr="0046706F">
        <w:rPr>
          <w:rFonts w:ascii="Times New Roman" w:hAnsi="Times New Roman" w:cs="Times New Roman"/>
          <w:b/>
          <w:bCs/>
          <w:sz w:val="24"/>
          <w:szCs w:val="24"/>
          <w:lang w:val="en-US" w:bidi="th-TH"/>
        </w:rPr>
        <w:t xml:space="preserve"> 2</w:t>
      </w:r>
      <w:r w:rsidR="00BA3BBF" w:rsidRPr="0046706F">
        <w:rPr>
          <w:rFonts w:ascii="Times New Roman" w:hAnsi="Times New Roman" w:cs="Times New Roman"/>
          <w:bCs/>
          <w:sz w:val="24"/>
          <w:szCs w:val="24"/>
          <w:lang w:val="en-US" w:bidi="th-TH"/>
        </w:rPr>
        <w:t xml:space="preserve"> </w:t>
      </w:r>
      <w:r w:rsidR="00F9677B" w:rsidRPr="0046706F">
        <w:rPr>
          <w:rFonts w:ascii="Times New Roman" w:hAnsi="Times New Roman" w:cs="Times New Roman"/>
          <w:bCs/>
          <w:sz w:val="24"/>
          <w:szCs w:val="24"/>
          <w:lang w:val="en-US" w:bidi="th-TH"/>
        </w:rPr>
        <w:t xml:space="preserve">in </w:t>
      </w:r>
      <w:r w:rsidR="00263E14" w:rsidRPr="0046706F">
        <w:rPr>
          <w:rFonts w:ascii="Times New Roman" w:hAnsi="Times New Roman" w:cs="Times New Roman"/>
          <w:bCs/>
          <w:sz w:val="24"/>
          <w:szCs w:val="24"/>
          <w:lang w:val="en-US" w:bidi="th-TH"/>
        </w:rPr>
        <w:t>the Online Resources</w:t>
      </w:r>
      <w:r w:rsidR="00F9677B" w:rsidRPr="0046706F">
        <w:rPr>
          <w:rFonts w:ascii="Times New Roman" w:hAnsi="Times New Roman" w:cs="Times New Roman"/>
          <w:bCs/>
          <w:sz w:val="24"/>
          <w:szCs w:val="24"/>
          <w:lang w:val="en-US" w:bidi="th-TH"/>
        </w:rPr>
        <w:t xml:space="preserve"> for details </w:t>
      </w:r>
      <w:r w:rsidR="0022010E" w:rsidRPr="0046706F">
        <w:rPr>
          <w:rFonts w:ascii="Times New Roman" w:hAnsi="Times New Roman" w:cs="Times New Roman"/>
          <w:bCs/>
          <w:sz w:val="24"/>
          <w:szCs w:val="24"/>
          <w:lang w:val="en-US" w:bidi="th-TH"/>
        </w:rPr>
        <w:t>on</w:t>
      </w:r>
      <w:r w:rsidR="00F9677B" w:rsidRPr="0046706F">
        <w:rPr>
          <w:rFonts w:ascii="Times New Roman" w:hAnsi="Times New Roman" w:cs="Times New Roman"/>
          <w:bCs/>
          <w:sz w:val="24"/>
          <w:szCs w:val="24"/>
          <w:lang w:val="en-US" w:bidi="th-TH"/>
        </w:rPr>
        <w:t xml:space="preserve"> the definition of EHRA Type 1 </w:t>
      </w:r>
      <w:r w:rsidR="00F8489C" w:rsidRPr="0046706F">
        <w:rPr>
          <w:rFonts w:ascii="Times New Roman" w:hAnsi="Times New Roman" w:cs="Times New Roman"/>
          <w:bCs/>
          <w:sz w:val="24"/>
          <w:szCs w:val="24"/>
          <w:lang w:val="en-US" w:bidi="th-TH"/>
        </w:rPr>
        <w:t xml:space="preserve">VHD </w:t>
      </w:r>
      <w:r w:rsidR="00F9677B" w:rsidRPr="0046706F">
        <w:rPr>
          <w:rFonts w:ascii="Times New Roman" w:hAnsi="Times New Roman" w:cs="Times New Roman"/>
          <w:bCs/>
          <w:sz w:val="24"/>
          <w:szCs w:val="24"/>
          <w:lang w:val="en-US" w:bidi="th-TH"/>
        </w:rPr>
        <w:t>and</w:t>
      </w:r>
      <w:r w:rsidR="00F8489C" w:rsidRPr="0046706F">
        <w:rPr>
          <w:rFonts w:ascii="Times New Roman" w:hAnsi="Times New Roman" w:cs="Times New Roman"/>
          <w:bCs/>
          <w:sz w:val="24"/>
          <w:szCs w:val="24"/>
          <w:lang w:val="en-US" w:bidi="th-TH"/>
        </w:rPr>
        <w:t xml:space="preserve"> EHRA Type</w:t>
      </w:r>
      <w:r w:rsidR="00F9677B" w:rsidRPr="0046706F">
        <w:rPr>
          <w:rFonts w:ascii="Times New Roman" w:hAnsi="Times New Roman" w:cs="Times New Roman"/>
          <w:bCs/>
          <w:sz w:val="24"/>
          <w:szCs w:val="24"/>
          <w:lang w:val="en-US" w:bidi="th-TH"/>
        </w:rPr>
        <w:t xml:space="preserve"> 2 VHD)</w:t>
      </w:r>
      <w:r w:rsidR="004D2694" w:rsidRPr="0046706F">
        <w:rPr>
          <w:rFonts w:ascii="Times New Roman" w:hAnsi="Times New Roman" w:cs="Times New Roman"/>
          <w:bCs/>
          <w:sz w:val="24"/>
          <w:szCs w:val="24"/>
          <w:lang w:val="en-US" w:bidi="th-TH"/>
        </w:rPr>
        <w:t>. All patients we</w:t>
      </w:r>
      <w:r w:rsidRPr="0046706F">
        <w:rPr>
          <w:rFonts w:ascii="Times New Roman" w:hAnsi="Times New Roman" w:cs="Times New Roman"/>
          <w:bCs/>
          <w:sz w:val="24"/>
          <w:szCs w:val="24"/>
          <w:lang w:val="en-US" w:bidi="th-TH"/>
        </w:rPr>
        <w:t xml:space="preserve">re classified as either </w:t>
      </w:r>
      <w:r w:rsidRPr="0046706F">
        <w:rPr>
          <w:rFonts w:ascii="Times New Roman" w:hAnsi="Times New Roman" w:cs="Times New Roman"/>
          <w:sz w:val="24"/>
          <w:szCs w:val="24"/>
          <w:lang w:val="en-US"/>
        </w:rPr>
        <w:t>EHRA Type 1 VHD</w:t>
      </w:r>
      <w:r w:rsidRPr="0046706F">
        <w:rPr>
          <w:rFonts w:ascii="Times New Roman" w:hAnsi="Times New Roman" w:cs="Times New Roman"/>
          <w:bCs/>
          <w:sz w:val="24"/>
          <w:szCs w:val="24"/>
          <w:lang w:val="en-US" w:bidi="th-TH"/>
        </w:rPr>
        <w:t xml:space="preserve"> or </w:t>
      </w:r>
      <w:r w:rsidRPr="0046706F">
        <w:rPr>
          <w:rFonts w:ascii="Times New Roman" w:hAnsi="Times New Roman" w:cs="Times New Roman"/>
          <w:sz w:val="24"/>
          <w:szCs w:val="24"/>
          <w:lang w:val="en-US"/>
        </w:rPr>
        <w:t>EHRA Type 2 VHD</w:t>
      </w:r>
      <w:r w:rsidRPr="0046706F">
        <w:rPr>
          <w:rFonts w:ascii="Times New Roman" w:hAnsi="Times New Roman" w:cs="Times New Roman"/>
          <w:bCs/>
          <w:sz w:val="24"/>
          <w:szCs w:val="24"/>
          <w:lang w:val="en-US" w:bidi="th-TH"/>
        </w:rPr>
        <w:t xml:space="preserve"> according to diagnostic and procedural information at index date</w:t>
      </w:r>
      <w:r w:rsidR="00517913" w:rsidRPr="0046706F">
        <w:rPr>
          <w:rFonts w:ascii="Times New Roman" w:hAnsi="Times New Roman" w:cs="Times New Roman"/>
          <w:bCs/>
          <w:sz w:val="24"/>
          <w:szCs w:val="24"/>
          <w:lang w:val="en-US" w:bidi="th-TH"/>
        </w:rPr>
        <w:t>. Patients with both a diagnosis in EHRA Type 1 VHD and in EHRA Type 2 VHD were classified as EHRA Type 1 VHD</w:t>
      </w:r>
      <w:r w:rsidR="00830B4C" w:rsidRPr="0046706F">
        <w:rPr>
          <w:rFonts w:ascii="Times New Roman" w:hAnsi="Times New Roman" w:cs="Times New Roman"/>
          <w:bCs/>
          <w:sz w:val="24"/>
          <w:szCs w:val="24"/>
          <w:lang w:val="en-US" w:bidi="th-TH"/>
        </w:rPr>
        <w:t>.</w:t>
      </w:r>
      <w:r w:rsidR="004251CF" w:rsidRPr="0046706F">
        <w:rPr>
          <w:rFonts w:ascii="Times New Roman" w:hAnsi="Times New Roman" w:cs="Times New Roman"/>
          <w:bCs/>
          <w:sz w:val="24"/>
          <w:szCs w:val="24"/>
          <w:lang w:val="en-US" w:bidi="th-TH"/>
        </w:rPr>
        <w:t xml:space="preserve"> </w:t>
      </w:r>
      <w:r w:rsidR="004251CF" w:rsidRPr="0046706F">
        <w:rPr>
          <w:rFonts w:ascii="Times New Roman" w:hAnsi="Times New Roman" w:cs="Times New Roman"/>
          <w:sz w:val="24"/>
          <w:szCs w:val="24"/>
          <w:lang w:val="en-US"/>
        </w:rPr>
        <w:t>We did not have access to echocardiographic data and, therefore, both patients with mild, moderate, and severe VHD were included.</w:t>
      </w:r>
      <w:r w:rsidR="00513808" w:rsidRPr="0046706F">
        <w:rPr>
          <w:rFonts w:ascii="Times New Roman" w:hAnsi="Times New Roman" w:cs="Times New Roman"/>
          <w:bCs/>
          <w:sz w:val="24"/>
          <w:szCs w:val="24"/>
          <w:lang w:val="en-GB" w:bidi="th-TH"/>
        </w:rPr>
        <w:t xml:space="preserve"> As oral anticoagulation</w:t>
      </w:r>
      <w:r w:rsidR="00F6523B">
        <w:rPr>
          <w:rFonts w:ascii="Times New Roman" w:hAnsi="Times New Roman" w:cs="Times New Roman"/>
          <w:bCs/>
          <w:sz w:val="24"/>
          <w:szCs w:val="24"/>
          <w:lang w:val="en-GB" w:bidi="th-TH"/>
        </w:rPr>
        <w:t xml:space="preserve"> with a VKA</w:t>
      </w:r>
      <w:r w:rsidR="00513808" w:rsidRPr="0046706F">
        <w:rPr>
          <w:rFonts w:ascii="Times New Roman" w:hAnsi="Times New Roman" w:cs="Times New Roman"/>
          <w:bCs/>
          <w:sz w:val="24"/>
          <w:szCs w:val="24"/>
          <w:lang w:val="en-GB" w:bidi="th-TH"/>
        </w:rPr>
        <w:t xml:space="preserve"> </w:t>
      </w:r>
      <w:r w:rsidR="00513808" w:rsidRPr="0046706F">
        <w:rPr>
          <w:rFonts w:ascii="Times New Roman" w:hAnsi="Times New Roman" w:cs="Times New Roman"/>
          <w:bCs/>
          <w:sz w:val="24"/>
          <w:szCs w:val="24"/>
          <w:lang w:val="en-US" w:bidi="th-TH"/>
        </w:rPr>
        <w:t>is recommended in all patients with a mechanical prosthetic valve replacement, we excluded those patients with a mechanical prosthetic valve replacement who were not in oral anticoagulation</w:t>
      </w:r>
      <w:r w:rsidR="00F6523B">
        <w:rPr>
          <w:rFonts w:ascii="Times New Roman" w:hAnsi="Times New Roman" w:cs="Times New Roman"/>
          <w:bCs/>
          <w:sz w:val="24"/>
          <w:szCs w:val="24"/>
          <w:lang w:val="en-US" w:bidi="th-TH"/>
        </w:rPr>
        <w:t xml:space="preserve"> </w:t>
      </w:r>
      <w:r w:rsidR="00F6523B" w:rsidRPr="00F6523B">
        <w:rPr>
          <w:rFonts w:ascii="Times New Roman" w:hAnsi="Times New Roman" w:cs="Times New Roman"/>
          <w:bCs/>
          <w:color w:val="FFC000"/>
          <w:sz w:val="24"/>
          <w:szCs w:val="24"/>
          <w:lang w:val="en-US" w:bidi="th-TH"/>
        </w:rPr>
        <w:t>or were in anticoagulant therapy with a NOAC</w:t>
      </w:r>
      <w:r w:rsidR="00513808" w:rsidRPr="0046706F">
        <w:rPr>
          <w:rFonts w:ascii="Times New Roman" w:hAnsi="Times New Roman" w:cs="Times New Roman"/>
          <w:bCs/>
          <w:sz w:val="24"/>
          <w:szCs w:val="24"/>
          <w:lang w:val="en-US" w:bidi="th-TH"/>
        </w:rPr>
        <w:t>, since we could not obtain information about the clinical rationale for this inappropriate anticoagulation status.</w:t>
      </w:r>
    </w:p>
    <w:p w14:paraId="2BB30AC1" w14:textId="77777777" w:rsidR="00D9528C" w:rsidRPr="0046706F" w:rsidRDefault="00D9528C" w:rsidP="00633E3A">
      <w:pPr>
        <w:spacing w:after="0" w:line="480" w:lineRule="auto"/>
        <w:rPr>
          <w:rFonts w:ascii="Times New Roman" w:eastAsiaTheme="majorEastAsia" w:hAnsi="Times New Roman" w:cs="Times New Roman"/>
          <w:bCs/>
          <w:i/>
          <w:sz w:val="24"/>
          <w:szCs w:val="24"/>
          <w:lang w:val="en-US"/>
        </w:rPr>
      </w:pPr>
    </w:p>
    <w:p w14:paraId="5A25529A" w14:textId="1C5C68E4" w:rsidR="00A24C74" w:rsidRPr="0046706F" w:rsidRDefault="00D9528C" w:rsidP="00633E3A">
      <w:pPr>
        <w:spacing w:after="0" w:line="480" w:lineRule="auto"/>
        <w:rPr>
          <w:rFonts w:ascii="Times New Roman" w:eastAsiaTheme="majorEastAsia" w:hAnsi="Times New Roman" w:cs="Times New Roman"/>
          <w:bCs/>
          <w:i/>
          <w:sz w:val="24"/>
          <w:szCs w:val="24"/>
          <w:lang w:val="en-US"/>
        </w:rPr>
      </w:pPr>
      <w:r w:rsidRPr="0046706F">
        <w:rPr>
          <w:rFonts w:ascii="Times New Roman" w:eastAsiaTheme="majorEastAsia" w:hAnsi="Times New Roman" w:cs="Times New Roman"/>
          <w:bCs/>
          <w:i/>
          <w:sz w:val="24"/>
          <w:szCs w:val="24"/>
          <w:lang w:val="en-US"/>
        </w:rPr>
        <w:t>Outcomes</w:t>
      </w:r>
    </w:p>
    <w:p w14:paraId="3BF096E1" w14:textId="308A5261" w:rsidR="005727D2" w:rsidRPr="0046706F" w:rsidRDefault="00830B4C" w:rsidP="00633E3A">
      <w:pPr>
        <w:spacing w:after="0" w:line="480" w:lineRule="auto"/>
        <w:rPr>
          <w:rFonts w:ascii="Times New Roman" w:hAnsi="Times New Roman" w:cs="Times New Roman"/>
          <w:i/>
          <w:sz w:val="24"/>
          <w:szCs w:val="24"/>
          <w:lang w:val="en-US" w:bidi="th-TH"/>
        </w:rPr>
      </w:pPr>
      <w:r w:rsidRPr="0046706F">
        <w:rPr>
          <w:rFonts w:ascii="Times New Roman" w:hAnsi="Times New Roman" w:cs="Times New Roman"/>
          <w:sz w:val="24"/>
          <w:szCs w:val="24"/>
          <w:lang w:val="en-US"/>
        </w:rPr>
        <w:t>T</w:t>
      </w:r>
      <w:r w:rsidR="005727D2" w:rsidRPr="0046706F">
        <w:rPr>
          <w:rFonts w:ascii="Times New Roman" w:hAnsi="Times New Roman" w:cs="Times New Roman"/>
          <w:sz w:val="24"/>
          <w:szCs w:val="24"/>
          <w:lang w:val="en-US"/>
        </w:rPr>
        <w:t>he primary outcome</w:t>
      </w:r>
      <w:r w:rsidR="009E40CF" w:rsidRPr="0046706F">
        <w:rPr>
          <w:rFonts w:ascii="Times New Roman" w:hAnsi="Times New Roman" w:cs="Times New Roman"/>
          <w:sz w:val="24"/>
          <w:szCs w:val="24"/>
          <w:lang w:val="en-US"/>
        </w:rPr>
        <w:t>s</w:t>
      </w:r>
      <w:r w:rsidRPr="0046706F">
        <w:rPr>
          <w:rFonts w:ascii="Times New Roman" w:hAnsi="Times New Roman" w:cs="Times New Roman"/>
          <w:sz w:val="24"/>
          <w:szCs w:val="24"/>
          <w:lang w:val="en-US"/>
        </w:rPr>
        <w:t xml:space="preserve"> were</w:t>
      </w:r>
      <w:r w:rsidR="005727D2" w:rsidRPr="0046706F">
        <w:rPr>
          <w:rFonts w:ascii="Times New Roman" w:hAnsi="Times New Roman" w:cs="Times New Roman"/>
          <w:sz w:val="24"/>
          <w:szCs w:val="24"/>
          <w:lang w:val="en-US"/>
        </w:rPr>
        <w:t xml:space="preserve"> thromboembolism (defined as ischemic stroke or systemic embolism) and major bleeding (defined as intracranial bleeding, gastrointestinal bleeding, or major clinically relevant bleeding</w:t>
      </w:r>
      <w:r w:rsidR="002E5154" w:rsidRPr="0046706F">
        <w:rPr>
          <w:rFonts w:ascii="Times New Roman" w:hAnsi="Times New Roman" w:cs="Times New Roman"/>
          <w:sz w:val="24"/>
          <w:szCs w:val="24"/>
          <w:lang w:val="en-US"/>
        </w:rPr>
        <w:t xml:space="preserve"> located elsewhere</w:t>
      </w:r>
      <w:r w:rsidR="005727D2" w:rsidRPr="0046706F">
        <w:rPr>
          <w:rFonts w:ascii="Times New Roman" w:hAnsi="Times New Roman" w:cs="Times New Roman"/>
          <w:sz w:val="24"/>
          <w:szCs w:val="24"/>
          <w:lang w:val="en-US"/>
        </w:rPr>
        <w:t>)</w:t>
      </w:r>
      <w:r w:rsidR="00F9677B" w:rsidRPr="0046706F">
        <w:rPr>
          <w:rFonts w:ascii="Times New Roman" w:hAnsi="Times New Roman" w:cs="Times New Roman"/>
          <w:sz w:val="24"/>
          <w:szCs w:val="24"/>
          <w:lang w:val="en-US"/>
        </w:rPr>
        <w:t xml:space="preserve"> (</w:t>
      </w:r>
      <w:r w:rsidR="005727D2" w:rsidRPr="0046706F">
        <w:rPr>
          <w:rFonts w:ascii="Times New Roman" w:hAnsi="Times New Roman" w:cs="Times New Roman"/>
          <w:sz w:val="24"/>
          <w:szCs w:val="24"/>
          <w:lang w:val="en-US"/>
        </w:rPr>
        <w:t xml:space="preserve">Detailed information about the definition of the outcomes is available in </w:t>
      </w:r>
      <w:proofErr w:type="spellStart"/>
      <w:r w:rsidR="00F9677B" w:rsidRPr="0046706F">
        <w:rPr>
          <w:rFonts w:ascii="Times New Roman" w:hAnsi="Times New Roman" w:cs="Times New Roman"/>
          <w:b/>
          <w:sz w:val="24"/>
          <w:szCs w:val="24"/>
          <w:lang w:val="en-US"/>
        </w:rPr>
        <w:t>e</w:t>
      </w:r>
      <w:r w:rsidR="005727D2" w:rsidRPr="0046706F">
        <w:rPr>
          <w:rFonts w:ascii="Times New Roman" w:hAnsi="Times New Roman" w:cs="Times New Roman"/>
          <w:b/>
          <w:sz w:val="24"/>
          <w:szCs w:val="24"/>
          <w:lang w:val="en-US"/>
        </w:rPr>
        <w:t>Table</w:t>
      </w:r>
      <w:proofErr w:type="spellEnd"/>
      <w:r w:rsidR="00BA3BBF" w:rsidRPr="0046706F">
        <w:rPr>
          <w:rFonts w:ascii="Times New Roman" w:hAnsi="Times New Roman" w:cs="Times New Roman"/>
          <w:b/>
          <w:sz w:val="24"/>
          <w:szCs w:val="24"/>
          <w:lang w:val="en-US"/>
        </w:rPr>
        <w:t xml:space="preserve"> 3</w:t>
      </w:r>
      <w:r w:rsidR="00F9677B" w:rsidRPr="0046706F">
        <w:rPr>
          <w:rFonts w:ascii="Times New Roman" w:hAnsi="Times New Roman" w:cs="Times New Roman"/>
          <w:sz w:val="24"/>
          <w:szCs w:val="24"/>
          <w:lang w:val="en-US"/>
        </w:rPr>
        <w:t xml:space="preserve"> </w:t>
      </w:r>
      <w:r w:rsidR="00263E14" w:rsidRPr="0046706F">
        <w:rPr>
          <w:rFonts w:ascii="Times New Roman" w:hAnsi="Times New Roman" w:cs="Times New Roman"/>
          <w:bCs/>
          <w:sz w:val="24"/>
          <w:szCs w:val="24"/>
          <w:lang w:val="en-US" w:bidi="th-TH"/>
        </w:rPr>
        <w:t>in the Online Resources</w:t>
      </w:r>
      <w:r w:rsidR="00F9677B" w:rsidRPr="0046706F">
        <w:rPr>
          <w:rFonts w:ascii="Times New Roman" w:hAnsi="Times New Roman" w:cs="Times New Roman"/>
          <w:sz w:val="24"/>
          <w:szCs w:val="24"/>
          <w:lang w:val="en-US"/>
        </w:rPr>
        <w:t>)</w:t>
      </w:r>
      <w:r w:rsidR="005727D2" w:rsidRPr="0046706F">
        <w:rPr>
          <w:rFonts w:ascii="Times New Roman" w:hAnsi="Times New Roman" w:cs="Times New Roman"/>
          <w:sz w:val="24"/>
          <w:szCs w:val="24"/>
          <w:lang w:val="en-US"/>
        </w:rPr>
        <w:t xml:space="preserve">. </w:t>
      </w:r>
      <w:r w:rsidR="0021257E" w:rsidRPr="0046706F">
        <w:rPr>
          <w:rFonts w:ascii="Times New Roman" w:hAnsi="Times New Roman" w:cs="Times New Roman"/>
          <w:sz w:val="24"/>
          <w:szCs w:val="24"/>
          <w:lang w:val="en-US" w:bidi="th-TH"/>
        </w:rPr>
        <w:t xml:space="preserve">Given the severity of the </w:t>
      </w:r>
      <w:r w:rsidR="0021257E" w:rsidRPr="0046706F">
        <w:rPr>
          <w:rFonts w:ascii="Times New Roman" w:hAnsi="Times New Roman" w:cs="Times New Roman"/>
          <w:sz w:val="24"/>
          <w:szCs w:val="24"/>
          <w:lang w:val="en-US"/>
        </w:rPr>
        <w:t>diagnoses of thromboembolism</w:t>
      </w:r>
      <w:r w:rsidR="0021257E" w:rsidRPr="0046706F">
        <w:rPr>
          <w:rFonts w:ascii="Times New Roman" w:hAnsi="Times New Roman" w:cs="Times New Roman"/>
          <w:sz w:val="24"/>
          <w:szCs w:val="24"/>
          <w:lang w:val="en-US" w:bidi="th-TH"/>
        </w:rPr>
        <w:t xml:space="preserve">, we only considered events if the patient was admitted to the hospital; hence, we did not consider outpatient diagnoses for this outcome. Additionally, we only considered primary diagnoses of thromboembolism. For the endpoint of major bleeding, both primary and secondary diagnoses in out- and inpatient were considered due to clinical coding practice, and to allow for full clinical insight (i.e. bleeding leading to hospital contact). </w:t>
      </w:r>
      <w:r w:rsidR="00633E3A" w:rsidRPr="0046706F">
        <w:rPr>
          <w:rFonts w:ascii="Times New Roman" w:hAnsi="Times New Roman" w:cs="Times New Roman"/>
          <w:sz w:val="24"/>
          <w:szCs w:val="24"/>
          <w:lang w:val="en-US"/>
        </w:rPr>
        <w:t>Emergency room codes were not included due to a genera</w:t>
      </w:r>
      <w:r w:rsidR="00B2113F" w:rsidRPr="0046706F">
        <w:rPr>
          <w:rFonts w:ascii="Times New Roman" w:hAnsi="Times New Roman" w:cs="Times New Roman"/>
          <w:sz w:val="24"/>
          <w:szCs w:val="24"/>
          <w:lang w:val="en-US"/>
        </w:rPr>
        <w:t xml:space="preserve">l low positive predictive value </w:t>
      </w:r>
      <w:r w:rsidR="002B2E8D" w:rsidRPr="0046706F">
        <w:rPr>
          <w:rFonts w:ascii="Times New Roman" w:hAnsi="Times New Roman" w:cs="Times New Roman"/>
          <w:sz w:val="24"/>
          <w:szCs w:val="24"/>
          <w:lang w:val="en-US"/>
        </w:rPr>
        <w:fldChar w:fldCharType="begin" w:fldLock="1"/>
      </w:r>
      <w:r w:rsidR="006E799B" w:rsidRPr="0046706F">
        <w:rPr>
          <w:rFonts w:ascii="Times New Roman" w:hAnsi="Times New Roman" w:cs="Times New Roman"/>
          <w:sz w:val="24"/>
          <w:szCs w:val="24"/>
          <w:lang w:val="en-US"/>
        </w:rPr>
        <w:instrText>ADDIN CSL_CITATION {"citationItems":[{"id":"ITEM-1","itemData":{"ISSN":"16511905","abstract":"Aims: To determine the positive predictive values for stroke discharge diagnoses, including subarachnoidal haemorrhage, intracerebral haemorrhage and cerebral infarction in the Danish National Patient Register. Methods: Participants in the Danish cohort study Diet, Cancer and Health with a stroke discharge diagnosis in the National Patient Register between 1993 and 2009 were identified and their medical records were retrieved for validation of the diagnoses. Results: A total of 3326 records of possible cases of stroke were reviewed. The overall positive predictive value for stroke was 69.3% (95% confidence interval (CI) 67.8-70.9%). The predictive values differed according to hospital characteristics, with the highest predictive value of 87.8% (95% CI 85.5-90.1%) found in departments of neurology and the lowest predictive value of 43.0% (95% CI 37.6-48.5%) found in outpatient clinics. Conclusions: The overall stroke diagnosis in the Danish National Patient Register had a limited predictive value. We therefore recommend the critical use of non-validated register data for research on stroke. The possibility of optimising the predictive values based on more advanced algorithms should be considered.","author":[{"dropping-particle":"","family":"Lühdorf","given":"Pernille","non-dropping-particle":"","parse-names":false,"suffix":""},{"dropping-particle":"","family":"Overvad","given":"Kim","non-dropping-particle":"","parse-names":false,"suffix":""},{"dropping-particle":"","family":"Schmidt","given":"Erik B.","non-dropping-particle":"","parse-names":false,"suffix":""},{"dropping-particle":"","family":"Johnsen","given":"Søren P.","non-dropping-particle":"","parse-names":false,"suffix":""},{"dropping-particle":"","family":"Bach","given":"Flemming W.","non-dropping-particle":"","parse-names":false,"suffix":""}],"container-title":"Scandinavian Journal of Public Health","id":"ITEM-1","issued":{"date-parts":[["2017"]]},"page":"630-636","title":"Predictive value of stroke discharge diagnoses in the Danish National Patient Register","type":"article-journal","volume":"45"},"uris":["http://www.mendeley.com/documents/?uuid=1b53917b-ed6a-4da6-a895-be39388fa231"]}],"mendeley":{"formattedCitation":"[17]","plainTextFormattedCitation":"[17]","previouslyFormattedCitation":"[17]"},"properties":{"noteIndex":0},"schema":"https://github.com/citation-style-language/schema/raw/master/csl-citation.json"}</w:instrText>
      </w:r>
      <w:r w:rsidR="002B2E8D" w:rsidRPr="0046706F">
        <w:rPr>
          <w:rFonts w:ascii="Times New Roman" w:hAnsi="Times New Roman" w:cs="Times New Roman"/>
          <w:sz w:val="24"/>
          <w:szCs w:val="24"/>
          <w:lang w:val="en-US"/>
        </w:rPr>
        <w:fldChar w:fldCharType="separate"/>
      </w:r>
      <w:r w:rsidR="002B2E8D" w:rsidRPr="0046706F">
        <w:rPr>
          <w:rFonts w:ascii="Times New Roman" w:hAnsi="Times New Roman" w:cs="Times New Roman"/>
          <w:noProof/>
          <w:sz w:val="24"/>
          <w:szCs w:val="24"/>
          <w:lang w:val="en-US"/>
        </w:rPr>
        <w:t>[17]</w:t>
      </w:r>
      <w:r w:rsidR="002B2E8D" w:rsidRPr="0046706F">
        <w:rPr>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w:t>
      </w:r>
      <w:r w:rsidR="001E0144" w:rsidRPr="0046706F">
        <w:rPr>
          <w:rFonts w:ascii="Times New Roman" w:hAnsi="Times New Roman" w:cs="Times New Roman"/>
          <w:sz w:val="24"/>
          <w:szCs w:val="24"/>
          <w:lang w:val="en-US"/>
        </w:rPr>
        <w:t xml:space="preserve"> </w:t>
      </w:r>
      <w:r w:rsidR="001E0144" w:rsidRPr="0046706F">
        <w:rPr>
          <w:rFonts w:ascii="Times New Roman" w:eastAsia="AdvTimes" w:hAnsi="Times New Roman" w:cs="Times New Roman"/>
          <w:sz w:val="24"/>
          <w:szCs w:val="24"/>
          <w:lang w:val="en-US"/>
        </w:rPr>
        <w:t xml:space="preserve">All-cause death was included as a secondary outcome to </w:t>
      </w:r>
      <w:r w:rsidR="00126695" w:rsidRPr="0046706F">
        <w:rPr>
          <w:rFonts w:ascii="Times New Roman" w:eastAsia="AdvTimes" w:hAnsi="Times New Roman" w:cs="Times New Roman"/>
          <w:sz w:val="24"/>
          <w:szCs w:val="24"/>
          <w:lang w:val="en-US"/>
        </w:rPr>
        <w:t>elucidate</w:t>
      </w:r>
      <w:r w:rsidR="001E0144" w:rsidRPr="0046706F">
        <w:rPr>
          <w:rFonts w:ascii="Times New Roman" w:eastAsia="AdvTimes" w:hAnsi="Times New Roman" w:cs="Times New Roman"/>
          <w:sz w:val="24"/>
          <w:szCs w:val="24"/>
          <w:lang w:val="en-US"/>
        </w:rPr>
        <w:t xml:space="preserve"> the mortality risk</w:t>
      </w:r>
      <w:r w:rsidRPr="0046706F">
        <w:rPr>
          <w:rFonts w:ascii="Times New Roman" w:eastAsia="AdvTimes" w:hAnsi="Times New Roman" w:cs="Times New Roman"/>
          <w:sz w:val="24"/>
          <w:szCs w:val="24"/>
          <w:lang w:val="en-US"/>
        </w:rPr>
        <w:t>, which may influence the methodological approach of estimating absolute risk in a diminishing at-risk population</w:t>
      </w:r>
      <w:r w:rsidR="001E0144" w:rsidRPr="0046706F">
        <w:rPr>
          <w:rFonts w:ascii="Times New Roman" w:eastAsia="AdvTimes" w:hAnsi="Times New Roman" w:cs="Times New Roman"/>
          <w:sz w:val="24"/>
          <w:szCs w:val="24"/>
          <w:lang w:val="en-US"/>
        </w:rPr>
        <w:t>.</w:t>
      </w:r>
    </w:p>
    <w:p w14:paraId="16D3AF55" w14:textId="77777777" w:rsidR="00B164B1" w:rsidRDefault="00B164B1" w:rsidP="00633E3A">
      <w:pPr>
        <w:spacing w:after="0" w:line="480" w:lineRule="auto"/>
        <w:rPr>
          <w:rFonts w:ascii="Times New Roman" w:hAnsi="Times New Roman" w:cs="Times New Roman"/>
          <w:sz w:val="24"/>
          <w:szCs w:val="24"/>
          <w:lang w:val="en-US" w:bidi="th-TH"/>
        </w:rPr>
      </w:pPr>
    </w:p>
    <w:p w14:paraId="6848EF6C" w14:textId="77777777" w:rsidR="0046706F" w:rsidRPr="0046706F" w:rsidRDefault="0046706F" w:rsidP="00633E3A">
      <w:pPr>
        <w:spacing w:after="0" w:line="480" w:lineRule="auto"/>
        <w:rPr>
          <w:rFonts w:ascii="Times New Roman" w:hAnsi="Times New Roman" w:cs="Times New Roman"/>
          <w:sz w:val="24"/>
          <w:szCs w:val="24"/>
          <w:lang w:val="en-US" w:bidi="th-TH"/>
        </w:rPr>
      </w:pPr>
    </w:p>
    <w:p w14:paraId="0EB05347" w14:textId="2030B2AB" w:rsidR="00D9528C" w:rsidRPr="0046706F" w:rsidRDefault="00D9528C" w:rsidP="00633E3A">
      <w:pPr>
        <w:spacing w:after="0" w:line="480" w:lineRule="auto"/>
        <w:rPr>
          <w:rFonts w:ascii="Times New Roman" w:hAnsi="Times New Roman" w:cs="Times New Roman"/>
          <w:i/>
          <w:sz w:val="24"/>
          <w:szCs w:val="24"/>
          <w:lang w:val="en-US" w:bidi="th-TH"/>
        </w:rPr>
      </w:pPr>
      <w:r w:rsidRPr="0046706F">
        <w:rPr>
          <w:rFonts w:ascii="Times New Roman" w:hAnsi="Times New Roman" w:cs="Times New Roman"/>
          <w:i/>
          <w:sz w:val="24"/>
          <w:szCs w:val="24"/>
          <w:lang w:val="en-US" w:bidi="th-TH"/>
        </w:rPr>
        <w:t>Statistical analyses</w:t>
      </w:r>
    </w:p>
    <w:p w14:paraId="7E2607B3" w14:textId="0672762D" w:rsidR="00C737D9" w:rsidRPr="0046706F" w:rsidRDefault="00C1031C" w:rsidP="007A640B">
      <w:pPr>
        <w:spacing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Baseline characteristics w</w:t>
      </w:r>
      <w:r w:rsidR="004B2E04" w:rsidRPr="0046706F">
        <w:rPr>
          <w:rFonts w:ascii="Times New Roman" w:hAnsi="Times New Roman" w:cs="Times New Roman"/>
          <w:sz w:val="24"/>
          <w:szCs w:val="24"/>
          <w:lang w:val="en-US"/>
        </w:rPr>
        <w:t>ere</w:t>
      </w:r>
      <w:r w:rsidRPr="0046706F">
        <w:rPr>
          <w:rFonts w:ascii="Times New Roman" w:hAnsi="Times New Roman" w:cs="Times New Roman"/>
          <w:sz w:val="24"/>
          <w:szCs w:val="24"/>
          <w:lang w:val="en-US"/>
        </w:rPr>
        <w:t xml:space="preserve"> described separately for patients </w:t>
      </w:r>
      <w:r w:rsidR="00EB246B" w:rsidRPr="0046706F">
        <w:rPr>
          <w:rFonts w:ascii="Times New Roman" w:hAnsi="Times New Roman" w:cs="Times New Roman"/>
          <w:sz w:val="24"/>
          <w:szCs w:val="24"/>
          <w:lang w:val="en-US"/>
        </w:rPr>
        <w:t xml:space="preserve">in </w:t>
      </w:r>
      <w:r w:rsidR="007D2956" w:rsidRPr="0046706F">
        <w:rPr>
          <w:rFonts w:ascii="Times New Roman" w:hAnsi="Times New Roman" w:cs="Times New Roman"/>
          <w:sz w:val="24"/>
          <w:szCs w:val="24"/>
          <w:lang w:val="en-US"/>
        </w:rPr>
        <w:t>subgroups of EHRA Type 1 VHD and EHRA Type 2 VHD</w:t>
      </w:r>
      <w:r w:rsidR="00AC7D07"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using means</w:t>
      </w:r>
      <w:r w:rsidR="000F1898" w:rsidRPr="0046706F">
        <w:rPr>
          <w:rFonts w:ascii="Times New Roman" w:hAnsi="Times New Roman" w:cs="Times New Roman"/>
          <w:sz w:val="24"/>
          <w:szCs w:val="24"/>
          <w:lang w:val="en-US"/>
        </w:rPr>
        <w:t>/medians</w:t>
      </w:r>
      <w:r w:rsidRPr="0046706F">
        <w:rPr>
          <w:rFonts w:ascii="Times New Roman" w:hAnsi="Times New Roman" w:cs="Times New Roman"/>
          <w:sz w:val="24"/>
          <w:szCs w:val="24"/>
          <w:lang w:val="en-US"/>
        </w:rPr>
        <w:t xml:space="preserve"> and standard deviation</w:t>
      </w:r>
      <w:r w:rsidR="005C5BC8" w:rsidRPr="0046706F">
        <w:rPr>
          <w:rFonts w:ascii="Times New Roman" w:hAnsi="Times New Roman" w:cs="Times New Roman"/>
          <w:sz w:val="24"/>
          <w:szCs w:val="24"/>
          <w:lang w:val="en-US"/>
        </w:rPr>
        <w:t xml:space="preserve"> (SD)</w:t>
      </w:r>
      <w:r w:rsidR="00084628" w:rsidRPr="0046706F">
        <w:rPr>
          <w:rFonts w:ascii="Times New Roman" w:hAnsi="Times New Roman" w:cs="Times New Roman"/>
          <w:sz w:val="24"/>
          <w:szCs w:val="24"/>
          <w:lang w:val="en-US"/>
        </w:rPr>
        <w:t>/interquartile range</w:t>
      </w:r>
      <w:r w:rsidR="005C5BC8" w:rsidRPr="0046706F">
        <w:rPr>
          <w:rFonts w:ascii="Times New Roman" w:hAnsi="Times New Roman" w:cs="Times New Roman"/>
          <w:sz w:val="24"/>
          <w:szCs w:val="24"/>
          <w:lang w:val="en-US"/>
        </w:rPr>
        <w:t xml:space="preserve"> (IQR)</w:t>
      </w:r>
      <w:r w:rsidRPr="0046706F">
        <w:rPr>
          <w:rFonts w:ascii="Times New Roman" w:hAnsi="Times New Roman" w:cs="Times New Roman"/>
          <w:sz w:val="24"/>
          <w:szCs w:val="24"/>
          <w:lang w:val="en-US"/>
        </w:rPr>
        <w:t xml:space="preserve"> for continuous variables, and proport</w:t>
      </w:r>
      <w:r w:rsidR="00C737D9" w:rsidRPr="0046706F">
        <w:rPr>
          <w:rFonts w:ascii="Times New Roman" w:hAnsi="Times New Roman" w:cs="Times New Roman"/>
          <w:sz w:val="24"/>
          <w:szCs w:val="24"/>
          <w:lang w:val="en-US"/>
        </w:rPr>
        <w:t>ions for categorical variables.</w:t>
      </w:r>
      <w:r w:rsidR="00587591" w:rsidRPr="0046706F">
        <w:rPr>
          <w:rFonts w:ascii="Times New Roman" w:hAnsi="Times New Roman" w:cs="Times New Roman"/>
          <w:sz w:val="24"/>
          <w:szCs w:val="24"/>
          <w:lang w:val="en-US"/>
        </w:rPr>
        <w:t xml:space="preserve"> </w:t>
      </w:r>
    </w:p>
    <w:p w14:paraId="3E7F13FB" w14:textId="4784BB7A" w:rsidR="00B01962" w:rsidRPr="0046706F" w:rsidRDefault="003069A8" w:rsidP="00AB1CFF">
      <w:pPr>
        <w:pStyle w:val="NormalWeb"/>
        <w:spacing w:before="0" w:beforeAutospacing="0" w:line="480" w:lineRule="auto"/>
      </w:pPr>
      <w:r w:rsidRPr="0046706F">
        <w:rPr>
          <w:lang w:eastAsia="da-DK"/>
        </w:rPr>
        <w:t>Time-to-event analysis w</w:t>
      </w:r>
      <w:r w:rsidR="004B2E04" w:rsidRPr="0046706F">
        <w:rPr>
          <w:lang w:eastAsia="da-DK"/>
        </w:rPr>
        <w:t>as</w:t>
      </w:r>
      <w:r w:rsidRPr="0046706F">
        <w:rPr>
          <w:lang w:eastAsia="da-DK"/>
        </w:rPr>
        <w:t xml:space="preserve"> applied to describe the association between the EHRA categorization</w:t>
      </w:r>
      <w:r w:rsidR="00291546" w:rsidRPr="0046706F">
        <w:rPr>
          <w:lang w:eastAsia="da-DK"/>
        </w:rPr>
        <w:t xml:space="preserve"> or </w:t>
      </w:r>
      <w:r w:rsidR="00291546" w:rsidRPr="0046706F">
        <w:t>subgroup of EHRA Type 1 VHD and EHRA Type 2 VHD</w:t>
      </w:r>
      <w:r w:rsidRPr="0046706F">
        <w:rPr>
          <w:lang w:eastAsia="da-DK"/>
        </w:rPr>
        <w:t xml:space="preserve"> and the risk of thromboembolism and major bleeding. Time at risk w</w:t>
      </w:r>
      <w:r w:rsidR="004B2E04" w:rsidRPr="0046706F">
        <w:rPr>
          <w:lang w:eastAsia="da-DK"/>
        </w:rPr>
        <w:t>as</w:t>
      </w:r>
      <w:r w:rsidR="0022010E" w:rsidRPr="0046706F">
        <w:rPr>
          <w:lang w:eastAsia="da-DK"/>
        </w:rPr>
        <w:t xml:space="preserve"> measured from baseline date </w:t>
      </w:r>
      <w:r w:rsidRPr="0046706F">
        <w:rPr>
          <w:lang w:eastAsia="da-DK"/>
        </w:rPr>
        <w:t>and until an event of thromboembolism or major bleeding, date of death, emigration, or end of study (</w:t>
      </w:r>
      <w:r w:rsidRPr="0046706F">
        <w:t>November 30, 2018</w:t>
      </w:r>
      <w:r w:rsidR="004B2E04" w:rsidRPr="0046706F">
        <w:rPr>
          <w:lang w:eastAsia="da-DK"/>
        </w:rPr>
        <w:t>), whichever came</w:t>
      </w:r>
      <w:r w:rsidRPr="0046706F">
        <w:rPr>
          <w:lang w:eastAsia="da-DK"/>
        </w:rPr>
        <w:t xml:space="preserve"> first. </w:t>
      </w:r>
      <w:r w:rsidR="007A640B" w:rsidRPr="0046706F">
        <w:t>Time at risk was measured separately for each event</w:t>
      </w:r>
      <w:r w:rsidR="00AB1CFF" w:rsidRPr="0046706F">
        <w:t xml:space="preserve"> of interest (thromboembolism or major bleeding); </w:t>
      </w:r>
      <w:r w:rsidR="007A640B" w:rsidRPr="0046706F">
        <w:t xml:space="preserve">thus, patients were followed until the event of interest (or a censoring event, e.g. death) and </w:t>
      </w:r>
      <w:r w:rsidR="000F31F1" w:rsidRPr="0046706F">
        <w:t>were allowed to</w:t>
      </w:r>
      <w:r w:rsidR="007A640B" w:rsidRPr="0046706F">
        <w:t xml:space="preserve"> experience a thromboembolic event before the bleeding event, and </w:t>
      </w:r>
      <w:r w:rsidR="000F31F1" w:rsidRPr="0046706F">
        <w:t>vice versa</w:t>
      </w:r>
      <w:r w:rsidR="007A640B" w:rsidRPr="0046706F">
        <w:t>.</w:t>
      </w:r>
    </w:p>
    <w:p w14:paraId="30746627" w14:textId="569AD86F" w:rsidR="00BE3FB6" w:rsidRPr="0046706F" w:rsidRDefault="00E76890" w:rsidP="0030608D">
      <w:pPr>
        <w:pStyle w:val="NormalWeb"/>
        <w:spacing w:before="0" w:beforeAutospacing="0" w:after="0" w:afterAutospacing="0" w:line="480" w:lineRule="auto"/>
      </w:pPr>
      <w:r w:rsidRPr="0046706F">
        <w:t xml:space="preserve">To depict risk development over time </w:t>
      </w:r>
      <w:r w:rsidR="00286705" w:rsidRPr="0046706F">
        <w:t xml:space="preserve">according to </w:t>
      </w:r>
      <w:r w:rsidR="007D2956" w:rsidRPr="0046706F">
        <w:t>subgroups of EHRA Type 1 VHD and EHRA Type 2 VHD</w:t>
      </w:r>
      <w:r w:rsidR="00FA53D3" w:rsidRPr="0046706F">
        <w:t>, we calculated the cumulative incidence of thromboembolism and major bleeding based</w:t>
      </w:r>
      <w:r w:rsidRPr="0046706F">
        <w:t xml:space="preserve"> on the Aalen-Johansen estimator taking </w:t>
      </w:r>
      <w:r w:rsidR="00811F5B" w:rsidRPr="0046706F">
        <w:t xml:space="preserve">competing risk </w:t>
      </w:r>
      <w:r w:rsidRPr="0046706F">
        <w:t>of death into consideration</w:t>
      </w:r>
      <w:r w:rsidR="00B2113F" w:rsidRPr="0046706F">
        <w:t xml:space="preserve"> </w:t>
      </w:r>
      <w:r w:rsidR="00811F5B" w:rsidRPr="0046706F">
        <w:fldChar w:fldCharType="begin" w:fldLock="1"/>
      </w:r>
      <w:r w:rsidR="006E799B" w:rsidRPr="0046706F">
        <w:instrText>ADDIN CSL_CITATION {"citationItems":[{"id":"ITEM-1","itemData":{"author":[{"dropping-particle":"","family":"Coviello","given":"V","non-dropping-particle":"","parse-names":false,"suffix":""},{"dropping-particle":"","family":"Boggess","given":"M","non-dropping-particle":"","parse-names":false,"suffix":""}],"container-title":"The Stata Journal","id":"ITEM-1","issued":{"date-parts":[["2004"]]},"page":"103-112","title":"Cumulative incidence estimation in the presence of competing risks","type":"article-journal","volume":"4"},"uris":["http://www.mendeley.com/documents/?uuid=5e5592b2-bdee-40e3-bf0d-f38ab49b4b4c"]}],"mendeley":{"formattedCitation":"[18]","plainTextFormattedCitation":"[18]","previouslyFormattedCitation":"[18]"},"properties":{"noteIndex":0},"schema":"https://github.com/citation-style-language/schema/raw/master/csl-citation.json"}</w:instrText>
      </w:r>
      <w:r w:rsidR="00811F5B" w:rsidRPr="0046706F">
        <w:fldChar w:fldCharType="separate"/>
      </w:r>
      <w:r w:rsidR="002B2E8D" w:rsidRPr="0046706F">
        <w:rPr>
          <w:noProof/>
        </w:rPr>
        <w:t>[18]</w:t>
      </w:r>
      <w:r w:rsidR="00811F5B" w:rsidRPr="0046706F">
        <w:fldChar w:fldCharType="end"/>
      </w:r>
      <w:r w:rsidR="00811F5B" w:rsidRPr="0046706F">
        <w:t xml:space="preserve">, </w:t>
      </w:r>
      <w:r w:rsidR="000A0698" w:rsidRPr="0046706F">
        <w:rPr>
          <w:lang w:bidi="th-TH"/>
        </w:rPr>
        <w:t xml:space="preserve">since this is a </w:t>
      </w:r>
      <w:r w:rsidR="0061637C" w:rsidRPr="0046706F">
        <w:rPr>
          <w:lang w:bidi="th-TH"/>
        </w:rPr>
        <w:t xml:space="preserve">group of AF patients with considerable comorbidity and elevated mortality risk. </w:t>
      </w:r>
      <w:r w:rsidR="0005101B" w:rsidRPr="0046706F">
        <w:rPr>
          <w:lang w:bidi="th-TH"/>
        </w:rPr>
        <w:t>Additionally, cumulative incidence curves for all-cause death were constructed to show the mortality risk</w:t>
      </w:r>
      <w:r w:rsidR="00FA53D3" w:rsidRPr="0046706F">
        <w:rPr>
          <w:lang w:bidi="th-TH"/>
        </w:rPr>
        <w:t xml:space="preserve"> over time</w:t>
      </w:r>
      <w:r w:rsidR="0005101B" w:rsidRPr="0046706F">
        <w:rPr>
          <w:lang w:bidi="th-TH"/>
        </w:rPr>
        <w:t xml:space="preserve"> in each subgroup. </w:t>
      </w:r>
      <w:r w:rsidRPr="0046706F">
        <w:t>T</w:t>
      </w:r>
      <w:r w:rsidR="00286705" w:rsidRPr="0046706F">
        <w:t>he absolute risk</w:t>
      </w:r>
      <w:r w:rsidRPr="0046706F">
        <w:t>s</w:t>
      </w:r>
      <w:r w:rsidR="00286705" w:rsidRPr="0046706F">
        <w:t xml:space="preserve"> of </w:t>
      </w:r>
      <w:r w:rsidR="0005101B" w:rsidRPr="0046706F">
        <w:t>thromboembolism and major bleeding</w:t>
      </w:r>
      <w:r w:rsidR="00286705" w:rsidRPr="0046706F">
        <w:t xml:space="preserve"> at</w:t>
      </w:r>
      <w:r w:rsidRPr="0046706F">
        <w:t xml:space="preserve"> 1 year after the AF diagnosis were </w:t>
      </w:r>
      <w:r w:rsidR="00286705" w:rsidRPr="0046706F">
        <w:t xml:space="preserve">based upon </w:t>
      </w:r>
      <w:r w:rsidRPr="0046706F">
        <w:t xml:space="preserve">the </w:t>
      </w:r>
      <w:r w:rsidR="00286705" w:rsidRPr="0046706F">
        <w:t xml:space="preserve">Aalen-Johansen cumulative incidence estimates. </w:t>
      </w:r>
      <w:r w:rsidR="00D27458" w:rsidRPr="0046706F">
        <w:t>T</w:t>
      </w:r>
      <w:r w:rsidR="00991728" w:rsidRPr="0046706F">
        <w:rPr>
          <w:lang w:bidi="th-TH"/>
        </w:rPr>
        <w:t>he absolute risk</w:t>
      </w:r>
      <w:r w:rsidR="00286705" w:rsidRPr="0046706F">
        <w:rPr>
          <w:lang w:bidi="th-TH"/>
        </w:rPr>
        <w:t>s</w:t>
      </w:r>
      <w:r w:rsidR="00991728" w:rsidRPr="0046706F">
        <w:rPr>
          <w:lang w:bidi="th-TH"/>
        </w:rPr>
        <w:t xml:space="preserve"> w</w:t>
      </w:r>
      <w:r w:rsidR="00286705" w:rsidRPr="0046706F">
        <w:rPr>
          <w:lang w:bidi="th-TH"/>
        </w:rPr>
        <w:t>ere</w:t>
      </w:r>
      <w:r w:rsidR="00991728" w:rsidRPr="0046706F">
        <w:rPr>
          <w:lang w:bidi="th-TH"/>
        </w:rPr>
        <w:t xml:space="preserve"> estimated in each group according to the baseline status of </w:t>
      </w:r>
      <w:r w:rsidR="00096705" w:rsidRPr="0046706F">
        <w:rPr>
          <w:lang w:bidi="th-TH"/>
        </w:rPr>
        <w:t xml:space="preserve">oral </w:t>
      </w:r>
      <w:r w:rsidR="00991728" w:rsidRPr="0046706F">
        <w:rPr>
          <w:lang w:bidi="th-TH"/>
        </w:rPr>
        <w:t>anticoagulant therapy.</w:t>
      </w:r>
      <w:r w:rsidR="00096705" w:rsidRPr="0046706F">
        <w:rPr>
          <w:lang w:bidi="th-TH"/>
        </w:rPr>
        <w:t xml:space="preserve"> For the non-anticoagulated </w:t>
      </w:r>
      <w:r w:rsidR="002801BF" w:rsidRPr="0046706F">
        <w:rPr>
          <w:lang w:bidi="th-TH"/>
        </w:rPr>
        <w:t>group</w:t>
      </w:r>
      <w:r w:rsidR="00096705" w:rsidRPr="0046706F">
        <w:rPr>
          <w:lang w:bidi="th-TH"/>
        </w:rPr>
        <w:t xml:space="preserve">, </w:t>
      </w:r>
      <w:r w:rsidR="002801BF" w:rsidRPr="0046706F">
        <w:rPr>
          <w:lang w:bidi="th-TH"/>
        </w:rPr>
        <w:t xml:space="preserve">patients were censored if they </w:t>
      </w:r>
      <w:r w:rsidR="00096705" w:rsidRPr="0046706F">
        <w:rPr>
          <w:lang w:bidi="th-TH"/>
        </w:rPr>
        <w:t>initiated oral anticoagulant therapy</w:t>
      </w:r>
      <w:r w:rsidR="00C253BC" w:rsidRPr="0046706F">
        <w:rPr>
          <w:lang w:bidi="th-TH"/>
        </w:rPr>
        <w:t xml:space="preserve"> during follow-up</w:t>
      </w:r>
      <w:r w:rsidR="00096705" w:rsidRPr="0046706F">
        <w:rPr>
          <w:lang w:bidi="th-TH"/>
        </w:rPr>
        <w:t>.</w:t>
      </w:r>
      <w:r w:rsidR="00E63675" w:rsidRPr="0046706F">
        <w:rPr>
          <w:lang w:bidi="th-TH"/>
        </w:rPr>
        <w:t xml:space="preserve"> </w:t>
      </w:r>
      <w:r w:rsidR="00E35621" w:rsidRPr="0046706F">
        <w:rPr>
          <w:lang w:bidi="th-TH"/>
        </w:rPr>
        <w:t xml:space="preserve">Due to the low number of patients in the non-anticoagulated subgroup with a bioprosthetic </w:t>
      </w:r>
      <w:r w:rsidR="004D3D98" w:rsidRPr="0046706F">
        <w:rPr>
          <w:lang w:bidi="th-TH"/>
        </w:rPr>
        <w:t>mitral valve replacements</w:t>
      </w:r>
      <w:r w:rsidR="00E35621" w:rsidRPr="0046706F">
        <w:rPr>
          <w:lang w:bidi="th-TH"/>
        </w:rPr>
        <w:t>,</w:t>
      </w:r>
      <w:r w:rsidR="009B6549" w:rsidRPr="0046706F">
        <w:rPr>
          <w:lang w:bidi="th-TH"/>
        </w:rPr>
        <w:t xml:space="preserve"> a reliable risk estimate will not be obtainable and, therefore, </w:t>
      </w:r>
      <w:r w:rsidR="00E35621" w:rsidRPr="0046706F">
        <w:rPr>
          <w:lang w:bidi="th-TH"/>
        </w:rPr>
        <w:t>the absolute risk</w:t>
      </w:r>
      <w:r w:rsidR="009B6549" w:rsidRPr="0046706F">
        <w:rPr>
          <w:lang w:bidi="th-TH"/>
        </w:rPr>
        <w:t>s</w:t>
      </w:r>
      <w:r w:rsidR="00E35621" w:rsidRPr="0046706F">
        <w:rPr>
          <w:lang w:bidi="th-TH"/>
        </w:rPr>
        <w:t xml:space="preserve"> of events were not calculated in this subgroup. </w:t>
      </w:r>
      <w:r w:rsidR="002D4AE0" w:rsidRPr="00857354">
        <w:rPr>
          <w:color w:val="FFC000"/>
          <w:lang w:bidi="th-TH"/>
        </w:rPr>
        <w:t xml:space="preserve">Since </w:t>
      </w:r>
      <w:r w:rsidR="002D4AE0" w:rsidRPr="00857354">
        <w:rPr>
          <w:color w:val="FFC000"/>
        </w:rPr>
        <w:t xml:space="preserve">patients with mitral regurgitation that is related </w:t>
      </w:r>
      <w:r w:rsidR="00857354" w:rsidRPr="00857354">
        <w:rPr>
          <w:color w:val="FFC000"/>
        </w:rPr>
        <w:t>to</w:t>
      </w:r>
      <w:r w:rsidR="002D4AE0" w:rsidRPr="00857354">
        <w:rPr>
          <w:color w:val="FFC000"/>
        </w:rPr>
        <w:t xml:space="preserve"> </w:t>
      </w:r>
      <w:r w:rsidR="002D4AE0" w:rsidRPr="00857354">
        <w:rPr>
          <w:color w:val="FFC000"/>
        </w:rPr>
        <w:lastRenderedPageBreak/>
        <w:t>ischemic heart disease have functional different characteristics</w:t>
      </w:r>
      <w:r w:rsidR="00857354" w:rsidRPr="00857354">
        <w:rPr>
          <w:color w:val="FFC000"/>
        </w:rPr>
        <w:t xml:space="preserve"> compared to those without ischemic heart disease, we performed a subanalysis estimating the risk of events separately for patients with mitral regurgitation with</w:t>
      </w:r>
      <w:r w:rsidR="00857354">
        <w:rPr>
          <w:color w:val="FFC000"/>
        </w:rPr>
        <w:t xml:space="preserve"> and </w:t>
      </w:r>
      <w:r w:rsidR="00857354" w:rsidRPr="00857354">
        <w:rPr>
          <w:color w:val="FFC000"/>
        </w:rPr>
        <w:t>without coexisting ischemic heart disease</w:t>
      </w:r>
      <w:r w:rsidR="00EE67A0">
        <w:rPr>
          <w:color w:val="FFC000"/>
        </w:rPr>
        <w:t xml:space="preserve"> (defined as </w:t>
      </w:r>
      <w:r w:rsidR="00EE67A0" w:rsidRPr="00EE67A0">
        <w:rPr>
          <w:color w:val="FFC000"/>
        </w:rPr>
        <w:t>the presence of a previous myocardial infarction, percutaneous coronary intervention, or coronary artery bypass grafting</w:t>
      </w:r>
      <w:r w:rsidR="00EE67A0">
        <w:rPr>
          <w:color w:val="FFC000"/>
        </w:rPr>
        <w:t>)</w:t>
      </w:r>
      <w:r w:rsidR="002D4AE0" w:rsidRPr="00857354">
        <w:rPr>
          <w:color w:val="FFC000"/>
        </w:rPr>
        <w:t>.</w:t>
      </w:r>
      <w:r w:rsidR="00857354" w:rsidRPr="00857354">
        <w:rPr>
          <w:color w:val="FFC000"/>
        </w:rPr>
        <w:t xml:space="preserve"> Additionally, we described the baseline characteristics of the two subgroups with mitral regurgitation in a supplemental table.</w:t>
      </w:r>
      <w:r w:rsidR="00857354">
        <w:rPr>
          <w:color w:val="FFC000"/>
        </w:rPr>
        <w:t xml:space="preserve"> </w:t>
      </w:r>
      <w:r w:rsidR="003F35EF">
        <w:rPr>
          <w:color w:val="FFC000"/>
        </w:rPr>
        <w:t>Furthermore, as the study period extended over a long time period (2000-2018),</w:t>
      </w:r>
      <w:r w:rsidR="003F35EF" w:rsidRPr="003F35EF">
        <w:t xml:space="preserve"> </w:t>
      </w:r>
      <w:r w:rsidR="003F35EF" w:rsidRPr="00C84C33">
        <w:rPr>
          <w:color w:val="FFC000"/>
        </w:rPr>
        <w:t xml:space="preserve">we performed a subanalysis </w:t>
      </w:r>
      <w:r w:rsidR="003F35EF">
        <w:rPr>
          <w:color w:val="FFC000"/>
        </w:rPr>
        <w:t xml:space="preserve">where </w:t>
      </w:r>
      <w:r w:rsidR="003F35EF" w:rsidRPr="003F35EF">
        <w:rPr>
          <w:color w:val="FFC000"/>
        </w:rPr>
        <w:t xml:space="preserve">we split the study period into two </w:t>
      </w:r>
      <w:r w:rsidR="003F35EF">
        <w:rPr>
          <w:color w:val="FFC000"/>
        </w:rPr>
        <w:t xml:space="preserve">time </w:t>
      </w:r>
      <w:r w:rsidR="00591E16">
        <w:rPr>
          <w:color w:val="FFC000"/>
        </w:rPr>
        <w:t>spans</w:t>
      </w:r>
      <w:r w:rsidR="003F35EF" w:rsidRPr="003F35EF">
        <w:rPr>
          <w:color w:val="FFC000"/>
        </w:rPr>
        <w:t xml:space="preserve">, 2000-2009 and 2010-2018, and described the risk of events </w:t>
      </w:r>
      <w:r w:rsidR="00826407">
        <w:rPr>
          <w:color w:val="FFC000"/>
        </w:rPr>
        <w:t xml:space="preserve">in EHRA Type 1 VHD and EHRA Type 2 VHD </w:t>
      </w:r>
      <w:r w:rsidR="003F35EF" w:rsidRPr="003F35EF">
        <w:rPr>
          <w:color w:val="FFC000"/>
        </w:rPr>
        <w:t xml:space="preserve">in the two </w:t>
      </w:r>
      <w:r w:rsidR="00591E16">
        <w:rPr>
          <w:color w:val="FFC000"/>
        </w:rPr>
        <w:t>periods</w:t>
      </w:r>
      <w:r w:rsidR="0024057B">
        <w:rPr>
          <w:color w:val="FFC000"/>
        </w:rPr>
        <w:t xml:space="preserve">. </w:t>
      </w:r>
      <w:r w:rsidR="00A35EC4" w:rsidRPr="0046706F">
        <w:t>Statistical analyses we</w:t>
      </w:r>
      <w:r w:rsidR="00BE3FB6" w:rsidRPr="0046706F">
        <w:t>re performed</w:t>
      </w:r>
      <w:r w:rsidR="00991728" w:rsidRPr="0046706F">
        <w:t xml:space="preserve"> using SAS 9.3 (SAS Institute) </w:t>
      </w:r>
      <w:r w:rsidR="00BE3FB6" w:rsidRPr="0046706F">
        <w:t>and Stata version 15 (</w:t>
      </w:r>
      <w:proofErr w:type="spellStart"/>
      <w:r w:rsidR="00BE3FB6" w:rsidRPr="0046706F">
        <w:t>StataCorp</w:t>
      </w:r>
      <w:proofErr w:type="spellEnd"/>
      <w:r w:rsidR="00BE3FB6" w:rsidRPr="0046706F">
        <w:t xml:space="preserve"> LP).</w:t>
      </w:r>
    </w:p>
    <w:p w14:paraId="21B77322" w14:textId="77777777" w:rsidR="00DD2299" w:rsidRPr="0046706F" w:rsidRDefault="00DD2299" w:rsidP="0030608D">
      <w:pPr>
        <w:pStyle w:val="NormalWeb"/>
        <w:spacing w:before="0" w:beforeAutospacing="0" w:after="0" w:afterAutospacing="0" w:line="480" w:lineRule="auto"/>
      </w:pPr>
    </w:p>
    <w:p w14:paraId="4DF17B71" w14:textId="77777777" w:rsidR="00DD2299" w:rsidRPr="0046706F" w:rsidRDefault="00DD2299" w:rsidP="00DD2299">
      <w:pPr>
        <w:spacing w:after="0" w:line="480" w:lineRule="auto"/>
        <w:rPr>
          <w:rFonts w:ascii="Times New Roman" w:eastAsiaTheme="majorEastAsia" w:hAnsi="Times New Roman" w:cs="Times New Roman"/>
          <w:bCs/>
          <w:i/>
          <w:sz w:val="24"/>
          <w:szCs w:val="24"/>
          <w:lang w:val="en-US"/>
        </w:rPr>
      </w:pPr>
      <w:r w:rsidRPr="0046706F">
        <w:rPr>
          <w:rFonts w:ascii="Times New Roman" w:eastAsiaTheme="majorEastAsia" w:hAnsi="Times New Roman" w:cs="Times New Roman"/>
          <w:bCs/>
          <w:i/>
          <w:sz w:val="24"/>
          <w:szCs w:val="24"/>
          <w:lang w:val="en-US"/>
        </w:rPr>
        <w:t>Ethical considerations</w:t>
      </w:r>
    </w:p>
    <w:p w14:paraId="441979D7" w14:textId="77777777" w:rsidR="00DD2299" w:rsidRPr="0046706F" w:rsidRDefault="00DD2299" w:rsidP="00DD2299">
      <w:pPr>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This is an observational study. The study was in compliance with the General Data Protection Regulation and, therefore, a part of North Denmark Region’s record of processing activities (project no. 2017-40). No ethical approval is required for studies based on data from administrative Danish registries according to Danish laws.</w:t>
      </w:r>
    </w:p>
    <w:p w14:paraId="2063F424" w14:textId="77777777" w:rsidR="00DD2299" w:rsidRPr="0046706F" w:rsidRDefault="00DD2299" w:rsidP="00DD2299">
      <w:pPr>
        <w:spacing w:after="0" w:line="480" w:lineRule="auto"/>
        <w:rPr>
          <w:rFonts w:ascii="Times New Roman" w:hAnsi="Times New Roman" w:cs="Times New Roman"/>
          <w:sz w:val="24"/>
          <w:szCs w:val="24"/>
          <w:lang w:val="en-US"/>
        </w:rPr>
      </w:pPr>
    </w:p>
    <w:p w14:paraId="7D488186" w14:textId="0B573FAE" w:rsidR="00DD2299" w:rsidRPr="0046706F" w:rsidRDefault="00AA3A8D" w:rsidP="00DD2299">
      <w:pPr>
        <w:spacing w:after="0" w:line="480" w:lineRule="auto"/>
        <w:jc w:val="left"/>
        <w:rPr>
          <w:rFonts w:ascii="Times New Roman" w:eastAsia="Times New Roman" w:hAnsi="Times New Roman" w:cs="Times New Roman"/>
          <w:sz w:val="24"/>
          <w:szCs w:val="24"/>
          <w:lang w:val="en-US" w:eastAsia="da-DK"/>
        </w:rPr>
      </w:pPr>
      <w:r w:rsidRPr="0046706F">
        <w:rPr>
          <w:rFonts w:ascii="Times New Roman" w:eastAsia="Times New Roman" w:hAnsi="Times New Roman" w:cs="Times New Roman"/>
          <w:bCs/>
          <w:i/>
          <w:sz w:val="24"/>
          <w:szCs w:val="24"/>
          <w:lang w:val="en-US" w:eastAsia="da-DK"/>
        </w:rPr>
        <w:t>Data accessibility</w:t>
      </w:r>
    </w:p>
    <w:p w14:paraId="619DEF1C" w14:textId="77777777" w:rsidR="00DD2299" w:rsidRPr="0046706F" w:rsidRDefault="00DD2299" w:rsidP="00DD2299">
      <w:pPr>
        <w:autoSpaceDE w:val="0"/>
        <w:autoSpaceDN w:val="0"/>
        <w:adjustRightInd w:val="0"/>
        <w:spacing w:after="0" w:line="480" w:lineRule="auto"/>
        <w:jc w:val="left"/>
        <w:rPr>
          <w:rFonts w:ascii="Times New Roman" w:hAnsi="Times New Roman" w:cs="Times New Roman"/>
          <w:sz w:val="24"/>
          <w:szCs w:val="24"/>
          <w:lang w:val="en-US"/>
        </w:rPr>
      </w:pPr>
      <w:r w:rsidRPr="0046706F">
        <w:rPr>
          <w:rFonts w:ascii="Times New Roman" w:hAnsi="Times New Roman" w:cs="Times New Roman"/>
          <w:sz w:val="24"/>
          <w:szCs w:val="24"/>
          <w:lang w:val="en-US"/>
        </w:rPr>
        <w:t>Data for this study, obtained from Danish Health Data Agency, comprise sensitive personal information and due to data protection regulation, data cannot be made available to the public.</w:t>
      </w:r>
    </w:p>
    <w:p w14:paraId="15C8A869" w14:textId="77777777" w:rsidR="00DD2299" w:rsidRPr="0046706F" w:rsidRDefault="00DD2299" w:rsidP="0030608D">
      <w:pPr>
        <w:pStyle w:val="NormalWeb"/>
        <w:spacing w:before="0" w:beforeAutospacing="0" w:after="0" w:afterAutospacing="0" w:line="480" w:lineRule="auto"/>
      </w:pPr>
    </w:p>
    <w:p w14:paraId="1943EDD2" w14:textId="77777777" w:rsidR="004A7E34" w:rsidRPr="0046706F" w:rsidRDefault="004A7E34">
      <w:pPr>
        <w:jc w:val="left"/>
        <w:rPr>
          <w:rFonts w:ascii="Times New Roman" w:hAnsi="Times New Roman" w:cs="Times New Roman"/>
          <w:b/>
          <w:sz w:val="24"/>
          <w:szCs w:val="24"/>
          <w:lang w:val="en-US"/>
        </w:rPr>
      </w:pPr>
      <w:r w:rsidRPr="0046706F">
        <w:rPr>
          <w:rFonts w:ascii="Times New Roman" w:hAnsi="Times New Roman" w:cs="Times New Roman"/>
          <w:b/>
          <w:sz w:val="24"/>
          <w:szCs w:val="24"/>
          <w:lang w:val="en-US"/>
        </w:rPr>
        <w:br w:type="page"/>
      </w:r>
    </w:p>
    <w:p w14:paraId="700B65FE" w14:textId="5F9CB11F" w:rsidR="00EE2E4E" w:rsidRPr="0046706F" w:rsidRDefault="00EE2E4E" w:rsidP="0030608D">
      <w:pPr>
        <w:spacing w:after="0" w:line="480" w:lineRule="auto"/>
        <w:jc w:val="left"/>
        <w:rPr>
          <w:rFonts w:ascii="Times New Roman" w:hAnsi="Times New Roman" w:cs="Times New Roman"/>
          <w:sz w:val="24"/>
          <w:szCs w:val="24"/>
          <w:lang w:val="en-US"/>
        </w:rPr>
      </w:pPr>
      <w:r w:rsidRPr="0046706F">
        <w:rPr>
          <w:rFonts w:ascii="Times New Roman" w:hAnsi="Times New Roman" w:cs="Times New Roman"/>
          <w:b/>
          <w:sz w:val="24"/>
          <w:szCs w:val="24"/>
          <w:lang w:val="en-US"/>
        </w:rPr>
        <w:lastRenderedPageBreak/>
        <w:t>Results</w:t>
      </w:r>
    </w:p>
    <w:p w14:paraId="4506B154" w14:textId="3B12AA6B" w:rsidR="005C5BC8" w:rsidRPr="0046706F" w:rsidRDefault="00AC3B64" w:rsidP="00AC3B64">
      <w:pPr>
        <w:autoSpaceDE w:val="0"/>
        <w:autoSpaceDN w:val="0"/>
        <w:adjustRightInd w:val="0"/>
        <w:spacing w:after="0" w:line="480" w:lineRule="auto"/>
        <w:rPr>
          <w:rFonts w:ascii="Times New Roman" w:eastAsia="AdvTimes" w:hAnsi="Times New Roman" w:cs="Times New Roman"/>
          <w:sz w:val="24"/>
          <w:szCs w:val="24"/>
          <w:lang w:val="en-US"/>
        </w:rPr>
      </w:pPr>
      <w:r w:rsidRPr="0046706F">
        <w:rPr>
          <w:rFonts w:ascii="Times New Roman" w:eastAsia="AdvTimes" w:hAnsi="Times New Roman" w:cs="Times New Roman"/>
          <w:sz w:val="24"/>
          <w:szCs w:val="24"/>
          <w:lang w:val="en-US"/>
        </w:rPr>
        <w:t xml:space="preserve">We identified </w:t>
      </w:r>
      <w:r w:rsidR="009854B7">
        <w:rPr>
          <w:rFonts w:ascii="Times New Roman" w:hAnsi="Times New Roman" w:cs="Times New Roman"/>
          <w:color w:val="FFC000"/>
          <w:sz w:val="24"/>
          <w:szCs w:val="24"/>
          <w:lang w:val="en-US"/>
        </w:rPr>
        <w:t>28,770</w:t>
      </w:r>
      <w:r w:rsidRPr="005034F0">
        <w:rPr>
          <w:rFonts w:ascii="Times New Roman" w:hAnsi="Times New Roman" w:cs="Times New Roman"/>
          <w:color w:val="FFC000"/>
          <w:sz w:val="24"/>
          <w:szCs w:val="24"/>
          <w:lang w:val="en-US"/>
        </w:rPr>
        <w:t xml:space="preserve"> </w:t>
      </w:r>
      <w:r w:rsidRPr="0046706F">
        <w:rPr>
          <w:rFonts w:ascii="Times New Roman" w:hAnsi="Times New Roman" w:cs="Times New Roman"/>
          <w:sz w:val="24"/>
          <w:szCs w:val="24"/>
          <w:lang w:val="en-US"/>
        </w:rPr>
        <w:t>incident</w:t>
      </w:r>
      <w:r w:rsidRPr="0046706F">
        <w:rPr>
          <w:rFonts w:ascii="Times New Roman" w:hAnsi="Times New Roman" w:cs="Times New Roman"/>
          <w:b/>
          <w:sz w:val="24"/>
          <w:szCs w:val="24"/>
          <w:lang w:val="en-US"/>
        </w:rPr>
        <w:t xml:space="preserve"> </w:t>
      </w:r>
      <w:r w:rsidRPr="0046706F">
        <w:rPr>
          <w:rFonts w:ascii="Times New Roman" w:eastAsia="AdvTimes" w:hAnsi="Times New Roman" w:cs="Times New Roman"/>
          <w:sz w:val="24"/>
          <w:szCs w:val="24"/>
          <w:lang w:val="en-US"/>
        </w:rPr>
        <w:t>AF patients with VHD,</w:t>
      </w:r>
      <w:r w:rsidRPr="0046706F">
        <w:rPr>
          <w:rFonts w:ascii="Times New Roman" w:hAnsi="Times New Roman" w:cs="Times New Roman"/>
          <w:sz w:val="24"/>
          <w:szCs w:val="24"/>
          <w:lang w:val="en-US"/>
        </w:rPr>
        <w:t xml:space="preserve"> of which </w:t>
      </w:r>
      <w:r w:rsidR="009854B7">
        <w:rPr>
          <w:rFonts w:ascii="Times New Roman" w:hAnsi="Times New Roman" w:cs="Times New Roman"/>
          <w:color w:val="FFC000"/>
          <w:sz w:val="24"/>
          <w:szCs w:val="24"/>
          <w:lang w:val="en-US"/>
        </w:rPr>
        <w:t>2,701</w:t>
      </w:r>
      <w:r w:rsidR="001E2413" w:rsidRPr="005034F0">
        <w:rPr>
          <w:rFonts w:ascii="Times New Roman" w:hAnsi="Times New Roman" w:cs="Times New Roman"/>
          <w:color w:val="FFC000"/>
          <w:sz w:val="24"/>
          <w:szCs w:val="24"/>
          <w:lang w:val="en-US"/>
        </w:rPr>
        <w:t xml:space="preserve"> </w:t>
      </w:r>
      <w:r w:rsidRPr="0046706F">
        <w:rPr>
          <w:rFonts w:ascii="Times New Roman" w:hAnsi="Times New Roman" w:cs="Times New Roman"/>
          <w:sz w:val="24"/>
          <w:szCs w:val="24"/>
          <w:lang w:val="en-US"/>
        </w:rPr>
        <w:t>patients were categoriz</w:t>
      </w:r>
      <w:r w:rsidR="00FF0DC9" w:rsidRPr="0046706F">
        <w:rPr>
          <w:rFonts w:ascii="Times New Roman" w:hAnsi="Times New Roman" w:cs="Times New Roman"/>
          <w:sz w:val="24"/>
          <w:szCs w:val="24"/>
          <w:lang w:val="en-US"/>
        </w:rPr>
        <w:t xml:space="preserve">ed as EHRA Type 1 VHD and </w:t>
      </w:r>
      <w:r w:rsidR="009854B7">
        <w:rPr>
          <w:rFonts w:ascii="Times New Roman" w:hAnsi="Times New Roman" w:cs="Times New Roman"/>
          <w:sz w:val="24"/>
          <w:szCs w:val="24"/>
          <w:lang w:val="en-US"/>
        </w:rPr>
        <w:t>26,069</w:t>
      </w:r>
      <w:r w:rsidR="003B2EC6"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patients were categorized as EHRA Type 2 VHD</w:t>
      </w:r>
      <w:r w:rsidRPr="0046706F">
        <w:rPr>
          <w:rFonts w:ascii="Times New Roman" w:eastAsia="AdvTimes" w:hAnsi="Times New Roman" w:cs="Times New Roman"/>
          <w:sz w:val="24"/>
          <w:szCs w:val="24"/>
          <w:lang w:val="en-US"/>
        </w:rPr>
        <w:t xml:space="preserve"> [</w:t>
      </w:r>
      <w:r w:rsidRPr="0046706F">
        <w:rPr>
          <w:rFonts w:ascii="Times New Roman" w:eastAsia="AdvTimes" w:hAnsi="Times New Roman" w:cs="Times New Roman"/>
          <w:b/>
          <w:sz w:val="24"/>
          <w:szCs w:val="24"/>
          <w:lang w:val="en-US"/>
        </w:rPr>
        <w:t>Fig</w:t>
      </w:r>
      <w:r w:rsidR="003A37FC" w:rsidRPr="0046706F">
        <w:rPr>
          <w:rFonts w:ascii="Times New Roman" w:eastAsia="AdvTimes" w:hAnsi="Times New Roman" w:cs="Times New Roman"/>
          <w:b/>
          <w:sz w:val="24"/>
          <w:szCs w:val="24"/>
          <w:lang w:val="en-US"/>
        </w:rPr>
        <w:t>.</w:t>
      </w:r>
      <w:r w:rsidRPr="0046706F">
        <w:rPr>
          <w:rFonts w:ascii="Times New Roman" w:eastAsia="AdvTimes" w:hAnsi="Times New Roman" w:cs="Times New Roman"/>
          <w:b/>
          <w:sz w:val="24"/>
          <w:szCs w:val="24"/>
          <w:lang w:val="en-US"/>
        </w:rPr>
        <w:t xml:space="preserve"> 1</w:t>
      </w:r>
      <w:r w:rsidR="00622DA3" w:rsidRPr="0046706F">
        <w:rPr>
          <w:rFonts w:ascii="Times New Roman" w:eastAsia="AdvTimes" w:hAnsi="Times New Roman" w:cs="Times New Roman"/>
          <w:b/>
          <w:sz w:val="24"/>
          <w:szCs w:val="24"/>
          <w:lang w:val="en-US"/>
        </w:rPr>
        <w:t xml:space="preserve"> </w:t>
      </w:r>
      <w:r w:rsidR="00263E14" w:rsidRPr="0046706F">
        <w:rPr>
          <w:rFonts w:ascii="Times New Roman" w:hAnsi="Times New Roman" w:cs="Times New Roman"/>
          <w:bCs/>
          <w:sz w:val="24"/>
          <w:szCs w:val="24"/>
          <w:lang w:val="en-US" w:bidi="th-TH"/>
        </w:rPr>
        <w:t>in the Online Resources</w:t>
      </w:r>
      <w:r w:rsidR="004251CF" w:rsidRPr="0046706F">
        <w:rPr>
          <w:rFonts w:ascii="Times New Roman" w:eastAsia="AdvTimes" w:hAnsi="Times New Roman" w:cs="Times New Roman"/>
          <w:sz w:val="24"/>
          <w:szCs w:val="24"/>
          <w:lang w:val="en-US"/>
        </w:rPr>
        <w:t>].</w:t>
      </w:r>
    </w:p>
    <w:p w14:paraId="7ED25A45" w14:textId="77777777" w:rsidR="003B2EC6" w:rsidRPr="0046706F" w:rsidRDefault="003B2EC6" w:rsidP="00AC3B64">
      <w:pPr>
        <w:autoSpaceDE w:val="0"/>
        <w:autoSpaceDN w:val="0"/>
        <w:adjustRightInd w:val="0"/>
        <w:spacing w:after="0" w:line="480" w:lineRule="auto"/>
        <w:rPr>
          <w:rFonts w:ascii="Times New Roman" w:hAnsi="Times New Roman" w:cs="Times New Roman"/>
          <w:sz w:val="24"/>
          <w:szCs w:val="24"/>
          <w:lang w:val="en-US"/>
        </w:rPr>
      </w:pPr>
    </w:p>
    <w:p w14:paraId="1E994928" w14:textId="18D78816" w:rsidR="00D9528C" w:rsidRPr="0046706F" w:rsidRDefault="00104D51" w:rsidP="00AC3B64">
      <w:pPr>
        <w:autoSpaceDE w:val="0"/>
        <w:autoSpaceDN w:val="0"/>
        <w:adjustRightInd w:val="0"/>
        <w:spacing w:after="0" w:line="480" w:lineRule="auto"/>
        <w:rPr>
          <w:rFonts w:ascii="Times New Roman" w:eastAsia="AdvTimes" w:hAnsi="Times New Roman" w:cs="Times New Roman"/>
          <w:i/>
          <w:sz w:val="24"/>
          <w:szCs w:val="24"/>
          <w:lang w:val="en-US"/>
        </w:rPr>
      </w:pPr>
      <w:r w:rsidRPr="00E11201">
        <w:rPr>
          <w:rFonts w:ascii="Times New Roman" w:eastAsia="AdvTimes" w:hAnsi="Times New Roman" w:cs="Times New Roman"/>
          <w:i/>
          <w:sz w:val="24"/>
          <w:szCs w:val="24"/>
          <w:lang w:val="en-US"/>
        </w:rPr>
        <w:t>Baseline patient</w:t>
      </w:r>
      <w:r w:rsidR="00D9528C" w:rsidRPr="00E11201">
        <w:rPr>
          <w:rFonts w:ascii="Times New Roman" w:eastAsia="AdvTimes" w:hAnsi="Times New Roman" w:cs="Times New Roman"/>
          <w:i/>
          <w:sz w:val="24"/>
          <w:szCs w:val="24"/>
          <w:lang w:val="en-US"/>
        </w:rPr>
        <w:t xml:space="preserve"> characteristics</w:t>
      </w:r>
    </w:p>
    <w:p w14:paraId="1ABC1EA0" w14:textId="0E55C7A4" w:rsidR="00AC3202" w:rsidRPr="0046706F" w:rsidRDefault="00AC3B64" w:rsidP="00AC3B64">
      <w:pPr>
        <w:autoSpaceDE w:val="0"/>
        <w:autoSpaceDN w:val="0"/>
        <w:adjustRightInd w:val="0"/>
        <w:spacing w:after="0" w:line="480" w:lineRule="auto"/>
        <w:rPr>
          <w:rFonts w:ascii="Times New Roman" w:eastAsia="AdvTimes" w:hAnsi="Times New Roman" w:cs="Times New Roman"/>
          <w:sz w:val="24"/>
          <w:szCs w:val="24"/>
          <w:lang w:val="en-US"/>
        </w:rPr>
      </w:pPr>
      <w:r w:rsidRPr="0046706F">
        <w:rPr>
          <w:rFonts w:ascii="Times New Roman" w:eastAsia="AdvTimes" w:hAnsi="Times New Roman" w:cs="Times New Roman"/>
          <w:sz w:val="24"/>
          <w:szCs w:val="24"/>
          <w:lang w:val="en-US"/>
        </w:rPr>
        <w:t xml:space="preserve">Baseline patient characteristics </w:t>
      </w:r>
      <w:r w:rsidR="009C2049" w:rsidRPr="0046706F">
        <w:rPr>
          <w:rFonts w:ascii="Times New Roman" w:eastAsia="AdvTimes" w:hAnsi="Times New Roman" w:cs="Times New Roman"/>
          <w:sz w:val="24"/>
          <w:szCs w:val="24"/>
          <w:lang w:val="en-US"/>
        </w:rPr>
        <w:t xml:space="preserve">according to </w:t>
      </w:r>
      <w:r w:rsidR="00584AB7" w:rsidRPr="0046706F">
        <w:rPr>
          <w:rFonts w:ascii="Times New Roman" w:hAnsi="Times New Roman" w:cs="Times New Roman"/>
          <w:sz w:val="24"/>
          <w:szCs w:val="24"/>
          <w:lang w:val="en-US"/>
        </w:rPr>
        <w:t>subgroup</w:t>
      </w:r>
      <w:r w:rsidR="007A6248" w:rsidRPr="0046706F">
        <w:rPr>
          <w:rFonts w:ascii="Times New Roman" w:hAnsi="Times New Roman" w:cs="Times New Roman"/>
          <w:sz w:val="24"/>
          <w:szCs w:val="24"/>
          <w:lang w:val="en-US"/>
        </w:rPr>
        <w:t>s</w:t>
      </w:r>
      <w:r w:rsidR="007D2956" w:rsidRPr="0046706F">
        <w:rPr>
          <w:rFonts w:ascii="Times New Roman" w:hAnsi="Times New Roman" w:cs="Times New Roman"/>
          <w:sz w:val="24"/>
          <w:szCs w:val="24"/>
          <w:lang w:val="en-US"/>
        </w:rPr>
        <w:t xml:space="preserve"> of EHRA Type 1 VHD and EHRA Type 2 VHD</w:t>
      </w:r>
      <w:r w:rsidR="007D2956" w:rsidRPr="0046706F">
        <w:rPr>
          <w:rFonts w:ascii="Times New Roman" w:eastAsia="AdvTimes" w:hAnsi="Times New Roman" w:cs="Times New Roman"/>
          <w:sz w:val="24"/>
          <w:szCs w:val="24"/>
          <w:lang w:val="en-US"/>
        </w:rPr>
        <w:t xml:space="preserve"> </w:t>
      </w:r>
      <w:r w:rsidRPr="0046706F">
        <w:rPr>
          <w:rFonts w:ascii="Times New Roman" w:eastAsia="AdvTimes" w:hAnsi="Times New Roman" w:cs="Times New Roman"/>
          <w:sz w:val="24"/>
          <w:szCs w:val="24"/>
          <w:lang w:val="en-US"/>
        </w:rPr>
        <w:t xml:space="preserve">are summarized in </w:t>
      </w:r>
      <w:r w:rsidR="00631263" w:rsidRPr="0046706F">
        <w:rPr>
          <w:rFonts w:ascii="Times New Roman" w:eastAsia="AdvTimes" w:hAnsi="Times New Roman" w:cs="Times New Roman"/>
          <w:b/>
          <w:sz w:val="24"/>
          <w:szCs w:val="24"/>
          <w:lang w:val="en-US"/>
        </w:rPr>
        <w:t>Table 1</w:t>
      </w:r>
      <w:r w:rsidR="00631263" w:rsidRPr="0046706F">
        <w:rPr>
          <w:rFonts w:ascii="Times New Roman" w:eastAsia="AdvTimes" w:hAnsi="Times New Roman" w:cs="Times New Roman"/>
          <w:sz w:val="24"/>
          <w:szCs w:val="24"/>
          <w:lang w:val="en-US"/>
        </w:rPr>
        <w:t>.</w:t>
      </w:r>
      <w:r w:rsidR="00631263" w:rsidRPr="0046706F">
        <w:rPr>
          <w:rFonts w:ascii="Times New Roman" w:eastAsia="AdvTimes" w:hAnsi="Times New Roman" w:cs="Times New Roman"/>
          <w:b/>
          <w:sz w:val="24"/>
          <w:szCs w:val="24"/>
          <w:lang w:val="en-US"/>
        </w:rPr>
        <w:t xml:space="preserve"> </w:t>
      </w:r>
      <w:r w:rsidRPr="0046706F">
        <w:rPr>
          <w:rFonts w:ascii="Times New Roman" w:eastAsia="AdvTimes" w:hAnsi="Times New Roman" w:cs="Times New Roman"/>
          <w:sz w:val="24"/>
          <w:szCs w:val="24"/>
          <w:lang w:val="en-US"/>
        </w:rPr>
        <w:t>Me</w:t>
      </w:r>
      <w:r w:rsidR="00631263" w:rsidRPr="0046706F">
        <w:rPr>
          <w:rFonts w:ascii="Times New Roman" w:eastAsia="AdvTimes" w:hAnsi="Times New Roman" w:cs="Times New Roman"/>
          <w:sz w:val="24"/>
          <w:szCs w:val="24"/>
          <w:lang w:val="en-US"/>
        </w:rPr>
        <w:t>di</w:t>
      </w:r>
      <w:r w:rsidRPr="0046706F">
        <w:rPr>
          <w:rFonts w:ascii="Times New Roman" w:eastAsia="AdvTimes" w:hAnsi="Times New Roman" w:cs="Times New Roman"/>
          <w:sz w:val="24"/>
          <w:szCs w:val="24"/>
          <w:lang w:val="en-US"/>
        </w:rPr>
        <w:t xml:space="preserve">an age </w:t>
      </w:r>
      <w:r w:rsidR="00286705" w:rsidRPr="0046706F">
        <w:rPr>
          <w:rFonts w:ascii="Times New Roman" w:eastAsia="AdvTimes" w:hAnsi="Times New Roman" w:cs="Times New Roman"/>
          <w:sz w:val="24"/>
          <w:szCs w:val="24"/>
          <w:lang w:val="en-US"/>
        </w:rPr>
        <w:t xml:space="preserve">ranged </w:t>
      </w:r>
      <w:r w:rsidR="00830B4C" w:rsidRPr="0046706F">
        <w:rPr>
          <w:rFonts w:ascii="Times New Roman" w:eastAsia="AdvTimes" w:hAnsi="Times New Roman" w:cs="Times New Roman"/>
          <w:sz w:val="24"/>
          <w:szCs w:val="24"/>
          <w:lang w:val="en-US"/>
        </w:rPr>
        <w:t xml:space="preserve">from </w:t>
      </w:r>
      <w:r w:rsidR="002E3A3B">
        <w:rPr>
          <w:rFonts w:ascii="Times New Roman" w:eastAsia="AdvTimes" w:hAnsi="Times New Roman" w:cs="Times New Roman"/>
          <w:color w:val="FFC000"/>
          <w:sz w:val="24"/>
          <w:szCs w:val="24"/>
          <w:lang w:val="en-US"/>
        </w:rPr>
        <w:t>62</w:t>
      </w:r>
      <w:r w:rsidR="00830B4C" w:rsidRPr="0046706F">
        <w:rPr>
          <w:rFonts w:ascii="Times New Roman" w:eastAsia="AdvTimes" w:hAnsi="Times New Roman" w:cs="Times New Roman"/>
          <w:sz w:val="24"/>
          <w:szCs w:val="24"/>
          <w:lang w:val="en-US"/>
        </w:rPr>
        <w:t xml:space="preserve"> to </w:t>
      </w:r>
      <w:r w:rsidR="00286705" w:rsidRPr="0046706F">
        <w:rPr>
          <w:rFonts w:ascii="Times New Roman" w:eastAsia="AdvTimes" w:hAnsi="Times New Roman" w:cs="Times New Roman"/>
          <w:sz w:val="24"/>
          <w:szCs w:val="24"/>
          <w:lang w:val="en-US"/>
        </w:rPr>
        <w:t xml:space="preserve">76 years </w:t>
      </w:r>
      <w:r w:rsidR="00AE301E" w:rsidRPr="0046706F">
        <w:rPr>
          <w:rFonts w:ascii="Times New Roman" w:eastAsia="AdvTimes" w:hAnsi="Times New Roman" w:cs="Times New Roman"/>
          <w:sz w:val="24"/>
          <w:szCs w:val="24"/>
          <w:lang w:val="en-US"/>
        </w:rPr>
        <w:t xml:space="preserve">among patients with EHRA Type 1 VHD and </w:t>
      </w:r>
      <w:r w:rsidR="00830B4C" w:rsidRPr="0046706F">
        <w:rPr>
          <w:rFonts w:ascii="Times New Roman" w:eastAsia="AdvTimes" w:hAnsi="Times New Roman" w:cs="Times New Roman"/>
          <w:sz w:val="24"/>
          <w:szCs w:val="24"/>
          <w:lang w:val="en-US"/>
        </w:rPr>
        <w:t>from</w:t>
      </w:r>
      <w:r w:rsidR="00286705" w:rsidRPr="0046706F">
        <w:rPr>
          <w:rFonts w:ascii="Times New Roman" w:eastAsia="AdvTimes" w:hAnsi="Times New Roman" w:cs="Times New Roman"/>
          <w:sz w:val="24"/>
          <w:szCs w:val="24"/>
          <w:lang w:val="en-US"/>
        </w:rPr>
        <w:t xml:space="preserve"> 74</w:t>
      </w:r>
      <w:r w:rsidR="00830B4C" w:rsidRPr="0046706F">
        <w:rPr>
          <w:rFonts w:ascii="Times New Roman" w:eastAsia="AdvTimes" w:hAnsi="Times New Roman" w:cs="Times New Roman"/>
          <w:sz w:val="24"/>
          <w:szCs w:val="24"/>
          <w:lang w:val="en-US"/>
        </w:rPr>
        <w:t xml:space="preserve"> to </w:t>
      </w:r>
      <w:r w:rsidR="00286705" w:rsidRPr="0046706F">
        <w:rPr>
          <w:rFonts w:ascii="Times New Roman" w:eastAsia="AdvTimes" w:hAnsi="Times New Roman" w:cs="Times New Roman"/>
          <w:sz w:val="24"/>
          <w:szCs w:val="24"/>
          <w:lang w:val="en-US"/>
        </w:rPr>
        <w:t xml:space="preserve">82 </w:t>
      </w:r>
      <w:r w:rsidR="00336883" w:rsidRPr="0046706F">
        <w:rPr>
          <w:rFonts w:ascii="Times New Roman" w:eastAsia="AdvTimes" w:hAnsi="Times New Roman" w:cs="Times New Roman"/>
          <w:sz w:val="24"/>
          <w:szCs w:val="24"/>
          <w:lang w:val="en-US"/>
        </w:rPr>
        <w:t xml:space="preserve">years </w:t>
      </w:r>
      <w:r w:rsidRPr="0046706F">
        <w:rPr>
          <w:rFonts w:ascii="Times New Roman" w:eastAsia="AdvTimes" w:hAnsi="Times New Roman" w:cs="Times New Roman"/>
          <w:sz w:val="24"/>
          <w:szCs w:val="24"/>
          <w:lang w:val="en-US"/>
        </w:rPr>
        <w:t>among patients</w:t>
      </w:r>
      <w:r w:rsidR="00631263" w:rsidRPr="0046706F">
        <w:rPr>
          <w:rFonts w:ascii="Times New Roman" w:eastAsia="AdvTimes" w:hAnsi="Times New Roman" w:cs="Times New Roman"/>
          <w:sz w:val="24"/>
          <w:szCs w:val="24"/>
          <w:lang w:val="en-US"/>
        </w:rPr>
        <w:t xml:space="preserve"> with EHRA Type 2 VHD</w:t>
      </w:r>
      <w:r w:rsidRPr="0046706F">
        <w:rPr>
          <w:rFonts w:ascii="Times New Roman" w:eastAsia="AdvTimes" w:hAnsi="Times New Roman" w:cs="Times New Roman"/>
          <w:sz w:val="24"/>
          <w:szCs w:val="24"/>
          <w:lang w:val="en-US"/>
        </w:rPr>
        <w:t>.</w:t>
      </w:r>
      <w:r w:rsidR="00631263" w:rsidRPr="0046706F">
        <w:rPr>
          <w:rFonts w:ascii="Times New Roman" w:eastAsia="AdvTimes" w:hAnsi="Times New Roman" w:cs="Times New Roman"/>
          <w:sz w:val="24"/>
          <w:szCs w:val="24"/>
          <w:lang w:val="en-US"/>
        </w:rPr>
        <w:t xml:space="preserve"> Percentage of females </w:t>
      </w:r>
      <w:r w:rsidR="00286705" w:rsidRPr="0046706F">
        <w:rPr>
          <w:rFonts w:ascii="Times New Roman" w:eastAsia="AdvTimes" w:hAnsi="Times New Roman" w:cs="Times New Roman"/>
          <w:sz w:val="24"/>
          <w:szCs w:val="24"/>
          <w:lang w:val="en-US"/>
        </w:rPr>
        <w:t xml:space="preserve">ranged </w:t>
      </w:r>
      <w:r w:rsidR="00830B4C" w:rsidRPr="0046706F">
        <w:rPr>
          <w:rFonts w:ascii="Times New Roman" w:eastAsia="AdvTimes" w:hAnsi="Times New Roman" w:cs="Times New Roman"/>
          <w:sz w:val="24"/>
          <w:szCs w:val="24"/>
          <w:lang w:val="en-US"/>
        </w:rPr>
        <w:t>from</w:t>
      </w:r>
      <w:r w:rsidR="00286705" w:rsidRPr="0046706F">
        <w:rPr>
          <w:rFonts w:ascii="Times New Roman" w:eastAsia="AdvTimes" w:hAnsi="Times New Roman" w:cs="Times New Roman"/>
          <w:sz w:val="24"/>
          <w:szCs w:val="24"/>
          <w:lang w:val="en-US"/>
        </w:rPr>
        <w:t xml:space="preserve"> </w:t>
      </w:r>
      <w:r w:rsidR="00E11201" w:rsidRPr="002E3A3B">
        <w:rPr>
          <w:rFonts w:ascii="Times New Roman" w:eastAsia="AdvTimes" w:hAnsi="Times New Roman" w:cs="Times New Roman"/>
          <w:color w:val="FFC000"/>
          <w:sz w:val="24"/>
          <w:szCs w:val="24"/>
          <w:lang w:val="en-US"/>
        </w:rPr>
        <w:t>24.7</w:t>
      </w:r>
      <w:r w:rsidR="00830B4C" w:rsidRPr="0046706F">
        <w:rPr>
          <w:rFonts w:ascii="Times New Roman" w:eastAsia="AdvTimes" w:hAnsi="Times New Roman" w:cs="Times New Roman"/>
          <w:sz w:val="24"/>
          <w:szCs w:val="24"/>
          <w:lang w:val="en-US"/>
        </w:rPr>
        <w:t xml:space="preserve">% to </w:t>
      </w:r>
      <w:r w:rsidR="00286705" w:rsidRPr="0046706F">
        <w:rPr>
          <w:rFonts w:ascii="Times New Roman" w:eastAsia="AdvTimes" w:hAnsi="Times New Roman" w:cs="Times New Roman"/>
          <w:sz w:val="24"/>
          <w:szCs w:val="24"/>
          <w:lang w:val="en-US"/>
        </w:rPr>
        <w:t xml:space="preserve">66.9% </w:t>
      </w:r>
      <w:r w:rsidR="00631263" w:rsidRPr="0046706F">
        <w:rPr>
          <w:rFonts w:ascii="Times New Roman" w:eastAsia="AdvTimes" w:hAnsi="Times New Roman" w:cs="Times New Roman"/>
          <w:sz w:val="24"/>
          <w:szCs w:val="24"/>
          <w:lang w:val="en-US"/>
        </w:rPr>
        <w:t xml:space="preserve">in </w:t>
      </w:r>
      <w:r w:rsidR="00C11921" w:rsidRPr="0046706F">
        <w:rPr>
          <w:rFonts w:ascii="Times New Roman" w:eastAsia="AdvTimes" w:hAnsi="Times New Roman" w:cs="Times New Roman"/>
          <w:sz w:val="24"/>
          <w:szCs w:val="24"/>
          <w:lang w:val="en-US"/>
        </w:rPr>
        <w:t xml:space="preserve">patients with </w:t>
      </w:r>
      <w:r w:rsidR="00631263" w:rsidRPr="0046706F">
        <w:rPr>
          <w:rFonts w:ascii="Times New Roman" w:eastAsia="AdvTimes" w:hAnsi="Times New Roman" w:cs="Times New Roman"/>
          <w:sz w:val="24"/>
          <w:szCs w:val="24"/>
          <w:lang w:val="en-US"/>
        </w:rPr>
        <w:t xml:space="preserve">EHRA Type 1 </w:t>
      </w:r>
      <w:r w:rsidR="00C11921" w:rsidRPr="0046706F">
        <w:rPr>
          <w:rFonts w:ascii="Times New Roman" w:eastAsia="AdvTimes" w:hAnsi="Times New Roman" w:cs="Times New Roman"/>
          <w:sz w:val="24"/>
          <w:szCs w:val="24"/>
          <w:lang w:val="en-US"/>
        </w:rPr>
        <w:t>VHD</w:t>
      </w:r>
      <w:r w:rsidR="00336883" w:rsidRPr="0046706F">
        <w:rPr>
          <w:rFonts w:ascii="Times New Roman" w:eastAsia="AdvTimes" w:hAnsi="Times New Roman" w:cs="Times New Roman"/>
          <w:sz w:val="24"/>
          <w:szCs w:val="24"/>
          <w:lang w:val="en-US"/>
        </w:rPr>
        <w:t xml:space="preserve"> and </w:t>
      </w:r>
      <w:r w:rsidR="00830B4C" w:rsidRPr="0046706F">
        <w:rPr>
          <w:rFonts w:ascii="Times New Roman" w:eastAsia="AdvTimes" w:hAnsi="Times New Roman" w:cs="Times New Roman"/>
          <w:sz w:val="24"/>
          <w:szCs w:val="24"/>
          <w:lang w:val="en-US"/>
        </w:rPr>
        <w:t>from</w:t>
      </w:r>
      <w:r w:rsidR="00286705" w:rsidRPr="0046706F">
        <w:rPr>
          <w:rFonts w:ascii="Times New Roman" w:eastAsia="AdvTimes" w:hAnsi="Times New Roman" w:cs="Times New Roman"/>
          <w:sz w:val="24"/>
          <w:szCs w:val="24"/>
          <w:lang w:val="en-US"/>
        </w:rPr>
        <w:t xml:space="preserve"> 37.8</w:t>
      </w:r>
      <w:r w:rsidR="00830B4C" w:rsidRPr="0046706F">
        <w:rPr>
          <w:rFonts w:ascii="Times New Roman" w:eastAsia="AdvTimes" w:hAnsi="Times New Roman" w:cs="Times New Roman"/>
          <w:sz w:val="24"/>
          <w:szCs w:val="24"/>
          <w:lang w:val="en-US"/>
        </w:rPr>
        <w:t xml:space="preserve">% to </w:t>
      </w:r>
      <w:r w:rsidR="00286705" w:rsidRPr="0046706F">
        <w:rPr>
          <w:rFonts w:ascii="Times New Roman" w:eastAsia="AdvTimes" w:hAnsi="Times New Roman" w:cs="Times New Roman"/>
          <w:sz w:val="24"/>
          <w:szCs w:val="24"/>
          <w:lang w:val="en-US"/>
        </w:rPr>
        <w:t xml:space="preserve">51.9% </w:t>
      </w:r>
      <w:r w:rsidR="00336883" w:rsidRPr="0046706F">
        <w:rPr>
          <w:rFonts w:ascii="Times New Roman" w:eastAsia="AdvTimes" w:hAnsi="Times New Roman" w:cs="Times New Roman"/>
          <w:sz w:val="24"/>
          <w:szCs w:val="24"/>
          <w:lang w:val="en-US"/>
        </w:rPr>
        <w:t>in patients with EHRA Type 2 VHD</w:t>
      </w:r>
      <w:r w:rsidR="00C11921" w:rsidRPr="0046706F">
        <w:rPr>
          <w:rFonts w:ascii="Times New Roman" w:eastAsia="AdvTimes" w:hAnsi="Times New Roman" w:cs="Times New Roman"/>
          <w:sz w:val="24"/>
          <w:szCs w:val="24"/>
          <w:lang w:val="en-US"/>
        </w:rPr>
        <w:t>.</w:t>
      </w:r>
      <w:r w:rsidRPr="0046706F">
        <w:rPr>
          <w:rFonts w:ascii="Times New Roman" w:eastAsia="AdvTimes" w:hAnsi="Times New Roman" w:cs="Times New Roman"/>
          <w:sz w:val="24"/>
          <w:szCs w:val="24"/>
          <w:lang w:val="en-US"/>
        </w:rPr>
        <w:t xml:space="preserve"> </w:t>
      </w:r>
      <w:r w:rsidR="00286705" w:rsidRPr="0046706F">
        <w:rPr>
          <w:rFonts w:ascii="Times New Roman" w:eastAsia="AdvTimes" w:hAnsi="Times New Roman" w:cs="Times New Roman"/>
          <w:sz w:val="24"/>
          <w:szCs w:val="24"/>
          <w:lang w:val="en-US"/>
        </w:rPr>
        <w:t>P</w:t>
      </w:r>
      <w:r w:rsidR="003F7221" w:rsidRPr="0046706F">
        <w:rPr>
          <w:rFonts w:ascii="Times New Roman" w:eastAsia="AdvTimes" w:hAnsi="Times New Roman" w:cs="Times New Roman"/>
          <w:sz w:val="24"/>
          <w:szCs w:val="24"/>
          <w:lang w:val="en-US"/>
        </w:rPr>
        <w:t xml:space="preserve">revalence of previous thromboembolism and mean </w:t>
      </w:r>
      <w:r w:rsidR="003F7221" w:rsidRPr="0046706F">
        <w:rPr>
          <w:rFonts w:ascii="Times New Roman" w:hAnsi="Times New Roman" w:cs="Times New Roman"/>
          <w:sz w:val="24"/>
          <w:szCs w:val="24"/>
          <w:lang w:val="en-US"/>
        </w:rPr>
        <w:t>CHA</w:t>
      </w:r>
      <w:r w:rsidR="003F7221" w:rsidRPr="0046706F">
        <w:rPr>
          <w:rFonts w:ascii="Times New Roman" w:hAnsi="Times New Roman" w:cs="Times New Roman"/>
          <w:sz w:val="24"/>
          <w:szCs w:val="24"/>
          <w:vertAlign w:val="subscript"/>
          <w:lang w:val="en-US"/>
        </w:rPr>
        <w:t>2</w:t>
      </w:r>
      <w:r w:rsidR="003F7221" w:rsidRPr="0046706F">
        <w:rPr>
          <w:rFonts w:ascii="Times New Roman" w:hAnsi="Times New Roman" w:cs="Times New Roman"/>
          <w:sz w:val="24"/>
          <w:szCs w:val="24"/>
          <w:lang w:val="en-US"/>
        </w:rPr>
        <w:t>DS</w:t>
      </w:r>
      <w:r w:rsidR="003F7221" w:rsidRPr="0046706F">
        <w:rPr>
          <w:rFonts w:ascii="Times New Roman" w:hAnsi="Times New Roman" w:cs="Times New Roman"/>
          <w:sz w:val="24"/>
          <w:szCs w:val="24"/>
          <w:vertAlign w:val="subscript"/>
          <w:lang w:val="en-US"/>
        </w:rPr>
        <w:t>2</w:t>
      </w:r>
      <w:r w:rsidR="003F7221" w:rsidRPr="0046706F">
        <w:rPr>
          <w:rFonts w:ascii="Times New Roman" w:hAnsi="Times New Roman" w:cs="Times New Roman"/>
          <w:sz w:val="24"/>
          <w:szCs w:val="24"/>
          <w:lang w:val="en-US"/>
        </w:rPr>
        <w:t xml:space="preserve">-VASc </w:t>
      </w:r>
      <w:r w:rsidR="00AB023A" w:rsidRPr="0046706F">
        <w:rPr>
          <w:rFonts w:ascii="Times New Roman" w:hAnsi="Times New Roman" w:cs="Times New Roman"/>
          <w:sz w:val="24"/>
          <w:szCs w:val="24"/>
          <w:lang w:val="en-US"/>
        </w:rPr>
        <w:t>score</w:t>
      </w:r>
      <w:r w:rsidR="00685BCF" w:rsidRPr="0046706F">
        <w:rPr>
          <w:rFonts w:ascii="Times New Roman" w:hAnsi="Times New Roman" w:cs="Times New Roman"/>
          <w:sz w:val="24"/>
          <w:szCs w:val="24"/>
          <w:lang w:val="en-US"/>
        </w:rPr>
        <w:t xml:space="preserve"> </w:t>
      </w:r>
      <w:r w:rsidR="003F7221" w:rsidRPr="0046706F">
        <w:rPr>
          <w:rFonts w:ascii="Times New Roman" w:hAnsi="Times New Roman" w:cs="Times New Roman"/>
          <w:sz w:val="24"/>
          <w:szCs w:val="24"/>
          <w:lang w:val="en-US"/>
        </w:rPr>
        <w:t>were highest</w:t>
      </w:r>
      <w:r w:rsidR="00D136CC" w:rsidRPr="0046706F">
        <w:rPr>
          <w:rFonts w:ascii="Times New Roman" w:hAnsi="Times New Roman" w:cs="Times New Roman"/>
          <w:sz w:val="24"/>
          <w:szCs w:val="24"/>
          <w:lang w:val="en-US"/>
        </w:rPr>
        <w:t xml:space="preserve"> in patients with isolated </w:t>
      </w:r>
      <w:r w:rsidR="00286705" w:rsidRPr="0046706F">
        <w:rPr>
          <w:rFonts w:ascii="Times New Roman" w:hAnsi="Times New Roman" w:cs="Times New Roman"/>
          <w:sz w:val="24"/>
          <w:szCs w:val="24"/>
          <w:lang w:val="en-US"/>
        </w:rPr>
        <w:t xml:space="preserve">mitral stenosis in EHRA Type 1 VHD and </w:t>
      </w:r>
      <w:r w:rsidR="00AA2980" w:rsidRPr="0046706F">
        <w:rPr>
          <w:rFonts w:ascii="Times New Roman" w:hAnsi="Times New Roman" w:cs="Times New Roman"/>
          <w:sz w:val="24"/>
          <w:szCs w:val="24"/>
          <w:lang w:val="en-US"/>
        </w:rPr>
        <w:t xml:space="preserve">highest </w:t>
      </w:r>
      <w:r w:rsidR="00286705" w:rsidRPr="0046706F">
        <w:rPr>
          <w:rFonts w:ascii="Times New Roman" w:hAnsi="Times New Roman" w:cs="Times New Roman"/>
          <w:sz w:val="24"/>
          <w:szCs w:val="24"/>
          <w:lang w:val="en-US"/>
        </w:rPr>
        <w:t xml:space="preserve">in patients with isolated </w:t>
      </w:r>
      <w:r w:rsidR="00D136CC" w:rsidRPr="0046706F">
        <w:rPr>
          <w:rFonts w:ascii="Times New Roman" w:hAnsi="Times New Roman" w:cs="Times New Roman"/>
          <w:sz w:val="24"/>
          <w:szCs w:val="24"/>
          <w:lang w:val="en-US"/>
        </w:rPr>
        <w:t>aortic</w:t>
      </w:r>
      <w:r w:rsidR="003F7221" w:rsidRPr="0046706F">
        <w:rPr>
          <w:rFonts w:ascii="Times New Roman" w:hAnsi="Times New Roman" w:cs="Times New Roman"/>
          <w:sz w:val="24"/>
          <w:szCs w:val="24"/>
          <w:lang w:val="en-US"/>
        </w:rPr>
        <w:t xml:space="preserve"> stenosis</w:t>
      </w:r>
      <w:r w:rsidR="0005101B" w:rsidRPr="0046706F">
        <w:rPr>
          <w:rFonts w:ascii="Times New Roman" w:hAnsi="Times New Roman" w:cs="Times New Roman"/>
          <w:sz w:val="24"/>
          <w:szCs w:val="24"/>
          <w:lang w:val="en-US"/>
        </w:rPr>
        <w:t xml:space="preserve"> in EHRA Type 2 VHD</w:t>
      </w:r>
      <w:r w:rsidR="003F7221" w:rsidRPr="0046706F">
        <w:rPr>
          <w:rFonts w:ascii="Times New Roman" w:hAnsi="Times New Roman" w:cs="Times New Roman"/>
          <w:sz w:val="24"/>
          <w:szCs w:val="24"/>
          <w:lang w:val="en-US"/>
        </w:rPr>
        <w:t xml:space="preserve">. </w:t>
      </w:r>
      <w:r w:rsidR="0005101B" w:rsidRPr="0046706F">
        <w:rPr>
          <w:rFonts w:ascii="Times New Roman" w:hAnsi="Times New Roman" w:cs="Times New Roman"/>
          <w:sz w:val="24"/>
          <w:szCs w:val="24"/>
          <w:lang w:val="en-US"/>
        </w:rPr>
        <w:t>Similarly, t</w:t>
      </w:r>
      <w:r w:rsidR="003F7221" w:rsidRPr="0046706F">
        <w:rPr>
          <w:rFonts w:ascii="Times New Roman" w:hAnsi="Times New Roman" w:cs="Times New Roman"/>
          <w:sz w:val="24"/>
          <w:szCs w:val="24"/>
          <w:lang w:val="en-US"/>
        </w:rPr>
        <w:t xml:space="preserve">he mean HAS-BLED score </w:t>
      </w:r>
      <w:r w:rsidR="001E2413" w:rsidRPr="0046706F">
        <w:rPr>
          <w:rFonts w:ascii="Times New Roman" w:hAnsi="Times New Roman" w:cs="Times New Roman"/>
          <w:sz w:val="24"/>
          <w:szCs w:val="24"/>
          <w:lang w:val="en-US"/>
        </w:rPr>
        <w:t>was</w:t>
      </w:r>
      <w:r w:rsidR="004D419C" w:rsidRPr="0046706F">
        <w:rPr>
          <w:rFonts w:ascii="Times New Roman" w:hAnsi="Times New Roman" w:cs="Times New Roman"/>
          <w:sz w:val="24"/>
          <w:szCs w:val="24"/>
          <w:lang w:val="en-US"/>
        </w:rPr>
        <w:t xml:space="preserve"> highest in patients with </w:t>
      </w:r>
      <w:r w:rsidR="0005101B" w:rsidRPr="0046706F">
        <w:rPr>
          <w:rFonts w:ascii="Times New Roman" w:hAnsi="Times New Roman" w:cs="Times New Roman"/>
          <w:sz w:val="24"/>
          <w:szCs w:val="24"/>
          <w:lang w:val="en-US"/>
        </w:rPr>
        <w:t xml:space="preserve">isolated mitral stenosis in EHRA Type 1 VHD, but highest in patients with </w:t>
      </w:r>
      <w:r w:rsidR="004D419C" w:rsidRPr="0046706F">
        <w:rPr>
          <w:rFonts w:ascii="Times New Roman" w:hAnsi="Times New Roman" w:cs="Times New Roman"/>
          <w:bCs/>
          <w:sz w:val="24"/>
          <w:szCs w:val="24"/>
          <w:lang w:val="en-US" w:bidi="th-TH"/>
        </w:rPr>
        <w:t xml:space="preserve">bioprosthetic </w:t>
      </w:r>
      <w:r w:rsidR="00D644E4" w:rsidRPr="0046706F">
        <w:rPr>
          <w:rFonts w:ascii="Times New Roman" w:hAnsi="Times New Roman" w:cs="Times New Roman"/>
          <w:bCs/>
          <w:sz w:val="24"/>
          <w:szCs w:val="24"/>
          <w:lang w:val="en-US" w:bidi="th-TH"/>
        </w:rPr>
        <w:t>aortic valve replacement</w:t>
      </w:r>
      <w:r w:rsidR="0005101B" w:rsidRPr="0046706F">
        <w:rPr>
          <w:rFonts w:ascii="Times New Roman" w:hAnsi="Times New Roman" w:cs="Times New Roman"/>
          <w:sz w:val="24"/>
          <w:szCs w:val="24"/>
          <w:lang w:val="en-US"/>
        </w:rPr>
        <w:t xml:space="preserve"> in patients with EHRA Type 2 VHD</w:t>
      </w:r>
      <w:r w:rsidR="003F7221" w:rsidRPr="0046706F">
        <w:rPr>
          <w:rFonts w:ascii="Times New Roman" w:hAnsi="Times New Roman" w:cs="Times New Roman"/>
          <w:sz w:val="24"/>
          <w:szCs w:val="24"/>
          <w:lang w:val="en-US"/>
        </w:rPr>
        <w:t>.</w:t>
      </w:r>
      <w:r w:rsidR="004159CA" w:rsidRPr="0046706F">
        <w:rPr>
          <w:rFonts w:ascii="Times New Roman" w:hAnsi="Times New Roman" w:cs="Times New Roman"/>
          <w:sz w:val="24"/>
          <w:szCs w:val="24"/>
          <w:lang w:val="en-US"/>
        </w:rPr>
        <w:t xml:space="preserve"> </w:t>
      </w:r>
      <w:r w:rsidR="009D3AFF" w:rsidRPr="0046706F">
        <w:rPr>
          <w:rFonts w:ascii="Times New Roman" w:hAnsi="Times New Roman" w:cs="Times New Roman"/>
          <w:sz w:val="24"/>
          <w:szCs w:val="24"/>
          <w:lang w:val="en-US"/>
        </w:rPr>
        <w:t xml:space="preserve">Regarding anticoagulation status at baseline, </w:t>
      </w:r>
      <w:r w:rsidR="000730F8" w:rsidRPr="0046706F">
        <w:rPr>
          <w:rFonts w:ascii="Times New Roman" w:eastAsia="AdvTimes" w:hAnsi="Times New Roman" w:cs="Times New Roman"/>
          <w:sz w:val="24"/>
          <w:szCs w:val="24"/>
          <w:lang w:val="en-US"/>
        </w:rPr>
        <w:t xml:space="preserve">we observed a large proportion of non-anticoagulated patients (32.9-49.2%), despite a </w:t>
      </w:r>
      <w:r w:rsidR="000730F8" w:rsidRPr="0046706F">
        <w:rPr>
          <w:rFonts w:ascii="Times New Roman" w:hAnsi="Times New Roman" w:cs="Times New Roman"/>
          <w:sz w:val="24"/>
          <w:szCs w:val="24"/>
          <w:lang w:val="en-US"/>
        </w:rPr>
        <w:t>CHA</w:t>
      </w:r>
      <w:r w:rsidR="000730F8" w:rsidRPr="0046706F">
        <w:rPr>
          <w:rFonts w:ascii="Times New Roman" w:hAnsi="Times New Roman" w:cs="Times New Roman"/>
          <w:sz w:val="24"/>
          <w:szCs w:val="24"/>
          <w:vertAlign w:val="subscript"/>
          <w:lang w:val="en-US"/>
        </w:rPr>
        <w:t>2</w:t>
      </w:r>
      <w:r w:rsidR="000730F8" w:rsidRPr="0046706F">
        <w:rPr>
          <w:rFonts w:ascii="Times New Roman" w:hAnsi="Times New Roman" w:cs="Times New Roman"/>
          <w:sz w:val="24"/>
          <w:szCs w:val="24"/>
          <w:lang w:val="en-US"/>
        </w:rPr>
        <w:t>DS</w:t>
      </w:r>
      <w:r w:rsidR="000730F8" w:rsidRPr="0046706F">
        <w:rPr>
          <w:rFonts w:ascii="Times New Roman" w:hAnsi="Times New Roman" w:cs="Times New Roman"/>
          <w:sz w:val="24"/>
          <w:szCs w:val="24"/>
          <w:vertAlign w:val="subscript"/>
          <w:lang w:val="en-US"/>
        </w:rPr>
        <w:t>2</w:t>
      </w:r>
      <w:r w:rsidR="000730F8" w:rsidRPr="0046706F">
        <w:rPr>
          <w:rFonts w:ascii="Times New Roman" w:hAnsi="Times New Roman" w:cs="Times New Roman"/>
          <w:sz w:val="24"/>
          <w:szCs w:val="24"/>
          <w:lang w:val="en-US"/>
        </w:rPr>
        <w:t>-VASc score of 2 or above in the majority of these patients</w:t>
      </w:r>
      <w:r w:rsidR="00263B3F" w:rsidRPr="0046706F">
        <w:rPr>
          <w:rFonts w:ascii="Times New Roman" w:hAnsi="Times New Roman" w:cs="Times New Roman"/>
          <w:sz w:val="24"/>
          <w:szCs w:val="24"/>
          <w:lang w:val="en-US"/>
        </w:rPr>
        <w:t xml:space="preserve"> (81.9</w:t>
      </w:r>
      <w:r w:rsidR="000730F8" w:rsidRPr="0046706F">
        <w:rPr>
          <w:rFonts w:ascii="Times New Roman" w:hAnsi="Times New Roman" w:cs="Times New Roman"/>
          <w:sz w:val="24"/>
          <w:szCs w:val="24"/>
          <w:lang w:val="en-US"/>
        </w:rPr>
        <w:t>-95.6%)</w:t>
      </w:r>
      <w:r w:rsidR="000730F8" w:rsidRPr="0046706F">
        <w:rPr>
          <w:rFonts w:ascii="Times New Roman" w:eastAsia="AdvTimes" w:hAnsi="Times New Roman" w:cs="Times New Roman"/>
          <w:sz w:val="24"/>
          <w:szCs w:val="24"/>
          <w:lang w:val="en-US"/>
        </w:rPr>
        <w:t>.</w:t>
      </w:r>
    </w:p>
    <w:p w14:paraId="4F4BCB0B" w14:textId="77777777" w:rsidR="00A24C74" w:rsidRPr="0046706F" w:rsidRDefault="00A24C74" w:rsidP="00D0173D">
      <w:pPr>
        <w:autoSpaceDE w:val="0"/>
        <w:autoSpaceDN w:val="0"/>
        <w:adjustRightInd w:val="0"/>
        <w:spacing w:after="0" w:line="480" w:lineRule="auto"/>
        <w:rPr>
          <w:rFonts w:ascii="Times New Roman" w:eastAsia="AdvTimes" w:hAnsi="Times New Roman" w:cs="Times New Roman"/>
          <w:i/>
          <w:color w:val="FF0000"/>
          <w:sz w:val="24"/>
          <w:szCs w:val="24"/>
          <w:lang w:val="en-US"/>
        </w:rPr>
      </w:pPr>
    </w:p>
    <w:p w14:paraId="5F15DE50" w14:textId="1F8C7688" w:rsidR="00D9528C" w:rsidRPr="0046706F" w:rsidRDefault="00D9528C" w:rsidP="00D0173D">
      <w:pPr>
        <w:autoSpaceDE w:val="0"/>
        <w:autoSpaceDN w:val="0"/>
        <w:adjustRightInd w:val="0"/>
        <w:spacing w:after="0" w:line="480" w:lineRule="auto"/>
        <w:rPr>
          <w:rFonts w:ascii="Times New Roman" w:eastAsia="AdvTimes" w:hAnsi="Times New Roman" w:cs="Times New Roman"/>
          <w:i/>
          <w:sz w:val="24"/>
          <w:szCs w:val="24"/>
          <w:lang w:val="en-US"/>
        </w:rPr>
      </w:pPr>
      <w:r w:rsidRPr="00E11201">
        <w:rPr>
          <w:rFonts w:ascii="Times New Roman" w:eastAsia="AdvTimes" w:hAnsi="Times New Roman" w:cs="Times New Roman"/>
          <w:i/>
          <w:sz w:val="24"/>
          <w:szCs w:val="24"/>
          <w:lang w:val="en-US"/>
        </w:rPr>
        <w:t>Risk of thromboembolism</w:t>
      </w:r>
      <w:r w:rsidR="007D2956" w:rsidRPr="00E11201">
        <w:rPr>
          <w:rFonts w:ascii="Times New Roman" w:eastAsia="AdvTimes" w:hAnsi="Times New Roman" w:cs="Times New Roman"/>
          <w:i/>
          <w:sz w:val="24"/>
          <w:szCs w:val="24"/>
          <w:lang w:val="en-US"/>
        </w:rPr>
        <w:t xml:space="preserve"> and major bleeding</w:t>
      </w:r>
    </w:p>
    <w:p w14:paraId="6C2793F0" w14:textId="29F33E58" w:rsidR="001E0144" w:rsidRPr="0046706F" w:rsidRDefault="00DB153D" w:rsidP="001E0144">
      <w:pPr>
        <w:autoSpaceDE w:val="0"/>
        <w:autoSpaceDN w:val="0"/>
        <w:adjustRightInd w:val="0"/>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Both in the non-anticoagulated and anticoagulated patients, c</w:t>
      </w:r>
      <w:r w:rsidR="001E0144" w:rsidRPr="0046706F">
        <w:rPr>
          <w:rFonts w:ascii="Times New Roman" w:hAnsi="Times New Roman" w:cs="Times New Roman"/>
          <w:sz w:val="24"/>
          <w:szCs w:val="24"/>
          <w:lang w:val="en-US"/>
        </w:rPr>
        <w:t>umulative incidence curves depicting thromboembolism and major bleeding according to subgroup</w:t>
      </w:r>
      <w:r w:rsidR="007D2956" w:rsidRPr="0046706F">
        <w:rPr>
          <w:rFonts w:ascii="Times New Roman" w:hAnsi="Times New Roman" w:cs="Times New Roman"/>
          <w:sz w:val="24"/>
          <w:szCs w:val="24"/>
          <w:lang w:val="en-US"/>
        </w:rPr>
        <w:t>s</w:t>
      </w:r>
      <w:r w:rsidR="001E0144" w:rsidRPr="0046706F">
        <w:rPr>
          <w:rFonts w:ascii="Times New Roman" w:hAnsi="Times New Roman" w:cs="Times New Roman"/>
          <w:sz w:val="24"/>
          <w:szCs w:val="24"/>
          <w:lang w:val="en-US"/>
        </w:rPr>
        <w:t xml:space="preserve"> of EHRA Type 1 VHD and EHRA Type 2 VHD demonstrate</w:t>
      </w:r>
      <w:r w:rsidR="007A6248" w:rsidRPr="0046706F">
        <w:rPr>
          <w:rFonts w:ascii="Times New Roman" w:hAnsi="Times New Roman" w:cs="Times New Roman"/>
          <w:sz w:val="24"/>
          <w:szCs w:val="24"/>
          <w:lang w:val="en-US"/>
        </w:rPr>
        <w:t>d</w:t>
      </w:r>
      <w:r w:rsidR="001E0144" w:rsidRPr="0046706F">
        <w:rPr>
          <w:rFonts w:ascii="Times New Roman" w:hAnsi="Times New Roman" w:cs="Times New Roman"/>
          <w:sz w:val="24"/>
          <w:szCs w:val="24"/>
          <w:lang w:val="en-US"/>
        </w:rPr>
        <w:t xml:space="preserve"> a </w:t>
      </w:r>
      <w:r w:rsidR="00E200F1" w:rsidRPr="0046706F">
        <w:rPr>
          <w:rFonts w:ascii="Times New Roman" w:hAnsi="Times New Roman" w:cs="Times New Roman"/>
          <w:sz w:val="24"/>
          <w:szCs w:val="24"/>
          <w:lang w:val="en-US"/>
        </w:rPr>
        <w:t>steep increase</w:t>
      </w:r>
      <w:r w:rsidR="00073FD9" w:rsidRPr="0046706F">
        <w:rPr>
          <w:rFonts w:ascii="Times New Roman" w:hAnsi="Times New Roman" w:cs="Times New Roman"/>
          <w:sz w:val="24"/>
          <w:szCs w:val="24"/>
          <w:lang w:val="en-US"/>
        </w:rPr>
        <w:t xml:space="preserve"> during the first month</w:t>
      </w:r>
      <w:r w:rsidR="00E200F1" w:rsidRPr="0046706F">
        <w:rPr>
          <w:rFonts w:ascii="Times New Roman" w:hAnsi="Times New Roman" w:cs="Times New Roman"/>
          <w:sz w:val="24"/>
          <w:szCs w:val="24"/>
          <w:lang w:val="en-US"/>
        </w:rPr>
        <w:t>(</w:t>
      </w:r>
      <w:r w:rsidR="00073FD9" w:rsidRPr="0046706F">
        <w:rPr>
          <w:rFonts w:ascii="Times New Roman" w:hAnsi="Times New Roman" w:cs="Times New Roman"/>
          <w:sz w:val="24"/>
          <w:szCs w:val="24"/>
          <w:lang w:val="en-US"/>
        </w:rPr>
        <w:t>s</w:t>
      </w:r>
      <w:r w:rsidR="00E200F1" w:rsidRPr="0046706F">
        <w:rPr>
          <w:rFonts w:ascii="Times New Roman" w:hAnsi="Times New Roman" w:cs="Times New Roman"/>
          <w:sz w:val="24"/>
          <w:szCs w:val="24"/>
          <w:lang w:val="en-US"/>
        </w:rPr>
        <w:t>)</w:t>
      </w:r>
      <w:r w:rsidR="00073FD9" w:rsidRPr="0046706F">
        <w:rPr>
          <w:rFonts w:ascii="Times New Roman" w:hAnsi="Times New Roman" w:cs="Times New Roman"/>
          <w:sz w:val="24"/>
          <w:szCs w:val="24"/>
          <w:lang w:val="en-US"/>
        </w:rPr>
        <w:t xml:space="preserve"> </w:t>
      </w:r>
      <w:r w:rsidR="009A3C63" w:rsidRPr="0046706F">
        <w:rPr>
          <w:rFonts w:ascii="Times New Roman" w:hAnsi="Times New Roman" w:cs="Times New Roman"/>
          <w:sz w:val="24"/>
          <w:szCs w:val="24"/>
          <w:lang w:val="en-US"/>
        </w:rPr>
        <w:t xml:space="preserve">after </w:t>
      </w:r>
      <w:r w:rsidR="00073FD9" w:rsidRPr="0046706F">
        <w:rPr>
          <w:rFonts w:ascii="Times New Roman" w:hAnsi="Times New Roman" w:cs="Times New Roman"/>
          <w:sz w:val="24"/>
          <w:szCs w:val="24"/>
          <w:lang w:val="en-US"/>
        </w:rPr>
        <w:t>AF diagnosis</w:t>
      </w:r>
      <w:r w:rsidR="00E200F1" w:rsidRPr="0046706F">
        <w:rPr>
          <w:rFonts w:ascii="Times New Roman" w:hAnsi="Times New Roman" w:cs="Times New Roman"/>
          <w:sz w:val="24"/>
          <w:szCs w:val="24"/>
          <w:lang w:val="en-US"/>
        </w:rPr>
        <w:t>, followed by a</w:t>
      </w:r>
      <w:r w:rsidR="009A3C63" w:rsidRPr="0046706F">
        <w:rPr>
          <w:rFonts w:ascii="Times New Roman" w:hAnsi="Times New Roman" w:cs="Times New Roman"/>
          <w:sz w:val="24"/>
          <w:szCs w:val="24"/>
          <w:lang w:val="en-US"/>
        </w:rPr>
        <w:t xml:space="preserve"> steady increase </w:t>
      </w:r>
      <w:r w:rsidR="00E200F1" w:rsidRPr="0046706F">
        <w:rPr>
          <w:rFonts w:ascii="Times New Roman" w:hAnsi="Times New Roman" w:cs="Times New Roman"/>
          <w:sz w:val="24"/>
          <w:szCs w:val="24"/>
          <w:lang w:val="en-US"/>
        </w:rPr>
        <w:t xml:space="preserve">during the following months </w:t>
      </w:r>
      <w:r w:rsidR="001E0144" w:rsidRPr="0046706F">
        <w:rPr>
          <w:rFonts w:ascii="Times New Roman" w:hAnsi="Times New Roman" w:cs="Times New Roman"/>
          <w:sz w:val="24"/>
          <w:szCs w:val="24"/>
          <w:lang w:val="en-US"/>
        </w:rPr>
        <w:t>[</w:t>
      </w:r>
      <w:r w:rsidR="003A37FC" w:rsidRPr="0046706F">
        <w:rPr>
          <w:rFonts w:ascii="Times New Roman" w:hAnsi="Times New Roman" w:cs="Times New Roman"/>
          <w:b/>
          <w:sz w:val="24"/>
          <w:szCs w:val="24"/>
          <w:lang w:val="en-US"/>
        </w:rPr>
        <w:t>Fig.</w:t>
      </w:r>
      <w:r w:rsidR="006C2532" w:rsidRPr="0046706F">
        <w:rPr>
          <w:rFonts w:ascii="Times New Roman" w:hAnsi="Times New Roman" w:cs="Times New Roman"/>
          <w:b/>
          <w:sz w:val="24"/>
          <w:szCs w:val="24"/>
          <w:lang w:val="en-US"/>
        </w:rPr>
        <w:t xml:space="preserve"> 2</w:t>
      </w:r>
      <w:r w:rsidR="001E0144" w:rsidRPr="0046706F">
        <w:rPr>
          <w:rFonts w:ascii="Times New Roman" w:hAnsi="Times New Roman" w:cs="Times New Roman"/>
          <w:b/>
          <w:sz w:val="24"/>
          <w:szCs w:val="24"/>
          <w:lang w:val="en-US"/>
        </w:rPr>
        <w:t xml:space="preserve"> </w:t>
      </w:r>
      <w:r w:rsidR="001E0144" w:rsidRPr="0046706F">
        <w:rPr>
          <w:rFonts w:ascii="Times New Roman" w:hAnsi="Times New Roman" w:cs="Times New Roman"/>
          <w:sz w:val="24"/>
          <w:szCs w:val="24"/>
          <w:lang w:val="en-US"/>
        </w:rPr>
        <w:t>and</w:t>
      </w:r>
      <w:r w:rsidR="001E0144" w:rsidRPr="0046706F">
        <w:rPr>
          <w:rFonts w:ascii="Times New Roman" w:hAnsi="Times New Roman" w:cs="Times New Roman"/>
          <w:b/>
          <w:sz w:val="24"/>
          <w:szCs w:val="24"/>
          <w:lang w:val="en-US"/>
        </w:rPr>
        <w:t xml:space="preserve"> </w:t>
      </w:r>
      <w:r w:rsidR="003A37FC" w:rsidRPr="0046706F">
        <w:rPr>
          <w:rFonts w:ascii="Times New Roman" w:hAnsi="Times New Roman" w:cs="Times New Roman"/>
          <w:b/>
          <w:sz w:val="24"/>
          <w:szCs w:val="24"/>
          <w:lang w:val="en-US"/>
        </w:rPr>
        <w:t>Fig.</w:t>
      </w:r>
      <w:r w:rsidR="006C2532" w:rsidRPr="0046706F">
        <w:rPr>
          <w:rFonts w:ascii="Times New Roman" w:hAnsi="Times New Roman" w:cs="Times New Roman"/>
          <w:b/>
          <w:sz w:val="24"/>
          <w:szCs w:val="24"/>
          <w:lang w:val="en-US"/>
        </w:rPr>
        <w:t xml:space="preserve"> 3 </w:t>
      </w:r>
      <w:r w:rsidR="00263E14" w:rsidRPr="0046706F">
        <w:rPr>
          <w:rFonts w:ascii="Times New Roman" w:hAnsi="Times New Roman" w:cs="Times New Roman"/>
          <w:bCs/>
          <w:sz w:val="24"/>
          <w:szCs w:val="24"/>
          <w:lang w:val="en-US" w:bidi="th-TH"/>
        </w:rPr>
        <w:t>in the Online Resources</w:t>
      </w:r>
      <w:r w:rsidR="001E0144" w:rsidRPr="0046706F">
        <w:rPr>
          <w:rFonts w:ascii="Times New Roman" w:hAnsi="Times New Roman" w:cs="Times New Roman"/>
          <w:sz w:val="24"/>
          <w:szCs w:val="24"/>
          <w:lang w:val="en-US"/>
        </w:rPr>
        <w:t xml:space="preserve">]. </w:t>
      </w:r>
      <w:r w:rsidR="009A3C63" w:rsidRPr="0046706F">
        <w:rPr>
          <w:rFonts w:ascii="Times New Roman" w:hAnsi="Times New Roman" w:cs="Times New Roman"/>
          <w:sz w:val="24"/>
          <w:szCs w:val="24"/>
          <w:lang w:val="en-US"/>
        </w:rPr>
        <w:t xml:space="preserve">A similar pattern was observed for the endpoint of all-cause death </w:t>
      </w:r>
      <w:r w:rsidR="001E0144" w:rsidRPr="0046706F">
        <w:rPr>
          <w:rFonts w:ascii="Times New Roman" w:hAnsi="Times New Roman" w:cs="Times New Roman"/>
          <w:sz w:val="24"/>
          <w:szCs w:val="24"/>
          <w:lang w:val="en-US"/>
        </w:rPr>
        <w:t>[</w:t>
      </w:r>
      <w:r w:rsidR="003A37FC" w:rsidRPr="0046706F">
        <w:rPr>
          <w:rFonts w:ascii="Times New Roman" w:hAnsi="Times New Roman" w:cs="Times New Roman"/>
          <w:b/>
          <w:sz w:val="24"/>
          <w:szCs w:val="24"/>
          <w:lang w:val="en-US"/>
        </w:rPr>
        <w:t>Fig.</w:t>
      </w:r>
      <w:r w:rsidR="006C2532" w:rsidRPr="0046706F">
        <w:rPr>
          <w:rFonts w:ascii="Times New Roman" w:hAnsi="Times New Roman" w:cs="Times New Roman"/>
          <w:b/>
          <w:sz w:val="24"/>
          <w:szCs w:val="24"/>
          <w:lang w:val="en-US"/>
        </w:rPr>
        <w:t xml:space="preserve"> 4</w:t>
      </w:r>
      <w:r w:rsidR="00622DA3" w:rsidRPr="0046706F">
        <w:rPr>
          <w:rFonts w:ascii="Times New Roman" w:hAnsi="Times New Roman" w:cs="Times New Roman"/>
          <w:b/>
          <w:sz w:val="24"/>
          <w:szCs w:val="24"/>
          <w:lang w:val="en-US"/>
        </w:rPr>
        <w:t xml:space="preserve"> </w:t>
      </w:r>
      <w:r w:rsidR="00263E14" w:rsidRPr="0046706F">
        <w:rPr>
          <w:rFonts w:ascii="Times New Roman" w:hAnsi="Times New Roman" w:cs="Times New Roman"/>
          <w:bCs/>
          <w:sz w:val="24"/>
          <w:szCs w:val="24"/>
          <w:lang w:val="en-US" w:bidi="th-TH"/>
        </w:rPr>
        <w:t>in the Online Resources</w:t>
      </w:r>
      <w:r w:rsidR="001E0144" w:rsidRPr="0046706F">
        <w:rPr>
          <w:rFonts w:ascii="Times New Roman" w:hAnsi="Times New Roman" w:cs="Times New Roman"/>
          <w:sz w:val="24"/>
          <w:szCs w:val="24"/>
          <w:lang w:val="en-US"/>
        </w:rPr>
        <w:t>].</w:t>
      </w:r>
      <w:r w:rsidR="007D2956" w:rsidRPr="0046706F">
        <w:rPr>
          <w:rFonts w:ascii="Times New Roman" w:hAnsi="Times New Roman" w:cs="Times New Roman"/>
          <w:sz w:val="24"/>
          <w:szCs w:val="24"/>
          <w:lang w:val="en-US"/>
        </w:rPr>
        <w:t xml:space="preserve"> </w:t>
      </w:r>
    </w:p>
    <w:p w14:paraId="4723690D" w14:textId="707E4DED" w:rsidR="00C84C33" w:rsidRDefault="00DB153D" w:rsidP="00AA2980">
      <w:pPr>
        <w:pStyle w:val="Ingenafstand"/>
        <w:spacing w:line="480" w:lineRule="auto"/>
        <w:jc w:val="both"/>
        <w:rPr>
          <w:rFonts w:ascii="Times New Roman" w:eastAsia="AdvTimes" w:hAnsi="Times New Roman" w:cs="Times New Roman"/>
          <w:sz w:val="24"/>
          <w:szCs w:val="24"/>
          <w:lang w:val="en-US"/>
        </w:rPr>
      </w:pPr>
      <w:r w:rsidRPr="0046706F">
        <w:rPr>
          <w:rFonts w:ascii="Times New Roman" w:hAnsi="Times New Roman" w:cs="Times New Roman"/>
          <w:sz w:val="24"/>
          <w:szCs w:val="24"/>
          <w:lang w:val="en-US"/>
        </w:rPr>
        <w:lastRenderedPageBreak/>
        <w:t xml:space="preserve">Separately for the non-anticoagulated and anticoagulated patients, </w:t>
      </w:r>
      <w:r w:rsidR="007D2956" w:rsidRPr="0046706F">
        <w:rPr>
          <w:rFonts w:ascii="Times New Roman" w:eastAsia="AdvTimes" w:hAnsi="Times New Roman" w:cs="Times New Roman"/>
          <w:sz w:val="24"/>
          <w:szCs w:val="24"/>
          <w:lang w:val="en-US"/>
        </w:rPr>
        <w:t>risk</w:t>
      </w:r>
      <w:r w:rsidR="00BE13CB" w:rsidRPr="0046706F">
        <w:rPr>
          <w:rFonts w:ascii="Times New Roman" w:eastAsia="AdvTimes" w:hAnsi="Times New Roman" w:cs="Times New Roman"/>
          <w:sz w:val="24"/>
          <w:szCs w:val="24"/>
          <w:lang w:val="en-US"/>
        </w:rPr>
        <w:t>s</w:t>
      </w:r>
      <w:r w:rsidR="007D2956" w:rsidRPr="0046706F">
        <w:rPr>
          <w:rFonts w:ascii="Times New Roman" w:eastAsia="AdvTimes" w:hAnsi="Times New Roman" w:cs="Times New Roman"/>
          <w:sz w:val="24"/>
          <w:szCs w:val="24"/>
          <w:lang w:val="en-US"/>
        </w:rPr>
        <w:t xml:space="preserve"> of thromboembolism and major bleeding after 1 year </w:t>
      </w:r>
      <w:r w:rsidR="007A6248" w:rsidRPr="0046706F">
        <w:rPr>
          <w:rFonts w:ascii="Times New Roman" w:eastAsia="AdvTimes" w:hAnsi="Times New Roman" w:cs="Times New Roman"/>
          <w:sz w:val="24"/>
          <w:szCs w:val="24"/>
          <w:lang w:val="en-US"/>
        </w:rPr>
        <w:t xml:space="preserve">of </w:t>
      </w:r>
      <w:r w:rsidR="007D2956" w:rsidRPr="0046706F">
        <w:rPr>
          <w:rFonts w:ascii="Times New Roman" w:eastAsia="AdvTimes" w:hAnsi="Times New Roman" w:cs="Times New Roman"/>
          <w:sz w:val="24"/>
          <w:szCs w:val="24"/>
          <w:lang w:val="en-US"/>
        </w:rPr>
        <w:t xml:space="preserve">follow-up according to EHRA classification and </w:t>
      </w:r>
      <w:r w:rsidR="007D2956" w:rsidRPr="0046706F">
        <w:rPr>
          <w:rFonts w:ascii="Times New Roman" w:hAnsi="Times New Roman" w:cs="Times New Roman"/>
          <w:sz w:val="24"/>
          <w:szCs w:val="24"/>
          <w:lang w:val="en-US"/>
        </w:rPr>
        <w:t>subgroups of EHRA Type 1 VHD and EHRA Type 2 VHD</w:t>
      </w:r>
      <w:r w:rsidR="007D2956" w:rsidRPr="0046706F">
        <w:rPr>
          <w:rFonts w:ascii="Times New Roman" w:eastAsia="AdvTimes" w:hAnsi="Times New Roman" w:cs="Times New Roman"/>
          <w:sz w:val="24"/>
          <w:szCs w:val="24"/>
          <w:lang w:val="en-US"/>
        </w:rPr>
        <w:t xml:space="preserve"> are presented in </w:t>
      </w:r>
      <w:r w:rsidR="007D2956" w:rsidRPr="0046706F">
        <w:rPr>
          <w:rFonts w:ascii="Times New Roman" w:eastAsia="AdvTimes" w:hAnsi="Times New Roman" w:cs="Times New Roman"/>
          <w:b/>
          <w:sz w:val="24"/>
          <w:szCs w:val="24"/>
          <w:lang w:val="en-US"/>
        </w:rPr>
        <w:t>Table 2</w:t>
      </w:r>
      <w:r w:rsidR="008C59DD" w:rsidRPr="0046706F">
        <w:rPr>
          <w:rFonts w:ascii="Times New Roman" w:eastAsia="AdvTimes" w:hAnsi="Times New Roman" w:cs="Times New Roman"/>
          <w:b/>
          <w:sz w:val="24"/>
          <w:szCs w:val="24"/>
          <w:lang w:val="en-US"/>
        </w:rPr>
        <w:t xml:space="preserve"> </w:t>
      </w:r>
      <w:r w:rsidR="008C59DD" w:rsidRPr="0046706F">
        <w:rPr>
          <w:rFonts w:ascii="Times New Roman" w:eastAsia="AdvTimes" w:hAnsi="Times New Roman" w:cs="Times New Roman"/>
          <w:sz w:val="24"/>
          <w:szCs w:val="24"/>
          <w:lang w:val="en-US"/>
        </w:rPr>
        <w:t>and</w:t>
      </w:r>
      <w:r w:rsidR="008C59DD" w:rsidRPr="0046706F">
        <w:rPr>
          <w:rFonts w:ascii="Times New Roman" w:eastAsia="AdvTimes" w:hAnsi="Times New Roman" w:cs="Times New Roman"/>
          <w:b/>
          <w:sz w:val="24"/>
          <w:szCs w:val="24"/>
          <w:lang w:val="en-US"/>
        </w:rPr>
        <w:t xml:space="preserve"> Table 3</w:t>
      </w:r>
      <w:r w:rsidR="007D2956" w:rsidRPr="0046706F">
        <w:rPr>
          <w:rFonts w:ascii="Times New Roman" w:eastAsia="AdvTimes" w:hAnsi="Times New Roman" w:cs="Times New Roman"/>
          <w:sz w:val="24"/>
          <w:szCs w:val="24"/>
          <w:lang w:val="en-US"/>
        </w:rPr>
        <w:t>.</w:t>
      </w:r>
      <w:r w:rsidR="007D2956" w:rsidRPr="0046706F">
        <w:rPr>
          <w:rFonts w:ascii="Times New Roman" w:hAnsi="Times New Roman" w:cs="Times New Roman"/>
          <w:sz w:val="24"/>
          <w:szCs w:val="24"/>
          <w:lang w:val="en-US"/>
        </w:rPr>
        <w:t xml:space="preserve"> </w:t>
      </w:r>
      <w:r w:rsidR="005246FC" w:rsidRPr="0046706F">
        <w:rPr>
          <w:rFonts w:ascii="Times New Roman" w:hAnsi="Times New Roman" w:cs="Times New Roman"/>
          <w:sz w:val="24"/>
          <w:szCs w:val="24"/>
          <w:lang w:val="en-US"/>
        </w:rPr>
        <w:t>Overall</w:t>
      </w:r>
      <w:r w:rsidR="009D3AFF" w:rsidRPr="0046706F">
        <w:rPr>
          <w:rFonts w:ascii="Times New Roman" w:hAnsi="Times New Roman" w:cs="Times New Roman"/>
          <w:sz w:val="24"/>
          <w:szCs w:val="24"/>
          <w:lang w:val="en-US"/>
        </w:rPr>
        <w:t xml:space="preserve">, </w:t>
      </w:r>
      <w:r w:rsidR="0036027D" w:rsidRPr="0046706F">
        <w:rPr>
          <w:rFonts w:ascii="Times New Roman" w:hAnsi="Times New Roman" w:cs="Times New Roman"/>
          <w:sz w:val="24"/>
          <w:szCs w:val="24"/>
          <w:lang w:val="en-US"/>
        </w:rPr>
        <w:t xml:space="preserve">we observed the highest </w:t>
      </w:r>
      <w:r w:rsidR="0036027D" w:rsidRPr="0046706F">
        <w:rPr>
          <w:rFonts w:ascii="Times New Roman" w:eastAsia="AdvTimes" w:hAnsi="Times New Roman" w:cs="Times New Roman"/>
          <w:sz w:val="24"/>
          <w:szCs w:val="24"/>
          <w:lang w:val="en-US"/>
        </w:rPr>
        <w:t>risks of thromboembolism in the non-anticoagulated AF patients with EHRA Type 1 and Type 2 VHD (</w:t>
      </w:r>
      <w:r w:rsidR="00E3404E" w:rsidRPr="00E3404E">
        <w:rPr>
          <w:rFonts w:ascii="Times New Roman" w:eastAsia="AdvTimes" w:hAnsi="Times New Roman" w:cs="Times New Roman"/>
          <w:color w:val="FFC000"/>
          <w:sz w:val="24"/>
          <w:szCs w:val="24"/>
          <w:lang w:val="en-US"/>
        </w:rPr>
        <w:t xml:space="preserve">4.9%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 xml:space="preserve">2.6% </w:t>
      </w:r>
      <w:r w:rsidR="00E3404E" w:rsidRPr="00E3404E">
        <w:rPr>
          <w:rFonts w:ascii="Times New Roman" w:eastAsia="AdvTimes" w:hAnsi="Times New Roman" w:cs="Times New Roman"/>
          <w:sz w:val="24"/>
          <w:szCs w:val="24"/>
          <w:lang w:val="en-US"/>
        </w:rPr>
        <w:t>and</w:t>
      </w:r>
      <w:r w:rsidR="00E3404E" w:rsidRPr="00E3404E">
        <w:rPr>
          <w:rFonts w:ascii="Times New Roman" w:eastAsia="AdvTimes" w:hAnsi="Times New Roman" w:cs="Times New Roman"/>
          <w:color w:val="FFC000"/>
          <w:sz w:val="24"/>
          <w:szCs w:val="24"/>
          <w:lang w:val="en-US"/>
        </w:rPr>
        <w:t xml:space="preserve"> 3.2% </w:t>
      </w:r>
      <w:r w:rsidR="00E3404E" w:rsidRPr="00E3404E">
        <w:rPr>
          <w:rFonts w:ascii="Times New Roman" w:eastAsia="AdvTimes" w:hAnsi="Times New Roman" w:cs="Times New Roman"/>
          <w:sz w:val="24"/>
          <w:szCs w:val="24"/>
          <w:lang w:val="en-US"/>
        </w:rPr>
        <w:t xml:space="preserve">vs. </w:t>
      </w:r>
      <w:r w:rsidR="0036027D" w:rsidRPr="00E3404E">
        <w:rPr>
          <w:rFonts w:ascii="Times New Roman" w:eastAsia="AdvTimes" w:hAnsi="Times New Roman" w:cs="Times New Roman"/>
          <w:color w:val="FFC000"/>
          <w:sz w:val="24"/>
          <w:szCs w:val="24"/>
          <w:lang w:val="en-US"/>
        </w:rPr>
        <w:t>1</w:t>
      </w:r>
      <w:r w:rsidR="00E3404E" w:rsidRPr="00E3404E">
        <w:rPr>
          <w:rFonts w:ascii="Times New Roman" w:eastAsia="AdvTimes" w:hAnsi="Times New Roman" w:cs="Times New Roman"/>
          <w:color w:val="FFC000"/>
          <w:sz w:val="24"/>
          <w:szCs w:val="24"/>
          <w:lang w:val="en-US"/>
        </w:rPr>
        <w:t>.9</w:t>
      </w:r>
      <w:r w:rsidR="0036027D" w:rsidRPr="00E3404E">
        <w:rPr>
          <w:rFonts w:ascii="Times New Roman" w:eastAsia="AdvTimes" w:hAnsi="Times New Roman" w:cs="Times New Roman"/>
          <w:color w:val="FFC000"/>
          <w:sz w:val="24"/>
          <w:szCs w:val="24"/>
          <w:lang w:val="en-US"/>
        </w:rPr>
        <w:t>%</w:t>
      </w:r>
      <w:r w:rsidR="0036027D" w:rsidRPr="00E3404E">
        <w:rPr>
          <w:rFonts w:ascii="Times New Roman" w:eastAsia="AdvTimes" w:hAnsi="Times New Roman" w:cs="Times New Roman"/>
          <w:sz w:val="24"/>
          <w:szCs w:val="24"/>
          <w:lang w:val="en-US"/>
        </w:rPr>
        <w:t>,</w:t>
      </w:r>
      <w:r w:rsidR="0036027D" w:rsidRPr="00E3404E">
        <w:rPr>
          <w:rFonts w:ascii="Times New Roman" w:eastAsia="AdvTimes" w:hAnsi="Times New Roman" w:cs="Times New Roman"/>
          <w:color w:val="FFC000"/>
          <w:sz w:val="24"/>
          <w:szCs w:val="24"/>
          <w:lang w:val="en-US"/>
        </w:rPr>
        <w:t xml:space="preserve"> </w:t>
      </w:r>
      <w:r w:rsidR="0036027D" w:rsidRPr="0046706F">
        <w:rPr>
          <w:rFonts w:ascii="Times New Roman" w:eastAsia="AdvTimes" w:hAnsi="Times New Roman" w:cs="Times New Roman"/>
          <w:sz w:val="24"/>
          <w:szCs w:val="24"/>
          <w:lang w:val="en-US"/>
        </w:rPr>
        <w:t>respectively) and the highest risks of bleeding in the anticoagulated AF patients with EHRA Type 1 and Type 2 VHD (</w:t>
      </w:r>
      <w:r w:rsidR="00E3404E" w:rsidRPr="00E3404E">
        <w:rPr>
          <w:rFonts w:ascii="Times New Roman" w:eastAsia="AdvTimes" w:hAnsi="Times New Roman" w:cs="Times New Roman"/>
          <w:color w:val="FFC000"/>
          <w:sz w:val="24"/>
          <w:szCs w:val="24"/>
          <w:lang w:val="en-US"/>
        </w:rPr>
        <w:t xml:space="preserve">6.6%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 xml:space="preserve">4.3% </w:t>
      </w:r>
      <w:r w:rsidR="00E3404E" w:rsidRPr="00E3404E">
        <w:rPr>
          <w:rFonts w:ascii="Times New Roman" w:eastAsia="AdvTimes" w:hAnsi="Times New Roman" w:cs="Times New Roman"/>
          <w:sz w:val="24"/>
          <w:szCs w:val="24"/>
          <w:lang w:val="en-US"/>
        </w:rPr>
        <w:t xml:space="preserve">and </w:t>
      </w:r>
      <w:r w:rsidR="00E3404E" w:rsidRPr="00E3404E">
        <w:rPr>
          <w:rFonts w:ascii="Times New Roman" w:eastAsia="AdvTimes" w:hAnsi="Times New Roman" w:cs="Times New Roman"/>
          <w:color w:val="FFC000"/>
          <w:sz w:val="24"/>
          <w:szCs w:val="24"/>
          <w:lang w:val="en-US"/>
        </w:rPr>
        <w:t xml:space="preserve">6.1% </w:t>
      </w:r>
      <w:r w:rsidR="00E3404E" w:rsidRPr="00E3404E">
        <w:rPr>
          <w:rFonts w:ascii="Times New Roman" w:eastAsia="AdvTimes" w:hAnsi="Times New Roman" w:cs="Times New Roman"/>
          <w:sz w:val="24"/>
          <w:szCs w:val="24"/>
          <w:lang w:val="en-US"/>
        </w:rPr>
        <w:t xml:space="preserve">vs. </w:t>
      </w:r>
      <w:r w:rsidR="00E3404E" w:rsidRPr="00E3404E">
        <w:rPr>
          <w:rFonts w:ascii="Times New Roman" w:eastAsia="AdvTimes" w:hAnsi="Times New Roman" w:cs="Times New Roman"/>
          <w:color w:val="FFC000"/>
          <w:sz w:val="24"/>
          <w:szCs w:val="24"/>
          <w:lang w:val="en-US"/>
        </w:rPr>
        <w:t>4.9</w:t>
      </w:r>
      <w:r w:rsidR="0036027D" w:rsidRPr="00E3404E">
        <w:rPr>
          <w:rFonts w:ascii="Times New Roman" w:eastAsia="AdvTimes" w:hAnsi="Times New Roman" w:cs="Times New Roman"/>
          <w:color w:val="FFC000"/>
          <w:sz w:val="24"/>
          <w:szCs w:val="24"/>
          <w:lang w:val="en-US"/>
        </w:rPr>
        <w:t>%</w:t>
      </w:r>
      <w:r w:rsidR="00D874FA" w:rsidRPr="00E3404E">
        <w:rPr>
          <w:rFonts w:ascii="Times New Roman" w:eastAsia="AdvTimes" w:hAnsi="Times New Roman" w:cs="Times New Roman"/>
          <w:color w:val="FFC000"/>
          <w:sz w:val="24"/>
          <w:szCs w:val="24"/>
          <w:lang w:val="en-US"/>
        </w:rPr>
        <w:t xml:space="preserve">, </w:t>
      </w:r>
      <w:r w:rsidR="00D874FA" w:rsidRPr="0046706F">
        <w:rPr>
          <w:rFonts w:ascii="Times New Roman" w:eastAsia="AdvTimes" w:hAnsi="Times New Roman" w:cs="Times New Roman"/>
          <w:sz w:val="24"/>
          <w:szCs w:val="24"/>
          <w:lang w:val="en-US"/>
        </w:rPr>
        <w:t>respectively).</w:t>
      </w:r>
      <w:r w:rsidR="00190280" w:rsidRPr="0046706F">
        <w:rPr>
          <w:rFonts w:ascii="Times New Roman" w:eastAsia="AdvTimes" w:hAnsi="Times New Roman" w:cs="Times New Roman"/>
          <w:sz w:val="24"/>
          <w:szCs w:val="24"/>
          <w:lang w:val="en-US"/>
        </w:rPr>
        <w:t xml:space="preserve"> </w:t>
      </w:r>
      <w:r w:rsidR="00AA2980" w:rsidRPr="0046706F">
        <w:rPr>
          <w:rFonts w:ascii="Times New Roman" w:eastAsia="AdvTimes" w:hAnsi="Times New Roman" w:cs="Times New Roman"/>
          <w:sz w:val="24"/>
          <w:szCs w:val="24"/>
          <w:lang w:val="en-US"/>
        </w:rPr>
        <w:t xml:space="preserve">For the subgroups, </w:t>
      </w:r>
      <w:r w:rsidR="00FA2BBF" w:rsidRPr="0046706F">
        <w:rPr>
          <w:rFonts w:ascii="Times New Roman" w:eastAsia="AdvTimes" w:hAnsi="Times New Roman" w:cs="Times New Roman"/>
          <w:sz w:val="24"/>
          <w:szCs w:val="24"/>
          <w:lang w:val="en-US"/>
        </w:rPr>
        <w:t xml:space="preserve">we observed </w:t>
      </w:r>
      <w:r w:rsidR="00AA2980" w:rsidRPr="0046706F">
        <w:rPr>
          <w:rFonts w:ascii="Times New Roman" w:eastAsia="AdvTimes" w:hAnsi="Times New Roman" w:cs="Times New Roman"/>
          <w:sz w:val="24"/>
          <w:szCs w:val="24"/>
          <w:lang w:val="en-US"/>
        </w:rPr>
        <w:t xml:space="preserve">the </w:t>
      </w:r>
      <w:r w:rsidR="00FA2BBF" w:rsidRPr="0046706F">
        <w:rPr>
          <w:rFonts w:ascii="Times New Roman" w:eastAsia="AdvTimes" w:hAnsi="Times New Roman" w:cs="Times New Roman"/>
          <w:sz w:val="24"/>
          <w:szCs w:val="24"/>
          <w:lang w:val="en-US"/>
        </w:rPr>
        <w:t xml:space="preserve">highest </w:t>
      </w:r>
      <w:r w:rsidR="00AA2980" w:rsidRPr="0046706F">
        <w:rPr>
          <w:rFonts w:ascii="Times New Roman" w:eastAsia="AdvTimes" w:hAnsi="Times New Roman" w:cs="Times New Roman"/>
          <w:sz w:val="24"/>
          <w:szCs w:val="24"/>
          <w:lang w:val="en-US"/>
        </w:rPr>
        <w:t>risk of thromboembolism in</w:t>
      </w:r>
      <w:r w:rsidR="00FA2BBF" w:rsidRPr="0046706F">
        <w:rPr>
          <w:rFonts w:ascii="Times New Roman" w:eastAsia="AdvTimes" w:hAnsi="Times New Roman" w:cs="Times New Roman"/>
          <w:sz w:val="24"/>
          <w:szCs w:val="24"/>
          <w:lang w:val="en-US"/>
        </w:rPr>
        <w:t xml:space="preserve"> </w:t>
      </w:r>
      <w:r w:rsidR="00341063" w:rsidRPr="0046706F">
        <w:rPr>
          <w:rFonts w:ascii="Times New Roman" w:eastAsia="AdvTimes" w:hAnsi="Times New Roman" w:cs="Times New Roman"/>
          <w:sz w:val="24"/>
          <w:szCs w:val="24"/>
          <w:lang w:val="en-US"/>
        </w:rPr>
        <w:t>non-anticoagulated patients with</w:t>
      </w:r>
      <w:r w:rsidR="00FA2BBF" w:rsidRPr="0046706F">
        <w:rPr>
          <w:rFonts w:ascii="Times New Roman" w:eastAsia="AdvTimes" w:hAnsi="Times New Roman" w:cs="Times New Roman"/>
          <w:sz w:val="24"/>
          <w:szCs w:val="24"/>
          <w:lang w:val="en-US"/>
        </w:rPr>
        <w:t xml:space="preserve"> mitral</w:t>
      </w:r>
      <w:r w:rsidR="00AA2980" w:rsidRPr="0046706F">
        <w:rPr>
          <w:rFonts w:ascii="Times New Roman" w:eastAsia="AdvTimes" w:hAnsi="Times New Roman" w:cs="Times New Roman"/>
          <w:sz w:val="24"/>
          <w:szCs w:val="24"/>
          <w:lang w:val="en-US"/>
        </w:rPr>
        <w:t xml:space="preserve"> stenosis</w:t>
      </w:r>
      <w:r w:rsidR="00FA2BBF" w:rsidRPr="0046706F">
        <w:rPr>
          <w:rFonts w:ascii="Times New Roman" w:eastAsia="AdvTimes" w:hAnsi="Times New Roman" w:cs="Times New Roman"/>
          <w:sz w:val="24"/>
          <w:szCs w:val="24"/>
          <w:lang w:val="en-US"/>
        </w:rPr>
        <w:t>, both in the anticoagulated and non-anticoagulated patients</w:t>
      </w:r>
      <w:r w:rsidR="00341063" w:rsidRPr="0046706F">
        <w:rPr>
          <w:rFonts w:ascii="Times New Roman" w:eastAsia="AdvTimes" w:hAnsi="Times New Roman" w:cs="Times New Roman"/>
          <w:sz w:val="24"/>
          <w:szCs w:val="24"/>
          <w:lang w:val="en-US"/>
        </w:rPr>
        <w:t xml:space="preserve">. For the endpoint of </w:t>
      </w:r>
      <w:r w:rsidR="00AA2980" w:rsidRPr="0046706F">
        <w:rPr>
          <w:rFonts w:ascii="Times New Roman" w:eastAsia="AdvTimes" w:hAnsi="Times New Roman" w:cs="Times New Roman"/>
          <w:sz w:val="24"/>
          <w:szCs w:val="24"/>
          <w:lang w:val="en-US"/>
        </w:rPr>
        <w:t>major bleeding</w:t>
      </w:r>
      <w:r w:rsidR="00341063" w:rsidRPr="0046706F">
        <w:rPr>
          <w:rFonts w:ascii="Times New Roman" w:eastAsia="AdvTimes" w:hAnsi="Times New Roman" w:cs="Times New Roman"/>
          <w:sz w:val="24"/>
          <w:szCs w:val="24"/>
          <w:lang w:val="en-US"/>
        </w:rPr>
        <w:t>, we observed the highest risk</w:t>
      </w:r>
      <w:r w:rsidR="00AA2980" w:rsidRPr="0046706F">
        <w:rPr>
          <w:rFonts w:ascii="Times New Roman" w:eastAsia="AdvTimes" w:hAnsi="Times New Roman" w:cs="Times New Roman"/>
          <w:sz w:val="24"/>
          <w:szCs w:val="24"/>
          <w:lang w:val="en-US"/>
        </w:rPr>
        <w:t xml:space="preserve"> in </w:t>
      </w:r>
      <w:r w:rsidR="005246FC" w:rsidRPr="0046706F">
        <w:rPr>
          <w:rFonts w:ascii="Times New Roman" w:eastAsia="AdvTimes" w:hAnsi="Times New Roman" w:cs="Times New Roman"/>
          <w:sz w:val="24"/>
          <w:szCs w:val="24"/>
          <w:lang w:val="en-US"/>
        </w:rPr>
        <w:t xml:space="preserve">non-anticoagulated </w:t>
      </w:r>
      <w:r w:rsidR="00AA2980" w:rsidRPr="0046706F">
        <w:rPr>
          <w:rFonts w:ascii="Times New Roman" w:eastAsia="AdvTimes" w:hAnsi="Times New Roman" w:cs="Times New Roman"/>
          <w:sz w:val="24"/>
          <w:szCs w:val="24"/>
          <w:lang w:val="en-US"/>
        </w:rPr>
        <w:t>patients with a</w:t>
      </w:r>
      <w:r w:rsidR="00372102" w:rsidRPr="0046706F">
        <w:rPr>
          <w:rFonts w:ascii="Times New Roman" w:eastAsia="AdvTimes" w:hAnsi="Times New Roman" w:cs="Times New Roman"/>
          <w:sz w:val="24"/>
          <w:szCs w:val="24"/>
          <w:lang w:val="en-US"/>
        </w:rPr>
        <w:t xml:space="preserve"> </w:t>
      </w:r>
      <w:r w:rsidR="00BE23BA" w:rsidRPr="0046706F">
        <w:rPr>
          <w:rFonts w:ascii="Times New Roman" w:eastAsia="AdvTimes" w:hAnsi="Times New Roman" w:cs="Times New Roman"/>
          <w:sz w:val="24"/>
          <w:szCs w:val="24"/>
          <w:lang w:val="en-US"/>
        </w:rPr>
        <w:t>bioprosthetic aortic valve replacement</w:t>
      </w:r>
      <w:r w:rsidR="00FA2BBF" w:rsidRPr="0046706F">
        <w:rPr>
          <w:rFonts w:ascii="Times New Roman" w:eastAsia="AdvTimes" w:hAnsi="Times New Roman" w:cs="Times New Roman"/>
          <w:sz w:val="24"/>
          <w:szCs w:val="24"/>
          <w:lang w:val="en-US"/>
        </w:rPr>
        <w:t xml:space="preserve"> and</w:t>
      </w:r>
      <w:r w:rsidR="005246FC" w:rsidRPr="0046706F">
        <w:rPr>
          <w:rFonts w:ascii="Times New Roman" w:eastAsia="AdvTimes" w:hAnsi="Times New Roman" w:cs="Times New Roman"/>
          <w:sz w:val="24"/>
          <w:szCs w:val="24"/>
          <w:lang w:val="en-US"/>
        </w:rPr>
        <w:t xml:space="preserve"> </w:t>
      </w:r>
      <w:r w:rsidR="00AA2980" w:rsidRPr="0046706F">
        <w:rPr>
          <w:rFonts w:ascii="Times New Roman" w:eastAsia="AdvTimes" w:hAnsi="Times New Roman" w:cs="Times New Roman"/>
          <w:sz w:val="24"/>
          <w:szCs w:val="24"/>
          <w:lang w:val="en-US"/>
        </w:rPr>
        <w:t xml:space="preserve">in </w:t>
      </w:r>
      <w:r w:rsidR="005246FC" w:rsidRPr="0046706F">
        <w:rPr>
          <w:rFonts w:ascii="Times New Roman" w:eastAsia="AdvTimes" w:hAnsi="Times New Roman" w:cs="Times New Roman"/>
          <w:sz w:val="24"/>
          <w:szCs w:val="24"/>
          <w:lang w:val="en-US"/>
        </w:rPr>
        <w:t>the anticoagulated</w:t>
      </w:r>
      <w:r w:rsidR="00AA2980" w:rsidRPr="0046706F">
        <w:rPr>
          <w:rFonts w:ascii="Times New Roman" w:eastAsia="AdvTimes" w:hAnsi="Times New Roman" w:cs="Times New Roman"/>
          <w:sz w:val="24"/>
          <w:szCs w:val="24"/>
          <w:lang w:val="en-US"/>
        </w:rPr>
        <w:t xml:space="preserve"> patients with ‘other valve disease</w:t>
      </w:r>
      <w:r w:rsidR="00341063" w:rsidRPr="0046706F">
        <w:rPr>
          <w:rFonts w:ascii="Times New Roman" w:eastAsia="AdvTimes" w:hAnsi="Times New Roman" w:cs="Times New Roman"/>
          <w:sz w:val="24"/>
          <w:szCs w:val="24"/>
          <w:lang w:val="en-US"/>
        </w:rPr>
        <w:t>/procedure</w:t>
      </w:r>
      <w:r w:rsidR="00AA2980" w:rsidRPr="0046706F">
        <w:rPr>
          <w:rFonts w:ascii="Times New Roman" w:eastAsia="AdvTimes" w:hAnsi="Times New Roman" w:cs="Times New Roman"/>
          <w:sz w:val="24"/>
          <w:szCs w:val="24"/>
          <w:lang w:val="en-US"/>
        </w:rPr>
        <w:t>’.</w:t>
      </w:r>
      <w:r w:rsidR="0024057B" w:rsidRPr="0024057B">
        <w:rPr>
          <w:lang w:val="en-US"/>
        </w:rPr>
        <w:t xml:space="preserve"> </w:t>
      </w:r>
      <w:r w:rsidR="0024057B" w:rsidRPr="0024057B">
        <w:rPr>
          <w:rFonts w:ascii="Times New Roman" w:eastAsia="AdvTimes" w:hAnsi="Times New Roman" w:cs="Times New Roman"/>
          <w:sz w:val="24"/>
          <w:szCs w:val="24"/>
          <w:lang w:val="en-US"/>
        </w:rPr>
        <w:t>Due to the low number of patients in the non-anticoagulated subgroup with a bioprosthetic mitral valve replacement, a reliable risk estimate will not be obtainable and, therefore, the absolute risks of events were not calculated in this subgroup.</w:t>
      </w:r>
    </w:p>
    <w:p w14:paraId="79D79F11" w14:textId="77777777" w:rsidR="00C84C33" w:rsidRDefault="00C84C33" w:rsidP="00AA2980">
      <w:pPr>
        <w:pStyle w:val="Ingenafstand"/>
        <w:spacing w:line="480" w:lineRule="auto"/>
        <w:jc w:val="both"/>
        <w:rPr>
          <w:rFonts w:ascii="Times New Roman" w:eastAsia="AdvTimes" w:hAnsi="Times New Roman" w:cs="Times New Roman"/>
          <w:sz w:val="24"/>
          <w:szCs w:val="24"/>
          <w:lang w:val="en-US"/>
        </w:rPr>
      </w:pPr>
    </w:p>
    <w:p w14:paraId="237C895C" w14:textId="77777777" w:rsidR="00C84C33" w:rsidRPr="00C84C33" w:rsidRDefault="00C84C33" w:rsidP="00AA2980">
      <w:pPr>
        <w:pStyle w:val="Ingenafstand"/>
        <w:spacing w:line="480" w:lineRule="auto"/>
        <w:jc w:val="both"/>
        <w:rPr>
          <w:rFonts w:ascii="Times New Roman" w:eastAsia="AdvTimes" w:hAnsi="Times New Roman" w:cs="Times New Roman"/>
          <w:i/>
          <w:color w:val="FFC000"/>
          <w:sz w:val="24"/>
          <w:szCs w:val="24"/>
          <w:lang w:val="en-US"/>
        </w:rPr>
      </w:pPr>
      <w:proofErr w:type="spellStart"/>
      <w:r w:rsidRPr="00C84C33">
        <w:rPr>
          <w:rFonts w:ascii="Times New Roman" w:eastAsia="AdvTimes" w:hAnsi="Times New Roman" w:cs="Times New Roman"/>
          <w:i/>
          <w:color w:val="FFC000"/>
          <w:sz w:val="24"/>
          <w:szCs w:val="24"/>
          <w:lang w:val="en-US"/>
        </w:rPr>
        <w:t>Subanalyses</w:t>
      </w:r>
      <w:proofErr w:type="spellEnd"/>
    </w:p>
    <w:p w14:paraId="22B900CD" w14:textId="038A9D8C" w:rsidR="00C84C33" w:rsidRPr="00104FC2" w:rsidRDefault="00C84C33" w:rsidP="00AA2980">
      <w:pPr>
        <w:pStyle w:val="Ingenafstand"/>
        <w:spacing w:line="480" w:lineRule="auto"/>
        <w:jc w:val="both"/>
        <w:rPr>
          <w:rFonts w:ascii="Times New Roman" w:hAnsi="Times New Roman" w:cs="Times New Roman"/>
          <w:bCs/>
          <w:color w:val="FFC000"/>
          <w:sz w:val="24"/>
          <w:szCs w:val="24"/>
          <w:lang w:val="en-US" w:bidi="th-TH"/>
        </w:rPr>
      </w:pPr>
      <w:r w:rsidRPr="00C84C33">
        <w:rPr>
          <w:rFonts w:ascii="Times New Roman" w:eastAsia="AdvTimes" w:hAnsi="Times New Roman" w:cs="Times New Roman"/>
          <w:color w:val="FFC000"/>
          <w:sz w:val="24"/>
          <w:szCs w:val="24"/>
          <w:lang w:val="en-US"/>
        </w:rPr>
        <w:t xml:space="preserve">The baseline characteristics of patients with mitral regurgitation and coexisting/no ischemic </w:t>
      </w:r>
      <w:r w:rsidR="00E11201">
        <w:rPr>
          <w:rFonts w:ascii="Times New Roman" w:eastAsia="AdvTimes" w:hAnsi="Times New Roman" w:cs="Times New Roman"/>
          <w:color w:val="FFC000"/>
          <w:sz w:val="24"/>
          <w:szCs w:val="24"/>
          <w:lang w:val="en-US"/>
        </w:rPr>
        <w:t>heart disease are</w:t>
      </w:r>
      <w:r w:rsidRPr="00C84C33">
        <w:rPr>
          <w:rFonts w:ascii="Times New Roman" w:eastAsia="AdvTimes" w:hAnsi="Times New Roman" w:cs="Times New Roman"/>
          <w:color w:val="FFC000"/>
          <w:sz w:val="24"/>
          <w:szCs w:val="24"/>
          <w:lang w:val="en-US"/>
        </w:rPr>
        <w:t xml:space="preserve"> described in </w:t>
      </w:r>
      <w:proofErr w:type="spellStart"/>
      <w:r w:rsidRPr="00C84C33">
        <w:rPr>
          <w:rFonts w:ascii="Times New Roman" w:eastAsia="AdvTimes" w:hAnsi="Times New Roman" w:cs="Times New Roman"/>
          <w:b/>
          <w:color w:val="FFC000"/>
          <w:sz w:val="24"/>
          <w:szCs w:val="24"/>
          <w:lang w:val="en-US"/>
        </w:rPr>
        <w:t>eTable</w:t>
      </w:r>
      <w:proofErr w:type="spellEnd"/>
      <w:r w:rsidRPr="00C84C33">
        <w:rPr>
          <w:rFonts w:ascii="Times New Roman" w:eastAsia="AdvTimes" w:hAnsi="Times New Roman" w:cs="Times New Roman"/>
          <w:b/>
          <w:color w:val="FFC000"/>
          <w:sz w:val="24"/>
          <w:szCs w:val="24"/>
          <w:lang w:val="en-US"/>
        </w:rPr>
        <w:t xml:space="preserve"> 4</w:t>
      </w:r>
      <w:r w:rsidRPr="00C84C33">
        <w:rPr>
          <w:rFonts w:ascii="Times New Roman" w:eastAsia="AdvTimes" w:hAnsi="Times New Roman" w:cs="Times New Roman"/>
          <w:color w:val="FFC000"/>
          <w:sz w:val="24"/>
          <w:szCs w:val="24"/>
          <w:lang w:val="en-US"/>
        </w:rPr>
        <w:t xml:space="preserve"> </w:t>
      </w:r>
      <w:r w:rsidRPr="00C84C33">
        <w:rPr>
          <w:rFonts w:ascii="Times New Roman" w:hAnsi="Times New Roman" w:cs="Times New Roman"/>
          <w:bCs/>
          <w:color w:val="FFC000"/>
          <w:sz w:val="24"/>
          <w:szCs w:val="24"/>
          <w:lang w:val="en-US" w:bidi="th-TH"/>
        </w:rPr>
        <w:t xml:space="preserve">in the Online </w:t>
      </w:r>
      <w:r w:rsidRPr="00104FC2">
        <w:rPr>
          <w:rFonts w:ascii="Times New Roman" w:hAnsi="Times New Roman" w:cs="Times New Roman"/>
          <w:bCs/>
          <w:color w:val="FFC000"/>
          <w:sz w:val="24"/>
          <w:szCs w:val="24"/>
          <w:lang w:val="en-US" w:bidi="th-TH"/>
        </w:rPr>
        <w:t xml:space="preserve">Resources. </w:t>
      </w:r>
      <w:r w:rsidR="00104FC2" w:rsidRPr="00104FC2">
        <w:rPr>
          <w:rFonts w:ascii="Times New Roman" w:hAnsi="Times New Roman" w:cs="Times New Roman"/>
          <w:color w:val="FFC000"/>
          <w:sz w:val="24"/>
          <w:szCs w:val="24"/>
          <w:lang w:val="en-US"/>
        </w:rPr>
        <w:t>Generally, patients with mitral regurgitation and ischemic heart disease were more often males, had a higher prevalence of comorbidities such as diabetes, hypertension, heart failure and peripheral artery disease, and were more often in antiplatelet therapy. We observed the highest risk of thromboembolisms in the non-anticoagulated patients with ischemic heart disease</w:t>
      </w:r>
      <w:r w:rsidR="00104FC2">
        <w:rPr>
          <w:rFonts w:ascii="Times New Roman" w:hAnsi="Times New Roman" w:cs="Times New Roman"/>
          <w:color w:val="FFC000"/>
          <w:sz w:val="24"/>
          <w:szCs w:val="24"/>
          <w:lang w:val="en-US"/>
        </w:rPr>
        <w:t xml:space="preserve"> and the highest risk of major bleeding in the anticoagulated patients with ischemic heart disease</w:t>
      </w:r>
      <w:r w:rsidR="00104FC2" w:rsidRPr="00104FC2">
        <w:rPr>
          <w:rFonts w:ascii="Times New Roman" w:hAnsi="Times New Roman" w:cs="Times New Roman"/>
          <w:color w:val="FFC000"/>
          <w:sz w:val="24"/>
          <w:szCs w:val="24"/>
          <w:lang w:val="en-US"/>
        </w:rPr>
        <w:t xml:space="preserve"> [</w:t>
      </w:r>
      <w:proofErr w:type="spellStart"/>
      <w:r w:rsidR="00104FC2" w:rsidRPr="00104FC2">
        <w:rPr>
          <w:rFonts w:ascii="Times New Roman" w:hAnsi="Times New Roman" w:cs="Times New Roman"/>
          <w:b/>
          <w:color w:val="FFC000"/>
          <w:sz w:val="24"/>
          <w:szCs w:val="24"/>
          <w:lang w:val="en-US"/>
        </w:rPr>
        <w:t>eTable</w:t>
      </w:r>
      <w:proofErr w:type="spellEnd"/>
      <w:r w:rsidR="00104FC2" w:rsidRPr="00104FC2">
        <w:rPr>
          <w:rFonts w:ascii="Times New Roman" w:hAnsi="Times New Roman" w:cs="Times New Roman"/>
          <w:b/>
          <w:color w:val="FFC000"/>
          <w:sz w:val="24"/>
          <w:szCs w:val="24"/>
          <w:lang w:val="en-US"/>
        </w:rPr>
        <w:t xml:space="preserve"> 5</w:t>
      </w:r>
      <w:r w:rsidR="001C42B4">
        <w:rPr>
          <w:rFonts w:ascii="Times New Roman" w:hAnsi="Times New Roman" w:cs="Times New Roman"/>
          <w:b/>
          <w:color w:val="FFC000"/>
          <w:sz w:val="24"/>
          <w:szCs w:val="24"/>
          <w:lang w:val="en-US"/>
        </w:rPr>
        <w:t xml:space="preserve"> </w:t>
      </w:r>
      <w:r w:rsidR="001C42B4" w:rsidRPr="001C42B4">
        <w:rPr>
          <w:rFonts w:ascii="Times New Roman" w:hAnsi="Times New Roman" w:cs="Times New Roman"/>
          <w:color w:val="FFC000"/>
          <w:sz w:val="24"/>
          <w:szCs w:val="24"/>
          <w:lang w:val="en-US"/>
        </w:rPr>
        <w:t>in the Online Resources</w:t>
      </w:r>
      <w:r w:rsidR="00906F88">
        <w:rPr>
          <w:rFonts w:ascii="Times New Roman" w:hAnsi="Times New Roman" w:cs="Times New Roman"/>
          <w:color w:val="FFC000"/>
          <w:sz w:val="24"/>
          <w:szCs w:val="24"/>
          <w:lang w:val="en-US"/>
        </w:rPr>
        <w:t>].</w:t>
      </w:r>
    </w:p>
    <w:p w14:paraId="3693FF6A" w14:textId="700393AE" w:rsidR="0024057B" w:rsidRDefault="00C84C33" w:rsidP="00AA2980">
      <w:pPr>
        <w:pStyle w:val="Ingenafstand"/>
        <w:spacing w:line="480" w:lineRule="auto"/>
        <w:jc w:val="both"/>
        <w:rPr>
          <w:rFonts w:ascii="Times New Roman" w:hAnsi="Times New Roman" w:cs="Times New Roman"/>
          <w:color w:val="FFC000"/>
          <w:sz w:val="24"/>
          <w:szCs w:val="24"/>
          <w:lang w:val="en-US"/>
        </w:rPr>
      </w:pPr>
      <w:r>
        <w:rPr>
          <w:rFonts w:ascii="Times New Roman" w:hAnsi="Times New Roman" w:cs="Times New Roman"/>
          <w:bCs/>
          <w:color w:val="FFC000"/>
          <w:sz w:val="24"/>
          <w:szCs w:val="24"/>
          <w:lang w:val="en-US" w:bidi="th-TH"/>
        </w:rPr>
        <w:t xml:space="preserve">When splitting the study period into two time </w:t>
      </w:r>
      <w:r w:rsidR="00C6500A">
        <w:rPr>
          <w:rFonts w:ascii="Times New Roman" w:hAnsi="Times New Roman" w:cs="Times New Roman"/>
          <w:bCs/>
          <w:color w:val="FFC000"/>
          <w:sz w:val="24"/>
          <w:szCs w:val="24"/>
          <w:lang w:val="en-US" w:bidi="th-TH"/>
        </w:rPr>
        <w:t>spans</w:t>
      </w:r>
      <w:r w:rsidRPr="00906F88">
        <w:rPr>
          <w:rFonts w:ascii="Times New Roman" w:hAnsi="Times New Roman" w:cs="Times New Roman"/>
          <w:bCs/>
          <w:color w:val="FFC000"/>
          <w:sz w:val="24"/>
          <w:szCs w:val="24"/>
          <w:lang w:val="en-US" w:bidi="th-TH"/>
        </w:rPr>
        <w:t xml:space="preserve">, we </w:t>
      </w:r>
      <w:r w:rsidR="00286674">
        <w:rPr>
          <w:rFonts w:ascii="Times New Roman" w:hAnsi="Times New Roman" w:cs="Times New Roman"/>
          <w:bCs/>
          <w:color w:val="FFC000"/>
          <w:sz w:val="24"/>
          <w:szCs w:val="24"/>
          <w:lang w:val="en-US" w:bidi="th-TH"/>
        </w:rPr>
        <w:t>overall</w:t>
      </w:r>
      <w:r w:rsidR="00C30098" w:rsidRPr="00906F88">
        <w:rPr>
          <w:rFonts w:ascii="Times New Roman" w:hAnsi="Times New Roman" w:cs="Times New Roman"/>
          <w:bCs/>
          <w:color w:val="FFC000"/>
          <w:sz w:val="24"/>
          <w:szCs w:val="24"/>
          <w:lang w:val="en-US" w:bidi="th-TH"/>
        </w:rPr>
        <w:t xml:space="preserve"> </w:t>
      </w:r>
      <w:r w:rsidRPr="00906F88">
        <w:rPr>
          <w:rFonts w:ascii="Times New Roman" w:hAnsi="Times New Roman" w:cs="Times New Roman"/>
          <w:bCs/>
          <w:color w:val="FFC000"/>
          <w:sz w:val="24"/>
          <w:szCs w:val="24"/>
          <w:lang w:val="en-US" w:bidi="th-TH"/>
        </w:rPr>
        <w:t>ob</w:t>
      </w:r>
      <w:bookmarkStart w:id="0" w:name="_GoBack"/>
      <w:bookmarkEnd w:id="0"/>
      <w:r w:rsidRPr="00906F88">
        <w:rPr>
          <w:rFonts w:ascii="Times New Roman" w:hAnsi="Times New Roman" w:cs="Times New Roman"/>
          <w:bCs/>
          <w:color w:val="FFC000"/>
          <w:sz w:val="24"/>
          <w:szCs w:val="24"/>
          <w:lang w:val="en-US" w:bidi="th-TH"/>
        </w:rPr>
        <w:t>served</w:t>
      </w:r>
      <w:r w:rsidR="00906F88">
        <w:rPr>
          <w:rFonts w:ascii="Times New Roman" w:hAnsi="Times New Roman" w:cs="Times New Roman"/>
          <w:bCs/>
          <w:color w:val="FFC000"/>
          <w:sz w:val="24"/>
          <w:szCs w:val="24"/>
          <w:lang w:val="en-US" w:bidi="th-TH"/>
        </w:rPr>
        <w:t xml:space="preserve"> similar r</w:t>
      </w:r>
      <w:r w:rsidR="00C30098" w:rsidRPr="00906F88">
        <w:rPr>
          <w:rFonts w:ascii="Times New Roman" w:hAnsi="Times New Roman" w:cs="Times New Roman"/>
          <w:bCs/>
          <w:color w:val="FFC000"/>
          <w:sz w:val="24"/>
          <w:szCs w:val="24"/>
          <w:lang w:val="en-US" w:bidi="th-TH"/>
        </w:rPr>
        <w:t>isk</w:t>
      </w:r>
      <w:r w:rsidR="00906F88">
        <w:rPr>
          <w:rFonts w:ascii="Times New Roman" w:hAnsi="Times New Roman" w:cs="Times New Roman"/>
          <w:bCs/>
          <w:color w:val="FFC000"/>
          <w:sz w:val="24"/>
          <w:szCs w:val="24"/>
          <w:lang w:val="en-US" w:bidi="th-TH"/>
        </w:rPr>
        <w:t>s</w:t>
      </w:r>
      <w:r w:rsidR="00C30098" w:rsidRPr="00906F88">
        <w:rPr>
          <w:rFonts w:ascii="Times New Roman" w:hAnsi="Times New Roman" w:cs="Times New Roman"/>
          <w:bCs/>
          <w:color w:val="FFC000"/>
          <w:sz w:val="24"/>
          <w:szCs w:val="24"/>
          <w:lang w:val="en-US" w:bidi="th-TH"/>
        </w:rPr>
        <w:t xml:space="preserve"> of events in </w:t>
      </w:r>
      <w:r w:rsidR="001738F2">
        <w:rPr>
          <w:rFonts w:ascii="Times New Roman" w:hAnsi="Times New Roman" w:cs="Times New Roman"/>
          <w:bCs/>
          <w:color w:val="FFC000"/>
          <w:sz w:val="24"/>
          <w:szCs w:val="24"/>
          <w:lang w:val="en-US" w:bidi="th-TH"/>
        </w:rPr>
        <w:t>the two</w:t>
      </w:r>
      <w:r w:rsidR="00906F88">
        <w:rPr>
          <w:rFonts w:ascii="Times New Roman" w:hAnsi="Times New Roman" w:cs="Times New Roman"/>
          <w:bCs/>
          <w:color w:val="FFC000"/>
          <w:sz w:val="24"/>
          <w:szCs w:val="24"/>
          <w:lang w:val="en-US" w:bidi="th-TH"/>
        </w:rPr>
        <w:t xml:space="preserve"> time </w:t>
      </w:r>
      <w:r w:rsidR="00C6500A">
        <w:rPr>
          <w:rFonts w:ascii="Times New Roman" w:hAnsi="Times New Roman" w:cs="Times New Roman"/>
          <w:bCs/>
          <w:color w:val="FFC000"/>
          <w:sz w:val="24"/>
          <w:szCs w:val="24"/>
          <w:lang w:val="en-US" w:bidi="th-TH"/>
        </w:rPr>
        <w:t>spans</w:t>
      </w:r>
      <w:r w:rsidR="00906F88">
        <w:rPr>
          <w:rFonts w:ascii="Times New Roman" w:hAnsi="Times New Roman" w:cs="Times New Roman"/>
          <w:bCs/>
          <w:color w:val="FFC000"/>
          <w:sz w:val="24"/>
          <w:szCs w:val="24"/>
          <w:lang w:val="en-US" w:bidi="th-TH"/>
        </w:rPr>
        <w:t xml:space="preserve">, except for the non-anticoagulated patients with </w:t>
      </w:r>
      <w:r w:rsidR="00C30098" w:rsidRPr="00906F88">
        <w:rPr>
          <w:rFonts w:ascii="Times New Roman" w:hAnsi="Times New Roman" w:cs="Times New Roman"/>
          <w:bCs/>
          <w:color w:val="FFC000"/>
          <w:sz w:val="24"/>
          <w:szCs w:val="24"/>
          <w:lang w:val="en-US" w:bidi="th-TH"/>
        </w:rPr>
        <w:t xml:space="preserve">EHRA Type 1 VHD </w:t>
      </w:r>
      <w:r w:rsidR="00906F88">
        <w:rPr>
          <w:rFonts w:ascii="Times New Roman" w:hAnsi="Times New Roman" w:cs="Times New Roman"/>
          <w:bCs/>
          <w:color w:val="FFC000"/>
          <w:sz w:val="24"/>
          <w:szCs w:val="24"/>
          <w:lang w:val="en-US" w:bidi="th-TH"/>
        </w:rPr>
        <w:t xml:space="preserve">where the risks of events were </w:t>
      </w:r>
      <w:r w:rsidR="00CA7CF8">
        <w:rPr>
          <w:rFonts w:ascii="Times New Roman" w:hAnsi="Times New Roman" w:cs="Times New Roman"/>
          <w:bCs/>
          <w:color w:val="FFC000"/>
          <w:sz w:val="24"/>
          <w:szCs w:val="24"/>
          <w:lang w:val="en-US" w:bidi="th-TH"/>
        </w:rPr>
        <w:t>considerably</w:t>
      </w:r>
      <w:r w:rsidR="00906F88">
        <w:rPr>
          <w:rFonts w:ascii="Times New Roman" w:hAnsi="Times New Roman" w:cs="Times New Roman"/>
          <w:bCs/>
          <w:color w:val="FFC000"/>
          <w:sz w:val="24"/>
          <w:szCs w:val="24"/>
          <w:lang w:val="en-US" w:bidi="th-TH"/>
        </w:rPr>
        <w:t xml:space="preserve"> higher in the time </w:t>
      </w:r>
      <w:r w:rsidR="00C6500A">
        <w:rPr>
          <w:rFonts w:ascii="Times New Roman" w:hAnsi="Times New Roman" w:cs="Times New Roman"/>
          <w:bCs/>
          <w:color w:val="FFC000"/>
          <w:sz w:val="24"/>
          <w:szCs w:val="24"/>
          <w:lang w:val="en-US" w:bidi="th-TH"/>
        </w:rPr>
        <w:t>span</w:t>
      </w:r>
      <w:r w:rsidR="00906F88">
        <w:rPr>
          <w:rFonts w:ascii="Times New Roman" w:hAnsi="Times New Roman" w:cs="Times New Roman"/>
          <w:bCs/>
          <w:color w:val="FFC000"/>
          <w:sz w:val="24"/>
          <w:szCs w:val="24"/>
          <w:lang w:val="en-US" w:bidi="th-TH"/>
        </w:rPr>
        <w:t xml:space="preserve"> 2010-2018 </w:t>
      </w:r>
      <w:r w:rsidRPr="00906F88">
        <w:rPr>
          <w:rFonts w:ascii="Times New Roman" w:hAnsi="Times New Roman" w:cs="Times New Roman"/>
          <w:bCs/>
          <w:color w:val="FFC000"/>
          <w:sz w:val="24"/>
          <w:szCs w:val="24"/>
          <w:lang w:val="en-US" w:bidi="th-TH"/>
        </w:rPr>
        <w:t>[</w:t>
      </w:r>
      <w:proofErr w:type="spellStart"/>
      <w:r w:rsidR="00826407">
        <w:rPr>
          <w:rFonts w:ascii="Times New Roman" w:hAnsi="Times New Roman" w:cs="Times New Roman"/>
          <w:b/>
          <w:bCs/>
          <w:color w:val="FFC000"/>
          <w:sz w:val="24"/>
          <w:szCs w:val="24"/>
          <w:lang w:val="en-US" w:bidi="th-TH"/>
        </w:rPr>
        <w:t>eTable</w:t>
      </w:r>
      <w:proofErr w:type="spellEnd"/>
      <w:r w:rsidR="00826407">
        <w:rPr>
          <w:rFonts w:ascii="Times New Roman" w:hAnsi="Times New Roman" w:cs="Times New Roman"/>
          <w:b/>
          <w:bCs/>
          <w:color w:val="FFC000"/>
          <w:sz w:val="24"/>
          <w:szCs w:val="24"/>
          <w:lang w:val="en-US" w:bidi="th-TH"/>
        </w:rPr>
        <w:t xml:space="preserve"> 6</w:t>
      </w:r>
      <w:r w:rsidR="00826407" w:rsidRPr="00826407">
        <w:rPr>
          <w:rFonts w:ascii="Times New Roman" w:hAnsi="Times New Roman" w:cs="Times New Roman"/>
          <w:bCs/>
          <w:color w:val="FFC000"/>
          <w:sz w:val="24"/>
          <w:szCs w:val="24"/>
          <w:lang w:val="en-US" w:bidi="th-TH"/>
        </w:rPr>
        <w:t xml:space="preserve"> in</w:t>
      </w:r>
      <w:r>
        <w:rPr>
          <w:rFonts w:ascii="Times New Roman" w:hAnsi="Times New Roman" w:cs="Times New Roman"/>
          <w:bCs/>
          <w:color w:val="FFC000"/>
          <w:sz w:val="24"/>
          <w:szCs w:val="24"/>
          <w:lang w:val="en-US" w:bidi="th-TH"/>
        </w:rPr>
        <w:t xml:space="preserve"> the Online Resources]</w:t>
      </w:r>
      <w:r w:rsidRPr="00C84C33">
        <w:rPr>
          <w:rFonts w:ascii="Times New Roman" w:hAnsi="Times New Roman" w:cs="Times New Roman"/>
          <w:bCs/>
          <w:color w:val="FFC000"/>
          <w:sz w:val="24"/>
          <w:szCs w:val="24"/>
          <w:lang w:val="en-US" w:bidi="th-TH"/>
        </w:rPr>
        <w:t>.</w:t>
      </w:r>
      <w:r w:rsidR="00725F39">
        <w:rPr>
          <w:rFonts w:ascii="Times New Roman" w:hAnsi="Times New Roman" w:cs="Times New Roman"/>
          <w:bCs/>
          <w:color w:val="FFC000"/>
          <w:sz w:val="24"/>
          <w:szCs w:val="24"/>
          <w:lang w:val="en-US" w:bidi="th-TH"/>
        </w:rPr>
        <w:t xml:space="preserve"> </w:t>
      </w:r>
      <w:r w:rsidR="00725F39">
        <w:rPr>
          <w:rFonts w:ascii="Times New Roman" w:hAnsi="Times New Roman" w:cs="Times New Roman"/>
          <w:bCs/>
          <w:color w:val="FFC000"/>
          <w:sz w:val="24"/>
          <w:szCs w:val="24"/>
          <w:lang w:val="en-US" w:bidi="th-TH"/>
        </w:rPr>
        <w:lastRenderedPageBreak/>
        <w:t xml:space="preserve">Additionally, </w:t>
      </w:r>
      <w:r w:rsidR="00725F39">
        <w:rPr>
          <w:rFonts w:ascii="Times New Roman" w:hAnsi="Times New Roman" w:cs="Times New Roman"/>
          <w:color w:val="FFC000"/>
          <w:sz w:val="24"/>
          <w:szCs w:val="24"/>
          <w:lang w:val="en-US"/>
        </w:rPr>
        <w:t xml:space="preserve">we </w:t>
      </w:r>
      <w:r w:rsidR="00286674">
        <w:rPr>
          <w:rFonts w:ascii="Times New Roman" w:hAnsi="Times New Roman" w:cs="Times New Roman"/>
          <w:color w:val="FFC000"/>
          <w:sz w:val="24"/>
          <w:szCs w:val="24"/>
          <w:lang w:val="en-US"/>
        </w:rPr>
        <w:t>overall</w:t>
      </w:r>
      <w:r w:rsidR="00725F39">
        <w:rPr>
          <w:rFonts w:ascii="Times New Roman" w:hAnsi="Times New Roman" w:cs="Times New Roman"/>
          <w:color w:val="FFC000"/>
          <w:sz w:val="24"/>
          <w:szCs w:val="24"/>
          <w:lang w:val="en-US"/>
        </w:rPr>
        <w:t xml:space="preserve"> observed slightly higher risks of major bleeding in the anticoagulated patients with EHRA Type 2 VHD </w:t>
      </w:r>
      <w:r w:rsidR="00E51026">
        <w:rPr>
          <w:rFonts w:ascii="Times New Roman" w:hAnsi="Times New Roman" w:cs="Times New Roman"/>
          <w:color w:val="FFC000"/>
          <w:sz w:val="24"/>
          <w:szCs w:val="24"/>
          <w:lang w:val="en-US"/>
        </w:rPr>
        <w:t xml:space="preserve">in the time </w:t>
      </w:r>
      <w:r w:rsidR="00C6500A">
        <w:rPr>
          <w:rFonts w:ascii="Times New Roman" w:hAnsi="Times New Roman" w:cs="Times New Roman"/>
          <w:color w:val="FFC000"/>
          <w:sz w:val="24"/>
          <w:szCs w:val="24"/>
          <w:lang w:val="en-US"/>
        </w:rPr>
        <w:t>span</w:t>
      </w:r>
      <w:r w:rsidR="00E51026">
        <w:rPr>
          <w:rFonts w:ascii="Times New Roman" w:hAnsi="Times New Roman" w:cs="Times New Roman"/>
          <w:color w:val="FFC000"/>
          <w:sz w:val="24"/>
          <w:szCs w:val="24"/>
          <w:lang w:val="en-US"/>
        </w:rPr>
        <w:t xml:space="preserve"> 2010-2018 </w:t>
      </w:r>
      <w:r w:rsidR="00725F39">
        <w:rPr>
          <w:rFonts w:ascii="Times New Roman" w:hAnsi="Times New Roman" w:cs="Times New Roman"/>
          <w:color w:val="FFC000"/>
          <w:sz w:val="24"/>
          <w:szCs w:val="24"/>
          <w:lang w:val="en-US"/>
        </w:rPr>
        <w:t xml:space="preserve">than in the first time </w:t>
      </w:r>
      <w:r w:rsidR="00C6500A">
        <w:rPr>
          <w:rFonts w:ascii="Times New Roman" w:hAnsi="Times New Roman" w:cs="Times New Roman"/>
          <w:color w:val="FFC000"/>
          <w:sz w:val="24"/>
          <w:szCs w:val="24"/>
          <w:lang w:val="en-US"/>
        </w:rPr>
        <w:t>span</w:t>
      </w:r>
      <w:r w:rsidR="00725F39">
        <w:rPr>
          <w:rFonts w:ascii="Times New Roman" w:hAnsi="Times New Roman" w:cs="Times New Roman"/>
          <w:color w:val="FFC000"/>
          <w:sz w:val="24"/>
          <w:szCs w:val="24"/>
          <w:lang w:val="en-US"/>
        </w:rPr>
        <w:t>.</w:t>
      </w:r>
      <w:r w:rsidR="00591E16">
        <w:rPr>
          <w:rFonts w:ascii="Times New Roman" w:hAnsi="Times New Roman" w:cs="Times New Roman"/>
          <w:color w:val="FFC000"/>
          <w:sz w:val="24"/>
          <w:szCs w:val="24"/>
          <w:lang w:val="en-US"/>
        </w:rPr>
        <w:t xml:space="preserve"> </w:t>
      </w:r>
    </w:p>
    <w:p w14:paraId="15BB6C28" w14:textId="77777777" w:rsidR="00906F88" w:rsidRDefault="00906F88">
      <w:pPr>
        <w:jc w:val="left"/>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36D50D8" w14:textId="242760DB" w:rsidR="001A4C32" w:rsidRPr="0046706F" w:rsidRDefault="00EE2E4E" w:rsidP="0030608D">
      <w:pPr>
        <w:tabs>
          <w:tab w:val="left" w:pos="2356"/>
        </w:tabs>
        <w:autoSpaceDE w:val="0"/>
        <w:autoSpaceDN w:val="0"/>
        <w:adjustRightInd w:val="0"/>
        <w:spacing w:after="0" w:line="480" w:lineRule="auto"/>
        <w:rPr>
          <w:rFonts w:ascii="Times New Roman" w:hAnsi="Times New Roman" w:cs="Times New Roman"/>
          <w:sz w:val="24"/>
          <w:szCs w:val="24"/>
          <w:lang w:val="en-US"/>
        </w:rPr>
      </w:pPr>
      <w:r w:rsidRPr="00906F88">
        <w:rPr>
          <w:rFonts w:ascii="Times New Roman" w:hAnsi="Times New Roman" w:cs="Times New Roman"/>
          <w:b/>
          <w:sz w:val="24"/>
          <w:szCs w:val="24"/>
          <w:lang w:val="en-US"/>
        </w:rPr>
        <w:lastRenderedPageBreak/>
        <w:t>Discussion</w:t>
      </w:r>
    </w:p>
    <w:p w14:paraId="793BE9F4" w14:textId="743668DB" w:rsidR="005246FC" w:rsidRPr="0046706F" w:rsidRDefault="0052552F" w:rsidP="005246FC">
      <w:pPr>
        <w:spacing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 xml:space="preserve">In this </w:t>
      </w:r>
      <w:r w:rsidR="007A6248" w:rsidRPr="0046706F">
        <w:rPr>
          <w:rFonts w:ascii="Times New Roman" w:hAnsi="Times New Roman" w:cs="Times New Roman"/>
          <w:sz w:val="24"/>
          <w:szCs w:val="24"/>
          <w:lang w:val="en-US"/>
        </w:rPr>
        <w:t>nationwide</w:t>
      </w:r>
      <w:r w:rsidR="00065EDB" w:rsidRPr="0046706F">
        <w:rPr>
          <w:rFonts w:ascii="Times New Roman" w:hAnsi="Times New Roman" w:cs="Times New Roman"/>
          <w:sz w:val="24"/>
          <w:szCs w:val="24"/>
          <w:lang w:val="en-US"/>
        </w:rPr>
        <w:t xml:space="preserve"> </w:t>
      </w:r>
      <w:r w:rsidR="002C4C6E" w:rsidRPr="0046706F">
        <w:rPr>
          <w:rFonts w:ascii="Times New Roman" w:hAnsi="Times New Roman" w:cs="Times New Roman"/>
          <w:sz w:val="24"/>
          <w:szCs w:val="24"/>
          <w:lang w:val="en-US"/>
        </w:rPr>
        <w:t>cohort of AF patients with VHD</w:t>
      </w:r>
      <w:r w:rsidRPr="0046706F">
        <w:rPr>
          <w:rFonts w:ascii="Times New Roman" w:hAnsi="Times New Roman" w:cs="Times New Roman"/>
          <w:sz w:val="24"/>
          <w:szCs w:val="24"/>
          <w:lang w:val="en-US"/>
        </w:rPr>
        <w:t>,</w:t>
      </w:r>
      <w:r w:rsidR="00B031B2" w:rsidRPr="0046706F">
        <w:rPr>
          <w:rFonts w:ascii="Times New Roman" w:hAnsi="Times New Roman" w:cs="Times New Roman"/>
          <w:sz w:val="24"/>
          <w:szCs w:val="24"/>
          <w:lang w:val="en-US"/>
        </w:rPr>
        <w:t xml:space="preserve"> </w:t>
      </w:r>
      <w:r w:rsidR="005246FC" w:rsidRPr="0046706F">
        <w:rPr>
          <w:rFonts w:ascii="Times New Roman" w:hAnsi="Times New Roman" w:cs="Times New Roman"/>
          <w:sz w:val="24"/>
          <w:szCs w:val="24"/>
          <w:lang w:val="en-US"/>
        </w:rPr>
        <w:t xml:space="preserve">we overall observed the highest </w:t>
      </w:r>
      <w:r w:rsidR="003D2627" w:rsidRPr="0046706F">
        <w:rPr>
          <w:rFonts w:ascii="Times New Roman" w:hAnsi="Times New Roman" w:cs="Times New Roman"/>
          <w:sz w:val="24"/>
          <w:szCs w:val="24"/>
          <w:lang w:val="en-US"/>
        </w:rPr>
        <w:t xml:space="preserve">thromboembolic </w:t>
      </w:r>
      <w:r w:rsidR="005246FC" w:rsidRPr="0046706F">
        <w:rPr>
          <w:rFonts w:ascii="Times New Roman" w:hAnsi="Times New Roman" w:cs="Times New Roman"/>
          <w:sz w:val="24"/>
          <w:szCs w:val="24"/>
          <w:lang w:val="en-US"/>
        </w:rPr>
        <w:t>risk</w:t>
      </w:r>
      <w:r w:rsidR="003D2627" w:rsidRPr="0046706F">
        <w:rPr>
          <w:rFonts w:ascii="Times New Roman" w:hAnsi="Times New Roman" w:cs="Times New Roman"/>
          <w:sz w:val="24"/>
          <w:szCs w:val="24"/>
          <w:lang w:val="en-US"/>
        </w:rPr>
        <w:t>s</w:t>
      </w:r>
      <w:r w:rsidR="005246FC" w:rsidRPr="0046706F">
        <w:rPr>
          <w:rFonts w:ascii="Times New Roman" w:hAnsi="Times New Roman" w:cs="Times New Roman"/>
          <w:sz w:val="24"/>
          <w:szCs w:val="24"/>
          <w:lang w:val="en-US"/>
        </w:rPr>
        <w:t xml:space="preserve"> in the non-anticoagulated AF patients </w:t>
      </w:r>
      <w:r w:rsidR="005246FC" w:rsidRPr="0046706F">
        <w:rPr>
          <w:rFonts w:ascii="Times New Roman" w:eastAsia="AdvTimes" w:hAnsi="Times New Roman" w:cs="Times New Roman"/>
          <w:sz w:val="24"/>
          <w:szCs w:val="24"/>
          <w:lang w:val="en-US"/>
        </w:rPr>
        <w:t xml:space="preserve">with EHRA Type 1 and Type 2 VHD and the highest </w:t>
      </w:r>
      <w:r w:rsidR="003D2627" w:rsidRPr="0046706F">
        <w:rPr>
          <w:rFonts w:ascii="Times New Roman" w:eastAsia="AdvTimes" w:hAnsi="Times New Roman" w:cs="Times New Roman"/>
          <w:sz w:val="24"/>
          <w:szCs w:val="24"/>
          <w:lang w:val="en-US"/>
        </w:rPr>
        <w:t xml:space="preserve">bleeding </w:t>
      </w:r>
      <w:r w:rsidR="005246FC" w:rsidRPr="0046706F">
        <w:rPr>
          <w:rFonts w:ascii="Times New Roman" w:eastAsia="AdvTimes" w:hAnsi="Times New Roman" w:cs="Times New Roman"/>
          <w:sz w:val="24"/>
          <w:szCs w:val="24"/>
          <w:lang w:val="en-US"/>
        </w:rPr>
        <w:t>risk</w:t>
      </w:r>
      <w:r w:rsidR="003D2627" w:rsidRPr="0046706F">
        <w:rPr>
          <w:rFonts w:ascii="Times New Roman" w:eastAsia="AdvTimes" w:hAnsi="Times New Roman" w:cs="Times New Roman"/>
          <w:sz w:val="24"/>
          <w:szCs w:val="24"/>
          <w:lang w:val="en-US"/>
        </w:rPr>
        <w:t>s</w:t>
      </w:r>
      <w:r w:rsidR="005246FC" w:rsidRPr="0046706F">
        <w:rPr>
          <w:rFonts w:ascii="Times New Roman" w:eastAsia="AdvTimes" w:hAnsi="Times New Roman" w:cs="Times New Roman"/>
          <w:sz w:val="24"/>
          <w:szCs w:val="24"/>
          <w:lang w:val="en-US"/>
        </w:rPr>
        <w:t xml:space="preserve"> in the </w:t>
      </w:r>
      <w:r w:rsidR="005246FC" w:rsidRPr="0046706F">
        <w:rPr>
          <w:rFonts w:ascii="Times New Roman" w:hAnsi="Times New Roman" w:cs="Times New Roman"/>
          <w:sz w:val="24"/>
          <w:szCs w:val="24"/>
          <w:lang w:val="en-US"/>
        </w:rPr>
        <w:t xml:space="preserve">anticoagulated AF patients </w:t>
      </w:r>
      <w:r w:rsidR="005246FC" w:rsidRPr="0046706F">
        <w:rPr>
          <w:rFonts w:ascii="Times New Roman" w:eastAsia="AdvTimes" w:hAnsi="Times New Roman" w:cs="Times New Roman"/>
          <w:sz w:val="24"/>
          <w:szCs w:val="24"/>
          <w:lang w:val="en-US"/>
        </w:rPr>
        <w:t>with EHRA Type 1 and Type 2 VHD, as expected.</w:t>
      </w:r>
      <w:r w:rsidR="005246FC" w:rsidRPr="0046706F">
        <w:rPr>
          <w:rFonts w:ascii="Times New Roman" w:hAnsi="Times New Roman" w:cs="Times New Roman"/>
          <w:sz w:val="24"/>
          <w:szCs w:val="24"/>
          <w:lang w:val="en-US"/>
        </w:rPr>
        <w:t xml:space="preserve"> However, within the subgroups of AF patients </w:t>
      </w:r>
      <w:r w:rsidR="005246FC" w:rsidRPr="0046706F">
        <w:rPr>
          <w:rFonts w:ascii="Times New Roman" w:eastAsia="AdvTimes" w:hAnsi="Times New Roman" w:cs="Times New Roman"/>
          <w:sz w:val="24"/>
          <w:szCs w:val="24"/>
          <w:lang w:val="en-US"/>
        </w:rPr>
        <w:t>with EHRA Type 1 and Type 2 VHD</w:t>
      </w:r>
      <w:r w:rsidR="005246FC" w:rsidRPr="0046706F">
        <w:rPr>
          <w:rFonts w:ascii="Times New Roman" w:hAnsi="Times New Roman" w:cs="Times New Roman"/>
          <w:sz w:val="24"/>
          <w:szCs w:val="24"/>
          <w:lang w:val="en-US"/>
        </w:rPr>
        <w:t xml:space="preserve"> </w:t>
      </w:r>
      <w:r w:rsidR="005246FC" w:rsidRPr="0046706F">
        <w:rPr>
          <w:rFonts w:ascii="Times New Roman" w:eastAsia="AdvTimes" w:hAnsi="Times New Roman" w:cs="Times New Roman"/>
          <w:sz w:val="24"/>
          <w:szCs w:val="24"/>
          <w:lang w:val="en-US"/>
        </w:rPr>
        <w:t>we</w:t>
      </w:r>
      <w:r w:rsidR="007D09C5" w:rsidRPr="0046706F">
        <w:rPr>
          <w:rFonts w:ascii="Times New Roman" w:eastAsia="AdvTimes" w:hAnsi="Times New Roman" w:cs="Times New Roman"/>
          <w:sz w:val="24"/>
          <w:szCs w:val="24"/>
          <w:lang w:val="en-US"/>
        </w:rPr>
        <w:t xml:space="preserve"> </w:t>
      </w:r>
      <w:r w:rsidR="005246FC" w:rsidRPr="0046706F">
        <w:rPr>
          <w:rFonts w:ascii="Times New Roman" w:eastAsia="AdvTimes" w:hAnsi="Times New Roman" w:cs="Times New Roman"/>
          <w:sz w:val="24"/>
          <w:szCs w:val="24"/>
          <w:lang w:val="en-US"/>
        </w:rPr>
        <w:t xml:space="preserve">observed a large proportion of non-anticoagulated patients, </w:t>
      </w:r>
      <w:r w:rsidR="00882B4C" w:rsidRPr="0046706F">
        <w:rPr>
          <w:rFonts w:ascii="Times New Roman" w:eastAsia="AdvTimes" w:hAnsi="Times New Roman" w:cs="Times New Roman"/>
          <w:sz w:val="24"/>
          <w:szCs w:val="24"/>
          <w:lang w:val="en-US"/>
        </w:rPr>
        <w:t xml:space="preserve">despite a </w:t>
      </w:r>
      <w:r w:rsidR="00882B4C" w:rsidRPr="0046706F">
        <w:rPr>
          <w:rFonts w:ascii="Times New Roman" w:hAnsi="Times New Roman" w:cs="Times New Roman"/>
          <w:sz w:val="24"/>
          <w:szCs w:val="24"/>
          <w:lang w:val="en-US"/>
        </w:rPr>
        <w:t>CHA</w:t>
      </w:r>
      <w:r w:rsidR="00882B4C" w:rsidRPr="0046706F">
        <w:rPr>
          <w:rFonts w:ascii="Times New Roman" w:hAnsi="Times New Roman" w:cs="Times New Roman"/>
          <w:sz w:val="24"/>
          <w:szCs w:val="24"/>
          <w:vertAlign w:val="subscript"/>
          <w:lang w:val="en-US"/>
        </w:rPr>
        <w:t>2</w:t>
      </w:r>
      <w:r w:rsidR="00882B4C" w:rsidRPr="0046706F">
        <w:rPr>
          <w:rFonts w:ascii="Times New Roman" w:hAnsi="Times New Roman" w:cs="Times New Roman"/>
          <w:sz w:val="24"/>
          <w:szCs w:val="24"/>
          <w:lang w:val="en-US"/>
        </w:rPr>
        <w:t>DS</w:t>
      </w:r>
      <w:r w:rsidR="00882B4C" w:rsidRPr="0046706F">
        <w:rPr>
          <w:rFonts w:ascii="Times New Roman" w:hAnsi="Times New Roman" w:cs="Times New Roman"/>
          <w:sz w:val="24"/>
          <w:szCs w:val="24"/>
          <w:vertAlign w:val="subscript"/>
          <w:lang w:val="en-US"/>
        </w:rPr>
        <w:t>2</w:t>
      </w:r>
      <w:r w:rsidR="00882B4C" w:rsidRPr="0046706F">
        <w:rPr>
          <w:rFonts w:ascii="Times New Roman" w:hAnsi="Times New Roman" w:cs="Times New Roman"/>
          <w:sz w:val="24"/>
          <w:szCs w:val="24"/>
          <w:lang w:val="en-US"/>
        </w:rPr>
        <w:t>-VASc score of 2 or above in the majority of these patients</w:t>
      </w:r>
      <w:r w:rsidR="005246FC" w:rsidRPr="0046706F">
        <w:rPr>
          <w:rFonts w:ascii="Times New Roman" w:eastAsia="AdvTimes" w:hAnsi="Times New Roman" w:cs="Times New Roman"/>
          <w:sz w:val="24"/>
          <w:szCs w:val="24"/>
          <w:lang w:val="en-US"/>
        </w:rPr>
        <w:t>.</w:t>
      </w:r>
    </w:p>
    <w:p w14:paraId="3B1B9A29" w14:textId="1720BE01" w:rsidR="00DB153D" w:rsidRPr="0046706F" w:rsidRDefault="00E77D22" w:rsidP="00C91455">
      <w:pPr>
        <w:spacing w:after="0" w:line="480" w:lineRule="auto"/>
        <w:rPr>
          <w:rFonts w:ascii="Times New Roman" w:hAnsi="Times New Roman" w:cs="Times New Roman"/>
          <w:sz w:val="24"/>
          <w:szCs w:val="24"/>
          <w:lang w:val="en-GB"/>
        </w:rPr>
      </w:pPr>
      <w:r w:rsidRPr="0046706F">
        <w:rPr>
          <w:rFonts w:ascii="Times New Roman" w:hAnsi="Times New Roman" w:cs="Times New Roman"/>
          <w:sz w:val="24"/>
          <w:szCs w:val="24"/>
          <w:lang w:val="en-GB"/>
        </w:rPr>
        <w:t xml:space="preserve">The proposal of the EHRA classification was an important step to clarify the definition of VHD in the AF population and </w:t>
      </w:r>
      <w:r w:rsidR="001E3D94" w:rsidRPr="0046706F">
        <w:rPr>
          <w:rFonts w:ascii="Times New Roman" w:hAnsi="Times New Roman" w:cs="Times New Roman"/>
          <w:sz w:val="24"/>
          <w:szCs w:val="24"/>
          <w:lang w:val="en-GB"/>
        </w:rPr>
        <w:t xml:space="preserve">to </w:t>
      </w:r>
      <w:r w:rsidRPr="0046706F">
        <w:rPr>
          <w:rFonts w:ascii="Times New Roman" w:hAnsi="Times New Roman" w:cs="Times New Roman"/>
          <w:sz w:val="24"/>
          <w:szCs w:val="24"/>
          <w:lang w:val="en-GB"/>
        </w:rPr>
        <w:t xml:space="preserve">direct clinicians regarding choice of anticoagulant agent in these patients. </w:t>
      </w:r>
      <w:r w:rsidR="009111DB" w:rsidRPr="0046706F">
        <w:rPr>
          <w:rFonts w:ascii="Times New Roman" w:hAnsi="Times New Roman" w:cs="Times New Roman"/>
          <w:sz w:val="24"/>
          <w:szCs w:val="24"/>
          <w:lang w:val="en-GB"/>
        </w:rPr>
        <w:t xml:space="preserve">In our study, we </w:t>
      </w:r>
      <w:r w:rsidR="0044210E" w:rsidRPr="0046706F">
        <w:rPr>
          <w:rFonts w:ascii="Times New Roman" w:hAnsi="Times New Roman" w:cs="Times New Roman"/>
          <w:sz w:val="24"/>
          <w:szCs w:val="24"/>
          <w:lang w:val="en-GB"/>
        </w:rPr>
        <w:t>described</w:t>
      </w:r>
      <w:r w:rsidR="009111DB" w:rsidRPr="0046706F">
        <w:rPr>
          <w:rFonts w:ascii="Times New Roman" w:hAnsi="Times New Roman" w:cs="Times New Roman"/>
          <w:sz w:val="24"/>
          <w:szCs w:val="24"/>
          <w:lang w:val="en-GB"/>
        </w:rPr>
        <w:t xml:space="preserve"> the risk </w:t>
      </w:r>
      <w:r w:rsidR="009111DB" w:rsidRPr="0046706F">
        <w:rPr>
          <w:rFonts w:ascii="Times New Roman" w:hAnsi="Times New Roman" w:cs="Times New Roman"/>
          <w:bCs/>
          <w:sz w:val="24"/>
          <w:szCs w:val="24"/>
          <w:lang w:val="en-US" w:bidi="th-TH"/>
        </w:rPr>
        <w:t>of thromboembolism and major bleeding</w:t>
      </w:r>
      <w:r w:rsidR="00EF77B9" w:rsidRPr="0046706F">
        <w:rPr>
          <w:rFonts w:ascii="Times New Roman" w:hAnsi="Times New Roman" w:cs="Times New Roman"/>
          <w:bCs/>
          <w:sz w:val="24"/>
          <w:szCs w:val="24"/>
          <w:lang w:val="en-US" w:bidi="th-TH"/>
        </w:rPr>
        <w:t xml:space="preserve"> in</w:t>
      </w:r>
      <w:r w:rsidR="009111DB" w:rsidRPr="0046706F">
        <w:rPr>
          <w:rFonts w:ascii="Times New Roman" w:hAnsi="Times New Roman" w:cs="Times New Roman"/>
          <w:bCs/>
          <w:sz w:val="24"/>
          <w:szCs w:val="24"/>
          <w:lang w:val="en-US" w:bidi="th-TH"/>
        </w:rPr>
        <w:t xml:space="preserve"> </w:t>
      </w:r>
      <w:r w:rsidR="00EF77B9" w:rsidRPr="0046706F">
        <w:rPr>
          <w:rFonts w:ascii="Times New Roman" w:hAnsi="Times New Roman" w:cs="Times New Roman"/>
          <w:bCs/>
          <w:sz w:val="24"/>
          <w:szCs w:val="24"/>
          <w:lang w:val="en-US" w:bidi="th-TH"/>
        </w:rPr>
        <w:t xml:space="preserve">non-anticoagulated and anticoagulated AF patients with </w:t>
      </w:r>
      <w:r w:rsidR="009111DB" w:rsidRPr="0046706F">
        <w:rPr>
          <w:rFonts w:ascii="Times New Roman" w:hAnsi="Times New Roman" w:cs="Times New Roman"/>
          <w:bCs/>
          <w:sz w:val="24"/>
          <w:szCs w:val="24"/>
          <w:lang w:val="en-US" w:bidi="th-TH"/>
        </w:rPr>
        <w:t xml:space="preserve">EHRA Type 1 VHD and EHRA Type 2 VHD, and in subgroups of EHRA Type 1 VHD and EHRA Type 2 VHD. Our aim was not to compare the risk between the </w:t>
      </w:r>
      <w:r w:rsidR="00EF77B9" w:rsidRPr="0046706F">
        <w:rPr>
          <w:rFonts w:ascii="Times New Roman" w:hAnsi="Times New Roman" w:cs="Times New Roman"/>
          <w:bCs/>
          <w:sz w:val="24"/>
          <w:szCs w:val="24"/>
          <w:lang w:val="en-US" w:bidi="th-TH"/>
        </w:rPr>
        <w:t xml:space="preserve">EHRA </w:t>
      </w:r>
      <w:r w:rsidR="009111DB" w:rsidRPr="0046706F">
        <w:rPr>
          <w:rFonts w:ascii="Times New Roman" w:hAnsi="Times New Roman" w:cs="Times New Roman"/>
          <w:bCs/>
          <w:sz w:val="24"/>
          <w:szCs w:val="24"/>
          <w:lang w:val="en-US" w:bidi="th-TH"/>
        </w:rPr>
        <w:t xml:space="preserve">groups or subgroups, as each group/subgroup includes </w:t>
      </w:r>
      <w:r w:rsidR="009111DB" w:rsidRPr="0046706F">
        <w:rPr>
          <w:rFonts w:ascii="Times New Roman" w:hAnsi="Times New Roman" w:cs="Times New Roman"/>
          <w:sz w:val="24"/>
          <w:szCs w:val="24"/>
          <w:lang w:val="en-US"/>
        </w:rPr>
        <w:t>patients with several different, probably incomparable, problems with the heart valves.</w:t>
      </w:r>
      <w:r w:rsidR="009111DB" w:rsidRPr="0046706F">
        <w:rPr>
          <w:rFonts w:ascii="Times New Roman" w:hAnsi="Times New Roman" w:cs="Times New Roman"/>
          <w:bCs/>
          <w:sz w:val="24"/>
          <w:szCs w:val="24"/>
          <w:lang w:val="en-US" w:bidi="th-TH"/>
        </w:rPr>
        <w:t xml:space="preserve"> </w:t>
      </w:r>
      <w:r w:rsidR="00882B4C" w:rsidRPr="0046706F">
        <w:rPr>
          <w:rFonts w:ascii="Times New Roman" w:hAnsi="Times New Roman" w:cs="Times New Roman"/>
          <w:bCs/>
          <w:sz w:val="24"/>
          <w:szCs w:val="24"/>
          <w:lang w:val="en-US" w:bidi="th-TH"/>
        </w:rPr>
        <w:t>W</w:t>
      </w:r>
      <w:r w:rsidR="009111DB" w:rsidRPr="0046706F">
        <w:rPr>
          <w:rFonts w:ascii="Times New Roman" w:hAnsi="Times New Roman" w:cs="Times New Roman"/>
          <w:bCs/>
          <w:sz w:val="24"/>
          <w:szCs w:val="24"/>
          <w:lang w:val="en-US" w:bidi="th-TH"/>
        </w:rPr>
        <w:t xml:space="preserve">e cannot </w:t>
      </w:r>
      <w:r w:rsidR="001E3D94" w:rsidRPr="0046706F">
        <w:rPr>
          <w:rFonts w:ascii="Times New Roman" w:hAnsi="Times New Roman" w:cs="Times New Roman"/>
          <w:bCs/>
          <w:sz w:val="24"/>
          <w:szCs w:val="24"/>
          <w:lang w:val="en-US" w:bidi="th-TH"/>
        </w:rPr>
        <w:t>elucidate</w:t>
      </w:r>
      <w:r w:rsidR="009111DB" w:rsidRPr="0046706F">
        <w:rPr>
          <w:rFonts w:ascii="Times New Roman" w:hAnsi="Times New Roman" w:cs="Times New Roman"/>
          <w:bCs/>
          <w:sz w:val="24"/>
          <w:szCs w:val="24"/>
          <w:lang w:val="en-US" w:bidi="th-TH"/>
        </w:rPr>
        <w:t xml:space="preserve"> whether the</w:t>
      </w:r>
      <w:r w:rsidR="00D902A2" w:rsidRPr="0046706F">
        <w:rPr>
          <w:rFonts w:ascii="Times New Roman" w:hAnsi="Times New Roman" w:cs="Times New Roman"/>
          <w:bCs/>
          <w:sz w:val="24"/>
          <w:szCs w:val="24"/>
          <w:lang w:val="en-US" w:bidi="th-TH"/>
        </w:rPr>
        <w:t xml:space="preserve"> observed</w:t>
      </w:r>
      <w:r w:rsidR="009111DB" w:rsidRPr="0046706F">
        <w:rPr>
          <w:rFonts w:ascii="Times New Roman" w:hAnsi="Times New Roman" w:cs="Times New Roman"/>
          <w:bCs/>
          <w:sz w:val="24"/>
          <w:szCs w:val="24"/>
          <w:lang w:val="en-US" w:bidi="th-TH"/>
        </w:rPr>
        <w:t xml:space="preserve"> risks are caused by the heart valve disease itself or the presence of other risk factors. However, based on the variations in baseline characteristics, including age, comorbidity and medicine use, together with the existing knowledge on the thromboembolic physiology of the different valve diseases, differences in thromboembolic and major bleeding risk between EHRA Type 1 and EHRA Type 2 VHD, and between the subgroups of EHRA Type 1 VHD and EHRA Type 2 VHD, were expected.</w:t>
      </w:r>
    </w:p>
    <w:p w14:paraId="4C23F06D" w14:textId="5445771E" w:rsidR="001738F2" w:rsidRDefault="009111DB" w:rsidP="00906F88">
      <w:pPr>
        <w:pStyle w:val="Ingenafstand"/>
        <w:spacing w:line="480" w:lineRule="auto"/>
        <w:jc w:val="both"/>
        <w:rPr>
          <w:rFonts w:ascii="Times New Roman" w:hAnsi="Times New Roman" w:cs="Times New Roman"/>
          <w:color w:val="FFC000"/>
          <w:sz w:val="24"/>
          <w:szCs w:val="24"/>
          <w:lang w:val="en-US"/>
        </w:rPr>
      </w:pPr>
      <w:r w:rsidRPr="0046706F">
        <w:rPr>
          <w:rFonts w:ascii="Times New Roman" w:hAnsi="Times New Roman" w:cs="Times New Roman"/>
          <w:sz w:val="24"/>
          <w:szCs w:val="24"/>
          <w:lang w:val="en-US"/>
        </w:rPr>
        <w:t>Previously, only few studies have specifically investigated the thromboembolic and major bleeding risk</w:t>
      </w:r>
      <w:r w:rsidR="00882B4C" w:rsidRPr="0046706F">
        <w:rPr>
          <w:rFonts w:ascii="Times New Roman" w:hAnsi="Times New Roman" w:cs="Times New Roman"/>
          <w:sz w:val="24"/>
          <w:szCs w:val="24"/>
          <w:lang w:val="en-US"/>
        </w:rPr>
        <w:t>s</w:t>
      </w:r>
      <w:r w:rsidRPr="0046706F">
        <w:rPr>
          <w:rFonts w:ascii="Times New Roman" w:hAnsi="Times New Roman" w:cs="Times New Roman"/>
          <w:sz w:val="24"/>
          <w:szCs w:val="24"/>
          <w:lang w:val="en-US"/>
        </w:rPr>
        <w:t xml:space="preserve"> in subgroups of </w:t>
      </w:r>
      <w:r w:rsidR="00B2113F" w:rsidRPr="0046706F">
        <w:rPr>
          <w:rFonts w:ascii="Times New Roman" w:hAnsi="Times New Roman" w:cs="Times New Roman"/>
          <w:sz w:val="24"/>
          <w:szCs w:val="24"/>
          <w:lang w:val="en-US"/>
        </w:rPr>
        <w:t xml:space="preserve">VHD patients with concurrent AF </w:t>
      </w:r>
      <w:r w:rsidRPr="0046706F">
        <w:rPr>
          <w:rStyle w:val="Fodnotehenvisning"/>
          <w:rFonts w:ascii="Times New Roman" w:hAnsi="Times New Roman" w:cs="Times New Roman"/>
          <w:sz w:val="24"/>
          <w:szCs w:val="24"/>
          <w:lang w:val="en-US"/>
        </w:rPr>
        <w:fldChar w:fldCharType="begin" w:fldLock="1"/>
      </w:r>
      <w:r w:rsidR="00CE16AE">
        <w:rPr>
          <w:rFonts w:ascii="Times New Roman" w:hAnsi="Times New Roman" w:cs="Times New Roman"/>
          <w:sz w:val="24"/>
          <w:szCs w:val="24"/>
          <w:lang w:val="en-US"/>
        </w:rPr>
        <w:instrText>ADDIN CSL_CITATION {"citationItems":[{"id":"ITEM-1","itemData":{"ISBN":"0195-668x","ISSN":"15229645","PMID":"25994754","abstract":"AIMS: The CHA2DS2VASc score is a clinical risk stratification tool which estimates the risk of stroke and thromboembolism in non-valvular atrial fibrillation (AF). We aimed to establish the value of this score for risk evaluation in patients with non-valvular AF and valvular heart disease.\\n\\nMETHODS AND RESULTS: Among 8053 patients with non-valvular AF (ESC guidelines definition), patients were categorized into Group 1 (no valve disease, n = 6851; 85%) and Group 2 (valve disease with neither rheumatic mitral stenosis nor valve prothesis, n = 1202; 15%). After follow-up of 868 ± 1043 days, 627 stroke/ thromboembolic (TE) events were recorded. Group 2 was significantly older, had a higher CHA2DS2VASc score and had a higher risk of thromboembolic events [hazard ratio (HR) 1.39; 95% CI 1.14-1.69, P = 0.001] compared with Group 1. Severe valve disease was not associated with worse prognosis for stroke/TE events. In the two groups, stroke/TE risk increased with a higher CHA2DS2VASc score. Factors independently associated with increased risk of stroke/TE events were older age (HR 1.25, 95% CI 1.14-1.36 per 10-year increase, P &lt; 0.0001) and higher CHA2DS2VASc score (HR 1.33, 95% CI 1.23-1.45, P &lt; 0.0001). The predictive value (c-statistic) of the CHA2DS2VASc score was similar in the two groups.\\n\\nCONCLUSION: In patients with non-valvular AF, left-sided valvular heart disease (excluding mitral stenosis and protheses) was associated with an increased risk of stroke/TE events. A higher CHA2DS2VASc score in these patients is likely to explain these results.","author":[{"dropping-particle":"","family":"Philippart","given":"Raphael","non-dropping-particle":"","parse-names":false,"suffix":""},{"dropping-particle":"","family":"Brunet-Bernard","given":"Anne","non-dropping-particle":"","parse-names":false,"suffix":""},{"dropping-particle":"","family":"Clementy","given":"Nicolas","non-dropping-particle":"","parse-names":false,"suffix":""},{"dropping-particle":"","family":"Bourguignon","given":"Thierry","non-dropping-particle":"","parse-names":false,"suffix":""},{"dropping-particle":"","family":"Mirza","given":"Alain","non-dropping-particle":"","parse-names":false,"suffix":""},{"dropping-particle":"","family":"Babuty","given":"Dominique","non-dropping-particle":"","parse-names":false,"suffix":""},{"dropping-particle":"","family":"Angoulvant","given":"Denis","non-dropping-particle":"","parse-names":false,"suffix":""},{"dropping-particle":"","family":"Lip","given":"Gregory Y.H.","non-dropping-particle":"","parse-names":false,"suffix":""},{"dropping-particle":"","family":"Fauchier","given":"Laurent","non-dropping-particle":"","parse-names":false,"suffix":""}],"container-title":"European Heart Journal","id":"ITEM-1","issued":{"date-parts":[["2015"]]},"page":"1822-1830","title":"Prognostic value of CHA2DS2-VASc score in patients with 'non-valvular atrial fibrillation' and valvular heart disease: The Loire Valley Atrial Fibrillation Project","type":"article-journal","volume":"36"},"uris":["http://www.mendeley.com/documents/?uuid=17bd2fb7-1377-49f3-bd6c-5b2c8a9c7094","http://www.mendeley.com/documents/?uuid=96bde4de-8037-4fa2-8af9-8b80c158d3ba"]},{"id":"ITEM-2","itemData":{"author":[{"dropping-particle":"","family":"Wada","given":"Yoshihiro","non-dropping-particle":"","parse-names":false,"suffix":""},{"dropping-particle":"","family":"Mizushige","given":"Katsufumi","non-dropping-particle":"","parse-names":false,"suffix":""},{"dropping-particle":"","family":"Ohmori","given":"Koji","non-dropping-particle":"","parse-names":false,"suffix":""},{"dropping-particle":"","family":"Iwado","given":"Yasuyoshi","non-dropping-particle":"","parse-names":false,"suffix":""},{"dropping-particle":"","family":"Kohno","given":"Masakazu","non-dropping-particle":"","parse-names":false,"suffix":""},{"dropping-particle":"","family":"Matsuo","given":"Hirohide","non-dropping-particle":"","parse-names":false,"suffix":""}],"container-title":"J Cardiovasc Pharmacol","id":"ITEM-2","issued":{"date-parts":[["2001"]]},"page":"422-426","title":"Prevention of Cerebral Thromboembolism by Low-Dose Anticoagulant Therapy in Atrial Fibrillation with Mitral Regurgitation","type":"article-journal","volume":"37"},"uris":["http://www.mendeley.com/documents/?uuid=aa023edc-2a0c-4e1c-8f34-6c68383bb0d7","http://www.mendeley.com/documents/?uuid=cb6e301b-12eb-4a61-9aa6-5441f219e0b0"]},{"id":"ITEM-3","itemData":{"ISSN":"1941-3149","author":[{"dropping-particle":"","family":"Bisson","given":"Arnaud","non-dropping-particle":"","parse-names":false,"suffix":""},{"dropping-particle":"","family":"Bernard","given":"Anne","non-dropping-particle":"","parse-names":false,"suffix":""},{"dropping-particle":"","family":"Bodin","given":"Alexandre","non-dropping-particle":"","parse-names":false,"suffix":""},{"dropping-particle":"","family":"Clementy","given":"Nicolas","non-dropping-particle":"","parse-names":false,"suffix":""},{"dropping-particle":"","family":"Babuty","given":"Dominique","non-dropping-particle":"","parse-names":false,"suffix":""},{"dropping-particle":"","family":"Lip","given":"Gregory Y.H.","non-dropping-particle":"","parse-names":false,"suffix":""},{"dropping-particle":"","family":"Fauchier","given":"Laurent","non-dropping-particle":"","parse-names":false,"suffix":""}],"container-title":"Circulation: Arrhythmia and Electrophysiology","id":"ITEM-3","issued":{"date-parts":[["2019"]]},"page":"1-3","title":"Stroke and Thromboembolism in Patients With Atrial Fibrillation and Mitral Regurgitation","type":"article-journal","volume":"12"},"uris":["http://www.mendeley.com/documents/?uuid=61f7e578-8399-4798-aec8-0212b33ce88d","http://www.mendeley.com/documents/?uuid=9a48fd2b-3fc5-4f2b-b295-886f7c57caff"]},{"id":"ITEM-4","itemData":{"author":[{"dropping-particle":"","family":"Banerjee","given":"Amitava","non-dropping-particle":"","parse-names":false,"suffix":""},{"dropping-particle":"","family":"Allan","given":"Victoria","non-dropping-particle":"","parse-names":false,"suffix":""},{"dropping-particle":"","family":"Denaxas","given":"Spiros","non-dropping-particle":"","parse-names":false,"suffix":""},{"dropping-particle":"","family":"Shah","given":"Anoop","non-dropping-particle":"","parse-names":false,"suffix":""},{"dropping-particle":"","family":"Kotecha","given":"Dipak","non-dropping-particle":"","parse-names":false,"suffix":""},{"dropping-particle":"","family":"Lambiase","given":"Pier D","non-dropping-particle":"","parse-names":false,"suffix":""},{"dropping-particle":"","family":"Jacob","given":"Joseph","non-dropping-particle":"","parse-names":false,"suffix":""},{"dropping-particle":"","family":"Lund","given":"Lars H","non-dropping-particle":"","parse-names":false,"suffix":""},{"dropping-particle":"","family":"Hemingway","given":"Harry","non-dropping-particle":"","parse-names":false,"suffix":""}],"container-title":"Europace","id":"ITEM-4","issued":{"date-parts":[["2019"]]},"page":"1-9","title":"Subtypes of atrial fibrillation with concomitant valvular heart disease derived from electronic health records : phenotypes , population prevalence , trends and prognosis","type":"article-journal","volume":"220"},"uris":["http://www.mendeley.com/documents/?uuid=a7acc5d1-431f-4232-95f6-69c3e66791e2","http://www.mendeley.com/documents/?uuid=b1cf69a8-033c-4a15-9d52-f0ade9aeaf37"]},{"id":"ITEM-5","itemData":{"author":[{"dropping-particle":"","family":"Doi","given":"K","non-dropping-particle":"","parse-names":false,"suffix":""},{"dropping-particle":"","family":"Ogawa","given":"H","non-dropping-particle":"","parse-names":false,"suffix":""},{"dropping-particle":"","family":"Ishigami","given":"K","non-dropping-particle":"","parse-names":false,"suffix":""},{"dropping-particle":"","family":"Ikeda","given":"S","non-dropping-particle":"","parse-names":false,"suffix":""},{"dropping-particle":"","family":"Aono","given":"Y","non-dropping-particle":"","parse-names":false,"suffix":""},{"dropping-particle":"","family":"Hamatani","given":"Y","non-dropping-particle":"","parse-names":false,"suffix":""},{"dropping-particle":"","family":"Investigators","given":"On behalf of the Fushimi AF Registry","non-dropping-particle":"","parse-names":false,"suffix":""}],"container-title":"Circulation J","id":"ITEM-5","issued":{"date-parts":[["2020"]]},"page":"Epub ahead of print","title":"Impact of Valvular Heart Disease on Mortality, Thromboembolic and Cardiac Events in Japanese Patients With Atrial Fibrillation - The Fushimi AF Registry","type":"article-journal"},"uris":["http://www.mendeley.com/documents/?uuid=355013f0-eb4e-4500-95eb-cb8e1b7419f4"]}],"mendeley":{"formattedCitation":"[19–23]","plainTextFormattedCitation":"[19–23]","previouslyFormattedCitation":"[19–23]"},"properties":{"noteIndex":0},"schema":"https://github.com/citation-style-language/schema/raw/master/csl-citation.json"}</w:instrText>
      </w:r>
      <w:r w:rsidRPr="0046706F">
        <w:rPr>
          <w:rStyle w:val="Fodnotehenvisning"/>
          <w:rFonts w:ascii="Times New Roman" w:hAnsi="Times New Roman" w:cs="Times New Roman"/>
          <w:sz w:val="24"/>
          <w:szCs w:val="24"/>
          <w:lang w:val="en-US"/>
        </w:rPr>
        <w:fldChar w:fldCharType="separate"/>
      </w:r>
      <w:r w:rsidR="00F033FF" w:rsidRPr="0046706F">
        <w:rPr>
          <w:rFonts w:ascii="Times New Roman" w:hAnsi="Times New Roman" w:cs="Times New Roman"/>
          <w:bCs/>
          <w:noProof/>
          <w:sz w:val="24"/>
          <w:szCs w:val="24"/>
          <w:lang w:val="en-US"/>
        </w:rPr>
        <w:t>[19–23]</w:t>
      </w:r>
      <w:r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t>A recent study examined the risk of a composite endpoint of ischemic/hemorrhagic stroke and all-cause mortality in AF patien</w:t>
      </w:r>
      <w:r w:rsidR="00B2113F" w:rsidRPr="0046706F">
        <w:rPr>
          <w:rFonts w:ascii="Times New Roman" w:hAnsi="Times New Roman" w:cs="Times New Roman"/>
          <w:sz w:val="24"/>
          <w:szCs w:val="24"/>
          <w:lang w:val="en-US"/>
        </w:rPr>
        <w:t xml:space="preserve">ts with different types of  VHD </w:t>
      </w:r>
      <w:r w:rsidRPr="0046706F">
        <w:rPr>
          <w:rFonts w:ascii="Times New Roman" w:hAnsi="Times New Roman" w:cs="Times New Roman"/>
          <w:sz w:val="24"/>
          <w:szCs w:val="24"/>
          <w:lang w:val="en-US"/>
        </w:rPr>
        <w:fldChar w:fldCharType="begin" w:fldLock="1"/>
      </w:r>
      <w:r w:rsidR="006E799B" w:rsidRPr="0046706F">
        <w:rPr>
          <w:rFonts w:ascii="Times New Roman" w:hAnsi="Times New Roman" w:cs="Times New Roman"/>
          <w:sz w:val="24"/>
          <w:szCs w:val="24"/>
          <w:lang w:val="en-US"/>
        </w:rPr>
        <w:instrText>ADDIN CSL_CITATION {"citationItems":[{"id":"ITEM-1","itemData":{"author":[{"dropping-particle":"","family":"Banerjee","given":"Amitava","non-dropping-particle":"","parse-names":false,"suffix":""},{"dropping-particle":"","family":"Allan","given":"Victoria","non-dropping-particle":"","parse-names":false,"suffix":""},{"dropping-particle":"","family":"Denaxas","given":"Spiros","non-dropping-particle":"","parse-names":false,"suffix":""},{"dropping-particle":"","family":"Shah","given":"Anoop","non-dropping-particle":"","parse-names":false,"suffix":""},{"dropping-particle":"","family":"Kotecha","given":"Dipak","non-dropping-particle":"","parse-names":false,"suffix":""},{"dropping-particle":"","family":"Lambiase","given":"Pier D","non-dropping-particle":"","parse-names":false,"suffix":""},{"dropping-particle":"","family":"Jacob","given":"Joseph","non-dropping-particle":"","parse-names":false,"suffix":""},{"dropping-particle":"","family":"Lund","given":"Lars H","non-dropping-particle":"","parse-names":false,"suffix":""},{"dropping-particle":"","family":"Hemingway","given":"Harry","non-dropping-particle":"","parse-names":false,"suffix":""}],"container-title":"Europace","id":"ITEM-1","issued":{"date-parts":[["2019"]]},"page":"1-9","title":"Subtypes of atrial fibrillation with concomitant valvular heart disease derived from electronic health records : phenotypes , population prevalence , trends and prognosis","type":"article-journal","volume":"220"},"uris":["http://www.mendeley.com/documents/?uuid=b1cf69a8-033c-4a15-9d52-f0ade9aeaf37","http://www.mendeley.com/documents/?uuid=a7acc5d1-431f-4232-95f6-69c3e66791e2"]}],"mendeley":{"formattedCitation":"[22]","plainTextFormattedCitation":"[22]","previouslyFormattedCitation":"[22]"},"properties":{"noteIndex":0},"schema":"https://github.com/citation-style-language/schema/raw/master/csl-citation.json"}</w:instrText>
      </w:r>
      <w:r w:rsidRPr="0046706F">
        <w:rPr>
          <w:rFonts w:ascii="Times New Roman" w:hAnsi="Times New Roman" w:cs="Times New Roman"/>
          <w:sz w:val="24"/>
          <w:szCs w:val="24"/>
          <w:lang w:val="en-US"/>
        </w:rPr>
        <w:fldChar w:fldCharType="separate"/>
      </w:r>
      <w:r w:rsidR="002B2E8D" w:rsidRPr="0046706F">
        <w:rPr>
          <w:rFonts w:ascii="Times New Roman" w:hAnsi="Times New Roman" w:cs="Times New Roman"/>
          <w:noProof/>
          <w:sz w:val="24"/>
          <w:szCs w:val="24"/>
          <w:lang w:val="en-US"/>
        </w:rPr>
        <w:t>[22]</w:t>
      </w:r>
      <w:r w:rsidRPr="0046706F">
        <w:rPr>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w:t>
      </w:r>
      <w:r w:rsidRPr="0046706F">
        <w:rPr>
          <w:rFonts w:ascii="Times New Roman" w:hAnsi="Times New Roman" w:cs="Times New Roman"/>
          <w:sz w:val="24"/>
          <w:szCs w:val="24"/>
          <w:lang w:val="en-US"/>
        </w:rPr>
        <w:t xml:space="preserve"> However, the study only included patients from 1998-2010, where the NOACs were not available, and did not specifically examine the endpoint of thromboembolism or major bleeding al</w:t>
      </w:r>
      <w:r w:rsidR="007A6248" w:rsidRPr="0046706F">
        <w:rPr>
          <w:rFonts w:ascii="Times New Roman" w:hAnsi="Times New Roman" w:cs="Times New Roman"/>
          <w:sz w:val="24"/>
          <w:szCs w:val="24"/>
          <w:lang w:val="en-US"/>
        </w:rPr>
        <w:t>one. Therefore, our study extend</w:t>
      </w:r>
      <w:r w:rsidRPr="0046706F">
        <w:rPr>
          <w:rFonts w:ascii="Times New Roman" w:hAnsi="Times New Roman" w:cs="Times New Roman"/>
          <w:sz w:val="24"/>
          <w:szCs w:val="24"/>
          <w:lang w:val="en-US"/>
        </w:rPr>
        <w:t>s and specifies the findings of this previous study</w:t>
      </w:r>
      <w:r w:rsidR="001E3D94" w:rsidRPr="0046706F">
        <w:rPr>
          <w:rFonts w:ascii="Times New Roman" w:hAnsi="Times New Roman" w:cs="Times New Roman"/>
          <w:sz w:val="24"/>
          <w:szCs w:val="24"/>
          <w:lang w:val="en-US"/>
        </w:rPr>
        <w:t xml:space="preserve"> </w:t>
      </w:r>
      <w:r w:rsidR="001E3D94" w:rsidRPr="0046706F">
        <w:rPr>
          <w:rFonts w:ascii="Times New Roman" w:hAnsi="Times New Roman" w:cs="Times New Roman"/>
          <w:sz w:val="24"/>
          <w:szCs w:val="24"/>
          <w:lang w:val="en-US"/>
        </w:rPr>
        <w:lastRenderedPageBreak/>
        <w:t>and adds important clinical insight since the NOACs have been widely adopted into clinical practice for stroke prevention in AF</w:t>
      </w:r>
      <w:r w:rsidRPr="0046706F">
        <w:rPr>
          <w:rFonts w:ascii="Times New Roman" w:hAnsi="Times New Roman" w:cs="Times New Roman"/>
          <w:sz w:val="24"/>
          <w:szCs w:val="24"/>
          <w:lang w:val="en-US"/>
        </w:rPr>
        <w:t>.</w:t>
      </w:r>
      <w:r w:rsidR="008B6E26" w:rsidRPr="0046706F">
        <w:rPr>
          <w:rFonts w:ascii="Times New Roman" w:hAnsi="Times New Roman" w:cs="Times New Roman"/>
          <w:sz w:val="24"/>
          <w:szCs w:val="24"/>
          <w:lang w:val="en-US"/>
        </w:rPr>
        <w:t xml:space="preserve"> </w:t>
      </w:r>
      <w:r w:rsidR="00094D96" w:rsidRPr="00094D96">
        <w:rPr>
          <w:rFonts w:ascii="Times New Roman" w:hAnsi="Times New Roman" w:cs="Times New Roman"/>
          <w:color w:val="FFC000"/>
          <w:sz w:val="24"/>
          <w:szCs w:val="24"/>
          <w:lang w:val="en-US"/>
        </w:rPr>
        <w:t xml:space="preserve">Since our study period extended over a long time period (2000-2018), we performed a subanalysis where we split the study period into two time </w:t>
      </w:r>
      <w:r w:rsidR="00C6500A">
        <w:rPr>
          <w:rFonts w:ascii="Times New Roman" w:hAnsi="Times New Roman" w:cs="Times New Roman"/>
          <w:color w:val="FFC000"/>
          <w:sz w:val="24"/>
          <w:szCs w:val="24"/>
          <w:lang w:val="en-US"/>
        </w:rPr>
        <w:t>spans</w:t>
      </w:r>
      <w:r w:rsidR="00094D96">
        <w:rPr>
          <w:rFonts w:ascii="Times New Roman" w:hAnsi="Times New Roman" w:cs="Times New Roman"/>
          <w:color w:val="FFC000"/>
          <w:sz w:val="24"/>
          <w:szCs w:val="24"/>
          <w:lang w:val="en-US"/>
        </w:rPr>
        <w:t xml:space="preserve">, 2000-2009 and 2010-2018. For the time </w:t>
      </w:r>
      <w:r w:rsidR="00C6500A">
        <w:rPr>
          <w:rFonts w:ascii="Times New Roman" w:hAnsi="Times New Roman" w:cs="Times New Roman"/>
          <w:color w:val="FFC000"/>
          <w:sz w:val="24"/>
          <w:szCs w:val="24"/>
          <w:lang w:val="en-US"/>
        </w:rPr>
        <w:t>span</w:t>
      </w:r>
      <w:r w:rsidR="00094D96">
        <w:rPr>
          <w:rFonts w:ascii="Times New Roman" w:hAnsi="Times New Roman" w:cs="Times New Roman"/>
          <w:color w:val="FFC000"/>
          <w:sz w:val="24"/>
          <w:szCs w:val="24"/>
          <w:lang w:val="en-US"/>
        </w:rPr>
        <w:t xml:space="preserve">, where the NOACs were available (2010-2018), </w:t>
      </w:r>
      <w:r w:rsidR="001738F2">
        <w:rPr>
          <w:rFonts w:ascii="Times New Roman" w:hAnsi="Times New Roman" w:cs="Times New Roman"/>
          <w:color w:val="FFC000"/>
          <w:sz w:val="24"/>
          <w:szCs w:val="24"/>
          <w:lang w:val="en-US"/>
        </w:rPr>
        <w:t xml:space="preserve">we </w:t>
      </w:r>
      <w:r w:rsidR="00725F39">
        <w:rPr>
          <w:rFonts w:ascii="Times New Roman" w:hAnsi="Times New Roman" w:cs="Times New Roman"/>
          <w:color w:val="FFC000"/>
          <w:sz w:val="24"/>
          <w:szCs w:val="24"/>
          <w:lang w:val="en-US"/>
        </w:rPr>
        <w:t xml:space="preserve">generally </w:t>
      </w:r>
      <w:r w:rsidR="001738F2">
        <w:rPr>
          <w:rFonts w:ascii="Times New Roman" w:hAnsi="Times New Roman" w:cs="Times New Roman"/>
          <w:color w:val="FFC000"/>
          <w:sz w:val="24"/>
          <w:szCs w:val="24"/>
          <w:lang w:val="en-US"/>
        </w:rPr>
        <w:t xml:space="preserve">observed </w:t>
      </w:r>
      <w:r w:rsidR="00725F39">
        <w:rPr>
          <w:rFonts w:ascii="Times New Roman" w:hAnsi="Times New Roman" w:cs="Times New Roman"/>
          <w:color w:val="FFC000"/>
          <w:sz w:val="24"/>
          <w:szCs w:val="24"/>
          <w:lang w:val="en-US"/>
        </w:rPr>
        <w:t xml:space="preserve">slightly higher risks of major bleeding </w:t>
      </w:r>
      <w:r w:rsidR="001738F2">
        <w:rPr>
          <w:rFonts w:ascii="Times New Roman" w:hAnsi="Times New Roman" w:cs="Times New Roman"/>
          <w:color w:val="FFC000"/>
          <w:sz w:val="24"/>
          <w:szCs w:val="24"/>
          <w:lang w:val="en-US"/>
        </w:rPr>
        <w:t xml:space="preserve">in </w:t>
      </w:r>
      <w:r w:rsidR="00725F39">
        <w:rPr>
          <w:rFonts w:ascii="Times New Roman" w:hAnsi="Times New Roman" w:cs="Times New Roman"/>
          <w:color w:val="FFC000"/>
          <w:sz w:val="24"/>
          <w:szCs w:val="24"/>
          <w:lang w:val="en-US"/>
        </w:rPr>
        <w:t xml:space="preserve">the anticoagulated </w:t>
      </w:r>
      <w:r w:rsidR="001738F2">
        <w:rPr>
          <w:rFonts w:ascii="Times New Roman" w:hAnsi="Times New Roman" w:cs="Times New Roman"/>
          <w:color w:val="FFC000"/>
          <w:sz w:val="24"/>
          <w:szCs w:val="24"/>
          <w:lang w:val="en-US"/>
        </w:rPr>
        <w:t xml:space="preserve">patients with EHRA Type 2 VHD </w:t>
      </w:r>
      <w:r w:rsidR="00725F39">
        <w:rPr>
          <w:rFonts w:ascii="Times New Roman" w:hAnsi="Times New Roman" w:cs="Times New Roman"/>
          <w:color w:val="FFC000"/>
          <w:sz w:val="24"/>
          <w:szCs w:val="24"/>
          <w:lang w:val="en-US"/>
        </w:rPr>
        <w:t xml:space="preserve">than in the first time </w:t>
      </w:r>
      <w:r w:rsidR="00C6500A">
        <w:rPr>
          <w:rFonts w:ascii="Times New Roman" w:hAnsi="Times New Roman" w:cs="Times New Roman"/>
          <w:color w:val="FFC000"/>
          <w:sz w:val="24"/>
          <w:szCs w:val="24"/>
          <w:lang w:val="en-US"/>
        </w:rPr>
        <w:t>span</w:t>
      </w:r>
      <w:r w:rsidR="001738F2">
        <w:rPr>
          <w:rFonts w:ascii="Times New Roman" w:hAnsi="Times New Roman" w:cs="Times New Roman"/>
          <w:color w:val="FFC000"/>
          <w:sz w:val="24"/>
          <w:szCs w:val="24"/>
          <w:lang w:val="en-US"/>
        </w:rPr>
        <w:t xml:space="preserve">. </w:t>
      </w:r>
      <w:r w:rsidR="00725F39">
        <w:rPr>
          <w:rFonts w:ascii="Times New Roman" w:hAnsi="Times New Roman" w:cs="Times New Roman"/>
          <w:color w:val="FFC000"/>
          <w:sz w:val="24"/>
          <w:szCs w:val="24"/>
          <w:lang w:val="en-US"/>
        </w:rPr>
        <w:t xml:space="preserve">However, based on </w:t>
      </w:r>
      <w:r w:rsidR="00725F39" w:rsidRPr="00725F39">
        <w:rPr>
          <w:rFonts w:ascii="Times New Roman" w:hAnsi="Times New Roman" w:cs="Times New Roman"/>
          <w:i/>
          <w:color w:val="FFC000"/>
          <w:sz w:val="24"/>
          <w:szCs w:val="24"/>
          <w:lang w:val="en-US"/>
        </w:rPr>
        <w:t>our</w:t>
      </w:r>
      <w:r w:rsidR="00725F39">
        <w:rPr>
          <w:rFonts w:ascii="Times New Roman" w:hAnsi="Times New Roman" w:cs="Times New Roman"/>
          <w:color w:val="FFC000"/>
          <w:sz w:val="24"/>
          <w:szCs w:val="24"/>
          <w:lang w:val="en-US"/>
        </w:rPr>
        <w:t xml:space="preserve"> study we cannot make any conclusion regarding this finding</w:t>
      </w:r>
      <w:r w:rsidR="0056531A">
        <w:rPr>
          <w:rFonts w:ascii="Times New Roman" w:hAnsi="Times New Roman" w:cs="Times New Roman"/>
          <w:color w:val="FFC000"/>
          <w:sz w:val="24"/>
          <w:szCs w:val="24"/>
          <w:lang w:val="en-US"/>
        </w:rPr>
        <w:t>, as we did not describe the risk of events according to the anticoagulant agent used</w:t>
      </w:r>
      <w:r w:rsidR="00826407">
        <w:rPr>
          <w:rFonts w:ascii="Times New Roman" w:hAnsi="Times New Roman" w:cs="Times New Roman"/>
          <w:color w:val="FFC000"/>
          <w:sz w:val="24"/>
          <w:szCs w:val="24"/>
          <w:lang w:val="en-US"/>
        </w:rPr>
        <w:t>; further studies are necessary</w:t>
      </w:r>
      <w:r w:rsidR="00725F39">
        <w:rPr>
          <w:rFonts w:ascii="Times New Roman" w:hAnsi="Times New Roman" w:cs="Times New Roman"/>
          <w:color w:val="FFC000"/>
          <w:sz w:val="24"/>
          <w:szCs w:val="24"/>
          <w:lang w:val="en-US"/>
        </w:rPr>
        <w:t>.</w:t>
      </w:r>
      <w:r w:rsidR="0056531A">
        <w:rPr>
          <w:rFonts w:ascii="Times New Roman" w:hAnsi="Times New Roman" w:cs="Times New Roman"/>
          <w:color w:val="FFC000"/>
          <w:sz w:val="24"/>
          <w:szCs w:val="24"/>
          <w:lang w:val="en-US"/>
        </w:rPr>
        <w:t xml:space="preserve"> </w:t>
      </w:r>
    </w:p>
    <w:p w14:paraId="196F526F" w14:textId="571665B6" w:rsidR="0046706F" w:rsidRDefault="0044210E" w:rsidP="00C6500A">
      <w:pPr>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bidi="th-TH"/>
        </w:rPr>
        <w:t xml:space="preserve">We described the </w:t>
      </w:r>
      <w:r w:rsidRPr="0046706F">
        <w:rPr>
          <w:rFonts w:ascii="Times New Roman" w:hAnsi="Times New Roman" w:cs="Times New Roman"/>
          <w:sz w:val="24"/>
          <w:szCs w:val="24"/>
          <w:lang w:val="en-GB"/>
        </w:rPr>
        <w:t xml:space="preserve">risk </w:t>
      </w:r>
      <w:r w:rsidRPr="0046706F">
        <w:rPr>
          <w:rFonts w:ascii="Times New Roman" w:hAnsi="Times New Roman" w:cs="Times New Roman"/>
          <w:bCs/>
          <w:sz w:val="24"/>
          <w:szCs w:val="24"/>
          <w:lang w:val="en-US" w:bidi="th-TH"/>
        </w:rPr>
        <w:t xml:space="preserve">of thromboembolism and major bleeding separately for non-anticoagulated and anticoagulated patients. </w:t>
      </w:r>
      <w:r w:rsidR="00CC7263" w:rsidRPr="0046706F">
        <w:rPr>
          <w:rFonts w:ascii="Times New Roman" w:hAnsi="Times New Roman" w:cs="Times New Roman"/>
          <w:bCs/>
          <w:sz w:val="24"/>
          <w:szCs w:val="24"/>
          <w:lang w:val="en-US" w:bidi="th-TH"/>
        </w:rPr>
        <w:t xml:space="preserve">Not surprisingly, </w:t>
      </w:r>
      <w:r w:rsidR="00CC7263" w:rsidRPr="0046706F">
        <w:rPr>
          <w:rFonts w:ascii="Times New Roman" w:hAnsi="Times New Roman" w:cs="Times New Roman"/>
          <w:sz w:val="24"/>
          <w:szCs w:val="24"/>
          <w:lang w:val="en-US"/>
        </w:rPr>
        <w:t xml:space="preserve">we overall observed the highest thromboembolic risks in the non-anticoagulated AF patients </w:t>
      </w:r>
      <w:r w:rsidR="00CC7263" w:rsidRPr="0046706F">
        <w:rPr>
          <w:rFonts w:ascii="Times New Roman" w:eastAsia="AdvTimes" w:hAnsi="Times New Roman" w:cs="Times New Roman"/>
          <w:sz w:val="24"/>
          <w:szCs w:val="24"/>
          <w:lang w:val="en-US"/>
        </w:rPr>
        <w:t xml:space="preserve">with EHRA Type 1 and Type 2 VHD and the highest bleeding risks in the </w:t>
      </w:r>
      <w:r w:rsidR="00CC7263" w:rsidRPr="0046706F">
        <w:rPr>
          <w:rFonts w:ascii="Times New Roman" w:hAnsi="Times New Roman" w:cs="Times New Roman"/>
          <w:sz w:val="24"/>
          <w:szCs w:val="24"/>
          <w:lang w:val="en-US"/>
        </w:rPr>
        <w:t xml:space="preserve">anticoagulated AF patients </w:t>
      </w:r>
      <w:r w:rsidR="00CC7263" w:rsidRPr="0046706F">
        <w:rPr>
          <w:rFonts w:ascii="Times New Roman" w:eastAsia="AdvTimes" w:hAnsi="Times New Roman" w:cs="Times New Roman"/>
          <w:sz w:val="24"/>
          <w:szCs w:val="24"/>
          <w:lang w:val="en-US"/>
        </w:rPr>
        <w:t>with EHRA Type 1 and Type 2 VHD.</w:t>
      </w:r>
      <w:r w:rsidR="00CC7263" w:rsidRPr="0046706F">
        <w:rPr>
          <w:rFonts w:ascii="Times New Roman" w:hAnsi="Times New Roman" w:cs="Times New Roman"/>
          <w:bCs/>
          <w:sz w:val="24"/>
          <w:szCs w:val="24"/>
          <w:lang w:val="en-US" w:bidi="th-TH"/>
        </w:rPr>
        <w:t xml:space="preserve"> </w:t>
      </w:r>
      <w:r w:rsidR="00354F35" w:rsidRPr="0046706F">
        <w:rPr>
          <w:rFonts w:ascii="Times New Roman" w:hAnsi="Times New Roman" w:cs="Times New Roman"/>
          <w:sz w:val="24"/>
          <w:szCs w:val="24"/>
          <w:lang w:val="en-US" w:bidi="th-TH"/>
        </w:rPr>
        <w:t xml:space="preserve">However, these estimates should be interpreted with care as </w:t>
      </w:r>
      <w:r w:rsidR="00354F35" w:rsidRPr="0046706F">
        <w:rPr>
          <w:rFonts w:ascii="Times New Roman" w:hAnsi="Times New Roman" w:cs="Times New Roman"/>
          <w:sz w:val="24"/>
          <w:szCs w:val="24"/>
          <w:lang w:val="en-GB"/>
        </w:rPr>
        <w:t>the</w:t>
      </w:r>
      <w:r w:rsidR="00CC7263" w:rsidRPr="0046706F">
        <w:rPr>
          <w:rFonts w:ascii="Times New Roman" w:hAnsi="Times New Roman" w:cs="Times New Roman"/>
          <w:sz w:val="24"/>
          <w:szCs w:val="24"/>
          <w:lang w:val="en-GB"/>
        </w:rPr>
        <w:t xml:space="preserve"> aim of our study was solely to describe the risk of thromboembolism and bleeding in </w:t>
      </w:r>
      <w:r w:rsidR="00CC7263" w:rsidRPr="0046706F">
        <w:rPr>
          <w:rFonts w:ascii="Times New Roman" w:hAnsi="Times New Roman" w:cs="Times New Roman"/>
          <w:bCs/>
          <w:sz w:val="24"/>
          <w:szCs w:val="24"/>
          <w:lang w:val="en-US" w:bidi="th-TH"/>
        </w:rPr>
        <w:t xml:space="preserve">AF patients with EHRA Type 1 VHD and EHRA Type 2 VHD </w:t>
      </w:r>
      <w:r w:rsidR="00FA2BBF" w:rsidRPr="0046706F">
        <w:rPr>
          <w:rFonts w:ascii="Times New Roman" w:hAnsi="Times New Roman" w:cs="Times New Roman"/>
          <w:bCs/>
          <w:sz w:val="24"/>
          <w:szCs w:val="24"/>
          <w:lang w:val="en-US" w:bidi="th-TH"/>
        </w:rPr>
        <w:t xml:space="preserve">when </w:t>
      </w:r>
      <w:r w:rsidR="00CC7263" w:rsidRPr="0046706F">
        <w:rPr>
          <w:rFonts w:ascii="Times New Roman" w:hAnsi="Times New Roman" w:cs="Times New Roman"/>
          <w:bCs/>
          <w:sz w:val="24"/>
          <w:szCs w:val="24"/>
          <w:lang w:val="en-US" w:bidi="th-TH"/>
        </w:rPr>
        <w:t xml:space="preserve">using data reflecting </w:t>
      </w:r>
      <w:r w:rsidR="00FA2BBF" w:rsidRPr="0046706F">
        <w:rPr>
          <w:rFonts w:ascii="Times New Roman" w:hAnsi="Times New Roman" w:cs="Times New Roman"/>
          <w:bCs/>
          <w:sz w:val="24"/>
          <w:szCs w:val="24"/>
          <w:lang w:val="en-US" w:bidi="th-TH"/>
        </w:rPr>
        <w:t xml:space="preserve">contemporary </w:t>
      </w:r>
      <w:r w:rsidR="00CC7263" w:rsidRPr="0046706F">
        <w:rPr>
          <w:rFonts w:ascii="Times New Roman" w:hAnsi="Times New Roman" w:cs="Times New Roman"/>
          <w:bCs/>
          <w:sz w:val="24"/>
          <w:szCs w:val="24"/>
          <w:lang w:val="en-US" w:bidi="th-TH"/>
        </w:rPr>
        <w:t>clinical practice and not to compare the non-anticoagulated and anticoagulated patients.</w:t>
      </w:r>
      <w:r w:rsidR="00354F35" w:rsidRPr="0046706F">
        <w:rPr>
          <w:rFonts w:ascii="Times New Roman" w:hAnsi="Times New Roman" w:cs="Times New Roman"/>
          <w:sz w:val="24"/>
          <w:szCs w:val="24"/>
          <w:lang w:val="en-GB"/>
        </w:rPr>
        <w:t xml:space="preserve"> </w:t>
      </w:r>
      <w:r w:rsidR="00CC7263" w:rsidRPr="0046706F">
        <w:rPr>
          <w:rFonts w:ascii="Times New Roman" w:hAnsi="Times New Roman" w:cs="Times New Roman"/>
          <w:sz w:val="24"/>
          <w:szCs w:val="24"/>
          <w:lang w:val="en-GB"/>
        </w:rPr>
        <w:t xml:space="preserve">Additionally, the </w:t>
      </w:r>
      <w:r w:rsidR="00354F35" w:rsidRPr="0046706F">
        <w:rPr>
          <w:rFonts w:ascii="Times New Roman" w:hAnsi="Times New Roman" w:cs="Times New Roman"/>
          <w:sz w:val="24"/>
          <w:szCs w:val="24"/>
          <w:lang w:val="en-GB"/>
        </w:rPr>
        <w:t xml:space="preserve">proportion of patients in antithrombotic therapy at baseline may </w:t>
      </w:r>
      <w:r w:rsidR="001E3D94" w:rsidRPr="0046706F">
        <w:rPr>
          <w:rFonts w:ascii="Times New Roman" w:hAnsi="Times New Roman" w:cs="Times New Roman"/>
          <w:sz w:val="24"/>
          <w:szCs w:val="24"/>
          <w:lang w:val="en-GB"/>
        </w:rPr>
        <w:t>not accurately describe the a</w:t>
      </w:r>
      <w:r w:rsidR="00CC70FA" w:rsidRPr="0046706F">
        <w:rPr>
          <w:rFonts w:ascii="Times New Roman" w:hAnsi="Times New Roman" w:cs="Times New Roman"/>
          <w:sz w:val="24"/>
          <w:szCs w:val="24"/>
          <w:lang w:val="en-GB"/>
        </w:rPr>
        <w:t>ssociation</w:t>
      </w:r>
      <w:r w:rsidR="001E3D94" w:rsidRPr="0046706F">
        <w:rPr>
          <w:rFonts w:ascii="Times New Roman" w:hAnsi="Times New Roman" w:cs="Times New Roman"/>
          <w:sz w:val="24"/>
          <w:szCs w:val="24"/>
          <w:lang w:val="en-GB"/>
        </w:rPr>
        <w:t xml:space="preserve"> with outcomes</w:t>
      </w:r>
      <w:r w:rsidR="00354F35" w:rsidRPr="0046706F">
        <w:rPr>
          <w:rFonts w:ascii="Times New Roman" w:hAnsi="Times New Roman" w:cs="Times New Roman"/>
          <w:sz w:val="24"/>
          <w:szCs w:val="24"/>
          <w:lang w:val="en-GB"/>
        </w:rPr>
        <w:t xml:space="preserve"> due to the limitations of assessing medication use using purchase data from registries. </w:t>
      </w:r>
      <w:r w:rsidR="00CC7263" w:rsidRPr="0046706F">
        <w:rPr>
          <w:rFonts w:ascii="Times New Roman" w:hAnsi="Times New Roman" w:cs="Times New Roman"/>
          <w:sz w:val="24"/>
          <w:szCs w:val="24"/>
          <w:lang w:val="en-GB"/>
        </w:rPr>
        <w:t>For example, t</w:t>
      </w:r>
      <w:r w:rsidR="003D2F02" w:rsidRPr="0046706F">
        <w:rPr>
          <w:rFonts w:ascii="Times New Roman" w:hAnsi="Times New Roman" w:cs="Times New Roman"/>
          <w:sz w:val="24"/>
          <w:szCs w:val="24"/>
          <w:lang w:val="en-GB"/>
        </w:rPr>
        <w:t xml:space="preserve">he baseline antithrombotic medication status was used throughout the follow-up period; thus, adherence to therapy is an important, but unknown, factor. </w:t>
      </w:r>
      <w:r w:rsidR="00354F35" w:rsidRPr="0046706F">
        <w:rPr>
          <w:rFonts w:ascii="Times New Roman" w:hAnsi="Times New Roman" w:cs="Times New Roman"/>
          <w:sz w:val="24"/>
          <w:szCs w:val="24"/>
          <w:lang w:val="en-GB"/>
        </w:rPr>
        <w:t xml:space="preserve">We censored patients in the non-anticoagulated group if they initiated oral anticoagulation during follow-up. However, in the anticoagulated patients we did not have information about the quality of anticoagulant control (e.g. time in therapeutic range for patients in VKA therapy and actual intake of oral anticoagulants), </w:t>
      </w:r>
      <w:r w:rsidR="00B2113F" w:rsidRPr="0046706F">
        <w:rPr>
          <w:rFonts w:ascii="Times New Roman" w:hAnsi="Times New Roman" w:cs="Times New Roman"/>
          <w:sz w:val="24"/>
          <w:szCs w:val="24"/>
          <w:lang w:val="en-GB"/>
        </w:rPr>
        <w:t xml:space="preserve">which impact the risk of events </w:t>
      </w:r>
      <w:r w:rsidR="00354F35" w:rsidRPr="0046706F">
        <w:rPr>
          <w:rStyle w:val="Fodnotehenvisning"/>
          <w:rFonts w:ascii="Times New Roman" w:hAnsi="Times New Roman" w:cs="Times New Roman"/>
          <w:sz w:val="24"/>
          <w:szCs w:val="24"/>
          <w:lang w:val="en-GB"/>
        </w:rPr>
        <w:fldChar w:fldCharType="begin" w:fldLock="1"/>
      </w:r>
      <w:r w:rsidR="00CE16AE">
        <w:rPr>
          <w:rFonts w:ascii="Times New Roman" w:hAnsi="Times New Roman" w:cs="Times New Roman"/>
          <w:sz w:val="24"/>
          <w:szCs w:val="24"/>
          <w:lang w:val="en-GB"/>
        </w:rPr>
        <w:instrText>ADDIN CSL_CITATION {"citationItems":[{"id":"ITEM-1","itemData":{"ISSN":"0003-9926","PMID":"17296878","abstract":"BACKGROUND: Warfarin sodium reduces stroke risk in patients with atrial fibrillation, but international normalized ratio (INR) monitoring is required. Target INRs are frequently not achieved, and the risk of death, bleeding, myocardial infarction (MI), and stroke or systemic embolism event (SEE) may be related to INR control. METHODS: We analyzed the relationship between INR control and the rates of death, bleeding, MI, and stroke or SEE among 3587 patients with atrial fibrillation randomized to receive warfarin treatment in the SPORTIF (Stroke Prevention Using an Oral Thrombin Inhibitor in Atrial Fibrillation) III and V trials. The mean+/-SD follow-up was 16.6 +/- 6.3 months. Patients were divided into 3 equal groups (those with good control [&gt;75%], those with moderate control [60%-75%], or those with poor control [&lt;60%]) according to the percentage time with an INR of 2.0 to 3.0. Outcomes were compared according to INR control. The main outcome measures were death, bleeding, MI, and stroke or SEE. RESULTS: The poor control group had higher rates of annual mortality (4.20%) and major bleeding (3.85%) compared with the moderate control group (1.84% and 1.96%, respectively) and the good control group (1.69% and 1.58%, respectively) (P&lt;.01 for all). Compared with the good control group, the poor control group had higher rates of MI (1.38% vs 0.62%, P = .04) and of stroke or SEE (2.10% vs 1.07%, P = .02). CONCLUSIONS: In patients with atrial fibrillation taking warfarin, the risks of death, MI, major bleeding, and stroke or SEE are related to INR control. Good INR control is important to improve patient outcomes.","author":[{"dropping-particle":"","family":"White","given":"Harvey D","non-dropping-particle":"","parse-names":false,"suffix":""},{"dropping-particle":"","family":"Gruber","given":"Michael","non-dropping-particle":"","parse-names":false,"suffix":""},{"dropping-particle":"","family":"Feyzi","given":"Jan","non-dropping-particle":"","parse-names":false,"suffix":""},{"dropping-particle":"","family":"Kaatz","given":"Scott","non-dropping-particle":"","parse-names":false,"suffix":""},{"dropping-particle":"","family":"Tse","given":"Hung-Fat","non-dropping-particle":"","parse-names":false,"suffix":""},{"dropping-particle":"","family":"Husted","given":"Steen","non-dropping-particle":"","parse-names":false,"suffix":""},{"dropping-particle":"","family":"Albers","given":"Gregory W","non-dropping-particle":"","parse-names":false,"suffix":""}],"container-title":"Archives of internal medicine","id":"ITEM-1","issued":{"date-parts":[["2007","3"]]},"page":"239-245","publisher":"American Medical Association","title":"Comparison of outcomes among patients randomized to warfarin therapy according to anticoagulant control: results from SPORTIF III and V.","type":"article-journal","volume":"167"},"uris":["http://www.mendeley.com/documents/?uuid=3f2b8044-9c02-4ace-bad6-3605bae01d66","http://www.mendeley.com/documents/?uuid=29c8b4df-a8fc-4cc3-82d2-2168afcb618e"]}],"mendeley":{"formattedCitation":"[24]","plainTextFormattedCitation":"[24]","previouslyFormattedCitation":"[24]"},"properties":{"noteIndex":0},"schema":"https://github.com/citation-style-language/schema/raw/master/csl-citation.json"}</w:instrText>
      </w:r>
      <w:r w:rsidR="00354F35" w:rsidRPr="0046706F">
        <w:rPr>
          <w:rStyle w:val="Fodnotehenvisning"/>
          <w:rFonts w:ascii="Times New Roman" w:hAnsi="Times New Roman" w:cs="Times New Roman"/>
          <w:sz w:val="24"/>
          <w:szCs w:val="24"/>
          <w:lang w:val="en-GB"/>
        </w:rPr>
        <w:fldChar w:fldCharType="separate"/>
      </w:r>
      <w:r w:rsidR="00F033FF" w:rsidRPr="0046706F">
        <w:rPr>
          <w:rFonts w:ascii="Times New Roman" w:hAnsi="Times New Roman" w:cs="Times New Roman"/>
          <w:noProof/>
          <w:sz w:val="24"/>
          <w:szCs w:val="24"/>
          <w:lang w:val="en-GB"/>
        </w:rPr>
        <w:t>[24]</w:t>
      </w:r>
      <w:r w:rsidR="00354F35" w:rsidRPr="0046706F">
        <w:rPr>
          <w:rStyle w:val="Fodnotehenvisning"/>
          <w:rFonts w:ascii="Times New Roman" w:hAnsi="Times New Roman" w:cs="Times New Roman"/>
          <w:sz w:val="24"/>
          <w:szCs w:val="24"/>
          <w:lang w:val="en-GB"/>
        </w:rPr>
        <w:fldChar w:fldCharType="end"/>
      </w:r>
      <w:r w:rsidR="00B2113F" w:rsidRPr="0046706F">
        <w:rPr>
          <w:rFonts w:ascii="Times New Roman" w:hAnsi="Times New Roman" w:cs="Times New Roman"/>
          <w:sz w:val="24"/>
          <w:szCs w:val="24"/>
          <w:lang w:val="en-GB"/>
        </w:rPr>
        <w:t xml:space="preserve">. </w:t>
      </w:r>
      <w:r w:rsidR="00D04724" w:rsidRPr="0046706F">
        <w:rPr>
          <w:rFonts w:ascii="Times New Roman" w:hAnsi="Times New Roman" w:cs="Times New Roman"/>
          <w:sz w:val="24"/>
          <w:szCs w:val="24"/>
          <w:lang w:val="en-US"/>
        </w:rPr>
        <w:t>In our study, we observed similar risk of bleeding in the anticoagulated and non-anticoagulated patients of some subgroups</w:t>
      </w:r>
      <w:r w:rsidR="009F2A8B">
        <w:rPr>
          <w:rFonts w:ascii="Times New Roman" w:hAnsi="Times New Roman" w:cs="Times New Roman"/>
          <w:sz w:val="24"/>
          <w:szCs w:val="24"/>
          <w:lang w:val="en-US"/>
        </w:rPr>
        <w:t xml:space="preserve"> </w:t>
      </w:r>
      <w:r w:rsidR="009F2A8B" w:rsidRPr="00B842AE">
        <w:rPr>
          <w:rFonts w:ascii="Times New Roman" w:hAnsi="Times New Roman" w:cs="Times New Roman"/>
          <w:color w:val="FFC000"/>
          <w:sz w:val="24"/>
          <w:szCs w:val="24"/>
          <w:lang w:val="en-US"/>
        </w:rPr>
        <w:t xml:space="preserve">and </w:t>
      </w:r>
      <w:r w:rsidR="00B842AE" w:rsidRPr="00B842AE">
        <w:rPr>
          <w:rFonts w:ascii="Times New Roman" w:hAnsi="Times New Roman" w:cs="Times New Roman"/>
          <w:color w:val="FFC000"/>
          <w:sz w:val="24"/>
          <w:szCs w:val="24"/>
          <w:lang w:val="en-US"/>
        </w:rPr>
        <w:t xml:space="preserve">similar risk of thromboembolism in patients with a mechanical prosthetic valve </w:t>
      </w:r>
      <w:r w:rsidR="00B842AE" w:rsidRPr="00B842AE">
        <w:rPr>
          <w:rFonts w:ascii="Times New Roman" w:hAnsi="Times New Roman" w:cs="Times New Roman"/>
          <w:color w:val="FFC000"/>
          <w:sz w:val="24"/>
          <w:szCs w:val="24"/>
          <w:lang w:val="en-US"/>
        </w:rPr>
        <w:lastRenderedPageBreak/>
        <w:t>replacement and in patients with EHRA Type 2 VHD despite a lower median age of patients with a mechanical prosthetic valve replacement</w:t>
      </w:r>
      <w:r w:rsidR="00D04724" w:rsidRPr="00B842AE">
        <w:rPr>
          <w:rFonts w:ascii="Times New Roman" w:hAnsi="Times New Roman" w:cs="Times New Roman"/>
          <w:color w:val="FFC000"/>
          <w:sz w:val="24"/>
          <w:szCs w:val="24"/>
          <w:lang w:val="en-US"/>
        </w:rPr>
        <w:t xml:space="preserve">. </w:t>
      </w:r>
      <w:r w:rsidR="00D04724" w:rsidRPr="0046706F">
        <w:rPr>
          <w:rFonts w:ascii="Times New Roman" w:hAnsi="Times New Roman" w:cs="Times New Roman"/>
          <w:sz w:val="24"/>
          <w:szCs w:val="24"/>
          <w:lang w:val="en-US"/>
        </w:rPr>
        <w:t>As</w:t>
      </w:r>
      <w:r w:rsidR="00D04724" w:rsidRPr="0046706F">
        <w:rPr>
          <w:rFonts w:ascii="Times New Roman" w:hAnsi="Times New Roman" w:cs="Times New Roman"/>
          <w:sz w:val="24"/>
          <w:szCs w:val="24"/>
          <w:lang w:val="en-GB"/>
        </w:rPr>
        <w:t xml:space="preserve"> our study was not designed to compare the risk in non-anticoagulated versus the risk in anticoagulated AF patients with VHD</w:t>
      </w:r>
      <w:r w:rsidR="00B842AE">
        <w:rPr>
          <w:rFonts w:ascii="Times New Roman" w:hAnsi="Times New Roman" w:cs="Times New Roman"/>
          <w:sz w:val="24"/>
          <w:szCs w:val="24"/>
          <w:lang w:val="en-GB"/>
        </w:rPr>
        <w:t xml:space="preserve"> </w:t>
      </w:r>
      <w:r w:rsidR="00B842AE" w:rsidRPr="00B842AE">
        <w:rPr>
          <w:rFonts w:ascii="Times New Roman" w:hAnsi="Times New Roman" w:cs="Times New Roman"/>
          <w:color w:val="FFC000"/>
          <w:sz w:val="24"/>
          <w:szCs w:val="24"/>
          <w:lang w:val="en-GB"/>
        </w:rPr>
        <w:t>or the risk between subgroups</w:t>
      </w:r>
      <w:r w:rsidR="00D04724" w:rsidRPr="0046706F">
        <w:rPr>
          <w:rFonts w:ascii="Times New Roman" w:hAnsi="Times New Roman" w:cs="Times New Roman"/>
          <w:sz w:val="24"/>
          <w:szCs w:val="24"/>
          <w:lang w:val="en-GB"/>
        </w:rPr>
        <w:t>, we can only speculate on th</w:t>
      </w:r>
      <w:r w:rsidR="00E207CB">
        <w:rPr>
          <w:rFonts w:ascii="Times New Roman" w:hAnsi="Times New Roman" w:cs="Times New Roman"/>
          <w:sz w:val="24"/>
          <w:szCs w:val="24"/>
          <w:lang w:val="en-GB"/>
        </w:rPr>
        <w:t>ese</w:t>
      </w:r>
      <w:r w:rsidR="00D04724" w:rsidRPr="0046706F">
        <w:rPr>
          <w:rFonts w:ascii="Times New Roman" w:hAnsi="Times New Roman" w:cs="Times New Roman"/>
          <w:sz w:val="24"/>
          <w:szCs w:val="24"/>
          <w:lang w:val="en-GB"/>
        </w:rPr>
        <w:t xml:space="preserve"> observation</w:t>
      </w:r>
      <w:r w:rsidR="00E207CB">
        <w:rPr>
          <w:rFonts w:ascii="Times New Roman" w:hAnsi="Times New Roman" w:cs="Times New Roman"/>
          <w:sz w:val="24"/>
          <w:szCs w:val="24"/>
          <w:lang w:val="en-GB"/>
        </w:rPr>
        <w:t>s</w:t>
      </w:r>
      <w:r w:rsidR="00D04724" w:rsidRPr="0046706F">
        <w:rPr>
          <w:rFonts w:ascii="Times New Roman" w:hAnsi="Times New Roman" w:cs="Times New Roman"/>
          <w:sz w:val="24"/>
          <w:szCs w:val="24"/>
          <w:lang w:val="en-US"/>
        </w:rPr>
        <w:t>. Possibly, differences in baseline characteristics and risk profiles, which influence treatment strategy, are likely explanations for the similar risks.</w:t>
      </w:r>
    </w:p>
    <w:p w14:paraId="53398B9C" w14:textId="77777777" w:rsidR="00C6500A" w:rsidRPr="0046706F" w:rsidRDefault="00C6500A" w:rsidP="00C6500A">
      <w:pPr>
        <w:spacing w:after="0" w:line="480" w:lineRule="auto"/>
        <w:rPr>
          <w:rFonts w:ascii="Times New Roman" w:hAnsi="Times New Roman" w:cs="Times New Roman"/>
          <w:sz w:val="24"/>
          <w:szCs w:val="24"/>
          <w:lang w:val="en-GB"/>
        </w:rPr>
      </w:pPr>
    </w:p>
    <w:p w14:paraId="1DF422F5" w14:textId="11F32982" w:rsidR="00CC7263" w:rsidRPr="0046706F" w:rsidRDefault="00CC7263" w:rsidP="00354F35">
      <w:pPr>
        <w:spacing w:after="0" w:line="480" w:lineRule="auto"/>
        <w:rPr>
          <w:rFonts w:ascii="Times New Roman" w:hAnsi="Times New Roman" w:cs="Times New Roman"/>
          <w:i/>
          <w:sz w:val="24"/>
          <w:szCs w:val="24"/>
          <w:lang w:val="en-GB"/>
        </w:rPr>
      </w:pPr>
      <w:r w:rsidRPr="0046706F">
        <w:rPr>
          <w:rFonts w:ascii="Times New Roman" w:hAnsi="Times New Roman" w:cs="Times New Roman"/>
          <w:i/>
          <w:sz w:val="24"/>
          <w:szCs w:val="24"/>
          <w:lang w:val="en-GB"/>
        </w:rPr>
        <w:t>Clinical implications</w:t>
      </w:r>
      <w:r w:rsidR="00A14525" w:rsidRPr="0046706F">
        <w:rPr>
          <w:rFonts w:ascii="Times New Roman" w:hAnsi="Times New Roman" w:cs="Times New Roman"/>
          <w:i/>
          <w:sz w:val="24"/>
          <w:szCs w:val="24"/>
          <w:lang w:val="en-GB"/>
        </w:rPr>
        <w:t xml:space="preserve"> and future research directions</w:t>
      </w:r>
    </w:p>
    <w:p w14:paraId="35DD1B3C" w14:textId="5AAB42B3" w:rsidR="00CC7263" w:rsidRPr="0046706F" w:rsidRDefault="005D4FD9" w:rsidP="00AB39FF">
      <w:pPr>
        <w:pStyle w:val="Ingenafstand"/>
        <w:spacing w:line="480" w:lineRule="auto"/>
        <w:jc w:val="both"/>
        <w:rPr>
          <w:rFonts w:ascii="Times New Roman" w:hAnsi="Times New Roman" w:cs="Times New Roman"/>
          <w:sz w:val="24"/>
          <w:szCs w:val="24"/>
          <w:lang w:val="en-US"/>
        </w:rPr>
      </w:pPr>
      <w:r w:rsidRPr="0046706F">
        <w:rPr>
          <w:rFonts w:ascii="Times New Roman" w:hAnsi="Times New Roman" w:cs="Times New Roman"/>
          <w:sz w:val="24"/>
          <w:szCs w:val="24"/>
          <w:lang w:val="en-US"/>
        </w:rPr>
        <w:t xml:space="preserve">The observations in our study provide the clinician with an </w:t>
      </w:r>
      <w:r w:rsidR="00316223" w:rsidRPr="0046706F">
        <w:rPr>
          <w:rFonts w:ascii="Times New Roman" w:hAnsi="Times New Roman" w:cs="Times New Roman"/>
          <w:sz w:val="24"/>
          <w:szCs w:val="24"/>
          <w:lang w:val="en-US"/>
        </w:rPr>
        <w:t>overview</w:t>
      </w:r>
      <w:r w:rsidRPr="0046706F">
        <w:rPr>
          <w:rFonts w:ascii="Times New Roman" w:hAnsi="Times New Roman" w:cs="Times New Roman"/>
          <w:sz w:val="24"/>
          <w:szCs w:val="24"/>
          <w:lang w:val="en-US"/>
        </w:rPr>
        <w:t xml:space="preserve"> of </w:t>
      </w:r>
      <w:r w:rsidR="0094236F" w:rsidRPr="0046706F">
        <w:rPr>
          <w:rFonts w:ascii="Times New Roman" w:hAnsi="Times New Roman" w:cs="Times New Roman"/>
          <w:sz w:val="24"/>
          <w:szCs w:val="24"/>
          <w:lang w:val="en-US"/>
        </w:rPr>
        <w:t xml:space="preserve">the </w:t>
      </w:r>
      <w:r w:rsidRPr="0046706F">
        <w:rPr>
          <w:rFonts w:ascii="Times New Roman" w:hAnsi="Times New Roman" w:cs="Times New Roman"/>
          <w:sz w:val="24"/>
          <w:szCs w:val="24"/>
          <w:lang w:val="en-US"/>
        </w:rPr>
        <w:t xml:space="preserve">thromboembolic and bleeding risks in AF patients with VHD </w:t>
      </w:r>
      <w:r w:rsidR="00FA2BBF" w:rsidRPr="0046706F">
        <w:rPr>
          <w:rFonts w:ascii="Times New Roman" w:hAnsi="Times New Roman" w:cs="Times New Roman"/>
          <w:sz w:val="24"/>
          <w:szCs w:val="24"/>
          <w:lang w:val="en-US"/>
        </w:rPr>
        <w:t>in</w:t>
      </w:r>
      <w:r w:rsidRPr="0046706F">
        <w:rPr>
          <w:rFonts w:ascii="Times New Roman" w:hAnsi="Times New Roman" w:cs="Times New Roman"/>
          <w:sz w:val="24"/>
          <w:szCs w:val="24"/>
          <w:lang w:val="en-US"/>
        </w:rPr>
        <w:t xml:space="preserve"> </w:t>
      </w:r>
      <w:r w:rsidR="00FA2BBF" w:rsidRPr="0046706F">
        <w:rPr>
          <w:rFonts w:ascii="Times New Roman" w:hAnsi="Times New Roman" w:cs="Times New Roman"/>
          <w:sz w:val="24"/>
          <w:szCs w:val="24"/>
          <w:lang w:val="en-US"/>
        </w:rPr>
        <w:t xml:space="preserve">contemporary </w:t>
      </w:r>
      <w:r w:rsidRPr="0046706F">
        <w:rPr>
          <w:rFonts w:ascii="Times New Roman" w:hAnsi="Times New Roman" w:cs="Times New Roman"/>
          <w:sz w:val="24"/>
          <w:szCs w:val="24"/>
          <w:lang w:val="en-US"/>
        </w:rPr>
        <w:t xml:space="preserve">clinical practice. Moreover, this large study describes the clinical profile and medication status of </w:t>
      </w:r>
      <w:r w:rsidR="0094236F" w:rsidRPr="0046706F">
        <w:rPr>
          <w:rFonts w:ascii="Times New Roman" w:hAnsi="Times New Roman" w:cs="Times New Roman"/>
          <w:sz w:val="24"/>
          <w:szCs w:val="24"/>
          <w:lang w:val="en-US"/>
        </w:rPr>
        <w:t>a nationwide</w:t>
      </w:r>
      <w:r w:rsidRPr="0046706F">
        <w:rPr>
          <w:rFonts w:ascii="Times New Roman" w:hAnsi="Times New Roman" w:cs="Times New Roman"/>
          <w:sz w:val="24"/>
          <w:szCs w:val="24"/>
          <w:lang w:val="en-US"/>
        </w:rPr>
        <w:t xml:space="preserve"> AF population with VHD. </w:t>
      </w:r>
      <w:r w:rsidR="00CC7263" w:rsidRPr="0046706F">
        <w:rPr>
          <w:rFonts w:ascii="Times New Roman" w:hAnsi="Times New Roman" w:cs="Times New Roman"/>
          <w:sz w:val="24"/>
          <w:szCs w:val="24"/>
          <w:lang w:val="en-US"/>
        </w:rPr>
        <w:t xml:space="preserve">Within the subgroups of AF patients </w:t>
      </w:r>
      <w:r w:rsidR="00CC7263" w:rsidRPr="0046706F">
        <w:rPr>
          <w:rFonts w:ascii="Times New Roman" w:eastAsia="AdvTimes" w:hAnsi="Times New Roman" w:cs="Times New Roman"/>
          <w:sz w:val="24"/>
          <w:szCs w:val="24"/>
          <w:lang w:val="en-US"/>
        </w:rPr>
        <w:t>with EHRA Type 1 and Type 2 VHD,</w:t>
      </w:r>
      <w:r w:rsidR="00CC7263" w:rsidRPr="0046706F">
        <w:rPr>
          <w:rFonts w:ascii="Times New Roman" w:hAnsi="Times New Roman" w:cs="Times New Roman"/>
          <w:sz w:val="24"/>
          <w:szCs w:val="24"/>
          <w:lang w:val="en-US"/>
        </w:rPr>
        <w:t xml:space="preserve"> </w:t>
      </w:r>
      <w:r w:rsidR="00CC7263" w:rsidRPr="0046706F">
        <w:rPr>
          <w:rFonts w:ascii="Times New Roman" w:eastAsia="AdvTimes" w:hAnsi="Times New Roman" w:cs="Times New Roman"/>
          <w:sz w:val="24"/>
          <w:szCs w:val="24"/>
          <w:lang w:val="en-US"/>
        </w:rPr>
        <w:t xml:space="preserve">we observed a large proportion of non-anticoagulated patients, despite </w:t>
      </w:r>
      <w:r w:rsidR="003C1F2F" w:rsidRPr="0046706F">
        <w:rPr>
          <w:rFonts w:ascii="Times New Roman" w:eastAsia="AdvTimes" w:hAnsi="Times New Roman" w:cs="Times New Roman"/>
          <w:sz w:val="24"/>
          <w:szCs w:val="24"/>
          <w:lang w:val="en-US"/>
        </w:rPr>
        <w:t xml:space="preserve">a </w:t>
      </w:r>
      <w:r w:rsidR="000730F8" w:rsidRPr="0046706F">
        <w:rPr>
          <w:rFonts w:ascii="Times New Roman" w:hAnsi="Times New Roman" w:cs="Times New Roman"/>
          <w:sz w:val="24"/>
          <w:szCs w:val="24"/>
          <w:lang w:val="en-US"/>
        </w:rPr>
        <w:t>CHA</w:t>
      </w:r>
      <w:r w:rsidR="000730F8" w:rsidRPr="0046706F">
        <w:rPr>
          <w:rFonts w:ascii="Times New Roman" w:hAnsi="Times New Roman" w:cs="Times New Roman"/>
          <w:sz w:val="24"/>
          <w:szCs w:val="24"/>
          <w:vertAlign w:val="subscript"/>
          <w:lang w:val="en-US"/>
        </w:rPr>
        <w:t>2</w:t>
      </w:r>
      <w:r w:rsidR="000730F8" w:rsidRPr="0046706F">
        <w:rPr>
          <w:rFonts w:ascii="Times New Roman" w:hAnsi="Times New Roman" w:cs="Times New Roman"/>
          <w:sz w:val="24"/>
          <w:szCs w:val="24"/>
          <w:lang w:val="en-US"/>
        </w:rPr>
        <w:t>DS</w:t>
      </w:r>
      <w:r w:rsidR="000730F8" w:rsidRPr="0046706F">
        <w:rPr>
          <w:rFonts w:ascii="Times New Roman" w:hAnsi="Times New Roman" w:cs="Times New Roman"/>
          <w:sz w:val="24"/>
          <w:szCs w:val="24"/>
          <w:vertAlign w:val="subscript"/>
          <w:lang w:val="en-US"/>
        </w:rPr>
        <w:t>2</w:t>
      </w:r>
      <w:r w:rsidR="000730F8" w:rsidRPr="0046706F">
        <w:rPr>
          <w:rFonts w:ascii="Times New Roman" w:hAnsi="Times New Roman" w:cs="Times New Roman"/>
          <w:sz w:val="24"/>
          <w:szCs w:val="24"/>
          <w:lang w:val="en-US"/>
        </w:rPr>
        <w:t>-VASc score of 2 or above in the majority of these patients</w:t>
      </w:r>
      <w:r w:rsidR="00CC7263" w:rsidRPr="0046706F">
        <w:rPr>
          <w:rFonts w:ascii="Times New Roman" w:eastAsia="AdvTimes" w:hAnsi="Times New Roman" w:cs="Times New Roman"/>
          <w:sz w:val="24"/>
          <w:szCs w:val="24"/>
          <w:lang w:val="en-US"/>
        </w:rPr>
        <w:t xml:space="preserve">. This observation </w:t>
      </w:r>
      <w:r w:rsidR="00316223" w:rsidRPr="0046706F">
        <w:rPr>
          <w:rFonts w:ascii="Times New Roman" w:eastAsia="AdvTimes" w:hAnsi="Times New Roman" w:cs="Times New Roman"/>
          <w:sz w:val="24"/>
          <w:szCs w:val="24"/>
          <w:lang w:val="en-US"/>
        </w:rPr>
        <w:t>might</w:t>
      </w:r>
      <w:r w:rsidR="00CC7263" w:rsidRPr="0046706F">
        <w:rPr>
          <w:rFonts w:ascii="Times New Roman" w:eastAsia="AdvTimes" w:hAnsi="Times New Roman" w:cs="Times New Roman"/>
          <w:sz w:val="24"/>
          <w:szCs w:val="24"/>
          <w:lang w:val="en-US"/>
        </w:rPr>
        <w:t xml:space="preserve"> be explained by methodological limitations</w:t>
      </w:r>
      <w:r w:rsidR="00316223" w:rsidRPr="0046706F">
        <w:rPr>
          <w:rFonts w:ascii="Times New Roman" w:eastAsia="AdvTimes" w:hAnsi="Times New Roman" w:cs="Times New Roman"/>
          <w:sz w:val="24"/>
          <w:szCs w:val="24"/>
          <w:lang w:val="en-US"/>
        </w:rPr>
        <w:t xml:space="preserve"> of our study</w:t>
      </w:r>
      <w:r w:rsidR="001936FB" w:rsidRPr="0046706F">
        <w:rPr>
          <w:rFonts w:ascii="Times New Roman" w:eastAsia="AdvTimes" w:hAnsi="Times New Roman" w:cs="Times New Roman"/>
          <w:sz w:val="24"/>
          <w:szCs w:val="24"/>
          <w:lang w:val="en-US"/>
        </w:rPr>
        <w:t xml:space="preserve"> (as our aim was not to investigate differences in anticoagulation use)</w:t>
      </w:r>
      <w:r w:rsidR="00CC7263" w:rsidRPr="0046706F">
        <w:rPr>
          <w:rFonts w:ascii="Times New Roman" w:eastAsia="AdvTimes" w:hAnsi="Times New Roman" w:cs="Times New Roman"/>
          <w:sz w:val="24"/>
          <w:szCs w:val="24"/>
          <w:lang w:val="en-US"/>
        </w:rPr>
        <w:t xml:space="preserve">, but could </w:t>
      </w:r>
      <w:r w:rsidR="001936FB" w:rsidRPr="0046706F">
        <w:rPr>
          <w:rFonts w:ascii="Times New Roman" w:eastAsia="AdvTimes" w:hAnsi="Times New Roman" w:cs="Times New Roman"/>
          <w:sz w:val="24"/>
          <w:szCs w:val="24"/>
          <w:lang w:val="en-US"/>
        </w:rPr>
        <w:t xml:space="preserve">also </w:t>
      </w:r>
      <w:r w:rsidR="00CC7263" w:rsidRPr="0046706F">
        <w:rPr>
          <w:rFonts w:ascii="Times New Roman" w:eastAsia="AdvTimes" w:hAnsi="Times New Roman" w:cs="Times New Roman"/>
          <w:sz w:val="24"/>
          <w:szCs w:val="24"/>
          <w:lang w:val="en-US"/>
        </w:rPr>
        <w:t xml:space="preserve">reflect </w:t>
      </w:r>
      <w:r w:rsidR="001936FB" w:rsidRPr="0046706F">
        <w:rPr>
          <w:rFonts w:ascii="Times New Roman" w:eastAsia="AdvTimes" w:hAnsi="Times New Roman" w:cs="Times New Roman"/>
          <w:sz w:val="24"/>
          <w:szCs w:val="24"/>
          <w:lang w:val="en-US"/>
        </w:rPr>
        <w:t xml:space="preserve">an </w:t>
      </w:r>
      <w:r w:rsidR="00CC7263" w:rsidRPr="0046706F">
        <w:rPr>
          <w:rFonts w:ascii="Times New Roman" w:eastAsia="AdvTimes" w:hAnsi="Times New Roman" w:cs="Times New Roman"/>
          <w:sz w:val="24"/>
          <w:szCs w:val="24"/>
          <w:lang w:val="en-US"/>
        </w:rPr>
        <w:t>actual underuse of oral anticoagulation</w:t>
      </w:r>
      <w:r w:rsidR="001936FB" w:rsidRPr="0046706F">
        <w:rPr>
          <w:rFonts w:ascii="Times New Roman" w:eastAsia="AdvTimes" w:hAnsi="Times New Roman" w:cs="Times New Roman"/>
          <w:sz w:val="24"/>
          <w:szCs w:val="24"/>
          <w:lang w:val="en-US"/>
        </w:rPr>
        <w:t xml:space="preserve"> for stroke prevention</w:t>
      </w:r>
      <w:r w:rsidR="00CC7263" w:rsidRPr="0046706F">
        <w:rPr>
          <w:rFonts w:ascii="Times New Roman" w:eastAsia="AdvTimes" w:hAnsi="Times New Roman" w:cs="Times New Roman"/>
          <w:sz w:val="24"/>
          <w:szCs w:val="24"/>
          <w:lang w:val="en-US"/>
        </w:rPr>
        <w:t xml:space="preserve"> </w:t>
      </w:r>
      <w:r w:rsidR="00B20EEE" w:rsidRPr="0046706F">
        <w:rPr>
          <w:rFonts w:ascii="Times New Roman" w:eastAsia="AdvTimes" w:hAnsi="Times New Roman" w:cs="Times New Roman"/>
          <w:sz w:val="24"/>
          <w:szCs w:val="24"/>
          <w:lang w:val="en-US"/>
        </w:rPr>
        <w:t>in AF patients with VHD in clinical practice. A previous stud</w:t>
      </w:r>
      <w:r w:rsidR="00FA02F4" w:rsidRPr="0046706F">
        <w:rPr>
          <w:rFonts w:ascii="Times New Roman" w:eastAsia="AdvTimes" w:hAnsi="Times New Roman" w:cs="Times New Roman"/>
          <w:sz w:val="24"/>
          <w:szCs w:val="24"/>
          <w:lang w:val="en-US"/>
        </w:rPr>
        <w:t xml:space="preserve">y </w:t>
      </w:r>
      <w:r w:rsidR="00B20EEE" w:rsidRPr="0046706F">
        <w:rPr>
          <w:rFonts w:ascii="Times New Roman" w:eastAsia="AdvTimes" w:hAnsi="Times New Roman" w:cs="Times New Roman"/>
          <w:sz w:val="24"/>
          <w:szCs w:val="24"/>
          <w:lang w:val="en-US"/>
        </w:rPr>
        <w:t>demonstrated that the lack of</w:t>
      </w:r>
      <w:r w:rsidR="00CC7263" w:rsidRPr="0046706F">
        <w:rPr>
          <w:rFonts w:ascii="Times New Roman" w:eastAsia="AdvTimes" w:hAnsi="Times New Roman" w:cs="Times New Roman"/>
          <w:sz w:val="24"/>
          <w:szCs w:val="24"/>
          <w:lang w:val="en-US"/>
        </w:rPr>
        <w:t xml:space="preserve"> </w:t>
      </w:r>
      <w:r w:rsidR="00B20EEE" w:rsidRPr="0046706F">
        <w:rPr>
          <w:rFonts w:ascii="Times New Roman" w:eastAsia="AdvTimes" w:hAnsi="Times New Roman" w:cs="Times New Roman"/>
          <w:sz w:val="24"/>
          <w:szCs w:val="24"/>
          <w:lang w:val="en-US"/>
        </w:rPr>
        <w:t xml:space="preserve">a clear-cut definition of </w:t>
      </w:r>
      <w:r w:rsidR="00316223" w:rsidRPr="0046706F">
        <w:rPr>
          <w:rFonts w:ascii="Times New Roman" w:eastAsia="AdvTimes" w:hAnsi="Times New Roman" w:cs="Times New Roman"/>
          <w:sz w:val="24"/>
          <w:szCs w:val="24"/>
          <w:lang w:val="en-US"/>
        </w:rPr>
        <w:t>‘valvular AF’</w:t>
      </w:r>
      <w:r w:rsidR="00B20EEE" w:rsidRPr="0046706F">
        <w:rPr>
          <w:rFonts w:ascii="Times New Roman" w:eastAsia="AdvTimes" w:hAnsi="Times New Roman" w:cs="Times New Roman"/>
          <w:sz w:val="24"/>
          <w:szCs w:val="24"/>
          <w:lang w:val="en-US"/>
        </w:rPr>
        <w:t xml:space="preserve"> until recently has </w:t>
      </w:r>
      <w:r w:rsidR="00B20EEE" w:rsidRPr="0046706F">
        <w:rPr>
          <w:rFonts w:ascii="Times New Roman" w:hAnsi="Times New Roman" w:cs="Times New Roman"/>
          <w:sz w:val="24"/>
          <w:szCs w:val="24"/>
          <w:lang w:val="en-US"/>
        </w:rPr>
        <w:t xml:space="preserve">challenged physicians and </w:t>
      </w:r>
      <w:r w:rsidR="001936FB" w:rsidRPr="0046706F">
        <w:rPr>
          <w:rFonts w:ascii="Times New Roman" w:hAnsi="Times New Roman" w:cs="Times New Roman"/>
          <w:sz w:val="24"/>
          <w:szCs w:val="24"/>
          <w:lang w:val="en-US"/>
        </w:rPr>
        <w:t>caused variable antithrombotic treatment</w:t>
      </w:r>
      <w:r w:rsidR="003C1F2F" w:rsidRPr="0046706F">
        <w:rPr>
          <w:rFonts w:ascii="Times New Roman" w:hAnsi="Times New Roman" w:cs="Times New Roman"/>
          <w:sz w:val="24"/>
          <w:szCs w:val="24"/>
          <w:lang w:val="en-US"/>
        </w:rPr>
        <w:t xml:space="preserve"> strategy</w:t>
      </w:r>
      <w:r w:rsidR="001936FB" w:rsidRPr="0046706F">
        <w:rPr>
          <w:rFonts w:ascii="Times New Roman" w:hAnsi="Times New Roman" w:cs="Times New Roman"/>
          <w:sz w:val="24"/>
          <w:szCs w:val="24"/>
          <w:lang w:val="en-US"/>
        </w:rPr>
        <w:t xml:space="preserve"> in these patients, in particular with regard to the use of NOACs</w:t>
      </w:r>
      <w:r w:rsidR="00B2113F" w:rsidRPr="0046706F">
        <w:rPr>
          <w:rFonts w:ascii="Times New Roman" w:hAnsi="Times New Roman" w:cs="Times New Roman"/>
          <w:sz w:val="24"/>
          <w:szCs w:val="24"/>
          <w:lang w:val="en-US"/>
        </w:rPr>
        <w:t xml:space="preserve"> </w:t>
      </w:r>
      <w:r w:rsidR="006E799B" w:rsidRPr="0046706F">
        <w:rPr>
          <w:rFonts w:ascii="Times New Roman" w:hAnsi="Times New Roman" w:cs="Times New Roman"/>
          <w:sz w:val="24"/>
          <w:szCs w:val="24"/>
          <w:lang w:val="en-US"/>
        </w:rPr>
        <w:fldChar w:fldCharType="begin" w:fldLock="1"/>
      </w:r>
      <w:r w:rsidR="006E799B" w:rsidRPr="0046706F">
        <w:rPr>
          <w:rFonts w:ascii="Times New Roman" w:hAnsi="Times New Roman" w:cs="Times New Roman"/>
          <w:sz w:val="24"/>
          <w:szCs w:val="24"/>
          <w:lang w:val="en-US"/>
        </w:rPr>
        <w:instrText>ADDIN CSL_CITATION {"citationItems":[{"id":"ITEM-1","itemData":{"ISSN":"1099-5129","PMID":"27876696","abstract":"The purpose of this European Heart Rhythm Association (EHRA) Survey was to assess the perceptions of 'valvular' atrial fibrillation (AF) and management of AF patients with various heart valve abnormalities in daily clinical practice in European electrophysiology (EP) centres. Questionnaire survey was sent via the Internet to the EHRA-EP Research Network Centres. Of the 52 responding centres, 42 (80.8%) were university hospitals. Choosing the most comprehensive definition of valvular AF, a total of 49 centres (94.2%) encountered a mechanical prosthetic heart valve and significant rheumatic mitral stenosis, 35 centres (67.3%) also considered bioprosthetic valves, and 25 centres (48.1%) included any significant valvular heart disease, requiring surgical repair in the definition of valvular AF. Only three centres (5.8%) would define valvular AF as the presence of any (even mild) valvular abnormality. None of the centres would use non-vitamin K antagonist oral anticoagulants (NOACs) in AF patients with mechanical prosthetic valves, only 5 centres (9.8%) would use NOACs in patients with significant mitral stenosis, 17 centres (32.7%) would consider the use of NOACs in patients with bioprosthetic valves, and 21 centres (41.2%) would use NOACs in patients with a non-recent transcatheter valve replacement/implantation, while 13 centres (25.5%) would never consider the use of NOACs in AF patients with even mild native heart valve abnormality. Our survey showed marked heterogeneity in the definition of valvular AF and thromboprophylactic treatments, with the use of variable NOACs in patients with valvular heart disease other than prosthetic heart valves or significant mitral stenosis, indicating that this term may be misleading and should not be used.","author":[{"dropping-particle":"","family":"Potpara","given":"Tatjana S.","non-dropping-particle":"","parse-names":false,"suffix":""},{"dropping-particle":"","family":"Lip","given":"Gregory Y.H.","non-dropping-particle":"","parse-names":false,"suffix":""},{"dropping-particle":"","family":"Larsen","given":"Torben B.","non-dropping-particle":"","parse-names":false,"suffix":""},{"dropping-particle":"","family":"Madrid","given":"Antonio","non-dropping-particle":"","parse-names":false,"suffix":""},{"dropping-particle":"","family":"Dobreanu","given":"Dan","non-dropping-particle":"","parse-names":false,"suffix":""},{"dropping-particle":"","family":"Jędrzejczyk-Patej","given":"Ewa","non-dropping-particle":"","parse-names":false,"suffix":""},{"dropping-particle":"","family":"Dagres","given":"Nikolaos","non-dropping-particle":"","parse-names":false,"suffix":""},{"dropping-particle":"","family":"conducted by the Scientific Initiatives Committee","given":"European Heart Rhythm Association","non-dropping-particle":"","parse-names":false,"suffix":""}],"container-title":"Europace","id":"ITEM-1","issued":{"date-parts":[["2016"]]},"page":"1593-1598","title":"Stroke prevention strategies in patients with atrial fibrillation and heart valve abnormalities: perceptions of ‘valvular’ atrial fibrillation: results of the European Heart Rhythm Association Survey","type":"article-journal","volume":"18"},"uris":["http://www.mendeley.com/documents/?uuid=4858d191-d9bf-4a76-9327-cfaebcf4ce9b"]}],"mendeley":{"formattedCitation":"[10]","plainTextFormattedCitation":"[10]","previouslyFormattedCitation":"[10]"},"properties":{"noteIndex":0},"schema":"https://github.com/citation-style-language/schema/raw/master/csl-citation.json"}</w:instrText>
      </w:r>
      <w:r w:rsidR="006E799B" w:rsidRPr="0046706F">
        <w:rPr>
          <w:rFonts w:ascii="Times New Roman" w:hAnsi="Times New Roman" w:cs="Times New Roman"/>
          <w:sz w:val="24"/>
          <w:szCs w:val="24"/>
          <w:lang w:val="en-US"/>
        </w:rPr>
        <w:fldChar w:fldCharType="separate"/>
      </w:r>
      <w:r w:rsidR="006E799B" w:rsidRPr="0046706F">
        <w:rPr>
          <w:rFonts w:ascii="Times New Roman" w:hAnsi="Times New Roman" w:cs="Times New Roman"/>
          <w:noProof/>
          <w:sz w:val="24"/>
          <w:szCs w:val="24"/>
          <w:lang w:val="en-US"/>
        </w:rPr>
        <w:t>[10]</w:t>
      </w:r>
      <w:r w:rsidR="006E799B" w:rsidRPr="0046706F">
        <w:rPr>
          <w:rFonts w:ascii="Times New Roman" w:hAnsi="Times New Roman" w:cs="Times New Roman"/>
          <w:sz w:val="24"/>
          <w:szCs w:val="24"/>
          <w:lang w:val="en-US"/>
        </w:rPr>
        <w:fldChar w:fldCharType="end"/>
      </w:r>
      <w:r w:rsidR="006361E0" w:rsidRPr="0046706F">
        <w:rPr>
          <w:rFonts w:ascii="Times New Roman" w:hAnsi="Times New Roman" w:cs="Times New Roman"/>
          <w:sz w:val="24"/>
          <w:szCs w:val="24"/>
          <w:lang w:val="en-US"/>
        </w:rPr>
        <w:t>. The</w:t>
      </w:r>
      <w:r w:rsidR="001936FB" w:rsidRPr="0046706F">
        <w:rPr>
          <w:rFonts w:ascii="Times New Roman" w:hAnsi="Times New Roman" w:cs="Times New Roman"/>
          <w:sz w:val="24"/>
          <w:szCs w:val="24"/>
          <w:lang w:val="en-US"/>
        </w:rPr>
        <w:t xml:space="preserve"> </w:t>
      </w:r>
      <w:r w:rsidR="006361E0" w:rsidRPr="0046706F">
        <w:rPr>
          <w:rFonts w:ascii="Times New Roman" w:hAnsi="Times New Roman" w:cs="Times New Roman"/>
          <w:sz w:val="24"/>
          <w:szCs w:val="24"/>
          <w:lang w:val="en-US"/>
        </w:rPr>
        <w:t xml:space="preserve">observed </w:t>
      </w:r>
      <w:r w:rsidR="001936FB" w:rsidRPr="0046706F">
        <w:rPr>
          <w:rFonts w:ascii="Times New Roman" w:hAnsi="Times New Roman" w:cs="Times New Roman"/>
          <w:sz w:val="24"/>
          <w:szCs w:val="24"/>
          <w:lang w:val="en-US"/>
        </w:rPr>
        <w:t>potential underuse of oral anticoagulation</w:t>
      </w:r>
      <w:r w:rsidR="003C1F2F" w:rsidRPr="0046706F">
        <w:rPr>
          <w:rFonts w:ascii="Times New Roman" w:hAnsi="Times New Roman" w:cs="Times New Roman"/>
          <w:sz w:val="24"/>
          <w:szCs w:val="24"/>
          <w:lang w:val="en-US"/>
        </w:rPr>
        <w:t xml:space="preserve"> in AF patients with VHD</w:t>
      </w:r>
      <w:r w:rsidR="001936FB" w:rsidRPr="0046706F">
        <w:rPr>
          <w:rFonts w:ascii="Times New Roman" w:hAnsi="Times New Roman" w:cs="Times New Roman"/>
          <w:sz w:val="24"/>
          <w:szCs w:val="24"/>
          <w:lang w:val="en-US"/>
        </w:rPr>
        <w:t xml:space="preserve"> </w:t>
      </w:r>
      <w:r w:rsidR="00DA08D0" w:rsidRPr="0046706F">
        <w:rPr>
          <w:rFonts w:ascii="Times New Roman" w:eastAsia="AdvTimes" w:hAnsi="Times New Roman" w:cs="Times New Roman"/>
          <w:sz w:val="24"/>
          <w:szCs w:val="24"/>
          <w:lang w:val="en-US"/>
        </w:rPr>
        <w:t>underline the need for further attention on this patient group</w:t>
      </w:r>
      <w:r w:rsidR="003C1F2F" w:rsidRPr="0046706F">
        <w:rPr>
          <w:rFonts w:ascii="Times New Roman" w:eastAsia="AdvTimes" w:hAnsi="Times New Roman" w:cs="Times New Roman"/>
          <w:sz w:val="24"/>
          <w:szCs w:val="24"/>
          <w:lang w:val="en-US"/>
        </w:rPr>
        <w:t>, both in clinical practice and in research. F</w:t>
      </w:r>
      <w:r w:rsidR="00CC7263" w:rsidRPr="0046706F">
        <w:rPr>
          <w:rFonts w:ascii="Times New Roman" w:hAnsi="Times New Roman" w:cs="Times New Roman"/>
          <w:sz w:val="24"/>
          <w:szCs w:val="24"/>
          <w:lang w:val="en-US"/>
        </w:rPr>
        <w:t xml:space="preserve">uture studies examining the optimal antithrombotic </w:t>
      </w:r>
      <w:r w:rsidR="00D62D5B" w:rsidRPr="0046706F">
        <w:rPr>
          <w:rFonts w:ascii="Times New Roman" w:hAnsi="Times New Roman" w:cs="Times New Roman"/>
          <w:sz w:val="24"/>
          <w:szCs w:val="24"/>
          <w:lang w:val="en-US"/>
        </w:rPr>
        <w:t>management</w:t>
      </w:r>
      <w:r w:rsidR="00CC7263" w:rsidRPr="0046706F">
        <w:rPr>
          <w:rFonts w:ascii="Times New Roman" w:hAnsi="Times New Roman" w:cs="Times New Roman"/>
          <w:sz w:val="24"/>
          <w:szCs w:val="24"/>
          <w:lang w:val="en-US"/>
        </w:rPr>
        <w:t xml:space="preserve"> in each subgroup of EHRA Type 1 VHD and EHRA Type 2 VHD</w:t>
      </w:r>
      <w:r w:rsidR="003C1F2F" w:rsidRPr="0046706F">
        <w:rPr>
          <w:rFonts w:ascii="Times New Roman" w:hAnsi="Times New Roman" w:cs="Times New Roman"/>
          <w:sz w:val="24"/>
          <w:szCs w:val="24"/>
          <w:lang w:val="en-US"/>
        </w:rPr>
        <w:t xml:space="preserve"> are needed</w:t>
      </w:r>
      <w:r w:rsidR="00CC7263" w:rsidRPr="0046706F">
        <w:rPr>
          <w:rFonts w:ascii="Times New Roman" w:hAnsi="Times New Roman" w:cs="Times New Roman"/>
          <w:sz w:val="24"/>
          <w:szCs w:val="24"/>
          <w:lang w:val="en-US"/>
        </w:rPr>
        <w:t>.</w:t>
      </w:r>
      <w:r w:rsidR="00A14525" w:rsidRPr="0046706F">
        <w:rPr>
          <w:rFonts w:ascii="Times New Roman" w:hAnsi="Times New Roman" w:cs="Times New Roman"/>
          <w:sz w:val="24"/>
          <w:szCs w:val="24"/>
          <w:lang w:val="en-US"/>
        </w:rPr>
        <w:t xml:space="preserve"> </w:t>
      </w:r>
      <w:r w:rsidR="00B4666B" w:rsidRPr="00964830">
        <w:rPr>
          <w:rFonts w:ascii="Times New Roman" w:hAnsi="Times New Roman" w:cs="Times New Roman"/>
          <w:color w:val="FFC000"/>
          <w:sz w:val="24"/>
          <w:szCs w:val="24"/>
          <w:lang w:val="en-US"/>
        </w:rPr>
        <w:t xml:space="preserve">Several studies have examined the effectiveness and safety of NOAC versus warfarin in </w:t>
      </w:r>
      <w:r w:rsidR="00964830" w:rsidRPr="00964830">
        <w:rPr>
          <w:rFonts w:ascii="Times New Roman" w:hAnsi="Times New Roman" w:cs="Times New Roman"/>
          <w:color w:val="FFC000"/>
          <w:sz w:val="24"/>
          <w:szCs w:val="24"/>
          <w:lang w:val="en-US"/>
        </w:rPr>
        <w:t xml:space="preserve">AF </w:t>
      </w:r>
      <w:r w:rsidR="00B4666B" w:rsidRPr="00964830">
        <w:rPr>
          <w:rFonts w:ascii="Times New Roman" w:hAnsi="Times New Roman" w:cs="Times New Roman"/>
          <w:color w:val="FFC000"/>
          <w:sz w:val="24"/>
          <w:szCs w:val="24"/>
          <w:lang w:val="en-US"/>
        </w:rPr>
        <w:t>patients with</w:t>
      </w:r>
      <w:r w:rsidR="00964830" w:rsidRPr="00964830">
        <w:rPr>
          <w:rFonts w:ascii="Times New Roman" w:hAnsi="Times New Roman" w:cs="Times New Roman"/>
          <w:color w:val="FFC000"/>
          <w:sz w:val="24"/>
          <w:szCs w:val="24"/>
          <w:lang w:val="en-US"/>
        </w:rPr>
        <w:t xml:space="preserve"> VHD, primarily in patients with EHRA Type 2 VHD</w:t>
      </w:r>
      <w:r w:rsidR="00AB39FF">
        <w:rPr>
          <w:rFonts w:ascii="Times New Roman" w:hAnsi="Times New Roman" w:cs="Times New Roman"/>
          <w:color w:val="FFC000"/>
          <w:sz w:val="24"/>
          <w:szCs w:val="24"/>
          <w:lang w:val="en-US"/>
        </w:rPr>
        <w:fldChar w:fldCharType="begin" w:fldLock="1"/>
      </w:r>
      <w:r w:rsidR="00030DD5">
        <w:rPr>
          <w:rFonts w:ascii="Times New Roman" w:hAnsi="Times New Roman" w:cs="Times New Roman"/>
          <w:color w:val="FFC000"/>
          <w:sz w:val="24"/>
          <w:szCs w:val="24"/>
          <w:lang w:val="en-US"/>
        </w:rPr>
        <w:instrText>ADDIN CSL_CITATION {"citationItems":[{"id":"ITEM-1","itemData":{"author":[{"dropping-particle":"","family":"Strange","given":"JE","non-dropping-particle":"","parse-names":false,"suffix":""},{"dropping-particle":"","family":"Sindet-Pedersen","given":"C","non-dropping-particle":"","parse-names":false,"suffix":""},{"dropping-particle":"","family":"Staerk","given":"L","non-dropping-particle":"","parse-names":false,"suffix":""},{"dropping-particle":"","family":"Grove","given":"EL","non-dropping-particle":"","parse-names":false,"suffix":""},{"dropping-particle":"","family":"Gerds","given":"TA","non-dropping-particle":"","parse-names":false,"suffix":""},{"dropping-particle":"","family":"Torp-Pedersen","given":"C","non-dropping-particle":"","parse-names":false,"suffix":""},{"dropping-particle":"","family":"Gislason","given":"GH","non-dropping-particle":"","parse-names":false,"suffix":""},{"dropping-particle":"","family":"Olesen","given":"JB","non-dropping-particle":"","parse-names":false,"suffix":""}],"container-title":"European Heart Journal - Cardiovascular Pharmacotherapy","id":"ITEM-1","issued":{"date-parts":[["2020"]]},"page":"pvaa011","title":"All-cause mortality, stroke, and bleeding in patients with atrial fibrillation and valvular heart disease","type":"article-journal","volume":"Feb 17"},"uris":["http://www.mendeley.com/documents/?uuid=f7c3d868-1aa2-4412-a9cb-50b4ff85c774"]},{"id":"ITEM-2","itemData":{"author":[{"dropping-particle":"","family":"Noseworthy","given":"Peter A.","non-dropping-particle":"","parse-names":false,"suffix":""},{"dropping-particle":"","family":"Yao","given":"X","non-dropping-particle":"","parse-names":false,"suffix":""},{"dropping-particle":"","family":"Shah","given":"ND","non-dropping-particle":"","parse-names":false,"suffix":""},{"dropping-particle":"","family":"Gersh","given":"BJ","non-dropping-particle":"","parse-names":false,"suffix":""}],"container-title":"International Journal of Cardiology","id":"ITEM-2","issued":{"date-parts":[["2016"]]},"page":"181-183","title":"Comparative effectiveness and safety of non-vitamin k antagonist oral anticoagulants versus warfarin in patients with atrial fibrillation and valvular heart disease","type":"article-journal","volume":"209"},"uris":["http://www.mendeley.com/documents/?uuid=f74354bf-3785-4c36-9ef3-0ca940e18585"]},{"id":"ITEM-3","itemData":{"abstract":"Background--We examined a large community-based sample of patients with atrial fibrillation (AF) and valvular heart disease (VHD) (excluding prosthetic valves) with a goal to compare outcomes among patients with AF, with and without VHD, taking warfarin, dabigatran, and rivaroxaban. Methods and Results--We identified Medicare beneficiaries enrolled in Medicare Part D benefit plan from 2011 to 2013 with newly diagnosed AF (18 137 patients with VHD [dabigatran, 1979; rivaroxaban, 2027; warfarin, 14 131] and 85 596 patients without VHD [dabigatran, 13 522; rivaroxaban, 14 257; warfarin, 57 817]). Primary outcomes of all-cause mortality, ischemic strokes, major bleeding, and myocardial infarction were compared across the 3 anticoagulants using 3-way propensity-matched samples. After propensity matching, a total of 5871 patients with VHD and 40 221 patients without VHD and AF were studied. Both dabigatran and rivaroxaban were associated with significantly lower risk of death in patients with VHD with AF (dabigatran versus warfarin: hazard ratio, 0.71; 95% confidence interval, 0.52-0.98; P=0.038; rivaroxaban versus warfarin: hazard ratio, 0.68; 95% confidence interval, 0.49-0.95; P=0.022). Nongastrointestinal bleeding was significantly reduced with dabigatran and rivaroxaban versus warfarin in those with VHD (dabigatran versus warfarin: hazard ratio, 0.17; 95% confidence interval, 0.06-0.49; P=0.001; rivaroxaban versus warfarin: hazard ratio, 0.37; 95% confidence interval, 0.17-0.84; P=0.017). Ischemic stroke and gastrointestinal bleeding rates did not differ between rivaroxaban, dabigatran, and warfarin in patients with VHD. The effects of the 3 anticoagulants on outcomes were comparable in patients with and without VHD and with AF. Conclusions--In this cohort of Medicare beneficiaries with VHD (excluding patients with prosthetic valves) and new-onset AF between 2011 and 2013, novel oral non-vitamin K anticoagulants were safe and effective options for prevention of systemic thromboembolism.","author":[{"dropping-particle":"","family":"Briasoulis","given":"Alexandros","non-dropping-particle":"","parse-names":false,"suffix":""},{"dropping-particle":"","family":"Inampudi","given":"Chakradhari","non-dropping-particle":"","parse-names":false,"suffix":""},{"dropping-particle":"","family":"Akintoye","given":"Emmanuel","non-dropping-particle":"","parse-names":false,"suffix":""},{"dropping-particle":"","family":"Alvarez","given":"Paulino","non-dropping-particle":"","parse-names":false,"suffix":""},{"dropping-particle":"","family":"Panaich","given":"Sidakpal","non-dropping-particle":"","parse-names":false,"suffix":""},{"dropping-particle":"","family":"Vaughan-Sarrazin","given":"Mary","non-dropping-particle":"","parse-names":false,"suffix":""}],"container-title":"Journal of the American Heart Association","id":"ITEM-3","issued":{"date-parts":[["2018"]]},"page":"e008773","title":"Safety and efficacy of novel oral anticoagulants versus warfarin in medicare beneficiaries with atrial fibrillation and valvular heart disease","type":"article-journal","volume":"7"},"uris":["http://www.mendeley.com/documents/?uuid=9abc65a0-0130-4460-9024-565890a411c2"]},{"id":"ITEM-4","itemData":{"author":[{"dropping-particle":"","family":"Hampton","given":"ML","non-dropping-particle":"","parse-names":false,"suffix":""},{"dropping-particle":"","family":"Tellor","given":"KB","non-dropping-particle":"","parse-names":false,"suffix":""},{"dropping-particle":"","family":"Armbruster","given":"AL","non-dropping-particle":"","parse-names":false,"suffix":""},{"dropping-particle":"","family":"Theodos","given":"G","non-dropping-particle":"","parse-names":false,"suffix":""},{"dropping-particle":"","family":"Schwarze","given":"MW","non-dropping-particle":"","parse-names":false,"suffix":""}],"container-title":"American Journal of Cardiovascular Drugs","id":"ITEM-4","issued":{"date-parts":[["2020"]]},"page":"[Epub ahead of print]","title":"Evaluation of the safety and effectiveness of direct-acting oral anticoagulants in patients with atrial fibrillation and coexisting valvular heart disease","type":"article-journal","volume":"Feb 11"},"uris":["http://www.mendeley.com/documents/?uuid=a6ac864d-7b2e-492b-a500-e017647361f6"]},{"id":"ITEM-5","itemData":{"ISSN":"15583597","abstract":"Background The use of non-vitamin K antagonist oral anticoagulants (NOACs) instead of vitamin K antagonists (VKAs) in patients with atrial fibrillation (AF) and coexisting valvular heart disease (VHD) is of substantial interest. Objectives This study explored outcomes in patients with AF with and without VHD in the ENGAGE AF–TIMI 48 (Effective Anticoagulation with factor Xa Next Generation in Atrial Fibrillation-Thrombolysis In Myocardial Infarction 48) trial, comparing edoxaban with warfarin. Methods Valvular heart disease was defined as history or baseline echocardiography evidence of at least moderate aortic/mitral regurgitation, aortic stenosis, or prior valve surgery (bioprosthesis replacement, valve repair, valvuloplasty). Patients with moderate to severe mitral stenosis or mechanical heart valves were excluded from the trial. Comparisons were made of rates of stroke/systemic embolic event (SSEE), major bleeding, additional efficacy and safety outcomes, as well as net clinical outcomes, in patients with or without VHD treated with edoxaban or warfarin, using adjusted Cox proportional hazards. Results After adjustment for multiple baseline characteristics, compared with no-VHD patients (n = 18,222), VHD patients (n = 2,824) had a similar rate of SSEE but higher rates of death (hazard ratio [HR]: 1.40; 95% confidence interval [CI]:1.26 to 1.56; p &lt;0.001), major adverse cardiovascular events (HR: 1.29; 95% CI: 1.16 to 1.43; p &lt;0.001), and major bleeding (HR: 1.21; 95% CI: 1.03 to 1.42; p = 0.02). Higher-dose edoxaban regimen had efficacy similar to warfarin in the presence of VHD (for SSEE, HR: 0.69; 95% CI: 0.44 to 1.07, in patients with VHD, and HR: 0.91; 95% CI: 0.77 to 1.07, in patients without VHD; p interaction [pint] = 0.26; and for less major bleeding, HR: 0.74; 95% CI: 0.53 to 1.02 in patients with VHD, and HR: 0.82; 95% CI: 0.71 to 0.94, in patients with no VHD; pint = 0.57). Conclusions The presence of VHD increased the risk of death, major adverse cardiovascular events, and major bleeding but did not affect the relative efficacy or safety of higher-dose edoxaban versus warfarin in AF. (Global Study to Assess the Safety and Effectiveness of Edoxaban (DU-176b) vs. Standard Practice of Dosing With Warfarin in Patients With Atrial Fibrillation [ENGAGE AF-TIMI 48]; NCT00781391)","author":[{"dropping-particle":"","family":"Caterina","given":"Raffaele","non-dropping-particle":"De","parse-names":false,"suffix":""},{"dropping-particle":"","family":"Renda","given":"Giulia","non-dropping-particle":"","parse-names":false,"suffix":""},{"dropping-particle":"","family":"Carnicelli","given":"Anthony P.","non-dropping-particle":"","parse-names":false,"suffix":""},{"dropping-particle":"","family":"Nordio","given":"Francesco","non-dropping-particle":"","parse-names":false,"suffix":""},{"dropping-particle":"","family":"Trevisan","given":"Marco","non-dropping-particle":"","parse-names":false,"suffix":""},{"dropping-particle":"","family":"Mercuri","given":"Michele F.","non-dropping-particle":"","parse-names":false,"suffix":""},{"dropping-particle":"","family":"Ruff","given":"Christian T.","non-dropping-particle":"","parse-names":false,"suffix":""},{"dropping-particle":"","family":"Antman","given":"Elliott M.","non-dropping-particle":"","parse-names":false,"suffix":""},{"dropping-particle":"","family":"Braunwald","given":"Eugene","non-dropping-particle":"","parse-names":false,"suffix":""},{"dropping-particle":"","family":"Giugliano","given":"Robert P.","non-dropping-particle":"","parse-names":false,"suffix":""}],"container-title":"Journal of the American College of Cardiology","id":"ITEM-5","issued":{"date-parts":[["2017"]]},"page":"1372-1382","title":"Valvular Heart Disease Patients on Edoxaban or Warfarin in the ENGAGE AF-TIMI 48 Trial","type":"article-journal","volume":"69"},"uris":["http://www.mendeley.com/documents/?uuid=25b5eec5-65f6-4b7a-9cc1-b2176d0170fc"]},{"id":"ITEM-6","itemData":{"abstract":"OBJECTIVE To compare the characteristics and outcomes of patients with atrial fibrillation (AF) and aortic stenosis (AS) with patients with AF with mitral regurgitation (MR) or aortic regurgitation (AR) and patients without significant valve disease (no SVD). METHODS Using Rivaroxaban Once-Daily, Oral, Direct Factor Xa Inhibition Compared With Vitamin K Antagonism for Prevention of Stroke and Embolism Trial in Atrial Fibrillation (ROCKET AF) data, we analysed efficacy and safety outcomes, adjusting hazard ratios (HRs) for potential confounders using Cox regression analysis. RESULTS Among 14 119 intention-to-treat ROCKET AF trial patients, a trial that excluded patients with mitral stenosis or artificial valve prosthesis, 214 had AS with or without other valve abnormalities, 1726 had MR or AR and 12 179 had no SVD. After adjusting for prognostic factors, the composite of stroke, systemic embolism or vascular death increased approximately twofold in patients with AS (AS 10.84, MR or AR 4.54 and no SVD 4.31 events per 100 patient-years, p=0.0001). All-cause death also significantly increased (AS 11.22, MR or AR 4.90 and no SVD 4.39 events per 100 patient-years, p=0.0003). Major bleeding occurred more frequently in AS (adjusted HR 1.61, confidence intervals (CI) 1.03 to 2.49, p&lt;0.05) and MR or AR (HR 1.30, 1.07 to 1.57, p&lt;0.01) than in no SVD, but there was no difference between AS and MR or AR (HR 1.24, 0.78 to 1.97). The relative efficacy of rivaroxaban versus warfarin was consistent among patients with and without valvular disease. Rivaroxaban was associated with higher rates of major bleeding than warfarin in patients with MR or AR (HR 1.63, 1.15 to 2.31). CONCLUSIONS We found that patients with AF and AS on oral anticoagulants may have distinctly different efficacy and safety outcomes than patients with MR or AR or no SVD. TRIAL REGISTRATION NUMBER NCT00403767; Post-resul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P.","non-dropping-particle":"","parse-names":false,"suffix":""},{"dropping-particle":"","family":"Lokhnygina","given":"Yuliya","non-dropping-particle":"","parse-names":false,"suffix":""},{"dropping-particle":"","family":"Halperin","given":"Jonathan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W.","non-dropping-particle":"","parse-names":false,"suffix":""},{"dropping-particle":"","family":"Califf","given":"Robert M.","non-dropping-particle":"","parse-names":false,"suffix":""},{"dropping-particle":"","family":"Fox","given":"Keith A.A.","non-dropping-particle":"","parse-names":false,"suffix":""},{"dropping-particle":"","family":"Patel","given":"Manesh R.","non-dropping-particle":"","parse-names":false,"suffix":""}],"container-title":"Heart","id":"ITEM-6","issued":{"date-parts":[["2016"]]},"page":"1036-1043","title":"Native valve disease in patients with non-valvular atrial fibrillation on warfarin or rivaroxaban","type":"article-journal","volume":"102"},"uris":["http://www.mendeley.com/documents/?uuid=9bec5790-5e6d-4a89-9c8e-7d28dc295e85"]},{"id":"ITEM-7","itemData":{"ISSN":"15244539","abstract":"Background - Apixaban is approved for the prevention of stroke and systemic embolism in patients with nonvalvular atrial fibrillation. However, the Apixaban for Reduction in Stroke and Other Thromboembolic Events in Atrial Fibrillation (ARISTOTLE) trial included a substantial number of patients with valvular heart disease and only excluded patients with clinically significant mitral stenosis or mechanical prosthetic heart valves. Methods and Results - We compared the effect of apixaban and warfarin on rates of stroke or systemic embolism, major bleeding, and death in patients with and without moderate or severe valvular heart disease using Cox proportional hazards modeling. Of the 18 201 patients enrolled in ARISTOTLE, 4808 (26.4%) had a history of moderate or severe valvular heart disease or previous valve surgery. Patients with valvular heart disease had higher rates of stroke or systemic embolism and bleeding than patients without valvular heart disease. There was no evidence of a differential effect of apixaban over warfarin in patients with and without valvular heart disease in reducing stroke and systemic embolism (hazard ratio [HR], 0.70; 95% confidence interval [CI], 0.51-0.97 and HR, 0.84; 95%, CI 0.67-1.04; interaction P=0.38), causing less major bleeding (HR, 0.79; 95% CI, 0.61-1.04 and HR, 0.65; 95% CI, 0.55-0.77; interaction P=0.23), and reducing mortality (HR, 1.01; 95% CI, 0.84-1.22 and HR, 0.84; 95% CI, 0.73-0.96; interaction P=0.10). Conclusions - More than a quarter of the patients in ARISTOTLE with nonvalvular atrial fibrillation had moderate or severe valvular heart disease. There was no evidence of a differential effect of apixaban over warfarin in reducing stroke or systemic embolism, causing less bleeding, and reducing death in patients with and without valvular heart disease.","author":[{"dropping-particle":"","family":"Avezum","given":"Alvaro","non-dropping-particle":"","parse-names":false,"suffix":""},{"dropping-particle":"","family":"Lopes","given":"Renato D.","non-dropping-particle":"","parse-names":false,"suffix":""},{"dropping-particle":"","family":"Schulte","given":"Phillip J.","non-dropping-particle":"","parse-names":false,"suffix":""},{"dropping-particle":"","family":"Lanas","given":"Fernando","non-dropping-particle":"","parse-names":false,"suffix":""},{"dropping-particle":"","family":"Gersh","given":"Bernard J.","non-dropping-particle":"","parse-names":false,"suffix":""},{"dropping-particle":"","family":"Hanna","given":"Michael","non-dropping-particle":"","parse-names":false,"suffix":""},{"dropping-particle":"","family":"Pais","given":"Prem","non-dropping-particle":"","parse-names":false,"suffix":""},{"dropping-particle":"","family":"Erol","given":"Cetin","non-dropping-particle":"","parse-names":false,"suffix":""},{"dropping-particle":"","family":"Diaz","given":"Rafael","non-dropping-particle":"","parse-names":false,"suffix":""},{"dropping-particle":"","family":"Bahit","given":"M. Cecilia","non-dropping-particle":"","parse-names":false,"suffix":""},{"dropping-particle":"","family":"Bartunek","given":"Jozef","non-dropping-particle":"","parse-names":false,"suffix":""},{"dropping-particle":"","family":"Caterina","given":"Raffaele","non-dropping-particle":"De","parse-names":false,"suffix":""},{"dropping-particle":"","family":"Goto","given":"Shinya","non-dropping-particle":"","parse-names":false,"suffix":""},{"dropping-particle":"","family":"Ruzyllo","given":"Witold","non-dropping-particle":"","parse-names":false,"suffix":""},{"dropping-particle":"","family":"Zhu","given":"Jun","non-dropping-particle":"","parse-names":false,"suffix":""},{"dropping-particle":"","family":"Granger","given":"Christopher B.","non-dropping-particle":"","parse-names":false,"suffix":""},{"dropping-particle":"","family":"Alexander","given":"John H.","non-dropping-particle":"","parse-names":false,"suffix":""}],"container-title":"Circulation","id":"ITEM-7","issued":{"date-parts":[["2015"]]},"page":"624-632","title":"Apixaban in comparison with warfarin in patients with atrial fibrillation and valvular heart disease: Findings From the Apixaban for Reduction in Stroke and Other Thromboembolic Events in Atrial Fibrillation (Aristotle) trial","type":"article-journal","volume":"132"},"uris":["http://www.mendeley.com/documents/?uuid=3aa1862c-fb78-4457-8481-ebd3784067e3"]},{"id":"ITEM-8","itemData":{"abstract":"Background: There are limited data for non-vitamin K antagonist oral anticoagulants (NOACs) impact on outcomes for patients with atrial fibrillation (AF) and valvular heart diseases (VHDs). Methods: We identified patients with AF and associated Evaluated Heartvalves, Rheumatic or Artificial (EHRA) type 2 VHDs, and who had been naïve from the oral anticoagulants in the Korean National Health Insurance Service database between 2014 and 2016 (warfarin: n = 2671; NOAC: n = 3058). For analyzing the effect of NOAC on primary prevention, we excluded those with a previous history of ischemic stroke, intracranial hemorrhage (ICH), and gastrointestinal (GI) bleeding events. To balance covariates, we used the propensity score weighting method. Ischemic stroke, ICH, GI bleeding, major bleeding, all-cause death, and their composite outcome and fatal clinical events were evaluated. Results: During a follow-up with a mean duration of 1.4 years, NOACs were associated with lower risks of ischemic stroke (hazard ratio (HR): 0.71, 95% confidence interval (CI): 0.53–0.96), GI bleeding (HR: 0.50, 95% CI: 0.35–0.72), fatal ICH (HR: 0.28, 95% CI: 0.07–0.83), and major bleeding (HR: 0.61, 95% CI: 0.45–0.80) compared with warfarin. Overall, NOACs were associated with a lower risk of the composite outcome (HR: 0.68, 95% CI: 0.58–0.80). Conclusions: In this nationwide Asian AF population with EHRA type 2 VHDs, NOAC use was associated with lower risks of ischemic stroke, major bleeding, all-cause death, and the composite outcome compared to warfarin use.","author":[{"dropping-particle":"","family":"Moon","given":"","non-dropping-particle":"","parse-names":false,"suffix":""},{"dropping-particle":"","family":"Lee","given":"","non-dropping-particle":"","parse-names":false,"suffix":""},{"dropping-particle":"","family":"Choi","given":"","non-dropping-particle":"","parse-names":false,"suffix":""},{"dropping-particle":"","family":"Lee","given":"","non-dropping-particle":"","parse-names":false,"suffix":""},{"dropping-particle":"","family":"Jung","given":"","non-dropping-particle":"","parse-names":false,"suffix":""},{"dropping-particle":"","family":"Han","given":"","non-dropping-particle":"","parse-names":false,"suffix":""},{"dropping-particle":"","family":"Cha","given":"","non-dropping-particle":"","parse-names":false,"suffix":""},{"dropping-particle":"","family":"Oh","given":"","non-dropping-particle":"","parse-names":false,"suffix":""},{"dropping-particle":"","family":"Lip","given":"","non-dropping-particle":"","parse-names":false,"suffix":""}],"container-title":"Journal of Clinical Medicine","id":"ITEM-8","issued":{"date-parts":[["2019"]]},"page":"1624","title":"Non-Vitamin K Antagonist Oral Anticoagulants in Patients with Atrial Fibrillation and Valvular Heart Disease","type":"article-journal","volume":"8"},"uris":["http://www.mendeley.com/documents/?uuid=f96aeae5-dc92-4d4b-85a4-6160ab0dd0d6"]}],"mendeley":{"formattedCitation":"[25–32]","plainTextFormattedCitation":"[25–32]","previouslyFormattedCitation":"[25–32]"},"properties":{"noteIndex":0},"schema":"https://github.com/citation-style-language/schema/raw/master/csl-citation.json"}</w:instrText>
      </w:r>
      <w:r w:rsidR="00AB39FF">
        <w:rPr>
          <w:rFonts w:ascii="Times New Roman" w:hAnsi="Times New Roman" w:cs="Times New Roman"/>
          <w:color w:val="FFC000"/>
          <w:sz w:val="24"/>
          <w:szCs w:val="24"/>
          <w:lang w:val="en-US"/>
        </w:rPr>
        <w:fldChar w:fldCharType="separate"/>
      </w:r>
      <w:r w:rsidR="00B01B87" w:rsidRPr="00B01B87">
        <w:rPr>
          <w:rFonts w:ascii="Times New Roman" w:hAnsi="Times New Roman" w:cs="Times New Roman"/>
          <w:noProof/>
          <w:color w:val="FFC000"/>
          <w:sz w:val="24"/>
          <w:szCs w:val="24"/>
          <w:lang w:val="en-US"/>
        </w:rPr>
        <w:t>[25–32]</w:t>
      </w:r>
      <w:r w:rsidR="00AB39FF">
        <w:rPr>
          <w:rFonts w:ascii="Times New Roman" w:hAnsi="Times New Roman" w:cs="Times New Roman"/>
          <w:color w:val="FFC000"/>
          <w:sz w:val="24"/>
          <w:szCs w:val="24"/>
          <w:lang w:val="en-US"/>
        </w:rPr>
        <w:fldChar w:fldCharType="end"/>
      </w:r>
      <w:r w:rsidR="00964830" w:rsidRPr="00964830">
        <w:rPr>
          <w:rFonts w:ascii="Times New Roman" w:hAnsi="Times New Roman" w:cs="Times New Roman"/>
          <w:color w:val="FFC000"/>
          <w:sz w:val="24"/>
          <w:szCs w:val="24"/>
          <w:lang w:val="en-US"/>
        </w:rPr>
        <w:t xml:space="preserve">. </w:t>
      </w:r>
      <w:r w:rsidR="00A61304">
        <w:rPr>
          <w:rFonts w:ascii="Times New Roman" w:hAnsi="Times New Roman" w:cs="Times New Roman"/>
          <w:color w:val="FFC000"/>
          <w:sz w:val="24"/>
          <w:szCs w:val="24"/>
          <w:lang w:val="en-US"/>
        </w:rPr>
        <w:t>Meta-analyses of p</w:t>
      </w:r>
      <w:r w:rsidR="00964830" w:rsidRPr="00964830">
        <w:rPr>
          <w:rFonts w:ascii="Times New Roman" w:hAnsi="Times New Roman" w:cs="Times New Roman"/>
          <w:color w:val="FFC000"/>
          <w:sz w:val="24"/>
          <w:szCs w:val="24"/>
          <w:lang w:val="en-US"/>
        </w:rPr>
        <w:t xml:space="preserve">ost-hoc analyses of previous randomized trials examining NOAC versus </w:t>
      </w:r>
      <w:r w:rsidR="004E275A">
        <w:rPr>
          <w:rFonts w:ascii="Times New Roman" w:hAnsi="Times New Roman" w:cs="Times New Roman"/>
          <w:color w:val="FFC000"/>
          <w:sz w:val="24"/>
          <w:szCs w:val="24"/>
          <w:lang w:val="en-US"/>
        </w:rPr>
        <w:t>warfarin</w:t>
      </w:r>
      <w:r w:rsidR="00964830" w:rsidRPr="00964830">
        <w:rPr>
          <w:rFonts w:ascii="Times New Roman" w:hAnsi="Times New Roman" w:cs="Times New Roman"/>
          <w:color w:val="FFC000"/>
          <w:sz w:val="24"/>
          <w:szCs w:val="24"/>
          <w:lang w:val="en-US"/>
        </w:rPr>
        <w:t xml:space="preserve"> in AF patients with VHD </w:t>
      </w:r>
      <w:r w:rsidR="00A61304">
        <w:rPr>
          <w:rFonts w:ascii="Times New Roman" w:hAnsi="Times New Roman" w:cs="Times New Roman"/>
          <w:color w:val="FFC000"/>
          <w:sz w:val="24"/>
          <w:szCs w:val="24"/>
          <w:lang w:val="en-US"/>
        </w:rPr>
        <w:t xml:space="preserve">showed that when pooling the results there was a reduced risk of thromboembolisms </w:t>
      </w:r>
      <w:r w:rsidR="00FD7BD0">
        <w:rPr>
          <w:rFonts w:ascii="Times New Roman" w:hAnsi="Times New Roman" w:cs="Times New Roman"/>
          <w:color w:val="FFC000"/>
          <w:sz w:val="24"/>
          <w:szCs w:val="24"/>
          <w:lang w:val="en-US"/>
        </w:rPr>
        <w:t xml:space="preserve">in the NOAC group </w:t>
      </w:r>
      <w:r w:rsidR="00A61304">
        <w:rPr>
          <w:rFonts w:ascii="Times New Roman" w:hAnsi="Times New Roman" w:cs="Times New Roman"/>
          <w:color w:val="FFC000"/>
          <w:sz w:val="24"/>
          <w:szCs w:val="24"/>
          <w:lang w:val="en-US"/>
        </w:rPr>
        <w:t xml:space="preserve">and no difference in the risk of </w:t>
      </w:r>
      <w:r w:rsidR="00A61304">
        <w:rPr>
          <w:rFonts w:ascii="Times New Roman" w:hAnsi="Times New Roman" w:cs="Times New Roman"/>
          <w:color w:val="FFC000"/>
          <w:sz w:val="24"/>
          <w:szCs w:val="24"/>
          <w:lang w:val="en-US"/>
        </w:rPr>
        <w:lastRenderedPageBreak/>
        <w:t>major bleeding</w:t>
      </w:r>
      <w:r w:rsidR="00AB39FF">
        <w:rPr>
          <w:rFonts w:ascii="Times New Roman" w:hAnsi="Times New Roman" w:cs="Times New Roman"/>
          <w:color w:val="FFC000"/>
          <w:sz w:val="24"/>
          <w:szCs w:val="24"/>
          <w:lang w:val="en-US"/>
        </w:rPr>
        <w:fldChar w:fldCharType="begin" w:fldLock="1"/>
      </w:r>
      <w:r w:rsidR="00030DD5">
        <w:rPr>
          <w:rFonts w:ascii="Times New Roman" w:hAnsi="Times New Roman" w:cs="Times New Roman"/>
          <w:color w:val="FFC000"/>
          <w:sz w:val="24"/>
          <w:szCs w:val="24"/>
          <w:lang w:val="en-US"/>
        </w:rPr>
        <w:instrText>ADDIN CSL_CITATION {"citationItems":[{"id":"ITEM-1","itemData":{"author":[{"dropping-particle":"","family":"Renda","given":"G","non-dropping-particle":"","parse-names":false,"suffix":""},{"dropping-particle":"","family":"Ricci","given":"F","non-dropping-particle":"","parse-names":false,"suffix":""},{"dropping-particle":"","family":"Giugliano","given":"RP","non-dropping-particle":"","parse-names":false,"suffix":""},{"dropping-particle":"","family":"Caterina","given":"R","non-dropping-particle":"De","parse-names":false,"suffix":""}],"container-title":"Journal of the American College of Cardiology","id":"ITEM-1","issued":{"date-parts":[["2017"]]},"page":"1363-1371","title":"Non-vitamin K antagonist oral anticoagulants in patients with atrial fibrillation and valvular heart disease","type":"article-journal","volume":"69"},"uris":["http://www.mendeley.com/documents/?uuid=1535592a-6e2a-4cac-ae85-8445b6f70e13"]},{"id":"ITEM-2","itemData":{"author":[{"dropping-particle":"","family":"Siontis","given":"Konstantinos C.","non-dropping-particle":"","parse-names":false,"suffix":""},{"dropping-particle":"","family":"Yao","given":"Xiaoxi","non-dropping-particle":"","parse-names":false,"suffix":""},{"dropping-particle":"","family":"Gersh","given":"Bernard J.","non-dropping-particle":"","parse-names":false,"suffix":""},{"dropping-particle":"","family":"Noseworthy","given":"Peter A.","non-dropping-particle":"","parse-names":false,"suffix":""}],"container-title":"Circulation","id":"ITEM-2","issued":{"date-parts":[["2017"]]},"page":"714-716","title":"Direct oral anticoagulants in patients with atrial fibrillation and valvular heart disease other than significant mitral stenosis and mechanical valves - a meta-analysis","type":"article-journal","volume":"135"},"uris":["http://www.mendeley.com/documents/?uuid=9a1fff14-b64f-4769-b4d8-34a0f5b33e18"]},{"id":"ITEM-3","itemData":{"author":[{"dropping-particle":"","family":"Pan","given":"K-L","non-dropping-particle":"","parse-names":false,"suffix":""},{"dropping-particle":"","family":"Singer","given":"Daniel E.","non-dropping-particle":"","parse-names":false,"suffix":""},{"dropping-particle":"","family":"Ovbiagele","given":"B","non-dropping-particle":"","parse-names":false,"suffix":""},{"dropping-particle":"","family":"Wu","given":"Y-L","non-dropping-particle":"","parse-names":false,"suffix":""},{"dropping-particle":"","family":"Ahmed","given":"MA","non-dropping-particle":"","parse-names":false,"suffix":""},{"dropping-particle":"","family":"Lee","given":"M","non-dropping-particle":"","parse-names":false,"suffix":""}],"container-title":"Journal of the American Heart Association","id":"ITEM-3","issued":{"date-parts":[["2017"]]},"page":"e005835","title":"Effects of non-vitamin K antagonist oral anticoagulants versus warfarin in patients with atrial fibrillation and valvular heart disease: A systematic review and meta-analysis","type":"article-journal","volume":"6"},"uris":["http://www.mendeley.com/documents/?uuid=c842b925-817a-4ba0-aebc-15df26a6520b"]},{"id":"ITEM-4","itemData":{"author":[{"dropping-particle":"","family":"Owens","given":"RE","non-dropping-particle":"","parse-names":false,"suffix":""},{"dropping-particle":"","family":"Kabra","given":"R","non-dropping-particle":"","parse-names":false,"suffix":""},{"dropping-particle":"","family":"Oliphant","given":"CS","non-dropping-particle":"","parse-names":false,"suffix":""}],"container-title":"Clinical Cardiology","id":"ITEM-4","issued":{"date-parts":[["2017"]]},"page":"407-412","title":"Direct oral anticoagulant use in nonvalvular atrial fibrillation with valvular heart disease: a systematic review","type":"article-journal","volume":"40"},"uris":["http://www.mendeley.com/documents/?uuid=3a01d662-7146-4be7-98bf-758acdfb9721"]}],"mendeley":{"formattedCitation":"[33–36]","plainTextFormattedCitation":"[33–36]","previouslyFormattedCitation":"[33–36]"},"properties":{"noteIndex":0},"schema":"https://github.com/citation-style-language/schema/raw/master/csl-citation.json"}</w:instrText>
      </w:r>
      <w:r w:rsidR="00AB39FF">
        <w:rPr>
          <w:rFonts w:ascii="Times New Roman" w:hAnsi="Times New Roman" w:cs="Times New Roman"/>
          <w:color w:val="FFC000"/>
          <w:sz w:val="24"/>
          <w:szCs w:val="24"/>
          <w:lang w:val="en-US"/>
        </w:rPr>
        <w:fldChar w:fldCharType="separate"/>
      </w:r>
      <w:r w:rsidR="00B01B87" w:rsidRPr="00B01B87">
        <w:rPr>
          <w:rFonts w:ascii="Times New Roman" w:hAnsi="Times New Roman" w:cs="Times New Roman"/>
          <w:noProof/>
          <w:color w:val="FFC000"/>
          <w:sz w:val="24"/>
          <w:szCs w:val="24"/>
          <w:lang w:val="en-US"/>
        </w:rPr>
        <w:t>[33–36]</w:t>
      </w:r>
      <w:r w:rsidR="00AB39FF">
        <w:rPr>
          <w:rFonts w:ascii="Times New Roman" w:hAnsi="Times New Roman" w:cs="Times New Roman"/>
          <w:color w:val="FFC000"/>
          <w:sz w:val="24"/>
          <w:szCs w:val="24"/>
          <w:lang w:val="en-US"/>
        </w:rPr>
        <w:fldChar w:fldCharType="end"/>
      </w:r>
      <w:r w:rsidR="00A61304">
        <w:rPr>
          <w:rFonts w:ascii="Times New Roman" w:hAnsi="Times New Roman" w:cs="Times New Roman"/>
          <w:color w:val="FFC000"/>
          <w:sz w:val="24"/>
          <w:szCs w:val="24"/>
          <w:lang w:val="en-US"/>
        </w:rPr>
        <w:t>. However, in several comparative analyses based on real-world data, the</w:t>
      </w:r>
      <w:r w:rsidR="00A61304" w:rsidRPr="00A61304">
        <w:rPr>
          <w:lang w:val="en-US"/>
        </w:rPr>
        <w:t xml:space="preserve"> </w:t>
      </w:r>
      <w:r w:rsidR="00A61304" w:rsidRPr="00A61304">
        <w:rPr>
          <w:rFonts w:ascii="Times New Roman" w:hAnsi="Times New Roman" w:cs="Times New Roman"/>
          <w:color w:val="FFC000"/>
          <w:sz w:val="24"/>
          <w:szCs w:val="24"/>
          <w:lang w:val="en-US"/>
        </w:rPr>
        <w:t>benefits of</w:t>
      </w:r>
      <w:r w:rsidR="000673C1">
        <w:rPr>
          <w:rFonts w:ascii="Times New Roman" w:hAnsi="Times New Roman" w:cs="Times New Roman"/>
          <w:color w:val="FFC000"/>
          <w:sz w:val="24"/>
          <w:szCs w:val="24"/>
          <w:lang w:val="en-US"/>
        </w:rPr>
        <w:t xml:space="preserve"> NOAC compared to warfarin we</w:t>
      </w:r>
      <w:r w:rsidR="00A61304" w:rsidRPr="00A61304">
        <w:rPr>
          <w:rFonts w:ascii="Times New Roman" w:hAnsi="Times New Roman" w:cs="Times New Roman"/>
          <w:color w:val="FFC000"/>
          <w:sz w:val="24"/>
          <w:szCs w:val="24"/>
          <w:lang w:val="en-US"/>
        </w:rPr>
        <w:t>re inconsistent</w:t>
      </w:r>
      <w:r w:rsidR="00AB39FF">
        <w:rPr>
          <w:rFonts w:ascii="Times New Roman" w:hAnsi="Times New Roman" w:cs="Times New Roman"/>
          <w:color w:val="FFC000"/>
          <w:sz w:val="24"/>
          <w:szCs w:val="24"/>
          <w:lang w:val="en-US"/>
        </w:rPr>
        <w:fldChar w:fldCharType="begin" w:fldLock="1"/>
      </w:r>
      <w:r w:rsidR="00030DD5">
        <w:rPr>
          <w:rFonts w:ascii="Times New Roman" w:hAnsi="Times New Roman" w:cs="Times New Roman"/>
          <w:color w:val="FFC000"/>
          <w:sz w:val="24"/>
          <w:szCs w:val="24"/>
          <w:lang w:val="en-US"/>
        </w:rPr>
        <w:instrText>ADDIN CSL_CITATION {"citationItems":[{"id":"ITEM-1","itemData":{"author":[{"dropping-particle":"","family":"Strange","given":"JE","non-dropping-particle":"","parse-names":false,"suffix":""},{"dropping-particle":"","family":"Sindet-Pedersen","given":"C","non-dropping-particle":"","parse-names":false,"suffix":""},{"dropping-particle":"","family":"Staerk","given":"L","non-dropping-particle":"","parse-names":false,"suffix":""},{"dropping-particle":"","family":"Grove","given":"EL","non-dropping-particle":"","parse-names":false,"suffix":""},{"dropping-particle":"","family":"Gerds","given":"TA","non-dropping-particle":"","parse-names":false,"suffix":""},{"dropping-particle":"","family":"Torp-Pedersen","given":"C","non-dropping-particle":"","parse-names":false,"suffix":""},{"dropping-particle":"","family":"Gislason","given":"GH","non-dropping-particle":"","parse-names":false,"suffix":""},{"dropping-particle":"","family":"Olesen","given":"JB","non-dropping-particle":"","parse-names":false,"suffix":""}],"container-title":"European Heart Journal - Cardiovascular Pharmacotherapy","id":"ITEM-1","issued":{"date-parts":[["2020"]]},"page":"pvaa011","title":"All-cause mortality, stroke, and bleeding in patients with atrial fibrillation and valvular heart disease","type":"article-journal","volume":"Feb 17"},"uris":["http://www.mendeley.com/documents/?uuid=f7c3d868-1aa2-4412-a9cb-50b4ff85c774"]},{"id":"ITEM-2","itemData":{"author":[{"dropping-particle":"","family":"Hampton","given":"ML","non-dropping-particle":"","parse-names":false,"suffix":""},{"dropping-particle":"","family":"Tellor","given":"KB","non-dropping-particle":"","parse-names":false,"suffix":""},{"dropping-particle":"","family":"Armbruster","given":"AL","non-dropping-particle":"","parse-names":false,"suffix":""},{"dropping-particle":"","family":"Theodos","given":"G","non-dropping-particle":"","parse-names":false,"suffix":""},{"dropping-particle":"","family":"Schwarze","given":"MW","non-dropping-particle":"","parse-names":false,"suffix":""}],"container-title":"American Journal of Cardiovascular Drugs","id":"ITEM-2","issued":{"date-parts":[["2020"]]},"page":"[Epub ahead of print]","title":"Evaluation of the safety and effectiveness of direct-acting oral anticoagulants in patients with atrial fibrillation and coexisting valvular heart disease","type":"article-journal","volume":"Feb 11"},"uris":["http://www.mendeley.com/documents/?uuid=a6ac864d-7b2e-492b-a500-e017647361f6"]},{"id":"ITEM-3","itemData":{"abstract":"Background--We examined a large community-based sample of patients with atrial fibrillation (AF) and valvular heart disease (VHD) (excluding prosthetic valves) with a goal to compare outcomes among patients with AF, with and without VHD, taking warfarin, dabigatran, and rivaroxaban. Methods and Results--We identified Medicare beneficiaries enrolled in Medicare Part D benefit plan from 2011 to 2013 with newly diagnosed AF (18 137 patients with VHD [dabigatran, 1979; rivaroxaban, 2027; warfarin, 14 131] and 85 596 patients without VHD [dabigatran, 13 522; rivaroxaban, 14 257; warfarin, 57 817]). Primary outcomes of all-cause mortality, ischemic strokes, major bleeding, and myocardial infarction were compared across the 3 anticoagulants using 3-way propensity-matched samples. After propensity matching, a total of 5871 patients with VHD and 40 221 patients without VHD and AF were studied. Both dabigatran and rivaroxaban were associated with significantly lower risk of death in patients with VHD with AF (dabigatran versus warfarin: hazard ratio, 0.71; 95% confidence interval, 0.52-0.98; P=0.038; rivaroxaban versus warfarin: hazard ratio, 0.68; 95% confidence interval, 0.49-0.95; P=0.022). Nongastrointestinal bleeding was significantly reduced with dabigatran and rivaroxaban versus warfarin in those with VHD (dabigatran versus warfarin: hazard ratio, 0.17; 95% confidence interval, 0.06-0.49; P=0.001; rivaroxaban versus warfarin: hazard ratio, 0.37; 95% confidence interval, 0.17-0.84; P=0.017). Ischemic stroke and gastrointestinal bleeding rates did not differ between rivaroxaban, dabigatran, and warfarin in patients with VHD. The effects of the 3 anticoagulants on outcomes were comparable in patients with and without VHD and with AF. Conclusions--In this cohort of Medicare beneficiaries with VHD (excluding patients with prosthetic valves) and new-onset AF between 2011 and 2013, novel oral non-vitamin K anticoagulants were safe and effective options for prevention of systemic thromboembolism.","author":[{"dropping-particle":"","family":"Briasoulis","given":"Alexandros","non-dropping-particle":"","parse-names":false,"suffix":""},{"dropping-particle":"","family":"Inampudi","given":"Chakradhari","non-dropping-particle":"","parse-names":false,"suffix":""},{"dropping-particle":"","family":"Akintoye","given":"Emmanuel","non-dropping-particle":"","parse-names":false,"suffix":""},{"dropping-particle":"","family":"Alvarez","given":"Paulino","non-dropping-particle":"","parse-names":false,"suffix":""},{"dropping-particle":"","family":"Panaich","given":"Sidakpal","non-dropping-particle":"","parse-names":false,"suffix":""},{"dropping-particle":"","family":"Vaughan-Sarrazin","given":"Mary","non-dropping-particle":"","parse-names":false,"suffix":""}],"container-title":"Journal of the American Heart Association","id":"ITEM-3","issued":{"date-parts":[["2018"]]},"page":"e008773","title":"Safety and efficacy of novel oral anticoagulants versus warfarin in medicare beneficiaries with atrial fibrillation and valvular heart disease","type":"article-journal","volume":"7"},"uris":["http://www.mendeley.com/documents/?uuid=9abc65a0-0130-4460-9024-565890a411c2"]},{"id":"ITEM-4","itemData":{"author":[{"dropping-particle":"","family":"Noseworthy","given":"Peter A.","non-dropping-particle":"","parse-names":false,"suffix":""},{"dropping-particle":"","family":"Yao","given":"X","non-dropping-particle":"","parse-names":false,"suffix":""},{"dropping-particle":"","family":"Shah","given":"ND","non-dropping-particle":"","parse-names":false,"suffix":""},{"dropping-particle":"","family":"Gersh","given":"BJ","non-dropping-particle":"","parse-names":false,"suffix":""}],"container-title":"International Journal of Cardiology","id":"ITEM-4","issued":{"date-parts":[["2016"]]},"page":"181-183","title":"Comparative effectiveness and safety of non-vitamin k antagonist oral anticoagulants versus warfarin in patients with atrial fibrillation and valvular heart disease","type":"article-journal","volume":"209"},"uris":["http://www.mendeley.com/documents/?uuid=f74354bf-3785-4c36-9ef3-0ca940e18585"]},{"id":"ITEM-5","itemData":{"abstract":"Background: There are limited data for non-vitamin K antagonist oral anticoagulants (NOACs) impact on outcomes for patients with atrial fibrillation (AF) and valvular heart diseases (VHDs). Methods: We identified patients with AF and associated Evaluated Heartvalves, Rheumatic or Artificial (EHRA) type 2 VHDs, and who had been naïve from the oral anticoagulants in the Korean National Health Insurance Service database between 2014 and 2016 (warfarin: n = 2671; NOAC: n = 3058). For analyzing the effect of NOAC on primary prevention, we excluded those with a previous history of ischemic stroke, intracranial hemorrhage (ICH), and gastrointestinal (GI) bleeding events. To balance covariates, we used the propensity score weighting method. Ischemic stroke, ICH, GI bleeding, major bleeding, all-cause death, and their composite outcome and fatal clinical events were evaluated. Results: During a follow-up with a mean duration of 1.4 years, NOACs were associated with lower risks of ischemic stroke (hazard ratio (HR): 0.71, 95% confidence interval (CI): 0.53–0.96), GI bleeding (HR: 0.50, 95% CI: 0.35–0.72), fatal ICH (HR: 0.28, 95% CI: 0.07–0.83), and major bleeding (HR: 0.61, 95% CI: 0.45–0.80) compared with warfarin. Overall, NOACs were associated with a lower risk of the composite outcome (HR: 0.68, 95% CI: 0.58–0.80). Conclusions: In this nationwide Asian AF population with EHRA type 2 VHDs, NOAC use was associated with lower risks of ischemic stroke, major bleeding, all-cause death, and the composite outcome compared to warfarin use.","author":[{"dropping-particle":"","family":"Moon","given":"","non-dropping-particle":"","parse-names":false,"suffix":""},{"dropping-particle":"","family":"Lee","given":"","non-dropping-particle":"","parse-names":false,"suffix":""},{"dropping-particle":"","family":"Choi","given":"","non-dropping-particle":"","parse-names":false,"suffix":""},{"dropping-particle":"","family":"Lee","given":"","non-dropping-particle":"","parse-names":false,"suffix":""},{"dropping-particle":"","family":"Jung","given":"","non-dropping-particle":"","parse-names":false,"suffix":""},{"dropping-particle":"","family":"Han","given":"","non-dropping-particle":"","parse-names":false,"suffix":""},{"dropping-particle":"","family":"Cha","given":"","non-dropping-particle":"","parse-names":false,"suffix":""},{"dropping-particle":"","family":"Oh","given":"","non-dropping-particle":"","parse-names":false,"suffix":""},{"dropping-particle":"","family":"Lip","given":"","non-dropping-particle":"","parse-names":false,"suffix":""}],"container-title":"Journal of Clinical Medicine","id":"ITEM-5","issued":{"date-parts":[["2019"]]},"page":"1624","title":"Non-Vitamin K Antagonist Oral Anticoagulants in Patients with Atrial Fibrillation and Valvular Heart Disease","type":"article-journal","volume":"8"},"uris":["http://www.mendeley.com/documents/?uuid=f96aeae5-dc92-4d4b-85a4-6160ab0dd0d6"]}],"mendeley":{"formattedCitation":"[25–28,32]","plainTextFormattedCitation":"[25–28,32]","previouslyFormattedCitation":"[25–28,32]"},"properties":{"noteIndex":0},"schema":"https://github.com/citation-style-language/schema/raw/master/csl-citation.json"}</w:instrText>
      </w:r>
      <w:r w:rsidR="00AB39FF">
        <w:rPr>
          <w:rFonts w:ascii="Times New Roman" w:hAnsi="Times New Roman" w:cs="Times New Roman"/>
          <w:color w:val="FFC000"/>
          <w:sz w:val="24"/>
          <w:szCs w:val="24"/>
          <w:lang w:val="en-US"/>
        </w:rPr>
        <w:fldChar w:fldCharType="separate"/>
      </w:r>
      <w:r w:rsidR="00030DD5" w:rsidRPr="00030DD5">
        <w:rPr>
          <w:rFonts w:ascii="Times New Roman" w:hAnsi="Times New Roman" w:cs="Times New Roman"/>
          <w:noProof/>
          <w:color w:val="FFC000"/>
          <w:sz w:val="24"/>
          <w:szCs w:val="24"/>
          <w:lang w:val="en-US"/>
        </w:rPr>
        <w:t>[25–28,32]</w:t>
      </w:r>
      <w:r w:rsidR="00AB39FF">
        <w:rPr>
          <w:rFonts w:ascii="Times New Roman" w:hAnsi="Times New Roman" w:cs="Times New Roman"/>
          <w:color w:val="FFC000"/>
          <w:sz w:val="24"/>
          <w:szCs w:val="24"/>
          <w:lang w:val="en-US"/>
        </w:rPr>
        <w:fldChar w:fldCharType="end"/>
      </w:r>
      <w:r w:rsidR="000673C1">
        <w:rPr>
          <w:rFonts w:ascii="Times New Roman" w:hAnsi="Times New Roman" w:cs="Times New Roman"/>
          <w:color w:val="FFC000"/>
          <w:sz w:val="24"/>
          <w:szCs w:val="24"/>
          <w:lang w:val="en-US"/>
        </w:rPr>
        <w:t>.</w:t>
      </w:r>
      <w:r w:rsidR="00A61304">
        <w:rPr>
          <w:rFonts w:ascii="Times New Roman" w:hAnsi="Times New Roman" w:cs="Times New Roman"/>
          <w:color w:val="FFC000"/>
          <w:sz w:val="24"/>
          <w:szCs w:val="24"/>
          <w:lang w:val="en-US"/>
        </w:rPr>
        <w:t xml:space="preserve"> </w:t>
      </w:r>
      <w:r w:rsidR="00FA02F4" w:rsidRPr="0046706F">
        <w:rPr>
          <w:rFonts w:ascii="Times New Roman" w:hAnsi="Times New Roman" w:cs="Times New Roman"/>
          <w:sz w:val="24"/>
          <w:szCs w:val="24"/>
          <w:lang w:val="en-US"/>
        </w:rPr>
        <w:t>Until more e</w:t>
      </w:r>
      <w:r w:rsidR="00D62D5B" w:rsidRPr="0046706F">
        <w:rPr>
          <w:rFonts w:ascii="Times New Roman" w:hAnsi="Times New Roman" w:cs="Times New Roman"/>
          <w:sz w:val="24"/>
          <w:szCs w:val="24"/>
          <w:lang w:val="en-US"/>
        </w:rPr>
        <w:t>vidence</w:t>
      </w:r>
      <w:r w:rsidR="00FA02F4" w:rsidRPr="0046706F">
        <w:rPr>
          <w:rFonts w:ascii="Times New Roman" w:hAnsi="Times New Roman" w:cs="Times New Roman"/>
          <w:sz w:val="24"/>
          <w:szCs w:val="24"/>
          <w:lang w:val="en-US"/>
        </w:rPr>
        <w:t xml:space="preserve"> regarding the </w:t>
      </w:r>
      <w:r w:rsidR="00D62D5B" w:rsidRPr="0046706F">
        <w:rPr>
          <w:rFonts w:ascii="Times New Roman" w:hAnsi="Times New Roman" w:cs="Times New Roman"/>
          <w:sz w:val="24"/>
          <w:szCs w:val="24"/>
          <w:lang w:val="en-US"/>
        </w:rPr>
        <w:t xml:space="preserve">antithrombotic </w:t>
      </w:r>
      <w:r w:rsidR="00D04724" w:rsidRPr="0046706F">
        <w:rPr>
          <w:rFonts w:ascii="Times New Roman" w:hAnsi="Times New Roman" w:cs="Times New Roman"/>
          <w:sz w:val="24"/>
          <w:szCs w:val="24"/>
          <w:lang w:val="en-US"/>
        </w:rPr>
        <w:t>management of</w:t>
      </w:r>
      <w:r w:rsidR="00D62D5B" w:rsidRPr="0046706F">
        <w:rPr>
          <w:rFonts w:ascii="Times New Roman" w:hAnsi="Times New Roman" w:cs="Times New Roman"/>
          <w:sz w:val="24"/>
          <w:szCs w:val="24"/>
          <w:lang w:val="en-US"/>
        </w:rPr>
        <w:t xml:space="preserve"> this population is available</w:t>
      </w:r>
      <w:r w:rsidR="00A14525" w:rsidRPr="0046706F">
        <w:rPr>
          <w:rFonts w:ascii="Times New Roman" w:hAnsi="Times New Roman" w:cs="Times New Roman"/>
          <w:sz w:val="24"/>
          <w:szCs w:val="24"/>
          <w:lang w:val="en-US"/>
        </w:rPr>
        <w:t xml:space="preserve">, clinicians are encouraged to use the EHRA classification </w:t>
      </w:r>
      <w:r w:rsidR="00D62D5B" w:rsidRPr="0046706F">
        <w:rPr>
          <w:rFonts w:ascii="Times New Roman" w:hAnsi="Times New Roman" w:cs="Times New Roman"/>
          <w:sz w:val="24"/>
          <w:szCs w:val="24"/>
          <w:lang w:val="en-US"/>
        </w:rPr>
        <w:t xml:space="preserve">and international </w:t>
      </w:r>
      <w:r w:rsidR="009622BF" w:rsidRPr="0046706F">
        <w:rPr>
          <w:rFonts w:ascii="Times New Roman" w:hAnsi="Times New Roman" w:cs="Times New Roman"/>
          <w:sz w:val="24"/>
          <w:szCs w:val="24"/>
          <w:lang w:val="en-US"/>
        </w:rPr>
        <w:t>guideline recommendations</w:t>
      </w:r>
      <w:r w:rsidR="00D62D5B" w:rsidRPr="0046706F">
        <w:rPr>
          <w:rFonts w:ascii="Times New Roman" w:hAnsi="Times New Roman" w:cs="Times New Roman"/>
          <w:sz w:val="24"/>
          <w:szCs w:val="24"/>
          <w:lang w:val="en-US"/>
        </w:rPr>
        <w:t xml:space="preserve"> </w:t>
      </w:r>
      <w:r w:rsidR="00A14525" w:rsidRPr="0046706F">
        <w:rPr>
          <w:rFonts w:ascii="Times New Roman" w:hAnsi="Times New Roman" w:cs="Times New Roman"/>
          <w:sz w:val="24"/>
          <w:szCs w:val="24"/>
          <w:lang w:val="en-US"/>
        </w:rPr>
        <w:t>for guidance regarding stroke prevention in AF patients with VHD</w:t>
      </w:r>
      <w:r w:rsidR="00B2113F" w:rsidRPr="0046706F">
        <w:rPr>
          <w:rFonts w:ascii="Times New Roman" w:hAnsi="Times New Roman" w:cs="Times New Roman"/>
          <w:sz w:val="24"/>
          <w:szCs w:val="24"/>
          <w:lang w:val="en-US"/>
        </w:rPr>
        <w:t xml:space="preserve"> </w:t>
      </w:r>
      <w:r w:rsidR="006E799B" w:rsidRPr="0046706F">
        <w:rPr>
          <w:rFonts w:ascii="Times New Roman" w:hAnsi="Times New Roman" w:cs="Times New Roman"/>
          <w:sz w:val="24"/>
          <w:szCs w:val="24"/>
          <w:lang w:val="en-US"/>
        </w:rPr>
        <w:fldChar w:fldCharType="begin" w:fldLock="1"/>
      </w:r>
      <w:r w:rsidR="004F6500" w:rsidRPr="0046706F">
        <w:rPr>
          <w:rFonts w:ascii="Times New Roman" w:hAnsi="Times New Roman" w:cs="Times New Roman"/>
          <w:sz w:val="24"/>
          <w:szCs w:val="24"/>
          <w:lang w:val="en-US"/>
        </w:rPr>
        <w:instrText>ADDIN CSL_CITATION {"citationItems":[{"id":"ITEM-1","itemData":{"author":[{"dropping-particle":"","family":"Lip","given":"Gregory Y H","non-dropping-particle":"","parse-names":false,"suffix":""},{"dropping-particle":"","family":"Collet","given":"Jean Philippe","non-dropping-particle":"","parse-names":false,"suffix":""},{"dropping-particle":"De","family":"Caterina","given":"Raffaele","non-dropping-particle":"","parse-names":false,"suffix":""},{"dropping-particle":"","family":"Fauchier","given":"Laurent","non-dropping-particle":"","parse-names":false,"suffix":""},{"dropping-particle":"","family":"Lane","given":"Deirdre A","non-dropping-particle":"","parse-names":false,"suffix":""},{"dropping-particle":"","family":"Larsen","given":"Torben B","non-dropping-particle":"","parse-names":false,"suffix":""},{"dropping-particle":"","family":"Marin","given":"Francisco","non-dropping-particle":"","parse-names":false,"suffix":""},{"dropping-particle":"","family":"Morais","given":"Joao","non-dropping-particle":"","parse-names":false,"suffix":""},{"dropping-particle":"","family":"Narasimhan","given":"Calambur","non-dropping-particle":"","parse-names":false,"suffix":""},{"dropping-particle":"","family":"Olshansky","given":"Brian","non-dropping-particle":"","parse-names":false,"suffix":""},{"dropping-particle":"","family":"Pierard","given":"Luc","non-dropping-particle":"","parse-names":false,"suffix":""}],"container-title":"Europace","id":"ITEM-1","issued":{"date-parts":[["2017"]]},"page":"1757-1758","title":"Antithrombotic therapy in atrial fibrillation associated with valvular heart disease : A joint consensus document from the European Heart Rhythm Association (EHRA) and European Society of Cardiology Working Group on Thrombosis , endorsed by the ESC Work","type":"article-journal","volume":"19"},"uris":["http://www.mendeley.com/documents/?uuid=6118537c-d5f7-4ec8-b810-9f283b687260"]}],"mendeley":{"formattedCitation":"[11]","plainTextFormattedCitation":"[11]","previouslyFormattedCitation":"[11]"},"properties":{"noteIndex":0},"schema":"https://github.com/citation-style-language/schema/raw/master/csl-citation.json"}</w:instrText>
      </w:r>
      <w:r w:rsidR="006E799B" w:rsidRPr="0046706F">
        <w:rPr>
          <w:rFonts w:ascii="Times New Roman" w:hAnsi="Times New Roman" w:cs="Times New Roman"/>
          <w:sz w:val="24"/>
          <w:szCs w:val="24"/>
          <w:lang w:val="en-US"/>
        </w:rPr>
        <w:fldChar w:fldCharType="separate"/>
      </w:r>
      <w:r w:rsidR="006E799B" w:rsidRPr="0046706F">
        <w:rPr>
          <w:rFonts w:ascii="Times New Roman" w:hAnsi="Times New Roman" w:cs="Times New Roman"/>
          <w:noProof/>
          <w:sz w:val="24"/>
          <w:szCs w:val="24"/>
          <w:lang w:val="en-US"/>
        </w:rPr>
        <w:t>[11]</w:t>
      </w:r>
      <w:r w:rsidR="006E799B" w:rsidRPr="0046706F">
        <w:rPr>
          <w:rFonts w:ascii="Times New Roman" w:hAnsi="Times New Roman" w:cs="Times New Roman"/>
          <w:sz w:val="24"/>
          <w:szCs w:val="24"/>
          <w:lang w:val="en-US"/>
        </w:rPr>
        <w:fldChar w:fldCharType="end"/>
      </w:r>
      <w:r w:rsidR="00A14525" w:rsidRPr="0046706F">
        <w:rPr>
          <w:rFonts w:ascii="Times New Roman" w:hAnsi="Times New Roman" w:cs="Times New Roman"/>
          <w:sz w:val="24"/>
          <w:szCs w:val="24"/>
          <w:lang w:val="en-US"/>
        </w:rPr>
        <w:t>.</w:t>
      </w:r>
    </w:p>
    <w:p w14:paraId="32AF36C6" w14:textId="4B1091D5" w:rsidR="00CC2FEA" w:rsidRPr="00C24408" w:rsidRDefault="00D04724" w:rsidP="00AB39FF">
      <w:pPr>
        <w:spacing w:after="0" w:line="480" w:lineRule="auto"/>
        <w:rPr>
          <w:rFonts w:ascii="Times New Roman" w:hAnsi="Times New Roman" w:cs="Times New Roman"/>
          <w:color w:val="FFC000"/>
          <w:sz w:val="24"/>
          <w:szCs w:val="24"/>
          <w:lang w:val="en-US"/>
        </w:rPr>
      </w:pPr>
      <w:r w:rsidRPr="0046706F">
        <w:rPr>
          <w:rFonts w:ascii="Times New Roman" w:hAnsi="Times New Roman" w:cs="Times New Roman"/>
          <w:sz w:val="24"/>
          <w:szCs w:val="24"/>
          <w:lang w:val="en-US"/>
        </w:rPr>
        <w:t>O</w:t>
      </w:r>
      <w:r w:rsidR="001A3B2C" w:rsidRPr="0046706F">
        <w:rPr>
          <w:rFonts w:ascii="Times New Roman" w:hAnsi="Times New Roman" w:cs="Times New Roman"/>
          <w:sz w:val="24"/>
          <w:szCs w:val="24"/>
          <w:lang w:val="en-US"/>
        </w:rPr>
        <w:t xml:space="preserve">ur </w:t>
      </w:r>
      <w:r w:rsidR="00A14525" w:rsidRPr="0046706F">
        <w:rPr>
          <w:rFonts w:ascii="Times New Roman" w:hAnsi="Times New Roman" w:cs="Times New Roman"/>
          <w:sz w:val="24"/>
          <w:szCs w:val="24"/>
          <w:lang w:val="en-US"/>
        </w:rPr>
        <w:t>observations</w:t>
      </w:r>
      <w:r w:rsidR="001A3B2C" w:rsidRPr="0046706F">
        <w:rPr>
          <w:rFonts w:ascii="Times New Roman" w:hAnsi="Times New Roman" w:cs="Times New Roman"/>
          <w:sz w:val="24"/>
          <w:szCs w:val="24"/>
          <w:lang w:val="en-US"/>
        </w:rPr>
        <w:t xml:space="preserve"> indicate that anticoagulated patients with </w:t>
      </w:r>
      <w:r w:rsidR="0094236F" w:rsidRPr="0046706F">
        <w:rPr>
          <w:rFonts w:ascii="Times New Roman" w:hAnsi="Times New Roman" w:cs="Times New Roman"/>
          <w:sz w:val="24"/>
          <w:szCs w:val="24"/>
          <w:lang w:val="en-US"/>
        </w:rPr>
        <w:t>AF</w:t>
      </w:r>
      <w:r w:rsidR="001A3B2C" w:rsidRPr="0046706F">
        <w:rPr>
          <w:rFonts w:ascii="Times New Roman" w:hAnsi="Times New Roman" w:cs="Times New Roman"/>
          <w:sz w:val="24"/>
          <w:szCs w:val="24"/>
          <w:lang w:val="en-US"/>
        </w:rPr>
        <w:t xml:space="preserve"> and isolated mitral stenosis may be a particular high-risk subgroup that requires intensive follow-up</w:t>
      </w:r>
      <w:r w:rsidRPr="0046706F">
        <w:rPr>
          <w:rFonts w:ascii="Times New Roman" w:hAnsi="Times New Roman" w:cs="Times New Roman"/>
          <w:sz w:val="24"/>
          <w:szCs w:val="24"/>
          <w:lang w:val="en-US"/>
        </w:rPr>
        <w:t>. In another recent study from our research unit, we also made this observation</w:t>
      </w:r>
      <w:r w:rsidR="00B2113F" w:rsidRPr="0046706F">
        <w:rPr>
          <w:rFonts w:ascii="Times New Roman" w:hAnsi="Times New Roman" w:cs="Times New Roman"/>
          <w:sz w:val="24"/>
          <w:szCs w:val="24"/>
          <w:lang w:val="en-US"/>
        </w:rPr>
        <w:t xml:space="preserve"> </w:t>
      </w:r>
      <w:r w:rsidRPr="0046706F">
        <w:rPr>
          <w:rFonts w:ascii="Times New Roman" w:hAnsi="Times New Roman" w:cs="Times New Roman"/>
          <w:sz w:val="24"/>
          <w:szCs w:val="24"/>
          <w:lang w:val="en-US"/>
        </w:rPr>
        <w:fldChar w:fldCharType="begin" w:fldLock="1"/>
      </w:r>
      <w:r w:rsidR="00030DD5">
        <w:rPr>
          <w:rFonts w:ascii="Times New Roman" w:hAnsi="Times New Roman" w:cs="Times New Roman"/>
          <w:sz w:val="24"/>
          <w:szCs w:val="24"/>
          <w:lang w:val="en-US"/>
        </w:rPr>
        <w:instrText>ADDIN CSL_CITATION {"citationItems":[{"id":"ITEM-1","itemData":{"ISSN":"2055-6837","abstract":"AIMS: To describe the risks of thromboembolism and major bleeding complications in anticoagulated patients with atrial fibrillation (AF) and native aortic or mitral valvular heart disease using data reflecting clinical practice. METHODS AND RESULTS: Descriptive cohort study of anticoagulated patients with incident AF and native aortic or mitral valvular heart disease, identified in nationwide Danish registries from 2000-2018. A total of 10,043 patients were included, of which 5,190 (51.7%) patients had aortic stenosis, 1,788 (17.8%) patients had aortic regurgitation, 327 (3.3%) patients had mitral stenosis, and 2,738 (27.3%) patients had mitral regurgitation. At 1 year after AF diagnosis, the risk of thromboembolism was 4.6% in patients with mitral stenosis taking a VKA, and 2.6% in patients with aortic stenosis taking a VKA or NOAC. For patients with aortic or mitral regurgitation, the risks of thromboembolism ranged between 1.5-1.8% in both treatment groups. For the endpoint of major bleeding, the risk was approximately 5.5% in patients with aortic stenosis or mitral stenosis treated with a VKA, and 3.3-4.0% in patients with aortic or mitral regurgitation. For patients treated with a NOAC, the risk of major bleeding was 3.7% in patients with aortic stenosis and approximately 2.5% in patients with aortic or mitral regurgitation. CONCLUSION: When using data reflecting contemporary clinical practice, our observations suggested that one year after a diagnosis of AF, anticoagulated patients with aortic or mitral valvular heart disease had dissimilar risk of thromboembolism and major bleeding complications. Specifically, patients with aortic stenosis or mitral stenosis were high-risk subgroups. This observation may guide clinicians regarding intensity of clinical follow-up.","author":[{"dropping-particle":"","family":"Melgaard","given":"Line","non-dropping-particle":"","parse-names":false,"suffix":""},{"dropping-particle":"","family":"Overvad","given":"Thure Filskov","non-dropping-particle":"","parse-names":false,"suffix":""},{"dropping-particle":"","family":"Jensen","given":"Martin","non-dropping-particle":"","parse-names":false,"suffix":""},{"dropping-particle":"","family":"Lip","given":"Gregory Y H","non-dropping-particle":"","parse-names":false,"suffix":""},{"dropping-particle":"","family":"Larsen","given":"Torben Bjerregaard","non-dropping-particle":"","parse-names":false,"suffix":""},{"dropping-particle":"","family":"Nielsen","given":"Peter Brønnum","non-dropping-particle":"","parse-names":false,"suffix":""}],"container-title":"European Heart Journal - Cardiovascular Pharmacotherapy","id":"ITEM-1","issued":{"date-parts":[["2020"]]},"page":"Epub ahead of print","title":"Thromboembolism and bleeding complications in anticoagulated patients with atrial fibrillation and native aortic or mitral valvular heart disease: A descriptive nationwide cohort study","type":"article-journal"},"uris":["http://www.mendeley.com/documents/?uuid=ae549319-c92c-407e-bf5c-7762856fff7f"]}],"mendeley":{"formattedCitation":"[37]","plainTextFormattedCitation":"[37]","previouslyFormattedCitation":"[37]"},"properties":{"noteIndex":0},"schema":"https://github.com/citation-style-language/schema/raw/master/csl-citation.json"}</w:instrText>
      </w:r>
      <w:r w:rsidRPr="0046706F">
        <w:rPr>
          <w:rFonts w:ascii="Times New Roman" w:hAnsi="Times New Roman" w:cs="Times New Roman"/>
          <w:sz w:val="24"/>
          <w:szCs w:val="24"/>
          <w:lang w:val="en-US"/>
        </w:rPr>
        <w:fldChar w:fldCharType="separate"/>
      </w:r>
      <w:r w:rsidR="00B01B87" w:rsidRPr="00B01B87">
        <w:rPr>
          <w:rFonts w:ascii="Times New Roman" w:hAnsi="Times New Roman" w:cs="Times New Roman"/>
          <w:noProof/>
          <w:sz w:val="24"/>
          <w:szCs w:val="24"/>
          <w:lang w:val="en-US"/>
        </w:rPr>
        <w:t>[37]</w:t>
      </w:r>
      <w:r w:rsidRPr="0046706F">
        <w:rPr>
          <w:rFonts w:ascii="Times New Roman" w:hAnsi="Times New Roman" w:cs="Times New Roman"/>
          <w:sz w:val="24"/>
          <w:szCs w:val="24"/>
          <w:lang w:val="en-US"/>
        </w:rPr>
        <w:fldChar w:fldCharType="end"/>
      </w:r>
      <w:r w:rsidRPr="0046706F">
        <w:rPr>
          <w:rFonts w:ascii="Times New Roman" w:hAnsi="Times New Roman" w:cs="Times New Roman"/>
          <w:sz w:val="24"/>
          <w:szCs w:val="24"/>
          <w:lang w:val="en-US"/>
        </w:rPr>
        <w:t xml:space="preserve">. However, </w:t>
      </w:r>
      <w:r w:rsidR="001A3B2C" w:rsidRPr="0046706F">
        <w:rPr>
          <w:rFonts w:ascii="Times New Roman" w:hAnsi="Times New Roman" w:cs="Times New Roman"/>
          <w:sz w:val="24"/>
          <w:szCs w:val="24"/>
          <w:lang w:val="en-US"/>
        </w:rPr>
        <w:t>a randomized trial specifically designed to investigate the optimal antithrombotic therapy in patients with atrial fibrillation and mitral stenosis is necessary to make any additional recommendations about the optimal antithrombotic management</w:t>
      </w:r>
      <w:r w:rsidRPr="0046706F">
        <w:rPr>
          <w:rFonts w:ascii="Times New Roman" w:hAnsi="Times New Roman" w:cs="Times New Roman"/>
          <w:sz w:val="24"/>
          <w:szCs w:val="24"/>
          <w:lang w:val="en-US"/>
        </w:rPr>
        <w:t xml:space="preserve"> of this subgroup of AF patients with VHD</w:t>
      </w:r>
      <w:r w:rsidR="001A3B2C" w:rsidRPr="0046706F">
        <w:rPr>
          <w:rFonts w:ascii="Times New Roman" w:hAnsi="Times New Roman" w:cs="Times New Roman"/>
          <w:sz w:val="24"/>
          <w:szCs w:val="24"/>
          <w:lang w:val="en-US"/>
        </w:rPr>
        <w:t>.</w:t>
      </w:r>
      <w:r w:rsidR="00970DED">
        <w:rPr>
          <w:rFonts w:ascii="Times New Roman" w:hAnsi="Times New Roman" w:cs="Times New Roman"/>
          <w:sz w:val="24"/>
          <w:szCs w:val="24"/>
          <w:lang w:val="en-US"/>
        </w:rPr>
        <w:t xml:space="preserve"> </w:t>
      </w:r>
      <w:r w:rsidR="00967D26" w:rsidRPr="00967D26">
        <w:rPr>
          <w:rFonts w:ascii="Times New Roman" w:hAnsi="Times New Roman" w:cs="Times New Roman"/>
          <w:color w:val="FFC000"/>
          <w:sz w:val="24"/>
          <w:szCs w:val="24"/>
          <w:lang w:val="en-US"/>
        </w:rPr>
        <w:t xml:space="preserve">In Denmark, the majority of the patients with mitral stenosis has non-rheumatic mitral stenosis (70% in our study). This influences the generalizability of our observations in this subgroup to other populations, where rheumatic disease is the dominating cause of mitral </w:t>
      </w:r>
      <w:r w:rsidR="00967D26" w:rsidRPr="00C24408">
        <w:rPr>
          <w:rFonts w:ascii="Times New Roman" w:hAnsi="Times New Roman" w:cs="Times New Roman"/>
          <w:color w:val="FFC000"/>
          <w:sz w:val="24"/>
          <w:szCs w:val="24"/>
          <w:lang w:val="en-US"/>
        </w:rPr>
        <w:t xml:space="preserve">stenosis. </w:t>
      </w:r>
      <w:r w:rsidR="003931A7" w:rsidRPr="00C24408">
        <w:rPr>
          <w:rFonts w:ascii="Times New Roman" w:hAnsi="Times New Roman" w:cs="Times New Roman"/>
          <w:color w:val="FFC000"/>
          <w:sz w:val="24"/>
          <w:szCs w:val="24"/>
          <w:lang w:val="en-US"/>
        </w:rPr>
        <w:t xml:space="preserve">Additionally, we included all patients with a diagnosis of mitral stenosis regardless of the severity of the valve disease and the baseline anticoagulant therapy. This could </w:t>
      </w:r>
      <w:r w:rsidR="00C24408">
        <w:rPr>
          <w:rFonts w:ascii="Times New Roman" w:hAnsi="Times New Roman" w:cs="Times New Roman"/>
          <w:color w:val="FFC000"/>
          <w:sz w:val="24"/>
          <w:szCs w:val="24"/>
          <w:lang w:val="en-US"/>
        </w:rPr>
        <w:t xml:space="preserve">also </w:t>
      </w:r>
      <w:r w:rsidR="003931A7" w:rsidRPr="00C24408">
        <w:rPr>
          <w:rFonts w:ascii="Times New Roman" w:hAnsi="Times New Roman" w:cs="Times New Roman"/>
          <w:color w:val="FFC000"/>
          <w:sz w:val="24"/>
          <w:szCs w:val="24"/>
          <w:lang w:val="en-US"/>
        </w:rPr>
        <w:t xml:space="preserve">influence the generalizability of our observations if we primarily included patients with very mild or very severe </w:t>
      </w:r>
      <w:r w:rsidR="00C24408">
        <w:rPr>
          <w:rFonts w:ascii="Times New Roman" w:hAnsi="Times New Roman" w:cs="Times New Roman"/>
          <w:color w:val="FFC000"/>
          <w:sz w:val="24"/>
          <w:szCs w:val="24"/>
          <w:lang w:val="en-US"/>
        </w:rPr>
        <w:t>mitral stenosis</w:t>
      </w:r>
      <w:r w:rsidR="003931A7" w:rsidRPr="00C24408">
        <w:rPr>
          <w:rFonts w:ascii="Times New Roman" w:hAnsi="Times New Roman" w:cs="Times New Roman"/>
          <w:color w:val="FFC000"/>
          <w:sz w:val="24"/>
          <w:szCs w:val="24"/>
          <w:lang w:val="en-US"/>
        </w:rPr>
        <w:t>.</w:t>
      </w:r>
    </w:p>
    <w:p w14:paraId="2D9EAD8C" w14:textId="06D52426" w:rsidR="00D62D5B" w:rsidRPr="0046706F" w:rsidRDefault="00D62D5B" w:rsidP="00354F35">
      <w:pPr>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We did not examine individual risk factors of thromboembolism an</w:t>
      </w:r>
      <w:r w:rsidR="00D04724" w:rsidRPr="0046706F">
        <w:rPr>
          <w:rFonts w:ascii="Times New Roman" w:hAnsi="Times New Roman" w:cs="Times New Roman"/>
          <w:sz w:val="24"/>
          <w:szCs w:val="24"/>
          <w:lang w:val="en-US"/>
        </w:rPr>
        <w:t xml:space="preserve">d major bleeding in AF patients </w:t>
      </w:r>
      <w:r w:rsidRPr="0046706F">
        <w:rPr>
          <w:rFonts w:ascii="Times New Roman" w:hAnsi="Times New Roman" w:cs="Times New Roman"/>
          <w:sz w:val="24"/>
          <w:szCs w:val="24"/>
          <w:lang w:val="en-US"/>
        </w:rPr>
        <w:t xml:space="preserve">with different </w:t>
      </w:r>
      <w:r w:rsidR="00C9300F" w:rsidRPr="0046706F">
        <w:rPr>
          <w:rFonts w:ascii="Times New Roman" w:hAnsi="Times New Roman" w:cs="Times New Roman"/>
          <w:sz w:val="24"/>
          <w:szCs w:val="24"/>
          <w:lang w:val="en-US"/>
        </w:rPr>
        <w:t>sub</w:t>
      </w:r>
      <w:r w:rsidRPr="0046706F">
        <w:rPr>
          <w:rFonts w:ascii="Times New Roman" w:hAnsi="Times New Roman" w:cs="Times New Roman"/>
          <w:sz w:val="24"/>
          <w:szCs w:val="24"/>
          <w:lang w:val="en-US"/>
        </w:rPr>
        <w:t>types of VHD, as this analysis was outside the scope of our study; thus, we encourage future studies to look into this matter.</w:t>
      </w:r>
    </w:p>
    <w:p w14:paraId="129BBEFD" w14:textId="77777777" w:rsidR="00D335B1" w:rsidRPr="0046706F" w:rsidRDefault="00D335B1" w:rsidP="00491688">
      <w:pPr>
        <w:tabs>
          <w:tab w:val="left" w:pos="2356"/>
        </w:tabs>
        <w:autoSpaceDE w:val="0"/>
        <w:autoSpaceDN w:val="0"/>
        <w:adjustRightInd w:val="0"/>
        <w:spacing w:after="0" w:line="480" w:lineRule="auto"/>
        <w:rPr>
          <w:rFonts w:ascii="Times New Roman" w:hAnsi="Times New Roman" w:cs="Times New Roman"/>
          <w:sz w:val="24"/>
          <w:szCs w:val="24"/>
          <w:lang w:val="en-US"/>
        </w:rPr>
      </w:pPr>
    </w:p>
    <w:p w14:paraId="2AF09C45" w14:textId="593D8215" w:rsidR="00D9528C" w:rsidRPr="0046706F" w:rsidRDefault="00D9528C" w:rsidP="00D9528C">
      <w:pPr>
        <w:spacing w:after="0" w:line="480" w:lineRule="auto"/>
        <w:rPr>
          <w:rFonts w:ascii="Times New Roman" w:hAnsi="Times New Roman" w:cs="Times New Roman"/>
          <w:i/>
          <w:sz w:val="24"/>
          <w:szCs w:val="24"/>
          <w:lang w:val="en-US"/>
        </w:rPr>
      </w:pPr>
      <w:r w:rsidRPr="0046706F">
        <w:rPr>
          <w:rFonts w:ascii="Times New Roman" w:hAnsi="Times New Roman" w:cs="Times New Roman"/>
          <w:i/>
          <w:sz w:val="24"/>
          <w:szCs w:val="24"/>
          <w:lang w:val="en-US"/>
        </w:rPr>
        <w:t>Strengths and limitations</w:t>
      </w:r>
    </w:p>
    <w:p w14:paraId="57CCB441" w14:textId="7F510572" w:rsidR="00330AAB" w:rsidRPr="0046706F" w:rsidRDefault="00330AAB" w:rsidP="00330AAB">
      <w:pPr>
        <w:autoSpaceDE w:val="0"/>
        <w:autoSpaceDN w:val="0"/>
        <w:adjustRightInd w:val="0"/>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The large sample size</w:t>
      </w:r>
      <w:r w:rsidR="00CF75ED" w:rsidRPr="0046706F">
        <w:rPr>
          <w:rFonts w:ascii="Times New Roman" w:hAnsi="Times New Roman" w:cs="Times New Roman"/>
          <w:sz w:val="24"/>
          <w:szCs w:val="24"/>
          <w:lang w:val="en-US"/>
        </w:rPr>
        <w:t>,</w:t>
      </w:r>
      <w:r w:rsidRPr="0046706F">
        <w:rPr>
          <w:rFonts w:ascii="Times New Roman" w:hAnsi="Times New Roman" w:cs="Times New Roman"/>
          <w:sz w:val="24"/>
          <w:szCs w:val="24"/>
          <w:lang w:val="en-US"/>
        </w:rPr>
        <w:t xml:space="preserve"> uniquely possible with </w:t>
      </w:r>
      <w:r w:rsidR="0070742A" w:rsidRPr="0046706F">
        <w:rPr>
          <w:rFonts w:ascii="Times New Roman" w:hAnsi="Times New Roman" w:cs="Times New Roman"/>
          <w:sz w:val="24"/>
          <w:szCs w:val="24"/>
          <w:lang w:val="en-US"/>
        </w:rPr>
        <w:t>nationwide registry studies</w:t>
      </w:r>
      <w:r w:rsidR="00CF75ED" w:rsidRPr="0046706F">
        <w:rPr>
          <w:rFonts w:ascii="Times New Roman" w:hAnsi="Times New Roman" w:cs="Times New Roman"/>
          <w:sz w:val="24"/>
          <w:szCs w:val="24"/>
          <w:lang w:val="en-US"/>
        </w:rPr>
        <w:t>,</w:t>
      </w:r>
      <w:r w:rsidRPr="0046706F">
        <w:rPr>
          <w:rFonts w:ascii="Times New Roman" w:hAnsi="Times New Roman" w:cs="Times New Roman"/>
          <w:sz w:val="24"/>
          <w:szCs w:val="24"/>
          <w:lang w:val="en-US"/>
        </w:rPr>
        <w:t xml:space="preserve"> minimize</w:t>
      </w:r>
      <w:r w:rsidR="00AF1860" w:rsidRPr="0046706F">
        <w:rPr>
          <w:rFonts w:ascii="Times New Roman" w:hAnsi="Times New Roman" w:cs="Times New Roman"/>
          <w:sz w:val="24"/>
          <w:szCs w:val="24"/>
          <w:lang w:val="en-US"/>
        </w:rPr>
        <w:t>s</w:t>
      </w:r>
      <w:r w:rsidRPr="0046706F">
        <w:rPr>
          <w:rFonts w:ascii="Times New Roman" w:hAnsi="Times New Roman" w:cs="Times New Roman"/>
          <w:sz w:val="24"/>
          <w:szCs w:val="24"/>
          <w:lang w:val="en-US"/>
        </w:rPr>
        <w:t xml:space="preserve"> the risk of random error. </w:t>
      </w:r>
      <w:r w:rsidR="00CF75ED" w:rsidRPr="0046706F">
        <w:rPr>
          <w:rFonts w:ascii="Times New Roman" w:hAnsi="Times New Roman" w:cs="Times New Roman"/>
          <w:sz w:val="24"/>
          <w:szCs w:val="24"/>
          <w:lang w:val="en-US"/>
        </w:rPr>
        <w:t>Bias from a s</w:t>
      </w:r>
      <w:r w:rsidRPr="0046706F">
        <w:rPr>
          <w:rFonts w:ascii="Times New Roman" w:hAnsi="Times New Roman" w:cs="Times New Roman"/>
          <w:sz w:val="24"/>
          <w:szCs w:val="24"/>
          <w:lang w:val="en-US"/>
        </w:rPr>
        <w:t xml:space="preserve">election into the study was </w:t>
      </w:r>
      <w:r w:rsidR="00CF75ED" w:rsidRPr="0046706F">
        <w:rPr>
          <w:rFonts w:ascii="Times New Roman" w:hAnsi="Times New Roman" w:cs="Times New Roman"/>
          <w:sz w:val="24"/>
          <w:szCs w:val="24"/>
          <w:lang w:val="en-US"/>
        </w:rPr>
        <w:t>likely low</w:t>
      </w:r>
      <w:r w:rsidRPr="0046706F">
        <w:rPr>
          <w:rFonts w:ascii="Times New Roman" w:hAnsi="Times New Roman" w:cs="Times New Roman"/>
          <w:sz w:val="24"/>
          <w:szCs w:val="24"/>
          <w:lang w:val="en-US"/>
        </w:rPr>
        <w:t xml:space="preserve">, since we investigated a nationwide </w:t>
      </w:r>
      <w:r w:rsidRPr="0046706F">
        <w:rPr>
          <w:rFonts w:ascii="Times New Roman" w:hAnsi="Times New Roman" w:cs="Times New Roman"/>
          <w:sz w:val="24"/>
          <w:szCs w:val="24"/>
          <w:lang w:val="en-US"/>
        </w:rPr>
        <w:lastRenderedPageBreak/>
        <w:t xml:space="preserve">population cohort of </w:t>
      </w:r>
      <w:r w:rsidR="00CF75ED" w:rsidRPr="0046706F">
        <w:rPr>
          <w:rFonts w:ascii="Times New Roman" w:hAnsi="Times New Roman" w:cs="Times New Roman"/>
          <w:sz w:val="24"/>
          <w:szCs w:val="24"/>
          <w:lang w:val="en-US"/>
        </w:rPr>
        <w:t xml:space="preserve">consecutive </w:t>
      </w:r>
      <w:r w:rsidRPr="0046706F">
        <w:rPr>
          <w:rFonts w:ascii="Times New Roman" w:hAnsi="Times New Roman" w:cs="Times New Roman"/>
          <w:sz w:val="24"/>
          <w:szCs w:val="24"/>
          <w:lang w:val="en-US"/>
        </w:rPr>
        <w:t>incident AF patients using administrative data, which also implies virtually no loss to follow-up.</w:t>
      </w:r>
    </w:p>
    <w:p w14:paraId="5DA6B420" w14:textId="207948EC" w:rsidR="009070F4" w:rsidRPr="0046706F" w:rsidRDefault="00745EF2" w:rsidP="008900D5">
      <w:pPr>
        <w:autoSpaceDE w:val="0"/>
        <w:autoSpaceDN w:val="0"/>
        <w:adjustRightInd w:val="0"/>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The diagnose</w:t>
      </w:r>
      <w:r w:rsidR="00511268" w:rsidRPr="0046706F">
        <w:rPr>
          <w:rFonts w:ascii="Times New Roman" w:hAnsi="Times New Roman" w:cs="Times New Roman"/>
          <w:sz w:val="24"/>
          <w:szCs w:val="24"/>
          <w:lang w:val="en-US"/>
        </w:rPr>
        <w:t>s of AF</w:t>
      </w:r>
      <w:r w:rsidRPr="0046706F">
        <w:rPr>
          <w:rFonts w:ascii="Times New Roman" w:hAnsi="Times New Roman" w:cs="Times New Roman"/>
          <w:sz w:val="24"/>
          <w:szCs w:val="24"/>
          <w:lang w:val="en-US"/>
        </w:rPr>
        <w:t xml:space="preserve"> and VHD</w:t>
      </w:r>
      <w:r w:rsidR="00511268" w:rsidRPr="0046706F">
        <w:rPr>
          <w:rFonts w:ascii="Times New Roman" w:hAnsi="Times New Roman" w:cs="Times New Roman"/>
          <w:sz w:val="24"/>
          <w:szCs w:val="24"/>
          <w:lang w:val="en-US"/>
        </w:rPr>
        <w:t xml:space="preserve"> w</w:t>
      </w:r>
      <w:r w:rsidRPr="0046706F">
        <w:rPr>
          <w:rFonts w:ascii="Times New Roman" w:hAnsi="Times New Roman" w:cs="Times New Roman"/>
          <w:sz w:val="24"/>
          <w:szCs w:val="24"/>
          <w:lang w:val="en-US"/>
        </w:rPr>
        <w:t>ere</w:t>
      </w:r>
      <w:r w:rsidR="00511268" w:rsidRPr="0046706F">
        <w:rPr>
          <w:rFonts w:ascii="Times New Roman" w:hAnsi="Times New Roman" w:cs="Times New Roman"/>
          <w:sz w:val="24"/>
          <w:szCs w:val="24"/>
          <w:lang w:val="en-US"/>
        </w:rPr>
        <w:t xml:space="preserve"> based on a hospital contact resulting in a diagnosis of AF </w:t>
      </w:r>
      <w:r w:rsidRPr="0046706F">
        <w:rPr>
          <w:rFonts w:ascii="Times New Roman" w:hAnsi="Times New Roman" w:cs="Times New Roman"/>
          <w:sz w:val="24"/>
          <w:szCs w:val="24"/>
          <w:lang w:val="en-US"/>
        </w:rPr>
        <w:t xml:space="preserve">and/or VHD </w:t>
      </w:r>
      <w:r w:rsidR="00511268" w:rsidRPr="0046706F">
        <w:rPr>
          <w:rFonts w:ascii="Times New Roman" w:hAnsi="Times New Roman" w:cs="Times New Roman"/>
          <w:sz w:val="24"/>
          <w:szCs w:val="24"/>
          <w:lang w:val="en-US"/>
        </w:rPr>
        <w:t>and, therefore, the study population may not be representative of all patients with AF</w:t>
      </w:r>
      <w:r w:rsidRPr="0046706F">
        <w:rPr>
          <w:rFonts w:ascii="Times New Roman" w:hAnsi="Times New Roman" w:cs="Times New Roman"/>
          <w:sz w:val="24"/>
          <w:szCs w:val="24"/>
          <w:lang w:val="en-US"/>
        </w:rPr>
        <w:t xml:space="preserve"> and VHD</w:t>
      </w:r>
      <w:r w:rsidR="00511268" w:rsidRPr="0046706F">
        <w:rPr>
          <w:rFonts w:ascii="Times New Roman" w:hAnsi="Times New Roman" w:cs="Times New Roman"/>
          <w:sz w:val="24"/>
          <w:szCs w:val="24"/>
          <w:lang w:val="en-US"/>
        </w:rPr>
        <w:t xml:space="preserve">, such as AF patients only </w:t>
      </w:r>
      <w:r w:rsidR="00BE4566" w:rsidRPr="0046706F">
        <w:rPr>
          <w:rFonts w:ascii="Times New Roman" w:hAnsi="Times New Roman" w:cs="Times New Roman"/>
          <w:sz w:val="24"/>
          <w:szCs w:val="24"/>
          <w:lang w:val="en-US"/>
        </w:rPr>
        <w:t>seen</w:t>
      </w:r>
      <w:r w:rsidR="00511268" w:rsidRPr="0046706F">
        <w:rPr>
          <w:rFonts w:ascii="Times New Roman" w:hAnsi="Times New Roman" w:cs="Times New Roman"/>
          <w:sz w:val="24"/>
          <w:szCs w:val="24"/>
          <w:lang w:val="en-US"/>
        </w:rPr>
        <w:t xml:space="preserve"> in general practice. </w:t>
      </w:r>
      <w:r w:rsidR="00FE15D6" w:rsidRPr="0046706F">
        <w:rPr>
          <w:rFonts w:ascii="Times New Roman" w:hAnsi="Times New Roman" w:cs="Times New Roman"/>
          <w:sz w:val="24"/>
          <w:szCs w:val="24"/>
          <w:lang w:val="en-US"/>
        </w:rPr>
        <w:t>Nevertheless, t</w:t>
      </w:r>
      <w:r w:rsidR="00330AAB" w:rsidRPr="0046706F">
        <w:rPr>
          <w:rFonts w:ascii="Times New Roman" w:hAnsi="Times New Roman" w:cs="Times New Roman"/>
          <w:sz w:val="24"/>
          <w:szCs w:val="24"/>
          <w:lang w:val="en-US"/>
        </w:rPr>
        <w:t>he diagnosis of AF has previously been validated with a pos</w:t>
      </w:r>
      <w:r w:rsidR="00441D9B" w:rsidRPr="0046706F">
        <w:rPr>
          <w:rFonts w:ascii="Times New Roman" w:hAnsi="Times New Roman" w:cs="Times New Roman"/>
          <w:sz w:val="24"/>
          <w:szCs w:val="24"/>
          <w:lang w:val="en-US"/>
        </w:rPr>
        <w:t>itive predictive value of 93</w:t>
      </w:r>
      <w:r w:rsidR="00330AAB" w:rsidRPr="0046706F">
        <w:rPr>
          <w:rFonts w:ascii="Times New Roman" w:hAnsi="Times New Roman" w:cs="Times New Roman"/>
          <w:sz w:val="24"/>
          <w:szCs w:val="24"/>
          <w:lang w:val="en-US"/>
        </w:rPr>
        <w:t>%</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rPr>
        <w:fldChar w:fldCharType="begin" w:fldLock="1"/>
      </w:r>
      <w:r w:rsidR="00030DD5">
        <w:rPr>
          <w:rFonts w:ascii="Times New Roman" w:hAnsi="Times New Roman" w:cs="Times New Roman"/>
          <w:sz w:val="24"/>
          <w:szCs w:val="24"/>
          <w:lang w:val="en-US"/>
        </w:rPr>
        <w:instrText>ADDIN CSL_CITATION {"citationItems":[{"id":"ITEM-1","itemData":{"ISSN":"1471-2288","PMID":"21619668","abstract":"BACKGROUND: The Charlson comorbidity index is often used to control for confounding in research based on medical databases. There are few studies of the accuracy of the codes obtained from these databases. We examined the positive predictive value (PPV) of the ICD-10 diagnostic coding in the Danish National Registry of Patients (NRP) for the 19 Charlson conditions. METHODS: Among all hospitalizations in Northern Denmark between 1 January 1998 and 31 December 2007 with a first-listed diagnosis of a Charlson condition in the NRP, we selected 50 hospital contacts for each condition. We reviewed discharge summaries and medical records to verify the NRP diagnoses, and computed the PPV as the proportion of confirmed diagnoses. RESULTS: A total of 950 records were reviewed. The overall PPV for the 19 Charlson conditions was 98.0% (95% CI; 96.9, 98.8). The PPVs ranged from 82.0% (95% CI; 68.6%, 91.4%) for diabetes with diabetic complications to 100% (one-sided 97.5% CI; 92.9%, 100%) for congestive heart failure, peripheral vascular disease, chronic pulmonary disease, mild and severe liver disease, hemiplegia, renal disease, leukaemia, lymphoma, metastatic tumour, and AIDS. CONCLUSION: The PPV of NRP coding of the Charlson conditions was consistently high.","author":[{"dropping-particle":"","family":"Thygesen","given":"SK","non-dropping-particle":"","parse-names":false,"suffix":""},{"dropping-particle":"","family":"Christiansen","given":"CF","non-dropping-particle":"","parse-names":false,"suffix":""},{"dropping-particle":"","family":"Christensen","given":"S","non-dropping-particle":"","parse-names":false,"suffix":""},{"dropping-particle":"","family":"Lash","given":"TL","non-dropping-particle":"","parse-names":false,"suffix":""},{"dropping-particle":"","family":"Sørensen","given":"HT","non-dropping-particle":"","parse-names":false,"suffix":""}],"container-title":"BMC medical research methodology","id":"ITEM-1","issued":{"date-parts":[["2011"]]},"page":"83","title":"The predictive value of ICD-10 diagnostic coding used to assess Charlson comorbidity index conditions in the population-based Danish National Registry of Patients.","type":"article-journal","volume":"11"},"uris":["http://www.mendeley.com/documents/?uuid=759bec38-2822-48e8-992f-1f6e4b232847","http://www.mendeley.com/documents/?uuid=1ccd0e02-a0b4-4646-b112-53df98aa00fd"]},{"id":"ITEM-2","itemData":{"ISSN":"1651-2006","PMID":"22397620","abstract":"Abstract Objectives: To assess the validity of the diagnoses of atrial fibrillation (AF) and atrial flutter (AFL) for men and women recorded in the Danish National Patient Registry, and to assess the relative distribution of AF and AFL. Design: Review of medical records for incident cases of AF and/or AFL in the Diet, Cancer and Health cohort study. Participants were enrolled in 1993-97 with 13.6 years of follow-up until 30 December 2009. Results: The positive predictive value of the combined diagnosis of AF and/or AFL was 92.6% (95% CI 88.8%; 95.2%) with no significant difference between sexes (men 93.7% (133/142), women 90.8% (129/142)). The proportion of AFL either alone or in combination with AF was significantly higher in men than in women (13.5% (18/133) vs. 5.4% (7/129), p=0.03). The positive predictive value of the specified diagnosis of AFL was 57.5% for men (46/80) and 29.6% for women (8/27). Conclusions: This study shows that the validity of the diagnosis of AF and/or AFL is high and may be used for registry-based studies. A specified diagnosis of AFL was rarely used and was not reliable to distinguish between cases of AF and AFL.","author":[{"dropping-particle":"","family":"Rix","given":"Thomas Andersen","non-dropping-particle":"","parse-names":false,"suffix":""},{"dropping-particle":"","family":"Riahi","given":"Sam","non-dropping-particle":"","parse-names":false,"suffix":""},{"dropping-particle":"","family":"Overvad","given":"Kim","non-dropping-particle":"","parse-names":false,"suffix":""},{"dropping-particle":"","family":"Lundbye-Christensen","given":"Søren","non-dropping-particle":"","parse-names":false,"suffix":""},{"dropping-particle":"","family":"Schmidt","given":"Erik Berg","non-dropping-particle":"","parse-names":false,"suffix":""},{"dropping-particle":"","family":"Joensen","given":"Albert Marni","non-dropping-particle":"","parse-names":false,"suffix":""}],"container-title":"Scand Cardiovasc J","id":"ITEM-2","issued":{"date-parts":[["2012"]]},"page":"149-153","title":"Validity of the diagnoses atrial fibrillation and atrial flutter in a Danish patient registry.","type":"article-journal","volume":"46"},"uris":["http://www.mendeley.com/documents/?uuid=04092884-8d53-4461-b3bd-3f8afbbd22ee","http://www.mendeley.com/documents/?uuid=c7d3059e-ac89-4e1d-9674-009bb9aa56b5"]}],"mendeley":{"formattedCitation":"[38,39]","plainTextFormattedCitation":"[38,39]","previouslyFormattedCitation":"[38,39]"},"properties":{"noteIndex":0},"schema":"https://github.com/citation-style-language/schema/raw/master/csl-citation.json"}</w:instrText>
      </w:r>
      <w:r w:rsidR="0033165D" w:rsidRPr="0046706F">
        <w:rPr>
          <w:rStyle w:val="Fodnotehenvisning"/>
          <w:rFonts w:ascii="Times New Roman" w:hAnsi="Times New Roman" w:cs="Times New Roman"/>
          <w:sz w:val="24"/>
          <w:szCs w:val="24"/>
        </w:rPr>
        <w:fldChar w:fldCharType="separate"/>
      </w:r>
      <w:r w:rsidR="00B01B87" w:rsidRPr="00B01B87">
        <w:rPr>
          <w:rFonts w:ascii="Times New Roman" w:hAnsi="Times New Roman" w:cs="Times New Roman"/>
          <w:bCs/>
          <w:noProof/>
          <w:sz w:val="24"/>
          <w:szCs w:val="24"/>
          <w:lang w:val="en-US"/>
        </w:rPr>
        <w:t>[38,39]</w:t>
      </w:r>
      <w:r w:rsidR="0033165D" w:rsidRPr="0046706F">
        <w:rPr>
          <w:rStyle w:val="Fodnotehenvisning"/>
          <w:rFonts w:ascii="Times New Roman" w:hAnsi="Times New Roman" w:cs="Times New Roman"/>
          <w:sz w:val="24"/>
          <w:szCs w:val="24"/>
        </w:rPr>
        <w:fldChar w:fldCharType="end"/>
      </w:r>
      <w:r w:rsidR="00B2113F" w:rsidRPr="0046706F">
        <w:rPr>
          <w:rFonts w:ascii="Times New Roman" w:hAnsi="Times New Roman" w:cs="Times New Roman"/>
          <w:sz w:val="24"/>
          <w:szCs w:val="24"/>
          <w:lang w:val="en-US"/>
        </w:rPr>
        <w:t xml:space="preserve">. </w:t>
      </w:r>
      <w:r w:rsidR="006078C9" w:rsidRPr="0046706F">
        <w:rPr>
          <w:rFonts w:ascii="Times New Roman" w:hAnsi="Times New Roman" w:cs="Times New Roman"/>
          <w:sz w:val="24"/>
          <w:szCs w:val="24"/>
          <w:lang w:val="en-US"/>
        </w:rPr>
        <w:t xml:space="preserve">Similarly, the diagnosis of different types of </w:t>
      </w:r>
      <w:r w:rsidR="00511268" w:rsidRPr="0046706F">
        <w:rPr>
          <w:rFonts w:ascii="Times New Roman" w:hAnsi="Times New Roman" w:cs="Times New Roman"/>
          <w:sz w:val="24"/>
          <w:szCs w:val="24"/>
          <w:lang w:val="en-US"/>
        </w:rPr>
        <w:t>VHD</w:t>
      </w:r>
      <w:r w:rsidR="00330AAB" w:rsidRPr="0046706F">
        <w:rPr>
          <w:rFonts w:ascii="Times New Roman" w:hAnsi="Times New Roman" w:cs="Times New Roman"/>
          <w:sz w:val="24"/>
          <w:szCs w:val="24"/>
          <w:lang w:val="en-US"/>
        </w:rPr>
        <w:t xml:space="preserve"> </w:t>
      </w:r>
      <w:r w:rsidR="006078C9" w:rsidRPr="0046706F">
        <w:rPr>
          <w:rFonts w:ascii="Times New Roman" w:hAnsi="Times New Roman" w:cs="Times New Roman"/>
          <w:sz w:val="24"/>
          <w:szCs w:val="24"/>
          <w:lang w:val="en-US"/>
        </w:rPr>
        <w:t>have previously been validated with a positive predictive value of 96-98%</w:t>
      </w:r>
      <w:r w:rsidR="007A6248" w:rsidRPr="0046706F">
        <w:rPr>
          <w:rFonts w:ascii="Times New Roman" w:hAnsi="Times New Roman" w:cs="Times New Roman"/>
          <w:sz w:val="24"/>
          <w:szCs w:val="24"/>
          <w:lang w:val="en-US"/>
        </w:rPr>
        <w:t>, and VHD is generally not diagnosed outside hospitals</w:t>
      </w:r>
      <w:r w:rsidR="00B2113F" w:rsidRPr="0046706F">
        <w:rPr>
          <w:rFonts w:ascii="Times New Roman" w:hAnsi="Times New Roman" w:cs="Times New Roman"/>
          <w:sz w:val="24"/>
          <w:szCs w:val="24"/>
          <w:lang w:val="en-US"/>
        </w:rPr>
        <w:t xml:space="preserve"> </w:t>
      </w:r>
      <w:r w:rsidR="0033165D" w:rsidRPr="0046706F">
        <w:rPr>
          <w:rStyle w:val="Fodnotehenvisning"/>
          <w:rFonts w:ascii="Times New Roman" w:hAnsi="Times New Roman" w:cs="Times New Roman"/>
          <w:sz w:val="24"/>
          <w:szCs w:val="24"/>
          <w:lang w:val="en-US"/>
        </w:rPr>
        <w:fldChar w:fldCharType="begin" w:fldLock="1"/>
      </w:r>
      <w:r w:rsidR="00030DD5">
        <w:rPr>
          <w:rFonts w:ascii="Times New Roman" w:hAnsi="Times New Roman" w:cs="Times New Roman"/>
          <w:sz w:val="24"/>
          <w:szCs w:val="24"/>
          <w:lang w:val="en-US"/>
        </w:rPr>
        <w:instrText>ADDIN CSL_CITATION {"citationItems":[{"id":"ITEM-1","itemData":{"abstract":"OBJECTIVE The majority of cardiovascular diagnoses in the Danish National Patient Registry (DNPR) remain to be validated despite extensive use in epidemiological research. We therefore examined the positive predictive value (PPV) of cardiovascular diagnoses in the DNPR. DESIGN Population-based validation study. SETTING 1 university hospital and 2 regional hospitals in the Central Denmark Region, 2010-2012. PARTICIPANTS For each cardiovascular diagnosis, up to 100 patients from participating hospitals were randomly sampled during the study period using the DNPR. MAIN OUTCOME MEASURE Using medical record review as the reference standard, we examined the PPV for cardiovascular diagnoses in the DNPR, coded according to the International Classification of Diseases, 10th Revision. RESULTS A total of 2153 medical records (97% of the total sample) were available for review. The PPVs ranged from 64% to 100%, with a mean PPV of 88%. The PPVs were ≥90% for first-time myocardial infarction, stent thrombosis, stable angina pectoris, hypertrophic cardiomyopathy, arrhythmogenic right ventricular cardiomyopathy, takotsubo cardiomyopathy, arterial hypertension, atrial fibrillation or flutter, cardiac arrest, mitral valve regurgitation or stenosis, aortic valve regurgitation or stenosis, pericarditis, hypercholesterolaemia, aortic dissection, aortic aneurysm/dilation and arterial claudication. The PPVs were between 80% and 90% for recurrent myocardial infarction, first-time unstable angina pectoris, pulmonary hypertension, bradycardia, ventricular tachycardia/fibrillation, endocarditis, cardiac tumours, first-time venous thromboembolism and between 70% and 80% for first-time and recurrent admission due to heart failure, first-time dilated cardiomyopathy, restrictive cardiomyopathy and recurrent venous thromboembolism. The PPV for first-time myocarditis was 64%. The PPVs were consistent within age, sex, calendar year and hospital categories. CONCLUSIONS The validity of cardiovascular diagnoses in the DNPR is overall high and sufficient for use in research since 2010.","author":[{"dropping-particle":"","family":"Sundbøll","given":"Jens","non-dropping-particle":"","parse-names":false,"suffix":""},{"dropping-particle":"","family":"Adelborg","given":"Kasper","non-dropping-particle":"","parse-names":false,"suffix":""},{"dropping-particle":"","family":"Munch","given":"Troels","non-dropping-particle":"","parse-names":false,"suffix":""},{"dropping-particle":"","family":"Frøslev","given":"Trine","non-dropping-particle":"","parse-names":false,"suffix":""},{"dropping-particle":"","family":"Sørensen","given":"Henrik Toft","non-dropping-particle":"","parse-names":false,"suffix":""},{"dropping-particle":"","family":"Bøtker","given":"Hans Erik","non-dropping-particle":"","parse-names":false,"suffix":""},{"dropping-particle":"","family":"Schmidt","given":"Morten","non-dropping-particle":"","parse-names":false,"suffix":""}],"container-title":"BMJ Open","id":"ITEM-1","issued":{"date-parts":[["2016"]]},"page":"e012832","title":"Positive predictive value of cardiovascular diagnoses in the Danish National Patient Registry: a validation study","type":"article-journal","volume":"6"},"uris":["http://www.mendeley.com/documents/?uuid=2ae5f058-b191-4151-a922-9bfd80314e51","http://www.mendeley.com/documents/?uuid=962c7753-c23c-4760-ae7c-da0558f3ee29"]}],"mendeley":{"formattedCitation":"[40]","plainTextFormattedCitation":"[40]","previouslyFormattedCitation":"[40]"},"properties":{"noteIndex":0},"schema":"https://github.com/citation-style-language/schema/raw/master/csl-citation.json"}</w:instrText>
      </w:r>
      <w:r w:rsidR="0033165D" w:rsidRPr="0046706F">
        <w:rPr>
          <w:rStyle w:val="Fodnotehenvisning"/>
          <w:rFonts w:ascii="Times New Roman" w:hAnsi="Times New Roman" w:cs="Times New Roman"/>
          <w:sz w:val="24"/>
          <w:szCs w:val="24"/>
          <w:lang w:val="en-US"/>
        </w:rPr>
        <w:fldChar w:fldCharType="separate"/>
      </w:r>
      <w:r w:rsidR="00B01B87" w:rsidRPr="00B01B87">
        <w:rPr>
          <w:rFonts w:ascii="Times New Roman" w:hAnsi="Times New Roman" w:cs="Times New Roman"/>
          <w:noProof/>
          <w:sz w:val="24"/>
          <w:szCs w:val="24"/>
          <w:lang w:val="en-US"/>
        </w:rPr>
        <w:t>[40]</w:t>
      </w:r>
      <w:r w:rsidR="0033165D" w:rsidRPr="0046706F">
        <w:rPr>
          <w:rStyle w:val="Fodnotehenvisning"/>
          <w:rFonts w:ascii="Times New Roman" w:hAnsi="Times New Roman" w:cs="Times New Roman"/>
          <w:sz w:val="24"/>
          <w:szCs w:val="24"/>
          <w:lang w:val="en-US"/>
        </w:rPr>
        <w:fldChar w:fldCharType="end"/>
      </w:r>
      <w:r w:rsidR="00B2113F" w:rsidRPr="0046706F">
        <w:rPr>
          <w:rFonts w:ascii="Times New Roman" w:hAnsi="Times New Roman" w:cs="Times New Roman"/>
          <w:sz w:val="24"/>
          <w:szCs w:val="24"/>
          <w:lang w:val="en-US"/>
        </w:rPr>
        <w:t xml:space="preserve">. </w:t>
      </w:r>
      <w:r w:rsidR="00C830CD" w:rsidRPr="0046706F">
        <w:rPr>
          <w:rFonts w:ascii="Times New Roman" w:hAnsi="Times New Roman" w:cs="Times New Roman"/>
          <w:sz w:val="24"/>
          <w:szCs w:val="24"/>
          <w:lang w:val="en-US"/>
        </w:rPr>
        <w:t>We</w:t>
      </w:r>
      <w:r w:rsidR="00330AAB" w:rsidRPr="0046706F">
        <w:rPr>
          <w:rFonts w:ascii="Times New Roman" w:hAnsi="Times New Roman" w:cs="Times New Roman"/>
          <w:sz w:val="24"/>
          <w:szCs w:val="24"/>
          <w:lang w:val="en-US"/>
        </w:rPr>
        <w:t xml:space="preserve"> did not have access to </w:t>
      </w:r>
      <w:r w:rsidR="00511268" w:rsidRPr="0046706F">
        <w:rPr>
          <w:rFonts w:ascii="Times New Roman" w:hAnsi="Times New Roman" w:cs="Times New Roman"/>
          <w:sz w:val="24"/>
          <w:szCs w:val="24"/>
          <w:lang w:val="en-US"/>
        </w:rPr>
        <w:t>echocardiographic data</w:t>
      </w:r>
      <w:r w:rsidR="00330AAB" w:rsidRPr="0046706F">
        <w:rPr>
          <w:rFonts w:ascii="Times New Roman" w:hAnsi="Times New Roman" w:cs="Times New Roman"/>
          <w:sz w:val="24"/>
          <w:szCs w:val="24"/>
          <w:lang w:val="en-US"/>
        </w:rPr>
        <w:t xml:space="preserve"> and </w:t>
      </w:r>
      <w:r w:rsidR="009070F4" w:rsidRPr="0046706F">
        <w:rPr>
          <w:rFonts w:ascii="Times New Roman" w:hAnsi="Times New Roman" w:cs="Times New Roman"/>
          <w:sz w:val="24"/>
          <w:szCs w:val="24"/>
          <w:lang w:val="en-US"/>
        </w:rPr>
        <w:t>for that reason</w:t>
      </w:r>
      <w:r w:rsidR="00330AAB" w:rsidRPr="0046706F">
        <w:rPr>
          <w:rFonts w:ascii="Times New Roman" w:hAnsi="Times New Roman" w:cs="Times New Roman"/>
          <w:sz w:val="24"/>
          <w:szCs w:val="24"/>
          <w:lang w:val="en-US"/>
        </w:rPr>
        <w:t xml:space="preserve">, </w:t>
      </w:r>
      <w:r w:rsidR="006078C9" w:rsidRPr="0046706F">
        <w:rPr>
          <w:rFonts w:ascii="Times New Roman" w:hAnsi="Times New Roman" w:cs="Times New Roman"/>
          <w:sz w:val="24"/>
          <w:szCs w:val="24"/>
          <w:lang w:val="en-US"/>
        </w:rPr>
        <w:t xml:space="preserve">we </w:t>
      </w:r>
      <w:r w:rsidR="00511268" w:rsidRPr="0046706F">
        <w:rPr>
          <w:rFonts w:ascii="Times New Roman" w:hAnsi="Times New Roman" w:cs="Times New Roman"/>
          <w:sz w:val="24"/>
          <w:szCs w:val="24"/>
          <w:lang w:val="en-US"/>
        </w:rPr>
        <w:t xml:space="preserve">could not report information about </w:t>
      </w:r>
      <w:r w:rsidR="006078C9" w:rsidRPr="0046706F">
        <w:rPr>
          <w:rFonts w:ascii="Times New Roman" w:hAnsi="Times New Roman" w:cs="Times New Roman"/>
          <w:sz w:val="24"/>
          <w:szCs w:val="24"/>
          <w:lang w:val="en-US"/>
        </w:rPr>
        <w:t xml:space="preserve">the </w:t>
      </w:r>
      <w:r w:rsidR="00511268" w:rsidRPr="0046706F">
        <w:rPr>
          <w:rFonts w:ascii="Times New Roman" w:hAnsi="Times New Roman" w:cs="Times New Roman"/>
          <w:sz w:val="24"/>
          <w:szCs w:val="24"/>
          <w:lang w:val="en-US"/>
        </w:rPr>
        <w:t xml:space="preserve">severity of </w:t>
      </w:r>
      <w:r w:rsidR="00BE4566" w:rsidRPr="0046706F">
        <w:rPr>
          <w:rFonts w:ascii="Times New Roman" w:hAnsi="Times New Roman" w:cs="Times New Roman"/>
          <w:sz w:val="24"/>
          <w:szCs w:val="24"/>
          <w:lang w:val="en-US"/>
        </w:rPr>
        <w:t xml:space="preserve">the </w:t>
      </w:r>
      <w:r w:rsidR="00511268" w:rsidRPr="0046706F">
        <w:rPr>
          <w:rFonts w:ascii="Times New Roman" w:hAnsi="Times New Roman" w:cs="Times New Roman"/>
          <w:sz w:val="24"/>
          <w:szCs w:val="24"/>
          <w:lang w:val="en-US"/>
        </w:rPr>
        <w:t>VHD.</w:t>
      </w:r>
      <w:r w:rsidR="009070F4" w:rsidRPr="0046706F">
        <w:rPr>
          <w:rFonts w:ascii="Times New Roman" w:hAnsi="Times New Roman" w:cs="Times New Roman"/>
          <w:sz w:val="24"/>
          <w:szCs w:val="24"/>
          <w:lang w:val="en-US"/>
        </w:rPr>
        <w:t xml:space="preserve"> The risk of thromboembolism and bleeding may be dependent on whether the VHD</w:t>
      </w:r>
      <w:r w:rsidR="0070742A" w:rsidRPr="0046706F">
        <w:rPr>
          <w:rFonts w:ascii="Times New Roman" w:hAnsi="Times New Roman" w:cs="Times New Roman"/>
          <w:sz w:val="24"/>
          <w:szCs w:val="24"/>
          <w:lang w:val="en-US"/>
        </w:rPr>
        <w:t xml:space="preserve"> </w:t>
      </w:r>
      <w:r w:rsidR="009070F4" w:rsidRPr="0046706F">
        <w:rPr>
          <w:rFonts w:ascii="Times New Roman" w:hAnsi="Times New Roman" w:cs="Times New Roman"/>
          <w:sz w:val="24"/>
          <w:szCs w:val="24"/>
          <w:lang w:val="en-US"/>
        </w:rPr>
        <w:t xml:space="preserve">is mild or severe, and therefore, the lack of information on this matter is a limitation. </w:t>
      </w:r>
    </w:p>
    <w:p w14:paraId="7961B447" w14:textId="50283FD4" w:rsidR="00ED119D" w:rsidRPr="0046706F" w:rsidRDefault="004343FF" w:rsidP="007A640B">
      <w:pPr>
        <w:autoSpaceDE w:val="0"/>
        <w:autoSpaceDN w:val="0"/>
        <w:adjustRightInd w:val="0"/>
        <w:spacing w:after="0" w:line="480" w:lineRule="auto"/>
        <w:rPr>
          <w:rFonts w:ascii="Times New Roman" w:hAnsi="Times New Roman" w:cs="Times New Roman"/>
          <w:sz w:val="24"/>
          <w:szCs w:val="24"/>
          <w:lang w:val="en-US"/>
        </w:rPr>
      </w:pPr>
      <w:r w:rsidRPr="0046706F">
        <w:rPr>
          <w:rFonts w:ascii="Times New Roman" w:hAnsi="Times New Roman" w:cs="Times New Roman"/>
          <w:sz w:val="24"/>
          <w:szCs w:val="24"/>
          <w:lang w:val="en-US"/>
        </w:rPr>
        <w:t xml:space="preserve">In Denmark, every patient presenting with symptoms of a thromboembolism is admitted to and examined in a hospital setting. Hence, the accuracy of our findings depends on proper ICD-10 coding. </w:t>
      </w:r>
      <w:r w:rsidR="00330AAB" w:rsidRPr="0046706F">
        <w:rPr>
          <w:rFonts w:ascii="Times New Roman" w:hAnsi="Times New Roman" w:cs="Times New Roman"/>
          <w:sz w:val="24"/>
          <w:szCs w:val="24"/>
          <w:lang w:val="en-US"/>
        </w:rPr>
        <w:t>The diagnosis of ischemic stroke has been validated and found to have a posi</w:t>
      </w:r>
      <w:r w:rsidR="00B2113F" w:rsidRPr="0046706F">
        <w:rPr>
          <w:rFonts w:ascii="Times New Roman" w:hAnsi="Times New Roman" w:cs="Times New Roman"/>
          <w:sz w:val="24"/>
          <w:szCs w:val="24"/>
          <w:lang w:val="en-US"/>
        </w:rPr>
        <w:t xml:space="preserve">tive predictive value of 80-90% </w:t>
      </w:r>
      <w:r w:rsidR="0033165D" w:rsidRPr="0046706F">
        <w:rPr>
          <w:rStyle w:val="Fodnotehenvisning"/>
          <w:rFonts w:ascii="Times New Roman" w:eastAsia="Times New Roman" w:hAnsi="Times New Roman" w:cs="Times New Roman"/>
          <w:color w:val="000000"/>
          <w:sz w:val="24"/>
          <w:szCs w:val="24"/>
          <w:lang w:val="en-US"/>
        </w:rPr>
        <w:fldChar w:fldCharType="begin" w:fldLock="1"/>
      </w:r>
      <w:r w:rsidR="00030DD5">
        <w:rPr>
          <w:rFonts w:ascii="Times New Roman" w:hAnsi="Times New Roman" w:cs="Times New Roman"/>
          <w:sz w:val="24"/>
          <w:szCs w:val="24"/>
          <w:lang w:val="en-US"/>
        </w:rPr>
        <w:instrText>ADDIN CSL_CITATION {"citationItems":[{"id":"ITEM-1","itemData":{"ISSN":"1932-6203","author":[{"dropping-particle":"","family":"McCormick","given":"Natalie","non-dropping-particle":"","parse-names":false,"suffix":""},{"dropping-particle":"","family":"Bhole","given":"Vidula","non-dropping-particle":"","parse-names":false,"suffix":""},{"dropping-particle":"","family":"Lacaille","given":"Diane","non-dropping-particle":"","parse-names":false,"suffix":""},{"dropping-particle":"","family":"Avina-Zubieta","given":"J. Antonio","non-dropping-particle":"","parse-names":false,"suffix":""}],"container-title":"Plos One","id":"ITEM-1","issued":{"date-parts":[["2015"]]},"page":"e0135834","title":"Validity of diagnostic codes for acute stroke in administrative databases: a systematic review","type":"article-journal","volume":"10"},"uris":["http://www.mendeley.com/documents/?uuid=fc4756e4-5887-46e6-9c06-e17b8de4cd92","http://www.mendeley.com/documents/?uuid=7abcc217-aeda-42f8-9fea-c88ec9be97d6","http://www.mendeley.com/documents/?uuid=11c39486-c489-4d81-af5d-31069da056d8"]},{"id":"ITEM-2","itemData":{"ISSN":"1423-0208","PMID":"17478969","abstract":"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author":[{"dropping-particle":"","family":"Krarup","given":"LH","non-dropping-particle":"","parse-names":false,"suffix":""},{"dropping-particle":"","family":"Boysen","given":"G","non-dropping-particle":"","parse-names":false,"suffix":""},{"dropping-particle":"","family":"Janjua","given":"H","non-dropping-particle":"","parse-names":false,"suffix":""},{"dropping-particle":"","family":"Prescott","given":"E","non-dropping-particle":"","parse-names":false,"suffix":""},{"dropping-particle":"","family":"Truelsen","given":"T","non-dropping-particle":"","parse-names":false,"suffix":""}],"container-title":"Neuroepidemiology","id":"ITEM-2","issued":{"date-parts":[["2007"]]},"page":"150-154","title":"Validity of stroke diagnoses in a National Register of Patients.","type":"article-journal","volume":"28"},"uris":["http://www.mendeley.com/documents/?uuid=bf900599-909f-45e7-937b-e2217a7b5dcf","http://www.mendeley.com/documents/?uuid=e293a548-f100-4582-a52e-f0b5e1917503","http://www.mendeley.com/documents/?uuid=9321e00d-519b-4970-9a70-2ab522e666b2"]}],"mendeley":{"formattedCitation":"[41,42]","plainTextFormattedCitation":"[41,42]","previouslyFormattedCitation":"[41,42]"},"properties":{"noteIndex":0},"schema":"https://github.com/citation-style-language/schema/raw/master/csl-citation.json"}</w:instrText>
      </w:r>
      <w:r w:rsidR="0033165D" w:rsidRPr="0046706F">
        <w:rPr>
          <w:rStyle w:val="Fodnotehenvisning"/>
          <w:rFonts w:ascii="Times New Roman" w:eastAsia="Times New Roman" w:hAnsi="Times New Roman" w:cs="Times New Roman"/>
          <w:color w:val="000000"/>
          <w:sz w:val="24"/>
          <w:szCs w:val="24"/>
          <w:lang w:val="en-US"/>
        </w:rPr>
        <w:fldChar w:fldCharType="separate"/>
      </w:r>
      <w:r w:rsidR="00B01B87" w:rsidRPr="00B01B87">
        <w:rPr>
          <w:rFonts w:ascii="Times New Roman" w:hAnsi="Times New Roman" w:cs="Times New Roman"/>
          <w:noProof/>
          <w:sz w:val="24"/>
          <w:szCs w:val="24"/>
          <w:lang w:val="en-US"/>
        </w:rPr>
        <w:t>[41,42]</w:t>
      </w:r>
      <w:r w:rsidR="0033165D" w:rsidRPr="0046706F">
        <w:rPr>
          <w:rStyle w:val="Fodnotehenvisning"/>
          <w:rFonts w:ascii="Times New Roman" w:eastAsia="Times New Roman" w:hAnsi="Times New Roman" w:cs="Times New Roman"/>
          <w:color w:val="000000"/>
          <w:sz w:val="24"/>
          <w:szCs w:val="24"/>
          <w:lang w:val="en-US"/>
        </w:rPr>
        <w:fldChar w:fldCharType="end"/>
      </w:r>
      <w:r w:rsidR="00B2113F" w:rsidRPr="0046706F">
        <w:rPr>
          <w:rFonts w:ascii="Times New Roman" w:hAnsi="Times New Roman" w:cs="Times New Roman"/>
          <w:sz w:val="24"/>
          <w:szCs w:val="24"/>
          <w:lang w:val="en-US"/>
        </w:rPr>
        <w:t xml:space="preserve">. </w:t>
      </w:r>
      <w:r w:rsidR="00CC4D41" w:rsidRPr="0046706F">
        <w:rPr>
          <w:rFonts w:ascii="Times New Roman" w:hAnsi="Times New Roman" w:cs="Times New Roman"/>
          <w:sz w:val="24"/>
          <w:szCs w:val="24"/>
          <w:lang w:val="en-US"/>
        </w:rPr>
        <w:t>However, t</w:t>
      </w:r>
      <w:r w:rsidR="00CC4D41" w:rsidRPr="0046706F">
        <w:rPr>
          <w:rFonts w:ascii="Times New Roman" w:hAnsi="Times New Roman" w:cs="Times New Roman"/>
          <w:sz w:val="24"/>
          <w:szCs w:val="24"/>
          <w:lang w:val="en-GB"/>
        </w:rPr>
        <w:t>he risk of ischemic stroke can only be estimated with some uncertainty in our study. Firstly, w</w:t>
      </w:r>
      <w:r w:rsidR="00330AAB" w:rsidRPr="0046706F">
        <w:rPr>
          <w:rFonts w:ascii="Times New Roman" w:hAnsi="Times New Roman" w:cs="Times New Roman"/>
          <w:sz w:val="24"/>
          <w:szCs w:val="24"/>
          <w:lang w:val="en-GB"/>
        </w:rPr>
        <w:t xml:space="preserve">e included unspecified stroke in the definition of ischemic stroke, as </w:t>
      </w:r>
      <w:r w:rsidR="00AB023A" w:rsidRPr="0046706F">
        <w:rPr>
          <w:rFonts w:ascii="Times New Roman" w:hAnsi="Times New Roman" w:cs="Times New Roman"/>
          <w:sz w:val="24"/>
          <w:szCs w:val="24"/>
          <w:lang w:val="en-GB"/>
        </w:rPr>
        <w:t>the majority of</w:t>
      </w:r>
      <w:r w:rsidR="00330AAB" w:rsidRPr="0046706F">
        <w:rPr>
          <w:rFonts w:ascii="Times New Roman" w:hAnsi="Times New Roman" w:cs="Times New Roman"/>
          <w:sz w:val="24"/>
          <w:szCs w:val="24"/>
          <w:lang w:val="en-GB"/>
        </w:rPr>
        <w:t xml:space="preserve"> such</w:t>
      </w:r>
      <w:r w:rsidR="00B2113F" w:rsidRPr="0046706F">
        <w:rPr>
          <w:rFonts w:ascii="Times New Roman" w:hAnsi="Times New Roman" w:cs="Times New Roman"/>
          <w:sz w:val="24"/>
          <w:szCs w:val="24"/>
          <w:lang w:val="en-GB"/>
        </w:rPr>
        <w:t xml:space="preserve"> strokes are of ischemic origin </w:t>
      </w:r>
      <w:r w:rsidR="0033165D" w:rsidRPr="0046706F">
        <w:rPr>
          <w:rStyle w:val="Fodnotehenvisning"/>
          <w:rFonts w:ascii="Times New Roman" w:eastAsia="Times New Roman" w:hAnsi="Times New Roman" w:cs="Times New Roman"/>
          <w:color w:val="000000"/>
          <w:sz w:val="24"/>
          <w:szCs w:val="24"/>
          <w:lang w:val="en-GB"/>
        </w:rPr>
        <w:fldChar w:fldCharType="begin" w:fldLock="1"/>
      </w:r>
      <w:r w:rsidR="00030DD5">
        <w:rPr>
          <w:rFonts w:ascii="Times New Roman" w:hAnsi="Times New Roman" w:cs="Times New Roman"/>
          <w:sz w:val="24"/>
          <w:szCs w:val="24"/>
          <w:lang w:val="en-GB"/>
        </w:rPr>
        <w:instrText>ADDIN CSL_CITATION {"citationItems":[{"id":"ITEM-1","itemData":{"ISSN":"1423-0208","PMID":"17478969","abstract":"Many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author":[{"dropping-particle":"","family":"Krarup","given":"LH","non-dropping-particle":"","parse-names":false,"suffix":""},{"dropping-particle":"","family":"Boysen","given":"G","non-dropping-particle":"","parse-names":false,"suffix":""},{"dropping-particle":"","family":"Janjua","given":"H","non-dropping-particle":"","parse-names":false,"suffix":""},{"dropping-particle":"","family":"Prescott","given":"E","non-dropping-particle":"","parse-names":false,"suffix":""},{"dropping-particle":"","family":"Truelsen","given":"T","non-dropping-particle":"","parse-names":false,"suffix":""}],"container-title":"Neuroepidemiology","id":"ITEM-1","issued":{"date-parts":[["2007"]]},"page":"150-154","title":"Validity of stroke diagnoses in a National Register of Patients.","type":"article-journal","volume":"28"},"uris":["http://www.mendeley.com/documents/?uuid=9321e00d-519b-4970-9a70-2ab522e666b2","http://www.mendeley.com/documents/?uuid=bf900599-909f-45e7-937b-e2217a7b5dcf","http://www.mendeley.com/documents/?uuid=e293a548-f100-4582-a52e-f0b5e1917503"]}],"mendeley":{"formattedCitation":"[42]","plainTextFormattedCitation":"[42]","previouslyFormattedCitation":"[42]"},"properties":{"noteIndex":0},"schema":"https://github.com/citation-style-language/schema/raw/master/csl-citation.json"}</w:instrText>
      </w:r>
      <w:r w:rsidR="0033165D" w:rsidRPr="0046706F">
        <w:rPr>
          <w:rStyle w:val="Fodnotehenvisning"/>
          <w:rFonts w:ascii="Times New Roman" w:eastAsia="Times New Roman" w:hAnsi="Times New Roman" w:cs="Times New Roman"/>
          <w:color w:val="000000"/>
          <w:sz w:val="24"/>
          <w:szCs w:val="24"/>
          <w:lang w:val="en-GB"/>
        </w:rPr>
        <w:fldChar w:fldCharType="separate"/>
      </w:r>
      <w:r w:rsidR="00B01B87" w:rsidRPr="00B01B87">
        <w:rPr>
          <w:rFonts w:ascii="Times New Roman" w:hAnsi="Times New Roman" w:cs="Times New Roman"/>
          <w:noProof/>
          <w:sz w:val="24"/>
          <w:szCs w:val="24"/>
          <w:lang w:val="en-GB"/>
        </w:rPr>
        <w:t>[42]</w:t>
      </w:r>
      <w:r w:rsidR="0033165D" w:rsidRPr="0046706F">
        <w:rPr>
          <w:rStyle w:val="Fodnotehenvisning"/>
          <w:rFonts w:ascii="Times New Roman" w:eastAsia="Times New Roman" w:hAnsi="Times New Roman" w:cs="Times New Roman"/>
          <w:color w:val="000000"/>
          <w:sz w:val="24"/>
          <w:szCs w:val="24"/>
          <w:lang w:val="en-GB"/>
        </w:rPr>
        <w:fldChar w:fldCharType="end"/>
      </w:r>
      <w:r w:rsidR="00B2113F" w:rsidRPr="0046706F">
        <w:rPr>
          <w:rFonts w:ascii="Times New Roman" w:eastAsia="Times New Roman" w:hAnsi="Times New Roman" w:cs="Times New Roman"/>
          <w:color w:val="000000"/>
          <w:sz w:val="24"/>
          <w:szCs w:val="24"/>
          <w:lang w:val="en-GB"/>
        </w:rPr>
        <w:t>.</w:t>
      </w:r>
      <w:r w:rsidR="00330AAB" w:rsidRPr="0046706F">
        <w:rPr>
          <w:rFonts w:ascii="Times New Roman" w:hAnsi="Times New Roman" w:cs="Times New Roman"/>
          <w:sz w:val="24"/>
          <w:szCs w:val="24"/>
          <w:lang w:val="en-GB"/>
        </w:rPr>
        <w:t xml:space="preserve"> </w:t>
      </w:r>
      <w:r w:rsidR="00CC4D41" w:rsidRPr="0046706F">
        <w:rPr>
          <w:rFonts w:ascii="Times New Roman" w:hAnsi="Times New Roman" w:cs="Times New Roman"/>
          <w:sz w:val="24"/>
          <w:szCs w:val="24"/>
          <w:lang w:val="en-GB"/>
        </w:rPr>
        <w:t>Secondly, we did not include transient ischemic attacks due to a low positive predictive value in the registries, and thirdly, some patients may experience a fatal stroke and are never admitted to the hospital.</w:t>
      </w:r>
      <w:r w:rsidR="008900D5" w:rsidRPr="0046706F">
        <w:rPr>
          <w:rFonts w:ascii="Times New Roman" w:hAnsi="Times New Roman" w:cs="Times New Roman"/>
          <w:sz w:val="24"/>
          <w:szCs w:val="24"/>
          <w:lang w:val="en-GB"/>
        </w:rPr>
        <w:t xml:space="preserve"> </w:t>
      </w:r>
      <w:r w:rsidR="008900D5" w:rsidRPr="0046706F">
        <w:rPr>
          <w:rFonts w:ascii="Times New Roman" w:hAnsi="Times New Roman" w:cs="Times New Roman"/>
          <w:sz w:val="24"/>
          <w:szCs w:val="24"/>
          <w:lang w:val="en-US"/>
        </w:rPr>
        <w:t>Our definition of major bleeding only included bleedings leading to a hospital contact, however, some bleedings do not lead to a hospital contact and, therefore, these, probably minor, bleedings were not included in the endpoint.</w:t>
      </w:r>
    </w:p>
    <w:p w14:paraId="214B98E5" w14:textId="77777777" w:rsidR="00C9300F" w:rsidRPr="0046706F" w:rsidRDefault="00562D7C" w:rsidP="00D62D5B">
      <w:pPr>
        <w:autoSpaceDE w:val="0"/>
        <w:autoSpaceDN w:val="0"/>
        <w:adjustRightInd w:val="0"/>
        <w:spacing w:after="0" w:line="480" w:lineRule="auto"/>
        <w:rPr>
          <w:rFonts w:ascii="Times New Roman" w:hAnsi="Times New Roman" w:cs="Times New Roman"/>
          <w:bCs/>
          <w:sz w:val="24"/>
          <w:szCs w:val="24"/>
          <w:lang w:val="en-US" w:bidi="th-TH"/>
        </w:rPr>
      </w:pPr>
      <w:r w:rsidRPr="0046706F">
        <w:rPr>
          <w:rFonts w:ascii="Times New Roman" w:hAnsi="Times New Roman" w:cs="Times New Roman"/>
          <w:sz w:val="24"/>
          <w:szCs w:val="24"/>
          <w:lang w:val="en-GB"/>
        </w:rPr>
        <w:t xml:space="preserve">According to guidelines, </w:t>
      </w:r>
      <w:r w:rsidR="00ED119D" w:rsidRPr="0046706F">
        <w:rPr>
          <w:rFonts w:ascii="Times New Roman" w:hAnsi="Times New Roman" w:cs="Times New Roman"/>
          <w:bCs/>
          <w:sz w:val="24"/>
          <w:szCs w:val="24"/>
          <w:lang w:val="en-US" w:bidi="th-TH"/>
        </w:rPr>
        <w:t xml:space="preserve">patients with moderate/severe mitral stenosis are recommended anticoagulation. </w:t>
      </w:r>
      <w:r w:rsidR="00ED119D" w:rsidRPr="0046706F">
        <w:rPr>
          <w:rFonts w:ascii="Times New Roman" w:hAnsi="Times New Roman" w:cs="Times New Roman"/>
          <w:sz w:val="24"/>
          <w:szCs w:val="24"/>
          <w:lang w:val="en-GB"/>
        </w:rPr>
        <w:t xml:space="preserve">However, in our study, some patients with mitral stenosis were not in anticoagulant therapy. </w:t>
      </w:r>
      <w:r w:rsidRPr="0046706F">
        <w:rPr>
          <w:rFonts w:ascii="Times New Roman" w:hAnsi="Times New Roman" w:cs="Times New Roman"/>
          <w:sz w:val="24"/>
          <w:szCs w:val="24"/>
          <w:lang w:val="en-GB"/>
        </w:rPr>
        <w:t xml:space="preserve">This </w:t>
      </w:r>
      <w:r w:rsidR="00ED119D" w:rsidRPr="0046706F">
        <w:rPr>
          <w:rFonts w:ascii="Times New Roman" w:hAnsi="Times New Roman" w:cs="Times New Roman"/>
          <w:sz w:val="24"/>
          <w:szCs w:val="24"/>
          <w:lang w:val="en-GB"/>
        </w:rPr>
        <w:t xml:space="preserve">non-anticoagulated group could represent patients with mild mitral stenosis or </w:t>
      </w:r>
      <w:r w:rsidR="007A6248" w:rsidRPr="0046706F">
        <w:rPr>
          <w:rFonts w:ascii="Times New Roman" w:hAnsi="Times New Roman" w:cs="Times New Roman"/>
          <w:sz w:val="24"/>
          <w:szCs w:val="24"/>
          <w:lang w:val="en-GB"/>
        </w:rPr>
        <w:t>reflect</w:t>
      </w:r>
      <w:r w:rsidRPr="0046706F">
        <w:rPr>
          <w:rFonts w:ascii="Times New Roman" w:hAnsi="Times New Roman" w:cs="Times New Roman"/>
          <w:sz w:val="24"/>
          <w:szCs w:val="24"/>
          <w:lang w:val="en-GB"/>
        </w:rPr>
        <w:t xml:space="preserve"> the limitations when assessing the baseline medication status using administrative registries. </w:t>
      </w:r>
      <w:r w:rsidR="00ED119D" w:rsidRPr="0046706F">
        <w:rPr>
          <w:rFonts w:ascii="Times New Roman" w:hAnsi="Times New Roman" w:cs="Times New Roman"/>
          <w:sz w:val="24"/>
          <w:szCs w:val="24"/>
          <w:lang w:val="en-GB"/>
        </w:rPr>
        <w:lastRenderedPageBreak/>
        <w:t xml:space="preserve">Unfortunately, </w:t>
      </w:r>
      <w:r w:rsidR="00ED119D" w:rsidRPr="0046706F">
        <w:rPr>
          <w:rFonts w:ascii="Times New Roman" w:hAnsi="Times New Roman" w:cs="Times New Roman"/>
          <w:bCs/>
          <w:sz w:val="24"/>
          <w:szCs w:val="24"/>
          <w:lang w:val="en-US" w:bidi="th-TH"/>
        </w:rPr>
        <w:t xml:space="preserve">we could not estimate the severity of the VHD or obtain information about the clinical rationale for </w:t>
      </w:r>
      <w:r w:rsidR="00263404" w:rsidRPr="0046706F">
        <w:rPr>
          <w:rFonts w:ascii="Times New Roman" w:hAnsi="Times New Roman" w:cs="Times New Roman"/>
          <w:bCs/>
          <w:sz w:val="24"/>
          <w:szCs w:val="24"/>
          <w:lang w:val="en-US" w:bidi="th-TH"/>
        </w:rPr>
        <w:t xml:space="preserve">the </w:t>
      </w:r>
      <w:r w:rsidR="00ED119D" w:rsidRPr="0046706F">
        <w:rPr>
          <w:rFonts w:ascii="Times New Roman" w:hAnsi="Times New Roman" w:cs="Times New Roman"/>
          <w:bCs/>
          <w:sz w:val="24"/>
          <w:szCs w:val="24"/>
          <w:lang w:val="en-US" w:bidi="th-TH"/>
        </w:rPr>
        <w:t>anticoagulation status.</w:t>
      </w:r>
      <w:r w:rsidR="00D62D5B" w:rsidRPr="0046706F">
        <w:rPr>
          <w:rFonts w:ascii="Times New Roman" w:hAnsi="Times New Roman" w:cs="Times New Roman"/>
          <w:bCs/>
          <w:sz w:val="24"/>
          <w:szCs w:val="24"/>
          <w:lang w:val="en-US" w:bidi="th-TH"/>
        </w:rPr>
        <w:t xml:space="preserve"> </w:t>
      </w:r>
    </w:p>
    <w:p w14:paraId="371A8D1B" w14:textId="6C353B8A" w:rsidR="004D6B1C" w:rsidRPr="0046706F" w:rsidRDefault="00D62D5B" w:rsidP="00D62D5B">
      <w:pPr>
        <w:autoSpaceDE w:val="0"/>
        <w:autoSpaceDN w:val="0"/>
        <w:adjustRightInd w:val="0"/>
        <w:spacing w:after="0" w:line="480" w:lineRule="auto"/>
        <w:rPr>
          <w:rFonts w:ascii="Times New Roman" w:hAnsi="Times New Roman" w:cs="Times New Roman"/>
          <w:sz w:val="24"/>
          <w:szCs w:val="24"/>
          <w:lang w:val="en-GB"/>
        </w:rPr>
      </w:pPr>
      <w:r w:rsidRPr="0046706F">
        <w:rPr>
          <w:rFonts w:ascii="Times New Roman" w:hAnsi="Times New Roman" w:cs="Times New Roman"/>
          <w:sz w:val="24"/>
          <w:szCs w:val="24"/>
          <w:lang w:val="en-US"/>
        </w:rPr>
        <w:t>Lastly</w:t>
      </w:r>
      <w:r w:rsidR="00330AAB" w:rsidRPr="0046706F">
        <w:rPr>
          <w:rFonts w:ascii="Times New Roman" w:hAnsi="Times New Roman" w:cs="Times New Roman"/>
          <w:sz w:val="24"/>
          <w:szCs w:val="24"/>
          <w:lang w:val="en-US"/>
        </w:rPr>
        <w:t xml:space="preserve">, the study was carried out as a nationwide study in the Danish population, which </w:t>
      </w:r>
      <w:r w:rsidR="0041092B" w:rsidRPr="0046706F">
        <w:rPr>
          <w:rFonts w:ascii="Times New Roman" w:hAnsi="Times New Roman" w:cs="Times New Roman"/>
          <w:sz w:val="24"/>
          <w:szCs w:val="24"/>
          <w:lang w:val="en-US"/>
        </w:rPr>
        <w:t>is ethnical</w:t>
      </w:r>
      <w:r w:rsidR="00AB023A" w:rsidRPr="0046706F">
        <w:rPr>
          <w:rFonts w:ascii="Times New Roman" w:hAnsi="Times New Roman" w:cs="Times New Roman"/>
          <w:sz w:val="24"/>
          <w:szCs w:val="24"/>
          <w:lang w:val="en-US"/>
        </w:rPr>
        <w:t>ly</w:t>
      </w:r>
      <w:r w:rsidR="0041092B" w:rsidRPr="0046706F">
        <w:rPr>
          <w:rFonts w:ascii="Times New Roman" w:hAnsi="Times New Roman" w:cs="Times New Roman"/>
          <w:sz w:val="24"/>
          <w:szCs w:val="24"/>
          <w:lang w:val="en-US"/>
        </w:rPr>
        <w:t xml:space="preserve"> </w:t>
      </w:r>
      <w:r w:rsidR="00330AAB" w:rsidRPr="0046706F">
        <w:rPr>
          <w:rFonts w:ascii="Times New Roman" w:hAnsi="Times New Roman" w:cs="Times New Roman"/>
          <w:sz w:val="24"/>
          <w:szCs w:val="24"/>
          <w:lang w:val="en-US"/>
        </w:rPr>
        <w:t>homogeneous; thus, future studies are needed to evaluate if our findings hold in more ethnically diverse AF populations.</w:t>
      </w:r>
    </w:p>
    <w:p w14:paraId="04130E27" w14:textId="77777777" w:rsidR="004D6B1C" w:rsidRPr="0046706F" w:rsidRDefault="004D6B1C" w:rsidP="004D6B1C">
      <w:pPr>
        <w:tabs>
          <w:tab w:val="left" w:pos="2356"/>
        </w:tabs>
        <w:autoSpaceDE w:val="0"/>
        <w:autoSpaceDN w:val="0"/>
        <w:adjustRightInd w:val="0"/>
        <w:spacing w:after="0" w:line="480" w:lineRule="auto"/>
        <w:rPr>
          <w:rFonts w:ascii="Times New Roman" w:hAnsi="Times New Roman" w:cs="Times New Roman"/>
          <w:sz w:val="24"/>
          <w:szCs w:val="24"/>
          <w:lang w:val="en-US"/>
        </w:rPr>
      </w:pPr>
    </w:p>
    <w:p w14:paraId="7086FBB3" w14:textId="372E6764" w:rsidR="00436E92" w:rsidRPr="0046706F" w:rsidRDefault="00436E92" w:rsidP="00436E92">
      <w:pPr>
        <w:pStyle w:val="Ingenafstand"/>
        <w:spacing w:line="480" w:lineRule="auto"/>
        <w:jc w:val="both"/>
        <w:rPr>
          <w:rFonts w:ascii="Times New Roman" w:hAnsi="Times New Roman" w:cs="Times New Roman"/>
          <w:b/>
          <w:sz w:val="24"/>
          <w:szCs w:val="24"/>
          <w:lang w:val="en-US"/>
        </w:rPr>
      </w:pPr>
      <w:r w:rsidRPr="0046706F">
        <w:rPr>
          <w:rFonts w:ascii="Times New Roman" w:hAnsi="Times New Roman" w:cs="Times New Roman"/>
          <w:b/>
          <w:sz w:val="24"/>
          <w:szCs w:val="24"/>
          <w:lang w:val="en-US"/>
        </w:rPr>
        <w:t>Conclusions</w:t>
      </w:r>
    </w:p>
    <w:p w14:paraId="6DFB99D2" w14:textId="6FA083C4" w:rsidR="00991DBB" w:rsidRPr="0046706F" w:rsidRDefault="00034C09" w:rsidP="0090686A">
      <w:pPr>
        <w:pStyle w:val="Ingenafstand"/>
        <w:spacing w:line="480" w:lineRule="auto"/>
        <w:jc w:val="both"/>
        <w:rPr>
          <w:rFonts w:ascii="Times New Roman" w:hAnsi="Times New Roman" w:cs="Times New Roman"/>
          <w:sz w:val="24"/>
          <w:szCs w:val="24"/>
          <w:lang w:val="en-US"/>
        </w:rPr>
      </w:pPr>
      <w:r w:rsidRPr="0046706F">
        <w:rPr>
          <w:rFonts w:ascii="Times New Roman" w:hAnsi="Times New Roman" w:cs="Times New Roman"/>
          <w:sz w:val="24"/>
          <w:szCs w:val="24"/>
          <w:lang w:val="en-US"/>
        </w:rPr>
        <w:t>When u</w:t>
      </w:r>
      <w:r w:rsidRPr="0046706F">
        <w:rPr>
          <w:rFonts w:ascii="Times New Roman" w:hAnsi="Times New Roman" w:cs="Times New Roman"/>
          <w:sz w:val="24"/>
          <w:szCs w:val="24"/>
          <w:lang w:val="en-GB"/>
        </w:rPr>
        <w:t xml:space="preserve">sing data reflecting contemporary clinical practice, </w:t>
      </w:r>
      <w:r w:rsidRPr="0046706F">
        <w:rPr>
          <w:rFonts w:ascii="Times New Roman" w:hAnsi="Times New Roman" w:cs="Times New Roman"/>
          <w:sz w:val="24"/>
          <w:szCs w:val="24"/>
          <w:lang w:val="en-US"/>
        </w:rPr>
        <w:t xml:space="preserve">we observed markedly different risks of thromboembolism in </w:t>
      </w:r>
      <w:r w:rsidRPr="0046706F">
        <w:rPr>
          <w:rFonts w:ascii="Times New Roman" w:eastAsia="AdvTimes" w:hAnsi="Times New Roman" w:cs="Times New Roman"/>
          <w:sz w:val="24"/>
          <w:szCs w:val="24"/>
          <w:lang w:val="en-US"/>
        </w:rPr>
        <w:t xml:space="preserve">EHRA Type 1 and Type 2 VHD, and likewise differences in bleeding risk, emphasizing the differences in these two underlying diseases. </w:t>
      </w:r>
      <w:r w:rsidRPr="0046706F">
        <w:rPr>
          <w:rFonts w:ascii="Times New Roman" w:hAnsi="Times New Roman" w:cs="Times New Roman"/>
          <w:sz w:val="24"/>
          <w:szCs w:val="24"/>
          <w:lang w:val="en-US"/>
        </w:rPr>
        <w:t xml:space="preserve">Additionally, </w:t>
      </w:r>
      <w:r w:rsidRPr="0046706F">
        <w:rPr>
          <w:rFonts w:ascii="Times New Roman" w:eastAsia="AdvTimes" w:hAnsi="Times New Roman" w:cs="Times New Roman"/>
          <w:sz w:val="24"/>
          <w:szCs w:val="24"/>
          <w:lang w:val="en-US"/>
        </w:rPr>
        <w:t xml:space="preserve">we observed a potential underuse of oral anticoagulation within the subgroups of AF </w:t>
      </w:r>
      <w:r w:rsidRPr="0046706F">
        <w:rPr>
          <w:rFonts w:ascii="Times New Roman" w:hAnsi="Times New Roman" w:cs="Times New Roman"/>
          <w:sz w:val="24"/>
          <w:szCs w:val="24"/>
          <w:lang w:val="en-US"/>
        </w:rPr>
        <w:t xml:space="preserve">patients </w:t>
      </w:r>
      <w:r w:rsidRPr="0046706F">
        <w:rPr>
          <w:rFonts w:ascii="Times New Roman" w:eastAsia="AdvTimes" w:hAnsi="Times New Roman" w:cs="Times New Roman"/>
          <w:sz w:val="24"/>
          <w:szCs w:val="24"/>
          <w:lang w:val="en-US"/>
        </w:rPr>
        <w:t>with EHRA Type 1 and Type 2 VHD, underlining</w:t>
      </w:r>
      <w:r w:rsidR="00954B5F" w:rsidRPr="0046706F">
        <w:rPr>
          <w:rFonts w:ascii="Times New Roman" w:eastAsia="AdvTimes" w:hAnsi="Times New Roman" w:cs="Times New Roman"/>
          <w:sz w:val="24"/>
          <w:szCs w:val="24"/>
          <w:lang w:val="en-US"/>
        </w:rPr>
        <w:t xml:space="preserve"> an unmet</w:t>
      </w:r>
      <w:r w:rsidRPr="0046706F">
        <w:rPr>
          <w:rFonts w:ascii="Times New Roman" w:eastAsia="AdvTimes" w:hAnsi="Times New Roman" w:cs="Times New Roman"/>
          <w:sz w:val="24"/>
          <w:szCs w:val="24"/>
          <w:lang w:val="en-US"/>
        </w:rPr>
        <w:t xml:space="preserve"> need for </w:t>
      </w:r>
      <w:r w:rsidR="00954B5F" w:rsidRPr="0046706F">
        <w:rPr>
          <w:rFonts w:ascii="Times New Roman" w:eastAsia="AdvTimes" w:hAnsi="Times New Roman" w:cs="Times New Roman"/>
          <w:sz w:val="24"/>
          <w:szCs w:val="24"/>
          <w:lang w:val="en-US"/>
        </w:rPr>
        <w:t>appropriate anticoagulation in</w:t>
      </w:r>
      <w:r w:rsidRPr="0046706F">
        <w:rPr>
          <w:rFonts w:ascii="Times New Roman" w:eastAsia="AdvTimes" w:hAnsi="Times New Roman" w:cs="Times New Roman"/>
          <w:sz w:val="24"/>
          <w:szCs w:val="24"/>
          <w:lang w:val="en-US"/>
        </w:rPr>
        <w:t xml:space="preserve"> this patient group. F</w:t>
      </w:r>
      <w:r w:rsidRPr="0046706F">
        <w:rPr>
          <w:rFonts w:ascii="Times New Roman" w:hAnsi="Times New Roman" w:cs="Times New Roman"/>
          <w:sz w:val="24"/>
          <w:szCs w:val="24"/>
          <w:lang w:val="en-US"/>
        </w:rPr>
        <w:t>uture studies examining the optimal antithrombotic treatment strategy in each subgroup of EHRA Type 1 VHD and EHRA Type 2 VHD are needed.</w:t>
      </w:r>
    </w:p>
    <w:p w14:paraId="23EF5DD5" w14:textId="5870CC14" w:rsidR="00BD363C" w:rsidRPr="0046706F" w:rsidRDefault="00BD363C" w:rsidP="00D545E3">
      <w:pPr>
        <w:jc w:val="left"/>
        <w:rPr>
          <w:rFonts w:ascii="Times New Roman" w:eastAsiaTheme="majorEastAsia" w:hAnsi="Times New Roman" w:cs="Times New Roman"/>
          <w:b/>
          <w:bCs/>
          <w:sz w:val="24"/>
          <w:szCs w:val="24"/>
          <w:lang w:val="en-US"/>
        </w:rPr>
      </w:pPr>
    </w:p>
    <w:p w14:paraId="43B221F4" w14:textId="77777777" w:rsidR="00BD363C" w:rsidRPr="0046706F" w:rsidRDefault="00BD363C" w:rsidP="0090686A">
      <w:pPr>
        <w:pStyle w:val="Ingenafstand"/>
        <w:spacing w:line="480" w:lineRule="auto"/>
        <w:jc w:val="both"/>
        <w:rPr>
          <w:rFonts w:ascii="Times New Roman" w:hAnsi="Times New Roman" w:cs="Times New Roman"/>
          <w:sz w:val="24"/>
          <w:szCs w:val="24"/>
          <w:lang w:val="en-US"/>
        </w:rPr>
      </w:pPr>
    </w:p>
    <w:p w14:paraId="114018E8" w14:textId="77777777" w:rsidR="00AB39FF" w:rsidRDefault="00AB39FF">
      <w:pPr>
        <w:jc w:val="left"/>
        <w:rPr>
          <w:rFonts w:ascii="Times New Roman" w:eastAsiaTheme="majorEastAsia" w:hAnsi="Times New Roman" w:cs="Times New Roman"/>
          <w:b/>
          <w:bCs/>
          <w:sz w:val="24"/>
          <w:szCs w:val="24"/>
          <w:lang w:val="en-US"/>
        </w:rPr>
      </w:pPr>
      <w:r>
        <w:rPr>
          <w:rFonts w:ascii="Times New Roman" w:hAnsi="Times New Roman" w:cs="Times New Roman"/>
          <w:sz w:val="24"/>
          <w:szCs w:val="24"/>
          <w:lang w:val="en-US"/>
        </w:rPr>
        <w:br w:type="page"/>
      </w:r>
    </w:p>
    <w:p w14:paraId="0AE8878C" w14:textId="7EE0CDB2" w:rsidR="00EE2E4E" w:rsidRPr="0046706F" w:rsidRDefault="00EE2E4E" w:rsidP="0030608D">
      <w:pPr>
        <w:pStyle w:val="Overskrift2"/>
        <w:spacing w:line="360" w:lineRule="auto"/>
        <w:rPr>
          <w:rFonts w:ascii="Times New Roman" w:hAnsi="Times New Roman" w:cs="Times New Roman"/>
          <w:color w:val="auto"/>
          <w:sz w:val="24"/>
          <w:szCs w:val="24"/>
          <w:lang w:val="en-US"/>
        </w:rPr>
      </w:pPr>
      <w:r w:rsidRPr="0046706F">
        <w:rPr>
          <w:rFonts w:ascii="Times New Roman" w:hAnsi="Times New Roman" w:cs="Times New Roman"/>
          <w:color w:val="auto"/>
          <w:sz w:val="24"/>
          <w:szCs w:val="24"/>
          <w:lang w:val="en-US"/>
        </w:rPr>
        <w:lastRenderedPageBreak/>
        <w:t>References:</w:t>
      </w:r>
    </w:p>
    <w:p w14:paraId="274547DA" w14:textId="1828121B" w:rsidR="00030DD5" w:rsidRPr="00C6500A" w:rsidRDefault="00EE2E4E"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46706F">
        <w:rPr>
          <w:rFonts w:ascii="Times New Roman" w:hAnsi="Times New Roman" w:cs="Times New Roman"/>
          <w:sz w:val="24"/>
          <w:szCs w:val="24"/>
          <w:lang w:val="en-US"/>
        </w:rPr>
        <w:fldChar w:fldCharType="begin" w:fldLock="1"/>
      </w:r>
      <w:r w:rsidRPr="0046706F">
        <w:rPr>
          <w:rFonts w:ascii="Times New Roman" w:hAnsi="Times New Roman" w:cs="Times New Roman"/>
          <w:sz w:val="24"/>
          <w:szCs w:val="24"/>
          <w:lang w:val="en-US"/>
        </w:rPr>
        <w:instrText xml:space="preserve">ADDIN Mendeley Bibliography CSL_BIBLIOGRAPHY </w:instrText>
      </w:r>
      <w:r w:rsidRPr="0046706F">
        <w:rPr>
          <w:rFonts w:ascii="Times New Roman" w:hAnsi="Times New Roman" w:cs="Times New Roman"/>
          <w:sz w:val="24"/>
          <w:szCs w:val="24"/>
          <w:lang w:val="en-US"/>
        </w:rPr>
        <w:fldChar w:fldCharType="separate"/>
      </w:r>
      <w:r w:rsidR="00030DD5" w:rsidRPr="00C6500A">
        <w:rPr>
          <w:rFonts w:ascii="Times New Roman" w:hAnsi="Times New Roman" w:cs="Times New Roman"/>
          <w:noProof/>
          <w:sz w:val="24"/>
          <w:szCs w:val="24"/>
          <w:lang w:val="en-US"/>
        </w:rPr>
        <w:t>[1]</w:t>
      </w:r>
      <w:r w:rsidR="00030DD5" w:rsidRPr="00C6500A">
        <w:rPr>
          <w:rFonts w:ascii="Times New Roman" w:hAnsi="Times New Roman" w:cs="Times New Roman"/>
          <w:noProof/>
          <w:sz w:val="24"/>
          <w:szCs w:val="24"/>
          <w:lang w:val="en-US"/>
        </w:rPr>
        <w:tab/>
        <w:t>P. Kirchhof, B. Ammentorp, H. Darius, R. De Caterina, J.-Y. Le Heuzey, R.J. Schilling, J. Schmitt, J.L. Zamorano, Management of atrial fibrillation in seven European countries after the publication of the 2010 ESC Guidelines on atrial fibrillation: primary results of the PREvention oF thromboemolic events--European Registry in Atrial Fibrillation (PREFER in AF)., Europace. 16 (2014) 6–14.</w:t>
      </w:r>
    </w:p>
    <w:p w14:paraId="27E232AA"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w:t>
      </w:r>
      <w:r w:rsidRPr="00C6500A">
        <w:rPr>
          <w:rFonts w:ascii="Times New Roman" w:hAnsi="Times New Roman" w:cs="Times New Roman"/>
          <w:noProof/>
          <w:sz w:val="24"/>
          <w:szCs w:val="24"/>
          <w:lang w:val="en-US"/>
        </w:rPr>
        <w:tab/>
        <w:t>S.K. Sharma, S.H. Verma, A Clinical Evaluation of Atrial Fibrillation in Rheumatic Heart Disease., J. Assoc. Physicians India. 63 (2015) 22–5.</w:t>
      </w:r>
    </w:p>
    <w:p w14:paraId="2BBE6DA4"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w:t>
      </w:r>
      <w:r w:rsidRPr="00C6500A">
        <w:rPr>
          <w:rFonts w:ascii="Times New Roman" w:hAnsi="Times New Roman" w:cs="Times New Roman"/>
          <w:noProof/>
          <w:sz w:val="24"/>
          <w:szCs w:val="24"/>
          <w:lang w:val="en-US"/>
        </w:rPr>
        <w:tab/>
        <w:t>E. Diker, S. Aydogdu, M. Ozdemir, T. Kural, K. Polat, S. Cehreli, A. Erdogan, S. Göksel, Prevalence and predictors of atrial fibrillation in rheumatic valvular heart disease., Am. J. Cardiol. 77 (1996) 96–8.</w:t>
      </w:r>
    </w:p>
    <w:p w14:paraId="4380E3CD"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[4]</w:t>
      </w:r>
      <w:r w:rsidRPr="00C6500A">
        <w:rPr>
          <w:rFonts w:ascii="Times New Roman" w:hAnsi="Times New Roman" w:cs="Times New Roman"/>
          <w:noProof/>
          <w:sz w:val="24"/>
          <w:szCs w:val="24"/>
          <w:lang w:val="en-US"/>
        </w:rPr>
        <w:tab/>
        <w:t>M. Heras, J.H. Chesebro, V. Fuster, W.J. Penny, D.E. Grill, K.R. Bailey, G.K. Danielson, T.A. Orszulak, J.R. Pluth, F.J. Puga, High risk of thromboemboli early after bioprosthetic cardiac valve replacement., J. Am. Coll. Cardiol. 25 (1995) 1111–9.</w:t>
      </w:r>
    </w:p>
    <w:p w14:paraId="42B0044B"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[5]</w:t>
      </w:r>
      <w:r w:rsidRPr="00C6500A">
        <w:rPr>
          <w:rFonts w:ascii="Times New Roman" w:hAnsi="Times New Roman" w:cs="Times New Roman"/>
          <w:noProof/>
          <w:sz w:val="24"/>
          <w:szCs w:val="24"/>
          <w:lang w:val="en-US"/>
        </w:rPr>
        <w:tab/>
        <w:t>K. Bando, J. Kobayashi, M. Hirata, T. Satoh, K. Niwaya, O. Tagusari, S. Nakatani, T. Yagihara, S. Kitamura, C. Akins, Early and late stroke after mitral valve replacement with a mechanical prosthesis: Risk factor analysis of a 24-year experience, J. Thorac. Cardiovasc. Surg. 126 (2003) 358–364.</w:t>
      </w:r>
    </w:p>
    <w:p w14:paraId="75A17C65"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[6]</w:t>
      </w:r>
      <w:r w:rsidRPr="00C6500A">
        <w:rPr>
          <w:rFonts w:ascii="Times New Roman" w:hAnsi="Times New Roman" w:cs="Times New Roman"/>
          <w:noProof/>
          <w:sz w:val="24"/>
          <w:szCs w:val="24"/>
          <w:lang w:val="en-US"/>
        </w:rPr>
        <w:tab/>
        <w:t>P.A. Wolf, R.D. Abbott, W.B. Kannel, Atrial fibrillation as an independent risk factor for stroke: the Framingham Study, Stroke. 22 (1991) 983–988.</w:t>
      </w:r>
    </w:p>
    <w:p w14:paraId="4F2E3603"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[7]</w:t>
      </w:r>
      <w:r w:rsidRPr="00C6500A">
        <w:rPr>
          <w:rFonts w:ascii="Times New Roman" w:hAnsi="Times New Roman" w:cs="Times New Roman"/>
          <w:noProof/>
          <w:sz w:val="24"/>
          <w:szCs w:val="24"/>
          <w:lang w:val="en-US"/>
        </w:rPr>
        <w:tab/>
        <w:t>L. Fauchier, R. Philippart, N. Clementy, T. Bourguignon, D. Angoulvant, F. Ivanes, D. Babuty, A. Bernard, How to define valvular atrial fibrillation?, Arch. Cardiovasc. Dis. 108 (2015) 530–539.</w:t>
      </w:r>
    </w:p>
    <w:p w14:paraId="3ADAECBA"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[8]</w:t>
      </w:r>
      <w:r w:rsidRPr="00C6500A">
        <w:rPr>
          <w:rFonts w:ascii="Times New Roman" w:hAnsi="Times New Roman" w:cs="Times New Roman"/>
          <w:noProof/>
          <w:sz w:val="24"/>
          <w:szCs w:val="24"/>
          <w:lang w:val="en-US"/>
        </w:rPr>
        <w:tab/>
        <w:t>M. Molteni, H. Polo Friz, L. Primitz, G. Marano, P. Boracchi, C. Cimminiello, The definition of valvular and non-valvular atrial fibrillation: results of a physicians’ survey., Europace. 16 (2014) 1720–5.</w:t>
      </w:r>
    </w:p>
    <w:p w14:paraId="7BB87B07"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[9]</w:t>
      </w:r>
      <w:r w:rsidRPr="00C6500A">
        <w:rPr>
          <w:rFonts w:ascii="Times New Roman" w:hAnsi="Times New Roman" w:cs="Times New Roman"/>
          <w:noProof/>
          <w:sz w:val="24"/>
          <w:szCs w:val="24"/>
          <w:lang w:val="en-US"/>
        </w:rPr>
        <w:tab/>
        <w:t>R. De Caterina, A.J. Camm, What is “valvular” atrial fibrillation? A reappraisal, Eur. Heart J. 35 (2014) 3328–3335.</w:t>
      </w:r>
    </w:p>
    <w:p w14:paraId="6F54A51D"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[10]</w:t>
      </w:r>
      <w:r w:rsidRPr="00C6500A">
        <w:rPr>
          <w:rFonts w:ascii="Times New Roman" w:hAnsi="Times New Roman" w:cs="Times New Roman"/>
          <w:noProof/>
          <w:sz w:val="24"/>
          <w:szCs w:val="24"/>
          <w:lang w:val="en-US"/>
        </w:rPr>
        <w:tab/>
        <w:t xml:space="preserve">T.S. Potpara, G.Y.H. Lip, T.B. Larsen, A. Madrid, D. Dobreanu, E. Jędrzejczyk-Patej, N. </w:t>
      </w:r>
      <w:r w:rsidRPr="00C6500A">
        <w:rPr>
          <w:rFonts w:ascii="Times New Roman" w:hAnsi="Times New Roman" w:cs="Times New Roman"/>
          <w:noProof/>
          <w:sz w:val="24"/>
          <w:szCs w:val="24"/>
          <w:lang w:val="en-US"/>
        </w:rPr>
        <w:lastRenderedPageBreak/>
        <w:t>Dagres, E.H.R.A. conducted by the Scientific Initiatives Committee, Stroke prevention strategies in patients with atrial fibrillation and heart valve abnormalities: perceptions of ‘valvular’ atrial fibrillation: results of the European Heart Rhythm Association Survey, Europace. 18 (2016) 1593–1598.</w:t>
      </w:r>
    </w:p>
    <w:p w14:paraId="1D4F4731"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[11]</w:t>
      </w:r>
      <w:r w:rsidRPr="00C6500A">
        <w:rPr>
          <w:rFonts w:ascii="Times New Roman" w:hAnsi="Times New Roman" w:cs="Times New Roman"/>
          <w:noProof/>
          <w:sz w:val="24"/>
          <w:szCs w:val="24"/>
          <w:lang w:val="en-US"/>
        </w:rPr>
        <w:tab/>
        <w:t>G.Y.H. Lip, J.P. Collet, R. De Caterina, L. Fauchier, D.A. Lane, T.B. Larsen, F. Marin, J. Morais, C. Narasimhan, B. Olshansky, L. Pierard, Antithrombotic therapy in atrial fibrillation associated with valvular heart disease : A joint consensus document from the European Heart Rhythm Association (EHRA) and European Society of Cardiology Working Group on Thrombosis , endorsed by the ESC Work, Europace. 19 (2017) 1757–1758.</w:t>
      </w:r>
    </w:p>
    <w:p w14:paraId="056AEDCF"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[12]</w:t>
      </w:r>
      <w:r w:rsidRPr="00C6500A">
        <w:rPr>
          <w:rFonts w:ascii="Times New Roman" w:hAnsi="Times New Roman" w:cs="Times New Roman"/>
          <w:noProof/>
          <w:sz w:val="24"/>
          <w:szCs w:val="24"/>
          <w:lang w:val="en-US"/>
        </w:rPr>
        <w:tab/>
        <w:t>G.Y.H. Lip, M. Jensen, L. Melgaard, F. Skjøth, P.B. Nielsen, T.B. Larsen, Stroke and bleeding risk scores in patients with atrial fibrillation and valvular heart disease: Evaluating “valvular heart disease” in a nationwide cohort study, Europace. 21 (2019) 33–40.</w:t>
      </w:r>
    </w:p>
    <w:p w14:paraId="7231CADB"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[13]</w:t>
      </w:r>
      <w:r w:rsidRPr="00C6500A">
        <w:rPr>
          <w:rFonts w:ascii="Times New Roman" w:hAnsi="Times New Roman" w:cs="Times New Roman"/>
          <w:noProof/>
          <w:sz w:val="24"/>
          <w:szCs w:val="24"/>
          <w:lang w:val="en-US"/>
        </w:rPr>
        <w:tab/>
        <w:t>A. Bisson, A. Bodin, N. Clementy, A. Bernard, D. Babuty, G.Y.H. Lip, L. Fauchier, Stroke, thromboembolism and bleeding in patients with atrial fibrillation according to the EHRA valvular heart disease classification, Int. J. Cardiol. 260 (2018) 93–98.</w:t>
      </w:r>
    </w:p>
    <w:p w14:paraId="7B401749"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[14]</w:t>
      </w:r>
      <w:r w:rsidRPr="00C6500A">
        <w:rPr>
          <w:rFonts w:ascii="Times New Roman" w:hAnsi="Times New Roman" w:cs="Times New Roman"/>
          <w:noProof/>
          <w:sz w:val="24"/>
          <w:szCs w:val="24"/>
          <w:lang w:val="en-US"/>
        </w:rPr>
        <w:tab/>
        <w:t>C.B.C. Pedersen, The Danish Civil Registration System., Scand. J. Public Health. 39 (2011) 22–25.</w:t>
      </w:r>
    </w:p>
    <w:p w14:paraId="64CA42BB"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[15]</w:t>
      </w:r>
      <w:r w:rsidRPr="00C6500A">
        <w:rPr>
          <w:rFonts w:ascii="Times New Roman" w:hAnsi="Times New Roman" w:cs="Times New Roman"/>
          <w:noProof/>
          <w:sz w:val="24"/>
          <w:szCs w:val="24"/>
          <w:lang w:val="en-US"/>
        </w:rPr>
        <w:tab/>
        <w:t>H.W. Kildemoes, H.T. Sørensen, J. Hallas, The Danish National Prescription Registry., Scand. J. Public Health. 39 (2011) 38–41.</w:t>
      </w:r>
    </w:p>
    <w:p w14:paraId="3E6ED979"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[16]</w:t>
      </w:r>
      <w:r w:rsidRPr="00C6500A">
        <w:rPr>
          <w:rFonts w:ascii="Times New Roman" w:hAnsi="Times New Roman" w:cs="Times New Roman"/>
          <w:noProof/>
          <w:sz w:val="24"/>
          <w:szCs w:val="24"/>
          <w:lang w:val="en-US"/>
        </w:rPr>
        <w:tab/>
        <w:t>E. Lynge, J. Sandegaard, M. Rebolj, The Danish National Patient Register., Scand. J. Public Health. 39 (2011) 30–33.</w:t>
      </w:r>
    </w:p>
    <w:p w14:paraId="3D99D31F"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[17]</w:t>
      </w:r>
      <w:r w:rsidRPr="00C6500A">
        <w:rPr>
          <w:rFonts w:ascii="Times New Roman" w:hAnsi="Times New Roman" w:cs="Times New Roman"/>
          <w:noProof/>
          <w:sz w:val="24"/>
          <w:szCs w:val="24"/>
          <w:lang w:val="en-US"/>
        </w:rPr>
        <w:tab/>
        <w:t>P. Lühdorf, K. Overvad, E.B. Schmidt, S.P. Johnsen, F.W. Bach, Predictive value of stroke discharge diagnoses in the Danish National Patient Register, Scand. J. Public Health. 45 (2017) 630–636.</w:t>
      </w:r>
    </w:p>
    <w:p w14:paraId="51450FC5"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[18]</w:t>
      </w:r>
      <w:r w:rsidRPr="00C6500A">
        <w:rPr>
          <w:rFonts w:ascii="Times New Roman" w:hAnsi="Times New Roman" w:cs="Times New Roman"/>
          <w:noProof/>
          <w:sz w:val="24"/>
          <w:szCs w:val="24"/>
          <w:lang w:val="en-US"/>
        </w:rPr>
        <w:tab/>
        <w:t>V. Coviello, M. Boggess, Cumulative incidence estimation in the presence of competing risks, Stata J. 4 (2004) 103–112.</w:t>
      </w:r>
    </w:p>
    <w:p w14:paraId="617AEBA8"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[19]</w:t>
      </w:r>
      <w:r w:rsidRPr="00C6500A">
        <w:rPr>
          <w:rFonts w:ascii="Times New Roman" w:hAnsi="Times New Roman" w:cs="Times New Roman"/>
          <w:noProof/>
          <w:sz w:val="24"/>
          <w:szCs w:val="24"/>
          <w:lang w:val="en-US"/>
        </w:rPr>
        <w:tab/>
        <w:t xml:space="preserve">R. Philippart, A. Brunet-Bernard, N. Clementy, T. Bourguignon, A. Mirza, D. Babuty, D. Angoulvant, G.Y.H. Lip, L. Fauchier, Prognostic value of CHA2DS2-VASc score in patients with “non-valvular atrial fibrillation” and valvular heart disease: The Loire Valley Atrial </w:t>
      </w:r>
      <w:r w:rsidRPr="00C6500A">
        <w:rPr>
          <w:rFonts w:ascii="Times New Roman" w:hAnsi="Times New Roman" w:cs="Times New Roman"/>
          <w:noProof/>
          <w:sz w:val="24"/>
          <w:szCs w:val="24"/>
          <w:lang w:val="en-US"/>
        </w:rPr>
        <w:lastRenderedPageBreak/>
        <w:t>Fibrillation Project, Eur. Heart J. 36 (2015) 1822–1830.</w:t>
      </w:r>
    </w:p>
    <w:p w14:paraId="43AF65DF"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[20]</w:t>
      </w:r>
      <w:r w:rsidRPr="00C6500A">
        <w:rPr>
          <w:rFonts w:ascii="Times New Roman" w:hAnsi="Times New Roman" w:cs="Times New Roman"/>
          <w:noProof/>
          <w:sz w:val="24"/>
          <w:szCs w:val="24"/>
          <w:lang w:val="en-US"/>
        </w:rPr>
        <w:tab/>
        <w:t>Y. Wada, K. Mizushige, K. Ohmori, Y. Iwado, M. Kohno, H. Matsuo, Prevention of Cerebral Thromboembolism by Low-Dose Anticoagulant Therapy in Atrial Fibrillation with Mitral Regurgitation, J Cardiovasc Pharmacol. 37 (2001) 422–426.</w:t>
      </w:r>
    </w:p>
    <w:p w14:paraId="3AE3EDAF"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[21]</w:t>
      </w:r>
      <w:r w:rsidRPr="00C6500A">
        <w:rPr>
          <w:rFonts w:ascii="Times New Roman" w:hAnsi="Times New Roman" w:cs="Times New Roman"/>
          <w:noProof/>
          <w:sz w:val="24"/>
          <w:szCs w:val="24"/>
          <w:lang w:val="en-US"/>
        </w:rPr>
        <w:tab/>
        <w:t>A. Bisson, A. Bernard, A. Bodin, N. Clementy, D. Babuty, G.Y.H. Lip, L. Fauchier, Stroke and Thromboembolism in Patients With Atrial Fibrillation and Mitral Regurgitation, Circ. Arrhythmia Electrophysiol. 12 (2019) 1–3.</w:t>
      </w:r>
    </w:p>
    <w:p w14:paraId="55222BF6"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[22]</w:t>
      </w:r>
      <w:r w:rsidRPr="00C6500A">
        <w:rPr>
          <w:rFonts w:ascii="Times New Roman" w:hAnsi="Times New Roman" w:cs="Times New Roman"/>
          <w:noProof/>
          <w:sz w:val="24"/>
          <w:szCs w:val="24"/>
          <w:lang w:val="en-US"/>
        </w:rPr>
        <w:tab/>
        <w:t>A. Banerjee, V. Allan, S. Denaxas, A. Shah, D. Kotecha, P.D. Lambiase, J. Jacob, L.H. Lund, H. Hemingway, Subtypes of atrial fibrillation with concomitant valvular heart disease derived from electronic health records : phenotypes , population prevalence , trends and prognosis, Europace. 220 (2019) 1–9.</w:t>
      </w:r>
    </w:p>
    <w:p w14:paraId="1AFD70F5"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[23]</w:t>
      </w:r>
      <w:r w:rsidRPr="00C6500A">
        <w:rPr>
          <w:rFonts w:ascii="Times New Roman" w:hAnsi="Times New Roman" w:cs="Times New Roman"/>
          <w:noProof/>
          <w:sz w:val="24"/>
          <w:szCs w:val="24"/>
          <w:lang w:val="en-US"/>
        </w:rPr>
        <w:tab/>
        <w:t>K. Doi, H. Ogawa, K. Ishigami, S. Ikeda, Y. Aono, Y. Hamatani, O. behalf of the F.A.R. Investigators, Impact of Valvular Heart Disease on Mortality, Thromboembolic and Cardiac Events in Japanese Patients With Atrial Fibrillation - The Fushimi AF Registry, Circ. J. (2020) Epub ahead of print.</w:t>
      </w:r>
    </w:p>
    <w:p w14:paraId="07E332C3"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[24]</w:t>
      </w:r>
      <w:r w:rsidRPr="00C6500A">
        <w:rPr>
          <w:rFonts w:ascii="Times New Roman" w:hAnsi="Times New Roman" w:cs="Times New Roman"/>
          <w:noProof/>
          <w:sz w:val="24"/>
          <w:szCs w:val="24"/>
          <w:lang w:val="en-US"/>
        </w:rPr>
        <w:tab/>
        <w:t>H.D. White, M. Gruber, J. Feyzi, S. Kaatz, H.-F. Tse, S. Husted, G.W. Albers, Comparison of outcomes among patients randomized to warfarin therapy according to anticoagulant control: results from SPORTIF III and V., Arch. Intern. Med. 167 (2007) 239–245.</w:t>
      </w:r>
    </w:p>
    <w:p w14:paraId="321F0874"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[25]</w:t>
      </w:r>
      <w:r w:rsidRPr="00C6500A">
        <w:rPr>
          <w:rFonts w:ascii="Times New Roman" w:hAnsi="Times New Roman" w:cs="Times New Roman"/>
          <w:noProof/>
          <w:sz w:val="24"/>
          <w:szCs w:val="24"/>
          <w:lang w:val="en-US"/>
        </w:rPr>
        <w:tab/>
        <w:t>J. Strange, C. Sindet-Pedersen, L. Staerk, E. Grove, T. Gerds, C. Torp-Pedersen, G. Gislason, J. Olesen, All-cause mortality, stroke, and bleeding in patients with atrial fibrillation and valvular heart disease, Eur. Hear. J. - Cardiovasc. Pharmacother. Feb 17 (2020) pvaa011.</w:t>
      </w:r>
    </w:p>
    <w:p w14:paraId="6B942B05"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[26]</w:t>
      </w:r>
      <w:r w:rsidRPr="00C6500A">
        <w:rPr>
          <w:rFonts w:ascii="Times New Roman" w:hAnsi="Times New Roman" w:cs="Times New Roman"/>
          <w:noProof/>
          <w:sz w:val="24"/>
          <w:szCs w:val="24"/>
          <w:lang w:val="en-US"/>
        </w:rPr>
        <w:tab/>
        <w:t>P.A. Noseworthy, X. Yao, N. Shah, B. Gersh, Comparative effectiveness and safety of non-vitamin k antagonist oral anticoagulants versus warfarin in patients with atrial fibrillation and valvular heart disease, Int. J. Cardiol. 209 (2016) 181–183.</w:t>
      </w:r>
    </w:p>
    <w:p w14:paraId="2E4359B3"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[27]</w:t>
      </w:r>
      <w:r w:rsidRPr="00C6500A">
        <w:rPr>
          <w:rFonts w:ascii="Times New Roman" w:hAnsi="Times New Roman" w:cs="Times New Roman"/>
          <w:noProof/>
          <w:sz w:val="24"/>
          <w:szCs w:val="24"/>
          <w:lang w:val="en-US"/>
        </w:rPr>
        <w:tab/>
        <w:t>A. Briasoulis, C. Inampudi, E. Akintoye, P. Alvarez, S. Panaich, M. Vaughan-Sarrazin, Safety and efficacy of novel oral anticoagulants versus warfarin in medicare beneficiaries with atrial fibrillation and valvular heart disease, J. Am. Heart Assoc. 7 (2018) e008773.</w:t>
      </w:r>
    </w:p>
    <w:p w14:paraId="68D4FDAB"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[28]</w:t>
      </w:r>
      <w:r w:rsidRPr="00C6500A">
        <w:rPr>
          <w:rFonts w:ascii="Times New Roman" w:hAnsi="Times New Roman" w:cs="Times New Roman"/>
          <w:noProof/>
          <w:sz w:val="24"/>
          <w:szCs w:val="24"/>
          <w:lang w:val="en-US"/>
        </w:rPr>
        <w:tab/>
        <w:t xml:space="preserve">M. Hampton, K. Tellor, A. Armbruster, G. Theodos, M. Schwarze, Evaluation of the safety and effectiveness of direct-acting oral anticoagulants in patients with atrial fibrillation and </w:t>
      </w:r>
      <w:r w:rsidRPr="00C6500A">
        <w:rPr>
          <w:rFonts w:ascii="Times New Roman" w:hAnsi="Times New Roman" w:cs="Times New Roman"/>
          <w:noProof/>
          <w:sz w:val="24"/>
          <w:szCs w:val="24"/>
          <w:lang w:val="en-US"/>
        </w:rPr>
        <w:lastRenderedPageBreak/>
        <w:t>coexisting valvular heart disease, Am. J. Cardiovasc. Drugs. Feb 11 (2020) [Epub ahead of print].</w:t>
      </w:r>
    </w:p>
    <w:p w14:paraId="4E147A90"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[29]</w:t>
      </w:r>
      <w:r w:rsidRPr="00C6500A">
        <w:rPr>
          <w:rFonts w:ascii="Times New Roman" w:hAnsi="Times New Roman" w:cs="Times New Roman"/>
          <w:noProof/>
          <w:sz w:val="24"/>
          <w:szCs w:val="24"/>
          <w:lang w:val="en-US"/>
        </w:rPr>
        <w:tab/>
        <w:t>R. De Caterina, G. Renda, A.P. Carnicelli, F. Nordio, M. Trevisan, M.F. Mercuri, C.T. Ruff, E.M. Antman, E. Braunwald, R.P. Giugliano, Valvular Heart Disease Patients on Edoxaban or Warfarin in the ENGAGE AF-TIMI 48 Trial, J. Am. Coll. Cardiol. 69 (2017) 1372–1382.</w:t>
      </w:r>
    </w:p>
    <w:p w14:paraId="02AEC04E"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[30]</w:t>
      </w:r>
      <w:r w:rsidRPr="00C6500A">
        <w:rPr>
          <w:rFonts w:ascii="Times New Roman" w:hAnsi="Times New Roman" w:cs="Times New Roman"/>
          <w:noProof/>
          <w:sz w:val="24"/>
          <w:szCs w:val="24"/>
          <w:lang w:val="en-US"/>
        </w:rPr>
        <w:tab/>
        <w:t>G. Breithardt, H. Baumgartner, S.D. Berkowitz, A.S. Hellkamp, J.P. Piccini, Y. Lokhnygina, J.L. Halperin, D.E. Singer, G.J. Hankey, W. Hacke, R.C. Becker, C.C. Nessel, K.W. Mahaffey, R.M. Califf, K.A.A. Fox, M.R. Patel, Native valve disease in patients with non-valvular atrial fibrillation on warfarin or rivaroxaban, Heart. 102 (2016) 1036–1043.</w:t>
      </w:r>
    </w:p>
    <w:p w14:paraId="05142996"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[31]</w:t>
      </w:r>
      <w:r w:rsidRPr="00C6500A">
        <w:rPr>
          <w:rFonts w:ascii="Times New Roman" w:hAnsi="Times New Roman" w:cs="Times New Roman"/>
          <w:noProof/>
          <w:sz w:val="24"/>
          <w:szCs w:val="24"/>
          <w:lang w:val="en-US"/>
        </w:rPr>
        <w:tab/>
        <w:t>A. Avezum, R.D. Lopes, P.J. Schulte, F. Lanas, B.J. Gersh, M. Hanna, P. Pais, C. Erol, R. Diaz, M.C. Bahit, J. Bartunek, R. De Caterina, S. Goto, W. Ruzyllo, J. Zhu, C.B. Granger, J.H. Alexander, Apixaban in comparison with warfarin in patients with atrial fibrillation and valvular heart disease: Findings From the Apixaban for Reduction in Stroke and Other Thromboembolic Events in Atrial Fibrillation (Aristotle) trial, Circulation. 132 (2015) 624–632.</w:t>
      </w:r>
    </w:p>
    <w:p w14:paraId="718C0A47"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[32]</w:t>
      </w:r>
      <w:r w:rsidRPr="00C6500A">
        <w:rPr>
          <w:rFonts w:ascii="Times New Roman" w:hAnsi="Times New Roman" w:cs="Times New Roman"/>
          <w:noProof/>
          <w:sz w:val="24"/>
          <w:szCs w:val="24"/>
          <w:lang w:val="en-US"/>
        </w:rPr>
        <w:tab/>
        <w:t>Moon, Lee, Choi, Lee, Jung, Han, Cha, Oh, Lip, Non-Vitamin K Antagonist Oral Anticoagulants in Patients with Atrial Fibrillation and Valvular Heart Disease, J. Clin. Med. 8 (2019) 1624.</w:t>
      </w:r>
    </w:p>
    <w:p w14:paraId="24732BC3"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[33]</w:t>
      </w:r>
      <w:r w:rsidRPr="00C6500A">
        <w:rPr>
          <w:rFonts w:ascii="Times New Roman" w:hAnsi="Times New Roman" w:cs="Times New Roman"/>
          <w:noProof/>
          <w:sz w:val="24"/>
          <w:szCs w:val="24"/>
          <w:lang w:val="en-US"/>
        </w:rPr>
        <w:tab/>
        <w:t>G. Renda, F. Ricci, R. Giugliano, R. De Caterina, Non-vitamin K antagonist oral anticoagulants in patients with atrial fibrillation and valvular heart disease, J. Am. Coll. Cardiol. 69 (2017) 1363–1371.</w:t>
      </w:r>
    </w:p>
    <w:p w14:paraId="7162AAA2"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[34]</w:t>
      </w:r>
      <w:r w:rsidRPr="00C6500A">
        <w:rPr>
          <w:rFonts w:ascii="Times New Roman" w:hAnsi="Times New Roman" w:cs="Times New Roman"/>
          <w:noProof/>
          <w:sz w:val="24"/>
          <w:szCs w:val="24"/>
          <w:lang w:val="en-US"/>
        </w:rPr>
        <w:tab/>
        <w:t>K.C. Siontis, X. Yao, B.J. Gersh, P.A. Noseworthy, Direct oral anticoagulants in patients with atrial fibrillation and valvular heart disease other than significant mitral stenosis and mechanical valves - a meta-analysis, Circulation. 135 (2017) 714–716.</w:t>
      </w:r>
    </w:p>
    <w:p w14:paraId="7138FE09"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[35]</w:t>
      </w:r>
      <w:r w:rsidRPr="00C6500A">
        <w:rPr>
          <w:rFonts w:ascii="Times New Roman" w:hAnsi="Times New Roman" w:cs="Times New Roman"/>
          <w:noProof/>
          <w:sz w:val="24"/>
          <w:szCs w:val="24"/>
          <w:lang w:val="en-US"/>
        </w:rPr>
        <w:tab/>
        <w:t>K.-L. Pan, D.E. Singer, B. Ovbiagele, Y.-L. Wu, M. Ahmed, M. Lee, Effects of non-vitamin K antagonist oral anticoagulants versus warfarin in patients with atrial fibrillation and valvular heart disease: A systematic review and meta-analysis, J. Am. Heart Assoc. 6 (2017) e005835.</w:t>
      </w:r>
    </w:p>
    <w:p w14:paraId="3276A2C5"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[36]</w:t>
      </w:r>
      <w:r w:rsidRPr="00C6500A">
        <w:rPr>
          <w:rFonts w:ascii="Times New Roman" w:hAnsi="Times New Roman" w:cs="Times New Roman"/>
          <w:noProof/>
          <w:sz w:val="24"/>
          <w:szCs w:val="24"/>
          <w:lang w:val="en-US"/>
        </w:rPr>
        <w:tab/>
        <w:t>R. Owens, R. Kabra, C. Oliphant, Direct oral anticoagulant use in nonvalvular atrial fibrillation with valvular heart disease: a systematic review, Clin. Cardiol. 40 (2017) 407–412.</w:t>
      </w:r>
    </w:p>
    <w:p w14:paraId="0C4F3104"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[37]</w:t>
      </w:r>
      <w:r w:rsidRPr="00C6500A">
        <w:rPr>
          <w:rFonts w:ascii="Times New Roman" w:hAnsi="Times New Roman" w:cs="Times New Roman"/>
          <w:noProof/>
          <w:sz w:val="24"/>
          <w:szCs w:val="24"/>
          <w:lang w:val="en-US"/>
        </w:rPr>
        <w:tab/>
        <w:t xml:space="preserve">L. Melgaard, T.F. Overvad, M. Jensen, G.Y.H. Lip, T.B. Larsen, P.B. Nielsen, </w:t>
      </w:r>
      <w:r w:rsidRPr="00C6500A">
        <w:rPr>
          <w:rFonts w:ascii="Times New Roman" w:hAnsi="Times New Roman" w:cs="Times New Roman"/>
          <w:noProof/>
          <w:sz w:val="24"/>
          <w:szCs w:val="24"/>
          <w:lang w:val="en-US"/>
        </w:rPr>
        <w:lastRenderedPageBreak/>
        <w:t>Thromboembolism and bleeding complications in anticoagulated patients with atrial fibrillation and native aortic or mitral valvular heart disease: A descriptive nationwide cohort study, Eur. Hear. J. - Cardiovasc. Pharmacother. (2020) Epub ahead of print.</w:t>
      </w:r>
    </w:p>
    <w:p w14:paraId="55182AF0"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[38]</w:t>
      </w:r>
      <w:r w:rsidRPr="00C6500A">
        <w:rPr>
          <w:rFonts w:ascii="Times New Roman" w:hAnsi="Times New Roman" w:cs="Times New Roman"/>
          <w:noProof/>
          <w:sz w:val="24"/>
          <w:szCs w:val="24"/>
          <w:lang w:val="en-US"/>
        </w:rPr>
        <w:tab/>
        <w:t>S. Thygesen, C. Christiansen, S. Christensen, T. Lash, H. Sørensen, The predictive value of ICD-10 diagnostic coding used to assess Charlson comorbidity index conditions in the population-based Danish National Registry of Patients., BMC Med. Res. Methodol. 11 (2011) 83.</w:t>
      </w:r>
    </w:p>
    <w:p w14:paraId="1B3413C7"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[39]</w:t>
      </w:r>
      <w:r w:rsidRPr="00C6500A">
        <w:rPr>
          <w:rFonts w:ascii="Times New Roman" w:hAnsi="Times New Roman" w:cs="Times New Roman"/>
          <w:noProof/>
          <w:sz w:val="24"/>
          <w:szCs w:val="24"/>
          <w:lang w:val="en-US"/>
        </w:rPr>
        <w:tab/>
        <w:t>T.A. Rix, S. Riahi, K. Overvad, S. Lundbye-Christensen, E.B. Schmidt, A.M. Joensen, Validity of the diagnoses atrial fibrillation and atrial flutter in a Danish patient registry., Scand Cardiovasc J. 46 (2012) 149–153.</w:t>
      </w:r>
    </w:p>
    <w:p w14:paraId="37E783EC"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[40]</w:t>
      </w:r>
      <w:r w:rsidRPr="00C6500A">
        <w:rPr>
          <w:rFonts w:ascii="Times New Roman" w:hAnsi="Times New Roman" w:cs="Times New Roman"/>
          <w:noProof/>
          <w:sz w:val="24"/>
          <w:szCs w:val="24"/>
          <w:lang w:val="en-US"/>
        </w:rPr>
        <w:tab/>
        <w:t>J. Sundbøll, K. Adelborg, T. Munch, T. Frøslev, H.T. Sørensen, H.E. Bøtker, M. Schmidt, Positive predictive value of cardiovascular diagnoses in the Danish National Patient Registry: a validation study, BMJ Open. 6 (2016) e012832.</w:t>
      </w:r>
    </w:p>
    <w:p w14:paraId="47BCCB47"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6500A">
        <w:rPr>
          <w:rFonts w:ascii="Times New Roman" w:hAnsi="Times New Roman" w:cs="Times New Roman"/>
          <w:noProof/>
          <w:sz w:val="24"/>
          <w:szCs w:val="24"/>
          <w:lang w:val="en-US"/>
        </w:rPr>
        <w:t>[41]</w:t>
      </w:r>
      <w:r w:rsidRPr="00C6500A">
        <w:rPr>
          <w:rFonts w:ascii="Times New Roman" w:hAnsi="Times New Roman" w:cs="Times New Roman"/>
          <w:noProof/>
          <w:sz w:val="24"/>
          <w:szCs w:val="24"/>
          <w:lang w:val="en-US"/>
        </w:rPr>
        <w:tab/>
        <w:t>N. McCormick, V. Bhole, D. Lacaille, J.A. Avina-Zubieta, Validity of diagnostic codes for acute stroke in administrative databases: a systematic review, PLoS One. 10 (2015) e0135834.</w:t>
      </w:r>
    </w:p>
    <w:p w14:paraId="30CF34C4" w14:textId="77777777" w:rsidR="00030DD5" w:rsidRPr="00C6500A" w:rsidRDefault="00030DD5" w:rsidP="00030DD5">
      <w:pPr>
        <w:widowControl w:val="0"/>
        <w:autoSpaceDE w:val="0"/>
        <w:autoSpaceDN w:val="0"/>
        <w:adjustRightInd w:val="0"/>
        <w:spacing w:line="360" w:lineRule="auto"/>
        <w:ind w:left="640" w:hanging="640"/>
        <w:rPr>
          <w:rFonts w:ascii="Times New Roman" w:hAnsi="Times New Roman" w:cs="Times New Roman"/>
          <w:noProof/>
          <w:sz w:val="24"/>
          <w:lang w:val="en-US"/>
        </w:rPr>
      </w:pPr>
      <w:r w:rsidRPr="00C6500A">
        <w:rPr>
          <w:rFonts w:ascii="Times New Roman" w:hAnsi="Times New Roman" w:cs="Times New Roman"/>
          <w:noProof/>
          <w:sz w:val="24"/>
          <w:szCs w:val="24"/>
          <w:lang w:val="en-US"/>
        </w:rPr>
        <w:t>[42]</w:t>
      </w:r>
      <w:r w:rsidRPr="00C6500A">
        <w:rPr>
          <w:rFonts w:ascii="Times New Roman" w:hAnsi="Times New Roman" w:cs="Times New Roman"/>
          <w:noProof/>
          <w:sz w:val="24"/>
          <w:szCs w:val="24"/>
          <w:lang w:val="en-US"/>
        </w:rPr>
        <w:tab/>
        <w:t>L. Krarup, G. Boysen, H. Janjua, E. Prescott, T. Truelsen, Validity of stroke diagnoses in a National Register of Patients., Neuroepidemiology. 28 (2007) 150–154.</w:t>
      </w:r>
    </w:p>
    <w:p w14:paraId="4C93EE26" w14:textId="2679A517" w:rsidR="000E59A3" w:rsidRDefault="00EE2E4E" w:rsidP="00A74017">
      <w:pPr>
        <w:widowControl w:val="0"/>
        <w:autoSpaceDE w:val="0"/>
        <w:autoSpaceDN w:val="0"/>
        <w:adjustRightInd w:val="0"/>
        <w:spacing w:line="360" w:lineRule="auto"/>
        <w:ind w:left="640" w:hanging="640"/>
        <w:rPr>
          <w:rFonts w:ascii="Times New Roman" w:hAnsi="Times New Roman" w:cs="Times New Roman"/>
          <w:sz w:val="24"/>
          <w:szCs w:val="24"/>
          <w:lang w:val="en-US"/>
        </w:rPr>
      </w:pPr>
      <w:r w:rsidRPr="0046706F">
        <w:rPr>
          <w:rFonts w:ascii="Times New Roman" w:hAnsi="Times New Roman" w:cs="Times New Roman"/>
          <w:sz w:val="24"/>
          <w:szCs w:val="24"/>
          <w:lang w:val="en-US"/>
        </w:rPr>
        <w:fldChar w:fldCharType="end"/>
      </w:r>
    </w:p>
    <w:p w14:paraId="3F2CE66C" w14:textId="38908FF5" w:rsidR="006A2CD7" w:rsidRDefault="006A2CD7">
      <w:pPr>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D9FAFD" w14:textId="77777777" w:rsidR="006A2CD7" w:rsidRDefault="006A2CD7" w:rsidP="00A74017">
      <w:pPr>
        <w:widowControl w:val="0"/>
        <w:autoSpaceDE w:val="0"/>
        <w:autoSpaceDN w:val="0"/>
        <w:adjustRightInd w:val="0"/>
        <w:spacing w:line="360" w:lineRule="auto"/>
        <w:ind w:left="640" w:hanging="640"/>
        <w:rPr>
          <w:rFonts w:ascii="Times New Roman" w:hAnsi="Times New Roman" w:cs="Times New Roman"/>
          <w:sz w:val="24"/>
          <w:szCs w:val="24"/>
          <w:lang w:val="en-US"/>
        </w:rPr>
        <w:sectPr w:rsidR="006A2CD7" w:rsidSect="00883317">
          <w:footerReference w:type="even" r:id="rId9"/>
          <w:footerReference w:type="default" r:id="rId10"/>
          <w:pgSz w:w="11906" w:h="16838"/>
          <w:pgMar w:top="1440" w:right="1077" w:bottom="1440" w:left="1077" w:header="709" w:footer="709" w:gutter="0"/>
          <w:cols w:space="708"/>
          <w:docGrid w:linePitch="360"/>
        </w:sectPr>
      </w:pPr>
    </w:p>
    <w:p w14:paraId="79491A88" w14:textId="77777777" w:rsidR="006A2CD7" w:rsidRPr="00F50FB7" w:rsidRDefault="006A2CD7" w:rsidP="006A2CD7">
      <w:pPr>
        <w:rPr>
          <w:rFonts w:ascii="Times New Roman" w:eastAsia="Calibri" w:hAnsi="Times New Roman" w:cs="Times New Roman"/>
          <w:sz w:val="24"/>
          <w:szCs w:val="24"/>
          <w:lang w:val="en-US"/>
        </w:rPr>
      </w:pPr>
      <w:r w:rsidRPr="00104FC2">
        <w:rPr>
          <w:rFonts w:ascii="Times New Roman" w:eastAsia="Calibri" w:hAnsi="Times New Roman" w:cs="Times New Roman"/>
          <w:b/>
          <w:sz w:val="24"/>
          <w:szCs w:val="24"/>
          <w:lang w:val="en-US"/>
        </w:rPr>
        <w:lastRenderedPageBreak/>
        <w:t>Table 1</w:t>
      </w:r>
      <w:r w:rsidRPr="00104FC2">
        <w:rPr>
          <w:rFonts w:ascii="Times New Roman" w:eastAsia="Calibri" w:hAnsi="Times New Roman" w:cs="Times New Roman"/>
          <w:sz w:val="24"/>
          <w:szCs w:val="24"/>
          <w:lang w:val="en-US"/>
        </w:rPr>
        <w:t>. Baseline characteristics of patients according to subgroups of EHRA Type 1 VHD and EHRA Type 2 VHD.</w:t>
      </w:r>
    </w:p>
    <w:tbl>
      <w:tblPr>
        <w:tblStyle w:val="Tabel-Gitter1"/>
        <w:tblW w:w="16594" w:type="dxa"/>
        <w:jc w:val="center"/>
        <w:tblLayout w:type="fixed"/>
        <w:tblLook w:val="04A0" w:firstRow="1" w:lastRow="0" w:firstColumn="1" w:lastColumn="0" w:noHBand="0" w:noVBand="1"/>
      </w:tblPr>
      <w:tblGrid>
        <w:gridCol w:w="426"/>
        <w:gridCol w:w="2557"/>
        <w:gridCol w:w="1417"/>
        <w:gridCol w:w="1701"/>
        <w:gridCol w:w="1701"/>
        <w:gridCol w:w="1420"/>
        <w:gridCol w:w="1418"/>
        <w:gridCol w:w="1417"/>
        <w:gridCol w:w="1560"/>
        <w:gridCol w:w="1560"/>
        <w:gridCol w:w="1417"/>
      </w:tblGrid>
      <w:tr w:rsidR="003E368E" w:rsidRPr="00F50FB7" w14:paraId="07A4DCC9" w14:textId="77777777" w:rsidTr="004041DA">
        <w:trPr>
          <w:trHeight w:val="470"/>
          <w:jc w:val="center"/>
        </w:trPr>
        <w:tc>
          <w:tcPr>
            <w:tcW w:w="2983" w:type="dxa"/>
            <w:gridSpan w:val="2"/>
            <w:tcBorders>
              <w:bottom w:val="single" w:sz="4" w:space="0" w:color="auto"/>
              <w:right w:val="nil"/>
            </w:tcBorders>
            <w:vAlign w:val="center"/>
          </w:tcPr>
          <w:p w14:paraId="6DA1F493" w14:textId="77777777" w:rsidR="003E368E" w:rsidRPr="00F50FB7" w:rsidRDefault="003E368E" w:rsidP="007D77D4">
            <w:pPr>
              <w:spacing w:before="240" w:line="360" w:lineRule="auto"/>
              <w:rPr>
                <w:rFonts w:ascii="Times New Roman" w:eastAsia="Calibri" w:hAnsi="Times New Roman" w:cs="Times New Roman"/>
                <w:i/>
                <w:sz w:val="20"/>
                <w:szCs w:val="20"/>
                <w:lang w:val="en-US"/>
              </w:rPr>
            </w:pPr>
            <w:r w:rsidRPr="00F50FB7">
              <w:rPr>
                <w:rFonts w:ascii="Times New Roman" w:eastAsia="Calibri" w:hAnsi="Times New Roman" w:cs="Times New Roman"/>
                <w:i/>
                <w:sz w:val="20"/>
                <w:szCs w:val="20"/>
                <w:lang w:val="en-US"/>
              </w:rPr>
              <w:t>EHRA categorization</w:t>
            </w:r>
          </w:p>
        </w:tc>
        <w:tc>
          <w:tcPr>
            <w:tcW w:w="4819" w:type="dxa"/>
            <w:gridSpan w:val="3"/>
            <w:tcBorders>
              <w:right w:val="nil"/>
            </w:tcBorders>
          </w:tcPr>
          <w:p w14:paraId="793099B2" w14:textId="6A4ECBAD" w:rsidR="003E368E" w:rsidRPr="00F50FB7" w:rsidRDefault="003E368E" w:rsidP="007D77D4">
            <w:pPr>
              <w:spacing w:before="240" w:line="360" w:lineRule="auto"/>
              <w:jc w:val="center"/>
              <w:rPr>
                <w:rFonts w:ascii="Times New Roman" w:eastAsia="Calibri" w:hAnsi="Times New Roman" w:cs="Times New Roman"/>
                <w:b/>
                <w:sz w:val="20"/>
                <w:szCs w:val="20"/>
                <w:lang w:val="en-US"/>
              </w:rPr>
            </w:pPr>
            <w:r w:rsidRPr="00F50FB7">
              <w:rPr>
                <w:rFonts w:ascii="Times New Roman" w:eastAsia="Calibri" w:hAnsi="Times New Roman" w:cs="Times New Roman"/>
                <w:b/>
                <w:sz w:val="20"/>
                <w:szCs w:val="20"/>
                <w:lang w:val="en-US"/>
              </w:rPr>
              <w:t>EHRA Type 1 VHD</w:t>
            </w:r>
          </w:p>
        </w:tc>
        <w:tc>
          <w:tcPr>
            <w:tcW w:w="8792" w:type="dxa"/>
            <w:gridSpan w:val="6"/>
            <w:tcBorders>
              <w:left w:val="nil"/>
              <w:right w:val="single" w:sz="4" w:space="0" w:color="auto"/>
            </w:tcBorders>
            <w:vAlign w:val="center"/>
          </w:tcPr>
          <w:p w14:paraId="588529E3" w14:textId="77777777" w:rsidR="003E368E" w:rsidRPr="00F50FB7" w:rsidRDefault="003E368E" w:rsidP="007D77D4">
            <w:pPr>
              <w:spacing w:before="240" w:line="360" w:lineRule="auto"/>
              <w:jc w:val="center"/>
              <w:rPr>
                <w:rFonts w:ascii="Times New Roman" w:eastAsia="Calibri" w:hAnsi="Times New Roman" w:cs="Times New Roman"/>
                <w:b/>
                <w:sz w:val="20"/>
                <w:szCs w:val="20"/>
                <w:lang w:val="en-US"/>
              </w:rPr>
            </w:pPr>
            <w:r w:rsidRPr="00F50FB7">
              <w:rPr>
                <w:rFonts w:ascii="Times New Roman" w:eastAsia="Calibri" w:hAnsi="Times New Roman" w:cs="Times New Roman"/>
                <w:b/>
                <w:sz w:val="20"/>
                <w:szCs w:val="20"/>
                <w:lang w:val="en-US"/>
              </w:rPr>
              <w:t>EHRA Type 2 VHD</w:t>
            </w:r>
          </w:p>
        </w:tc>
      </w:tr>
      <w:tr w:rsidR="003E368E" w:rsidRPr="00EE42B8" w14:paraId="3A5B2347" w14:textId="77777777" w:rsidTr="005701A3">
        <w:trPr>
          <w:jc w:val="center"/>
        </w:trPr>
        <w:tc>
          <w:tcPr>
            <w:tcW w:w="2983" w:type="dxa"/>
            <w:gridSpan w:val="2"/>
            <w:tcBorders>
              <w:right w:val="nil"/>
            </w:tcBorders>
            <w:vAlign w:val="center"/>
          </w:tcPr>
          <w:p w14:paraId="5AB6AD09" w14:textId="77777777" w:rsidR="003E368E" w:rsidRPr="00F50FB7" w:rsidRDefault="003E368E" w:rsidP="007D77D4">
            <w:pPr>
              <w:spacing w:line="360" w:lineRule="auto"/>
              <w:rPr>
                <w:rFonts w:ascii="Times New Roman" w:eastAsia="Calibri" w:hAnsi="Times New Roman" w:cs="Times New Roman"/>
                <w:i/>
                <w:sz w:val="20"/>
                <w:szCs w:val="20"/>
                <w:lang w:val="en-US"/>
              </w:rPr>
            </w:pPr>
            <w:r w:rsidRPr="00F50FB7">
              <w:rPr>
                <w:rFonts w:ascii="Times New Roman" w:eastAsia="Calibri" w:hAnsi="Times New Roman" w:cs="Times New Roman"/>
                <w:i/>
                <w:sz w:val="20"/>
                <w:szCs w:val="20"/>
                <w:lang w:val="en-US"/>
              </w:rPr>
              <w:t>Valve lesion:</w:t>
            </w:r>
          </w:p>
        </w:tc>
        <w:tc>
          <w:tcPr>
            <w:tcW w:w="1417" w:type="dxa"/>
            <w:tcBorders>
              <w:left w:val="nil"/>
              <w:right w:val="nil"/>
            </w:tcBorders>
          </w:tcPr>
          <w:p w14:paraId="2D191DF1" w14:textId="77777777" w:rsidR="003E368E" w:rsidRPr="00F50FB7" w:rsidRDefault="003E368E" w:rsidP="005701A3">
            <w:pPr>
              <w:spacing w:line="360" w:lineRule="auto"/>
              <w:jc w:val="left"/>
              <w:rPr>
                <w:rFonts w:ascii="Times New Roman" w:eastAsia="Calibri" w:hAnsi="Times New Roman" w:cs="Times New Roman"/>
                <w:b/>
                <w:sz w:val="20"/>
                <w:szCs w:val="20"/>
                <w:lang w:val="en-US"/>
              </w:rPr>
            </w:pPr>
            <w:r w:rsidRPr="00F50FB7">
              <w:rPr>
                <w:rFonts w:ascii="Times New Roman" w:eastAsia="Calibri" w:hAnsi="Times New Roman" w:cs="Times New Roman"/>
                <w:b/>
                <w:sz w:val="20"/>
                <w:szCs w:val="20"/>
                <w:lang w:val="en-US"/>
              </w:rPr>
              <w:t>Isolated</w:t>
            </w:r>
          </w:p>
          <w:p w14:paraId="379E8111" w14:textId="77777777" w:rsidR="003E368E" w:rsidRPr="00F50FB7" w:rsidRDefault="003E368E" w:rsidP="005701A3">
            <w:pPr>
              <w:spacing w:line="360" w:lineRule="auto"/>
              <w:jc w:val="left"/>
              <w:rPr>
                <w:rFonts w:ascii="Times New Roman" w:eastAsia="Calibri" w:hAnsi="Times New Roman" w:cs="Times New Roman"/>
                <w:b/>
                <w:sz w:val="20"/>
                <w:szCs w:val="20"/>
                <w:lang w:val="en-US"/>
              </w:rPr>
            </w:pPr>
            <w:r w:rsidRPr="00F50FB7">
              <w:rPr>
                <w:rFonts w:ascii="Times New Roman" w:eastAsia="Calibri" w:hAnsi="Times New Roman" w:cs="Times New Roman"/>
                <w:b/>
                <w:sz w:val="20"/>
                <w:szCs w:val="20"/>
                <w:lang w:val="en-US"/>
              </w:rPr>
              <w:t>mitral</w:t>
            </w:r>
          </w:p>
          <w:p w14:paraId="56CA2CD6" w14:textId="77777777" w:rsidR="003E368E" w:rsidRPr="00F50FB7" w:rsidRDefault="003E368E" w:rsidP="005701A3">
            <w:pPr>
              <w:spacing w:line="360" w:lineRule="auto"/>
              <w:jc w:val="left"/>
              <w:rPr>
                <w:rFonts w:ascii="Times New Roman" w:eastAsia="Calibri" w:hAnsi="Times New Roman" w:cs="Times New Roman"/>
                <w:b/>
                <w:sz w:val="20"/>
                <w:szCs w:val="20"/>
                <w:lang w:val="en-US"/>
              </w:rPr>
            </w:pPr>
            <w:r w:rsidRPr="00F50FB7">
              <w:rPr>
                <w:rFonts w:ascii="Times New Roman" w:eastAsia="Calibri" w:hAnsi="Times New Roman" w:cs="Times New Roman"/>
                <w:b/>
                <w:sz w:val="20"/>
                <w:szCs w:val="20"/>
                <w:lang w:val="en-US"/>
              </w:rPr>
              <w:t>stenosis</w:t>
            </w:r>
          </w:p>
        </w:tc>
        <w:tc>
          <w:tcPr>
            <w:tcW w:w="1701" w:type="dxa"/>
            <w:tcBorders>
              <w:left w:val="nil"/>
              <w:right w:val="nil"/>
            </w:tcBorders>
          </w:tcPr>
          <w:p w14:paraId="7F3B24F9" w14:textId="6C66F512" w:rsidR="003E368E" w:rsidRPr="00E3404E" w:rsidRDefault="007E06EF" w:rsidP="005701A3">
            <w:pPr>
              <w:spacing w:line="360" w:lineRule="auto"/>
              <w:jc w:val="left"/>
              <w:rPr>
                <w:rFonts w:ascii="Times New Roman" w:eastAsia="Calibri" w:hAnsi="Times New Roman" w:cs="Times New Roman"/>
                <w:b/>
                <w:color w:val="FFC000"/>
                <w:sz w:val="20"/>
                <w:szCs w:val="20"/>
                <w:lang w:val="en-US"/>
              </w:rPr>
            </w:pPr>
            <w:r w:rsidRPr="00E3404E">
              <w:rPr>
                <w:rFonts w:ascii="Times New Roman" w:eastAsia="Calibri" w:hAnsi="Times New Roman" w:cs="Times New Roman"/>
                <w:b/>
                <w:color w:val="FFC000"/>
                <w:sz w:val="20"/>
                <w:szCs w:val="20"/>
                <w:lang w:val="en-US"/>
              </w:rPr>
              <w:t>Mechanical prosthetic aortic valve replacement</w:t>
            </w:r>
          </w:p>
        </w:tc>
        <w:tc>
          <w:tcPr>
            <w:tcW w:w="1701" w:type="dxa"/>
            <w:tcBorders>
              <w:left w:val="nil"/>
              <w:right w:val="single" w:sz="4" w:space="0" w:color="auto"/>
            </w:tcBorders>
          </w:tcPr>
          <w:p w14:paraId="2526E868" w14:textId="133F28E2" w:rsidR="003E368E" w:rsidRPr="00E3404E" w:rsidRDefault="003E368E" w:rsidP="005701A3">
            <w:pPr>
              <w:spacing w:line="360" w:lineRule="auto"/>
              <w:jc w:val="left"/>
              <w:rPr>
                <w:rFonts w:ascii="Times New Roman" w:eastAsia="Calibri" w:hAnsi="Times New Roman" w:cs="Times New Roman"/>
                <w:b/>
                <w:color w:val="FFC000"/>
                <w:sz w:val="20"/>
                <w:szCs w:val="20"/>
                <w:lang w:val="en-US"/>
              </w:rPr>
            </w:pPr>
            <w:r w:rsidRPr="00E3404E">
              <w:rPr>
                <w:rFonts w:ascii="Times New Roman" w:eastAsia="Calibri" w:hAnsi="Times New Roman" w:cs="Times New Roman"/>
                <w:b/>
                <w:color w:val="FFC000"/>
                <w:sz w:val="20"/>
                <w:szCs w:val="20"/>
                <w:lang w:val="en-US"/>
              </w:rPr>
              <w:t xml:space="preserve">Mechanical prosthetic </w:t>
            </w:r>
            <w:r w:rsidR="005701A3" w:rsidRPr="00E3404E">
              <w:rPr>
                <w:rFonts w:ascii="Times New Roman" w:eastAsia="Calibri" w:hAnsi="Times New Roman" w:cs="Times New Roman"/>
                <w:b/>
                <w:color w:val="FFC000"/>
                <w:sz w:val="20"/>
                <w:szCs w:val="20"/>
                <w:lang w:val="en-US"/>
              </w:rPr>
              <w:t xml:space="preserve">mitral or </w:t>
            </w:r>
            <w:proofErr w:type="spellStart"/>
            <w:r w:rsidR="005701A3" w:rsidRPr="00E3404E">
              <w:rPr>
                <w:rFonts w:ascii="Times New Roman" w:eastAsia="Calibri" w:hAnsi="Times New Roman" w:cs="Times New Roman"/>
                <w:b/>
                <w:color w:val="FFC000"/>
                <w:sz w:val="20"/>
                <w:szCs w:val="20"/>
                <w:lang w:val="en-US"/>
              </w:rPr>
              <w:t>mitro</w:t>
            </w:r>
            <w:proofErr w:type="spellEnd"/>
            <w:r w:rsidR="007E06EF" w:rsidRPr="00E3404E">
              <w:rPr>
                <w:rFonts w:ascii="Times New Roman" w:eastAsia="Calibri" w:hAnsi="Times New Roman" w:cs="Times New Roman"/>
                <w:b/>
                <w:color w:val="FFC000"/>
                <w:sz w:val="20"/>
                <w:szCs w:val="20"/>
                <w:lang w:val="en-US"/>
              </w:rPr>
              <w:t xml:space="preserve">-aortic </w:t>
            </w:r>
            <w:r w:rsidRPr="00E3404E">
              <w:rPr>
                <w:rFonts w:ascii="Times New Roman" w:eastAsia="Calibri" w:hAnsi="Times New Roman" w:cs="Times New Roman"/>
                <w:b/>
                <w:color w:val="FFC000"/>
                <w:sz w:val="20"/>
                <w:szCs w:val="20"/>
                <w:lang w:val="en-US"/>
              </w:rPr>
              <w:t>valve</w:t>
            </w:r>
            <w:r w:rsidR="007E06EF" w:rsidRPr="00E3404E">
              <w:rPr>
                <w:rFonts w:ascii="Times New Roman" w:eastAsia="Calibri" w:hAnsi="Times New Roman" w:cs="Times New Roman"/>
                <w:b/>
                <w:color w:val="FFC000"/>
                <w:sz w:val="20"/>
                <w:szCs w:val="20"/>
                <w:lang w:val="en-US"/>
              </w:rPr>
              <w:t xml:space="preserve"> </w:t>
            </w:r>
            <w:r w:rsidRPr="00E3404E">
              <w:rPr>
                <w:rFonts w:ascii="Times New Roman" w:eastAsia="Calibri" w:hAnsi="Times New Roman" w:cs="Times New Roman"/>
                <w:b/>
                <w:color w:val="FFC000"/>
                <w:sz w:val="20"/>
                <w:szCs w:val="20"/>
                <w:lang w:val="en-US"/>
              </w:rPr>
              <w:t>replacement</w:t>
            </w:r>
          </w:p>
        </w:tc>
        <w:tc>
          <w:tcPr>
            <w:tcW w:w="1420" w:type="dxa"/>
            <w:tcBorders>
              <w:left w:val="single" w:sz="4" w:space="0" w:color="auto"/>
              <w:right w:val="nil"/>
            </w:tcBorders>
          </w:tcPr>
          <w:p w14:paraId="60AEAF60"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r w:rsidRPr="00EE42B8">
              <w:rPr>
                <w:rFonts w:ascii="Times New Roman" w:eastAsia="Calibri" w:hAnsi="Times New Roman" w:cs="Times New Roman"/>
                <w:b/>
                <w:sz w:val="20"/>
                <w:szCs w:val="20"/>
              </w:rPr>
              <w:t>Isolated</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aortic</w:t>
            </w:r>
            <w:proofErr w:type="spellEnd"/>
            <w:r w:rsidRPr="00EE42B8">
              <w:rPr>
                <w:rFonts w:ascii="Times New Roman" w:eastAsia="Calibri" w:hAnsi="Times New Roman" w:cs="Times New Roman"/>
                <w:b/>
                <w:sz w:val="20"/>
                <w:szCs w:val="20"/>
              </w:rPr>
              <w:t xml:space="preserve"> </w:t>
            </w:r>
          </w:p>
          <w:p w14:paraId="288AEEA9"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gramStart"/>
            <w:r w:rsidRPr="00EE42B8">
              <w:rPr>
                <w:rFonts w:ascii="Times New Roman" w:eastAsia="Calibri" w:hAnsi="Times New Roman" w:cs="Times New Roman"/>
                <w:b/>
                <w:sz w:val="20"/>
                <w:szCs w:val="20"/>
              </w:rPr>
              <w:t>stenosis</w:t>
            </w:r>
            <w:proofErr w:type="gramEnd"/>
          </w:p>
        </w:tc>
        <w:tc>
          <w:tcPr>
            <w:tcW w:w="1418" w:type="dxa"/>
            <w:tcBorders>
              <w:left w:val="nil"/>
              <w:right w:val="nil"/>
            </w:tcBorders>
          </w:tcPr>
          <w:p w14:paraId="74F29BBD"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r w:rsidRPr="00EE42B8">
              <w:rPr>
                <w:rFonts w:ascii="Times New Roman" w:eastAsia="Calibri" w:hAnsi="Times New Roman" w:cs="Times New Roman"/>
                <w:b/>
                <w:sz w:val="20"/>
                <w:szCs w:val="20"/>
              </w:rPr>
              <w:t>Isolated</w:t>
            </w:r>
            <w:proofErr w:type="spellEnd"/>
            <w:r w:rsidRPr="00EE42B8">
              <w:rPr>
                <w:rFonts w:ascii="Times New Roman" w:eastAsia="Calibri" w:hAnsi="Times New Roman" w:cs="Times New Roman"/>
                <w:b/>
                <w:sz w:val="20"/>
                <w:szCs w:val="20"/>
              </w:rPr>
              <w:t xml:space="preserve"> </w:t>
            </w:r>
          </w:p>
          <w:p w14:paraId="1A4D9367"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proofErr w:type="gramStart"/>
            <w:r w:rsidRPr="00EE42B8">
              <w:rPr>
                <w:rFonts w:ascii="Times New Roman" w:eastAsia="Calibri" w:hAnsi="Times New Roman" w:cs="Times New Roman"/>
                <w:b/>
                <w:sz w:val="20"/>
                <w:szCs w:val="20"/>
              </w:rPr>
              <w:t>aortic</w:t>
            </w:r>
            <w:proofErr w:type="spellEnd"/>
            <w:proofErr w:type="gram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regurgitation</w:t>
            </w:r>
            <w:proofErr w:type="spellEnd"/>
          </w:p>
        </w:tc>
        <w:tc>
          <w:tcPr>
            <w:tcW w:w="1417" w:type="dxa"/>
            <w:tcBorders>
              <w:left w:val="nil"/>
              <w:right w:val="nil"/>
            </w:tcBorders>
          </w:tcPr>
          <w:p w14:paraId="2D1CA611"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r w:rsidRPr="00EE42B8">
              <w:rPr>
                <w:rFonts w:ascii="Times New Roman" w:eastAsia="Calibri" w:hAnsi="Times New Roman" w:cs="Times New Roman"/>
                <w:b/>
                <w:sz w:val="20"/>
                <w:szCs w:val="20"/>
              </w:rPr>
              <w:t>Isolated</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mitral</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regurgitation</w:t>
            </w:r>
            <w:proofErr w:type="spellEnd"/>
          </w:p>
        </w:tc>
        <w:tc>
          <w:tcPr>
            <w:tcW w:w="1560" w:type="dxa"/>
            <w:tcBorders>
              <w:left w:val="nil"/>
              <w:right w:val="nil"/>
            </w:tcBorders>
            <w:shd w:val="clear" w:color="auto" w:fill="auto"/>
          </w:tcPr>
          <w:p w14:paraId="3F1BB73D" w14:textId="77777777" w:rsidR="003E368E" w:rsidRPr="00EE42B8" w:rsidRDefault="003E368E" w:rsidP="005701A3">
            <w:pPr>
              <w:spacing w:line="360" w:lineRule="auto"/>
              <w:jc w:val="left"/>
              <w:rPr>
                <w:rFonts w:ascii="Times New Roman" w:eastAsia="Calibri" w:hAnsi="Times New Roman" w:cs="Times New Roman"/>
                <w:b/>
                <w:sz w:val="20"/>
                <w:szCs w:val="20"/>
              </w:rPr>
            </w:pPr>
            <w:r w:rsidRPr="00EE42B8">
              <w:rPr>
                <w:rFonts w:ascii="Times New Roman" w:eastAsia="Calibri" w:hAnsi="Times New Roman" w:cs="Times New Roman"/>
                <w:b/>
                <w:sz w:val="20"/>
                <w:szCs w:val="20"/>
              </w:rPr>
              <w:t xml:space="preserve">Bioprosthetic </w:t>
            </w:r>
            <w:proofErr w:type="spellStart"/>
            <w:r w:rsidRPr="00EE42B8">
              <w:rPr>
                <w:rFonts w:ascii="Times New Roman" w:eastAsia="Calibri" w:hAnsi="Times New Roman" w:cs="Times New Roman"/>
                <w:b/>
                <w:sz w:val="20"/>
                <w:szCs w:val="20"/>
              </w:rPr>
              <w:t>aortic</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valve</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replacement</w:t>
            </w:r>
            <w:proofErr w:type="spellEnd"/>
            <w:r w:rsidRPr="00EE42B8">
              <w:rPr>
                <w:rFonts w:ascii="Times New Roman" w:eastAsia="Calibri" w:hAnsi="Times New Roman" w:cs="Times New Roman"/>
                <w:b/>
                <w:sz w:val="20"/>
                <w:szCs w:val="20"/>
              </w:rPr>
              <w:t xml:space="preserve"> </w:t>
            </w:r>
          </w:p>
        </w:tc>
        <w:tc>
          <w:tcPr>
            <w:tcW w:w="1560" w:type="dxa"/>
            <w:tcBorders>
              <w:left w:val="nil"/>
              <w:right w:val="nil"/>
            </w:tcBorders>
            <w:shd w:val="clear" w:color="auto" w:fill="auto"/>
          </w:tcPr>
          <w:p w14:paraId="25516991" w14:textId="77777777" w:rsidR="003E368E" w:rsidRPr="00EE42B8" w:rsidRDefault="003E368E" w:rsidP="005701A3">
            <w:pPr>
              <w:spacing w:line="360" w:lineRule="auto"/>
              <w:jc w:val="left"/>
              <w:rPr>
                <w:rFonts w:ascii="Times New Roman" w:eastAsia="Calibri" w:hAnsi="Times New Roman" w:cs="Times New Roman"/>
                <w:b/>
                <w:sz w:val="20"/>
                <w:szCs w:val="20"/>
              </w:rPr>
            </w:pPr>
            <w:r w:rsidRPr="00EE42B8">
              <w:rPr>
                <w:rFonts w:ascii="Times New Roman" w:eastAsia="Calibri" w:hAnsi="Times New Roman" w:cs="Times New Roman"/>
                <w:b/>
                <w:sz w:val="20"/>
                <w:szCs w:val="20"/>
              </w:rPr>
              <w:t xml:space="preserve">Bioprosthetic </w:t>
            </w:r>
            <w:proofErr w:type="spellStart"/>
            <w:r w:rsidRPr="00EE42B8">
              <w:rPr>
                <w:rFonts w:ascii="Times New Roman" w:eastAsia="Calibri" w:hAnsi="Times New Roman" w:cs="Times New Roman"/>
                <w:b/>
                <w:sz w:val="20"/>
                <w:szCs w:val="20"/>
              </w:rPr>
              <w:t>mitral</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valve</w:t>
            </w:r>
            <w:proofErr w:type="spellEnd"/>
            <w:r w:rsidRPr="00EE42B8">
              <w:rPr>
                <w:rFonts w:ascii="Times New Roman" w:eastAsia="Calibri" w:hAnsi="Times New Roman" w:cs="Times New Roman"/>
                <w:b/>
                <w:sz w:val="20"/>
                <w:szCs w:val="20"/>
              </w:rPr>
              <w:t xml:space="preserve"> </w:t>
            </w:r>
            <w:proofErr w:type="spellStart"/>
            <w:r w:rsidRPr="00EE42B8">
              <w:rPr>
                <w:rFonts w:ascii="Times New Roman" w:eastAsia="Calibri" w:hAnsi="Times New Roman" w:cs="Times New Roman"/>
                <w:b/>
                <w:sz w:val="20"/>
                <w:szCs w:val="20"/>
              </w:rPr>
              <w:t>replacement</w:t>
            </w:r>
            <w:proofErr w:type="spellEnd"/>
          </w:p>
        </w:tc>
        <w:tc>
          <w:tcPr>
            <w:tcW w:w="1417" w:type="dxa"/>
            <w:tcBorders>
              <w:left w:val="nil"/>
            </w:tcBorders>
          </w:tcPr>
          <w:p w14:paraId="3F4BA150"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r w:rsidRPr="00EE42B8">
              <w:rPr>
                <w:rFonts w:ascii="Times New Roman" w:eastAsia="Calibri" w:hAnsi="Times New Roman" w:cs="Times New Roman"/>
                <w:b/>
                <w:sz w:val="20"/>
                <w:szCs w:val="20"/>
              </w:rPr>
              <w:t>Other</w:t>
            </w:r>
            <w:proofErr w:type="spellEnd"/>
            <w:r w:rsidRPr="00EE42B8">
              <w:rPr>
                <w:rFonts w:ascii="Times New Roman" w:eastAsia="Calibri" w:hAnsi="Times New Roman" w:cs="Times New Roman"/>
                <w:b/>
                <w:sz w:val="20"/>
                <w:szCs w:val="20"/>
              </w:rPr>
              <w:t xml:space="preserve"> </w:t>
            </w:r>
          </w:p>
          <w:p w14:paraId="53785865"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proofErr w:type="gramStart"/>
            <w:r w:rsidRPr="00EE42B8">
              <w:rPr>
                <w:rFonts w:ascii="Times New Roman" w:eastAsia="Calibri" w:hAnsi="Times New Roman" w:cs="Times New Roman"/>
                <w:b/>
                <w:sz w:val="20"/>
                <w:szCs w:val="20"/>
              </w:rPr>
              <w:t>valve</w:t>
            </w:r>
            <w:proofErr w:type="spellEnd"/>
            <w:proofErr w:type="gramEnd"/>
            <w:r w:rsidRPr="00EE42B8">
              <w:rPr>
                <w:rFonts w:ascii="Times New Roman" w:eastAsia="Calibri" w:hAnsi="Times New Roman" w:cs="Times New Roman"/>
                <w:b/>
                <w:sz w:val="20"/>
                <w:szCs w:val="20"/>
              </w:rPr>
              <w:t xml:space="preserve"> </w:t>
            </w:r>
          </w:p>
          <w:p w14:paraId="4AE40ED4"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spellStart"/>
            <w:proofErr w:type="gramStart"/>
            <w:r w:rsidRPr="00EE42B8">
              <w:rPr>
                <w:rFonts w:ascii="Times New Roman" w:eastAsia="Calibri" w:hAnsi="Times New Roman" w:cs="Times New Roman"/>
                <w:b/>
                <w:sz w:val="20"/>
                <w:szCs w:val="20"/>
              </w:rPr>
              <w:t>disease</w:t>
            </w:r>
            <w:proofErr w:type="spellEnd"/>
            <w:proofErr w:type="gramEnd"/>
            <w:r w:rsidRPr="00EE42B8">
              <w:rPr>
                <w:rFonts w:ascii="Times New Roman" w:eastAsia="Calibri" w:hAnsi="Times New Roman" w:cs="Times New Roman"/>
                <w:b/>
                <w:sz w:val="20"/>
                <w:szCs w:val="20"/>
              </w:rPr>
              <w:t>/</w:t>
            </w:r>
          </w:p>
          <w:p w14:paraId="2A19C9B0" w14:textId="77777777" w:rsidR="003E368E" w:rsidRPr="00EE42B8" w:rsidRDefault="003E368E" w:rsidP="005701A3">
            <w:pPr>
              <w:spacing w:line="360" w:lineRule="auto"/>
              <w:jc w:val="left"/>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procedure</w:t>
            </w:r>
            <w:proofErr w:type="gramEnd"/>
            <w:r>
              <w:rPr>
                <w:rFonts w:ascii="Open Sans" w:hAnsi="Open Sans" w:cs="Arial"/>
                <w:color w:val="1C1D1E"/>
                <w:sz w:val="21"/>
                <w:szCs w:val="21"/>
                <w:lang w:val="en"/>
              </w:rPr>
              <w:t>‡</w:t>
            </w:r>
          </w:p>
        </w:tc>
      </w:tr>
      <w:tr w:rsidR="00220F46" w:rsidRPr="00EE42B8" w14:paraId="3D325634" w14:textId="77777777" w:rsidTr="003E368E">
        <w:trPr>
          <w:jc w:val="center"/>
        </w:trPr>
        <w:tc>
          <w:tcPr>
            <w:tcW w:w="2983" w:type="dxa"/>
            <w:gridSpan w:val="2"/>
            <w:tcBorders>
              <w:right w:val="nil"/>
            </w:tcBorders>
            <w:vAlign w:val="center"/>
          </w:tcPr>
          <w:p w14:paraId="5565396D" w14:textId="3DA87223"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N</w:t>
            </w:r>
          </w:p>
        </w:tc>
        <w:tc>
          <w:tcPr>
            <w:tcW w:w="1417" w:type="dxa"/>
            <w:tcBorders>
              <w:left w:val="nil"/>
              <w:right w:val="nil"/>
            </w:tcBorders>
          </w:tcPr>
          <w:p w14:paraId="2758F440" w14:textId="48903C54"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rPr>
              <w:t>789</w:t>
            </w:r>
          </w:p>
        </w:tc>
        <w:tc>
          <w:tcPr>
            <w:tcW w:w="1701" w:type="dxa"/>
            <w:tcBorders>
              <w:left w:val="nil"/>
              <w:right w:val="nil"/>
            </w:tcBorders>
          </w:tcPr>
          <w:p w14:paraId="60EB86B9" w14:textId="7B44BC04" w:rsidR="00220F46" w:rsidRPr="00E3404E" w:rsidRDefault="009B0CAA"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1,475</w:t>
            </w:r>
          </w:p>
        </w:tc>
        <w:tc>
          <w:tcPr>
            <w:tcW w:w="1701" w:type="dxa"/>
            <w:tcBorders>
              <w:left w:val="nil"/>
              <w:right w:val="single" w:sz="4" w:space="0" w:color="auto"/>
            </w:tcBorders>
          </w:tcPr>
          <w:p w14:paraId="1A9EF313" w14:textId="05EA0CE3"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437</w:t>
            </w:r>
          </w:p>
        </w:tc>
        <w:tc>
          <w:tcPr>
            <w:tcW w:w="1420" w:type="dxa"/>
            <w:tcBorders>
              <w:left w:val="single" w:sz="4" w:space="0" w:color="auto"/>
              <w:right w:val="nil"/>
            </w:tcBorders>
          </w:tcPr>
          <w:p w14:paraId="5EDFDFBD" w14:textId="3DEAB2B4"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10,279</w:t>
            </w:r>
          </w:p>
        </w:tc>
        <w:tc>
          <w:tcPr>
            <w:tcW w:w="1418" w:type="dxa"/>
            <w:tcBorders>
              <w:left w:val="nil"/>
              <w:right w:val="nil"/>
            </w:tcBorders>
          </w:tcPr>
          <w:p w14:paraId="4D974C92" w14:textId="102ACDA8"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3,343</w:t>
            </w:r>
          </w:p>
        </w:tc>
        <w:tc>
          <w:tcPr>
            <w:tcW w:w="1417" w:type="dxa"/>
            <w:tcBorders>
              <w:left w:val="nil"/>
              <w:right w:val="nil"/>
            </w:tcBorders>
          </w:tcPr>
          <w:p w14:paraId="406160FE" w14:textId="5458EA6F"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6,016</w:t>
            </w:r>
          </w:p>
        </w:tc>
        <w:tc>
          <w:tcPr>
            <w:tcW w:w="1560" w:type="dxa"/>
            <w:tcBorders>
              <w:left w:val="nil"/>
              <w:right w:val="nil"/>
            </w:tcBorders>
          </w:tcPr>
          <w:p w14:paraId="72D2D5F3" w14:textId="4A35DDC2"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4,384</w:t>
            </w:r>
          </w:p>
        </w:tc>
        <w:tc>
          <w:tcPr>
            <w:tcW w:w="1560" w:type="dxa"/>
            <w:tcBorders>
              <w:left w:val="nil"/>
              <w:right w:val="nil"/>
            </w:tcBorders>
          </w:tcPr>
          <w:p w14:paraId="1D66B7C7" w14:textId="1C0ECA46"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362</w:t>
            </w:r>
          </w:p>
        </w:tc>
        <w:tc>
          <w:tcPr>
            <w:tcW w:w="1417" w:type="dxa"/>
            <w:tcBorders>
              <w:left w:val="nil"/>
            </w:tcBorders>
          </w:tcPr>
          <w:p w14:paraId="08A5015F" w14:textId="10C4AE8E"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1,685</w:t>
            </w:r>
          </w:p>
        </w:tc>
      </w:tr>
      <w:tr w:rsidR="00220F46" w:rsidRPr="00EE42B8" w14:paraId="1C42892E" w14:textId="77777777" w:rsidTr="003E368E">
        <w:trPr>
          <w:jc w:val="center"/>
        </w:trPr>
        <w:tc>
          <w:tcPr>
            <w:tcW w:w="2983" w:type="dxa"/>
            <w:gridSpan w:val="2"/>
            <w:tcBorders>
              <w:right w:val="nil"/>
            </w:tcBorders>
            <w:vAlign w:val="center"/>
          </w:tcPr>
          <w:p w14:paraId="4F21E7AD" w14:textId="77777777"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szCs w:val="20"/>
                <w:lang w:val="en-US"/>
              </w:rPr>
              <w:t>Age in years, median (IQR)</w:t>
            </w:r>
          </w:p>
        </w:tc>
        <w:tc>
          <w:tcPr>
            <w:tcW w:w="1417" w:type="dxa"/>
            <w:tcBorders>
              <w:left w:val="nil"/>
              <w:right w:val="nil"/>
            </w:tcBorders>
          </w:tcPr>
          <w:p w14:paraId="62C1A911" w14:textId="33B4B6D8"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76 (67-83)</w:t>
            </w:r>
          </w:p>
        </w:tc>
        <w:tc>
          <w:tcPr>
            <w:tcW w:w="1701" w:type="dxa"/>
            <w:tcBorders>
              <w:left w:val="nil"/>
              <w:right w:val="nil"/>
            </w:tcBorders>
          </w:tcPr>
          <w:p w14:paraId="7369DBAD" w14:textId="055831A9" w:rsidR="00220F46" w:rsidRPr="00E3404E" w:rsidRDefault="00220F46" w:rsidP="00464E42">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64 (57-7</w:t>
            </w:r>
            <w:r w:rsidR="00464E42" w:rsidRPr="00E3404E">
              <w:rPr>
                <w:rFonts w:ascii="Times New Roman" w:eastAsia="Book Antiqua" w:hAnsi="Times New Roman" w:cs="Times New Roman"/>
                <w:color w:val="FFC000"/>
                <w:sz w:val="20"/>
                <w:szCs w:val="20"/>
              </w:rPr>
              <w:t>1</w:t>
            </w:r>
            <w:r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3A7FED7C" w14:textId="311F7AEE" w:rsidR="00220F46" w:rsidRPr="00E3404E" w:rsidRDefault="00220F4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6</w:t>
            </w:r>
            <w:r w:rsidR="00A14D96" w:rsidRPr="00E3404E">
              <w:rPr>
                <w:rFonts w:ascii="Times New Roman" w:eastAsia="Book Antiqua" w:hAnsi="Times New Roman" w:cs="Times New Roman"/>
                <w:color w:val="FFC000"/>
                <w:sz w:val="20"/>
                <w:szCs w:val="20"/>
              </w:rPr>
              <w:t>2 (55-69</w:t>
            </w:r>
            <w:r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58C66EA2"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82 (76-88)</w:t>
            </w:r>
          </w:p>
        </w:tc>
        <w:tc>
          <w:tcPr>
            <w:tcW w:w="1418" w:type="dxa"/>
            <w:tcBorders>
              <w:left w:val="nil"/>
              <w:right w:val="nil"/>
            </w:tcBorders>
          </w:tcPr>
          <w:p w14:paraId="4F8F2CB8"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76 (68-82)</w:t>
            </w:r>
          </w:p>
        </w:tc>
        <w:tc>
          <w:tcPr>
            <w:tcW w:w="1417" w:type="dxa"/>
            <w:tcBorders>
              <w:left w:val="nil"/>
              <w:right w:val="nil"/>
            </w:tcBorders>
          </w:tcPr>
          <w:p w14:paraId="42B36FF3"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74 (66-81)</w:t>
            </w:r>
          </w:p>
        </w:tc>
        <w:tc>
          <w:tcPr>
            <w:tcW w:w="1560" w:type="dxa"/>
            <w:tcBorders>
              <w:left w:val="nil"/>
              <w:right w:val="nil"/>
            </w:tcBorders>
          </w:tcPr>
          <w:p w14:paraId="78DAA6B3"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77 (72-82)</w:t>
            </w:r>
          </w:p>
        </w:tc>
        <w:tc>
          <w:tcPr>
            <w:tcW w:w="1560" w:type="dxa"/>
            <w:tcBorders>
              <w:left w:val="nil"/>
              <w:right w:val="nil"/>
            </w:tcBorders>
          </w:tcPr>
          <w:p w14:paraId="773A10AB"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74 (69-80)</w:t>
            </w:r>
          </w:p>
        </w:tc>
        <w:tc>
          <w:tcPr>
            <w:tcW w:w="1417" w:type="dxa"/>
            <w:tcBorders>
              <w:left w:val="nil"/>
            </w:tcBorders>
          </w:tcPr>
          <w:p w14:paraId="099E62D7"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76 (67-83)</w:t>
            </w:r>
          </w:p>
        </w:tc>
      </w:tr>
      <w:tr w:rsidR="00220F46" w:rsidRPr="00EE42B8" w14:paraId="45D4141E" w14:textId="77777777" w:rsidTr="003E368E">
        <w:trPr>
          <w:jc w:val="center"/>
        </w:trPr>
        <w:tc>
          <w:tcPr>
            <w:tcW w:w="2983" w:type="dxa"/>
            <w:gridSpan w:val="2"/>
            <w:tcBorders>
              <w:bottom w:val="single" w:sz="4" w:space="0" w:color="auto"/>
              <w:right w:val="nil"/>
            </w:tcBorders>
            <w:vAlign w:val="center"/>
          </w:tcPr>
          <w:p w14:paraId="3F957098"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Female</w:t>
            </w:r>
            <w:proofErr w:type="spellEnd"/>
            <w:r w:rsidRPr="00EE42B8">
              <w:rPr>
                <w:rFonts w:ascii="Times New Roman" w:eastAsia="Calibri" w:hAnsi="Times New Roman" w:cs="Times New Roman"/>
                <w:sz w:val="20"/>
                <w:szCs w:val="20"/>
              </w:rPr>
              <w:t xml:space="preserve"> sex</w:t>
            </w:r>
          </w:p>
        </w:tc>
        <w:tc>
          <w:tcPr>
            <w:tcW w:w="1417" w:type="dxa"/>
            <w:tcBorders>
              <w:left w:val="nil"/>
              <w:bottom w:val="single" w:sz="4" w:space="0" w:color="auto"/>
              <w:right w:val="nil"/>
            </w:tcBorders>
          </w:tcPr>
          <w:p w14:paraId="630D4A9D" w14:textId="7DC38A1E"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66.9 (528)</w:t>
            </w:r>
          </w:p>
        </w:tc>
        <w:tc>
          <w:tcPr>
            <w:tcW w:w="1701" w:type="dxa"/>
            <w:tcBorders>
              <w:left w:val="nil"/>
              <w:bottom w:val="single" w:sz="4" w:space="0" w:color="auto"/>
              <w:right w:val="nil"/>
            </w:tcBorders>
          </w:tcPr>
          <w:p w14:paraId="66724FD2" w14:textId="2305ECE8" w:rsidR="00220F46" w:rsidRPr="00E3404E" w:rsidRDefault="009B0CAA"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24.7 (365</w:t>
            </w:r>
            <w:r w:rsidR="00220F46" w:rsidRPr="00E3404E">
              <w:rPr>
                <w:rFonts w:ascii="Times New Roman" w:eastAsia="Book Antiqua" w:hAnsi="Times New Roman" w:cs="Times New Roman"/>
                <w:color w:val="FFC000"/>
                <w:sz w:val="20"/>
                <w:szCs w:val="20"/>
              </w:rPr>
              <w:t>)</w:t>
            </w:r>
          </w:p>
        </w:tc>
        <w:tc>
          <w:tcPr>
            <w:tcW w:w="1701" w:type="dxa"/>
            <w:tcBorders>
              <w:left w:val="nil"/>
              <w:bottom w:val="single" w:sz="4" w:space="0" w:color="auto"/>
              <w:right w:val="single" w:sz="4" w:space="0" w:color="auto"/>
            </w:tcBorders>
          </w:tcPr>
          <w:p w14:paraId="0FF4493F" w14:textId="6F38D9D0"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41.2 (180</w:t>
            </w:r>
            <w:r w:rsidR="00220F46" w:rsidRPr="00E3404E">
              <w:rPr>
                <w:rFonts w:ascii="Times New Roman" w:eastAsia="Book Antiqua" w:hAnsi="Times New Roman" w:cs="Times New Roman"/>
                <w:color w:val="FFC000"/>
                <w:sz w:val="20"/>
                <w:szCs w:val="20"/>
              </w:rPr>
              <w:t>)</w:t>
            </w:r>
          </w:p>
        </w:tc>
        <w:tc>
          <w:tcPr>
            <w:tcW w:w="1420" w:type="dxa"/>
            <w:tcBorders>
              <w:left w:val="single" w:sz="4" w:space="0" w:color="auto"/>
              <w:bottom w:val="single" w:sz="4" w:space="0" w:color="auto"/>
              <w:right w:val="nil"/>
            </w:tcBorders>
          </w:tcPr>
          <w:p w14:paraId="29AAB20E"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51.9 (5,337)</w:t>
            </w:r>
          </w:p>
        </w:tc>
        <w:tc>
          <w:tcPr>
            <w:tcW w:w="1418" w:type="dxa"/>
            <w:tcBorders>
              <w:left w:val="nil"/>
              <w:bottom w:val="single" w:sz="4" w:space="0" w:color="auto"/>
              <w:right w:val="nil"/>
            </w:tcBorders>
          </w:tcPr>
          <w:p w14:paraId="147D9775"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46.9 (1,568)</w:t>
            </w:r>
          </w:p>
        </w:tc>
        <w:tc>
          <w:tcPr>
            <w:tcW w:w="1417" w:type="dxa"/>
            <w:tcBorders>
              <w:left w:val="nil"/>
              <w:bottom w:val="single" w:sz="4" w:space="0" w:color="auto"/>
              <w:right w:val="nil"/>
            </w:tcBorders>
          </w:tcPr>
          <w:p w14:paraId="31282B36"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46.9 (2,823)</w:t>
            </w:r>
          </w:p>
        </w:tc>
        <w:tc>
          <w:tcPr>
            <w:tcW w:w="1560" w:type="dxa"/>
            <w:tcBorders>
              <w:left w:val="nil"/>
              <w:bottom w:val="single" w:sz="4" w:space="0" w:color="auto"/>
              <w:right w:val="nil"/>
            </w:tcBorders>
          </w:tcPr>
          <w:p w14:paraId="6D0E89EF"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37.8 (1,658)</w:t>
            </w:r>
          </w:p>
        </w:tc>
        <w:tc>
          <w:tcPr>
            <w:tcW w:w="1560" w:type="dxa"/>
            <w:tcBorders>
              <w:left w:val="nil"/>
              <w:bottom w:val="single" w:sz="4" w:space="0" w:color="auto"/>
              <w:right w:val="nil"/>
            </w:tcBorders>
          </w:tcPr>
          <w:p w14:paraId="61CE956D"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39.5 (143)</w:t>
            </w:r>
          </w:p>
        </w:tc>
        <w:tc>
          <w:tcPr>
            <w:tcW w:w="1417" w:type="dxa"/>
            <w:tcBorders>
              <w:left w:val="nil"/>
              <w:bottom w:val="single" w:sz="4" w:space="0" w:color="auto"/>
            </w:tcBorders>
          </w:tcPr>
          <w:p w14:paraId="4D475D53"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50.6 (852)</w:t>
            </w:r>
          </w:p>
        </w:tc>
      </w:tr>
      <w:tr w:rsidR="00220F46" w:rsidRPr="00EE42B8" w14:paraId="52FF30AA" w14:textId="77777777" w:rsidTr="004041DA">
        <w:trPr>
          <w:jc w:val="center"/>
        </w:trPr>
        <w:tc>
          <w:tcPr>
            <w:tcW w:w="16594" w:type="dxa"/>
            <w:gridSpan w:val="11"/>
            <w:tcBorders>
              <w:left w:val="single" w:sz="4" w:space="0" w:color="auto"/>
              <w:right w:val="single" w:sz="4" w:space="0" w:color="auto"/>
            </w:tcBorders>
          </w:tcPr>
          <w:p w14:paraId="74148A01" w14:textId="4A6D08A6" w:rsidR="00220F46" w:rsidRPr="00A14D96" w:rsidRDefault="00220F46" w:rsidP="00220F46">
            <w:pPr>
              <w:spacing w:line="360" w:lineRule="auto"/>
              <w:ind w:firstLine="20"/>
              <w:rPr>
                <w:rFonts w:ascii="Times New Roman" w:eastAsia="Calibri" w:hAnsi="Times New Roman" w:cs="Times New Roman"/>
                <w:b/>
                <w:sz w:val="20"/>
                <w:szCs w:val="20"/>
              </w:rPr>
            </w:pPr>
            <w:r w:rsidRPr="00A14D96">
              <w:rPr>
                <w:rFonts w:ascii="Times New Roman" w:eastAsia="Calibri" w:hAnsi="Times New Roman" w:cs="Times New Roman"/>
                <w:b/>
                <w:sz w:val="20"/>
                <w:szCs w:val="20"/>
              </w:rPr>
              <w:t>Comorbidities</w:t>
            </w:r>
          </w:p>
        </w:tc>
      </w:tr>
      <w:tr w:rsidR="00220F46" w:rsidRPr="00EE42B8" w14:paraId="1D55C86D" w14:textId="77777777" w:rsidTr="003E368E">
        <w:trPr>
          <w:jc w:val="center"/>
        </w:trPr>
        <w:tc>
          <w:tcPr>
            <w:tcW w:w="2983" w:type="dxa"/>
            <w:gridSpan w:val="2"/>
            <w:tcBorders>
              <w:right w:val="nil"/>
            </w:tcBorders>
            <w:vAlign w:val="center"/>
          </w:tcPr>
          <w:p w14:paraId="22FABD9B"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Diabetes mellitus</w:t>
            </w:r>
          </w:p>
        </w:tc>
        <w:tc>
          <w:tcPr>
            <w:tcW w:w="1417" w:type="dxa"/>
            <w:tcBorders>
              <w:left w:val="nil"/>
              <w:right w:val="nil"/>
            </w:tcBorders>
          </w:tcPr>
          <w:p w14:paraId="0848A09B" w14:textId="1B478D44"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13.8 (109)</w:t>
            </w:r>
          </w:p>
        </w:tc>
        <w:tc>
          <w:tcPr>
            <w:tcW w:w="1701" w:type="dxa"/>
            <w:tcBorders>
              <w:left w:val="nil"/>
              <w:right w:val="nil"/>
            </w:tcBorders>
          </w:tcPr>
          <w:p w14:paraId="5785D6C6" w14:textId="1C5AEDEB"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11.7</w:t>
            </w:r>
            <w:r w:rsidR="00464E42" w:rsidRPr="00E3404E">
              <w:rPr>
                <w:rFonts w:ascii="Times New Roman" w:eastAsia="Book Antiqua" w:hAnsi="Times New Roman" w:cs="Times New Roman"/>
                <w:color w:val="FFC000"/>
                <w:sz w:val="20"/>
                <w:szCs w:val="20"/>
              </w:rPr>
              <w:t xml:space="preserve"> (</w:t>
            </w:r>
            <w:r w:rsidR="004C735F" w:rsidRPr="00E3404E">
              <w:rPr>
                <w:rFonts w:ascii="Times New Roman" w:eastAsia="Book Antiqua" w:hAnsi="Times New Roman" w:cs="Times New Roman"/>
                <w:color w:val="FFC000"/>
                <w:sz w:val="20"/>
                <w:szCs w:val="20"/>
              </w:rPr>
              <w:t>173</w:t>
            </w:r>
            <w:r w:rsidR="00220F4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6545FDBF" w14:textId="37981D2E"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8.0</w:t>
            </w:r>
            <w:r w:rsidR="00A14D96" w:rsidRPr="00E3404E">
              <w:rPr>
                <w:rFonts w:ascii="Times New Roman" w:eastAsia="Book Antiqua" w:hAnsi="Times New Roman" w:cs="Times New Roman"/>
                <w:color w:val="FFC000"/>
                <w:sz w:val="20"/>
                <w:szCs w:val="20"/>
              </w:rPr>
              <w:t xml:space="preserve"> (35</w:t>
            </w:r>
            <w:r w:rsidR="00220F46"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4924855E"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14.1 (1,445)</w:t>
            </w:r>
          </w:p>
        </w:tc>
        <w:tc>
          <w:tcPr>
            <w:tcW w:w="1418" w:type="dxa"/>
            <w:tcBorders>
              <w:left w:val="nil"/>
              <w:right w:val="nil"/>
            </w:tcBorders>
          </w:tcPr>
          <w:p w14:paraId="191D4017"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6.9 (232)</w:t>
            </w:r>
          </w:p>
        </w:tc>
        <w:tc>
          <w:tcPr>
            <w:tcW w:w="1417" w:type="dxa"/>
            <w:tcBorders>
              <w:left w:val="nil"/>
              <w:right w:val="nil"/>
            </w:tcBorders>
          </w:tcPr>
          <w:p w14:paraId="12307D23"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9.1 (550)</w:t>
            </w:r>
          </w:p>
        </w:tc>
        <w:tc>
          <w:tcPr>
            <w:tcW w:w="1560" w:type="dxa"/>
            <w:tcBorders>
              <w:left w:val="nil"/>
              <w:right w:val="nil"/>
            </w:tcBorders>
          </w:tcPr>
          <w:p w14:paraId="693D65D4"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16.4 (721)</w:t>
            </w:r>
          </w:p>
        </w:tc>
        <w:tc>
          <w:tcPr>
            <w:tcW w:w="1560" w:type="dxa"/>
            <w:tcBorders>
              <w:left w:val="nil"/>
              <w:right w:val="nil"/>
            </w:tcBorders>
          </w:tcPr>
          <w:p w14:paraId="7378661B"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11.3 (41)</w:t>
            </w:r>
          </w:p>
        </w:tc>
        <w:tc>
          <w:tcPr>
            <w:tcW w:w="1417" w:type="dxa"/>
            <w:tcBorders>
              <w:left w:val="nil"/>
            </w:tcBorders>
          </w:tcPr>
          <w:p w14:paraId="6CF20FD1"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10.4 (175)</w:t>
            </w:r>
          </w:p>
        </w:tc>
      </w:tr>
      <w:tr w:rsidR="00220F46" w:rsidRPr="00EE42B8" w14:paraId="792270C6" w14:textId="77777777" w:rsidTr="003E368E">
        <w:trPr>
          <w:jc w:val="center"/>
        </w:trPr>
        <w:tc>
          <w:tcPr>
            <w:tcW w:w="2983" w:type="dxa"/>
            <w:gridSpan w:val="2"/>
            <w:tcBorders>
              <w:right w:val="nil"/>
            </w:tcBorders>
            <w:vAlign w:val="center"/>
          </w:tcPr>
          <w:p w14:paraId="7EF6CF0B"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Hypertension</w:t>
            </w:r>
          </w:p>
        </w:tc>
        <w:tc>
          <w:tcPr>
            <w:tcW w:w="1417" w:type="dxa"/>
            <w:tcBorders>
              <w:left w:val="nil"/>
              <w:right w:val="nil"/>
            </w:tcBorders>
          </w:tcPr>
          <w:p w14:paraId="5D71C3D8" w14:textId="4B354BDB"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40.1 (316)</w:t>
            </w:r>
          </w:p>
        </w:tc>
        <w:tc>
          <w:tcPr>
            <w:tcW w:w="1701" w:type="dxa"/>
            <w:tcBorders>
              <w:left w:val="nil"/>
              <w:right w:val="nil"/>
            </w:tcBorders>
          </w:tcPr>
          <w:p w14:paraId="7C451907" w14:textId="010A905F"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44.2</w:t>
            </w:r>
            <w:r w:rsidR="00464E42"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652</w:t>
            </w:r>
            <w:r w:rsidR="00464E42"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70731034" w14:textId="75D583D7"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26.8 (11</w:t>
            </w:r>
            <w:r w:rsidR="004C735F" w:rsidRPr="00E3404E">
              <w:rPr>
                <w:rFonts w:ascii="Times New Roman" w:eastAsia="Book Antiqua" w:hAnsi="Times New Roman" w:cs="Times New Roman"/>
                <w:color w:val="FFC000"/>
                <w:sz w:val="20"/>
                <w:szCs w:val="20"/>
              </w:rPr>
              <w:t>7</w:t>
            </w:r>
            <w:r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094199D3"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52.0 (5,348)</w:t>
            </w:r>
          </w:p>
        </w:tc>
        <w:tc>
          <w:tcPr>
            <w:tcW w:w="1418" w:type="dxa"/>
            <w:tcBorders>
              <w:left w:val="nil"/>
              <w:right w:val="nil"/>
            </w:tcBorders>
          </w:tcPr>
          <w:p w14:paraId="34B6DBBD"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51.3 (1,716)</w:t>
            </w:r>
          </w:p>
        </w:tc>
        <w:tc>
          <w:tcPr>
            <w:tcW w:w="1417" w:type="dxa"/>
            <w:tcBorders>
              <w:left w:val="nil"/>
              <w:right w:val="nil"/>
            </w:tcBorders>
          </w:tcPr>
          <w:p w14:paraId="6618C251"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39.0 (2,349)</w:t>
            </w:r>
          </w:p>
        </w:tc>
        <w:tc>
          <w:tcPr>
            <w:tcW w:w="1560" w:type="dxa"/>
            <w:tcBorders>
              <w:left w:val="nil"/>
              <w:right w:val="nil"/>
            </w:tcBorders>
          </w:tcPr>
          <w:p w14:paraId="5EE38367"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59.1 (2,593)</w:t>
            </w:r>
          </w:p>
        </w:tc>
        <w:tc>
          <w:tcPr>
            <w:tcW w:w="1560" w:type="dxa"/>
            <w:tcBorders>
              <w:left w:val="nil"/>
              <w:right w:val="nil"/>
            </w:tcBorders>
          </w:tcPr>
          <w:p w14:paraId="5934E86C"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42.5 (154)</w:t>
            </w:r>
          </w:p>
        </w:tc>
        <w:tc>
          <w:tcPr>
            <w:tcW w:w="1417" w:type="dxa"/>
            <w:tcBorders>
              <w:left w:val="nil"/>
            </w:tcBorders>
          </w:tcPr>
          <w:p w14:paraId="5DC5678D"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45.8 (771)</w:t>
            </w:r>
          </w:p>
        </w:tc>
      </w:tr>
      <w:tr w:rsidR="00220F46" w:rsidRPr="00EE42B8" w14:paraId="3BE3C14A" w14:textId="77777777" w:rsidTr="003E368E">
        <w:trPr>
          <w:jc w:val="center"/>
        </w:trPr>
        <w:tc>
          <w:tcPr>
            <w:tcW w:w="2983" w:type="dxa"/>
            <w:gridSpan w:val="2"/>
            <w:tcBorders>
              <w:right w:val="nil"/>
            </w:tcBorders>
            <w:vAlign w:val="center"/>
          </w:tcPr>
          <w:p w14:paraId="394D52FE"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Heart </w:t>
            </w:r>
            <w:proofErr w:type="spellStart"/>
            <w:r w:rsidRPr="00EE42B8">
              <w:rPr>
                <w:rFonts w:ascii="Times New Roman" w:eastAsia="Calibri" w:hAnsi="Times New Roman" w:cs="Times New Roman"/>
                <w:sz w:val="20"/>
                <w:szCs w:val="20"/>
              </w:rPr>
              <w:t>failure</w:t>
            </w:r>
            <w:proofErr w:type="spellEnd"/>
          </w:p>
        </w:tc>
        <w:tc>
          <w:tcPr>
            <w:tcW w:w="1417" w:type="dxa"/>
            <w:tcBorders>
              <w:left w:val="nil"/>
              <w:right w:val="nil"/>
            </w:tcBorders>
          </w:tcPr>
          <w:p w14:paraId="6675A5E0" w14:textId="1AF60C1E"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39.9 (315)</w:t>
            </w:r>
          </w:p>
        </w:tc>
        <w:tc>
          <w:tcPr>
            <w:tcW w:w="1701" w:type="dxa"/>
            <w:tcBorders>
              <w:left w:val="nil"/>
              <w:right w:val="nil"/>
            </w:tcBorders>
          </w:tcPr>
          <w:p w14:paraId="3E23D7C7" w14:textId="479870BE"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28.8</w:t>
            </w:r>
            <w:r w:rsidR="00464E42"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425</w:t>
            </w:r>
            <w:r w:rsidR="00464E42"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4A6966C7" w14:textId="1CD35E1E"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40</w:t>
            </w:r>
            <w:r w:rsidR="004C735F" w:rsidRPr="00E3404E">
              <w:rPr>
                <w:rFonts w:ascii="Times New Roman" w:eastAsia="Book Antiqua" w:hAnsi="Times New Roman" w:cs="Times New Roman"/>
                <w:color w:val="FFC000"/>
                <w:sz w:val="20"/>
                <w:szCs w:val="20"/>
              </w:rPr>
              <w:t>.7</w:t>
            </w:r>
            <w:r w:rsidRPr="00E3404E">
              <w:rPr>
                <w:rFonts w:ascii="Times New Roman" w:eastAsia="Book Antiqua" w:hAnsi="Times New Roman" w:cs="Times New Roman"/>
                <w:color w:val="FFC000"/>
                <w:sz w:val="20"/>
                <w:szCs w:val="20"/>
              </w:rPr>
              <w:t xml:space="preserve"> (1</w:t>
            </w:r>
            <w:r w:rsidR="004C735F" w:rsidRPr="00E3404E">
              <w:rPr>
                <w:rFonts w:ascii="Times New Roman" w:eastAsia="Book Antiqua" w:hAnsi="Times New Roman" w:cs="Times New Roman"/>
                <w:color w:val="FFC000"/>
                <w:sz w:val="20"/>
                <w:szCs w:val="20"/>
              </w:rPr>
              <w:t>78</w:t>
            </w:r>
            <w:r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4898C96B"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32.4 (3,326)</w:t>
            </w:r>
          </w:p>
        </w:tc>
        <w:tc>
          <w:tcPr>
            <w:tcW w:w="1418" w:type="dxa"/>
            <w:tcBorders>
              <w:left w:val="nil"/>
              <w:right w:val="nil"/>
            </w:tcBorders>
          </w:tcPr>
          <w:p w14:paraId="2873E1A5"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27.5 (919)</w:t>
            </w:r>
          </w:p>
        </w:tc>
        <w:tc>
          <w:tcPr>
            <w:tcW w:w="1417" w:type="dxa"/>
            <w:tcBorders>
              <w:left w:val="nil"/>
              <w:right w:val="nil"/>
            </w:tcBorders>
          </w:tcPr>
          <w:p w14:paraId="00A42D45"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35.9 (2,161)</w:t>
            </w:r>
          </w:p>
        </w:tc>
        <w:tc>
          <w:tcPr>
            <w:tcW w:w="1560" w:type="dxa"/>
            <w:tcBorders>
              <w:left w:val="nil"/>
              <w:right w:val="nil"/>
            </w:tcBorders>
          </w:tcPr>
          <w:p w14:paraId="356957A1"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32.5 (1,426)</w:t>
            </w:r>
          </w:p>
        </w:tc>
        <w:tc>
          <w:tcPr>
            <w:tcW w:w="1560" w:type="dxa"/>
            <w:tcBorders>
              <w:left w:val="nil"/>
              <w:right w:val="nil"/>
            </w:tcBorders>
          </w:tcPr>
          <w:p w14:paraId="255391BC"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39.8 (144)</w:t>
            </w:r>
          </w:p>
        </w:tc>
        <w:tc>
          <w:tcPr>
            <w:tcW w:w="1417" w:type="dxa"/>
            <w:tcBorders>
              <w:left w:val="nil"/>
            </w:tcBorders>
          </w:tcPr>
          <w:p w14:paraId="120A9ADD"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34.6 (583)</w:t>
            </w:r>
          </w:p>
        </w:tc>
      </w:tr>
      <w:tr w:rsidR="00220F46" w:rsidRPr="00EE42B8" w14:paraId="39ADECDB" w14:textId="77777777" w:rsidTr="003E368E">
        <w:trPr>
          <w:jc w:val="center"/>
        </w:trPr>
        <w:tc>
          <w:tcPr>
            <w:tcW w:w="2983" w:type="dxa"/>
            <w:gridSpan w:val="2"/>
            <w:tcBorders>
              <w:right w:val="nil"/>
            </w:tcBorders>
            <w:vAlign w:val="center"/>
          </w:tcPr>
          <w:p w14:paraId="2B7B05C8"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Peripheral</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vascular</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disease</w:t>
            </w:r>
            <w:proofErr w:type="spellEnd"/>
          </w:p>
        </w:tc>
        <w:tc>
          <w:tcPr>
            <w:tcW w:w="1417" w:type="dxa"/>
            <w:tcBorders>
              <w:left w:val="nil"/>
              <w:right w:val="nil"/>
            </w:tcBorders>
          </w:tcPr>
          <w:p w14:paraId="29999197" w14:textId="48413777"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rPr>
              <w:t>13.6 (107)</w:t>
            </w:r>
          </w:p>
        </w:tc>
        <w:tc>
          <w:tcPr>
            <w:tcW w:w="1701" w:type="dxa"/>
            <w:tcBorders>
              <w:left w:val="nil"/>
              <w:right w:val="nil"/>
            </w:tcBorders>
          </w:tcPr>
          <w:p w14:paraId="7697BBEE" w14:textId="67CD1C08"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21.8</w:t>
            </w:r>
            <w:r w:rsidR="00464E42" w:rsidRPr="00E3404E">
              <w:rPr>
                <w:rFonts w:ascii="Times New Roman" w:eastAsia="Calibri" w:hAnsi="Times New Roman" w:cs="Times New Roman"/>
                <w:color w:val="FFC000"/>
                <w:sz w:val="20"/>
                <w:szCs w:val="20"/>
              </w:rPr>
              <w:t xml:space="preserve"> (</w:t>
            </w:r>
            <w:r w:rsidRPr="00E3404E">
              <w:rPr>
                <w:rFonts w:ascii="Times New Roman" w:eastAsia="Calibri" w:hAnsi="Times New Roman" w:cs="Times New Roman"/>
                <w:color w:val="FFC000"/>
                <w:sz w:val="20"/>
                <w:szCs w:val="20"/>
              </w:rPr>
              <w:t>322</w:t>
            </w:r>
            <w:r w:rsidR="00464E42"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03730FB9" w14:textId="2EAD96FB" w:rsidR="00220F46" w:rsidRPr="00E3404E" w:rsidRDefault="00A14D96"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5.7 (25)</w:t>
            </w:r>
          </w:p>
        </w:tc>
        <w:tc>
          <w:tcPr>
            <w:tcW w:w="1420" w:type="dxa"/>
            <w:tcBorders>
              <w:left w:val="single" w:sz="4" w:space="0" w:color="auto"/>
              <w:right w:val="nil"/>
            </w:tcBorders>
          </w:tcPr>
          <w:p w14:paraId="702ED2B8"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14.3 (1,467)</w:t>
            </w:r>
          </w:p>
        </w:tc>
        <w:tc>
          <w:tcPr>
            <w:tcW w:w="1418" w:type="dxa"/>
            <w:tcBorders>
              <w:left w:val="nil"/>
              <w:right w:val="nil"/>
            </w:tcBorders>
          </w:tcPr>
          <w:p w14:paraId="4F56C49E"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18.0 (601)</w:t>
            </w:r>
          </w:p>
        </w:tc>
        <w:tc>
          <w:tcPr>
            <w:tcW w:w="1417" w:type="dxa"/>
            <w:tcBorders>
              <w:left w:val="nil"/>
              <w:right w:val="nil"/>
            </w:tcBorders>
          </w:tcPr>
          <w:p w14:paraId="4EC1D144"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9.6 (577)</w:t>
            </w:r>
          </w:p>
        </w:tc>
        <w:tc>
          <w:tcPr>
            <w:tcW w:w="1560" w:type="dxa"/>
            <w:tcBorders>
              <w:left w:val="nil"/>
              <w:right w:val="nil"/>
            </w:tcBorders>
          </w:tcPr>
          <w:p w14:paraId="7C85FECF"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16.2 (711)</w:t>
            </w:r>
          </w:p>
        </w:tc>
        <w:tc>
          <w:tcPr>
            <w:tcW w:w="1560" w:type="dxa"/>
            <w:tcBorders>
              <w:left w:val="nil"/>
              <w:right w:val="nil"/>
            </w:tcBorders>
          </w:tcPr>
          <w:p w14:paraId="3B8D34A0"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9.9 (36)</w:t>
            </w:r>
          </w:p>
        </w:tc>
        <w:tc>
          <w:tcPr>
            <w:tcW w:w="1417" w:type="dxa"/>
            <w:tcBorders>
              <w:left w:val="nil"/>
            </w:tcBorders>
          </w:tcPr>
          <w:p w14:paraId="3328A77B"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12.2 (206)</w:t>
            </w:r>
          </w:p>
        </w:tc>
      </w:tr>
      <w:tr w:rsidR="00220F46" w:rsidRPr="00F5063B" w14:paraId="63DA6D40" w14:textId="77777777" w:rsidTr="003E368E">
        <w:trPr>
          <w:jc w:val="center"/>
        </w:trPr>
        <w:tc>
          <w:tcPr>
            <w:tcW w:w="2983" w:type="dxa"/>
            <w:gridSpan w:val="2"/>
            <w:tcBorders>
              <w:right w:val="nil"/>
            </w:tcBorders>
            <w:vAlign w:val="center"/>
          </w:tcPr>
          <w:p w14:paraId="606458DC"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History</w:t>
            </w:r>
            <w:proofErr w:type="spellEnd"/>
            <w:r w:rsidRPr="00EE42B8">
              <w:rPr>
                <w:rFonts w:ascii="Times New Roman" w:eastAsia="Calibri" w:hAnsi="Times New Roman" w:cs="Times New Roman"/>
                <w:sz w:val="20"/>
                <w:szCs w:val="20"/>
              </w:rPr>
              <w:t xml:space="preserve"> of </w:t>
            </w:r>
            <w:proofErr w:type="spellStart"/>
            <w:r w:rsidRPr="00EE42B8">
              <w:rPr>
                <w:rFonts w:ascii="Times New Roman" w:eastAsia="Calibri" w:hAnsi="Times New Roman" w:cs="Times New Roman"/>
                <w:sz w:val="20"/>
                <w:szCs w:val="20"/>
              </w:rPr>
              <w:t>myocardial</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infarction</w:t>
            </w:r>
            <w:proofErr w:type="spellEnd"/>
          </w:p>
        </w:tc>
        <w:tc>
          <w:tcPr>
            <w:tcW w:w="1417" w:type="dxa"/>
            <w:tcBorders>
              <w:left w:val="nil"/>
              <w:right w:val="nil"/>
            </w:tcBorders>
          </w:tcPr>
          <w:p w14:paraId="04B1DED2" w14:textId="6A74A370"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rPr>
              <w:t>14.1 (111)</w:t>
            </w:r>
          </w:p>
        </w:tc>
        <w:tc>
          <w:tcPr>
            <w:tcW w:w="1701" w:type="dxa"/>
            <w:tcBorders>
              <w:left w:val="nil"/>
              <w:right w:val="nil"/>
            </w:tcBorders>
          </w:tcPr>
          <w:p w14:paraId="5C0D3078" w14:textId="588592A6" w:rsidR="00220F46" w:rsidRPr="00E3404E" w:rsidRDefault="00A14D96"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12.</w:t>
            </w:r>
            <w:r w:rsidR="004C735F" w:rsidRPr="00E3404E">
              <w:rPr>
                <w:rFonts w:ascii="Times New Roman" w:eastAsia="Calibri" w:hAnsi="Times New Roman" w:cs="Times New Roman"/>
                <w:color w:val="FFC000"/>
                <w:sz w:val="20"/>
                <w:szCs w:val="20"/>
              </w:rPr>
              <w:t>2 (180</w:t>
            </w:r>
            <w:r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36BDCB2C" w14:textId="3C336EB7" w:rsidR="00220F46" w:rsidRPr="00E3404E" w:rsidRDefault="004C735F" w:rsidP="00220F46">
            <w:pPr>
              <w:spacing w:line="360" w:lineRule="auto"/>
              <w:rPr>
                <w:rFonts w:ascii="Times New Roman" w:eastAsia="Calibri" w:hAnsi="Times New Roman" w:cs="Times New Roman"/>
                <w:color w:val="FFC000"/>
                <w:sz w:val="20"/>
                <w:szCs w:val="20"/>
                <w:lang w:val="en-US"/>
              </w:rPr>
            </w:pPr>
            <w:r w:rsidRPr="00E3404E">
              <w:rPr>
                <w:rFonts w:ascii="Times New Roman" w:eastAsia="Calibri" w:hAnsi="Times New Roman" w:cs="Times New Roman"/>
                <w:color w:val="FFC000"/>
                <w:sz w:val="20"/>
                <w:szCs w:val="20"/>
                <w:lang w:val="en-US"/>
              </w:rPr>
              <w:t>15.3 (67</w:t>
            </w:r>
            <w:r w:rsidR="00A14D96" w:rsidRPr="00E3404E">
              <w:rPr>
                <w:rFonts w:ascii="Times New Roman" w:eastAsia="Calibri" w:hAnsi="Times New Roman" w:cs="Times New Roman"/>
                <w:color w:val="FFC000"/>
                <w:sz w:val="20"/>
                <w:szCs w:val="20"/>
                <w:lang w:val="en-US"/>
              </w:rPr>
              <w:t>)</w:t>
            </w:r>
          </w:p>
        </w:tc>
        <w:tc>
          <w:tcPr>
            <w:tcW w:w="1420" w:type="dxa"/>
            <w:tcBorders>
              <w:left w:val="single" w:sz="4" w:space="0" w:color="auto"/>
              <w:right w:val="nil"/>
            </w:tcBorders>
          </w:tcPr>
          <w:p w14:paraId="2A282942" w14:textId="77777777" w:rsidR="00220F46" w:rsidRPr="00F5063B" w:rsidRDefault="00220F46" w:rsidP="00220F46">
            <w:pPr>
              <w:spacing w:line="360" w:lineRule="auto"/>
              <w:rPr>
                <w:rFonts w:ascii="Times New Roman" w:eastAsia="Calibri" w:hAnsi="Times New Roman" w:cs="Times New Roman"/>
                <w:sz w:val="20"/>
                <w:szCs w:val="20"/>
                <w:lang w:val="en-US"/>
              </w:rPr>
            </w:pPr>
            <w:r w:rsidRPr="00F5063B">
              <w:rPr>
                <w:rFonts w:ascii="Times New Roman" w:eastAsia="Calibri" w:hAnsi="Times New Roman" w:cs="Times New Roman"/>
                <w:sz w:val="20"/>
                <w:szCs w:val="20"/>
                <w:lang w:val="en-US"/>
              </w:rPr>
              <w:t>18.1 (1,865)</w:t>
            </w:r>
          </w:p>
        </w:tc>
        <w:tc>
          <w:tcPr>
            <w:tcW w:w="1418" w:type="dxa"/>
            <w:tcBorders>
              <w:left w:val="nil"/>
              <w:right w:val="nil"/>
            </w:tcBorders>
          </w:tcPr>
          <w:p w14:paraId="61C38D62" w14:textId="77777777" w:rsidR="00220F46" w:rsidRPr="00F5063B" w:rsidRDefault="00220F46" w:rsidP="00220F46">
            <w:pPr>
              <w:spacing w:line="360" w:lineRule="auto"/>
              <w:rPr>
                <w:rFonts w:ascii="Times New Roman" w:eastAsia="Calibri" w:hAnsi="Times New Roman" w:cs="Times New Roman"/>
                <w:sz w:val="20"/>
                <w:szCs w:val="20"/>
                <w:lang w:val="en-US"/>
              </w:rPr>
            </w:pPr>
            <w:r w:rsidRPr="00F5063B">
              <w:rPr>
                <w:rFonts w:ascii="Times New Roman" w:eastAsia="Calibri" w:hAnsi="Times New Roman" w:cs="Times New Roman"/>
                <w:sz w:val="20"/>
                <w:szCs w:val="20"/>
                <w:lang w:val="en-US"/>
              </w:rPr>
              <w:t>14.3 (479)</w:t>
            </w:r>
          </w:p>
        </w:tc>
        <w:tc>
          <w:tcPr>
            <w:tcW w:w="1417" w:type="dxa"/>
            <w:tcBorders>
              <w:left w:val="nil"/>
              <w:right w:val="nil"/>
            </w:tcBorders>
          </w:tcPr>
          <w:p w14:paraId="2613E296" w14:textId="77777777" w:rsidR="00220F46" w:rsidRPr="00F5063B" w:rsidRDefault="00220F46" w:rsidP="00220F46">
            <w:pPr>
              <w:spacing w:line="360" w:lineRule="auto"/>
              <w:rPr>
                <w:rFonts w:ascii="Times New Roman" w:eastAsia="Calibri" w:hAnsi="Times New Roman" w:cs="Times New Roman"/>
                <w:sz w:val="20"/>
                <w:szCs w:val="20"/>
                <w:lang w:val="en-US"/>
              </w:rPr>
            </w:pPr>
            <w:r w:rsidRPr="00F5063B">
              <w:rPr>
                <w:rFonts w:ascii="Times New Roman" w:eastAsia="Calibri" w:hAnsi="Times New Roman" w:cs="Times New Roman"/>
                <w:sz w:val="20"/>
                <w:szCs w:val="20"/>
                <w:lang w:val="en-US"/>
              </w:rPr>
              <w:t>17.5 (1,052)</w:t>
            </w:r>
          </w:p>
        </w:tc>
        <w:tc>
          <w:tcPr>
            <w:tcW w:w="1560" w:type="dxa"/>
            <w:tcBorders>
              <w:left w:val="nil"/>
              <w:right w:val="nil"/>
            </w:tcBorders>
          </w:tcPr>
          <w:p w14:paraId="63E8633D" w14:textId="77777777" w:rsidR="00220F46" w:rsidRPr="00F5063B" w:rsidRDefault="00220F46" w:rsidP="00220F46">
            <w:pPr>
              <w:spacing w:line="360" w:lineRule="auto"/>
              <w:rPr>
                <w:rFonts w:ascii="Times New Roman" w:eastAsia="Calibri" w:hAnsi="Times New Roman" w:cs="Times New Roman"/>
                <w:sz w:val="20"/>
                <w:szCs w:val="20"/>
                <w:lang w:val="en-US"/>
              </w:rPr>
            </w:pPr>
            <w:r w:rsidRPr="00F5063B">
              <w:rPr>
                <w:rFonts w:ascii="Times New Roman" w:eastAsia="Calibri" w:hAnsi="Times New Roman" w:cs="Times New Roman"/>
                <w:sz w:val="20"/>
                <w:szCs w:val="20"/>
                <w:lang w:val="en-US"/>
              </w:rPr>
              <w:t>18.2 (800)</w:t>
            </w:r>
          </w:p>
        </w:tc>
        <w:tc>
          <w:tcPr>
            <w:tcW w:w="1560" w:type="dxa"/>
            <w:tcBorders>
              <w:left w:val="nil"/>
              <w:right w:val="nil"/>
            </w:tcBorders>
          </w:tcPr>
          <w:p w14:paraId="653417B0" w14:textId="77777777" w:rsidR="00220F46" w:rsidRPr="00F5063B" w:rsidRDefault="00220F46" w:rsidP="00220F46">
            <w:pPr>
              <w:spacing w:line="360" w:lineRule="auto"/>
              <w:rPr>
                <w:rFonts w:ascii="Times New Roman" w:eastAsia="Calibri" w:hAnsi="Times New Roman" w:cs="Times New Roman"/>
                <w:sz w:val="20"/>
                <w:szCs w:val="20"/>
                <w:lang w:val="en-US"/>
              </w:rPr>
            </w:pPr>
            <w:r w:rsidRPr="00F5063B">
              <w:rPr>
                <w:rFonts w:ascii="Times New Roman" w:eastAsia="Calibri" w:hAnsi="Times New Roman" w:cs="Times New Roman"/>
                <w:sz w:val="20"/>
                <w:szCs w:val="20"/>
                <w:lang w:val="en-US"/>
              </w:rPr>
              <w:t>24.3 (88)</w:t>
            </w:r>
          </w:p>
        </w:tc>
        <w:tc>
          <w:tcPr>
            <w:tcW w:w="1417" w:type="dxa"/>
            <w:tcBorders>
              <w:left w:val="nil"/>
            </w:tcBorders>
          </w:tcPr>
          <w:p w14:paraId="1A7DB6CC" w14:textId="77777777" w:rsidR="00220F46" w:rsidRPr="00F5063B" w:rsidRDefault="00220F46" w:rsidP="00220F46">
            <w:pPr>
              <w:spacing w:line="360" w:lineRule="auto"/>
              <w:rPr>
                <w:rFonts w:ascii="Times New Roman" w:eastAsia="Calibri" w:hAnsi="Times New Roman" w:cs="Times New Roman"/>
                <w:sz w:val="20"/>
                <w:szCs w:val="20"/>
                <w:lang w:val="en-US"/>
              </w:rPr>
            </w:pPr>
            <w:r w:rsidRPr="00F5063B">
              <w:rPr>
                <w:rFonts w:ascii="Times New Roman" w:eastAsia="Calibri" w:hAnsi="Times New Roman" w:cs="Times New Roman"/>
                <w:sz w:val="20"/>
                <w:szCs w:val="20"/>
                <w:lang w:val="en-US"/>
              </w:rPr>
              <w:t>16.4 (276)</w:t>
            </w:r>
          </w:p>
        </w:tc>
      </w:tr>
      <w:tr w:rsidR="00220F46" w:rsidRPr="00EE42B8" w14:paraId="4045FF8F" w14:textId="77777777" w:rsidTr="003E368E">
        <w:trPr>
          <w:jc w:val="center"/>
        </w:trPr>
        <w:tc>
          <w:tcPr>
            <w:tcW w:w="2983" w:type="dxa"/>
            <w:gridSpan w:val="2"/>
            <w:tcBorders>
              <w:right w:val="nil"/>
            </w:tcBorders>
          </w:tcPr>
          <w:p w14:paraId="4D9E127B" w14:textId="77777777"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szCs w:val="20"/>
                <w:lang w:val="en-US"/>
              </w:rPr>
              <w:t>Pacemaker or implantable cardioverter defibrillator</w:t>
            </w:r>
          </w:p>
        </w:tc>
        <w:tc>
          <w:tcPr>
            <w:tcW w:w="1417" w:type="dxa"/>
            <w:tcBorders>
              <w:left w:val="nil"/>
              <w:right w:val="nil"/>
            </w:tcBorders>
          </w:tcPr>
          <w:p w14:paraId="4437D78B" w14:textId="2B62D021"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lang w:val="en-US"/>
              </w:rPr>
              <w:t xml:space="preserve">6.0 </w:t>
            </w:r>
            <w:r w:rsidRPr="00A14D96">
              <w:rPr>
                <w:rFonts w:ascii="Times New Roman" w:eastAsia="Calibri" w:hAnsi="Times New Roman" w:cs="Times New Roman"/>
                <w:sz w:val="20"/>
                <w:szCs w:val="20"/>
              </w:rPr>
              <w:t>(47)</w:t>
            </w:r>
          </w:p>
        </w:tc>
        <w:tc>
          <w:tcPr>
            <w:tcW w:w="1701" w:type="dxa"/>
            <w:tcBorders>
              <w:left w:val="nil"/>
              <w:right w:val="nil"/>
            </w:tcBorders>
          </w:tcPr>
          <w:p w14:paraId="5CA81A43" w14:textId="1DF286C5" w:rsidR="00220F46" w:rsidRPr="00E3404E" w:rsidRDefault="00A14D96"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9.</w:t>
            </w:r>
            <w:r w:rsidR="004C735F" w:rsidRPr="00E3404E">
              <w:rPr>
                <w:rFonts w:ascii="Times New Roman" w:eastAsia="Calibri" w:hAnsi="Times New Roman" w:cs="Times New Roman"/>
                <w:color w:val="FFC000"/>
                <w:sz w:val="20"/>
                <w:szCs w:val="20"/>
              </w:rPr>
              <w:t>6 (141</w:t>
            </w:r>
            <w:r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2D54C7B0" w14:textId="7724FD3C"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12.1 (53</w:t>
            </w:r>
            <w:r w:rsidR="00A14D96" w:rsidRPr="00E3404E">
              <w:rPr>
                <w:rFonts w:ascii="Times New Roman" w:eastAsia="Calibri" w:hAnsi="Times New Roman" w:cs="Times New Roman"/>
                <w:color w:val="FFC000"/>
                <w:sz w:val="20"/>
                <w:szCs w:val="20"/>
              </w:rPr>
              <w:t>)</w:t>
            </w:r>
          </w:p>
        </w:tc>
        <w:tc>
          <w:tcPr>
            <w:tcW w:w="1420" w:type="dxa"/>
            <w:tcBorders>
              <w:left w:val="single" w:sz="4" w:space="0" w:color="auto"/>
              <w:right w:val="nil"/>
            </w:tcBorders>
          </w:tcPr>
          <w:p w14:paraId="287D7CC3"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5.9 (610)</w:t>
            </w:r>
          </w:p>
        </w:tc>
        <w:tc>
          <w:tcPr>
            <w:tcW w:w="1418" w:type="dxa"/>
            <w:tcBorders>
              <w:left w:val="nil"/>
              <w:right w:val="nil"/>
            </w:tcBorders>
          </w:tcPr>
          <w:p w14:paraId="712805CD"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6.2 (208)</w:t>
            </w:r>
          </w:p>
        </w:tc>
        <w:tc>
          <w:tcPr>
            <w:tcW w:w="1417" w:type="dxa"/>
            <w:tcBorders>
              <w:left w:val="nil"/>
              <w:right w:val="nil"/>
            </w:tcBorders>
          </w:tcPr>
          <w:p w14:paraId="277375D2"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5.6 (335)</w:t>
            </w:r>
          </w:p>
        </w:tc>
        <w:tc>
          <w:tcPr>
            <w:tcW w:w="1560" w:type="dxa"/>
            <w:tcBorders>
              <w:left w:val="nil"/>
              <w:right w:val="nil"/>
            </w:tcBorders>
          </w:tcPr>
          <w:p w14:paraId="137BC5F2"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9.1 (398)</w:t>
            </w:r>
          </w:p>
        </w:tc>
        <w:tc>
          <w:tcPr>
            <w:tcW w:w="1560" w:type="dxa"/>
            <w:tcBorders>
              <w:left w:val="nil"/>
              <w:right w:val="nil"/>
            </w:tcBorders>
          </w:tcPr>
          <w:p w14:paraId="0E65816D"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11.3 (41)</w:t>
            </w:r>
          </w:p>
        </w:tc>
        <w:tc>
          <w:tcPr>
            <w:tcW w:w="1417" w:type="dxa"/>
            <w:tcBorders>
              <w:left w:val="nil"/>
            </w:tcBorders>
          </w:tcPr>
          <w:p w14:paraId="6722E206"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6.7 (113)</w:t>
            </w:r>
          </w:p>
        </w:tc>
      </w:tr>
      <w:tr w:rsidR="00220F46" w:rsidRPr="00EE42B8" w14:paraId="39487606" w14:textId="77777777" w:rsidTr="003E368E">
        <w:trPr>
          <w:jc w:val="center"/>
        </w:trPr>
        <w:tc>
          <w:tcPr>
            <w:tcW w:w="2983" w:type="dxa"/>
            <w:gridSpan w:val="2"/>
            <w:tcBorders>
              <w:right w:val="nil"/>
            </w:tcBorders>
            <w:vAlign w:val="center"/>
          </w:tcPr>
          <w:p w14:paraId="5869E2B2"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Hyperlipidemia</w:t>
            </w:r>
            <w:proofErr w:type="spellEnd"/>
            <w:r w:rsidRPr="00EE42B8">
              <w:rPr>
                <w:rFonts w:ascii="Times New Roman" w:eastAsia="Calibri" w:hAnsi="Times New Roman" w:cs="Times New Roman"/>
                <w:sz w:val="20"/>
                <w:szCs w:val="20"/>
              </w:rPr>
              <w:t>/</w:t>
            </w:r>
          </w:p>
          <w:p w14:paraId="712AA705" w14:textId="77777777" w:rsidR="00220F46" w:rsidRPr="00EE42B8" w:rsidRDefault="00220F46" w:rsidP="00220F46">
            <w:pPr>
              <w:spacing w:line="360" w:lineRule="auto"/>
              <w:rPr>
                <w:rFonts w:ascii="Times New Roman" w:eastAsia="Calibri" w:hAnsi="Times New Roman" w:cs="Times New Roman"/>
                <w:sz w:val="20"/>
                <w:szCs w:val="20"/>
              </w:rPr>
            </w:pPr>
            <w:proofErr w:type="spellStart"/>
            <w:proofErr w:type="gramStart"/>
            <w:r w:rsidRPr="00EE42B8">
              <w:rPr>
                <w:rFonts w:ascii="Times New Roman" w:eastAsia="Calibri" w:hAnsi="Times New Roman" w:cs="Times New Roman"/>
                <w:sz w:val="20"/>
                <w:szCs w:val="20"/>
              </w:rPr>
              <w:t>hypercholesterolemia</w:t>
            </w:r>
            <w:proofErr w:type="spellEnd"/>
            <w:proofErr w:type="gramEnd"/>
          </w:p>
        </w:tc>
        <w:tc>
          <w:tcPr>
            <w:tcW w:w="1417" w:type="dxa"/>
            <w:tcBorders>
              <w:left w:val="nil"/>
              <w:right w:val="nil"/>
            </w:tcBorders>
          </w:tcPr>
          <w:p w14:paraId="0C565B4A" w14:textId="45588ED0"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rPr>
              <w:t>17.0 (134)</w:t>
            </w:r>
          </w:p>
        </w:tc>
        <w:tc>
          <w:tcPr>
            <w:tcW w:w="1701" w:type="dxa"/>
            <w:tcBorders>
              <w:left w:val="nil"/>
              <w:right w:val="nil"/>
            </w:tcBorders>
          </w:tcPr>
          <w:p w14:paraId="19D55B10" w14:textId="43C29FC6"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22.6 (333</w:t>
            </w:r>
            <w:r w:rsidR="00A14D96"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67F8CBB8" w14:textId="53D99970"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16.9</w:t>
            </w:r>
            <w:r w:rsidR="00A14D96" w:rsidRPr="00E3404E">
              <w:rPr>
                <w:rFonts w:ascii="Times New Roman" w:eastAsia="Calibri" w:hAnsi="Times New Roman" w:cs="Times New Roman"/>
                <w:color w:val="FFC000"/>
                <w:sz w:val="20"/>
                <w:szCs w:val="20"/>
              </w:rPr>
              <w:t xml:space="preserve"> (74)</w:t>
            </w:r>
          </w:p>
        </w:tc>
        <w:tc>
          <w:tcPr>
            <w:tcW w:w="1420" w:type="dxa"/>
            <w:tcBorders>
              <w:left w:val="single" w:sz="4" w:space="0" w:color="auto"/>
              <w:right w:val="nil"/>
            </w:tcBorders>
          </w:tcPr>
          <w:p w14:paraId="4EAC47A1"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16.6 (1,709)</w:t>
            </w:r>
          </w:p>
        </w:tc>
        <w:tc>
          <w:tcPr>
            <w:tcW w:w="1418" w:type="dxa"/>
            <w:tcBorders>
              <w:left w:val="nil"/>
              <w:right w:val="nil"/>
            </w:tcBorders>
          </w:tcPr>
          <w:p w14:paraId="4244DA02"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15.8 (527)</w:t>
            </w:r>
          </w:p>
        </w:tc>
        <w:tc>
          <w:tcPr>
            <w:tcW w:w="1417" w:type="dxa"/>
            <w:tcBorders>
              <w:left w:val="nil"/>
              <w:right w:val="nil"/>
            </w:tcBorders>
          </w:tcPr>
          <w:p w14:paraId="666C557E"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16.1 (971)</w:t>
            </w:r>
          </w:p>
        </w:tc>
        <w:tc>
          <w:tcPr>
            <w:tcW w:w="1560" w:type="dxa"/>
            <w:tcBorders>
              <w:left w:val="nil"/>
              <w:right w:val="nil"/>
            </w:tcBorders>
          </w:tcPr>
          <w:p w14:paraId="6518A9A6"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34.7 (1,522)</w:t>
            </w:r>
          </w:p>
        </w:tc>
        <w:tc>
          <w:tcPr>
            <w:tcW w:w="1560" w:type="dxa"/>
            <w:tcBorders>
              <w:left w:val="nil"/>
              <w:right w:val="nil"/>
            </w:tcBorders>
          </w:tcPr>
          <w:p w14:paraId="7E312E33"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23.8 (86)</w:t>
            </w:r>
          </w:p>
        </w:tc>
        <w:tc>
          <w:tcPr>
            <w:tcW w:w="1417" w:type="dxa"/>
            <w:tcBorders>
              <w:left w:val="nil"/>
            </w:tcBorders>
          </w:tcPr>
          <w:p w14:paraId="3FC6661E"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18.2 (306)</w:t>
            </w:r>
          </w:p>
        </w:tc>
      </w:tr>
      <w:tr w:rsidR="00220F46" w:rsidRPr="00EE42B8" w14:paraId="6CFDC29B" w14:textId="77777777" w:rsidTr="003E368E">
        <w:trPr>
          <w:jc w:val="center"/>
        </w:trPr>
        <w:tc>
          <w:tcPr>
            <w:tcW w:w="2983" w:type="dxa"/>
            <w:gridSpan w:val="2"/>
            <w:tcBorders>
              <w:right w:val="nil"/>
            </w:tcBorders>
            <w:vAlign w:val="center"/>
          </w:tcPr>
          <w:p w14:paraId="2BE497F3"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Chronic</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kidney</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disease</w:t>
            </w:r>
            <w:proofErr w:type="spellEnd"/>
          </w:p>
        </w:tc>
        <w:tc>
          <w:tcPr>
            <w:tcW w:w="1417" w:type="dxa"/>
            <w:tcBorders>
              <w:left w:val="nil"/>
              <w:right w:val="nil"/>
            </w:tcBorders>
          </w:tcPr>
          <w:p w14:paraId="7BA621F6" w14:textId="49100643"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rPr>
              <w:t>9.9 (78)</w:t>
            </w:r>
          </w:p>
        </w:tc>
        <w:tc>
          <w:tcPr>
            <w:tcW w:w="1701" w:type="dxa"/>
            <w:tcBorders>
              <w:left w:val="nil"/>
              <w:right w:val="nil"/>
            </w:tcBorders>
          </w:tcPr>
          <w:p w14:paraId="639DBB45" w14:textId="4E10B94A"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8.6 (127</w:t>
            </w:r>
            <w:r w:rsidR="00A14D96"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2F71CEA8" w14:textId="7F7C93AA" w:rsidR="00220F46" w:rsidRPr="00E3404E" w:rsidRDefault="00A14D96"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9.</w:t>
            </w:r>
            <w:r w:rsidR="004C735F" w:rsidRPr="00E3404E">
              <w:rPr>
                <w:rFonts w:ascii="Times New Roman" w:eastAsia="Calibri" w:hAnsi="Times New Roman" w:cs="Times New Roman"/>
                <w:color w:val="FFC000"/>
                <w:sz w:val="20"/>
                <w:szCs w:val="20"/>
              </w:rPr>
              <w:t>2</w:t>
            </w:r>
            <w:r w:rsidRPr="00E3404E">
              <w:rPr>
                <w:rFonts w:ascii="Times New Roman" w:eastAsia="Calibri" w:hAnsi="Times New Roman" w:cs="Times New Roman"/>
                <w:color w:val="FFC000"/>
                <w:sz w:val="20"/>
                <w:szCs w:val="20"/>
              </w:rPr>
              <w:t xml:space="preserve"> (40)</w:t>
            </w:r>
          </w:p>
        </w:tc>
        <w:tc>
          <w:tcPr>
            <w:tcW w:w="1420" w:type="dxa"/>
            <w:tcBorders>
              <w:left w:val="single" w:sz="4" w:space="0" w:color="auto"/>
              <w:right w:val="nil"/>
            </w:tcBorders>
          </w:tcPr>
          <w:p w14:paraId="3C11D946"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9.2 (943)</w:t>
            </w:r>
          </w:p>
        </w:tc>
        <w:tc>
          <w:tcPr>
            <w:tcW w:w="1418" w:type="dxa"/>
            <w:tcBorders>
              <w:left w:val="nil"/>
              <w:right w:val="nil"/>
            </w:tcBorders>
          </w:tcPr>
          <w:p w14:paraId="13C92EE5"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8.0 (267)</w:t>
            </w:r>
          </w:p>
        </w:tc>
        <w:tc>
          <w:tcPr>
            <w:tcW w:w="1417" w:type="dxa"/>
            <w:tcBorders>
              <w:left w:val="nil"/>
              <w:right w:val="nil"/>
            </w:tcBorders>
          </w:tcPr>
          <w:p w14:paraId="2818C037"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7.1 (430)</w:t>
            </w:r>
          </w:p>
        </w:tc>
        <w:tc>
          <w:tcPr>
            <w:tcW w:w="1560" w:type="dxa"/>
            <w:tcBorders>
              <w:left w:val="nil"/>
              <w:right w:val="nil"/>
            </w:tcBorders>
          </w:tcPr>
          <w:p w14:paraId="5892BA39"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12.2 (533)</w:t>
            </w:r>
          </w:p>
        </w:tc>
        <w:tc>
          <w:tcPr>
            <w:tcW w:w="1560" w:type="dxa"/>
            <w:tcBorders>
              <w:left w:val="nil"/>
              <w:right w:val="nil"/>
            </w:tcBorders>
          </w:tcPr>
          <w:p w14:paraId="0FFEF80C"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19.9 (72)</w:t>
            </w:r>
          </w:p>
        </w:tc>
        <w:tc>
          <w:tcPr>
            <w:tcW w:w="1417" w:type="dxa"/>
            <w:tcBorders>
              <w:left w:val="nil"/>
            </w:tcBorders>
          </w:tcPr>
          <w:p w14:paraId="437EA7F2"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8.5 (144)</w:t>
            </w:r>
          </w:p>
        </w:tc>
      </w:tr>
      <w:tr w:rsidR="00220F46" w:rsidRPr="00EE42B8" w14:paraId="3C69789B" w14:textId="77777777" w:rsidTr="003E368E">
        <w:trPr>
          <w:jc w:val="center"/>
        </w:trPr>
        <w:tc>
          <w:tcPr>
            <w:tcW w:w="2983" w:type="dxa"/>
            <w:gridSpan w:val="2"/>
            <w:tcBorders>
              <w:right w:val="nil"/>
            </w:tcBorders>
            <w:vAlign w:val="center"/>
          </w:tcPr>
          <w:p w14:paraId="5E1FB063"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History</w:t>
            </w:r>
            <w:proofErr w:type="spellEnd"/>
            <w:r w:rsidRPr="00EE42B8">
              <w:rPr>
                <w:rFonts w:ascii="Times New Roman" w:eastAsia="Calibri" w:hAnsi="Times New Roman" w:cs="Times New Roman"/>
                <w:sz w:val="20"/>
                <w:szCs w:val="20"/>
              </w:rPr>
              <w:t xml:space="preserve"> of cancer</w:t>
            </w:r>
          </w:p>
        </w:tc>
        <w:tc>
          <w:tcPr>
            <w:tcW w:w="1417" w:type="dxa"/>
            <w:tcBorders>
              <w:left w:val="nil"/>
              <w:right w:val="nil"/>
            </w:tcBorders>
          </w:tcPr>
          <w:p w14:paraId="00BEBE61" w14:textId="03424BC4" w:rsidR="00220F46" w:rsidRPr="00A14D96" w:rsidRDefault="00220F46" w:rsidP="00220F46">
            <w:pPr>
              <w:spacing w:line="360" w:lineRule="auto"/>
              <w:rPr>
                <w:rFonts w:ascii="Times New Roman" w:eastAsia="Calibri" w:hAnsi="Times New Roman" w:cs="Times New Roman"/>
                <w:sz w:val="20"/>
                <w:szCs w:val="20"/>
              </w:rPr>
            </w:pPr>
            <w:r w:rsidRPr="00A14D96">
              <w:rPr>
                <w:rFonts w:ascii="Times New Roman" w:eastAsia="Calibri" w:hAnsi="Times New Roman" w:cs="Times New Roman"/>
                <w:sz w:val="20"/>
                <w:szCs w:val="20"/>
              </w:rPr>
              <w:t>13.8 (109)</w:t>
            </w:r>
          </w:p>
        </w:tc>
        <w:tc>
          <w:tcPr>
            <w:tcW w:w="1701" w:type="dxa"/>
            <w:tcBorders>
              <w:left w:val="nil"/>
              <w:right w:val="nil"/>
            </w:tcBorders>
          </w:tcPr>
          <w:p w14:paraId="16D5E897" w14:textId="0B73C4D3" w:rsidR="00220F46" w:rsidRPr="00E3404E" w:rsidRDefault="00A14D96"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10</w:t>
            </w:r>
            <w:r w:rsidR="004C735F" w:rsidRPr="00E3404E">
              <w:rPr>
                <w:rFonts w:ascii="Times New Roman" w:eastAsia="Calibri" w:hAnsi="Times New Roman" w:cs="Times New Roman"/>
                <w:color w:val="FFC000"/>
                <w:sz w:val="20"/>
                <w:szCs w:val="20"/>
              </w:rPr>
              <w:t>.2 (151</w:t>
            </w:r>
            <w:r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309A3EBE" w14:textId="6E6958AA" w:rsidR="00220F46" w:rsidRPr="00E3404E" w:rsidRDefault="004C735F"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14.4</w:t>
            </w:r>
            <w:r w:rsidR="00A14D96" w:rsidRPr="00E3404E">
              <w:rPr>
                <w:rFonts w:ascii="Times New Roman" w:eastAsia="Calibri" w:hAnsi="Times New Roman" w:cs="Times New Roman"/>
                <w:color w:val="FFC000"/>
                <w:sz w:val="20"/>
                <w:szCs w:val="20"/>
              </w:rPr>
              <w:t xml:space="preserve"> (63)</w:t>
            </w:r>
          </w:p>
        </w:tc>
        <w:tc>
          <w:tcPr>
            <w:tcW w:w="1420" w:type="dxa"/>
            <w:tcBorders>
              <w:left w:val="single" w:sz="4" w:space="0" w:color="auto"/>
              <w:right w:val="nil"/>
            </w:tcBorders>
          </w:tcPr>
          <w:p w14:paraId="2865DF02"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19.5 (2,003)</w:t>
            </w:r>
          </w:p>
        </w:tc>
        <w:tc>
          <w:tcPr>
            <w:tcW w:w="1418" w:type="dxa"/>
            <w:tcBorders>
              <w:left w:val="nil"/>
              <w:right w:val="nil"/>
            </w:tcBorders>
          </w:tcPr>
          <w:p w14:paraId="672928DA"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18.3 (611)</w:t>
            </w:r>
          </w:p>
        </w:tc>
        <w:tc>
          <w:tcPr>
            <w:tcW w:w="1417" w:type="dxa"/>
            <w:tcBorders>
              <w:left w:val="nil"/>
              <w:right w:val="nil"/>
            </w:tcBorders>
          </w:tcPr>
          <w:p w14:paraId="31112294"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14.7 (886)</w:t>
            </w:r>
          </w:p>
        </w:tc>
        <w:tc>
          <w:tcPr>
            <w:tcW w:w="1560" w:type="dxa"/>
            <w:tcBorders>
              <w:left w:val="nil"/>
              <w:right w:val="nil"/>
            </w:tcBorders>
          </w:tcPr>
          <w:p w14:paraId="79684ECB"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16.7 (733)</w:t>
            </w:r>
          </w:p>
        </w:tc>
        <w:tc>
          <w:tcPr>
            <w:tcW w:w="1560" w:type="dxa"/>
            <w:tcBorders>
              <w:left w:val="nil"/>
              <w:right w:val="nil"/>
            </w:tcBorders>
          </w:tcPr>
          <w:p w14:paraId="31A3C971"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19.6 (71)</w:t>
            </w:r>
          </w:p>
        </w:tc>
        <w:tc>
          <w:tcPr>
            <w:tcW w:w="1417" w:type="dxa"/>
            <w:tcBorders>
              <w:left w:val="nil"/>
            </w:tcBorders>
          </w:tcPr>
          <w:p w14:paraId="7373CC17"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15.4 (260)</w:t>
            </w:r>
          </w:p>
        </w:tc>
      </w:tr>
      <w:tr w:rsidR="00220F46" w:rsidRPr="00EE42B8" w14:paraId="1E1B3AA5" w14:textId="77777777" w:rsidTr="003E368E">
        <w:trPr>
          <w:jc w:val="center"/>
        </w:trPr>
        <w:tc>
          <w:tcPr>
            <w:tcW w:w="2983" w:type="dxa"/>
            <w:gridSpan w:val="2"/>
            <w:tcBorders>
              <w:right w:val="nil"/>
            </w:tcBorders>
            <w:vAlign w:val="center"/>
          </w:tcPr>
          <w:p w14:paraId="35449BAA"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Chronic</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obstructive</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pulmonary</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disease</w:t>
            </w:r>
            <w:proofErr w:type="spellEnd"/>
          </w:p>
        </w:tc>
        <w:tc>
          <w:tcPr>
            <w:tcW w:w="1417" w:type="dxa"/>
            <w:tcBorders>
              <w:left w:val="nil"/>
              <w:right w:val="nil"/>
            </w:tcBorders>
          </w:tcPr>
          <w:p w14:paraId="24149BEE" w14:textId="3010F4A9"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22.3 (176)</w:t>
            </w:r>
          </w:p>
        </w:tc>
        <w:tc>
          <w:tcPr>
            <w:tcW w:w="1701" w:type="dxa"/>
            <w:tcBorders>
              <w:left w:val="nil"/>
              <w:right w:val="nil"/>
            </w:tcBorders>
          </w:tcPr>
          <w:p w14:paraId="268E46F8" w14:textId="1391188D"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13.4</w:t>
            </w:r>
            <w:r w:rsidR="00A14D96"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198</w:t>
            </w:r>
            <w:r w:rsidR="00A14D9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45AEC4C4" w14:textId="7001EB57"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16.5</w:t>
            </w:r>
            <w:r w:rsidR="00A14D96"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72</w:t>
            </w:r>
            <w:r w:rsidR="00A14D96"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5CBF5BBB"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18.4 (1,891)</w:t>
            </w:r>
          </w:p>
        </w:tc>
        <w:tc>
          <w:tcPr>
            <w:tcW w:w="1418" w:type="dxa"/>
            <w:tcBorders>
              <w:left w:val="nil"/>
              <w:right w:val="nil"/>
            </w:tcBorders>
          </w:tcPr>
          <w:p w14:paraId="342F0E8B"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17.4 (583)</w:t>
            </w:r>
          </w:p>
        </w:tc>
        <w:tc>
          <w:tcPr>
            <w:tcW w:w="1417" w:type="dxa"/>
            <w:tcBorders>
              <w:left w:val="nil"/>
              <w:right w:val="nil"/>
            </w:tcBorders>
          </w:tcPr>
          <w:p w14:paraId="0C4DBCC5"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14.9 (895)</w:t>
            </w:r>
          </w:p>
        </w:tc>
        <w:tc>
          <w:tcPr>
            <w:tcW w:w="1560" w:type="dxa"/>
            <w:tcBorders>
              <w:left w:val="nil"/>
              <w:right w:val="nil"/>
            </w:tcBorders>
          </w:tcPr>
          <w:p w14:paraId="1D4F95FA"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17.8 (780)</w:t>
            </w:r>
          </w:p>
        </w:tc>
        <w:tc>
          <w:tcPr>
            <w:tcW w:w="1560" w:type="dxa"/>
            <w:tcBorders>
              <w:left w:val="nil"/>
              <w:right w:val="nil"/>
            </w:tcBorders>
          </w:tcPr>
          <w:p w14:paraId="11396B72"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14.6 (53)</w:t>
            </w:r>
          </w:p>
        </w:tc>
        <w:tc>
          <w:tcPr>
            <w:tcW w:w="1417" w:type="dxa"/>
            <w:tcBorders>
              <w:left w:val="nil"/>
            </w:tcBorders>
          </w:tcPr>
          <w:p w14:paraId="62DB9CCC"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16.5 (278)</w:t>
            </w:r>
          </w:p>
        </w:tc>
      </w:tr>
      <w:tr w:rsidR="00220F46" w:rsidRPr="00EE42B8" w14:paraId="40A1C059" w14:textId="77777777" w:rsidTr="003E368E">
        <w:trPr>
          <w:jc w:val="center"/>
        </w:trPr>
        <w:tc>
          <w:tcPr>
            <w:tcW w:w="2983" w:type="dxa"/>
            <w:gridSpan w:val="2"/>
            <w:tcBorders>
              <w:right w:val="nil"/>
            </w:tcBorders>
            <w:vAlign w:val="center"/>
          </w:tcPr>
          <w:p w14:paraId="15A57B13"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History</w:t>
            </w:r>
            <w:proofErr w:type="spellEnd"/>
            <w:r w:rsidRPr="00EE42B8">
              <w:rPr>
                <w:rFonts w:ascii="Times New Roman" w:eastAsia="Calibri" w:hAnsi="Times New Roman" w:cs="Times New Roman"/>
                <w:sz w:val="20"/>
                <w:szCs w:val="20"/>
              </w:rPr>
              <w:t xml:space="preserve"> of </w:t>
            </w:r>
            <w:proofErr w:type="spellStart"/>
            <w:r w:rsidRPr="00EE42B8">
              <w:rPr>
                <w:rFonts w:ascii="Times New Roman" w:eastAsia="Calibri" w:hAnsi="Times New Roman" w:cs="Times New Roman"/>
                <w:sz w:val="20"/>
                <w:szCs w:val="20"/>
              </w:rPr>
              <w:t>thromboembolism</w:t>
            </w:r>
            <w:proofErr w:type="spellEnd"/>
          </w:p>
        </w:tc>
        <w:tc>
          <w:tcPr>
            <w:tcW w:w="1417" w:type="dxa"/>
            <w:tcBorders>
              <w:left w:val="nil"/>
              <w:right w:val="nil"/>
            </w:tcBorders>
          </w:tcPr>
          <w:p w14:paraId="086F450C" w14:textId="6C1F0A1E"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rPr>
            </w:pPr>
            <w:r w:rsidRPr="00A14D96">
              <w:rPr>
                <w:rFonts w:ascii="Times New Roman" w:eastAsia="Book Antiqua" w:hAnsi="Times New Roman" w:cs="Times New Roman"/>
                <w:sz w:val="20"/>
                <w:szCs w:val="20"/>
              </w:rPr>
              <w:t>17.7 (140)</w:t>
            </w:r>
          </w:p>
        </w:tc>
        <w:tc>
          <w:tcPr>
            <w:tcW w:w="1701" w:type="dxa"/>
            <w:tcBorders>
              <w:left w:val="nil"/>
              <w:right w:val="nil"/>
            </w:tcBorders>
          </w:tcPr>
          <w:p w14:paraId="6E2B9DCB" w14:textId="6155AAA7"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11.3</w:t>
            </w:r>
            <w:r w:rsidR="00A14D96" w:rsidRPr="00E3404E">
              <w:rPr>
                <w:rFonts w:ascii="Times New Roman" w:eastAsia="Book Antiqua" w:hAnsi="Times New Roman" w:cs="Times New Roman"/>
                <w:color w:val="FFC000"/>
                <w:sz w:val="20"/>
                <w:szCs w:val="20"/>
              </w:rPr>
              <w:t xml:space="preserve"> (1</w:t>
            </w:r>
            <w:r w:rsidRPr="00E3404E">
              <w:rPr>
                <w:rFonts w:ascii="Times New Roman" w:eastAsia="Book Antiqua" w:hAnsi="Times New Roman" w:cs="Times New Roman"/>
                <w:color w:val="FFC000"/>
                <w:sz w:val="20"/>
                <w:szCs w:val="20"/>
              </w:rPr>
              <w:t>67</w:t>
            </w:r>
            <w:r w:rsidR="00A14D9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2FB8993A" w14:textId="394AA571"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12.4 (54</w:t>
            </w:r>
            <w:r w:rsidR="00A14D96"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57DB24EE"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16.1 (1,651)</w:t>
            </w:r>
          </w:p>
        </w:tc>
        <w:tc>
          <w:tcPr>
            <w:tcW w:w="1418" w:type="dxa"/>
            <w:tcBorders>
              <w:left w:val="nil"/>
              <w:right w:val="nil"/>
            </w:tcBorders>
          </w:tcPr>
          <w:p w14:paraId="0D2496A8"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13.8 (462)</w:t>
            </w:r>
          </w:p>
        </w:tc>
        <w:tc>
          <w:tcPr>
            <w:tcW w:w="1417" w:type="dxa"/>
            <w:tcBorders>
              <w:left w:val="nil"/>
              <w:right w:val="nil"/>
            </w:tcBorders>
          </w:tcPr>
          <w:p w14:paraId="4FB4567D"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10.0 (601)</w:t>
            </w:r>
          </w:p>
        </w:tc>
        <w:tc>
          <w:tcPr>
            <w:tcW w:w="1560" w:type="dxa"/>
            <w:tcBorders>
              <w:left w:val="nil"/>
              <w:right w:val="nil"/>
            </w:tcBorders>
          </w:tcPr>
          <w:p w14:paraId="5466E0BC"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14.1 (619)</w:t>
            </w:r>
          </w:p>
        </w:tc>
        <w:tc>
          <w:tcPr>
            <w:tcW w:w="1560" w:type="dxa"/>
            <w:tcBorders>
              <w:left w:val="nil"/>
              <w:right w:val="nil"/>
            </w:tcBorders>
          </w:tcPr>
          <w:p w14:paraId="09C878A6"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14.4 (52)</w:t>
            </w:r>
          </w:p>
        </w:tc>
        <w:tc>
          <w:tcPr>
            <w:tcW w:w="1417" w:type="dxa"/>
            <w:tcBorders>
              <w:left w:val="nil"/>
            </w:tcBorders>
          </w:tcPr>
          <w:p w14:paraId="6AC91E71" w14:textId="77777777" w:rsidR="00220F46" w:rsidRPr="00EE42B8" w:rsidRDefault="00220F46" w:rsidP="00220F46">
            <w:pPr>
              <w:widowControl w:val="0"/>
              <w:autoSpaceDE w:val="0"/>
              <w:autoSpaceDN w:val="0"/>
              <w:spacing w:line="360" w:lineRule="auto"/>
              <w:rPr>
                <w:rFonts w:ascii="Times New Roman" w:eastAsia="Book Antiqua" w:hAnsi="Times New Roman" w:cs="Times New Roman"/>
                <w:sz w:val="20"/>
                <w:szCs w:val="20"/>
              </w:rPr>
            </w:pPr>
            <w:r w:rsidRPr="00EE42B8">
              <w:rPr>
                <w:rFonts w:ascii="Times New Roman" w:eastAsia="Book Antiqua" w:hAnsi="Times New Roman" w:cs="Times New Roman"/>
                <w:sz w:val="20"/>
                <w:szCs w:val="20"/>
              </w:rPr>
              <w:t>10.4 (175)</w:t>
            </w:r>
          </w:p>
        </w:tc>
      </w:tr>
      <w:tr w:rsidR="00220F46" w:rsidRPr="00F5063B" w14:paraId="4758DEAC" w14:textId="77777777" w:rsidTr="003E368E">
        <w:trPr>
          <w:jc w:val="center"/>
        </w:trPr>
        <w:tc>
          <w:tcPr>
            <w:tcW w:w="2983" w:type="dxa"/>
            <w:gridSpan w:val="2"/>
            <w:tcBorders>
              <w:bottom w:val="single" w:sz="4" w:space="0" w:color="auto"/>
              <w:right w:val="nil"/>
            </w:tcBorders>
            <w:vAlign w:val="center"/>
          </w:tcPr>
          <w:p w14:paraId="185CF45F"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History</w:t>
            </w:r>
            <w:proofErr w:type="spellEnd"/>
            <w:r w:rsidRPr="00EE42B8">
              <w:rPr>
                <w:rFonts w:ascii="Times New Roman" w:eastAsia="Calibri" w:hAnsi="Times New Roman" w:cs="Times New Roman"/>
                <w:sz w:val="20"/>
                <w:szCs w:val="20"/>
              </w:rPr>
              <w:t xml:space="preserve"> of </w:t>
            </w:r>
            <w:proofErr w:type="spellStart"/>
            <w:r w:rsidRPr="00EE42B8">
              <w:rPr>
                <w:rFonts w:ascii="Times New Roman" w:eastAsia="Calibri" w:hAnsi="Times New Roman" w:cs="Times New Roman"/>
                <w:sz w:val="20"/>
                <w:szCs w:val="20"/>
              </w:rPr>
              <w:t>bleeding</w:t>
            </w:r>
            <w:proofErr w:type="spellEnd"/>
          </w:p>
        </w:tc>
        <w:tc>
          <w:tcPr>
            <w:tcW w:w="1417" w:type="dxa"/>
            <w:tcBorders>
              <w:left w:val="nil"/>
              <w:bottom w:val="single" w:sz="4" w:space="0" w:color="auto"/>
              <w:right w:val="nil"/>
            </w:tcBorders>
          </w:tcPr>
          <w:p w14:paraId="4117926A" w14:textId="4D7F9A32" w:rsidR="00220F46" w:rsidRPr="00A14D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4D96">
              <w:rPr>
                <w:rFonts w:ascii="Times New Roman" w:eastAsia="Book Antiqua" w:hAnsi="Times New Roman" w:cs="Times New Roman"/>
                <w:sz w:val="20"/>
                <w:szCs w:val="20"/>
              </w:rPr>
              <w:t>19.3 (152)</w:t>
            </w:r>
          </w:p>
        </w:tc>
        <w:tc>
          <w:tcPr>
            <w:tcW w:w="1701" w:type="dxa"/>
            <w:tcBorders>
              <w:left w:val="nil"/>
              <w:bottom w:val="single" w:sz="4" w:space="0" w:color="auto"/>
              <w:right w:val="nil"/>
            </w:tcBorders>
          </w:tcPr>
          <w:p w14:paraId="3ED004C1" w14:textId="788A3D9A"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18.4 (271</w:t>
            </w:r>
            <w:r w:rsidR="00A14D96" w:rsidRPr="00E3404E">
              <w:rPr>
                <w:rFonts w:ascii="Times New Roman" w:eastAsia="Book Antiqua" w:hAnsi="Times New Roman" w:cs="Times New Roman"/>
                <w:color w:val="FFC000"/>
                <w:sz w:val="20"/>
                <w:szCs w:val="20"/>
                <w:lang w:val="en-US"/>
              </w:rPr>
              <w:t>)</w:t>
            </w:r>
          </w:p>
        </w:tc>
        <w:tc>
          <w:tcPr>
            <w:tcW w:w="1701" w:type="dxa"/>
            <w:tcBorders>
              <w:left w:val="nil"/>
              <w:bottom w:val="single" w:sz="4" w:space="0" w:color="auto"/>
              <w:right w:val="single" w:sz="4" w:space="0" w:color="auto"/>
            </w:tcBorders>
          </w:tcPr>
          <w:p w14:paraId="4058C54C" w14:textId="01871BF4"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21.3</w:t>
            </w:r>
            <w:r w:rsidR="00A14D96" w:rsidRPr="00E3404E">
              <w:rPr>
                <w:rFonts w:ascii="Times New Roman" w:eastAsia="Book Antiqua" w:hAnsi="Times New Roman" w:cs="Times New Roman"/>
                <w:color w:val="FFC000"/>
                <w:sz w:val="20"/>
                <w:szCs w:val="20"/>
                <w:lang w:val="en-US"/>
              </w:rPr>
              <w:t xml:space="preserve"> (93)</w:t>
            </w:r>
          </w:p>
        </w:tc>
        <w:tc>
          <w:tcPr>
            <w:tcW w:w="1420" w:type="dxa"/>
            <w:tcBorders>
              <w:left w:val="single" w:sz="4" w:space="0" w:color="auto"/>
              <w:bottom w:val="single" w:sz="4" w:space="0" w:color="auto"/>
              <w:right w:val="nil"/>
            </w:tcBorders>
          </w:tcPr>
          <w:p w14:paraId="2895D7D1" w14:textId="7777777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020F">
              <w:rPr>
                <w:rFonts w:ascii="Times New Roman" w:eastAsia="Book Antiqua" w:hAnsi="Times New Roman" w:cs="Times New Roman"/>
                <w:sz w:val="20"/>
                <w:szCs w:val="20"/>
                <w:lang w:val="en-US"/>
              </w:rPr>
              <w:t>19.1 (1,962)</w:t>
            </w:r>
          </w:p>
        </w:tc>
        <w:tc>
          <w:tcPr>
            <w:tcW w:w="1418" w:type="dxa"/>
            <w:tcBorders>
              <w:left w:val="nil"/>
              <w:bottom w:val="single" w:sz="4" w:space="0" w:color="auto"/>
              <w:right w:val="nil"/>
            </w:tcBorders>
          </w:tcPr>
          <w:p w14:paraId="17853349" w14:textId="7777777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020F">
              <w:rPr>
                <w:rFonts w:ascii="Times New Roman" w:eastAsia="Book Antiqua" w:hAnsi="Times New Roman" w:cs="Times New Roman"/>
                <w:sz w:val="20"/>
                <w:szCs w:val="20"/>
                <w:lang w:val="en-US"/>
              </w:rPr>
              <w:t>18.4 (614)</w:t>
            </w:r>
          </w:p>
        </w:tc>
        <w:tc>
          <w:tcPr>
            <w:tcW w:w="1417" w:type="dxa"/>
            <w:tcBorders>
              <w:left w:val="nil"/>
              <w:bottom w:val="single" w:sz="4" w:space="0" w:color="auto"/>
              <w:right w:val="nil"/>
            </w:tcBorders>
          </w:tcPr>
          <w:p w14:paraId="6C0D407F" w14:textId="7777777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020F">
              <w:rPr>
                <w:rFonts w:ascii="Times New Roman" w:eastAsia="Book Antiqua" w:hAnsi="Times New Roman" w:cs="Times New Roman"/>
                <w:sz w:val="20"/>
                <w:szCs w:val="20"/>
                <w:lang w:val="en-US"/>
              </w:rPr>
              <w:t>15.9 (957)</w:t>
            </w:r>
          </w:p>
        </w:tc>
        <w:tc>
          <w:tcPr>
            <w:tcW w:w="1560" w:type="dxa"/>
            <w:tcBorders>
              <w:left w:val="nil"/>
              <w:bottom w:val="single" w:sz="4" w:space="0" w:color="auto"/>
              <w:right w:val="nil"/>
            </w:tcBorders>
          </w:tcPr>
          <w:p w14:paraId="53704531" w14:textId="7777777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020F">
              <w:rPr>
                <w:rFonts w:ascii="Times New Roman" w:eastAsia="Book Antiqua" w:hAnsi="Times New Roman" w:cs="Times New Roman"/>
                <w:sz w:val="20"/>
                <w:szCs w:val="20"/>
                <w:lang w:val="en-US"/>
              </w:rPr>
              <w:t>20.6 (903)</w:t>
            </w:r>
          </w:p>
        </w:tc>
        <w:tc>
          <w:tcPr>
            <w:tcW w:w="1560" w:type="dxa"/>
            <w:tcBorders>
              <w:left w:val="nil"/>
              <w:bottom w:val="single" w:sz="4" w:space="0" w:color="auto"/>
              <w:right w:val="nil"/>
            </w:tcBorders>
          </w:tcPr>
          <w:p w14:paraId="151B48C9" w14:textId="7777777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020F">
              <w:rPr>
                <w:rFonts w:ascii="Times New Roman" w:eastAsia="Book Antiqua" w:hAnsi="Times New Roman" w:cs="Times New Roman"/>
                <w:sz w:val="20"/>
                <w:szCs w:val="20"/>
                <w:lang w:val="en-US"/>
              </w:rPr>
              <w:t>20.2 (73)</w:t>
            </w:r>
          </w:p>
        </w:tc>
        <w:tc>
          <w:tcPr>
            <w:tcW w:w="1417" w:type="dxa"/>
            <w:tcBorders>
              <w:left w:val="nil"/>
              <w:bottom w:val="single" w:sz="4" w:space="0" w:color="auto"/>
            </w:tcBorders>
          </w:tcPr>
          <w:p w14:paraId="52C414A5" w14:textId="7777777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A1020F">
              <w:rPr>
                <w:rFonts w:ascii="Times New Roman" w:eastAsia="Book Antiqua" w:hAnsi="Times New Roman" w:cs="Times New Roman"/>
                <w:sz w:val="20"/>
                <w:szCs w:val="20"/>
                <w:lang w:val="en-US"/>
              </w:rPr>
              <w:t>16.9 (285)</w:t>
            </w:r>
          </w:p>
        </w:tc>
      </w:tr>
      <w:tr w:rsidR="00220F46" w:rsidRPr="00F5063B" w14:paraId="796AAED8" w14:textId="77777777" w:rsidTr="004041DA">
        <w:trPr>
          <w:jc w:val="center"/>
        </w:trPr>
        <w:tc>
          <w:tcPr>
            <w:tcW w:w="16594" w:type="dxa"/>
            <w:gridSpan w:val="11"/>
            <w:tcBorders>
              <w:left w:val="single" w:sz="4" w:space="0" w:color="auto"/>
              <w:right w:val="single" w:sz="4" w:space="0" w:color="auto"/>
            </w:tcBorders>
          </w:tcPr>
          <w:p w14:paraId="3763596E" w14:textId="4D532D97" w:rsidR="00220F46" w:rsidRPr="00A1020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r>
      <w:tr w:rsidR="00717707" w:rsidRPr="00717707" w14:paraId="2310B641" w14:textId="77777777" w:rsidTr="003E368E">
        <w:trPr>
          <w:jc w:val="center"/>
        </w:trPr>
        <w:tc>
          <w:tcPr>
            <w:tcW w:w="2983" w:type="dxa"/>
            <w:gridSpan w:val="2"/>
            <w:tcBorders>
              <w:right w:val="nil"/>
            </w:tcBorders>
            <w:vAlign w:val="center"/>
          </w:tcPr>
          <w:p w14:paraId="0CC2852A" w14:textId="77777777"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szCs w:val="20"/>
                <w:lang w:val="en-US"/>
              </w:rPr>
              <w:t>CHA</w:t>
            </w:r>
            <w:r w:rsidRPr="00F50FB7">
              <w:rPr>
                <w:rFonts w:ascii="Times New Roman" w:eastAsia="Calibri" w:hAnsi="Times New Roman" w:cs="Times New Roman"/>
                <w:sz w:val="20"/>
                <w:szCs w:val="20"/>
                <w:vertAlign w:val="subscript"/>
                <w:lang w:val="en-US"/>
              </w:rPr>
              <w:t>2</w:t>
            </w:r>
            <w:r w:rsidRPr="00F50FB7">
              <w:rPr>
                <w:rFonts w:ascii="Times New Roman" w:eastAsia="Calibri" w:hAnsi="Times New Roman" w:cs="Times New Roman"/>
                <w:sz w:val="20"/>
                <w:szCs w:val="20"/>
                <w:lang w:val="en-US"/>
              </w:rPr>
              <w:t>DS</w:t>
            </w:r>
            <w:r w:rsidRPr="00F50FB7">
              <w:rPr>
                <w:rFonts w:ascii="Times New Roman" w:eastAsia="Calibri" w:hAnsi="Times New Roman" w:cs="Times New Roman"/>
                <w:sz w:val="20"/>
                <w:szCs w:val="20"/>
                <w:vertAlign w:val="subscript"/>
                <w:lang w:val="en-US"/>
              </w:rPr>
              <w:t>2</w:t>
            </w:r>
            <w:r w:rsidRPr="00F50FB7">
              <w:rPr>
                <w:rFonts w:ascii="Times New Roman" w:eastAsia="Calibri" w:hAnsi="Times New Roman" w:cs="Times New Roman"/>
                <w:sz w:val="20"/>
                <w:szCs w:val="20"/>
                <w:lang w:val="en-US"/>
              </w:rPr>
              <w:t>-VASc score (mean ±SD)</w:t>
            </w:r>
          </w:p>
        </w:tc>
        <w:tc>
          <w:tcPr>
            <w:tcW w:w="1417" w:type="dxa"/>
            <w:tcBorders>
              <w:left w:val="nil"/>
              <w:right w:val="nil"/>
            </w:tcBorders>
          </w:tcPr>
          <w:p w14:paraId="1D7B56EE" w14:textId="6A9C5772"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3.8 (1.9)</w:t>
            </w:r>
          </w:p>
        </w:tc>
        <w:tc>
          <w:tcPr>
            <w:tcW w:w="1701" w:type="dxa"/>
            <w:tcBorders>
              <w:left w:val="nil"/>
              <w:right w:val="nil"/>
            </w:tcBorders>
          </w:tcPr>
          <w:p w14:paraId="72004BE8" w14:textId="61DEA568"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2.</w:t>
            </w:r>
            <w:r w:rsidR="004C735F" w:rsidRPr="00E3404E">
              <w:rPr>
                <w:rFonts w:ascii="Times New Roman" w:eastAsia="Book Antiqua" w:hAnsi="Times New Roman" w:cs="Times New Roman"/>
                <w:color w:val="FFC000"/>
                <w:sz w:val="20"/>
                <w:szCs w:val="20"/>
                <w:lang w:val="en-US"/>
              </w:rPr>
              <w:t>5</w:t>
            </w:r>
            <w:r w:rsidR="00220F46" w:rsidRPr="00E3404E">
              <w:rPr>
                <w:rFonts w:ascii="Times New Roman" w:eastAsia="Book Antiqua" w:hAnsi="Times New Roman" w:cs="Times New Roman"/>
                <w:color w:val="FFC000"/>
                <w:sz w:val="20"/>
                <w:szCs w:val="20"/>
                <w:lang w:val="en-US"/>
              </w:rPr>
              <w:t xml:space="preserve"> (1.8)</w:t>
            </w:r>
          </w:p>
        </w:tc>
        <w:tc>
          <w:tcPr>
            <w:tcW w:w="1701" w:type="dxa"/>
            <w:tcBorders>
              <w:left w:val="nil"/>
              <w:right w:val="single" w:sz="4" w:space="0" w:color="auto"/>
            </w:tcBorders>
          </w:tcPr>
          <w:p w14:paraId="1FC2A48E" w14:textId="50FF5AE7" w:rsidR="00220F46" w:rsidRPr="00E3404E" w:rsidRDefault="00A14D96" w:rsidP="00A14D9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 xml:space="preserve">2.6 </w:t>
            </w:r>
            <w:r w:rsidR="00220F46" w:rsidRPr="00E3404E">
              <w:rPr>
                <w:rFonts w:ascii="Times New Roman" w:eastAsia="Book Antiqua" w:hAnsi="Times New Roman" w:cs="Times New Roman"/>
                <w:color w:val="FFC000"/>
                <w:sz w:val="20"/>
                <w:szCs w:val="20"/>
                <w:lang w:val="en-US"/>
              </w:rPr>
              <w:t>(1.8)</w:t>
            </w:r>
          </w:p>
        </w:tc>
        <w:tc>
          <w:tcPr>
            <w:tcW w:w="1420" w:type="dxa"/>
            <w:tcBorders>
              <w:left w:val="single" w:sz="4" w:space="0" w:color="auto"/>
              <w:right w:val="nil"/>
            </w:tcBorders>
          </w:tcPr>
          <w:p w14:paraId="092FA8FE"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4.1 (1.6)</w:t>
            </w:r>
          </w:p>
        </w:tc>
        <w:tc>
          <w:tcPr>
            <w:tcW w:w="1418" w:type="dxa"/>
            <w:tcBorders>
              <w:left w:val="nil"/>
              <w:right w:val="nil"/>
            </w:tcBorders>
          </w:tcPr>
          <w:p w14:paraId="0472BDBE"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3.5 (1.8)</w:t>
            </w:r>
          </w:p>
        </w:tc>
        <w:tc>
          <w:tcPr>
            <w:tcW w:w="1417" w:type="dxa"/>
            <w:tcBorders>
              <w:left w:val="nil"/>
              <w:right w:val="nil"/>
            </w:tcBorders>
          </w:tcPr>
          <w:p w14:paraId="40E5CE9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3.3 (1.9)</w:t>
            </w:r>
          </w:p>
        </w:tc>
        <w:tc>
          <w:tcPr>
            <w:tcW w:w="1560" w:type="dxa"/>
            <w:tcBorders>
              <w:left w:val="nil"/>
              <w:right w:val="nil"/>
            </w:tcBorders>
          </w:tcPr>
          <w:p w14:paraId="4B33ED12"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3.9 (1.6)</w:t>
            </w:r>
          </w:p>
        </w:tc>
        <w:tc>
          <w:tcPr>
            <w:tcW w:w="1560" w:type="dxa"/>
            <w:tcBorders>
              <w:left w:val="nil"/>
              <w:right w:val="nil"/>
            </w:tcBorders>
          </w:tcPr>
          <w:p w14:paraId="221AA06F"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3.6 (1.7)</w:t>
            </w:r>
          </w:p>
        </w:tc>
        <w:tc>
          <w:tcPr>
            <w:tcW w:w="1417" w:type="dxa"/>
            <w:tcBorders>
              <w:left w:val="nil"/>
            </w:tcBorders>
          </w:tcPr>
          <w:p w14:paraId="72899471"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3.5 (1.8)</w:t>
            </w:r>
          </w:p>
        </w:tc>
      </w:tr>
      <w:tr w:rsidR="00220F46" w:rsidRPr="004C735F" w14:paraId="3D31F85F" w14:textId="77777777" w:rsidTr="003E368E">
        <w:trPr>
          <w:jc w:val="center"/>
        </w:trPr>
        <w:tc>
          <w:tcPr>
            <w:tcW w:w="2983" w:type="dxa"/>
            <w:gridSpan w:val="2"/>
            <w:tcBorders>
              <w:right w:val="nil"/>
            </w:tcBorders>
            <w:vAlign w:val="center"/>
          </w:tcPr>
          <w:p w14:paraId="532C9130" w14:textId="77777777"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szCs w:val="20"/>
                <w:lang w:val="en-US"/>
              </w:rPr>
              <w:t>HAS-BLED score (mean ±SD)</w:t>
            </w:r>
          </w:p>
        </w:tc>
        <w:tc>
          <w:tcPr>
            <w:tcW w:w="1417" w:type="dxa"/>
            <w:tcBorders>
              <w:left w:val="nil"/>
              <w:right w:val="nil"/>
            </w:tcBorders>
          </w:tcPr>
          <w:p w14:paraId="6FCAB367" w14:textId="753FB9AC"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2.4 (1.3)</w:t>
            </w:r>
          </w:p>
        </w:tc>
        <w:tc>
          <w:tcPr>
            <w:tcW w:w="1701" w:type="dxa"/>
            <w:tcBorders>
              <w:left w:val="nil"/>
              <w:right w:val="nil"/>
            </w:tcBorders>
          </w:tcPr>
          <w:p w14:paraId="3FE98C47" w14:textId="7C6FAD1A"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1.9</w:t>
            </w:r>
            <w:r w:rsidR="00220F46" w:rsidRPr="00E3404E">
              <w:rPr>
                <w:rFonts w:ascii="Times New Roman" w:eastAsia="Book Antiqua" w:hAnsi="Times New Roman" w:cs="Times New Roman"/>
                <w:color w:val="FFC000"/>
                <w:sz w:val="20"/>
                <w:szCs w:val="20"/>
                <w:lang w:val="en-US"/>
              </w:rPr>
              <w:t xml:space="preserve"> (1.3)</w:t>
            </w:r>
          </w:p>
        </w:tc>
        <w:tc>
          <w:tcPr>
            <w:tcW w:w="1701" w:type="dxa"/>
            <w:tcBorders>
              <w:left w:val="nil"/>
              <w:right w:val="single" w:sz="4" w:space="0" w:color="auto"/>
            </w:tcBorders>
          </w:tcPr>
          <w:p w14:paraId="4E5175DF" w14:textId="49D286C1"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1.8</w:t>
            </w:r>
            <w:r w:rsidR="00220F46" w:rsidRPr="00E3404E">
              <w:rPr>
                <w:rFonts w:ascii="Times New Roman" w:eastAsia="Book Antiqua" w:hAnsi="Times New Roman" w:cs="Times New Roman"/>
                <w:color w:val="FFC000"/>
                <w:sz w:val="20"/>
                <w:szCs w:val="20"/>
                <w:lang w:val="en-US"/>
              </w:rPr>
              <w:t xml:space="preserve"> (1.2)</w:t>
            </w:r>
          </w:p>
        </w:tc>
        <w:tc>
          <w:tcPr>
            <w:tcW w:w="1420" w:type="dxa"/>
            <w:tcBorders>
              <w:left w:val="single" w:sz="4" w:space="0" w:color="auto"/>
              <w:right w:val="nil"/>
            </w:tcBorders>
          </w:tcPr>
          <w:p w14:paraId="2623C4CE"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2.6 (1.1)</w:t>
            </w:r>
          </w:p>
        </w:tc>
        <w:tc>
          <w:tcPr>
            <w:tcW w:w="1418" w:type="dxa"/>
            <w:tcBorders>
              <w:left w:val="nil"/>
              <w:right w:val="nil"/>
            </w:tcBorders>
          </w:tcPr>
          <w:p w14:paraId="4541CFAD" w14:textId="77777777" w:rsidR="00220F46" w:rsidRPr="004C735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4C735F">
              <w:rPr>
                <w:rFonts w:ascii="Times New Roman" w:eastAsia="Book Antiqua" w:hAnsi="Times New Roman" w:cs="Times New Roman"/>
                <w:sz w:val="20"/>
                <w:szCs w:val="20"/>
                <w:lang w:val="en-US"/>
              </w:rPr>
              <w:t>2.4 (1.2)</w:t>
            </w:r>
          </w:p>
        </w:tc>
        <w:tc>
          <w:tcPr>
            <w:tcW w:w="1417" w:type="dxa"/>
            <w:tcBorders>
              <w:left w:val="nil"/>
              <w:right w:val="nil"/>
            </w:tcBorders>
          </w:tcPr>
          <w:p w14:paraId="08C90C93" w14:textId="77777777" w:rsidR="00220F46" w:rsidRPr="004C735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4C735F">
              <w:rPr>
                <w:rFonts w:ascii="Times New Roman" w:eastAsia="Book Antiqua" w:hAnsi="Times New Roman" w:cs="Times New Roman"/>
                <w:sz w:val="20"/>
                <w:szCs w:val="20"/>
                <w:lang w:val="en-US"/>
              </w:rPr>
              <w:t>2.2 (1.2)</w:t>
            </w:r>
          </w:p>
        </w:tc>
        <w:tc>
          <w:tcPr>
            <w:tcW w:w="1560" w:type="dxa"/>
            <w:tcBorders>
              <w:left w:val="nil"/>
              <w:right w:val="nil"/>
            </w:tcBorders>
          </w:tcPr>
          <w:p w14:paraId="23F40605" w14:textId="77777777" w:rsidR="00220F46" w:rsidRPr="004C735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4C735F">
              <w:rPr>
                <w:rFonts w:ascii="Times New Roman" w:eastAsia="Book Antiqua" w:hAnsi="Times New Roman" w:cs="Times New Roman"/>
                <w:sz w:val="20"/>
                <w:szCs w:val="20"/>
                <w:lang w:val="en-US"/>
              </w:rPr>
              <w:t>2.9 (1.1)</w:t>
            </w:r>
          </w:p>
        </w:tc>
        <w:tc>
          <w:tcPr>
            <w:tcW w:w="1560" w:type="dxa"/>
            <w:tcBorders>
              <w:left w:val="nil"/>
              <w:right w:val="nil"/>
            </w:tcBorders>
          </w:tcPr>
          <w:p w14:paraId="6397C482" w14:textId="77777777" w:rsidR="00220F46" w:rsidRPr="004C735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4C735F">
              <w:rPr>
                <w:rFonts w:ascii="Times New Roman" w:eastAsia="Book Antiqua" w:hAnsi="Times New Roman" w:cs="Times New Roman"/>
                <w:sz w:val="20"/>
                <w:szCs w:val="20"/>
                <w:lang w:val="en-US"/>
              </w:rPr>
              <w:t>2.7 (1.1)</w:t>
            </w:r>
          </w:p>
        </w:tc>
        <w:tc>
          <w:tcPr>
            <w:tcW w:w="1417" w:type="dxa"/>
            <w:tcBorders>
              <w:left w:val="nil"/>
            </w:tcBorders>
          </w:tcPr>
          <w:p w14:paraId="505A8F22" w14:textId="77777777" w:rsidR="00220F46" w:rsidRPr="004C735F"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4C735F">
              <w:rPr>
                <w:rFonts w:ascii="Times New Roman" w:eastAsia="Book Antiqua" w:hAnsi="Times New Roman" w:cs="Times New Roman"/>
                <w:sz w:val="20"/>
                <w:szCs w:val="20"/>
                <w:lang w:val="en-US"/>
              </w:rPr>
              <w:t>2.4 (1.2)</w:t>
            </w:r>
          </w:p>
        </w:tc>
      </w:tr>
      <w:tr w:rsidR="00717707" w:rsidRPr="00717707" w14:paraId="14FB16CB" w14:textId="77777777" w:rsidTr="003E368E">
        <w:trPr>
          <w:jc w:val="center"/>
        </w:trPr>
        <w:tc>
          <w:tcPr>
            <w:tcW w:w="2983" w:type="dxa"/>
            <w:gridSpan w:val="2"/>
            <w:tcBorders>
              <w:right w:val="nil"/>
            </w:tcBorders>
            <w:vAlign w:val="center"/>
          </w:tcPr>
          <w:p w14:paraId="4112395E" w14:textId="77777777"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szCs w:val="20"/>
                <w:lang w:val="en-US"/>
              </w:rPr>
              <w:t>Charlson comorbidity index score (mean ±SD)</w:t>
            </w:r>
          </w:p>
        </w:tc>
        <w:tc>
          <w:tcPr>
            <w:tcW w:w="1417" w:type="dxa"/>
            <w:tcBorders>
              <w:left w:val="nil"/>
              <w:right w:val="nil"/>
            </w:tcBorders>
          </w:tcPr>
          <w:p w14:paraId="732F915A" w14:textId="5A136E22"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4C735F">
              <w:rPr>
                <w:rFonts w:ascii="Times New Roman" w:eastAsia="Book Antiqua" w:hAnsi="Times New Roman" w:cs="Times New Roman"/>
                <w:sz w:val="20"/>
                <w:szCs w:val="20"/>
                <w:lang w:val="en-US"/>
              </w:rPr>
              <w:t>1.5 (1.7)</w:t>
            </w:r>
          </w:p>
        </w:tc>
        <w:tc>
          <w:tcPr>
            <w:tcW w:w="1701" w:type="dxa"/>
            <w:tcBorders>
              <w:left w:val="nil"/>
              <w:right w:val="nil"/>
            </w:tcBorders>
          </w:tcPr>
          <w:p w14:paraId="7F1E8033" w14:textId="464D25E8"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1.2 (1.6</w:t>
            </w:r>
            <w:r w:rsidR="00220F46" w:rsidRPr="00E3404E">
              <w:rPr>
                <w:rFonts w:ascii="Times New Roman" w:eastAsia="Book Antiqua" w:hAnsi="Times New Roman" w:cs="Times New Roman"/>
                <w:color w:val="FFC000"/>
                <w:sz w:val="20"/>
                <w:szCs w:val="20"/>
                <w:lang w:val="en-US"/>
              </w:rPr>
              <w:t>)</w:t>
            </w:r>
          </w:p>
        </w:tc>
        <w:tc>
          <w:tcPr>
            <w:tcW w:w="1701" w:type="dxa"/>
            <w:tcBorders>
              <w:left w:val="nil"/>
              <w:right w:val="single" w:sz="4" w:space="0" w:color="auto"/>
            </w:tcBorders>
          </w:tcPr>
          <w:p w14:paraId="02E83178" w14:textId="0B2E19CC"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1.3 (1.7</w:t>
            </w:r>
            <w:r w:rsidR="00220F46" w:rsidRPr="00E3404E">
              <w:rPr>
                <w:rFonts w:ascii="Times New Roman" w:eastAsia="Book Antiqua" w:hAnsi="Times New Roman" w:cs="Times New Roman"/>
                <w:color w:val="FFC000"/>
                <w:sz w:val="20"/>
                <w:szCs w:val="20"/>
                <w:lang w:val="en-US"/>
              </w:rPr>
              <w:t>)</w:t>
            </w:r>
          </w:p>
        </w:tc>
        <w:tc>
          <w:tcPr>
            <w:tcW w:w="1420" w:type="dxa"/>
            <w:tcBorders>
              <w:left w:val="single" w:sz="4" w:space="0" w:color="auto"/>
              <w:right w:val="nil"/>
            </w:tcBorders>
          </w:tcPr>
          <w:p w14:paraId="20BE812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1.6 (1.8)</w:t>
            </w:r>
          </w:p>
        </w:tc>
        <w:tc>
          <w:tcPr>
            <w:tcW w:w="1418" w:type="dxa"/>
            <w:tcBorders>
              <w:left w:val="nil"/>
              <w:right w:val="nil"/>
            </w:tcBorders>
          </w:tcPr>
          <w:p w14:paraId="476E076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1.4 (1.8)</w:t>
            </w:r>
          </w:p>
        </w:tc>
        <w:tc>
          <w:tcPr>
            <w:tcW w:w="1417" w:type="dxa"/>
            <w:tcBorders>
              <w:left w:val="nil"/>
              <w:right w:val="nil"/>
            </w:tcBorders>
          </w:tcPr>
          <w:p w14:paraId="631F7893"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1.2 (1.7)</w:t>
            </w:r>
          </w:p>
        </w:tc>
        <w:tc>
          <w:tcPr>
            <w:tcW w:w="1560" w:type="dxa"/>
            <w:tcBorders>
              <w:left w:val="nil"/>
              <w:right w:val="nil"/>
            </w:tcBorders>
          </w:tcPr>
          <w:p w14:paraId="49617E09"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1.6 (1.8)</w:t>
            </w:r>
          </w:p>
        </w:tc>
        <w:tc>
          <w:tcPr>
            <w:tcW w:w="1560" w:type="dxa"/>
            <w:tcBorders>
              <w:left w:val="nil"/>
              <w:right w:val="nil"/>
            </w:tcBorders>
          </w:tcPr>
          <w:p w14:paraId="3C2D08E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1.6 (2.0)</w:t>
            </w:r>
          </w:p>
        </w:tc>
        <w:tc>
          <w:tcPr>
            <w:tcW w:w="1417" w:type="dxa"/>
            <w:tcBorders>
              <w:left w:val="nil"/>
            </w:tcBorders>
          </w:tcPr>
          <w:p w14:paraId="26BBFD8F"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1.2 (1.7)</w:t>
            </w:r>
          </w:p>
        </w:tc>
      </w:tr>
      <w:tr w:rsidR="00717707" w:rsidRPr="00717707" w14:paraId="2157756B" w14:textId="77777777" w:rsidTr="004041DA">
        <w:trPr>
          <w:jc w:val="center"/>
        </w:trPr>
        <w:tc>
          <w:tcPr>
            <w:tcW w:w="16594" w:type="dxa"/>
            <w:gridSpan w:val="11"/>
          </w:tcPr>
          <w:p w14:paraId="7FA613ED" w14:textId="502921E2"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Time since VHD diagnosis:</w:t>
            </w:r>
          </w:p>
        </w:tc>
      </w:tr>
      <w:tr w:rsidR="00220F46" w:rsidRPr="00717707" w14:paraId="38DBED33" w14:textId="77777777" w:rsidTr="003E368E">
        <w:trPr>
          <w:jc w:val="center"/>
        </w:trPr>
        <w:tc>
          <w:tcPr>
            <w:tcW w:w="2983" w:type="dxa"/>
            <w:gridSpan w:val="2"/>
            <w:tcBorders>
              <w:right w:val="nil"/>
            </w:tcBorders>
            <w:vAlign w:val="center"/>
          </w:tcPr>
          <w:p w14:paraId="33404956" w14:textId="77777777"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szCs w:val="20"/>
                <w:lang w:val="en-US"/>
              </w:rPr>
              <w:t>Within 6 months before index date</w:t>
            </w:r>
          </w:p>
        </w:tc>
        <w:tc>
          <w:tcPr>
            <w:tcW w:w="1417" w:type="dxa"/>
            <w:tcBorders>
              <w:left w:val="nil"/>
              <w:right w:val="nil"/>
            </w:tcBorders>
          </w:tcPr>
          <w:p w14:paraId="444A3C50" w14:textId="3FF37AD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36.8 (290)</w:t>
            </w:r>
          </w:p>
        </w:tc>
        <w:tc>
          <w:tcPr>
            <w:tcW w:w="1701" w:type="dxa"/>
            <w:tcBorders>
              <w:left w:val="nil"/>
              <w:right w:val="nil"/>
            </w:tcBorders>
          </w:tcPr>
          <w:p w14:paraId="06C08D71" w14:textId="00209E69"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33.1</w:t>
            </w:r>
            <w:r w:rsidR="00A14D96"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488</w:t>
            </w:r>
            <w:r w:rsidR="00220F4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6EF89B42" w14:textId="68C90A9C"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30.9 (135</w:t>
            </w:r>
            <w:r w:rsidR="00220F46"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526916C8"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41.5 (4,261)</w:t>
            </w:r>
          </w:p>
        </w:tc>
        <w:tc>
          <w:tcPr>
            <w:tcW w:w="1418" w:type="dxa"/>
            <w:tcBorders>
              <w:left w:val="nil"/>
              <w:right w:val="nil"/>
            </w:tcBorders>
          </w:tcPr>
          <w:p w14:paraId="249BCE66"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34.1 (1,139)</w:t>
            </w:r>
          </w:p>
        </w:tc>
        <w:tc>
          <w:tcPr>
            <w:tcW w:w="1417" w:type="dxa"/>
            <w:tcBorders>
              <w:left w:val="nil"/>
              <w:right w:val="nil"/>
            </w:tcBorders>
          </w:tcPr>
          <w:p w14:paraId="0849ED6F"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42.3 (2,543)</w:t>
            </w:r>
          </w:p>
        </w:tc>
        <w:tc>
          <w:tcPr>
            <w:tcW w:w="1560" w:type="dxa"/>
            <w:tcBorders>
              <w:left w:val="nil"/>
              <w:right w:val="nil"/>
            </w:tcBorders>
          </w:tcPr>
          <w:p w14:paraId="17266EA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36.4 (1,597)</w:t>
            </w:r>
          </w:p>
        </w:tc>
        <w:tc>
          <w:tcPr>
            <w:tcW w:w="1560" w:type="dxa"/>
            <w:tcBorders>
              <w:left w:val="nil"/>
              <w:right w:val="nil"/>
            </w:tcBorders>
          </w:tcPr>
          <w:p w14:paraId="386FC06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44.2 (160)</w:t>
            </w:r>
          </w:p>
        </w:tc>
        <w:tc>
          <w:tcPr>
            <w:tcW w:w="1417" w:type="dxa"/>
            <w:tcBorders>
              <w:left w:val="nil"/>
            </w:tcBorders>
          </w:tcPr>
          <w:p w14:paraId="3235110D"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34.9 (588)</w:t>
            </w:r>
          </w:p>
        </w:tc>
      </w:tr>
      <w:tr w:rsidR="00220F46" w:rsidRPr="00717707" w14:paraId="5627F8E2" w14:textId="77777777" w:rsidTr="003E368E">
        <w:trPr>
          <w:jc w:val="center"/>
        </w:trPr>
        <w:tc>
          <w:tcPr>
            <w:tcW w:w="2983" w:type="dxa"/>
            <w:gridSpan w:val="2"/>
            <w:tcBorders>
              <w:bottom w:val="single" w:sz="4" w:space="0" w:color="auto"/>
              <w:right w:val="nil"/>
            </w:tcBorders>
            <w:vAlign w:val="center"/>
          </w:tcPr>
          <w:p w14:paraId="68279052"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Median, </w:t>
            </w:r>
            <w:proofErr w:type="spellStart"/>
            <w:r w:rsidRPr="00EE42B8">
              <w:rPr>
                <w:rFonts w:ascii="Times New Roman" w:eastAsia="Calibri" w:hAnsi="Times New Roman" w:cs="Times New Roman"/>
                <w:sz w:val="20"/>
                <w:szCs w:val="20"/>
              </w:rPr>
              <w:t>days</w:t>
            </w:r>
            <w:proofErr w:type="spellEnd"/>
            <w:r w:rsidRPr="00EE42B8">
              <w:rPr>
                <w:rFonts w:ascii="Times New Roman" w:eastAsia="Calibri" w:hAnsi="Times New Roman" w:cs="Times New Roman"/>
                <w:sz w:val="20"/>
                <w:szCs w:val="20"/>
              </w:rPr>
              <w:t xml:space="preserve"> (IQR)</w:t>
            </w:r>
          </w:p>
        </w:tc>
        <w:tc>
          <w:tcPr>
            <w:tcW w:w="1417" w:type="dxa"/>
            <w:tcBorders>
              <w:left w:val="nil"/>
              <w:bottom w:val="single" w:sz="4" w:space="0" w:color="auto"/>
              <w:right w:val="nil"/>
            </w:tcBorders>
            <w:shd w:val="clear" w:color="auto" w:fill="auto"/>
          </w:tcPr>
          <w:p w14:paraId="50D88EFA" w14:textId="2969E00B"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526 (1-2,106)</w:t>
            </w:r>
          </w:p>
        </w:tc>
        <w:tc>
          <w:tcPr>
            <w:tcW w:w="1701" w:type="dxa"/>
            <w:tcBorders>
              <w:left w:val="nil"/>
              <w:bottom w:val="single" w:sz="4" w:space="0" w:color="auto"/>
              <w:right w:val="nil"/>
            </w:tcBorders>
          </w:tcPr>
          <w:p w14:paraId="03F9330E" w14:textId="2AA1F17E" w:rsidR="00220F46" w:rsidRPr="00E3404E" w:rsidRDefault="004C735F"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881</w:t>
            </w:r>
            <w:r w:rsidR="00A14D96" w:rsidRPr="00E3404E">
              <w:rPr>
                <w:rFonts w:ascii="Times New Roman" w:eastAsia="Book Antiqua" w:hAnsi="Times New Roman" w:cs="Times New Roman"/>
                <w:color w:val="FFC000"/>
                <w:sz w:val="20"/>
                <w:szCs w:val="20"/>
              </w:rPr>
              <w:t xml:space="preserve"> (21</w:t>
            </w:r>
            <w:r w:rsidRPr="00E3404E">
              <w:rPr>
                <w:rFonts w:ascii="Times New Roman" w:eastAsia="Book Antiqua" w:hAnsi="Times New Roman" w:cs="Times New Roman"/>
                <w:color w:val="FFC000"/>
                <w:sz w:val="20"/>
                <w:szCs w:val="20"/>
              </w:rPr>
              <w:t>-3,231</w:t>
            </w:r>
            <w:r w:rsidR="00220F46" w:rsidRPr="00E3404E">
              <w:rPr>
                <w:rFonts w:ascii="Times New Roman" w:eastAsia="Book Antiqua" w:hAnsi="Times New Roman" w:cs="Times New Roman"/>
                <w:color w:val="FFC000"/>
                <w:sz w:val="20"/>
                <w:szCs w:val="20"/>
              </w:rPr>
              <w:t>)</w:t>
            </w:r>
          </w:p>
        </w:tc>
        <w:tc>
          <w:tcPr>
            <w:tcW w:w="1701" w:type="dxa"/>
            <w:tcBorders>
              <w:left w:val="nil"/>
              <w:bottom w:val="single" w:sz="4" w:space="0" w:color="auto"/>
              <w:right w:val="single" w:sz="4" w:space="0" w:color="auto"/>
            </w:tcBorders>
            <w:shd w:val="clear" w:color="auto" w:fill="auto"/>
          </w:tcPr>
          <w:p w14:paraId="1EF1E9F5" w14:textId="34DAF517" w:rsidR="00220F46" w:rsidRPr="00E3404E" w:rsidRDefault="00A14D9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w:t>
            </w:r>
            <w:r w:rsidR="004C735F" w:rsidRPr="00E3404E">
              <w:rPr>
                <w:rFonts w:ascii="Times New Roman" w:eastAsia="Book Antiqua" w:hAnsi="Times New Roman" w:cs="Times New Roman"/>
                <w:color w:val="FFC000"/>
                <w:sz w:val="20"/>
                <w:szCs w:val="20"/>
              </w:rPr>
              <w:t>295</w:t>
            </w:r>
            <w:r w:rsidRPr="00E3404E">
              <w:rPr>
                <w:rFonts w:ascii="Times New Roman" w:eastAsia="Book Antiqua" w:hAnsi="Times New Roman" w:cs="Times New Roman"/>
                <w:color w:val="FFC000"/>
                <w:sz w:val="20"/>
                <w:szCs w:val="20"/>
              </w:rPr>
              <w:t xml:space="preserve"> (7</w:t>
            </w:r>
            <w:r w:rsidR="004C735F" w:rsidRPr="00E3404E">
              <w:rPr>
                <w:rFonts w:ascii="Times New Roman" w:eastAsia="Book Antiqua" w:hAnsi="Times New Roman" w:cs="Times New Roman"/>
                <w:color w:val="FFC000"/>
                <w:sz w:val="20"/>
                <w:szCs w:val="20"/>
              </w:rPr>
              <w:t>2</w:t>
            </w:r>
            <w:r w:rsidRPr="00E3404E">
              <w:rPr>
                <w:rFonts w:ascii="Times New Roman" w:eastAsia="Book Antiqua" w:hAnsi="Times New Roman" w:cs="Times New Roman"/>
                <w:color w:val="FFC000"/>
                <w:sz w:val="20"/>
                <w:szCs w:val="20"/>
              </w:rPr>
              <w:t>-3,3</w:t>
            </w:r>
            <w:r w:rsidR="004C735F" w:rsidRPr="00E3404E">
              <w:rPr>
                <w:rFonts w:ascii="Times New Roman" w:eastAsia="Book Antiqua" w:hAnsi="Times New Roman" w:cs="Times New Roman"/>
                <w:color w:val="FFC000"/>
                <w:sz w:val="20"/>
                <w:szCs w:val="20"/>
              </w:rPr>
              <w:t>05</w:t>
            </w:r>
            <w:r w:rsidR="00220F46" w:rsidRPr="00E3404E">
              <w:rPr>
                <w:rFonts w:ascii="Times New Roman" w:eastAsia="Book Antiqua" w:hAnsi="Times New Roman" w:cs="Times New Roman"/>
                <w:color w:val="FFC000"/>
                <w:sz w:val="20"/>
                <w:szCs w:val="20"/>
              </w:rPr>
              <w:t>)</w:t>
            </w:r>
          </w:p>
        </w:tc>
        <w:tc>
          <w:tcPr>
            <w:tcW w:w="1420" w:type="dxa"/>
            <w:tcBorders>
              <w:left w:val="single" w:sz="4" w:space="0" w:color="auto"/>
              <w:bottom w:val="single" w:sz="4" w:space="0" w:color="auto"/>
              <w:right w:val="nil"/>
            </w:tcBorders>
          </w:tcPr>
          <w:p w14:paraId="41A92D60"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315 (0-1,425)</w:t>
            </w:r>
          </w:p>
        </w:tc>
        <w:tc>
          <w:tcPr>
            <w:tcW w:w="1418" w:type="dxa"/>
            <w:tcBorders>
              <w:left w:val="nil"/>
              <w:bottom w:val="single" w:sz="4" w:space="0" w:color="auto"/>
              <w:right w:val="nil"/>
            </w:tcBorders>
          </w:tcPr>
          <w:p w14:paraId="123E9FC2"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702 (0-2,350)</w:t>
            </w:r>
          </w:p>
        </w:tc>
        <w:tc>
          <w:tcPr>
            <w:tcW w:w="1417" w:type="dxa"/>
            <w:tcBorders>
              <w:left w:val="nil"/>
              <w:bottom w:val="single" w:sz="4" w:space="0" w:color="auto"/>
              <w:right w:val="nil"/>
            </w:tcBorders>
          </w:tcPr>
          <w:p w14:paraId="07838DD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283 (0-1,894)</w:t>
            </w:r>
          </w:p>
        </w:tc>
        <w:tc>
          <w:tcPr>
            <w:tcW w:w="1560" w:type="dxa"/>
            <w:tcBorders>
              <w:left w:val="nil"/>
              <w:bottom w:val="single" w:sz="4" w:space="0" w:color="auto"/>
              <w:right w:val="nil"/>
            </w:tcBorders>
          </w:tcPr>
          <w:p w14:paraId="5CE4A1E8"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622 (87-2,112)</w:t>
            </w:r>
          </w:p>
        </w:tc>
        <w:tc>
          <w:tcPr>
            <w:tcW w:w="1560" w:type="dxa"/>
            <w:tcBorders>
              <w:left w:val="nil"/>
              <w:bottom w:val="single" w:sz="4" w:space="0" w:color="auto"/>
              <w:right w:val="nil"/>
            </w:tcBorders>
          </w:tcPr>
          <w:p w14:paraId="4A241B58"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295 (44-1,680)</w:t>
            </w:r>
          </w:p>
        </w:tc>
        <w:tc>
          <w:tcPr>
            <w:tcW w:w="1417" w:type="dxa"/>
            <w:tcBorders>
              <w:left w:val="nil"/>
              <w:bottom w:val="single" w:sz="4" w:space="0" w:color="auto"/>
            </w:tcBorders>
          </w:tcPr>
          <w:p w14:paraId="6639E58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901 (6-2,453)</w:t>
            </w:r>
          </w:p>
        </w:tc>
      </w:tr>
      <w:tr w:rsidR="00717707" w:rsidRPr="00717707" w14:paraId="1DFA721E" w14:textId="77777777" w:rsidTr="004041DA">
        <w:trPr>
          <w:jc w:val="center"/>
        </w:trPr>
        <w:tc>
          <w:tcPr>
            <w:tcW w:w="16594" w:type="dxa"/>
            <w:gridSpan w:val="11"/>
            <w:tcBorders>
              <w:left w:val="single" w:sz="4" w:space="0" w:color="auto"/>
            </w:tcBorders>
          </w:tcPr>
          <w:p w14:paraId="5683EBD0" w14:textId="0A284B8C" w:rsidR="00220F46" w:rsidRPr="00717707" w:rsidRDefault="00220F46" w:rsidP="00220F46">
            <w:pPr>
              <w:widowControl w:val="0"/>
              <w:autoSpaceDE w:val="0"/>
              <w:autoSpaceDN w:val="0"/>
              <w:spacing w:line="360" w:lineRule="auto"/>
              <w:rPr>
                <w:rFonts w:ascii="Times New Roman" w:eastAsia="Book Antiqua" w:hAnsi="Times New Roman" w:cs="Times New Roman"/>
                <w:b/>
                <w:sz w:val="20"/>
                <w:szCs w:val="20"/>
              </w:rPr>
            </w:pPr>
            <w:r w:rsidRPr="00717707">
              <w:rPr>
                <w:rFonts w:ascii="Times New Roman" w:eastAsia="Book Antiqua" w:hAnsi="Times New Roman" w:cs="Times New Roman"/>
                <w:b/>
                <w:sz w:val="20"/>
                <w:szCs w:val="20"/>
              </w:rPr>
              <w:t>Comedication</w:t>
            </w:r>
            <w:r w:rsidRPr="00717707">
              <w:rPr>
                <w:rFonts w:ascii="Open Sans" w:hAnsi="Open Sans" w:cs="Arial"/>
                <w:sz w:val="21"/>
                <w:szCs w:val="21"/>
                <w:lang w:val="en"/>
              </w:rPr>
              <w:t>†</w:t>
            </w:r>
          </w:p>
        </w:tc>
      </w:tr>
      <w:tr w:rsidR="00220F46" w:rsidRPr="00717707" w14:paraId="639CB8A2" w14:textId="77777777" w:rsidTr="003E368E">
        <w:trPr>
          <w:jc w:val="center"/>
        </w:trPr>
        <w:tc>
          <w:tcPr>
            <w:tcW w:w="2983" w:type="dxa"/>
            <w:gridSpan w:val="2"/>
            <w:tcBorders>
              <w:right w:val="nil"/>
            </w:tcBorders>
            <w:vAlign w:val="center"/>
          </w:tcPr>
          <w:p w14:paraId="2BF89D6D"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Beta-</w:t>
            </w:r>
            <w:proofErr w:type="spellStart"/>
            <w:r w:rsidRPr="00EE42B8">
              <w:rPr>
                <w:rFonts w:ascii="Times New Roman" w:eastAsia="Calibri" w:hAnsi="Times New Roman" w:cs="Times New Roman"/>
                <w:sz w:val="20"/>
                <w:szCs w:val="20"/>
              </w:rPr>
              <w:t>blockers</w:t>
            </w:r>
            <w:proofErr w:type="spellEnd"/>
          </w:p>
        </w:tc>
        <w:tc>
          <w:tcPr>
            <w:tcW w:w="1417" w:type="dxa"/>
            <w:tcBorders>
              <w:left w:val="nil"/>
              <w:right w:val="nil"/>
            </w:tcBorders>
          </w:tcPr>
          <w:p w14:paraId="7BBC1EBC" w14:textId="625382DD"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55.8 (440)</w:t>
            </w:r>
          </w:p>
        </w:tc>
        <w:tc>
          <w:tcPr>
            <w:tcW w:w="1701" w:type="dxa"/>
            <w:tcBorders>
              <w:left w:val="nil"/>
              <w:right w:val="nil"/>
            </w:tcBorders>
          </w:tcPr>
          <w:p w14:paraId="4909D7B7" w14:textId="350C0AD4" w:rsidR="00220F46" w:rsidRPr="00E3404E" w:rsidRDefault="000C5059"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66.5 (981</w:t>
            </w:r>
            <w:r w:rsidR="00A14D96"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7AF3FEB7" w14:textId="1A3EFDA4" w:rsidR="00220F46" w:rsidRPr="00E3404E" w:rsidRDefault="000C5059"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65.4</w:t>
            </w:r>
            <w:r w:rsidR="00717707" w:rsidRPr="00E3404E">
              <w:rPr>
                <w:rFonts w:ascii="Times New Roman" w:eastAsia="Calibri" w:hAnsi="Times New Roman" w:cs="Times New Roman"/>
                <w:color w:val="FFC000"/>
                <w:sz w:val="20"/>
                <w:szCs w:val="20"/>
              </w:rPr>
              <w:t xml:space="preserve"> (</w:t>
            </w:r>
            <w:r w:rsidRPr="00E3404E">
              <w:rPr>
                <w:rFonts w:ascii="Times New Roman" w:eastAsia="Calibri" w:hAnsi="Times New Roman" w:cs="Times New Roman"/>
                <w:color w:val="FFC000"/>
                <w:sz w:val="20"/>
                <w:szCs w:val="20"/>
              </w:rPr>
              <w:t>286</w:t>
            </w:r>
            <w:r w:rsidR="00717707" w:rsidRPr="00E3404E">
              <w:rPr>
                <w:rFonts w:ascii="Times New Roman" w:eastAsia="Calibri" w:hAnsi="Times New Roman" w:cs="Times New Roman"/>
                <w:color w:val="FFC000"/>
                <w:sz w:val="20"/>
                <w:szCs w:val="20"/>
              </w:rPr>
              <w:t>)</w:t>
            </w:r>
          </w:p>
        </w:tc>
        <w:tc>
          <w:tcPr>
            <w:tcW w:w="1420" w:type="dxa"/>
            <w:tcBorders>
              <w:left w:val="single" w:sz="4" w:space="0" w:color="auto"/>
              <w:right w:val="nil"/>
            </w:tcBorders>
          </w:tcPr>
          <w:p w14:paraId="7D7FAC63"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58.8 (6,041)</w:t>
            </w:r>
          </w:p>
        </w:tc>
        <w:tc>
          <w:tcPr>
            <w:tcW w:w="1418" w:type="dxa"/>
            <w:tcBorders>
              <w:left w:val="nil"/>
              <w:right w:val="nil"/>
            </w:tcBorders>
          </w:tcPr>
          <w:p w14:paraId="26054030"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62.8 (2,098)</w:t>
            </w:r>
          </w:p>
        </w:tc>
        <w:tc>
          <w:tcPr>
            <w:tcW w:w="1417" w:type="dxa"/>
            <w:tcBorders>
              <w:left w:val="nil"/>
              <w:right w:val="nil"/>
            </w:tcBorders>
          </w:tcPr>
          <w:p w14:paraId="327C2C68"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62.4 (3,751)</w:t>
            </w:r>
          </w:p>
        </w:tc>
        <w:tc>
          <w:tcPr>
            <w:tcW w:w="1560" w:type="dxa"/>
            <w:tcBorders>
              <w:left w:val="nil"/>
              <w:right w:val="nil"/>
            </w:tcBorders>
          </w:tcPr>
          <w:p w14:paraId="60C069BF"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66.2 (2,904)</w:t>
            </w:r>
          </w:p>
        </w:tc>
        <w:tc>
          <w:tcPr>
            <w:tcW w:w="1560" w:type="dxa"/>
            <w:tcBorders>
              <w:left w:val="nil"/>
              <w:right w:val="nil"/>
            </w:tcBorders>
          </w:tcPr>
          <w:p w14:paraId="50A5A7AA"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60.2 (218)</w:t>
            </w:r>
          </w:p>
        </w:tc>
        <w:tc>
          <w:tcPr>
            <w:tcW w:w="1417" w:type="dxa"/>
            <w:tcBorders>
              <w:left w:val="nil"/>
            </w:tcBorders>
          </w:tcPr>
          <w:p w14:paraId="7E1E1872"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60.8 (1,025)</w:t>
            </w:r>
          </w:p>
        </w:tc>
      </w:tr>
      <w:tr w:rsidR="00220F46" w:rsidRPr="00717707" w14:paraId="613BADCD" w14:textId="77777777" w:rsidTr="003E368E">
        <w:trPr>
          <w:jc w:val="center"/>
        </w:trPr>
        <w:tc>
          <w:tcPr>
            <w:tcW w:w="2983" w:type="dxa"/>
            <w:gridSpan w:val="2"/>
            <w:tcBorders>
              <w:right w:val="nil"/>
            </w:tcBorders>
            <w:vAlign w:val="center"/>
          </w:tcPr>
          <w:p w14:paraId="0E641C5C"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ARB/ACE-inhibitors</w:t>
            </w:r>
          </w:p>
        </w:tc>
        <w:tc>
          <w:tcPr>
            <w:tcW w:w="1417" w:type="dxa"/>
            <w:tcBorders>
              <w:left w:val="nil"/>
              <w:right w:val="nil"/>
            </w:tcBorders>
          </w:tcPr>
          <w:p w14:paraId="31A0B26A" w14:textId="29B1DE2C"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43.0 (339)</w:t>
            </w:r>
          </w:p>
        </w:tc>
        <w:tc>
          <w:tcPr>
            <w:tcW w:w="1701" w:type="dxa"/>
            <w:tcBorders>
              <w:left w:val="nil"/>
              <w:right w:val="nil"/>
            </w:tcBorders>
          </w:tcPr>
          <w:p w14:paraId="7B311A53" w14:textId="1D082593" w:rsidR="00220F46" w:rsidRPr="00E3404E" w:rsidRDefault="000C5059"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52.0</w:t>
            </w:r>
            <w:r w:rsidR="00A14D96" w:rsidRPr="00E3404E">
              <w:rPr>
                <w:rFonts w:ascii="Times New Roman" w:eastAsia="Calibri" w:hAnsi="Times New Roman" w:cs="Times New Roman"/>
                <w:color w:val="FFC000"/>
                <w:sz w:val="20"/>
                <w:szCs w:val="20"/>
              </w:rPr>
              <w:t xml:space="preserve"> (</w:t>
            </w:r>
            <w:r w:rsidRPr="00E3404E">
              <w:rPr>
                <w:rFonts w:ascii="Times New Roman" w:eastAsia="Calibri" w:hAnsi="Times New Roman" w:cs="Times New Roman"/>
                <w:color w:val="FFC000"/>
                <w:sz w:val="20"/>
                <w:szCs w:val="20"/>
              </w:rPr>
              <w:t>767</w:t>
            </w:r>
            <w:r w:rsidR="00A14D96"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7CE960CC" w14:textId="62D6D9BE" w:rsidR="00220F46" w:rsidRPr="00E3404E" w:rsidRDefault="00717707"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4</w:t>
            </w:r>
            <w:r w:rsidR="005A0C37" w:rsidRPr="00E3404E">
              <w:rPr>
                <w:rFonts w:ascii="Times New Roman" w:eastAsia="Calibri" w:hAnsi="Times New Roman" w:cs="Times New Roman"/>
                <w:color w:val="FFC000"/>
                <w:sz w:val="20"/>
                <w:szCs w:val="20"/>
              </w:rPr>
              <w:t>9.7</w:t>
            </w:r>
            <w:r w:rsidRPr="00E3404E">
              <w:rPr>
                <w:rFonts w:ascii="Times New Roman" w:eastAsia="Calibri" w:hAnsi="Times New Roman" w:cs="Times New Roman"/>
                <w:color w:val="FFC000"/>
                <w:sz w:val="20"/>
                <w:szCs w:val="20"/>
              </w:rPr>
              <w:t xml:space="preserve"> (</w:t>
            </w:r>
            <w:r w:rsidR="005A0C37" w:rsidRPr="00E3404E">
              <w:rPr>
                <w:rFonts w:ascii="Times New Roman" w:eastAsia="Calibri" w:hAnsi="Times New Roman" w:cs="Times New Roman"/>
                <w:color w:val="FFC000"/>
                <w:sz w:val="20"/>
                <w:szCs w:val="20"/>
              </w:rPr>
              <w:t>217</w:t>
            </w:r>
            <w:r w:rsidRPr="00E3404E">
              <w:rPr>
                <w:rFonts w:ascii="Times New Roman" w:eastAsia="Calibri" w:hAnsi="Times New Roman" w:cs="Times New Roman"/>
                <w:color w:val="FFC000"/>
                <w:sz w:val="20"/>
                <w:szCs w:val="20"/>
              </w:rPr>
              <w:t>)</w:t>
            </w:r>
          </w:p>
        </w:tc>
        <w:tc>
          <w:tcPr>
            <w:tcW w:w="1420" w:type="dxa"/>
            <w:tcBorders>
              <w:left w:val="single" w:sz="4" w:space="0" w:color="auto"/>
              <w:right w:val="nil"/>
            </w:tcBorders>
          </w:tcPr>
          <w:p w14:paraId="20337F94"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46.8 (4,807)</w:t>
            </w:r>
          </w:p>
        </w:tc>
        <w:tc>
          <w:tcPr>
            <w:tcW w:w="1418" w:type="dxa"/>
            <w:tcBorders>
              <w:left w:val="nil"/>
              <w:right w:val="nil"/>
            </w:tcBorders>
          </w:tcPr>
          <w:p w14:paraId="72B201D7"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55.4 (1,851)</w:t>
            </w:r>
          </w:p>
        </w:tc>
        <w:tc>
          <w:tcPr>
            <w:tcW w:w="1417" w:type="dxa"/>
            <w:tcBorders>
              <w:left w:val="nil"/>
              <w:right w:val="nil"/>
            </w:tcBorders>
          </w:tcPr>
          <w:p w14:paraId="31FD9456"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54.9 (3,302)</w:t>
            </w:r>
          </w:p>
        </w:tc>
        <w:tc>
          <w:tcPr>
            <w:tcW w:w="1560" w:type="dxa"/>
            <w:tcBorders>
              <w:left w:val="nil"/>
              <w:right w:val="nil"/>
            </w:tcBorders>
          </w:tcPr>
          <w:p w14:paraId="68306B33"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54.4 (2,383)</w:t>
            </w:r>
          </w:p>
        </w:tc>
        <w:tc>
          <w:tcPr>
            <w:tcW w:w="1560" w:type="dxa"/>
            <w:tcBorders>
              <w:left w:val="nil"/>
              <w:right w:val="nil"/>
            </w:tcBorders>
          </w:tcPr>
          <w:p w14:paraId="248D7A11"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53.6 (194)</w:t>
            </w:r>
          </w:p>
        </w:tc>
        <w:tc>
          <w:tcPr>
            <w:tcW w:w="1417" w:type="dxa"/>
            <w:tcBorders>
              <w:left w:val="nil"/>
            </w:tcBorders>
          </w:tcPr>
          <w:p w14:paraId="62909F49"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50.8 (856)</w:t>
            </w:r>
          </w:p>
        </w:tc>
      </w:tr>
      <w:tr w:rsidR="00220F46" w:rsidRPr="00717707" w14:paraId="7F3DE1D1" w14:textId="77777777" w:rsidTr="003E368E">
        <w:trPr>
          <w:jc w:val="center"/>
        </w:trPr>
        <w:tc>
          <w:tcPr>
            <w:tcW w:w="2983" w:type="dxa"/>
            <w:gridSpan w:val="2"/>
            <w:tcBorders>
              <w:right w:val="nil"/>
            </w:tcBorders>
            <w:vAlign w:val="center"/>
          </w:tcPr>
          <w:p w14:paraId="49877C18"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Calcium </w:t>
            </w:r>
            <w:proofErr w:type="spellStart"/>
            <w:r w:rsidRPr="00EE42B8">
              <w:rPr>
                <w:rFonts w:ascii="Times New Roman" w:eastAsia="Calibri" w:hAnsi="Times New Roman" w:cs="Times New Roman"/>
                <w:sz w:val="20"/>
                <w:szCs w:val="20"/>
              </w:rPr>
              <w:t>channel</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blockers</w:t>
            </w:r>
            <w:proofErr w:type="spellEnd"/>
          </w:p>
        </w:tc>
        <w:tc>
          <w:tcPr>
            <w:tcW w:w="1417" w:type="dxa"/>
            <w:tcBorders>
              <w:left w:val="nil"/>
              <w:right w:val="nil"/>
            </w:tcBorders>
          </w:tcPr>
          <w:p w14:paraId="6DB090C3" w14:textId="0292D6B5"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25.0 (197)</w:t>
            </w:r>
          </w:p>
        </w:tc>
        <w:tc>
          <w:tcPr>
            <w:tcW w:w="1701" w:type="dxa"/>
            <w:tcBorders>
              <w:left w:val="nil"/>
              <w:right w:val="nil"/>
            </w:tcBorders>
          </w:tcPr>
          <w:p w14:paraId="197B3199" w14:textId="7D91B818" w:rsidR="00220F46" w:rsidRPr="00E3404E" w:rsidRDefault="000C5059"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27.8</w:t>
            </w:r>
            <w:r w:rsidR="00A14D96" w:rsidRPr="00E3404E">
              <w:rPr>
                <w:rFonts w:ascii="Times New Roman" w:eastAsia="Calibri" w:hAnsi="Times New Roman" w:cs="Times New Roman"/>
                <w:color w:val="FFC000"/>
                <w:sz w:val="20"/>
                <w:szCs w:val="20"/>
              </w:rPr>
              <w:t xml:space="preserve"> (</w:t>
            </w:r>
            <w:r w:rsidRPr="00E3404E">
              <w:rPr>
                <w:rFonts w:ascii="Times New Roman" w:eastAsia="Calibri" w:hAnsi="Times New Roman" w:cs="Times New Roman"/>
                <w:color w:val="FFC000"/>
                <w:sz w:val="20"/>
                <w:szCs w:val="20"/>
              </w:rPr>
              <w:t>410</w:t>
            </w:r>
            <w:r w:rsidR="00A14D96" w:rsidRPr="00E3404E">
              <w:rPr>
                <w:rFonts w:ascii="Times New Roman" w:eastAsia="Calibri" w:hAnsi="Times New Roman" w:cs="Times New Roman"/>
                <w:color w:val="FFC000"/>
                <w:sz w:val="20"/>
                <w:szCs w:val="20"/>
              </w:rPr>
              <w:t>)</w:t>
            </w:r>
          </w:p>
        </w:tc>
        <w:tc>
          <w:tcPr>
            <w:tcW w:w="1701" w:type="dxa"/>
            <w:tcBorders>
              <w:left w:val="nil"/>
              <w:right w:val="single" w:sz="4" w:space="0" w:color="auto"/>
            </w:tcBorders>
          </w:tcPr>
          <w:p w14:paraId="29AE8632" w14:textId="3E7B15D7" w:rsidR="00220F46" w:rsidRPr="00E3404E" w:rsidRDefault="005A0C37"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17.8</w:t>
            </w:r>
            <w:r w:rsidR="00717707" w:rsidRPr="00E3404E">
              <w:rPr>
                <w:rFonts w:ascii="Times New Roman" w:eastAsia="Calibri" w:hAnsi="Times New Roman" w:cs="Times New Roman"/>
                <w:color w:val="FFC000"/>
                <w:sz w:val="20"/>
                <w:szCs w:val="20"/>
              </w:rPr>
              <w:t xml:space="preserve"> (78)</w:t>
            </w:r>
          </w:p>
        </w:tc>
        <w:tc>
          <w:tcPr>
            <w:tcW w:w="1420" w:type="dxa"/>
            <w:tcBorders>
              <w:left w:val="single" w:sz="4" w:space="0" w:color="auto"/>
              <w:right w:val="nil"/>
            </w:tcBorders>
          </w:tcPr>
          <w:p w14:paraId="275F01A9"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35.2 (3,614)</w:t>
            </w:r>
          </w:p>
        </w:tc>
        <w:tc>
          <w:tcPr>
            <w:tcW w:w="1418" w:type="dxa"/>
            <w:tcBorders>
              <w:left w:val="nil"/>
              <w:right w:val="nil"/>
            </w:tcBorders>
          </w:tcPr>
          <w:p w14:paraId="02CF6D8A"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32.9 (1,100)</w:t>
            </w:r>
          </w:p>
        </w:tc>
        <w:tc>
          <w:tcPr>
            <w:tcW w:w="1417" w:type="dxa"/>
            <w:tcBorders>
              <w:left w:val="nil"/>
              <w:right w:val="nil"/>
            </w:tcBorders>
          </w:tcPr>
          <w:p w14:paraId="6AAA0300"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25.3 (1,521)</w:t>
            </w:r>
          </w:p>
        </w:tc>
        <w:tc>
          <w:tcPr>
            <w:tcW w:w="1560" w:type="dxa"/>
            <w:tcBorders>
              <w:left w:val="nil"/>
              <w:right w:val="nil"/>
            </w:tcBorders>
          </w:tcPr>
          <w:p w14:paraId="1741F5DD"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32.8 (1,440)</w:t>
            </w:r>
          </w:p>
        </w:tc>
        <w:tc>
          <w:tcPr>
            <w:tcW w:w="1560" w:type="dxa"/>
            <w:tcBorders>
              <w:left w:val="nil"/>
              <w:right w:val="nil"/>
            </w:tcBorders>
          </w:tcPr>
          <w:p w14:paraId="5881E81D"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19.1 (69)</w:t>
            </w:r>
          </w:p>
        </w:tc>
        <w:tc>
          <w:tcPr>
            <w:tcW w:w="1417" w:type="dxa"/>
            <w:tcBorders>
              <w:left w:val="nil"/>
            </w:tcBorders>
          </w:tcPr>
          <w:p w14:paraId="0AB28FA8"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29.4 (496)</w:t>
            </w:r>
          </w:p>
        </w:tc>
      </w:tr>
      <w:tr w:rsidR="00220F46" w:rsidRPr="00717707" w14:paraId="4C686EE2" w14:textId="77777777" w:rsidTr="003E368E">
        <w:trPr>
          <w:jc w:val="center"/>
        </w:trPr>
        <w:tc>
          <w:tcPr>
            <w:tcW w:w="2983" w:type="dxa"/>
            <w:gridSpan w:val="2"/>
            <w:tcBorders>
              <w:right w:val="nil"/>
            </w:tcBorders>
            <w:vAlign w:val="center"/>
          </w:tcPr>
          <w:p w14:paraId="040CFB33"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Amiodarone</w:t>
            </w:r>
            <w:proofErr w:type="spellEnd"/>
          </w:p>
        </w:tc>
        <w:tc>
          <w:tcPr>
            <w:tcW w:w="1417" w:type="dxa"/>
            <w:tcBorders>
              <w:left w:val="nil"/>
              <w:right w:val="nil"/>
            </w:tcBorders>
          </w:tcPr>
          <w:p w14:paraId="010D9924" w14:textId="7BB0F8E0"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7.4 (58)</w:t>
            </w:r>
          </w:p>
        </w:tc>
        <w:tc>
          <w:tcPr>
            <w:tcW w:w="1701" w:type="dxa"/>
            <w:tcBorders>
              <w:left w:val="nil"/>
              <w:right w:val="nil"/>
            </w:tcBorders>
          </w:tcPr>
          <w:p w14:paraId="484AFEE7" w14:textId="65DA6E20" w:rsidR="00220F46" w:rsidRPr="00E3404E" w:rsidRDefault="000C5059"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21.2</w:t>
            </w:r>
            <w:r w:rsidR="00A14D96" w:rsidRPr="00E3404E">
              <w:rPr>
                <w:rFonts w:ascii="Times New Roman" w:eastAsia="Book Antiqua" w:hAnsi="Times New Roman" w:cs="Times New Roman"/>
                <w:color w:val="FFC000"/>
                <w:sz w:val="20"/>
                <w:szCs w:val="20"/>
              </w:rPr>
              <w:t xml:space="preserve"> (3</w:t>
            </w:r>
            <w:r w:rsidRPr="00E3404E">
              <w:rPr>
                <w:rFonts w:ascii="Times New Roman" w:eastAsia="Book Antiqua" w:hAnsi="Times New Roman" w:cs="Times New Roman"/>
                <w:color w:val="FFC000"/>
                <w:sz w:val="20"/>
                <w:szCs w:val="20"/>
              </w:rPr>
              <w:t>12</w:t>
            </w:r>
            <w:r w:rsidR="00A14D9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01B8A3BE" w14:textId="4423951C" w:rsidR="00220F46" w:rsidRPr="00E3404E" w:rsidRDefault="005A0C3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17.8</w:t>
            </w:r>
            <w:r w:rsidR="00717707" w:rsidRPr="00E3404E">
              <w:rPr>
                <w:rFonts w:ascii="Times New Roman" w:eastAsia="Book Antiqua" w:hAnsi="Times New Roman" w:cs="Times New Roman"/>
                <w:color w:val="FFC000"/>
                <w:sz w:val="20"/>
                <w:szCs w:val="20"/>
              </w:rPr>
              <w:t xml:space="preserve"> (78)</w:t>
            </w:r>
          </w:p>
        </w:tc>
        <w:tc>
          <w:tcPr>
            <w:tcW w:w="1420" w:type="dxa"/>
            <w:tcBorders>
              <w:left w:val="single" w:sz="4" w:space="0" w:color="auto"/>
              <w:right w:val="nil"/>
            </w:tcBorders>
          </w:tcPr>
          <w:p w14:paraId="236E633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6.7 (692)</w:t>
            </w:r>
          </w:p>
        </w:tc>
        <w:tc>
          <w:tcPr>
            <w:tcW w:w="1418" w:type="dxa"/>
            <w:tcBorders>
              <w:left w:val="nil"/>
              <w:right w:val="nil"/>
            </w:tcBorders>
          </w:tcPr>
          <w:p w14:paraId="5CE08330"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5.7 (189)</w:t>
            </w:r>
          </w:p>
        </w:tc>
        <w:tc>
          <w:tcPr>
            <w:tcW w:w="1417" w:type="dxa"/>
            <w:tcBorders>
              <w:left w:val="nil"/>
              <w:right w:val="nil"/>
            </w:tcBorders>
          </w:tcPr>
          <w:p w14:paraId="2C15A9F5"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8.9 (533)</w:t>
            </w:r>
          </w:p>
        </w:tc>
        <w:tc>
          <w:tcPr>
            <w:tcW w:w="1560" w:type="dxa"/>
            <w:tcBorders>
              <w:left w:val="nil"/>
              <w:right w:val="nil"/>
            </w:tcBorders>
          </w:tcPr>
          <w:p w14:paraId="5625F22C"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22.1 (968)</w:t>
            </w:r>
          </w:p>
        </w:tc>
        <w:tc>
          <w:tcPr>
            <w:tcW w:w="1560" w:type="dxa"/>
            <w:tcBorders>
              <w:left w:val="nil"/>
              <w:right w:val="nil"/>
            </w:tcBorders>
          </w:tcPr>
          <w:p w14:paraId="08C8577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17.1 (62)</w:t>
            </w:r>
          </w:p>
        </w:tc>
        <w:tc>
          <w:tcPr>
            <w:tcW w:w="1417" w:type="dxa"/>
            <w:tcBorders>
              <w:left w:val="nil"/>
            </w:tcBorders>
          </w:tcPr>
          <w:p w14:paraId="08D0C6D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5.5 (92)</w:t>
            </w:r>
          </w:p>
        </w:tc>
      </w:tr>
      <w:tr w:rsidR="00220F46" w:rsidRPr="00717707" w14:paraId="6005DF34" w14:textId="77777777" w:rsidTr="003E368E">
        <w:trPr>
          <w:jc w:val="center"/>
        </w:trPr>
        <w:tc>
          <w:tcPr>
            <w:tcW w:w="2983" w:type="dxa"/>
            <w:gridSpan w:val="2"/>
            <w:tcBorders>
              <w:right w:val="nil"/>
            </w:tcBorders>
            <w:vAlign w:val="center"/>
          </w:tcPr>
          <w:p w14:paraId="5D72B2F6"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Digoxin</w:t>
            </w:r>
            <w:proofErr w:type="spellEnd"/>
          </w:p>
        </w:tc>
        <w:tc>
          <w:tcPr>
            <w:tcW w:w="1417" w:type="dxa"/>
            <w:tcBorders>
              <w:left w:val="nil"/>
              <w:right w:val="nil"/>
            </w:tcBorders>
          </w:tcPr>
          <w:p w14:paraId="14485F90" w14:textId="3367700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38.4 (303)</w:t>
            </w:r>
          </w:p>
        </w:tc>
        <w:tc>
          <w:tcPr>
            <w:tcW w:w="1701" w:type="dxa"/>
            <w:tcBorders>
              <w:left w:val="nil"/>
              <w:right w:val="nil"/>
            </w:tcBorders>
          </w:tcPr>
          <w:p w14:paraId="270F88F5" w14:textId="6B426CC2" w:rsidR="00220F46" w:rsidRPr="00E3404E" w:rsidRDefault="000C5059"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15.9</w:t>
            </w:r>
            <w:r w:rsidR="00A14D96"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234</w:t>
            </w:r>
            <w:r w:rsidR="00A14D9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3786C2C6" w14:textId="302F8277" w:rsidR="00220F46" w:rsidRPr="00E3404E" w:rsidRDefault="005A0C3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27.5</w:t>
            </w:r>
            <w:r w:rsidR="00717707"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(120</w:t>
            </w:r>
            <w:r w:rsidR="00717707"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47EAE6E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31.5 (3,239)</w:t>
            </w:r>
          </w:p>
        </w:tc>
        <w:tc>
          <w:tcPr>
            <w:tcW w:w="1418" w:type="dxa"/>
            <w:tcBorders>
              <w:left w:val="nil"/>
              <w:right w:val="nil"/>
            </w:tcBorders>
          </w:tcPr>
          <w:p w14:paraId="19A8A52D"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24.9 (831)</w:t>
            </w:r>
          </w:p>
        </w:tc>
        <w:tc>
          <w:tcPr>
            <w:tcW w:w="1417" w:type="dxa"/>
            <w:tcBorders>
              <w:left w:val="nil"/>
              <w:right w:val="nil"/>
            </w:tcBorders>
          </w:tcPr>
          <w:p w14:paraId="75D57BD9"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34.8 (2,093)</w:t>
            </w:r>
          </w:p>
        </w:tc>
        <w:tc>
          <w:tcPr>
            <w:tcW w:w="1560" w:type="dxa"/>
            <w:tcBorders>
              <w:left w:val="nil"/>
              <w:right w:val="nil"/>
            </w:tcBorders>
          </w:tcPr>
          <w:p w14:paraId="19FD1F22"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15.9 (699)</w:t>
            </w:r>
          </w:p>
        </w:tc>
        <w:tc>
          <w:tcPr>
            <w:tcW w:w="1560" w:type="dxa"/>
            <w:tcBorders>
              <w:left w:val="nil"/>
              <w:right w:val="nil"/>
            </w:tcBorders>
          </w:tcPr>
          <w:p w14:paraId="1EA0130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17.7 (64)</w:t>
            </w:r>
          </w:p>
        </w:tc>
        <w:tc>
          <w:tcPr>
            <w:tcW w:w="1417" w:type="dxa"/>
            <w:tcBorders>
              <w:left w:val="nil"/>
            </w:tcBorders>
          </w:tcPr>
          <w:p w14:paraId="7E06A571"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30.1 (507)</w:t>
            </w:r>
          </w:p>
        </w:tc>
      </w:tr>
      <w:tr w:rsidR="00220F46" w:rsidRPr="00717707" w14:paraId="005B6CB4" w14:textId="77777777" w:rsidTr="003E368E">
        <w:trPr>
          <w:jc w:val="center"/>
        </w:trPr>
        <w:tc>
          <w:tcPr>
            <w:tcW w:w="2983" w:type="dxa"/>
            <w:gridSpan w:val="2"/>
            <w:tcBorders>
              <w:right w:val="nil"/>
            </w:tcBorders>
            <w:vAlign w:val="center"/>
          </w:tcPr>
          <w:p w14:paraId="5C50B12B"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Non-loop </w:t>
            </w:r>
            <w:proofErr w:type="spellStart"/>
            <w:r w:rsidRPr="00EE42B8">
              <w:rPr>
                <w:rFonts w:ascii="Times New Roman" w:eastAsia="Calibri" w:hAnsi="Times New Roman" w:cs="Times New Roman"/>
                <w:sz w:val="20"/>
                <w:szCs w:val="20"/>
              </w:rPr>
              <w:t>diuretics</w:t>
            </w:r>
            <w:proofErr w:type="spellEnd"/>
          </w:p>
        </w:tc>
        <w:tc>
          <w:tcPr>
            <w:tcW w:w="1417" w:type="dxa"/>
            <w:tcBorders>
              <w:left w:val="nil"/>
              <w:right w:val="nil"/>
            </w:tcBorders>
          </w:tcPr>
          <w:p w14:paraId="1EA9B250" w14:textId="4502CF83"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37.3 (294)</w:t>
            </w:r>
          </w:p>
        </w:tc>
        <w:tc>
          <w:tcPr>
            <w:tcW w:w="1701" w:type="dxa"/>
            <w:tcBorders>
              <w:left w:val="nil"/>
              <w:right w:val="nil"/>
            </w:tcBorders>
          </w:tcPr>
          <w:p w14:paraId="6CE4332E" w14:textId="02719CB4" w:rsidR="00220F46" w:rsidRPr="00E3404E" w:rsidRDefault="000C5059"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38.0 (561</w:t>
            </w:r>
            <w:r w:rsidR="00A14D9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6F2A6BEB" w14:textId="1BF0678E" w:rsidR="00220F46" w:rsidRPr="00E3404E" w:rsidRDefault="005A0C3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35.9</w:t>
            </w:r>
            <w:r w:rsidR="00717707"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157</w:t>
            </w:r>
            <w:r w:rsidR="00717707"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497B13CD"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44.7 (4,596)</w:t>
            </w:r>
          </w:p>
        </w:tc>
        <w:tc>
          <w:tcPr>
            <w:tcW w:w="1418" w:type="dxa"/>
            <w:tcBorders>
              <w:left w:val="nil"/>
              <w:right w:val="nil"/>
            </w:tcBorders>
          </w:tcPr>
          <w:p w14:paraId="11B37C03"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40.8 (1,364)</w:t>
            </w:r>
          </w:p>
        </w:tc>
        <w:tc>
          <w:tcPr>
            <w:tcW w:w="1417" w:type="dxa"/>
            <w:tcBorders>
              <w:left w:val="nil"/>
              <w:right w:val="nil"/>
            </w:tcBorders>
          </w:tcPr>
          <w:p w14:paraId="2DA93F1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38.2 (2,298)</w:t>
            </w:r>
          </w:p>
        </w:tc>
        <w:tc>
          <w:tcPr>
            <w:tcW w:w="1560" w:type="dxa"/>
            <w:tcBorders>
              <w:left w:val="nil"/>
              <w:right w:val="nil"/>
            </w:tcBorders>
          </w:tcPr>
          <w:p w14:paraId="50E5C0C0"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43.8 (1,918)</w:t>
            </w:r>
          </w:p>
        </w:tc>
        <w:tc>
          <w:tcPr>
            <w:tcW w:w="1560" w:type="dxa"/>
            <w:tcBorders>
              <w:left w:val="nil"/>
              <w:right w:val="nil"/>
            </w:tcBorders>
          </w:tcPr>
          <w:p w14:paraId="1920617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37.8 (137)</w:t>
            </w:r>
          </w:p>
        </w:tc>
        <w:tc>
          <w:tcPr>
            <w:tcW w:w="1417" w:type="dxa"/>
            <w:tcBorders>
              <w:left w:val="nil"/>
            </w:tcBorders>
          </w:tcPr>
          <w:p w14:paraId="0A47D24C"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43.6 (735)</w:t>
            </w:r>
          </w:p>
        </w:tc>
      </w:tr>
      <w:tr w:rsidR="00220F46" w:rsidRPr="00717707" w14:paraId="1E622583" w14:textId="77777777" w:rsidTr="003E368E">
        <w:trPr>
          <w:jc w:val="center"/>
        </w:trPr>
        <w:tc>
          <w:tcPr>
            <w:tcW w:w="2983" w:type="dxa"/>
            <w:gridSpan w:val="2"/>
            <w:tcBorders>
              <w:right w:val="nil"/>
            </w:tcBorders>
            <w:vAlign w:val="center"/>
          </w:tcPr>
          <w:p w14:paraId="4E65E69E"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Loop </w:t>
            </w:r>
            <w:proofErr w:type="spellStart"/>
            <w:r w:rsidRPr="00EE42B8">
              <w:rPr>
                <w:rFonts w:ascii="Times New Roman" w:eastAsia="Calibri" w:hAnsi="Times New Roman" w:cs="Times New Roman"/>
                <w:sz w:val="20"/>
                <w:szCs w:val="20"/>
              </w:rPr>
              <w:t>diuretics</w:t>
            </w:r>
            <w:proofErr w:type="spellEnd"/>
          </w:p>
        </w:tc>
        <w:tc>
          <w:tcPr>
            <w:tcW w:w="1417" w:type="dxa"/>
            <w:tcBorders>
              <w:left w:val="nil"/>
              <w:right w:val="nil"/>
            </w:tcBorders>
          </w:tcPr>
          <w:p w14:paraId="364D2234" w14:textId="7B86DFE1"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61.2 (483)</w:t>
            </w:r>
          </w:p>
        </w:tc>
        <w:tc>
          <w:tcPr>
            <w:tcW w:w="1701" w:type="dxa"/>
            <w:tcBorders>
              <w:left w:val="nil"/>
              <w:right w:val="nil"/>
            </w:tcBorders>
          </w:tcPr>
          <w:p w14:paraId="66BC53BA" w14:textId="3C2F5B18" w:rsidR="00220F46" w:rsidRPr="00E3404E" w:rsidRDefault="000C5059"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45.1 (665</w:t>
            </w:r>
            <w:r w:rsidR="00A14D9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4825EED8" w14:textId="287A3C17" w:rsidR="00220F46" w:rsidRPr="00E3404E" w:rsidRDefault="005A0C3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57.9</w:t>
            </w:r>
            <w:r w:rsidR="00717707" w:rsidRPr="00E3404E">
              <w:rPr>
                <w:rFonts w:ascii="Times New Roman" w:eastAsia="Book Antiqua" w:hAnsi="Times New Roman" w:cs="Times New Roman"/>
                <w:color w:val="FFC000"/>
                <w:sz w:val="20"/>
                <w:szCs w:val="20"/>
              </w:rPr>
              <w:t xml:space="preserve"> (</w:t>
            </w:r>
            <w:r w:rsidRPr="00E3404E">
              <w:rPr>
                <w:rFonts w:ascii="Times New Roman" w:eastAsia="Book Antiqua" w:hAnsi="Times New Roman" w:cs="Times New Roman"/>
                <w:color w:val="FFC000"/>
                <w:sz w:val="20"/>
                <w:szCs w:val="20"/>
              </w:rPr>
              <w:t>253</w:t>
            </w:r>
            <w:r w:rsidR="00717707"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7248B905"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57.6 (5,917)</w:t>
            </w:r>
          </w:p>
        </w:tc>
        <w:tc>
          <w:tcPr>
            <w:tcW w:w="1418" w:type="dxa"/>
            <w:tcBorders>
              <w:left w:val="nil"/>
              <w:right w:val="nil"/>
            </w:tcBorders>
          </w:tcPr>
          <w:p w14:paraId="6AEEEBE0"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41.8 (1,399)</w:t>
            </w:r>
          </w:p>
        </w:tc>
        <w:tc>
          <w:tcPr>
            <w:tcW w:w="1417" w:type="dxa"/>
            <w:tcBorders>
              <w:left w:val="nil"/>
              <w:right w:val="nil"/>
            </w:tcBorders>
          </w:tcPr>
          <w:p w14:paraId="6ADBE25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52.7 (3,172)</w:t>
            </w:r>
          </w:p>
        </w:tc>
        <w:tc>
          <w:tcPr>
            <w:tcW w:w="1560" w:type="dxa"/>
            <w:tcBorders>
              <w:left w:val="nil"/>
              <w:right w:val="nil"/>
            </w:tcBorders>
          </w:tcPr>
          <w:p w14:paraId="10870816"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58.8 (2,579)</w:t>
            </w:r>
          </w:p>
        </w:tc>
        <w:tc>
          <w:tcPr>
            <w:tcW w:w="1560" w:type="dxa"/>
            <w:tcBorders>
              <w:left w:val="nil"/>
              <w:right w:val="nil"/>
            </w:tcBorders>
          </w:tcPr>
          <w:p w14:paraId="274DFDCC"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62.2 (225)</w:t>
            </w:r>
          </w:p>
        </w:tc>
        <w:tc>
          <w:tcPr>
            <w:tcW w:w="1417" w:type="dxa"/>
            <w:tcBorders>
              <w:left w:val="nil"/>
            </w:tcBorders>
          </w:tcPr>
          <w:p w14:paraId="760E51B9"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54.2 (913)</w:t>
            </w:r>
          </w:p>
        </w:tc>
      </w:tr>
      <w:tr w:rsidR="00220F46" w:rsidRPr="00717707" w14:paraId="32137EE1" w14:textId="77777777" w:rsidTr="003E368E">
        <w:trPr>
          <w:jc w:val="center"/>
        </w:trPr>
        <w:tc>
          <w:tcPr>
            <w:tcW w:w="2983" w:type="dxa"/>
            <w:gridSpan w:val="2"/>
            <w:tcBorders>
              <w:right w:val="nil"/>
            </w:tcBorders>
            <w:vAlign w:val="center"/>
          </w:tcPr>
          <w:p w14:paraId="3645DD72"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NSAIDs</w:t>
            </w:r>
            <w:proofErr w:type="spellEnd"/>
          </w:p>
        </w:tc>
        <w:tc>
          <w:tcPr>
            <w:tcW w:w="1417" w:type="dxa"/>
            <w:tcBorders>
              <w:left w:val="nil"/>
              <w:right w:val="nil"/>
            </w:tcBorders>
          </w:tcPr>
          <w:p w14:paraId="314D2380" w14:textId="5A20A9C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16.1 (127)</w:t>
            </w:r>
          </w:p>
        </w:tc>
        <w:tc>
          <w:tcPr>
            <w:tcW w:w="1701" w:type="dxa"/>
            <w:tcBorders>
              <w:left w:val="nil"/>
              <w:right w:val="nil"/>
            </w:tcBorders>
          </w:tcPr>
          <w:p w14:paraId="27BAE8B4" w14:textId="1B5AB59D" w:rsidR="00220F46" w:rsidRPr="00E3404E" w:rsidRDefault="0071770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w:t>
            </w:r>
            <w:r w:rsidR="000C5059" w:rsidRPr="00E3404E">
              <w:rPr>
                <w:rFonts w:ascii="Times New Roman" w:eastAsia="Book Antiqua" w:hAnsi="Times New Roman" w:cs="Times New Roman"/>
                <w:color w:val="FFC000"/>
                <w:sz w:val="20"/>
                <w:szCs w:val="20"/>
              </w:rPr>
              <w:t xml:space="preserve">8.1 </w:t>
            </w:r>
            <w:r w:rsidRPr="00E3404E">
              <w:rPr>
                <w:rFonts w:ascii="Times New Roman" w:eastAsia="Book Antiqua" w:hAnsi="Times New Roman" w:cs="Times New Roman"/>
                <w:color w:val="FFC000"/>
                <w:sz w:val="20"/>
                <w:szCs w:val="20"/>
              </w:rPr>
              <w:t>(</w:t>
            </w:r>
            <w:r w:rsidR="000C5059" w:rsidRPr="00E3404E">
              <w:rPr>
                <w:rFonts w:ascii="Times New Roman" w:eastAsia="Book Antiqua" w:hAnsi="Times New Roman" w:cs="Times New Roman"/>
                <w:color w:val="FFC000"/>
                <w:sz w:val="20"/>
                <w:szCs w:val="20"/>
              </w:rPr>
              <w:t>267</w:t>
            </w:r>
            <w:r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7757AB1B" w14:textId="0BDDBA60" w:rsidR="00220F46" w:rsidRPr="00E3404E" w:rsidRDefault="0071770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1</w:t>
            </w:r>
            <w:r w:rsidR="005A0C37" w:rsidRPr="00E3404E">
              <w:rPr>
                <w:rFonts w:ascii="Times New Roman" w:eastAsia="Book Antiqua" w:hAnsi="Times New Roman" w:cs="Times New Roman"/>
                <w:color w:val="FFC000"/>
                <w:sz w:val="20"/>
                <w:szCs w:val="20"/>
              </w:rPr>
              <w:t>3.0</w:t>
            </w:r>
            <w:r w:rsidRPr="00E3404E">
              <w:rPr>
                <w:rFonts w:ascii="Times New Roman" w:eastAsia="Book Antiqua" w:hAnsi="Times New Roman" w:cs="Times New Roman"/>
                <w:color w:val="FFC000"/>
                <w:sz w:val="20"/>
                <w:szCs w:val="20"/>
              </w:rPr>
              <w:t xml:space="preserve"> (5</w:t>
            </w:r>
            <w:r w:rsidR="005A0C37" w:rsidRPr="00E3404E">
              <w:rPr>
                <w:rFonts w:ascii="Times New Roman" w:eastAsia="Book Antiqua" w:hAnsi="Times New Roman" w:cs="Times New Roman"/>
                <w:color w:val="FFC000"/>
                <w:sz w:val="20"/>
                <w:szCs w:val="20"/>
              </w:rPr>
              <w:t>7</w:t>
            </w:r>
            <w:r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794C2131"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14.9 (1,533)</w:t>
            </w:r>
          </w:p>
        </w:tc>
        <w:tc>
          <w:tcPr>
            <w:tcW w:w="1418" w:type="dxa"/>
            <w:tcBorders>
              <w:left w:val="nil"/>
              <w:right w:val="nil"/>
            </w:tcBorders>
          </w:tcPr>
          <w:p w14:paraId="78A254B3"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16.0 (536)</w:t>
            </w:r>
          </w:p>
        </w:tc>
        <w:tc>
          <w:tcPr>
            <w:tcW w:w="1417" w:type="dxa"/>
            <w:tcBorders>
              <w:left w:val="nil"/>
              <w:right w:val="nil"/>
            </w:tcBorders>
          </w:tcPr>
          <w:p w14:paraId="069859A2"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14.7 (886)</w:t>
            </w:r>
          </w:p>
        </w:tc>
        <w:tc>
          <w:tcPr>
            <w:tcW w:w="1560" w:type="dxa"/>
            <w:tcBorders>
              <w:left w:val="nil"/>
              <w:right w:val="nil"/>
            </w:tcBorders>
          </w:tcPr>
          <w:p w14:paraId="1DB3400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16.6 (728)</w:t>
            </w:r>
          </w:p>
        </w:tc>
        <w:tc>
          <w:tcPr>
            <w:tcW w:w="1560" w:type="dxa"/>
            <w:tcBorders>
              <w:left w:val="nil"/>
              <w:right w:val="nil"/>
            </w:tcBorders>
          </w:tcPr>
          <w:p w14:paraId="00ACB593"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11.6 (42)</w:t>
            </w:r>
          </w:p>
        </w:tc>
        <w:tc>
          <w:tcPr>
            <w:tcW w:w="1417" w:type="dxa"/>
            <w:tcBorders>
              <w:left w:val="nil"/>
            </w:tcBorders>
          </w:tcPr>
          <w:p w14:paraId="7CBE7821"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16.0 (270)</w:t>
            </w:r>
          </w:p>
        </w:tc>
      </w:tr>
      <w:tr w:rsidR="00220F46" w:rsidRPr="00717707" w14:paraId="79DAFD38" w14:textId="77777777" w:rsidTr="003E368E">
        <w:trPr>
          <w:jc w:val="center"/>
        </w:trPr>
        <w:tc>
          <w:tcPr>
            <w:tcW w:w="2983" w:type="dxa"/>
            <w:gridSpan w:val="2"/>
            <w:tcBorders>
              <w:bottom w:val="single" w:sz="4" w:space="0" w:color="auto"/>
              <w:right w:val="nil"/>
            </w:tcBorders>
            <w:vAlign w:val="center"/>
          </w:tcPr>
          <w:p w14:paraId="30F74A8B" w14:textId="77777777" w:rsidR="00220F46" w:rsidRPr="00EE42B8" w:rsidRDefault="00220F46" w:rsidP="00220F46">
            <w:pPr>
              <w:spacing w:line="360" w:lineRule="auto"/>
              <w:rPr>
                <w:rFonts w:ascii="Times New Roman" w:eastAsia="Calibri" w:hAnsi="Times New Roman" w:cs="Times New Roman"/>
                <w:sz w:val="20"/>
                <w:szCs w:val="20"/>
              </w:rPr>
            </w:pPr>
            <w:proofErr w:type="spellStart"/>
            <w:r w:rsidRPr="00EE42B8">
              <w:rPr>
                <w:rFonts w:ascii="Times New Roman" w:eastAsia="Calibri" w:hAnsi="Times New Roman" w:cs="Times New Roman"/>
                <w:sz w:val="20"/>
                <w:szCs w:val="20"/>
              </w:rPr>
              <w:t>Statins</w:t>
            </w:r>
            <w:proofErr w:type="spellEnd"/>
          </w:p>
        </w:tc>
        <w:tc>
          <w:tcPr>
            <w:tcW w:w="1417" w:type="dxa"/>
            <w:tcBorders>
              <w:left w:val="nil"/>
              <w:bottom w:val="single" w:sz="4" w:space="0" w:color="auto"/>
              <w:right w:val="nil"/>
            </w:tcBorders>
          </w:tcPr>
          <w:p w14:paraId="19F370F1" w14:textId="486FAF4B"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38.3 (302)</w:t>
            </w:r>
          </w:p>
        </w:tc>
        <w:tc>
          <w:tcPr>
            <w:tcW w:w="1701" w:type="dxa"/>
            <w:tcBorders>
              <w:left w:val="nil"/>
              <w:bottom w:val="single" w:sz="4" w:space="0" w:color="auto"/>
              <w:right w:val="nil"/>
            </w:tcBorders>
          </w:tcPr>
          <w:p w14:paraId="24108FD9" w14:textId="7613439C" w:rsidR="00220F46" w:rsidRPr="00E3404E" w:rsidRDefault="00717707"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45</w:t>
            </w:r>
            <w:r w:rsidR="000C5059" w:rsidRPr="00E3404E">
              <w:rPr>
                <w:rFonts w:ascii="Times New Roman" w:eastAsia="Calibri" w:hAnsi="Times New Roman" w:cs="Times New Roman"/>
                <w:color w:val="FFC000"/>
                <w:sz w:val="20"/>
                <w:szCs w:val="20"/>
              </w:rPr>
              <w:t>.3</w:t>
            </w:r>
            <w:r w:rsidRPr="00E3404E">
              <w:rPr>
                <w:rFonts w:ascii="Times New Roman" w:eastAsia="Calibri" w:hAnsi="Times New Roman" w:cs="Times New Roman"/>
                <w:color w:val="FFC000"/>
                <w:sz w:val="20"/>
                <w:szCs w:val="20"/>
              </w:rPr>
              <w:t xml:space="preserve"> (</w:t>
            </w:r>
            <w:r w:rsidR="000C5059" w:rsidRPr="00E3404E">
              <w:rPr>
                <w:rFonts w:ascii="Times New Roman" w:eastAsia="Calibri" w:hAnsi="Times New Roman" w:cs="Times New Roman"/>
                <w:color w:val="FFC000"/>
                <w:sz w:val="20"/>
                <w:szCs w:val="20"/>
              </w:rPr>
              <w:t>668</w:t>
            </w:r>
            <w:r w:rsidRPr="00E3404E">
              <w:rPr>
                <w:rFonts w:ascii="Times New Roman" w:eastAsia="Calibri" w:hAnsi="Times New Roman" w:cs="Times New Roman"/>
                <w:color w:val="FFC000"/>
                <w:sz w:val="20"/>
                <w:szCs w:val="20"/>
              </w:rPr>
              <w:t>)</w:t>
            </w:r>
          </w:p>
        </w:tc>
        <w:tc>
          <w:tcPr>
            <w:tcW w:w="1701" w:type="dxa"/>
            <w:tcBorders>
              <w:left w:val="nil"/>
              <w:bottom w:val="single" w:sz="4" w:space="0" w:color="auto"/>
              <w:right w:val="single" w:sz="4" w:space="0" w:color="auto"/>
            </w:tcBorders>
          </w:tcPr>
          <w:p w14:paraId="2B409B1A" w14:textId="612D1E37" w:rsidR="00220F46" w:rsidRPr="00E3404E" w:rsidRDefault="005A0C37" w:rsidP="00220F46">
            <w:pPr>
              <w:spacing w:line="360" w:lineRule="auto"/>
              <w:rPr>
                <w:rFonts w:ascii="Times New Roman" w:eastAsia="Calibri" w:hAnsi="Times New Roman" w:cs="Times New Roman"/>
                <w:color w:val="FFC000"/>
                <w:sz w:val="20"/>
                <w:szCs w:val="20"/>
              </w:rPr>
            </w:pPr>
            <w:r w:rsidRPr="00E3404E">
              <w:rPr>
                <w:rFonts w:ascii="Times New Roman" w:eastAsia="Calibri" w:hAnsi="Times New Roman" w:cs="Times New Roman"/>
                <w:color w:val="FFC000"/>
                <w:sz w:val="20"/>
                <w:szCs w:val="20"/>
              </w:rPr>
              <w:t>33.9</w:t>
            </w:r>
            <w:r w:rsidR="00717707" w:rsidRPr="00E3404E">
              <w:rPr>
                <w:rFonts w:ascii="Times New Roman" w:eastAsia="Calibri" w:hAnsi="Times New Roman" w:cs="Times New Roman"/>
                <w:color w:val="FFC000"/>
                <w:sz w:val="20"/>
                <w:szCs w:val="20"/>
              </w:rPr>
              <w:t xml:space="preserve"> (</w:t>
            </w:r>
            <w:r w:rsidRPr="00E3404E">
              <w:rPr>
                <w:rFonts w:ascii="Times New Roman" w:eastAsia="Calibri" w:hAnsi="Times New Roman" w:cs="Times New Roman"/>
                <w:color w:val="FFC000"/>
                <w:sz w:val="20"/>
                <w:szCs w:val="20"/>
              </w:rPr>
              <w:t>148</w:t>
            </w:r>
            <w:r w:rsidR="00717707" w:rsidRPr="00E3404E">
              <w:rPr>
                <w:rFonts w:ascii="Times New Roman" w:eastAsia="Calibri" w:hAnsi="Times New Roman" w:cs="Times New Roman"/>
                <w:color w:val="FFC000"/>
                <w:sz w:val="20"/>
                <w:szCs w:val="20"/>
              </w:rPr>
              <w:t>)</w:t>
            </w:r>
          </w:p>
        </w:tc>
        <w:tc>
          <w:tcPr>
            <w:tcW w:w="1420" w:type="dxa"/>
            <w:tcBorders>
              <w:left w:val="single" w:sz="4" w:space="0" w:color="auto"/>
              <w:bottom w:val="single" w:sz="4" w:space="0" w:color="auto"/>
              <w:right w:val="nil"/>
            </w:tcBorders>
          </w:tcPr>
          <w:p w14:paraId="688B0E35"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39.6 (4,068)</w:t>
            </w:r>
          </w:p>
        </w:tc>
        <w:tc>
          <w:tcPr>
            <w:tcW w:w="1418" w:type="dxa"/>
            <w:tcBorders>
              <w:left w:val="nil"/>
              <w:bottom w:val="single" w:sz="4" w:space="0" w:color="auto"/>
              <w:right w:val="nil"/>
            </w:tcBorders>
          </w:tcPr>
          <w:p w14:paraId="39ACF852"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35.9 (1,201)</w:t>
            </w:r>
          </w:p>
        </w:tc>
        <w:tc>
          <w:tcPr>
            <w:tcW w:w="1417" w:type="dxa"/>
            <w:tcBorders>
              <w:left w:val="nil"/>
              <w:bottom w:val="single" w:sz="4" w:space="0" w:color="auto"/>
              <w:right w:val="nil"/>
            </w:tcBorders>
          </w:tcPr>
          <w:p w14:paraId="3BBF3F4D"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33.4 (2,010)</w:t>
            </w:r>
          </w:p>
        </w:tc>
        <w:tc>
          <w:tcPr>
            <w:tcW w:w="1560" w:type="dxa"/>
            <w:tcBorders>
              <w:left w:val="nil"/>
              <w:bottom w:val="single" w:sz="4" w:space="0" w:color="auto"/>
              <w:right w:val="nil"/>
            </w:tcBorders>
          </w:tcPr>
          <w:p w14:paraId="32EC3AD3"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60.6 (2,655)</w:t>
            </w:r>
          </w:p>
        </w:tc>
        <w:tc>
          <w:tcPr>
            <w:tcW w:w="1560" w:type="dxa"/>
            <w:tcBorders>
              <w:left w:val="nil"/>
              <w:bottom w:val="single" w:sz="4" w:space="0" w:color="auto"/>
              <w:right w:val="nil"/>
            </w:tcBorders>
          </w:tcPr>
          <w:p w14:paraId="2B997FEE"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42.5 (154)</w:t>
            </w:r>
          </w:p>
        </w:tc>
        <w:tc>
          <w:tcPr>
            <w:tcW w:w="1417" w:type="dxa"/>
            <w:tcBorders>
              <w:left w:val="nil"/>
              <w:bottom w:val="single" w:sz="4" w:space="0" w:color="auto"/>
            </w:tcBorders>
          </w:tcPr>
          <w:p w14:paraId="3ACD87AE" w14:textId="77777777" w:rsidR="00220F46" w:rsidRPr="00717707" w:rsidRDefault="00220F46" w:rsidP="00220F46">
            <w:pPr>
              <w:spacing w:line="360" w:lineRule="auto"/>
              <w:rPr>
                <w:rFonts w:ascii="Times New Roman" w:eastAsia="Calibri" w:hAnsi="Times New Roman" w:cs="Times New Roman"/>
                <w:sz w:val="20"/>
                <w:szCs w:val="20"/>
              </w:rPr>
            </w:pPr>
            <w:r w:rsidRPr="00717707">
              <w:rPr>
                <w:rFonts w:ascii="Times New Roman" w:eastAsia="Calibri" w:hAnsi="Times New Roman" w:cs="Times New Roman"/>
                <w:sz w:val="20"/>
                <w:szCs w:val="20"/>
              </w:rPr>
              <w:t>36.0 (607)</w:t>
            </w:r>
          </w:p>
        </w:tc>
      </w:tr>
      <w:tr w:rsidR="00717707" w:rsidRPr="00717707" w14:paraId="3790729D" w14:textId="77777777" w:rsidTr="004041DA">
        <w:trPr>
          <w:jc w:val="center"/>
        </w:trPr>
        <w:tc>
          <w:tcPr>
            <w:tcW w:w="16594" w:type="dxa"/>
            <w:gridSpan w:val="11"/>
            <w:tcBorders>
              <w:left w:val="single" w:sz="4" w:space="0" w:color="auto"/>
            </w:tcBorders>
          </w:tcPr>
          <w:p w14:paraId="61313378" w14:textId="2A6B3653" w:rsidR="00220F46" w:rsidRPr="00717707" w:rsidRDefault="00220F46" w:rsidP="00220F46">
            <w:pPr>
              <w:spacing w:line="360" w:lineRule="auto"/>
              <w:rPr>
                <w:rFonts w:ascii="Times New Roman" w:eastAsia="Calibri" w:hAnsi="Times New Roman" w:cs="Times New Roman"/>
                <w:sz w:val="20"/>
                <w:szCs w:val="20"/>
              </w:rPr>
            </w:pPr>
            <w:proofErr w:type="spellStart"/>
            <w:r w:rsidRPr="00717707">
              <w:rPr>
                <w:rFonts w:ascii="Times New Roman" w:eastAsia="Calibri" w:hAnsi="Times New Roman" w:cs="Times New Roman"/>
                <w:sz w:val="20"/>
                <w:szCs w:val="20"/>
              </w:rPr>
              <w:t>Antithrombotic</w:t>
            </w:r>
            <w:proofErr w:type="spellEnd"/>
            <w:r w:rsidRPr="00717707">
              <w:rPr>
                <w:rFonts w:ascii="Times New Roman" w:eastAsia="Calibri" w:hAnsi="Times New Roman" w:cs="Times New Roman"/>
                <w:sz w:val="20"/>
                <w:szCs w:val="20"/>
              </w:rPr>
              <w:t xml:space="preserve"> </w:t>
            </w:r>
            <w:proofErr w:type="spellStart"/>
            <w:r w:rsidRPr="00717707">
              <w:rPr>
                <w:rFonts w:ascii="Times New Roman" w:eastAsia="Calibri" w:hAnsi="Times New Roman" w:cs="Times New Roman"/>
                <w:sz w:val="20"/>
                <w:szCs w:val="20"/>
              </w:rPr>
              <w:t>therapy</w:t>
            </w:r>
            <w:proofErr w:type="spellEnd"/>
            <w:r w:rsidRPr="00717707">
              <w:rPr>
                <w:rFonts w:ascii="Times New Roman" w:eastAsia="Calibri" w:hAnsi="Times New Roman" w:cs="Times New Roman"/>
                <w:sz w:val="20"/>
                <w:szCs w:val="20"/>
              </w:rPr>
              <w:t>:</w:t>
            </w:r>
            <w:r w:rsidRPr="00717707">
              <w:rPr>
                <w:rFonts w:ascii="Open Sans" w:hAnsi="Open Sans" w:cs="Arial"/>
                <w:sz w:val="21"/>
                <w:szCs w:val="21"/>
                <w:lang w:val="en"/>
              </w:rPr>
              <w:t xml:space="preserve"> §</w:t>
            </w:r>
          </w:p>
        </w:tc>
      </w:tr>
      <w:tr w:rsidR="00220F46" w:rsidRPr="00717707" w14:paraId="3CDD7B55" w14:textId="77777777" w:rsidTr="003E368E">
        <w:trPr>
          <w:jc w:val="center"/>
        </w:trPr>
        <w:tc>
          <w:tcPr>
            <w:tcW w:w="2983" w:type="dxa"/>
            <w:gridSpan w:val="2"/>
            <w:tcBorders>
              <w:right w:val="nil"/>
            </w:tcBorders>
            <w:vAlign w:val="center"/>
          </w:tcPr>
          <w:p w14:paraId="3B89B9B7"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   Aspirin</w:t>
            </w:r>
          </w:p>
        </w:tc>
        <w:tc>
          <w:tcPr>
            <w:tcW w:w="1417" w:type="dxa"/>
            <w:tcBorders>
              <w:left w:val="nil"/>
              <w:right w:val="nil"/>
            </w:tcBorders>
          </w:tcPr>
          <w:p w14:paraId="2DA682AA" w14:textId="6DF51EF1"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46.1 (364)</w:t>
            </w:r>
          </w:p>
        </w:tc>
        <w:tc>
          <w:tcPr>
            <w:tcW w:w="1701" w:type="dxa"/>
            <w:tcBorders>
              <w:left w:val="nil"/>
              <w:right w:val="nil"/>
            </w:tcBorders>
          </w:tcPr>
          <w:p w14:paraId="2F09D9F3" w14:textId="683CB62D" w:rsidR="00220F46" w:rsidRPr="00E3404E" w:rsidRDefault="00717707" w:rsidP="005A0C37">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38.</w:t>
            </w:r>
            <w:r w:rsidR="005A0C37" w:rsidRPr="00E3404E">
              <w:rPr>
                <w:rFonts w:ascii="Times New Roman" w:eastAsia="Book Antiqua" w:hAnsi="Times New Roman" w:cs="Times New Roman"/>
                <w:color w:val="FFC000"/>
                <w:sz w:val="20"/>
                <w:szCs w:val="20"/>
              </w:rPr>
              <w:t>1</w:t>
            </w:r>
            <w:r w:rsidRPr="00E3404E">
              <w:rPr>
                <w:rFonts w:ascii="Times New Roman" w:eastAsia="Book Antiqua" w:hAnsi="Times New Roman" w:cs="Times New Roman"/>
                <w:color w:val="FFC000"/>
                <w:sz w:val="20"/>
                <w:szCs w:val="20"/>
              </w:rPr>
              <w:t xml:space="preserve"> (</w:t>
            </w:r>
            <w:r w:rsidR="005A0C37" w:rsidRPr="00E3404E">
              <w:rPr>
                <w:rFonts w:ascii="Times New Roman" w:eastAsia="Book Antiqua" w:hAnsi="Times New Roman" w:cs="Times New Roman"/>
                <w:color w:val="FFC000"/>
                <w:sz w:val="20"/>
                <w:szCs w:val="20"/>
              </w:rPr>
              <w:t>56</w:t>
            </w:r>
            <w:r w:rsidRPr="00E3404E">
              <w:rPr>
                <w:rFonts w:ascii="Times New Roman" w:eastAsia="Book Antiqua" w:hAnsi="Times New Roman" w:cs="Times New Roman"/>
                <w:color w:val="FFC000"/>
                <w:sz w:val="20"/>
                <w:szCs w:val="20"/>
              </w:rPr>
              <w:t>2)</w:t>
            </w:r>
          </w:p>
        </w:tc>
        <w:tc>
          <w:tcPr>
            <w:tcW w:w="1701" w:type="dxa"/>
            <w:tcBorders>
              <w:left w:val="nil"/>
              <w:right w:val="single" w:sz="4" w:space="0" w:color="auto"/>
            </w:tcBorders>
          </w:tcPr>
          <w:p w14:paraId="67EF7DC9" w14:textId="3B413100" w:rsidR="00220F46" w:rsidRPr="00E3404E" w:rsidRDefault="0071770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29</w:t>
            </w:r>
            <w:r w:rsidR="005A0C37" w:rsidRPr="00E3404E">
              <w:rPr>
                <w:rFonts w:ascii="Times New Roman" w:eastAsia="Book Antiqua" w:hAnsi="Times New Roman" w:cs="Times New Roman"/>
                <w:color w:val="FFC000"/>
                <w:sz w:val="20"/>
                <w:szCs w:val="20"/>
              </w:rPr>
              <w:t>.5</w:t>
            </w:r>
            <w:r w:rsidRPr="00E3404E">
              <w:rPr>
                <w:rFonts w:ascii="Times New Roman" w:eastAsia="Book Antiqua" w:hAnsi="Times New Roman" w:cs="Times New Roman"/>
                <w:color w:val="FFC000"/>
                <w:sz w:val="20"/>
                <w:szCs w:val="20"/>
              </w:rPr>
              <w:t xml:space="preserve"> </w:t>
            </w:r>
            <w:r w:rsidR="005A0C37" w:rsidRPr="00E3404E">
              <w:rPr>
                <w:rFonts w:ascii="Times New Roman" w:eastAsia="Book Antiqua" w:hAnsi="Times New Roman" w:cs="Times New Roman"/>
                <w:color w:val="FFC000"/>
                <w:sz w:val="20"/>
                <w:szCs w:val="20"/>
              </w:rPr>
              <w:t>(129</w:t>
            </w:r>
            <w:r w:rsidR="00220F46"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69B9738A"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50.8 (5,218)</w:t>
            </w:r>
          </w:p>
        </w:tc>
        <w:tc>
          <w:tcPr>
            <w:tcW w:w="1418" w:type="dxa"/>
            <w:tcBorders>
              <w:left w:val="nil"/>
              <w:right w:val="nil"/>
            </w:tcBorders>
          </w:tcPr>
          <w:p w14:paraId="0A92681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45.8 (1,530)</w:t>
            </w:r>
          </w:p>
        </w:tc>
        <w:tc>
          <w:tcPr>
            <w:tcW w:w="1417" w:type="dxa"/>
            <w:tcBorders>
              <w:left w:val="nil"/>
              <w:right w:val="nil"/>
            </w:tcBorders>
          </w:tcPr>
          <w:p w14:paraId="2DAF6CCE"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46.4 (2,789)</w:t>
            </w:r>
          </w:p>
        </w:tc>
        <w:tc>
          <w:tcPr>
            <w:tcW w:w="1560" w:type="dxa"/>
            <w:tcBorders>
              <w:left w:val="nil"/>
              <w:right w:val="nil"/>
            </w:tcBorders>
          </w:tcPr>
          <w:p w14:paraId="3DEDF4C0"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67.1 (2,943)</w:t>
            </w:r>
          </w:p>
        </w:tc>
        <w:tc>
          <w:tcPr>
            <w:tcW w:w="1560" w:type="dxa"/>
            <w:tcBorders>
              <w:left w:val="nil"/>
              <w:right w:val="nil"/>
            </w:tcBorders>
          </w:tcPr>
          <w:p w14:paraId="6CD34263"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51.1 (185)</w:t>
            </w:r>
          </w:p>
        </w:tc>
        <w:tc>
          <w:tcPr>
            <w:tcW w:w="1417" w:type="dxa"/>
            <w:tcBorders>
              <w:left w:val="nil"/>
            </w:tcBorders>
          </w:tcPr>
          <w:p w14:paraId="7FA6CB98"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49.2 (829)</w:t>
            </w:r>
          </w:p>
        </w:tc>
      </w:tr>
      <w:tr w:rsidR="00220F46" w:rsidRPr="00717707" w14:paraId="186448B4" w14:textId="77777777" w:rsidTr="003E368E">
        <w:trPr>
          <w:jc w:val="center"/>
        </w:trPr>
        <w:tc>
          <w:tcPr>
            <w:tcW w:w="2983" w:type="dxa"/>
            <w:gridSpan w:val="2"/>
            <w:tcBorders>
              <w:right w:val="nil"/>
            </w:tcBorders>
            <w:vAlign w:val="center"/>
          </w:tcPr>
          <w:p w14:paraId="17D14220" w14:textId="77777777" w:rsidR="00220F46" w:rsidRPr="00EE42B8" w:rsidRDefault="00220F46" w:rsidP="00220F46">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Other</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antiplatelet</w:t>
            </w:r>
            <w:proofErr w:type="spellEnd"/>
          </w:p>
        </w:tc>
        <w:tc>
          <w:tcPr>
            <w:tcW w:w="1417" w:type="dxa"/>
            <w:tcBorders>
              <w:left w:val="nil"/>
              <w:right w:val="nil"/>
            </w:tcBorders>
          </w:tcPr>
          <w:p w14:paraId="51E27BB9" w14:textId="73D5E146"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8.7 (69)</w:t>
            </w:r>
          </w:p>
        </w:tc>
        <w:tc>
          <w:tcPr>
            <w:tcW w:w="1701" w:type="dxa"/>
            <w:tcBorders>
              <w:left w:val="nil"/>
              <w:right w:val="nil"/>
            </w:tcBorders>
          </w:tcPr>
          <w:p w14:paraId="67CE5C42" w14:textId="275EEA6E" w:rsidR="00220F46" w:rsidRPr="00E3404E" w:rsidRDefault="005A0C3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3.8 (56</w:t>
            </w:r>
            <w:r w:rsidR="00220F46" w:rsidRPr="00E3404E">
              <w:rPr>
                <w:rFonts w:ascii="Times New Roman" w:eastAsia="Book Antiqua" w:hAnsi="Times New Roman" w:cs="Times New Roman"/>
                <w:color w:val="FFC000"/>
                <w:sz w:val="20"/>
                <w:szCs w:val="20"/>
              </w:rPr>
              <w:t>)</w:t>
            </w:r>
          </w:p>
        </w:tc>
        <w:tc>
          <w:tcPr>
            <w:tcW w:w="1701" w:type="dxa"/>
            <w:tcBorders>
              <w:left w:val="nil"/>
              <w:right w:val="single" w:sz="4" w:space="0" w:color="auto"/>
            </w:tcBorders>
          </w:tcPr>
          <w:p w14:paraId="78B14796" w14:textId="5D8BD541" w:rsidR="00220F46" w:rsidRPr="00E3404E" w:rsidRDefault="005A0C37"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3.0</w:t>
            </w:r>
            <w:r w:rsidR="00717707" w:rsidRPr="00E3404E">
              <w:rPr>
                <w:rFonts w:ascii="Times New Roman" w:eastAsia="Book Antiqua" w:hAnsi="Times New Roman" w:cs="Times New Roman"/>
                <w:color w:val="FFC000"/>
                <w:sz w:val="20"/>
                <w:szCs w:val="20"/>
              </w:rPr>
              <w:t xml:space="preserve"> (13</w:t>
            </w:r>
            <w:r w:rsidR="00220F46" w:rsidRPr="00E3404E">
              <w:rPr>
                <w:rFonts w:ascii="Times New Roman" w:eastAsia="Book Antiqua" w:hAnsi="Times New Roman" w:cs="Times New Roman"/>
                <w:color w:val="FFC000"/>
                <w:sz w:val="20"/>
                <w:szCs w:val="20"/>
              </w:rPr>
              <w:t>)</w:t>
            </w:r>
          </w:p>
        </w:tc>
        <w:tc>
          <w:tcPr>
            <w:tcW w:w="1420" w:type="dxa"/>
            <w:tcBorders>
              <w:left w:val="single" w:sz="4" w:space="0" w:color="auto"/>
              <w:right w:val="nil"/>
            </w:tcBorders>
          </w:tcPr>
          <w:p w14:paraId="44144E76"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13.0 (1,341)</w:t>
            </w:r>
          </w:p>
        </w:tc>
        <w:tc>
          <w:tcPr>
            <w:tcW w:w="1418" w:type="dxa"/>
            <w:tcBorders>
              <w:left w:val="nil"/>
              <w:right w:val="nil"/>
            </w:tcBorders>
          </w:tcPr>
          <w:p w14:paraId="5A12E034"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9.4 (314)</w:t>
            </w:r>
          </w:p>
        </w:tc>
        <w:tc>
          <w:tcPr>
            <w:tcW w:w="1417" w:type="dxa"/>
            <w:tcBorders>
              <w:left w:val="nil"/>
              <w:right w:val="nil"/>
            </w:tcBorders>
          </w:tcPr>
          <w:p w14:paraId="213014D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7.6 (458)</w:t>
            </w:r>
          </w:p>
        </w:tc>
        <w:tc>
          <w:tcPr>
            <w:tcW w:w="1560" w:type="dxa"/>
            <w:tcBorders>
              <w:left w:val="nil"/>
              <w:right w:val="nil"/>
            </w:tcBorders>
          </w:tcPr>
          <w:p w14:paraId="4C9C4FCD"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16.1 (705)</w:t>
            </w:r>
          </w:p>
        </w:tc>
        <w:tc>
          <w:tcPr>
            <w:tcW w:w="1560" w:type="dxa"/>
            <w:tcBorders>
              <w:left w:val="nil"/>
              <w:right w:val="nil"/>
            </w:tcBorders>
          </w:tcPr>
          <w:p w14:paraId="23AE4131"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9.4 (34)</w:t>
            </w:r>
          </w:p>
        </w:tc>
        <w:tc>
          <w:tcPr>
            <w:tcW w:w="1417" w:type="dxa"/>
            <w:tcBorders>
              <w:left w:val="nil"/>
            </w:tcBorders>
          </w:tcPr>
          <w:p w14:paraId="6F07C6D8"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8.8 (148)</w:t>
            </w:r>
          </w:p>
        </w:tc>
      </w:tr>
      <w:tr w:rsidR="00220F46" w:rsidRPr="00717707" w14:paraId="3D5CCD7D" w14:textId="77777777" w:rsidTr="003E368E">
        <w:trPr>
          <w:jc w:val="center"/>
        </w:trPr>
        <w:tc>
          <w:tcPr>
            <w:tcW w:w="2983" w:type="dxa"/>
            <w:gridSpan w:val="2"/>
            <w:tcBorders>
              <w:right w:val="nil"/>
            </w:tcBorders>
            <w:vAlign w:val="center"/>
          </w:tcPr>
          <w:p w14:paraId="5A45DB29" w14:textId="77777777" w:rsidR="00220F46" w:rsidRPr="00EE42B8" w:rsidRDefault="00220F46" w:rsidP="00220F46">
            <w:pPr>
              <w:spacing w:line="360" w:lineRule="auto"/>
              <w:rPr>
                <w:rFonts w:ascii="Times New Roman" w:eastAsia="Calibri" w:hAnsi="Times New Roman" w:cs="Times New Roman"/>
                <w:sz w:val="20"/>
                <w:szCs w:val="20"/>
                <w:highlight w:val="yellow"/>
              </w:rPr>
            </w:pPr>
            <w:r w:rsidRPr="00EE42B8">
              <w:rPr>
                <w:rFonts w:ascii="Times New Roman" w:eastAsia="Calibri" w:hAnsi="Times New Roman" w:cs="Times New Roman"/>
                <w:sz w:val="20"/>
                <w:szCs w:val="20"/>
              </w:rPr>
              <w:t xml:space="preserve">   No oral </w:t>
            </w:r>
            <w:proofErr w:type="spellStart"/>
            <w:r w:rsidRPr="00EE42B8">
              <w:rPr>
                <w:rFonts w:ascii="Times New Roman" w:eastAsia="Calibri" w:hAnsi="Times New Roman" w:cs="Times New Roman"/>
                <w:sz w:val="20"/>
                <w:szCs w:val="20"/>
              </w:rPr>
              <w:t>anticoagulant</w:t>
            </w:r>
            <w:proofErr w:type="spellEnd"/>
            <w:r w:rsidRPr="00EE42B8">
              <w:rPr>
                <w:rFonts w:ascii="Times New Roman" w:eastAsia="Calibri" w:hAnsi="Times New Roman" w:cs="Times New Roman"/>
                <w:sz w:val="20"/>
                <w:szCs w:val="20"/>
              </w:rPr>
              <w:t xml:space="preserve"> </w:t>
            </w:r>
            <w:proofErr w:type="spellStart"/>
            <w:r w:rsidRPr="00EE42B8">
              <w:rPr>
                <w:rFonts w:ascii="Times New Roman" w:eastAsia="Calibri" w:hAnsi="Times New Roman" w:cs="Times New Roman"/>
                <w:sz w:val="20"/>
                <w:szCs w:val="20"/>
              </w:rPr>
              <w:t>therapy</w:t>
            </w:r>
            <w:proofErr w:type="spellEnd"/>
          </w:p>
        </w:tc>
        <w:tc>
          <w:tcPr>
            <w:tcW w:w="1417" w:type="dxa"/>
            <w:tcBorders>
              <w:left w:val="nil"/>
              <w:right w:val="nil"/>
            </w:tcBorders>
          </w:tcPr>
          <w:p w14:paraId="44F58F75" w14:textId="254F4CBE"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37.5 (296)</w:t>
            </w:r>
          </w:p>
        </w:tc>
        <w:tc>
          <w:tcPr>
            <w:tcW w:w="1701" w:type="dxa"/>
            <w:tcBorders>
              <w:left w:val="nil"/>
              <w:right w:val="nil"/>
            </w:tcBorders>
          </w:tcPr>
          <w:p w14:paraId="52E4B7C9" w14:textId="35BEEFFA" w:rsidR="00220F46" w:rsidRPr="00E3404E" w:rsidRDefault="00220F4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701" w:type="dxa"/>
            <w:tcBorders>
              <w:left w:val="nil"/>
              <w:right w:val="single" w:sz="4" w:space="0" w:color="auto"/>
            </w:tcBorders>
          </w:tcPr>
          <w:p w14:paraId="1B8D53FF" w14:textId="72B6338E" w:rsidR="00220F46" w:rsidRPr="00E3404E" w:rsidRDefault="00220F46"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420" w:type="dxa"/>
            <w:tcBorders>
              <w:left w:val="single" w:sz="4" w:space="0" w:color="auto"/>
              <w:right w:val="nil"/>
            </w:tcBorders>
          </w:tcPr>
          <w:p w14:paraId="17DC24F9"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49.2 (5,060)</w:t>
            </w:r>
          </w:p>
        </w:tc>
        <w:tc>
          <w:tcPr>
            <w:tcW w:w="1418" w:type="dxa"/>
            <w:tcBorders>
              <w:left w:val="nil"/>
              <w:right w:val="nil"/>
            </w:tcBorders>
          </w:tcPr>
          <w:p w14:paraId="738314EF"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45.7 (1,527)</w:t>
            </w:r>
          </w:p>
        </w:tc>
        <w:tc>
          <w:tcPr>
            <w:tcW w:w="1417" w:type="dxa"/>
            <w:tcBorders>
              <w:left w:val="nil"/>
              <w:right w:val="nil"/>
            </w:tcBorders>
          </w:tcPr>
          <w:p w14:paraId="06C702AC"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40.7 (2,448)</w:t>
            </w:r>
          </w:p>
        </w:tc>
        <w:tc>
          <w:tcPr>
            <w:tcW w:w="1560" w:type="dxa"/>
            <w:tcBorders>
              <w:left w:val="nil"/>
              <w:right w:val="nil"/>
            </w:tcBorders>
          </w:tcPr>
          <w:p w14:paraId="1BBE3F0D"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34.9 (1,529)</w:t>
            </w:r>
          </w:p>
        </w:tc>
        <w:tc>
          <w:tcPr>
            <w:tcW w:w="1560" w:type="dxa"/>
            <w:tcBorders>
              <w:left w:val="nil"/>
              <w:right w:val="nil"/>
            </w:tcBorders>
          </w:tcPr>
          <w:p w14:paraId="6C85A2E5"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32.9 (119)</w:t>
            </w:r>
          </w:p>
        </w:tc>
        <w:tc>
          <w:tcPr>
            <w:tcW w:w="1417" w:type="dxa"/>
            <w:tcBorders>
              <w:left w:val="nil"/>
            </w:tcBorders>
          </w:tcPr>
          <w:p w14:paraId="5DC72ED7"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45.9 (773)</w:t>
            </w:r>
          </w:p>
        </w:tc>
      </w:tr>
      <w:tr w:rsidR="00F5063B" w:rsidRPr="00717707" w14:paraId="2CD1FAB3" w14:textId="77777777" w:rsidTr="007920FD">
        <w:trPr>
          <w:jc w:val="center"/>
        </w:trPr>
        <w:tc>
          <w:tcPr>
            <w:tcW w:w="426" w:type="dxa"/>
            <w:tcBorders>
              <w:right w:val="nil"/>
            </w:tcBorders>
            <w:vAlign w:val="center"/>
          </w:tcPr>
          <w:p w14:paraId="2C441704" w14:textId="77777777" w:rsidR="00F5063B" w:rsidRPr="00EE42B8" w:rsidRDefault="00F5063B" w:rsidP="00F5063B">
            <w:pPr>
              <w:spacing w:line="360" w:lineRule="auto"/>
              <w:rPr>
                <w:rFonts w:ascii="Times New Roman" w:eastAsia="Calibri" w:hAnsi="Times New Roman" w:cs="Times New Roman"/>
                <w:sz w:val="20"/>
                <w:szCs w:val="20"/>
              </w:rPr>
            </w:pPr>
          </w:p>
        </w:tc>
        <w:tc>
          <w:tcPr>
            <w:tcW w:w="2557" w:type="dxa"/>
            <w:tcBorders>
              <w:left w:val="nil"/>
              <w:right w:val="nil"/>
            </w:tcBorders>
            <w:vAlign w:val="center"/>
          </w:tcPr>
          <w:p w14:paraId="4B33CFCA" w14:textId="05A01297" w:rsidR="00F5063B" w:rsidRPr="00EE42B8" w:rsidRDefault="00F5063B" w:rsidP="00F5063B">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CHA</w:t>
            </w:r>
            <w:r w:rsidRPr="00EE42B8">
              <w:rPr>
                <w:rFonts w:ascii="Times New Roman" w:eastAsia="Calibri" w:hAnsi="Times New Roman" w:cs="Times New Roman"/>
                <w:sz w:val="20"/>
                <w:szCs w:val="20"/>
                <w:vertAlign w:val="subscript"/>
              </w:rPr>
              <w:t>2</w:t>
            </w:r>
            <w:r w:rsidRPr="00EE42B8">
              <w:rPr>
                <w:rFonts w:ascii="Times New Roman" w:eastAsia="Calibri" w:hAnsi="Times New Roman" w:cs="Times New Roman"/>
                <w:sz w:val="20"/>
                <w:szCs w:val="20"/>
              </w:rPr>
              <w:t>DS</w:t>
            </w:r>
            <w:r w:rsidRPr="00EE42B8">
              <w:rPr>
                <w:rFonts w:ascii="Times New Roman" w:eastAsia="Calibri" w:hAnsi="Times New Roman" w:cs="Times New Roman"/>
                <w:sz w:val="20"/>
                <w:szCs w:val="20"/>
                <w:vertAlign w:val="subscript"/>
              </w:rPr>
              <w:t>2</w:t>
            </w:r>
            <w:r w:rsidRPr="00EE42B8">
              <w:rPr>
                <w:rFonts w:ascii="Times New Roman" w:eastAsia="Calibri" w:hAnsi="Times New Roman" w:cs="Times New Roman"/>
                <w:sz w:val="20"/>
                <w:szCs w:val="20"/>
              </w:rPr>
              <w:t>-VASc score = 0</w:t>
            </w:r>
          </w:p>
        </w:tc>
        <w:tc>
          <w:tcPr>
            <w:tcW w:w="1417" w:type="dxa"/>
            <w:tcBorders>
              <w:left w:val="nil"/>
              <w:right w:val="nil"/>
            </w:tcBorders>
          </w:tcPr>
          <w:p w14:paraId="1DB76255"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3.4 (10)</w:t>
            </w:r>
          </w:p>
        </w:tc>
        <w:tc>
          <w:tcPr>
            <w:tcW w:w="1701" w:type="dxa"/>
            <w:tcBorders>
              <w:left w:val="nil"/>
              <w:right w:val="nil"/>
            </w:tcBorders>
          </w:tcPr>
          <w:p w14:paraId="546B0F0A" w14:textId="7909284D" w:rsidR="00F5063B" w:rsidRPr="00E3404E" w:rsidRDefault="00F5063B" w:rsidP="00F5063B">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701" w:type="dxa"/>
            <w:tcBorders>
              <w:left w:val="nil"/>
              <w:right w:val="single" w:sz="4" w:space="0" w:color="auto"/>
            </w:tcBorders>
          </w:tcPr>
          <w:p w14:paraId="1F442A93" w14:textId="2B6B74C2" w:rsidR="00F5063B" w:rsidRPr="00E3404E" w:rsidRDefault="00F5063B" w:rsidP="00F5063B">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420" w:type="dxa"/>
            <w:tcBorders>
              <w:left w:val="single" w:sz="4" w:space="0" w:color="auto"/>
              <w:right w:val="nil"/>
            </w:tcBorders>
          </w:tcPr>
          <w:p w14:paraId="15221F20"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1.0 (51)</w:t>
            </w:r>
          </w:p>
        </w:tc>
        <w:tc>
          <w:tcPr>
            <w:tcW w:w="1418" w:type="dxa"/>
            <w:tcBorders>
              <w:left w:val="nil"/>
              <w:right w:val="nil"/>
            </w:tcBorders>
          </w:tcPr>
          <w:p w14:paraId="5910BA4F"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6.4 (98)</w:t>
            </w:r>
          </w:p>
        </w:tc>
        <w:tc>
          <w:tcPr>
            <w:tcW w:w="1417" w:type="dxa"/>
            <w:tcBorders>
              <w:left w:val="nil"/>
              <w:right w:val="nil"/>
            </w:tcBorders>
          </w:tcPr>
          <w:p w14:paraId="71C83E90"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6.5 (158)</w:t>
            </w:r>
          </w:p>
        </w:tc>
        <w:tc>
          <w:tcPr>
            <w:tcW w:w="1560" w:type="dxa"/>
            <w:tcBorders>
              <w:left w:val="nil"/>
              <w:right w:val="nil"/>
            </w:tcBorders>
          </w:tcPr>
          <w:p w14:paraId="2A1520A9"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1.1 (17)</w:t>
            </w:r>
          </w:p>
        </w:tc>
        <w:tc>
          <w:tcPr>
            <w:tcW w:w="1560" w:type="dxa"/>
            <w:tcBorders>
              <w:left w:val="nil"/>
              <w:right w:val="nil"/>
            </w:tcBorders>
          </w:tcPr>
          <w:p w14:paraId="0792C119"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 xml:space="preserve">  - </w:t>
            </w:r>
            <w:r w:rsidRPr="00717707">
              <w:rPr>
                <w:rFonts w:ascii="Open Sans" w:hAnsi="Open Sans" w:cs="Arial"/>
                <w:sz w:val="21"/>
                <w:szCs w:val="21"/>
                <w:lang w:val="en"/>
              </w:rPr>
              <w:t>¶</w:t>
            </w:r>
          </w:p>
        </w:tc>
        <w:tc>
          <w:tcPr>
            <w:tcW w:w="1417" w:type="dxa"/>
            <w:tcBorders>
              <w:left w:val="nil"/>
            </w:tcBorders>
          </w:tcPr>
          <w:p w14:paraId="24069D6C"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4.8 (37)</w:t>
            </w:r>
          </w:p>
        </w:tc>
      </w:tr>
      <w:tr w:rsidR="00F5063B" w:rsidRPr="00717707" w14:paraId="4CBD1EEE" w14:textId="77777777" w:rsidTr="007920FD">
        <w:trPr>
          <w:jc w:val="center"/>
        </w:trPr>
        <w:tc>
          <w:tcPr>
            <w:tcW w:w="426" w:type="dxa"/>
            <w:tcBorders>
              <w:right w:val="nil"/>
            </w:tcBorders>
            <w:vAlign w:val="center"/>
          </w:tcPr>
          <w:p w14:paraId="0E8B5CED" w14:textId="77777777" w:rsidR="00F5063B" w:rsidRPr="00EE42B8" w:rsidRDefault="00F5063B" w:rsidP="00F5063B">
            <w:pPr>
              <w:spacing w:line="360" w:lineRule="auto"/>
              <w:rPr>
                <w:rFonts w:ascii="Times New Roman" w:eastAsia="Calibri" w:hAnsi="Times New Roman" w:cs="Times New Roman"/>
                <w:sz w:val="20"/>
                <w:szCs w:val="20"/>
              </w:rPr>
            </w:pPr>
          </w:p>
        </w:tc>
        <w:tc>
          <w:tcPr>
            <w:tcW w:w="2557" w:type="dxa"/>
            <w:tcBorders>
              <w:left w:val="nil"/>
              <w:right w:val="nil"/>
            </w:tcBorders>
            <w:vAlign w:val="center"/>
          </w:tcPr>
          <w:p w14:paraId="1378B6E8" w14:textId="3DC09922" w:rsidR="00F5063B" w:rsidRPr="00EE42B8" w:rsidRDefault="00F5063B" w:rsidP="00F5063B">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CHA</w:t>
            </w:r>
            <w:r w:rsidRPr="00EE42B8">
              <w:rPr>
                <w:rFonts w:ascii="Times New Roman" w:eastAsia="Calibri" w:hAnsi="Times New Roman" w:cs="Times New Roman"/>
                <w:sz w:val="20"/>
                <w:szCs w:val="20"/>
                <w:vertAlign w:val="subscript"/>
              </w:rPr>
              <w:t>2</w:t>
            </w:r>
            <w:r w:rsidRPr="00EE42B8">
              <w:rPr>
                <w:rFonts w:ascii="Times New Roman" w:eastAsia="Calibri" w:hAnsi="Times New Roman" w:cs="Times New Roman"/>
                <w:sz w:val="20"/>
                <w:szCs w:val="20"/>
              </w:rPr>
              <w:t>DS</w:t>
            </w:r>
            <w:r w:rsidRPr="00EE42B8">
              <w:rPr>
                <w:rFonts w:ascii="Times New Roman" w:eastAsia="Calibri" w:hAnsi="Times New Roman" w:cs="Times New Roman"/>
                <w:sz w:val="20"/>
                <w:szCs w:val="20"/>
                <w:vertAlign w:val="subscript"/>
              </w:rPr>
              <w:t>2</w:t>
            </w:r>
            <w:r w:rsidRPr="00EE42B8">
              <w:rPr>
                <w:rFonts w:ascii="Times New Roman" w:eastAsia="Calibri" w:hAnsi="Times New Roman" w:cs="Times New Roman"/>
                <w:sz w:val="20"/>
                <w:szCs w:val="20"/>
              </w:rPr>
              <w:t>-VASc score = 1</w:t>
            </w:r>
          </w:p>
        </w:tc>
        <w:tc>
          <w:tcPr>
            <w:tcW w:w="1417" w:type="dxa"/>
            <w:tcBorders>
              <w:left w:val="nil"/>
              <w:right w:val="nil"/>
            </w:tcBorders>
          </w:tcPr>
          <w:p w14:paraId="190DAEB6"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6.8 (20)</w:t>
            </w:r>
          </w:p>
        </w:tc>
        <w:tc>
          <w:tcPr>
            <w:tcW w:w="1701" w:type="dxa"/>
            <w:tcBorders>
              <w:left w:val="nil"/>
              <w:right w:val="nil"/>
            </w:tcBorders>
          </w:tcPr>
          <w:p w14:paraId="17B22155" w14:textId="6F5C140C" w:rsidR="00F5063B" w:rsidRPr="00E3404E" w:rsidRDefault="00F5063B" w:rsidP="00F5063B">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701" w:type="dxa"/>
            <w:tcBorders>
              <w:left w:val="nil"/>
              <w:right w:val="single" w:sz="4" w:space="0" w:color="auto"/>
            </w:tcBorders>
          </w:tcPr>
          <w:p w14:paraId="3CF43A15" w14:textId="2A2CE74C" w:rsidR="00F5063B" w:rsidRPr="00E3404E" w:rsidRDefault="00F5063B" w:rsidP="00F5063B">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420" w:type="dxa"/>
            <w:tcBorders>
              <w:left w:val="single" w:sz="4" w:space="0" w:color="auto"/>
              <w:right w:val="nil"/>
            </w:tcBorders>
          </w:tcPr>
          <w:p w14:paraId="006519CA"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3.4 (174)</w:t>
            </w:r>
          </w:p>
        </w:tc>
        <w:tc>
          <w:tcPr>
            <w:tcW w:w="1418" w:type="dxa"/>
            <w:tcBorders>
              <w:left w:val="nil"/>
              <w:right w:val="nil"/>
            </w:tcBorders>
          </w:tcPr>
          <w:p w14:paraId="419B0BE9"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9.4 (144)</w:t>
            </w:r>
          </w:p>
        </w:tc>
        <w:tc>
          <w:tcPr>
            <w:tcW w:w="1417" w:type="dxa"/>
            <w:tcBorders>
              <w:left w:val="nil"/>
              <w:right w:val="nil"/>
            </w:tcBorders>
          </w:tcPr>
          <w:p w14:paraId="7424C5F4"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11.6 (285)</w:t>
            </w:r>
          </w:p>
        </w:tc>
        <w:tc>
          <w:tcPr>
            <w:tcW w:w="1560" w:type="dxa"/>
            <w:tcBorders>
              <w:left w:val="nil"/>
              <w:right w:val="nil"/>
            </w:tcBorders>
          </w:tcPr>
          <w:p w14:paraId="41CB27D6"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5.1 (78)</w:t>
            </w:r>
          </w:p>
        </w:tc>
        <w:tc>
          <w:tcPr>
            <w:tcW w:w="1560" w:type="dxa"/>
            <w:tcBorders>
              <w:left w:val="nil"/>
              <w:right w:val="nil"/>
            </w:tcBorders>
          </w:tcPr>
          <w:p w14:paraId="29C422DF"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 xml:space="preserve">  - </w:t>
            </w:r>
            <w:r w:rsidRPr="00717707">
              <w:rPr>
                <w:rFonts w:ascii="Open Sans" w:hAnsi="Open Sans" w:cs="Arial"/>
                <w:sz w:val="21"/>
                <w:szCs w:val="21"/>
                <w:lang w:val="en"/>
              </w:rPr>
              <w:t>¶</w:t>
            </w:r>
          </w:p>
        </w:tc>
        <w:tc>
          <w:tcPr>
            <w:tcW w:w="1417" w:type="dxa"/>
            <w:tcBorders>
              <w:left w:val="nil"/>
            </w:tcBorders>
          </w:tcPr>
          <w:p w14:paraId="647A8E97"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9.2 (71)</w:t>
            </w:r>
          </w:p>
        </w:tc>
      </w:tr>
      <w:tr w:rsidR="00F5063B" w:rsidRPr="00717707" w14:paraId="16C683A4" w14:textId="77777777" w:rsidTr="007920FD">
        <w:trPr>
          <w:jc w:val="center"/>
        </w:trPr>
        <w:tc>
          <w:tcPr>
            <w:tcW w:w="426" w:type="dxa"/>
            <w:tcBorders>
              <w:right w:val="nil"/>
            </w:tcBorders>
            <w:vAlign w:val="center"/>
          </w:tcPr>
          <w:p w14:paraId="0E5875C4" w14:textId="77777777" w:rsidR="00F5063B" w:rsidRPr="00EE42B8" w:rsidRDefault="00F5063B" w:rsidP="00F5063B">
            <w:pPr>
              <w:spacing w:line="360" w:lineRule="auto"/>
              <w:rPr>
                <w:rFonts w:ascii="Times New Roman" w:eastAsia="Calibri" w:hAnsi="Times New Roman" w:cs="Times New Roman"/>
                <w:sz w:val="20"/>
                <w:szCs w:val="20"/>
              </w:rPr>
            </w:pPr>
          </w:p>
        </w:tc>
        <w:tc>
          <w:tcPr>
            <w:tcW w:w="2557" w:type="dxa"/>
            <w:tcBorders>
              <w:left w:val="nil"/>
              <w:right w:val="nil"/>
            </w:tcBorders>
            <w:vAlign w:val="center"/>
          </w:tcPr>
          <w:p w14:paraId="72AAA9DB" w14:textId="6FEE663F" w:rsidR="00F5063B" w:rsidRPr="00EE42B8" w:rsidRDefault="00F5063B" w:rsidP="00F5063B">
            <w:pPr>
              <w:spacing w:line="360" w:lineRule="auto"/>
              <w:rPr>
                <w:rFonts w:ascii="Times New Roman" w:eastAsia="Calibri" w:hAnsi="Times New Roman" w:cs="Times New Roman"/>
                <w:sz w:val="20"/>
                <w:szCs w:val="20"/>
              </w:rPr>
            </w:pPr>
            <w:r w:rsidRPr="00EE42B8">
              <w:rPr>
                <w:rFonts w:ascii="Times New Roman" w:eastAsia="Calibri" w:hAnsi="Times New Roman" w:cs="Times New Roman"/>
                <w:sz w:val="20"/>
                <w:szCs w:val="20"/>
              </w:rPr>
              <w:t>CHA</w:t>
            </w:r>
            <w:r w:rsidRPr="00EE42B8">
              <w:rPr>
                <w:rFonts w:ascii="Times New Roman" w:eastAsia="Calibri" w:hAnsi="Times New Roman" w:cs="Times New Roman"/>
                <w:sz w:val="20"/>
                <w:szCs w:val="20"/>
                <w:vertAlign w:val="subscript"/>
              </w:rPr>
              <w:t>2</w:t>
            </w:r>
            <w:r w:rsidRPr="00EE42B8">
              <w:rPr>
                <w:rFonts w:ascii="Times New Roman" w:eastAsia="Calibri" w:hAnsi="Times New Roman" w:cs="Times New Roman"/>
                <w:sz w:val="20"/>
                <w:szCs w:val="20"/>
              </w:rPr>
              <w:t>DS</w:t>
            </w:r>
            <w:r w:rsidRPr="00EE42B8">
              <w:rPr>
                <w:rFonts w:ascii="Times New Roman" w:eastAsia="Calibri" w:hAnsi="Times New Roman" w:cs="Times New Roman"/>
                <w:sz w:val="20"/>
                <w:szCs w:val="20"/>
                <w:vertAlign w:val="subscript"/>
              </w:rPr>
              <w:t>2</w:t>
            </w:r>
            <w:r w:rsidRPr="00EE42B8">
              <w:rPr>
                <w:rFonts w:ascii="Times New Roman" w:eastAsia="Calibri" w:hAnsi="Times New Roman" w:cs="Times New Roman"/>
                <w:sz w:val="20"/>
                <w:szCs w:val="20"/>
              </w:rPr>
              <w:t>-VASc score = 2+</w:t>
            </w:r>
          </w:p>
        </w:tc>
        <w:tc>
          <w:tcPr>
            <w:tcW w:w="1417" w:type="dxa"/>
            <w:tcBorders>
              <w:left w:val="nil"/>
              <w:right w:val="nil"/>
            </w:tcBorders>
          </w:tcPr>
          <w:p w14:paraId="1843259B"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89.9 (266)</w:t>
            </w:r>
          </w:p>
        </w:tc>
        <w:tc>
          <w:tcPr>
            <w:tcW w:w="1701" w:type="dxa"/>
            <w:tcBorders>
              <w:left w:val="nil"/>
              <w:right w:val="nil"/>
            </w:tcBorders>
          </w:tcPr>
          <w:p w14:paraId="793EEA8D" w14:textId="3A79F6C9" w:rsidR="00F5063B" w:rsidRPr="00E3404E" w:rsidRDefault="00F5063B" w:rsidP="00F5063B">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701" w:type="dxa"/>
            <w:tcBorders>
              <w:left w:val="nil"/>
              <w:right w:val="single" w:sz="4" w:space="0" w:color="auto"/>
            </w:tcBorders>
          </w:tcPr>
          <w:p w14:paraId="63066646" w14:textId="27B581BD" w:rsidR="00F5063B" w:rsidRPr="00E3404E" w:rsidRDefault="00F5063B" w:rsidP="00F5063B">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420" w:type="dxa"/>
            <w:tcBorders>
              <w:left w:val="single" w:sz="4" w:space="0" w:color="auto"/>
              <w:right w:val="nil"/>
            </w:tcBorders>
          </w:tcPr>
          <w:p w14:paraId="078E89C3"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95.6 (4,835)</w:t>
            </w:r>
          </w:p>
        </w:tc>
        <w:tc>
          <w:tcPr>
            <w:tcW w:w="1418" w:type="dxa"/>
            <w:tcBorders>
              <w:left w:val="nil"/>
              <w:right w:val="nil"/>
            </w:tcBorders>
          </w:tcPr>
          <w:p w14:paraId="0247BAC3"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84.2 (1,285)</w:t>
            </w:r>
          </w:p>
        </w:tc>
        <w:tc>
          <w:tcPr>
            <w:tcW w:w="1417" w:type="dxa"/>
            <w:tcBorders>
              <w:left w:val="nil"/>
              <w:right w:val="nil"/>
            </w:tcBorders>
          </w:tcPr>
          <w:p w14:paraId="14D471CE"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81.9 (2,005)</w:t>
            </w:r>
          </w:p>
        </w:tc>
        <w:tc>
          <w:tcPr>
            <w:tcW w:w="1560" w:type="dxa"/>
            <w:tcBorders>
              <w:left w:val="nil"/>
              <w:right w:val="nil"/>
            </w:tcBorders>
          </w:tcPr>
          <w:p w14:paraId="351EB0B3"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93.8 (1,434)</w:t>
            </w:r>
          </w:p>
        </w:tc>
        <w:tc>
          <w:tcPr>
            <w:tcW w:w="1560" w:type="dxa"/>
            <w:tcBorders>
              <w:left w:val="nil"/>
              <w:right w:val="nil"/>
            </w:tcBorders>
          </w:tcPr>
          <w:p w14:paraId="756D8ABB"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 xml:space="preserve">  - </w:t>
            </w:r>
            <w:r w:rsidRPr="00717707">
              <w:rPr>
                <w:rFonts w:ascii="Open Sans" w:hAnsi="Open Sans" w:cs="Arial"/>
                <w:sz w:val="21"/>
                <w:szCs w:val="21"/>
                <w:lang w:val="en"/>
              </w:rPr>
              <w:t>¶</w:t>
            </w:r>
          </w:p>
        </w:tc>
        <w:tc>
          <w:tcPr>
            <w:tcW w:w="1417" w:type="dxa"/>
            <w:tcBorders>
              <w:left w:val="nil"/>
            </w:tcBorders>
          </w:tcPr>
          <w:p w14:paraId="0670219F" w14:textId="77777777" w:rsidR="00F5063B" w:rsidRPr="00717707" w:rsidRDefault="00F5063B" w:rsidP="00F5063B">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86.0 (665)</w:t>
            </w:r>
          </w:p>
        </w:tc>
      </w:tr>
      <w:tr w:rsidR="00220F46" w:rsidRPr="00717707" w14:paraId="0932A6D0" w14:textId="77777777" w:rsidTr="003E368E">
        <w:trPr>
          <w:jc w:val="center"/>
        </w:trPr>
        <w:tc>
          <w:tcPr>
            <w:tcW w:w="2983" w:type="dxa"/>
            <w:gridSpan w:val="2"/>
            <w:tcBorders>
              <w:right w:val="nil"/>
            </w:tcBorders>
            <w:vAlign w:val="center"/>
          </w:tcPr>
          <w:p w14:paraId="58B4EADE" w14:textId="0FEAD7C8" w:rsidR="00220F46" w:rsidRPr="00EE42B8" w:rsidRDefault="00220F46" w:rsidP="00220F4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Vitamin K antagonists/</w:t>
            </w:r>
            <w:r w:rsidRPr="00EE42B8">
              <w:rPr>
                <w:rFonts w:ascii="Times New Roman" w:eastAsia="Calibri" w:hAnsi="Times New Roman" w:cs="Times New Roman"/>
                <w:sz w:val="20"/>
                <w:szCs w:val="20"/>
              </w:rPr>
              <w:t>VKA</w:t>
            </w:r>
          </w:p>
        </w:tc>
        <w:tc>
          <w:tcPr>
            <w:tcW w:w="1417" w:type="dxa"/>
            <w:tcBorders>
              <w:left w:val="nil"/>
              <w:right w:val="nil"/>
            </w:tcBorders>
          </w:tcPr>
          <w:p w14:paraId="2FA31AA5" w14:textId="257F60E1"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rPr>
              <w:t>54.0 (426)</w:t>
            </w:r>
          </w:p>
        </w:tc>
        <w:tc>
          <w:tcPr>
            <w:tcW w:w="1701" w:type="dxa"/>
            <w:tcBorders>
              <w:left w:val="nil"/>
              <w:right w:val="nil"/>
            </w:tcBorders>
          </w:tcPr>
          <w:p w14:paraId="413DAD9B" w14:textId="057751AA" w:rsidR="00220F46" w:rsidRPr="00E3404E" w:rsidRDefault="00375B07"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100.0</w:t>
            </w:r>
            <w:r w:rsidR="00717707" w:rsidRPr="00E3404E">
              <w:rPr>
                <w:rFonts w:ascii="Times New Roman" w:eastAsia="Book Antiqua" w:hAnsi="Times New Roman" w:cs="Times New Roman"/>
                <w:color w:val="FFC000"/>
                <w:sz w:val="20"/>
                <w:szCs w:val="20"/>
                <w:lang w:val="en-US"/>
              </w:rPr>
              <w:t xml:space="preserve"> (1,475</w:t>
            </w:r>
            <w:r w:rsidR="00220F46" w:rsidRPr="00E3404E">
              <w:rPr>
                <w:rFonts w:ascii="Times New Roman" w:eastAsia="Book Antiqua" w:hAnsi="Times New Roman" w:cs="Times New Roman"/>
                <w:color w:val="FFC000"/>
                <w:sz w:val="20"/>
                <w:szCs w:val="20"/>
                <w:lang w:val="en-US"/>
              </w:rPr>
              <w:t>)</w:t>
            </w:r>
          </w:p>
        </w:tc>
        <w:tc>
          <w:tcPr>
            <w:tcW w:w="1701" w:type="dxa"/>
            <w:tcBorders>
              <w:left w:val="nil"/>
              <w:right w:val="single" w:sz="4" w:space="0" w:color="auto"/>
            </w:tcBorders>
          </w:tcPr>
          <w:p w14:paraId="1F41F72C" w14:textId="74CCEE11" w:rsidR="00220F46" w:rsidRPr="00E3404E" w:rsidRDefault="00375B07"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100.0</w:t>
            </w:r>
            <w:r w:rsidR="00717707" w:rsidRPr="00E3404E">
              <w:rPr>
                <w:rFonts w:ascii="Times New Roman" w:eastAsia="Book Antiqua" w:hAnsi="Times New Roman" w:cs="Times New Roman"/>
                <w:color w:val="FFC000"/>
                <w:sz w:val="20"/>
                <w:szCs w:val="20"/>
                <w:lang w:val="en-US"/>
              </w:rPr>
              <w:t xml:space="preserve"> (437</w:t>
            </w:r>
            <w:r w:rsidR="00D62BE9" w:rsidRPr="00E3404E">
              <w:rPr>
                <w:rFonts w:ascii="Times New Roman" w:eastAsia="Book Antiqua" w:hAnsi="Times New Roman" w:cs="Times New Roman"/>
                <w:color w:val="FFC000"/>
                <w:sz w:val="20"/>
                <w:szCs w:val="20"/>
                <w:lang w:val="en-US"/>
              </w:rPr>
              <w:t>)</w:t>
            </w:r>
          </w:p>
        </w:tc>
        <w:tc>
          <w:tcPr>
            <w:tcW w:w="1420" w:type="dxa"/>
            <w:tcBorders>
              <w:left w:val="single" w:sz="4" w:space="0" w:color="auto"/>
              <w:right w:val="nil"/>
            </w:tcBorders>
          </w:tcPr>
          <w:p w14:paraId="40B4148C" w14:textId="77777777" w:rsidR="00220F46" w:rsidRPr="00EE29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EE2996">
              <w:rPr>
                <w:rFonts w:ascii="Times New Roman" w:eastAsia="Book Antiqua" w:hAnsi="Times New Roman" w:cs="Times New Roman"/>
                <w:sz w:val="20"/>
                <w:szCs w:val="20"/>
                <w:lang w:val="en-US"/>
              </w:rPr>
              <w:t>33.1 (3,398)</w:t>
            </w:r>
          </w:p>
        </w:tc>
        <w:tc>
          <w:tcPr>
            <w:tcW w:w="1418" w:type="dxa"/>
            <w:tcBorders>
              <w:left w:val="nil"/>
              <w:right w:val="nil"/>
            </w:tcBorders>
          </w:tcPr>
          <w:p w14:paraId="5785163A" w14:textId="77777777" w:rsidR="00220F46" w:rsidRPr="00EE29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EE2996">
              <w:rPr>
                <w:rFonts w:ascii="Times New Roman" w:eastAsia="Book Antiqua" w:hAnsi="Times New Roman" w:cs="Times New Roman"/>
                <w:sz w:val="20"/>
                <w:szCs w:val="20"/>
                <w:lang w:val="en-US"/>
              </w:rPr>
              <w:t>34.3 (1,148)</w:t>
            </w:r>
          </w:p>
        </w:tc>
        <w:tc>
          <w:tcPr>
            <w:tcW w:w="1417" w:type="dxa"/>
            <w:tcBorders>
              <w:left w:val="nil"/>
              <w:right w:val="nil"/>
            </w:tcBorders>
          </w:tcPr>
          <w:p w14:paraId="27B280F8" w14:textId="77777777" w:rsidR="00220F46" w:rsidRPr="00EE29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EE2996">
              <w:rPr>
                <w:rFonts w:ascii="Times New Roman" w:eastAsia="Book Antiqua" w:hAnsi="Times New Roman" w:cs="Times New Roman"/>
                <w:sz w:val="20"/>
                <w:szCs w:val="20"/>
                <w:lang w:val="en-US"/>
              </w:rPr>
              <w:t>44.5 (2,676)</w:t>
            </w:r>
          </w:p>
        </w:tc>
        <w:tc>
          <w:tcPr>
            <w:tcW w:w="1560" w:type="dxa"/>
            <w:tcBorders>
              <w:left w:val="nil"/>
              <w:right w:val="nil"/>
            </w:tcBorders>
          </w:tcPr>
          <w:p w14:paraId="060A7207" w14:textId="77777777" w:rsidR="00220F46" w:rsidRPr="00EE29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EE2996">
              <w:rPr>
                <w:rFonts w:ascii="Times New Roman" w:eastAsia="Book Antiqua" w:hAnsi="Times New Roman" w:cs="Times New Roman"/>
                <w:sz w:val="20"/>
                <w:szCs w:val="20"/>
                <w:lang w:val="en-US"/>
              </w:rPr>
              <w:t>48.0 (2,103)</w:t>
            </w:r>
          </w:p>
        </w:tc>
        <w:tc>
          <w:tcPr>
            <w:tcW w:w="1560" w:type="dxa"/>
            <w:tcBorders>
              <w:left w:val="nil"/>
              <w:right w:val="nil"/>
            </w:tcBorders>
          </w:tcPr>
          <w:p w14:paraId="59C53867" w14:textId="77777777" w:rsidR="00220F46" w:rsidRPr="00EE29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EE2996">
              <w:rPr>
                <w:rFonts w:ascii="Times New Roman" w:eastAsia="Book Antiqua" w:hAnsi="Times New Roman" w:cs="Times New Roman"/>
                <w:sz w:val="20"/>
                <w:szCs w:val="20"/>
                <w:lang w:val="en-US"/>
              </w:rPr>
              <w:t>53.0 (192)</w:t>
            </w:r>
          </w:p>
        </w:tc>
        <w:tc>
          <w:tcPr>
            <w:tcW w:w="1417" w:type="dxa"/>
            <w:tcBorders>
              <w:left w:val="nil"/>
            </w:tcBorders>
          </w:tcPr>
          <w:p w14:paraId="7E11BAA7" w14:textId="77777777" w:rsidR="00220F46" w:rsidRPr="00EE2996"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EE2996">
              <w:rPr>
                <w:rFonts w:ascii="Times New Roman" w:eastAsia="Book Antiqua" w:hAnsi="Times New Roman" w:cs="Times New Roman"/>
                <w:sz w:val="20"/>
                <w:szCs w:val="20"/>
                <w:lang w:val="en-US"/>
              </w:rPr>
              <w:t>42.9 (723)</w:t>
            </w:r>
          </w:p>
        </w:tc>
      </w:tr>
      <w:tr w:rsidR="00220F46" w:rsidRPr="00717707" w14:paraId="7126E312" w14:textId="77777777" w:rsidTr="003E368E">
        <w:trPr>
          <w:jc w:val="center"/>
        </w:trPr>
        <w:tc>
          <w:tcPr>
            <w:tcW w:w="2983" w:type="dxa"/>
            <w:gridSpan w:val="2"/>
            <w:tcBorders>
              <w:right w:val="nil"/>
            </w:tcBorders>
            <w:vAlign w:val="center"/>
          </w:tcPr>
          <w:p w14:paraId="77361CB3" w14:textId="16F64383" w:rsidR="00220F46" w:rsidRPr="00F50FB7" w:rsidRDefault="00220F46" w:rsidP="00220F46">
            <w:pPr>
              <w:spacing w:line="360" w:lineRule="auto"/>
              <w:rPr>
                <w:rFonts w:ascii="Times New Roman" w:eastAsia="Calibri" w:hAnsi="Times New Roman" w:cs="Times New Roman"/>
                <w:sz w:val="20"/>
                <w:szCs w:val="20"/>
                <w:lang w:val="en-US"/>
              </w:rPr>
            </w:pPr>
            <w:r w:rsidRPr="00F50FB7">
              <w:rPr>
                <w:rFonts w:ascii="Times New Roman" w:eastAsia="Calibri" w:hAnsi="Times New Roman" w:cs="Times New Roman"/>
                <w:sz w:val="20"/>
                <w:lang w:val="en-US"/>
              </w:rPr>
              <w:lastRenderedPageBreak/>
              <w:t xml:space="preserve">   Non-vitamin K </w:t>
            </w:r>
            <w:r>
              <w:rPr>
                <w:rFonts w:ascii="Times New Roman" w:eastAsia="Calibri" w:hAnsi="Times New Roman" w:cs="Times New Roman"/>
                <w:sz w:val="20"/>
                <w:lang w:val="en-US"/>
              </w:rPr>
              <w:t>antagonist oral anticoagulants/</w:t>
            </w:r>
            <w:r w:rsidRPr="00F50FB7">
              <w:rPr>
                <w:rFonts w:ascii="Times New Roman" w:eastAsia="Calibri" w:hAnsi="Times New Roman" w:cs="Times New Roman"/>
                <w:iCs/>
                <w:sz w:val="20"/>
                <w:lang w:val="en-US"/>
              </w:rPr>
              <w:t>NOAC</w:t>
            </w:r>
          </w:p>
        </w:tc>
        <w:tc>
          <w:tcPr>
            <w:tcW w:w="1417" w:type="dxa"/>
            <w:tcBorders>
              <w:left w:val="nil"/>
              <w:right w:val="nil"/>
            </w:tcBorders>
          </w:tcPr>
          <w:p w14:paraId="71F8067F" w14:textId="7DBE4039"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rPr>
            </w:pPr>
            <w:r w:rsidRPr="00717707">
              <w:rPr>
                <w:rFonts w:ascii="Times New Roman" w:eastAsia="Book Antiqua" w:hAnsi="Times New Roman" w:cs="Times New Roman"/>
                <w:sz w:val="20"/>
                <w:szCs w:val="20"/>
              </w:rPr>
              <w:t>8.5 (67)</w:t>
            </w:r>
          </w:p>
        </w:tc>
        <w:tc>
          <w:tcPr>
            <w:tcW w:w="1701" w:type="dxa"/>
            <w:tcBorders>
              <w:left w:val="nil"/>
              <w:right w:val="nil"/>
            </w:tcBorders>
          </w:tcPr>
          <w:p w14:paraId="266B6691" w14:textId="45AF8020" w:rsidR="00220F46" w:rsidRPr="00E3404E" w:rsidRDefault="00375B07"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0.0 (0</w:t>
            </w:r>
            <w:r w:rsidR="00220F46" w:rsidRPr="00E3404E">
              <w:rPr>
                <w:rFonts w:ascii="Times New Roman" w:eastAsia="Book Antiqua" w:hAnsi="Times New Roman" w:cs="Times New Roman"/>
                <w:color w:val="FFC000"/>
                <w:sz w:val="20"/>
                <w:szCs w:val="20"/>
                <w:lang w:val="en-US"/>
              </w:rPr>
              <w:t>)</w:t>
            </w:r>
          </w:p>
        </w:tc>
        <w:tc>
          <w:tcPr>
            <w:tcW w:w="1701" w:type="dxa"/>
            <w:tcBorders>
              <w:left w:val="nil"/>
              <w:right w:val="single" w:sz="4" w:space="0" w:color="auto"/>
            </w:tcBorders>
          </w:tcPr>
          <w:p w14:paraId="531E1F8F" w14:textId="11846E60" w:rsidR="00220F46" w:rsidRPr="00E3404E" w:rsidRDefault="00717707" w:rsidP="00220F46">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0.</w:t>
            </w:r>
            <w:r w:rsidR="00375B07" w:rsidRPr="00E3404E">
              <w:rPr>
                <w:rFonts w:ascii="Times New Roman" w:eastAsia="Book Antiqua" w:hAnsi="Times New Roman" w:cs="Times New Roman"/>
                <w:color w:val="FFC000"/>
                <w:sz w:val="20"/>
                <w:szCs w:val="20"/>
                <w:lang w:val="en-US"/>
              </w:rPr>
              <w:t>0 (0</w:t>
            </w:r>
            <w:r w:rsidR="00D62BE9" w:rsidRPr="00E3404E">
              <w:rPr>
                <w:rFonts w:ascii="Times New Roman" w:eastAsia="Book Antiqua" w:hAnsi="Times New Roman" w:cs="Times New Roman"/>
                <w:color w:val="FFC000"/>
                <w:sz w:val="20"/>
                <w:szCs w:val="20"/>
                <w:lang w:val="en-US"/>
              </w:rPr>
              <w:t>)</w:t>
            </w:r>
          </w:p>
        </w:tc>
        <w:tc>
          <w:tcPr>
            <w:tcW w:w="1420" w:type="dxa"/>
            <w:tcBorders>
              <w:left w:val="single" w:sz="4" w:space="0" w:color="auto"/>
              <w:right w:val="nil"/>
            </w:tcBorders>
          </w:tcPr>
          <w:p w14:paraId="45ADA0A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17.7 (1,821)</w:t>
            </w:r>
          </w:p>
        </w:tc>
        <w:tc>
          <w:tcPr>
            <w:tcW w:w="1418" w:type="dxa"/>
            <w:tcBorders>
              <w:left w:val="nil"/>
              <w:right w:val="nil"/>
            </w:tcBorders>
          </w:tcPr>
          <w:p w14:paraId="30F9934B"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20.0 (668)</w:t>
            </w:r>
          </w:p>
        </w:tc>
        <w:tc>
          <w:tcPr>
            <w:tcW w:w="1417" w:type="dxa"/>
            <w:tcBorders>
              <w:left w:val="nil"/>
              <w:right w:val="nil"/>
            </w:tcBorders>
          </w:tcPr>
          <w:p w14:paraId="71946F8C"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14.8 (892)</w:t>
            </w:r>
          </w:p>
        </w:tc>
        <w:tc>
          <w:tcPr>
            <w:tcW w:w="1560" w:type="dxa"/>
            <w:tcBorders>
              <w:left w:val="nil"/>
              <w:right w:val="nil"/>
            </w:tcBorders>
          </w:tcPr>
          <w:p w14:paraId="66883CC0"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17.2 (752)</w:t>
            </w:r>
          </w:p>
        </w:tc>
        <w:tc>
          <w:tcPr>
            <w:tcW w:w="1560" w:type="dxa"/>
            <w:tcBorders>
              <w:left w:val="nil"/>
              <w:right w:val="nil"/>
            </w:tcBorders>
          </w:tcPr>
          <w:p w14:paraId="138F8B5D"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14.1 (51)</w:t>
            </w:r>
          </w:p>
        </w:tc>
        <w:tc>
          <w:tcPr>
            <w:tcW w:w="1417" w:type="dxa"/>
            <w:tcBorders>
              <w:left w:val="nil"/>
            </w:tcBorders>
          </w:tcPr>
          <w:p w14:paraId="04E21AB2" w14:textId="77777777" w:rsidR="00220F46" w:rsidRPr="00717707"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r w:rsidRPr="00717707">
              <w:rPr>
                <w:rFonts w:ascii="Times New Roman" w:eastAsia="Book Antiqua" w:hAnsi="Times New Roman" w:cs="Times New Roman"/>
                <w:sz w:val="20"/>
                <w:szCs w:val="20"/>
                <w:lang w:val="en-US"/>
              </w:rPr>
              <w:t>11.2 (189)</w:t>
            </w:r>
          </w:p>
        </w:tc>
      </w:tr>
      <w:tr w:rsidR="00220F46" w:rsidRPr="001C42B4" w14:paraId="7B168185" w14:textId="77777777" w:rsidTr="003E368E">
        <w:trPr>
          <w:jc w:val="center"/>
        </w:trPr>
        <w:tc>
          <w:tcPr>
            <w:tcW w:w="2983" w:type="dxa"/>
            <w:gridSpan w:val="2"/>
            <w:tcBorders>
              <w:right w:val="nil"/>
            </w:tcBorders>
            <w:vAlign w:val="center"/>
          </w:tcPr>
          <w:p w14:paraId="0088ACD2" w14:textId="77777777" w:rsidR="00220F46" w:rsidRDefault="00220F46" w:rsidP="00220F46">
            <w:pPr>
              <w:spacing w:line="360" w:lineRule="auto"/>
              <w:rPr>
                <w:rFonts w:ascii="Times New Roman" w:eastAsia="Calibri" w:hAnsi="Times New Roman" w:cs="Times New Roman"/>
                <w:sz w:val="20"/>
                <w:lang w:val="en-US"/>
              </w:rPr>
            </w:pPr>
            <w:r>
              <w:rPr>
                <w:rFonts w:ascii="Times New Roman" w:eastAsia="Calibri" w:hAnsi="Times New Roman" w:cs="Times New Roman"/>
                <w:sz w:val="20"/>
                <w:lang w:val="en-US"/>
              </w:rPr>
              <w:t xml:space="preserve">Oral anticoagulant therapy </w:t>
            </w:r>
          </w:p>
          <w:p w14:paraId="374D3AC8" w14:textId="5E440D76" w:rsidR="00220F46" w:rsidRPr="00F50FB7" w:rsidRDefault="00220F46" w:rsidP="00220F46">
            <w:pPr>
              <w:spacing w:line="360" w:lineRule="auto"/>
              <w:rPr>
                <w:rFonts w:ascii="Times New Roman" w:eastAsia="Calibri" w:hAnsi="Times New Roman" w:cs="Times New Roman"/>
                <w:sz w:val="20"/>
                <w:lang w:val="en-US"/>
              </w:rPr>
            </w:pPr>
            <w:r>
              <w:rPr>
                <w:rFonts w:ascii="Times New Roman" w:eastAsia="Calibri" w:hAnsi="Times New Roman" w:cs="Times New Roman"/>
                <w:sz w:val="20"/>
                <w:lang w:val="en-US"/>
              </w:rPr>
              <w:t>(patients included in 2016-2018):</w:t>
            </w:r>
          </w:p>
        </w:tc>
        <w:tc>
          <w:tcPr>
            <w:tcW w:w="1417" w:type="dxa"/>
            <w:tcBorders>
              <w:left w:val="nil"/>
              <w:right w:val="nil"/>
            </w:tcBorders>
          </w:tcPr>
          <w:p w14:paraId="28D4D224" w14:textId="3ADFAEFE"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c>
          <w:tcPr>
            <w:tcW w:w="1701" w:type="dxa"/>
            <w:tcBorders>
              <w:left w:val="nil"/>
              <w:right w:val="nil"/>
            </w:tcBorders>
          </w:tcPr>
          <w:p w14:paraId="078E6D7F" w14:textId="77777777" w:rsidR="00220F46" w:rsidRPr="00E3404E" w:rsidRDefault="00220F46" w:rsidP="00220F46">
            <w:pPr>
              <w:widowControl w:val="0"/>
              <w:autoSpaceDE w:val="0"/>
              <w:autoSpaceDN w:val="0"/>
              <w:spacing w:line="360" w:lineRule="auto"/>
              <w:rPr>
                <w:rFonts w:ascii="Times New Roman" w:eastAsia="Book Antiqua" w:hAnsi="Times New Roman" w:cs="Times New Roman"/>
                <w:color w:val="FFC000"/>
                <w:sz w:val="20"/>
                <w:szCs w:val="20"/>
                <w:lang w:val="en-US"/>
              </w:rPr>
            </w:pPr>
          </w:p>
        </w:tc>
        <w:tc>
          <w:tcPr>
            <w:tcW w:w="1701" w:type="dxa"/>
            <w:tcBorders>
              <w:left w:val="nil"/>
              <w:right w:val="single" w:sz="4" w:space="0" w:color="auto"/>
            </w:tcBorders>
          </w:tcPr>
          <w:p w14:paraId="7E0B605F" w14:textId="77777777" w:rsidR="00220F46" w:rsidRPr="00E3404E" w:rsidRDefault="00220F46" w:rsidP="00220F46">
            <w:pPr>
              <w:widowControl w:val="0"/>
              <w:autoSpaceDE w:val="0"/>
              <w:autoSpaceDN w:val="0"/>
              <w:spacing w:line="360" w:lineRule="auto"/>
              <w:rPr>
                <w:rFonts w:ascii="Times New Roman" w:eastAsia="Book Antiqua" w:hAnsi="Times New Roman" w:cs="Times New Roman"/>
                <w:color w:val="FFC000"/>
                <w:sz w:val="20"/>
                <w:szCs w:val="20"/>
                <w:lang w:val="en-US"/>
              </w:rPr>
            </w:pPr>
          </w:p>
        </w:tc>
        <w:tc>
          <w:tcPr>
            <w:tcW w:w="1420" w:type="dxa"/>
            <w:tcBorders>
              <w:left w:val="single" w:sz="4" w:space="0" w:color="auto"/>
              <w:right w:val="nil"/>
            </w:tcBorders>
          </w:tcPr>
          <w:p w14:paraId="157D2868" w14:textId="77777777"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c>
          <w:tcPr>
            <w:tcW w:w="1418" w:type="dxa"/>
            <w:tcBorders>
              <w:left w:val="nil"/>
              <w:right w:val="nil"/>
            </w:tcBorders>
          </w:tcPr>
          <w:p w14:paraId="7D83D60D" w14:textId="77777777"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c>
          <w:tcPr>
            <w:tcW w:w="1417" w:type="dxa"/>
            <w:tcBorders>
              <w:left w:val="nil"/>
              <w:right w:val="nil"/>
            </w:tcBorders>
          </w:tcPr>
          <w:p w14:paraId="45B79A5F" w14:textId="77777777"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c>
          <w:tcPr>
            <w:tcW w:w="1560" w:type="dxa"/>
            <w:tcBorders>
              <w:left w:val="nil"/>
              <w:right w:val="nil"/>
            </w:tcBorders>
          </w:tcPr>
          <w:p w14:paraId="2FAA0CD9" w14:textId="77777777"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c>
          <w:tcPr>
            <w:tcW w:w="1560" w:type="dxa"/>
            <w:tcBorders>
              <w:left w:val="nil"/>
              <w:right w:val="nil"/>
            </w:tcBorders>
          </w:tcPr>
          <w:p w14:paraId="29BBAE9C" w14:textId="77777777"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c>
          <w:tcPr>
            <w:tcW w:w="1417" w:type="dxa"/>
            <w:tcBorders>
              <w:left w:val="nil"/>
            </w:tcBorders>
          </w:tcPr>
          <w:p w14:paraId="20265EFB" w14:textId="77777777" w:rsidR="00220F46" w:rsidRPr="00FA19D2" w:rsidRDefault="00220F46" w:rsidP="00220F46">
            <w:pPr>
              <w:widowControl w:val="0"/>
              <w:autoSpaceDE w:val="0"/>
              <w:autoSpaceDN w:val="0"/>
              <w:spacing w:line="360" w:lineRule="auto"/>
              <w:rPr>
                <w:rFonts w:ascii="Times New Roman" w:eastAsia="Book Antiqua" w:hAnsi="Times New Roman" w:cs="Times New Roman"/>
                <w:sz w:val="20"/>
                <w:szCs w:val="20"/>
                <w:lang w:val="en-US"/>
              </w:rPr>
            </w:pPr>
          </w:p>
        </w:tc>
      </w:tr>
      <w:tr w:rsidR="00015067" w:rsidRPr="0081006B" w14:paraId="0D48EB88" w14:textId="77777777" w:rsidTr="003E368E">
        <w:trPr>
          <w:jc w:val="center"/>
        </w:trPr>
        <w:tc>
          <w:tcPr>
            <w:tcW w:w="2983" w:type="dxa"/>
            <w:gridSpan w:val="2"/>
            <w:tcBorders>
              <w:right w:val="nil"/>
            </w:tcBorders>
            <w:vAlign w:val="center"/>
          </w:tcPr>
          <w:p w14:paraId="74F2FE19" w14:textId="6139EB7A" w:rsidR="00015067" w:rsidRPr="00FA19D2" w:rsidRDefault="00015067" w:rsidP="00220F46">
            <w:pPr>
              <w:spacing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No oral anticoagulant therapy</w:t>
            </w:r>
          </w:p>
        </w:tc>
        <w:tc>
          <w:tcPr>
            <w:tcW w:w="1417" w:type="dxa"/>
            <w:tcBorders>
              <w:left w:val="nil"/>
              <w:right w:val="nil"/>
            </w:tcBorders>
          </w:tcPr>
          <w:p w14:paraId="290AF03B" w14:textId="1E41DFAB" w:rsidR="00015067" w:rsidRPr="002E5E3D" w:rsidRDefault="009B30DC" w:rsidP="00220F46">
            <w:pPr>
              <w:widowControl w:val="0"/>
              <w:autoSpaceDE w:val="0"/>
              <w:autoSpaceDN w:val="0"/>
              <w:spacing w:line="360" w:lineRule="auto"/>
              <w:rPr>
                <w:rFonts w:ascii="Times New Roman" w:eastAsia="Book Antiqua" w:hAnsi="Times New Roman" w:cs="Times New Roman"/>
                <w:sz w:val="20"/>
                <w:szCs w:val="20"/>
              </w:rPr>
            </w:pPr>
            <w:r w:rsidRPr="002E5E3D">
              <w:rPr>
                <w:rFonts w:ascii="Times New Roman" w:eastAsia="Book Antiqua" w:hAnsi="Times New Roman" w:cs="Times New Roman"/>
                <w:sz w:val="20"/>
                <w:szCs w:val="20"/>
              </w:rPr>
              <w:t>25.0 (24)</w:t>
            </w:r>
          </w:p>
        </w:tc>
        <w:tc>
          <w:tcPr>
            <w:tcW w:w="1701" w:type="dxa"/>
            <w:tcBorders>
              <w:left w:val="nil"/>
              <w:right w:val="nil"/>
            </w:tcBorders>
          </w:tcPr>
          <w:p w14:paraId="23AED7AF" w14:textId="1C5F56C9" w:rsidR="00015067" w:rsidRPr="00E3404E" w:rsidRDefault="009B30DC"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w:t>
            </w:r>
          </w:p>
        </w:tc>
        <w:tc>
          <w:tcPr>
            <w:tcW w:w="1701" w:type="dxa"/>
            <w:tcBorders>
              <w:left w:val="nil"/>
              <w:right w:val="single" w:sz="4" w:space="0" w:color="auto"/>
            </w:tcBorders>
          </w:tcPr>
          <w:p w14:paraId="05951CA9" w14:textId="10913045" w:rsidR="00015067" w:rsidRPr="00E3404E" w:rsidRDefault="009B30DC" w:rsidP="00220F46">
            <w:pPr>
              <w:widowControl w:val="0"/>
              <w:autoSpaceDE w:val="0"/>
              <w:autoSpaceDN w:val="0"/>
              <w:spacing w:line="360" w:lineRule="auto"/>
              <w:rPr>
                <w:rFonts w:ascii="Times New Roman" w:eastAsia="Book Antiqua" w:hAnsi="Times New Roman" w:cs="Times New Roman"/>
                <w:color w:val="FFC000"/>
                <w:sz w:val="20"/>
                <w:szCs w:val="20"/>
              </w:rPr>
            </w:pPr>
            <w:r w:rsidRPr="00E3404E">
              <w:rPr>
                <w:rFonts w:ascii="Times New Roman" w:eastAsia="Book Antiqua" w:hAnsi="Times New Roman" w:cs="Times New Roman"/>
                <w:color w:val="FFC000"/>
                <w:sz w:val="20"/>
                <w:szCs w:val="20"/>
              </w:rPr>
              <w:t xml:space="preserve">  - </w:t>
            </w:r>
          </w:p>
        </w:tc>
        <w:tc>
          <w:tcPr>
            <w:tcW w:w="1420" w:type="dxa"/>
            <w:tcBorders>
              <w:left w:val="single" w:sz="4" w:space="0" w:color="auto"/>
              <w:right w:val="nil"/>
            </w:tcBorders>
          </w:tcPr>
          <w:p w14:paraId="447928D4" w14:textId="2C41CD04" w:rsidR="00015067" w:rsidRPr="00015067" w:rsidRDefault="00015067" w:rsidP="00220F46">
            <w:pPr>
              <w:widowControl w:val="0"/>
              <w:autoSpaceDE w:val="0"/>
              <w:autoSpaceDN w:val="0"/>
              <w:spacing w:line="360" w:lineRule="auto"/>
              <w:jc w:val="left"/>
              <w:rPr>
                <w:rFonts w:ascii="Times New Roman" w:eastAsia="Book Antiqua" w:hAnsi="Times New Roman" w:cs="Times New Roman"/>
                <w:sz w:val="20"/>
                <w:szCs w:val="20"/>
              </w:rPr>
            </w:pPr>
            <w:r w:rsidRPr="00015067">
              <w:rPr>
                <w:rFonts w:ascii="Times New Roman" w:eastAsia="Book Antiqua" w:hAnsi="Times New Roman" w:cs="Times New Roman"/>
                <w:sz w:val="20"/>
                <w:szCs w:val="20"/>
              </w:rPr>
              <w:t>29.2 (563)</w:t>
            </w:r>
          </w:p>
        </w:tc>
        <w:tc>
          <w:tcPr>
            <w:tcW w:w="1418" w:type="dxa"/>
            <w:tcBorders>
              <w:left w:val="nil"/>
              <w:right w:val="nil"/>
            </w:tcBorders>
          </w:tcPr>
          <w:p w14:paraId="77203803" w14:textId="6D97C57A" w:rsidR="00015067" w:rsidRPr="00015067" w:rsidRDefault="00015067" w:rsidP="00220F46">
            <w:pPr>
              <w:widowControl w:val="0"/>
              <w:autoSpaceDE w:val="0"/>
              <w:autoSpaceDN w:val="0"/>
              <w:spacing w:line="360" w:lineRule="auto"/>
              <w:rPr>
                <w:rFonts w:ascii="Times New Roman" w:eastAsia="Book Antiqua" w:hAnsi="Times New Roman" w:cs="Times New Roman"/>
                <w:sz w:val="20"/>
                <w:szCs w:val="20"/>
              </w:rPr>
            </w:pPr>
            <w:r w:rsidRPr="00015067">
              <w:rPr>
                <w:rFonts w:ascii="Times New Roman" w:eastAsia="Book Antiqua" w:hAnsi="Times New Roman" w:cs="Times New Roman"/>
                <w:sz w:val="20"/>
                <w:szCs w:val="20"/>
              </w:rPr>
              <w:t>25.8 (170)</w:t>
            </w:r>
          </w:p>
        </w:tc>
        <w:tc>
          <w:tcPr>
            <w:tcW w:w="1417" w:type="dxa"/>
            <w:tcBorders>
              <w:left w:val="nil"/>
              <w:right w:val="nil"/>
            </w:tcBorders>
          </w:tcPr>
          <w:p w14:paraId="2A11B39E" w14:textId="24E415BB" w:rsidR="00015067" w:rsidRDefault="00015067" w:rsidP="00220F46">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25.6 (230)</w:t>
            </w:r>
          </w:p>
        </w:tc>
        <w:tc>
          <w:tcPr>
            <w:tcW w:w="1560" w:type="dxa"/>
            <w:tcBorders>
              <w:left w:val="nil"/>
              <w:right w:val="nil"/>
            </w:tcBorders>
          </w:tcPr>
          <w:p w14:paraId="042476DD" w14:textId="571FEEFF" w:rsidR="00015067" w:rsidRDefault="00015067" w:rsidP="00220F46">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29.7 (278)</w:t>
            </w:r>
          </w:p>
        </w:tc>
        <w:tc>
          <w:tcPr>
            <w:tcW w:w="1560" w:type="dxa"/>
            <w:tcBorders>
              <w:left w:val="nil"/>
              <w:right w:val="nil"/>
            </w:tcBorders>
          </w:tcPr>
          <w:p w14:paraId="05F0B42F" w14:textId="3C7E59F4" w:rsidR="00015067" w:rsidRDefault="00015067" w:rsidP="00220F46">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25.8 (25)</w:t>
            </w:r>
          </w:p>
        </w:tc>
        <w:tc>
          <w:tcPr>
            <w:tcW w:w="1417" w:type="dxa"/>
            <w:tcBorders>
              <w:left w:val="nil"/>
            </w:tcBorders>
          </w:tcPr>
          <w:p w14:paraId="7E3D35E1" w14:textId="564DBB35" w:rsidR="00015067" w:rsidRDefault="00015067" w:rsidP="00220F46">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32.0 (62)</w:t>
            </w:r>
          </w:p>
        </w:tc>
      </w:tr>
      <w:tr w:rsidR="00015067" w:rsidRPr="002E5E3D" w14:paraId="5CEEC5EC" w14:textId="77777777" w:rsidTr="003E368E">
        <w:trPr>
          <w:jc w:val="center"/>
        </w:trPr>
        <w:tc>
          <w:tcPr>
            <w:tcW w:w="2983" w:type="dxa"/>
            <w:gridSpan w:val="2"/>
            <w:tcBorders>
              <w:right w:val="nil"/>
            </w:tcBorders>
            <w:vAlign w:val="center"/>
          </w:tcPr>
          <w:p w14:paraId="41321EB0" w14:textId="4941A773" w:rsidR="00015067" w:rsidRPr="00F50FB7" w:rsidRDefault="00015067" w:rsidP="00015067">
            <w:pPr>
              <w:spacing w:line="360" w:lineRule="auto"/>
              <w:rPr>
                <w:rFonts w:ascii="Times New Roman" w:eastAsia="Calibri" w:hAnsi="Times New Roman" w:cs="Times New Roman"/>
                <w:sz w:val="20"/>
                <w:lang w:val="en-US"/>
              </w:rPr>
            </w:pPr>
            <w:r w:rsidRPr="00FA19D2">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Vitamin K antagonists/</w:t>
            </w:r>
            <w:r w:rsidRPr="00EE42B8">
              <w:rPr>
                <w:rFonts w:ascii="Times New Roman" w:eastAsia="Calibri" w:hAnsi="Times New Roman" w:cs="Times New Roman"/>
                <w:sz w:val="20"/>
                <w:szCs w:val="20"/>
              </w:rPr>
              <w:t>VKA</w:t>
            </w:r>
          </w:p>
        </w:tc>
        <w:tc>
          <w:tcPr>
            <w:tcW w:w="1417" w:type="dxa"/>
            <w:tcBorders>
              <w:left w:val="nil"/>
              <w:right w:val="nil"/>
            </w:tcBorders>
          </w:tcPr>
          <w:p w14:paraId="3AD01BCE" w14:textId="0E13CA0A" w:rsidR="00015067" w:rsidRPr="002E5E3D" w:rsidRDefault="00015067" w:rsidP="00015067">
            <w:pPr>
              <w:widowControl w:val="0"/>
              <w:autoSpaceDE w:val="0"/>
              <w:autoSpaceDN w:val="0"/>
              <w:spacing w:line="360" w:lineRule="auto"/>
              <w:rPr>
                <w:rFonts w:ascii="Times New Roman" w:eastAsia="Book Antiqua" w:hAnsi="Times New Roman" w:cs="Times New Roman"/>
                <w:sz w:val="20"/>
                <w:szCs w:val="20"/>
              </w:rPr>
            </w:pPr>
            <w:r w:rsidRPr="002E5E3D">
              <w:rPr>
                <w:rFonts w:ascii="Times New Roman" w:eastAsia="Book Antiqua" w:hAnsi="Times New Roman" w:cs="Times New Roman"/>
                <w:sz w:val="20"/>
                <w:szCs w:val="20"/>
              </w:rPr>
              <w:t>39.6 (38)</w:t>
            </w:r>
          </w:p>
        </w:tc>
        <w:tc>
          <w:tcPr>
            <w:tcW w:w="1701" w:type="dxa"/>
            <w:tcBorders>
              <w:left w:val="nil"/>
              <w:right w:val="nil"/>
            </w:tcBorders>
          </w:tcPr>
          <w:p w14:paraId="5CC78DD1" w14:textId="6AAF12B5" w:rsidR="00015067" w:rsidRPr="00E3404E" w:rsidRDefault="00375B07" w:rsidP="00015067">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100.0</w:t>
            </w:r>
            <w:r w:rsidR="002E5E3D" w:rsidRPr="00E3404E">
              <w:rPr>
                <w:rFonts w:ascii="Times New Roman" w:eastAsia="Book Antiqua" w:hAnsi="Times New Roman" w:cs="Times New Roman"/>
                <w:color w:val="FFC000"/>
                <w:sz w:val="20"/>
                <w:szCs w:val="20"/>
                <w:lang w:val="en-US"/>
              </w:rPr>
              <w:t xml:space="preserve"> (195</w:t>
            </w:r>
            <w:r w:rsidR="00015067" w:rsidRPr="00E3404E">
              <w:rPr>
                <w:rFonts w:ascii="Times New Roman" w:eastAsia="Book Antiqua" w:hAnsi="Times New Roman" w:cs="Times New Roman"/>
                <w:color w:val="FFC000"/>
                <w:sz w:val="20"/>
                <w:szCs w:val="20"/>
                <w:lang w:val="en-US"/>
              </w:rPr>
              <w:t>)</w:t>
            </w:r>
          </w:p>
        </w:tc>
        <w:tc>
          <w:tcPr>
            <w:tcW w:w="1701" w:type="dxa"/>
            <w:tcBorders>
              <w:left w:val="nil"/>
              <w:right w:val="single" w:sz="4" w:space="0" w:color="auto"/>
            </w:tcBorders>
          </w:tcPr>
          <w:p w14:paraId="6E987EEA" w14:textId="5B5DD8DF" w:rsidR="00015067" w:rsidRPr="00E3404E" w:rsidRDefault="00375B07" w:rsidP="00015067">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100</w:t>
            </w:r>
            <w:r w:rsidR="00FD7BD0" w:rsidRPr="00E3404E">
              <w:rPr>
                <w:rFonts w:ascii="Times New Roman" w:eastAsia="Book Antiqua" w:hAnsi="Times New Roman" w:cs="Times New Roman"/>
                <w:color w:val="FFC000"/>
                <w:sz w:val="20"/>
                <w:szCs w:val="20"/>
                <w:lang w:val="en-US"/>
              </w:rPr>
              <w:t>.0 (47</w:t>
            </w:r>
            <w:r w:rsidR="00C512F6" w:rsidRPr="00E3404E">
              <w:rPr>
                <w:rFonts w:ascii="Times New Roman" w:eastAsia="Book Antiqua" w:hAnsi="Times New Roman" w:cs="Times New Roman"/>
                <w:color w:val="FFC000"/>
                <w:sz w:val="20"/>
                <w:szCs w:val="20"/>
                <w:lang w:val="en-US"/>
              </w:rPr>
              <w:t>)</w:t>
            </w:r>
          </w:p>
        </w:tc>
        <w:tc>
          <w:tcPr>
            <w:tcW w:w="1420" w:type="dxa"/>
            <w:tcBorders>
              <w:left w:val="single" w:sz="4" w:space="0" w:color="auto"/>
              <w:right w:val="nil"/>
            </w:tcBorders>
          </w:tcPr>
          <w:p w14:paraId="6B49B7BD" w14:textId="31652E2C" w:rsidR="00015067" w:rsidRPr="002E5E3D" w:rsidRDefault="00015067" w:rsidP="00015067">
            <w:pPr>
              <w:widowControl w:val="0"/>
              <w:autoSpaceDE w:val="0"/>
              <w:autoSpaceDN w:val="0"/>
              <w:spacing w:line="360" w:lineRule="auto"/>
              <w:jc w:val="left"/>
              <w:rPr>
                <w:rFonts w:ascii="Times New Roman" w:eastAsia="Book Antiqua" w:hAnsi="Times New Roman" w:cs="Times New Roman"/>
                <w:sz w:val="20"/>
                <w:szCs w:val="20"/>
                <w:lang w:val="en-US"/>
              </w:rPr>
            </w:pPr>
            <w:r w:rsidRPr="002E5E3D">
              <w:rPr>
                <w:rFonts w:ascii="Times New Roman" w:eastAsia="Book Antiqua" w:hAnsi="Times New Roman" w:cs="Times New Roman"/>
                <w:sz w:val="20"/>
                <w:szCs w:val="20"/>
                <w:lang w:val="en-US"/>
              </w:rPr>
              <w:t>17.6 (339)</w:t>
            </w:r>
          </w:p>
        </w:tc>
        <w:tc>
          <w:tcPr>
            <w:tcW w:w="1418" w:type="dxa"/>
            <w:tcBorders>
              <w:left w:val="nil"/>
              <w:right w:val="nil"/>
            </w:tcBorders>
          </w:tcPr>
          <w:p w14:paraId="061ABAAF" w14:textId="0C7A4D49" w:rsidR="00015067" w:rsidRPr="00015067" w:rsidRDefault="00015067" w:rsidP="00015067">
            <w:pPr>
              <w:widowControl w:val="0"/>
              <w:autoSpaceDE w:val="0"/>
              <w:autoSpaceDN w:val="0"/>
              <w:spacing w:line="360" w:lineRule="auto"/>
              <w:rPr>
                <w:rFonts w:ascii="Times New Roman" w:eastAsia="Book Antiqua" w:hAnsi="Times New Roman" w:cs="Times New Roman"/>
                <w:sz w:val="20"/>
                <w:szCs w:val="20"/>
                <w:lang w:val="en-US"/>
              </w:rPr>
            </w:pPr>
            <w:r w:rsidRPr="00015067">
              <w:rPr>
                <w:rFonts w:ascii="Times New Roman" w:eastAsia="Book Antiqua" w:hAnsi="Times New Roman" w:cs="Times New Roman"/>
                <w:sz w:val="20"/>
                <w:szCs w:val="20"/>
                <w:lang w:val="en-US"/>
              </w:rPr>
              <w:t>16.8 (111)</w:t>
            </w:r>
          </w:p>
        </w:tc>
        <w:tc>
          <w:tcPr>
            <w:tcW w:w="1417" w:type="dxa"/>
            <w:tcBorders>
              <w:left w:val="nil"/>
              <w:right w:val="nil"/>
            </w:tcBorders>
          </w:tcPr>
          <w:p w14:paraId="4A788A24" w14:textId="1AF563C9" w:rsidR="00015067" w:rsidRPr="0081006B" w:rsidRDefault="00015067" w:rsidP="0001506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19.8</w:t>
            </w:r>
            <w:r w:rsidRPr="0081006B">
              <w:rPr>
                <w:rFonts w:ascii="Times New Roman" w:eastAsia="Book Antiqua" w:hAnsi="Times New Roman" w:cs="Times New Roman"/>
                <w:sz w:val="20"/>
                <w:szCs w:val="20"/>
                <w:lang w:val="en-US"/>
              </w:rPr>
              <w:t xml:space="preserve"> (178)</w:t>
            </w:r>
          </w:p>
        </w:tc>
        <w:tc>
          <w:tcPr>
            <w:tcW w:w="1560" w:type="dxa"/>
            <w:tcBorders>
              <w:left w:val="nil"/>
              <w:right w:val="nil"/>
            </w:tcBorders>
          </w:tcPr>
          <w:p w14:paraId="0D585442" w14:textId="5301D4BC" w:rsidR="00015067" w:rsidRPr="0081006B" w:rsidRDefault="00015067" w:rsidP="0001506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19.6 (183)</w:t>
            </w:r>
          </w:p>
        </w:tc>
        <w:tc>
          <w:tcPr>
            <w:tcW w:w="1560" w:type="dxa"/>
            <w:tcBorders>
              <w:left w:val="nil"/>
              <w:right w:val="nil"/>
            </w:tcBorders>
          </w:tcPr>
          <w:p w14:paraId="10A51EE7" w14:textId="084B0B6A" w:rsidR="00015067" w:rsidRPr="0081006B" w:rsidRDefault="00015067" w:rsidP="0001506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42.3 (41)</w:t>
            </w:r>
          </w:p>
        </w:tc>
        <w:tc>
          <w:tcPr>
            <w:tcW w:w="1417" w:type="dxa"/>
            <w:tcBorders>
              <w:left w:val="nil"/>
            </w:tcBorders>
          </w:tcPr>
          <w:p w14:paraId="299F3CDD" w14:textId="35551FAE" w:rsidR="00015067" w:rsidRPr="0081006B" w:rsidRDefault="00015067" w:rsidP="0001506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17.5 (34)</w:t>
            </w:r>
          </w:p>
        </w:tc>
      </w:tr>
      <w:tr w:rsidR="00375B07" w:rsidRPr="002E5E3D" w14:paraId="7CAF24B0" w14:textId="77777777" w:rsidTr="00964830">
        <w:trPr>
          <w:jc w:val="center"/>
        </w:trPr>
        <w:tc>
          <w:tcPr>
            <w:tcW w:w="2983" w:type="dxa"/>
            <w:gridSpan w:val="2"/>
            <w:tcBorders>
              <w:right w:val="nil"/>
            </w:tcBorders>
            <w:vAlign w:val="center"/>
          </w:tcPr>
          <w:p w14:paraId="13F002F6" w14:textId="0E5F7E1E" w:rsidR="00375B07" w:rsidRPr="00F50FB7" w:rsidRDefault="00375B07" w:rsidP="00375B07">
            <w:pPr>
              <w:spacing w:line="360" w:lineRule="auto"/>
              <w:rPr>
                <w:rFonts w:ascii="Times New Roman" w:eastAsia="Calibri" w:hAnsi="Times New Roman" w:cs="Times New Roman"/>
                <w:sz w:val="20"/>
                <w:lang w:val="en-US"/>
              </w:rPr>
            </w:pPr>
            <w:r w:rsidRPr="00F50FB7">
              <w:rPr>
                <w:rFonts w:ascii="Times New Roman" w:eastAsia="Calibri" w:hAnsi="Times New Roman" w:cs="Times New Roman"/>
                <w:sz w:val="20"/>
                <w:lang w:val="en-US"/>
              </w:rPr>
              <w:t xml:space="preserve">   Non-vitamin K </w:t>
            </w:r>
            <w:r>
              <w:rPr>
                <w:rFonts w:ascii="Times New Roman" w:eastAsia="Calibri" w:hAnsi="Times New Roman" w:cs="Times New Roman"/>
                <w:sz w:val="20"/>
                <w:lang w:val="en-US"/>
              </w:rPr>
              <w:t>antagonist oral anticoagulants/</w:t>
            </w:r>
            <w:r w:rsidRPr="00F50FB7">
              <w:rPr>
                <w:rFonts w:ascii="Times New Roman" w:eastAsia="Calibri" w:hAnsi="Times New Roman" w:cs="Times New Roman"/>
                <w:iCs/>
                <w:sz w:val="20"/>
                <w:lang w:val="en-US"/>
              </w:rPr>
              <w:t>NOAC</w:t>
            </w:r>
          </w:p>
        </w:tc>
        <w:tc>
          <w:tcPr>
            <w:tcW w:w="1417" w:type="dxa"/>
            <w:tcBorders>
              <w:left w:val="nil"/>
              <w:bottom w:val="single" w:sz="4" w:space="0" w:color="auto"/>
              <w:right w:val="nil"/>
            </w:tcBorders>
          </w:tcPr>
          <w:p w14:paraId="79AE5F4C" w14:textId="6632D2DB" w:rsidR="00375B07" w:rsidRPr="002E5E3D"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sidRPr="002E5E3D">
              <w:rPr>
                <w:rFonts w:ascii="Times New Roman" w:eastAsia="Book Antiqua" w:hAnsi="Times New Roman" w:cs="Times New Roman"/>
                <w:sz w:val="20"/>
                <w:szCs w:val="20"/>
                <w:lang w:val="en-US"/>
              </w:rPr>
              <w:t>35.4 (34)</w:t>
            </w:r>
          </w:p>
        </w:tc>
        <w:tc>
          <w:tcPr>
            <w:tcW w:w="1701" w:type="dxa"/>
            <w:tcBorders>
              <w:left w:val="nil"/>
              <w:right w:val="nil"/>
            </w:tcBorders>
          </w:tcPr>
          <w:p w14:paraId="318ACED6" w14:textId="7F0E4BB1" w:rsidR="00375B07" w:rsidRPr="00E3404E" w:rsidRDefault="00375B07" w:rsidP="00375B07">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0.0 (0)</w:t>
            </w:r>
          </w:p>
        </w:tc>
        <w:tc>
          <w:tcPr>
            <w:tcW w:w="1701" w:type="dxa"/>
            <w:tcBorders>
              <w:left w:val="nil"/>
              <w:right w:val="single" w:sz="4" w:space="0" w:color="auto"/>
            </w:tcBorders>
          </w:tcPr>
          <w:p w14:paraId="352DB4B2" w14:textId="18CFD071" w:rsidR="00375B07" w:rsidRPr="00E3404E" w:rsidRDefault="00375B07" w:rsidP="00375B07">
            <w:pPr>
              <w:widowControl w:val="0"/>
              <w:autoSpaceDE w:val="0"/>
              <w:autoSpaceDN w:val="0"/>
              <w:spacing w:line="360" w:lineRule="auto"/>
              <w:rPr>
                <w:rFonts w:ascii="Times New Roman" w:eastAsia="Book Antiqua" w:hAnsi="Times New Roman" w:cs="Times New Roman"/>
                <w:color w:val="FFC000"/>
                <w:sz w:val="20"/>
                <w:szCs w:val="20"/>
                <w:lang w:val="en-US"/>
              </w:rPr>
            </w:pPr>
            <w:r w:rsidRPr="00E3404E">
              <w:rPr>
                <w:rFonts w:ascii="Times New Roman" w:eastAsia="Book Antiqua" w:hAnsi="Times New Roman" w:cs="Times New Roman"/>
                <w:color w:val="FFC000"/>
                <w:sz w:val="20"/>
                <w:szCs w:val="20"/>
                <w:lang w:val="en-US"/>
              </w:rPr>
              <w:t>0.0 (0)</w:t>
            </w:r>
          </w:p>
        </w:tc>
        <w:tc>
          <w:tcPr>
            <w:tcW w:w="1420" w:type="dxa"/>
            <w:tcBorders>
              <w:left w:val="single" w:sz="4" w:space="0" w:color="auto"/>
              <w:right w:val="nil"/>
            </w:tcBorders>
          </w:tcPr>
          <w:p w14:paraId="3579D90C" w14:textId="0E955F25" w:rsidR="00375B07" w:rsidRPr="00015067"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sidRPr="00015067">
              <w:rPr>
                <w:rFonts w:ascii="Times New Roman" w:eastAsia="Book Antiqua" w:hAnsi="Times New Roman" w:cs="Times New Roman"/>
                <w:sz w:val="20"/>
                <w:szCs w:val="20"/>
                <w:lang w:val="en-US"/>
              </w:rPr>
              <w:t>53.2 (1,025)</w:t>
            </w:r>
          </w:p>
        </w:tc>
        <w:tc>
          <w:tcPr>
            <w:tcW w:w="1418" w:type="dxa"/>
            <w:tcBorders>
              <w:left w:val="nil"/>
              <w:right w:val="nil"/>
            </w:tcBorders>
          </w:tcPr>
          <w:p w14:paraId="1E8866AC" w14:textId="6A3C4659" w:rsidR="00375B07" w:rsidRPr="00015067"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sidRPr="00015067">
              <w:rPr>
                <w:rFonts w:ascii="Times New Roman" w:eastAsia="Book Antiqua" w:hAnsi="Times New Roman" w:cs="Times New Roman"/>
                <w:sz w:val="20"/>
                <w:szCs w:val="20"/>
                <w:lang w:val="en-US"/>
              </w:rPr>
              <w:t>57.4 (378)</w:t>
            </w:r>
          </w:p>
        </w:tc>
        <w:tc>
          <w:tcPr>
            <w:tcW w:w="1417" w:type="dxa"/>
            <w:tcBorders>
              <w:left w:val="nil"/>
              <w:right w:val="nil"/>
            </w:tcBorders>
          </w:tcPr>
          <w:p w14:paraId="71D788A2" w14:textId="5105617F" w:rsidR="00375B07" w:rsidRPr="007E06EF"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54.7 (492)</w:t>
            </w:r>
          </w:p>
        </w:tc>
        <w:tc>
          <w:tcPr>
            <w:tcW w:w="1560" w:type="dxa"/>
            <w:tcBorders>
              <w:left w:val="nil"/>
              <w:right w:val="nil"/>
            </w:tcBorders>
          </w:tcPr>
          <w:p w14:paraId="74A198DF" w14:textId="567A19BB" w:rsidR="00375B07" w:rsidRPr="007E06EF"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50.7 (475)</w:t>
            </w:r>
          </w:p>
        </w:tc>
        <w:tc>
          <w:tcPr>
            <w:tcW w:w="1560" w:type="dxa"/>
            <w:tcBorders>
              <w:left w:val="nil"/>
              <w:right w:val="nil"/>
            </w:tcBorders>
          </w:tcPr>
          <w:p w14:paraId="7672A41C" w14:textId="2539F78C" w:rsidR="00375B07" w:rsidRPr="007E06EF"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32.0 (31)</w:t>
            </w:r>
          </w:p>
        </w:tc>
        <w:tc>
          <w:tcPr>
            <w:tcW w:w="1417" w:type="dxa"/>
            <w:tcBorders>
              <w:left w:val="nil"/>
            </w:tcBorders>
          </w:tcPr>
          <w:p w14:paraId="270EC52D" w14:textId="5C46E274" w:rsidR="00375B07" w:rsidRPr="007E06EF" w:rsidRDefault="00375B07" w:rsidP="00375B07">
            <w:pPr>
              <w:widowControl w:val="0"/>
              <w:autoSpaceDE w:val="0"/>
              <w:autoSpaceDN w:val="0"/>
              <w:spacing w:line="360" w:lineRule="auto"/>
              <w:rPr>
                <w:rFonts w:ascii="Times New Roman" w:eastAsia="Book Antiqua" w:hAnsi="Times New Roman" w:cs="Times New Roman"/>
                <w:sz w:val="20"/>
                <w:szCs w:val="20"/>
                <w:lang w:val="en-US"/>
              </w:rPr>
            </w:pPr>
            <w:r>
              <w:rPr>
                <w:rFonts w:ascii="Times New Roman" w:eastAsia="Book Antiqua" w:hAnsi="Times New Roman" w:cs="Times New Roman"/>
                <w:sz w:val="20"/>
                <w:szCs w:val="20"/>
                <w:lang w:val="en-US"/>
              </w:rPr>
              <w:t>50.5 (98)</w:t>
            </w:r>
          </w:p>
        </w:tc>
      </w:tr>
      <w:tr w:rsidR="0081006B" w:rsidRPr="001C42B4" w14:paraId="3D70065A" w14:textId="77777777" w:rsidTr="004041DA">
        <w:trPr>
          <w:jc w:val="center"/>
        </w:trPr>
        <w:tc>
          <w:tcPr>
            <w:tcW w:w="16594" w:type="dxa"/>
            <w:gridSpan w:val="11"/>
          </w:tcPr>
          <w:p w14:paraId="7BE22385" w14:textId="014A8A3E" w:rsidR="0081006B" w:rsidRPr="00F50FB7" w:rsidRDefault="0081006B" w:rsidP="0081006B">
            <w:pPr>
              <w:widowControl w:val="0"/>
              <w:autoSpaceDE w:val="0"/>
              <w:autoSpaceDN w:val="0"/>
              <w:spacing w:line="360" w:lineRule="auto"/>
              <w:rPr>
                <w:rFonts w:ascii="Times New Roman" w:eastAsia="Book Antiqua" w:hAnsi="Times New Roman" w:cs="Times New Roman"/>
                <w:sz w:val="20"/>
                <w:szCs w:val="20"/>
                <w:lang w:val="en-US"/>
              </w:rPr>
            </w:pPr>
            <w:r w:rsidRPr="00F50FB7">
              <w:rPr>
                <w:rFonts w:ascii="Times New Roman" w:eastAsia="Book Antiqua" w:hAnsi="Times New Roman" w:cs="Times New Roman"/>
                <w:sz w:val="20"/>
                <w:szCs w:val="20"/>
                <w:lang w:val="en-US"/>
              </w:rPr>
              <w:t>All numbers are in % with number of patients in brackets, unless otherwise stated.</w:t>
            </w:r>
          </w:p>
          <w:p w14:paraId="2D799A6E" w14:textId="77777777" w:rsidR="0081006B" w:rsidRPr="00F50FB7" w:rsidRDefault="0081006B" w:rsidP="0081006B">
            <w:pPr>
              <w:widowControl w:val="0"/>
              <w:autoSpaceDE w:val="0"/>
              <w:autoSpaceDN w:val="0"/>
              <w:spacing w:line="360" w:lineRule="auto"/>
              <w:rPr>
                <w:rFonts w:ascii="Times New Roman" w:eastAsia="Book Antiqua" w:hAnsi="Times New Roman" w:cs="Times New Roman"/>
                <w:sz w:val="20"/>
                <w:szCs w:val="20"/>
                <w:lang w:val="en-US"/>
              </w:rPr>
            </w:pPr>
            <w:r w:rsidRPr="00F50FB7">
              <w:rPr>
                <w:rFonts w:ascii="Times New Roman" w:eastAsia="Book Antiqua" w:hAnsi="Times New Roman" w:cs="Times New Roman"/>
                <w:sz w:val="20"/>
                <w:szCs w:val="20"/>
                <w:lang w:val="en-US"/>
              </w:rPr>
              <w:t>Abbreviations: ACE: Angiotensin converting enzyme, ARB: Angiotensin II receptor blocker, CHA</w:t>
            </w:r>
            <w:r w:rsidRPr="00F50FB7">
              <w:rPr>
                <w:rFonts w:ascii="Times New Roman" w:eastAsia="Book Antiqua" w:hAnsi="Times New Roman" w:cs="Times New Roman"/>
                <w:sz w:val="20"/>
                <w:szCs w:val="20"/>
                <w:vertAlign w:val="subscript"/>
                <w:lang w:val="en-US"/>
              </w:rPr>
              <w:t>2</w:t>
            </w:r>
            <w:r w:rsidRPr="00F50FB7">
              <w:rPr>
                <w:rFonts w:ascii="Times New Roman" w:eastAsia="Book Antiqua" w:hAnsi="Times New Roman" w:cs="Times New Roman"/>
                <w:sz w:val="20"/>
                <w:szCs w:val="20"/>
                <w:lang w:val="en-US"/>
              </w:rPr>
              <w:t>DS</w:t>
            </w:r>
            <w:r w:rsidRPr="00F50FB7">
              <w:rPr>
                <w:rFonts w:ascii="Times New Roman" w:eastAsia="Book Antiqua" w:hAnsi="Times New Roman" w:cs="Times New Roman"/>
                <w:sz w:val="20"/>
                <w:szCs w:val="20"/>
                <w:vertAlign w:val="subscript"/>
                <w:lang w:val="en-US"/>
              </w:rPr>
              <w:t>2</w:t>
            </w:r>
            <w:r w:rsidRPr="00F50FB7">
              <w:rPr>
                <w:rFonts w:ascii="Times New Roman" w:eastAsia="Book Antiqua" w:hAnsi="Times New Roman" w:cs="Times New Roman"/>
                <w:sz w:val="20"/>
                <w:szCs w:val="20"/>
                <w:lang w:val="en-US"/>
              </w:rPr>
              <w:t>-VASc: Congestive heart failure or left ventricular disease, hypertension, age≥75, diabetes, stroke, vascular disease, age&gt;65, female sex, EHRA: Evaluated Heartvalves, Rheumatic or Artificial valve classification, HASBLED: Hypertension, age&gt;65, stroke, prior bleeding, labile INR, liver or kidney disease, medication predisposing bleeding or alcohol use, IQR: Interquartile range, NSAID: Non-steroidal anti-inflammatory drug, SD: Standard deviation, VHD: Valvular heart disease.</w:t>
            </w:r>
          </w:p>
          <w:p w14:paraId="2D264434" w14:textId="77777777" w:rsidR="0081006B" w:rsidRPr="00F50FB7" w:rsidRDefault="0081006B" w:rsidP="0081006B">
            <w:pPr>
              <w:widowControl w:val="0"/>
              <w:autoSpaceDE w:val="0"/>
              <w:autoSpaceDN w:val="0"/>
              <w:spacing w:line="360" w:lineRule="auto"/>
              <w:rPr>
                <w:rFonts w:ascii="Times New Roman" w:eastAsia="Book Antiqua" w:hAnsi="Times New Roman" w:cs="Times New Roman"/>
                <w:sz w:val="20"/>
                <w:szCs w:val="20"/>
                <w:lang w:val="en-US"/>
              </w:rPr>
            </w:pPr>
            <w:r>
              <w:rPr>
                <w:rFonts w:ascii="Open Sans" w:hAnsi="Open Sans" w:cs="Arial"/>
                <w:color w:val="1C1D1E"/>
                <w:sz w:val="21"/>
                <w:szCs w:val="21"/>
                <w:lang w:val="en"/>
              </w:rPr>
              <w:t>†</w:t>
            </w:r>
            <w:r w:rsidRPr="00F50FB7">
              <w:rPr>
                <w:rFonts w:ascii="Times New Roman" w:eastAsia="Book Antiqua" w:hAnsi="Times New Roman" w:cs="Times New Roman"/>
                <w:sz w:val="20"/>
                <w:szCs w:val="20"/>
                <w:lang w:val="en-US"/>
              </w:rPr>
              <w:t>Patients with a redeemed prescription within 180 days prior to or 30 days after the diagnosis of atrial fibrillation.</w:t>
            </w:r>
          </w:p>
          <w:p w14:paraId="30135B5A" w14:textId="77777777" w:rsidR="0081006B" w:rsidRPr="00F50FB7" w:rsidRDefault="0081006B" w:rsidP="0081006B">
            <w:pPr>
              <w:widowControl w:val="0"/>
              <w:autoSpaceDE w:val="0"/>
              <w:autoSpaceDN w:val="0"/>
              <w:spacing w:line="360" w:lineRule="auto"/>
              <w:rPr>
                <w:rFonts w:ascii="Times New Roman" w:eastAsia="Book Antiqua" w:hAnsi="Times New Roman" w:cs="Times New Roman"/>
                <w:bCs/>
                <w:sz w:val="20"/>
                <w:szCs w:val="20"/>
                <w:lang w:val="en-US" w:bidi="th-TH"/>
              </w:rPr>
            </w:pPr>
            <w:r>
              <w:rPr>
                <w:rFonts w:ascii="Open Sans" w:hAnsi="Open Sans" w:cs="Arial"/>
                <w:color w:val="1C1D1E"/>
                <w:sz w:val="21"/>
                <w:szCs w:val="21"/>
                <w:lang w:val="en"/>
              </w:rPr>
              <w:t>‡</w:t>
            </w:r>
            <w:r w:rsidRPr="00F50FB7">
              <w:rPr>
                <w:rFonts w:ascii="Times New Roman" w:eastAsia="Book Antiqua" w:hAnsi="Times New Roman" w:cs="Times New Roman"/>
                <w:bCs/>
                <w:sz w:val="20"/>
                <w:szCs w:val="20"/>
                <w:lang w:val="en-US" w:bidi="th-TH"/>
              </w:rPr>
              <w:t>Patients with tricuspid stenosis/regurgitation, pulmonary valve stenosis/regurgitation, or multiple valve disease.</w:t>
            </w:r>
          </w:p>
          <w:p w14:paraId="71A46B14" w14:textId="77777777" w:rsidR="0081006B" w:rsidRPr="00F50FB7" w:rsidRDefault="0081006B" w:rsidP="0081006B">
            <w:pPr>
              <w:widowControl w:val="0"/>
              <w:autoSpaceDE w:val="0"/>
              <w:autoSpaceDN w:val="0"/>
              <w:spacing w:line="360" w:lineRule="auto"/>
              <w:rPr>
                <w:rFonts w:ascii="Times New Roman" w:eastAsia="Book Antiqua" w:hAnsi="Times New Roman" w:cs="Times New Roman"/>
                <w:bCs/>
                <w:sz w:val="20"/>
                <w:szCs w:val="20"/>
                <w:lang w:val="en-US" w:bidi="th-TH"/>
              </w:rPr>
            </w:pPr>
            <w:r>
              <w:rPr>
                <w:rFonts w:ascii="Open Sans" w:hAnsi="Open Sans" w:cs="Arial"/>
                <w:color w:val="1C1D1E"/>
                <w:sz w:val="21"/>
                <w:szCs w:val="21"/>
                <w:lang w:val="en"/>
              </w:rPr>
              <w:t>§</w:t>
            </w:r>
            <w:r w:rsidRPr="00F50FB7">
              <w:rPr>
                <w:rFonts w:ascii="Times New Roman" w:eastAsia="Book Antiqua" w:hAnsi="Times New Roman" w:cs="Times New Roman"/>
                <w:bCs/>
                <w:sz w:val="20"/>
                <w:szCs w:val="20"/>
                <w:lang w:val="en-US" w:bidi="th-TH"/>
              </w:rPr>
              <w:t>Antithrombotic therapy status at baseline, based on information from the entire study period (2000-2018).</w:t>
            </w:r>
          </w:p>
          <w:p w14:paraId="4BACC0DF" w14:textId="77777777" w:rsidR="0081006B" w:rsidRPr="00F50FB7" w:rsidRDefault="0081006B" w:rsidP="0081006B">
            <w:pPr>
              <w:widowControl w:val="0"/>
              <w:autoSpaceDE w:val="0"/>
              <w:autoSpaceDN w:val="0"/>
              <w:spacing w:line="360" w:lineRule="auto"/>
              <w:rPr>
                <w:rFonts w:ascii="Times New Roman" w:eastAsia="Book Antiqua" w:hAnsi="Times New Roman" w:cs="Times New Roman"/>
                <w:sz w:val="20"/>
                <w:szCs w:val="20"/>
                <w:lang w:val="en-US"/>
              </w:rPr>
            </w:pPr>
            <w:r>
              <w:rPr>
                <w:rFonts w:ascii="Open Sans" w:hAnsi="Open Sans" w:cs="Arial"/>
                <w:color w:val="1C1D1E"/>
                <w:sz w:val="21"/>
                <w:szCs w:val="21"/>
                <w:lang w:val="en"/>
              </w:rPr>
              <w:t>¶</w:t>
            </w:r>
            <w:r w:rsidRPr="00F50FB7">
              <w:rPr>
                <w:rFonts w:ascii="Times New Roman" w:eastAsia="Book Antiqua" w:hAnsi="Times New Roman" w:cs="Times New Roman"/>
                <w:bCs/>
                <w:sz w:val="20"/>
                <w:szCs w:val="20"/>
                <w:lang w:val="en-US" w:bidi="th-TH"/>
              </w:rPr>
              <w:t xml:space="preserve">Exact number not allowed to be shown due to </w:t>
            </w:r>
            <w:r w:rsidRPr="00F50FB7">
              <w:rPr>
                <w:rFonts w:ascii="Times New Roman" w:eastAsia="Book Antiqua" w:hAnsi="Times New Roman" w:cs="Times New Roman"/>
                <w:sz w:val="20"/>
                <w:szCs w:val="20"/>
                <w:lang w:val="en-US"/>
              </w:rPr>
              <w:t>General Data Protection Regulations of The Danish Health Data Agency.</w:t>
            </w:r>
          </w:p>
        </w:tc>
      </w:tr>
    </w:tbl>
    <w:p w14:paraId="048BD410" w14:textId="77777777" w:rsidR="006A2CD7" w:rsidRDefault="006A2CD7" w:rsidP="006A2CD7">
      <w:pPr>
        <w:widowControl w:val="0"/>
        <w:autoSpaceDE w:val="0"/>
        <w:autoSpaceDN w:val="0"/>
        <w:adjustRightInd w:val="0"/>
        <w:spacing w:line="360" w:lineRule="auto"/>
        <w:rPr>
          <w:rFonts w:ascii="Times New Roman" w:hAnsi="Times New Roman" w:cs="Times New Roman"/>
          <w:sz w:val="24"/>
          <w:szCs w:val="24"/>
          <w:lang w:val="en-US"/>
        </w:rPr>
        <w:sectPr w:rsidR="006A2CD7" w:rsidSect="006A2CD7">
          <w:pgSz w:w="16838" w:h="11906" w:orient="landscape"/>
          <w:pgMar w:top="1077" w:right="1440" w:bottom="1077" w:left="1440" w:header="709" w:footer="709" w:gutter="0"/>
          <w:cols w:space="708"/>
          <w:docGrid w:linePitch="360"/>
        </w:sectPr>
      </w:pPr>
    </w:p>
    <w:p w14:paraId="0A95A4A1" w14:textId="77777777" w:rsidR="006A2CD7" w:rsidRPr="008F5133" w:rsidRDefault="006A2CD7" w:rsidP="006A2CD7">
      <w:pPr>
        <w:spacing w:line="480" w:lineRule="auto"/>
        <w:rPr>
          <w:rFonts w:ascii="Times New Roman" w:eastAsia="Calibri" w:hAnsi="Times New Roman" w:cs="Times New Roman"/>
          <w:sz w:val="24"/>
          <w:szCs w:val="24"/>
          <w:lang w:val="en-US"/>
        </w:rPr>
      </w:pPr>
      <w:r w:rsidRPr="004F47F2">
        <w:rPr>
          <w:rFonts w:ascii="Times New Roman" w:eastAsia="Calibri" w:hAnsi="Times New Roman" w:cs="Times New Roman"/>
          <w:b/>
          <w:sz w:val="24"/>
          <w:szCs w:val="24"/>
          <w:lang w:val="en-US"/>
        </w:rPr>
        <w:lastRenderedPageBreak/>
        <w:t>Table 2</w:t>
      </w:r>
      <w:r w:rsidRPr="004F47F2">
        <w:rPr>
          <w:rFonts w:ascii="Times New Roman" w:eastAsia="Calibri" w:hAnsi="Times New Roman" w:cs="Times New Roman"/>
          <w:sz w:val="24"/>
          <w:szCs w:val="24"/>
          <w:lang w:val="en-US"/>
        </w:rPr>
        <w:t xml:space="preserve">. Absolute risk of thromboembolism and major bleeding </w:t>
      </w:r>
      <w:r w:rsidRPr="004F47F2">
        <w:rPr>
          <w:rFonts w:ascii="Times New Roman" w:eastAsia="AdvTimes" w:hAnsi="Times New Roman" w:cs="Times New Roman"/>
          <w:sz w:val="24"/>
          <w:szCs w:val="24"/>
          <w:lang w:val="en-US"/>
        </w:rPr>
        <w:t xml:space="preserve">at 1 year after AF diagnosis </w:t>
      </w:r>
      <w:r w:rsidRPr="004F47F2">
        <w:rPr>
          <w:rFonts w:ascii="Times New Roman" w:eastAsia="Calibri" w:hAnsi="Times New Roman" w:cs="Times New Roman"/>
          <w:sz w:val="24"/>
          <w:szCs w:val="24"/>
          <w:lang w:val="en-US"/>
        </w:rPr>
        <w:t>according to EHRA classification and anticoagulation status at baseline.</w:t>
      </w:r>
    </w:p>
    <w:tbl>
      <w:tblPr>
        <w:tblStyle w:val="Tabel-Gitter"/>
        <w:tblW w:w="11476" w:type="dxa"/>
        <w:jc w:val="center"/>
        <w:tblLayout w:type="fixed"/>
        <w:tblLook w:val="04A0" w:firstRow="1" w:lastRow="0" w:firstColumn="1" w:lastColumn="0" w:noHBand="0" w:noVBand="1"/>
      </w:tblPr>
      <w:tblGrid>
        <w:gridCol w:w="3539"/>
        <w:gridCol w:w="1985"/>
        <w:gridCol w:w="1984"/>
        <w:gridCol w:w="1984"/>
        <w:gridCol w:w="1984"/>
      </w:tblGrid>
      <w:tr w:rsidR="006A2CD7" w:rsidRPr="00EF2A75" w14:paraId="6759637C" w14:textId="77777777" w:rsidTr="007D77D4">
        <w:trPr>
          <w:jc w:val="center"/>
        </w:trPr>
        <w:tc>
          <w:tcPr>
            <w:tcW w:w="3539" w:type="dxa"/>
            <w:vMerge w:val="restart"/>
            <w:tcBorders>
              <w:right w:val="nil"/>
            </w:tcBorders>
          </w:tcPr>
          <w:p w14:paraId="5A6D6CF4" w14:textId="77777777" w:rsidR="006A2CD7" w:rsidRPr="00CB578C" w:rsidRDefault="006A2CD7" w:rsidP="007D77D4">
            <w:pPr>
              <w:spacing w:before="240" w:line="360" w:lineRule="auto"/>
              <w:rPr>
                <w:rFonts w:ascii="Times New Roman" w:eastAsia="Calibri" w:hAnsi="Times New Roman" w:cs="Times New Roman"/>
                <w:i/>
                <w:sz w:val="20"/>
                <w:szCs w:val="20"/>
                <w:lang w:val="en-US"/>
              </w:rPr>
            </w:pPr>
            <w:r w:rsidRPr="00CB578C">
              <w:rPr>
                <w:rFonts w:ascii="Times New Roman" w:eastAsia="Calibri" w:hAnsi="Times New Roman" w:cs="Times New Roman"/>
                <w:i/>
                <w:sz w:val="20"/>
                <w:szCs w:val="20"/>
                <w:lang w:val="en-US"/>
              </w:rPr>
              <w:t>EHRA classification</w:t>
            </w:r>
          </w:p>
          <w:p w14:paraId="32F9C3DA" w14:textId="77777777" w:rsidR="006A2CD7" w:rsidRPr="00CB578C" w:rsidRDefault="006A2CD7" w:rsidP="007D77D4">
            <w:pPr>
              <w:spacing w:line="360" w:lineRule="auto"/>
              <w:rPr>
                <w:rFonts w:ascii="Times New Roman" w:eastAsia="Calibri" w:hAnsi="Times New Roman" w:cs="Times New Roman"/>
                <w:i/>
                <w:sz w:val="20"/>
                <w:szCs w:val="20"/>
                <w:lang w:val="en-US"/>
              </w:rPr>
            </w:pPr>
            <w:r w:rsidRPr="00CB578C">
              <w:rPr>
                <w:rFonts w:ascii="Times New Roman" w:eastAsia="Calibri" w:hAnsi="Times New Roman" w:cs="Times New Roman"/>
                <w:i/>
                <w:sz w:val="20"/>
                <w:szCs w:val="20"/>
                <w:lang w:val="en-US"/>
              </w:rPr>
              <w:t>(number of patients)</w:t>
            </w:r>
          </w:p>
        </w:tc>
        <w:tc>
          <w:tcPr>
            <w:tcW w:w="3969" w:type="dxa"/>
            <w:gridSpan w:val="2"/>
            <w:tcBorders>
              <w:left w:val="nil"/>
              <w:right w:val="nil"/>
            </w:tcBorders>
          </w:tcPr>
          <w:p w14:paraId="32DB5BA9" w14:textId="77777777" w:rsidR="006A2CD7" w:rsidRPr="00EF2A75" w:rsidRDefault="006A2CD7" w:rsidP="007D77D4">
            <w:pPr>
              <w:spacing w:before="240" w:line="360" w:lineRule="auto"/>
              <w:jc w:val="center"/>
              <w:rPr>
                <w:rFonts w:ascii="Times New Roman" w:eastAsia="Calibri" w:hAnsi="Times New Roman" w:cs="Times New Roman"/>
                <w:b/>
                <w:sz w:val="20"/>
                <w:szCs w:val="20"/>
              </w:rPr>
            </w:pPr>
            <w:r w:rsidRPr="00EF2A75">
              <w:rPr>
                <w:rFonts w:ascii="Times New Roman" w:eastAsia="Calibri" w:hAnsi="Times New Roman" w:cs="Times New Roman"/>
                <w:b/>
                <w:sz w:val="20"/>
                <w:szCs w:val="20"/>
              </w:rPr>
              <w:t>EHRA Type 1 VHD</w:t>
            </w:r>
          </w:p>
        </w:tc>
        <w:tc>
          <w:tcPr>
            <w:tcW w:w="3968" w:type="dxa"/>
            <w:gridSpan w:val="2"/>
            <w:tcBorders>
              <w:left w:val="nil"/>
            </w:tcBorders>
          </w:tcPr>
          <w:p w14:paraId="24583797" w14:textId="77777777" w:rsidR="006A2CD7" w:rsidRPr="00EF2A75" w:rsidRDefault="006A2CD7" w:rsidP="007D77D4">
            <w:pPr>
              <w:spacing w:before="240" w:line="360" w:lineRule="auto"/>
              <w:jc w:val="center"/>
              <w:rPr>
                <w:rFonts w:ascii="Times New Roman" w:eastAsia="Calibri" w:hAnsi="Times New Roman" w:cs="Times New Roman"/>
                <w:b/>
                <w:sz w:val="20"/>
                <w:szCs w:val="20"/>
              </w:rPr>
            </w:pPr>
            <w:r w:rsidRPr="00EF2A75">
              <w:rPr>
                <w:rFonts w:ascii="Times New Roman" w:eastAsia="Calibri" w:hAnsi="Times New Roman" w:cs="Times New Roman"/>
                <w:b/>
                <w:sz w:val="20"/>
                <w:szCs w:val="20"/>
              </w:rPr>
              <w:t>EHRA Type 2 VHD</w:t>
            </w:r>
          </w:p>
        </w:tc>
      </w:tr>
      <w:tr w:rsidR="006A2CD7" w:rsidRPr="00EF2A75" w14:paraId="428EA140" w14:textId="77777777" w:rsidTr="007D77D4">
        <w:trPr>
          <w:jc w:val="center"/>
        </w:trPr>
        <w:tc>
          <w:tcPr>
            <w:tcW w:w="3539" w:type="dxa"/>
            <w:vMerge/>
            <w:tcBorders>
              <w:bottom w:val="single" w:sz="4" w:space="0" w:color="auto"/>
              <w:right w:val="nil"/>
            </w:tcBorders>
          </w:tcPr>
          <w:p w14:paraId="6B4A7EC3" w14:textId="77777777" w:rsidR="006A2CD7" w:rsidRPr="00EF2A75" w:rsidRDefault="006A2CD7" w:rsidP="007D77D4">
            <w:pPr>
              <w:spacing w:before="240" w:line="360" w:lineRule="auto"/>
              <w:jc w:val="right"/>
              <w:rPr>
                <w:rFonts w:ascii="Times New Roman" w:eastAsia="Calibri" w:hAnsi="Times New Roman" w:cs="Times New Roman"/>
                <w:i/>
                <w:sz w:val="20"/>
                <w:szCs w:val="20"/>
              </w:rPr>
            </w:pPr>
          </w:p>
        </w:tc>
        <w:tc>
          <w:tcPr>
            <w:tcW w:w="1985" w:type="dxa"/>
            <w:tcBorders>
              <w:left w:val="nil"/>
              <w:bottom w:val="single" w:sz="4" w:space="0" w:color="auto"/>
              <w:right w:val="nil"/>
            </w:tcBorders>
            <w:vAlign w:val="center"/>
          </w:tcPr>
          <w:p w14:paraId="23EDDC34" w14:textId="77777777" w:rsidR="006A2CD7" w:rsidRPr="00EF2A75" w:rsidRDefault="006A2CD7" w:rsidP="007D77D4">
            <w:pPr>
              <w:spacing w:before="24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No OAC </w:t>
            </w:r>
            <w:proofErr w:type="spellStart"/>
            <w:r>
              <w:rPr>
                <w:rFonts w:ascii="Times New Roman" w:eastAsia="Calibri" w:hAnsi="Times New Roman" w:cs="Times New Roman"/>
                <w:sz w:val="20"/>
                <w:szCs w:val="20"/>
              </w:rPr>
              <w:t>therapy</w:t>
            </w:r>
            <w:proofErr w:type="spellEnd"/>
          </w:p>
          <w:p w14:paraId="772576F4" w14:textId="77777777" w:rsidR="006A2CD7" w:rsidRPr="00EF2A75" w:rsidRDefault="006A2CD7" w:rsidP="007D77D4">
            <w:pPr>
              <w:spacing w:line="360" w:lineRule="auto"/>
              <w:jc w:val="center"/>
              <w:rPr>
                <w:rFonts w:ascii="Times New Roman" w:eastAsia="Calibri" w:hAnsi="Times New Roman" w:cs="Times New Roman"/>
                <w:sz w:val="20"/>
                <w:szCs w:val="20"/>
              </w:rPr>
            </w:pPr>
            <w:r w:rsidRPr="00EF2A75">
              <w:rPr>
                <w:rFonts w:ascii="Times New Roman" w:eastAsia="Calibri" w:hAnsi="Times New Roman" w:cs="Times New Roman"/>
                <w:sz w:val="20"/>
                <w:szCs w:val="20"/>
              </w:rPr>
              <w:t>(296)</w:t>
            </w:r>
          </w:p>
        </w:tc>
        <w:tc>
          <w:tcPr>
            <w:tcW w:w="1984" w:type="dxa"/>
            <w:tcBorders>
              <w:left w:val="nil"/>
              <w:bottom w:val="single" w:sz="4" w:space="0" w:color="auto"/>
              <w:right w:val="nil"/>
            </w:tcBorders>
          </w:tcPr>
          <w:p w14:paraId="73515417" w14:textId="77777777" w:rsidR="006A2CD7" w:rsidRPr="00EF2A75" w:rsidRDefault="006A2CD7" w:rsidP="007D77D4">
            <w:pPr>
              <w:spacing w:before="240" w:line="360" w:lineRule="auto"/>
              <w:jc w:val="center"/>
              <w:rPr>
                <w:rFonts w:ascii="Times New Roman" w:eastAsia="Calibri" w:hAnsi="Times New Roman" w:cs="Times New Roman"/>
                <w:sz w:val="20"/>
                <w:szCs w:val="20"/>
              </w:rPr>
            </w:pPr>
            <w:r w:rsidRPr="00EF2A75">
              <w:rPr>
                <w:rFonts w:ascii="Times New Roman" w:eastAsia="Calibri" w:hAnsi="Times New Roman" w:cs="Times New Roman"/>
                <w:sz w:val="20"/>
                <w:szCs w:val="20"/>
              </w:rPr>
              <w:t xml:space="preserve">OAC </w:t>
            </w:r>
            <w:proofErr w:type="spellStart"/>
            <w:r w:rsidRPr="00EF2A75">
              <w:rPr>
                <w:rFonts w:ascii="Times New Roman" w:eastAsia="Calibri" w:hAnsi="Times New Roman" w:cs="Times New Roman"/>
                <w:sz w:val="20"/>
                <w:szCs w:val="20"/>
              </w:rPr>
              <w:t>therapy</w:t>
            </w:r>
            <w:proofErr w:type="spellEnd"/>
          </w:p>
          <w:p w14:paraId="1213F477" w14:textId="2A64A3B0" w:rsidR="006A2CD7" w:rsidRPr="00EF2A75" w:rsidRDefault="00FE0456" w:rsidP="007D77D4">
            <w:pPr>
              <w:spacing w:line="360" w:lineRule="auto"/>
              <w:jc w:val="center"/>
              <w:rPr>
                <w:rFonts w:ascii="Times New Roman" w:eastAsia="Calibri" w:hAnsi="Times New Roman" w:cs="Times New Roman"/>
                <w:sz w:val="20"/>
                <w:szCs w:val="20"/>
              </w:rPr>
            </w:pPr>
            <w:r w:rsidRPr="00FE0456">
              <w:rPr>
                <w:rFonts w:ascii="Times New Roman" w:eastAsia="Calibri" w:hAnsi="Times New Roman" w:cs="Times New Roman"/>
                <w:sz w:val="20"/>
                <w:szCs w:val="20"/>
              </w:rPr>
              <w:t>(2,405</w:t>
            </w:r>
            <w:r w:rsidR="006A2CD7" w:rsidRPr="00FE0456">
              <w:rPr>
                <w:rFonts w:ascii="Times New Roman" w:eastAsia="Calibri" w:hAnsi="Times New Roman" w:cs="Times New Roman"/>
                <w:sz w:val="20"/>
                <w:szCs w:val="20"/>
              </w:rPr>
              <w:t>)</w:t>
            </w:r>
          </w:p>
        </w:tc>
        <w:tc>
          <w:tcPr>
            <w:tcW w:w="1984" w:type="dxa"/>
            <w:tcBorders>
              <w:left w:val="nil"/>
              <w:bottom w:val="single" w:sz="4" w:space="0" w:color="auto"/>
              <w:right w:val="nil"/>
            </w:tcBorders>
          </w:tcPr>
          <w:p w14:paraId="22962152" w14:textId="77777777" w:rsidR="006A2CD7" w:rsidRPr="00EF2A75" w:rsidRDefault="006A2CD7" w:rsidP="007D77D4">
            <w:pPr>
              <w:spacing w:before="240" w:line="360" w:lineRule="auto"/>
              <w:jc w:val="center"/>
              <w:rPr>
                <w:rFonts w:ascii="Times New Roman" w:eastAsia="Calibri" w:hAnsi="Times New Roman" w:cs="Times New Roman"/>
                <w:sz w:val="20"/>
                <w:szCs w:val="20"/>
              </w:rPr>
            </w:pPr>
            <w:r w:rsidRPr="00EF2A75">
              <w:rPr>
                <w:rFonts w:ascii="Times New Roman" w:eastAsia="Calibri" w:hAnsi="Times New Roman" w:cs="Times New Roman"/>
                <w:sz w:val="20"/>
                <w:szCs w:val="20"/>
              </w:rPr>
              <w:t xml:space="preserve">No OAC </w:t>
            </w:r>
            <w:proofErr w:type="spellStart"/>
            <w:r w:rsidRPr="00EF2A75">
              <w:rPr>
                <w:rFonts w:ascii="Times New Roman" w:eastAsia="Calibri" w:hAnsi="Times New Roman" w:cs="Times New Roman"/>
                <w:sz w:val="20"/>
                <w:szCs w:val="20"/>
              </w:rPr>
              <w:t>therapy</w:t>
            </w:r>
            <w:proofErr w:type="spellEnd"/>
          </w:p>
          <w:p w14:paraId="74890115" w14:textId="77777777" w:rsidR="006A2CD7" w:rsidRPr="00EF2A75" w:rsidRDefault="006A2CD7" w:rsidP="007D77D4">
            <w:pPr>
              <w:spacing w:line="360" w:lineRule="auto"/>
              <w:jc w:val="center"/>
              <w:rPr>
                <w:rFonts w:ascii="Times New Roman" w:eastAsia="Calibri" w:hAnsi="Times New Roman" w:cs="Times New Roman"/>
                <w:sz w:val="20"/>
                <w:szCs w:val="20"/>
              </w:rPr>
            </w:pPr>
            <w:r w:rsidRPr="00EF2A75">
              <w:rPr>
                <w:rFonts w:ascii="Times New Roman" w:eastAsia="Calibri" w:hAnsi="Times New Roman" w:cs="Times New Roman"/>
                <w:sz w:val="20"/>
                <w:szCs w:val="20"/>
              </w:rPr>
              <w:t>(11,456)</w:t>
            </w:r>
          </w:p>
        </w:tc>
        <w:tc>
          <w:tcPr>
            <w:tcW w:w="1984" w:type="dxa"/>
            <w:tcBorders>
              <w:left w:val="nil"/>
              <w:bottom w:val="single" w:sz="4" w:space="0" w:color="auto"/>
            </w:tcBorders>
          </w:tcPr>
          <w:p w14:paraId="46FB689B" w14:textId="77777777" w:rsidR="006A2CD7" w:rsidRPr="00EF2A75" w:rsidRDefault="006A2CD7" w:rsidP="007D77D4">
            <w:pPr>
              <w:spacing w:before="240" w:line="360" w:lineRule="auto"/>
              <w:jc w:val="center"/>
              <w:rPr>
                <w:rFonts w:ascii="Times New Roman" w:eastAsia="Calibri" w:hAnsi="Times New Roman" w:cs="Times New Roman"/>
                <w:sz w:val="20"/>
                <w:szCs w:val="20"/>
              </w:rPr>
            </w:pPr>
            <w:r w:rsidRPr="00EF2A75">
              <w:rPr>
                <w:rFonts w:ascii="Times New Roman" w:eastAsia="Calibri" w:hAnsi="Times New Roman" w:cs="Times New Roman"/>
                <w:sz w:val="20"/>
                <w:szCs w:val="20"/>
              </w:rPr>
              <w:t xml:space="preserve">OAC </w:t>
            </w:r>
            <w:proofErr w:type="spellStart"/>
            <w:r w:rsidRPr="00EF2A75">
              <w:rPr>
                <w:rFonts w:ascii="Times New Roman" w:eastAsia="Calibri" w:hAnsi="Times New Roman" w:cs="Times New Roman"/>
                <w:sz w:val="20"/>
                <w:szCs w:val="20"/>
              </w:rPr>
              <w:t>therapy</w:t>
            </w:r>
            <w:proofErr w:type="spellEnd"/>
          </w:p>
          <w:p w14:paraId="35E8E464" w14:textId="77777777" w:rsidR="006A2CD7" w:rsidRPr="00EF2A75" w:rsidRDefault="006A2CD7" w:rsidP="007D77D4">
            <w:pPr>
              <w:spacing w:line="360" w:lineRule="auto"/>
              <w:jc w:val="center"/>
              <w:rPr>
                <w:rFonts w:ascii="Times New Roman" w:eastAsia="Calibri" w:hAnsi="Times New Roman" w:cs="Times New Roman"/>
                <w:sz w:val="20"/>
                <w:szCs w:val="20"/>
              </w:rPr>
            </w:pPr>
            <w:r w:rsidRPr="00EF2A75">
              <w:rPr>
                <w:rFonts w:ascii="Times New Roman" w:eastAsia="Calibri" w:hAnsi="Times New Roman" w:cs="Times New Roman"/>
                <w:sz w:val="20"/>
                <w:szCs w:val="20"/>
              </w:rPr>
              <w:t>(14,613)</w:t>
            </w:r>
          </w:p>
        </w:tc>
      </w:tr>
      <w:tr w:rsidR="006A2CD7" w:rsidRPr="00EF2A75" w14:paraId="54DFDE76" w14:textId="77777777" w:rsidTr="007D77D4">
        <w:trPr>
          <w:jc w:val="center"/>
        </w:trPr>
        <w:tc>
          <w:tcPr>
            <w:tcW w:w="11476" w:type="dxa"/>
            <w:gridSpan w:val="5"/>
            <w:tcBorders>
              <w:right w:val="single" w:sz="4" w:space="0" w:color="auto"/>
            </w:tcBorders>
            <w:vAlign w:val="bottom"/>
          </w:tcPr>
          <w:p w14:paraId="74CCF4AE" w14:textId="77777777" w:rsidR="006A2CD7" w:rsidRPr="008F5133" w:rsidRDefault="006A2CD7" w:rsidP="007D77D4">
            <w:pPr>
              <w:spacing w:line="360" w:lineRule="auto"/>
              <w:rPr>
                <w:rFonts w:ascii="Times New Roman" w:eastAsia="Calibri" w:hAnsi="Times New Roman" w:cs="Times New Roman"/>
                <w:b/>
                <w:sz w:val="20"/>
                <w:szCs w:val="20"/>
                <w:lang w:val="en-US"/>
              </w:rPr>
            </w:pPr>
            <w:r w:rsidRPr="008F5133">
              <w:rPr>
                <w:rFonts w:ascii="Times New Roman" w:eastAsia="Calibri" w:hAnsi="Times New Roman" w:cs="Times New Roman"/>
                <w:b/>
                <w:sz w:val="20"/>
                <w:szCs w:val="20"/>
                <w:lang w:val="en-US"/>
              </w:rPr>
              <w:t>Absol</w:t>
            </w:r>
            <w:r>
              <w:rPr>
                <w:rFonts w:ascii="Times New Roman" w:eastAsia="Calibri" w:hAnsi="Times New Roman" w:cs="Times New Roman"/>
                <w:b/>
                <w:sz w:val="20"/>
                <w:szCs w:val="20"/>
                <w:lang w:val="en-US"/>
              </w:rPr>
              <w:t>ute risk at 1 year of follow-up</w:t>
            </w:r>
            <w:r>
              <w:rPr>
                <w:rFonts w:ascii="Open Sans" w:hAnsi="Open Sans" w:cs="Arial"/>
                <w:color w:val="1C1D1E"/>
                <w:sz w:val="21"/>
                <w:szCs w:val="21"/>
                <w:lang w:val="en"/>
              </w:rPr>
              <w:t>†</w:t>
            </w:r>
            <w:r w:rsidRPr="008F5133">
              <w:rPr>
                <w:rFonts w:ascii="Times New Roman" w:eastAsia="Calibri" w:hAnsi="Times New Roman" w:cs="Times New Roman"/>
                <w:b/>
                <w:sz w:val="20"/>
                <w:szCs w:val="20"/>
                <w:lang w:val="en-US"/>
              </w:rPr>
              <w:t xml:space="preserve">, </w:t>
            </w:r>
          </w:p>
          <w:p w14:paraId="75D3AEA5" w14:textId="77777777" w:rsidR="006A2CD7" w:rsidRPr="00EF2A75" w:rsidRDefault="006A2CD7" w:rsidP="007D77D4">
            <w:pPr>
              <w:spacing w:line="360" w:lineRule="auto"/>
              <w:rPr>
                <w:rFonts w:ascii="Times New Roman" w:eastAsia="Calibri" w:hAnsi="Times New Roman" w:cs="Times New Roman"/>
                <w:b/>
                <w:sz w:val="20"/>
                <w:szCs w:val="20"/>
              </w:rPr>
            </w:pPr>
            <w:r w:rsidRPr="00EF2A75">
              <w:rPr>
                <w:rFonts w:ascii="Times New Roman" w:eastAsia="Calibri" w:hAnsi="Times New Roman" w:cs="Times New Roman"/>
                <w:b/>
                <w:sz w:val="20"/>
                <w:szCs w:val="20"/>
              </w:rPr>
              <w:t>% (</w:t>
            </w:r>
            <w:proofErr w:type="spellStart"/>
            <w:r w:rsidRPr="00EF2A75">
              <w:rPr>
                <w:rFonts w:ascii="Times New Roman" w:eastAsia="Calibri" w:hAnsi="Times New Roman" w:cs="Times New Roman"/>
                <w:b/>
                <w:sz w:val="20"/>
                <w:szCs w:val="20"/>
              </w:rPr>
              <w:t>number</w:t>
            </w:r>
            <w:proofErr w:type="spellEnd"/>
            <w:r w:rsidRPr="00EF2A75">
              <w:rPr>
                <w:rFonts w:ascii="Times New Roman" w:eastAsia="Calibri" w:hAnsi="Times New Roman" w:cs="Times New Roman"/>
                <w:b/>
                <w:sz w:val="20"/>
                <w:szCs w:val="20"/>
              </w:rPr>
              <w:t xml:space="preserve"> of events)</w:t>
            </w:r>
          </w:p>
        </w:tc>
      </w:tr>
      <w:tr w:rsidR="005034F0" w:rsidRPr="00E3404E" w14:paraId="794DB5ED" w14:textId="77777777" w:rsidTr="007D77D4">
        <w:trPr>
          <w:jc w:val="center"/>
        </w:trPr>
        <w:tc>
          <w:tcPr>
            <w:tcW w:w="3539" w:type="dxa"/>
            <w:tcBorders>
              <w:right w:val="nil"/>
            </w:tcBorders>
            <w:vAlign w:val="center"/>
          </w:tcPr>
          <w:p w14:paraId="2B662BB6" w14:textId="77777777" w:rsidR="005034F0" w:rsidRPr="00EF2A75" w:rsidRDefault="005034F0" w:rsidP="005034F0">
            <w:pPr>
              <w:spacing w:line="360" w:lineRule="auto"/>
              <w:jc w:val="center"/>
              <w:rPr>
                <w:rFonts w:ascii="Times New Roman" w:eastAsia="Calibri" w:hAnsi="Times New Roman" w:cs="Times New Roman"/>
                <w:sz w:val="20"/>
                <w:szCs w:val="20"/>
              </w:rPr>
            </w:pPr>
            <w:proofErr w:type="spellStart"/>
            <w:r w:rsidRPr="00EF2A75">
              <w:rPr>
                <w:rFonts w:ascii="Times New Roman" w:eastAsia="Calibri" w:hAnsi="Times New Roman" w:cs="Times New Roman"/>
                <w:sz w:val="20"/>
                <w:szCs w:val="20"/>
              </w:rPr>
              <w:t>Thromboembolic</w:t>
            </w:r>
            <w:proofErr w:type="spellEnd"/>
            <w:r w:rsidRPr="00EF2A75">
              <w:rPr>
                <w:rFonts w:ascii="Times New Roman" w:eastAsia="Calibri" w:hAnsi="Times New Roman" w:cs="Times New Roman"/>
                <w:sz w:val="20"/>
                <w:szCs w:val="20"/>
              </w:rPr>
              <w:t xml:space="preserve"> event</w:t>
            </w:r>
          </w:p>
        </w:tc>
        <w:tc>
          <w:tcPr>
            <w:tcW w:w="1985" w:type="dxa"/>
            <w:tcBorders>
              <w:left w:val="nil"/>
              <w:right w:val="nil"/>
            </w:tcBorders>
            <w:vAlign w:val="center"/>
          </w:tcPr>
          <w:p w14:paraId="09A7AC9A" w14:textId="77284C2F" w:rsidR="005034F0" w:rsidRPr="00E3404E" w:rsidRDefault="00E3404E" w:rsidP="005034F0">
            <w:pPr>
              <w:spacing w:line="360" w:lineRule="auto"/>
              <w:jc w:val="center"/>
              <w:rPr>
                <w:rFonts w:ascii="Times New Roman" w:eastAsia="Calibri" w:hAnsi="Times New Roman" w:cs="Times New Roman"/>
                <w:color w:val="FFC000"/>
                <w:sz w:val="20"/>
                <w:szCs w:val="20"/>
                <w:lang w:val="en-US"/>
              </w:rPr>
            </w:pPr>
            <w:r w:rsidRPr="00E3404E">
              <w:rPr>
                <w:rFonts w:ascii="Times New Roman" w:eastAsia="Calibri" w:hAnsi="Times New Roman" w:cs="Times New Roman"/>
                <w:color w:val="FFC000"/>
                <w:sz w:val="20"/>
                <w:szCs w:val="20"/>
                <w:lang w:val="en-US"/>
              </w:rPr>
              <w:t>4.9</w:t>
            </w:r>
            <w:r w:rsidR="00FE3E1B" w:rsidRPr="00E3404E">
              <w:rPr>
                <w:rFonts w:ascii="Times New Roman" w:eastAsia="Calibri" w:hAnsi="Times New Roman" w:cs="Times New Roman"/>
                <w:sz w:val="20"/>
                <w:szCs w:val="20"/>
                <w:lang w:val="en-US"/>
              </w:rPr>
              <w:t xml:space="preserve"> (</w:t>
            </w:r>
            <w:r w:rsidR="00FE3E1B" w:rsidRPr="00E3404E">
              <w:rPr>
                <w:rFonts w:ascii="Times New Roman" w:eastAsia="Calibri" w:hAnsi="Times New Roman" w:cs="Times New Roman"/>
                <w:color w:val="FFC000"/>
                <w:sz w:val="20"/>
                <w:szCs w:val="20"/>
                <w:lang w:val="en-US"/>
              </w:rPr>
              <w:t>13</w:t>
            </w:r>
            <w:r w:rsidR="005034F0" w:rsidRPr="00E3404E">
              <w:rPr>
                <w:rFonts w:ascii="Times New Roman" w:eastAsia="Calibri" w:hAnsi="Times New Roman" w:cs="Times New Roman"/>
                <w:sz w:val="20"/>
                <w:szCs w:val="20"/>
                <w:lang w:val="en-US"/>
              </w:rPr>
              <w:t>)</w:t>
            </w:r>
          </w:p>
        </w:tc>
        <w:tc>
          <w:tcPr>
            <w:tcW w:w="1984" w:type="dxa"/>
            <w:tcBorders>
              <w:left w:val="nil"/>
              <w:right w:val="nil"/>
            </w:tcBorders>
            <w:vAlign w:val="center"/>
          </w:tcPr>
          <w:p w14:paraId="00954E5D" w14:textId="41B02BBC" w:rsidR="005034F0" w:rsidRPr="00E3404E" w:rsidRDefault="00E3404E" w:rsidP="005034F0">
            <w:pPr>
              <w:spacing w:line="360" w:lineRule="auto"/>
              <w:jc w:val="center"/>
              <w:rPr>
                <w:rFonts w:ascii="Times New Roman" w:eastAsia="Calibri" w:hAnsi="Times New Roman" w:cs="Times New Roman"/>
                <w:sz w:val="20"/>
                <w:szCs w:val="20"/>
                <w:lang w:val="en-US"/>
              </w:rPr>
            </w:pPr>
            <w:r w:rsidRPr="00E3404E">
              <w:rPr>
                <w:rFonts w:ascii="Times New Roman" w:eastAsia="Calibri" w:hAnsi="Times New Roman" w:cs="Times New Roman"/>
                <w:color w:val="FFC000"/>
                <w:sz w:val="20"/>
                <w:szCs w:val="20"/>
              </w:rPr>
              <w:t>2.6</w:t>
            </w:r>
            <w:r w:rsidR="00FE0456" w:rsidRPr="00E3404E">
              <w:rPr>
                <w:rFonts w:ascii="Times New Roman" w:eastAsia="Calibri" w:hAnsi="Times New Roman" w:cs="Times New Roman"/>
                <w:sz w:val="20"/>
                <w:szCs w:val="20"/>
              </w:rPr>
              <w:t xml:space="preserve"> (</w:t>
            </w:r>
            <w:r w:rsidR="00FE0456" w:rsidRPr="00E3404E">
              <w:rPr>
                <w:rFonts w:ascii="Times New Roman" w:eastAsia="Calibri" w:hAnsi="Times New Roman" w:cs="Times New Roman"/>
                <w:color w:val="FFC000"/>
                <w:sz w:val="20"/>
                <w:szCs w:val="20"/>
              </w:rPr>
              <w:t>63</w:t>
            </w:r>
            <w:r w:rsidR="005034F0" w:rsidRPr="00E3404E">
              <w:rPr>
                <w:rFonts w:ascii="Times New Roman" w:eastAsia="Calibri" w:hAnsi="Times New Roman" w:cs="Times New Roman"/>
                <w:sz w:val="20"/>
                <w:szCs w:val="20"/>
              </w:rPr>
              <w:t>)</w:t>
            </w:r>
          </w:p>
        </w:tc>
        <w:tc>
          <w:tcPr>
            <w:tcW w:w="1984" w:type="dxa"/>
            <w:tcBorders>
              <w:left w:val="nil"/>
              <w:right w:val="nil"/>
            </w:tcBorders>
            <w:vAlign w:val="center"/>
          </w:tcPr>
          <w:p w14:paraId="7AEC0505" w14:textId="3F4E9855" w:rsidR="005034F0" w:rsidRPr="00E3404E" w:rsidRDefault="00E3404E" w:rsidP="005034F0">
            <w:pPr>
              <w:spacing w:line="360" w:lineRule="auto"/>
              <w:jc w:val="center"/>
              <w:rPr>
                <w:rFonts w:ascii="Times New Roman" w:eastAsia="Calibri" w:hAnsi="Times New Roman" w:cs="Times New Roman"/>
                <w:sz w:val="20"/>
                <w:szCs w:val="20"/>
                <w:lang w:val="en-US"/>
              </w:rPr>
            </w:pPr>
            <w:r w:rsidRPr="00E3404E">
              <w:rPr>
                <w:rFonts w:ascii="Times New Roman" w:eastAsia="Calibri" w:hAnsi="Times New Roman" w:cs="Times New Roman"/>
                <w:color w:val="FFC000"/>
                <w:sz w:val="20"/>
                <w:szCs w:val="20"/>
                <w:lang w:val="en-US"/>
              </w:rPr>
              <w:t>3.2</w:t>
            </w:r>
            <w:r w:rsidR="005034F0" w:rsidRPr="00E3404E">
              <w:rPr>
                <w:rFonts w:ascii="Times New Roman" w:eastAsia="Calibri" w:hAnsi="Times New Roman" w:cs="Times New Roman"/>
                <w:sz w:val="20"/>
                <w:szCs w:val="20"/>
                <w:lang w:val="en-US"/>
              </w:rPr>
              <w:t xml:space="preserve"> (333)</w:t>
            </w:r>
          </w:p>
        </w:tc>
        <w:tc>
          <w:tcPr>
            <w:tcW w:w="1984" w:type="dxa"/>
            <w:tcBorders>
              <w:left w:val="nil"/>
            </w:tcBorders>
            <w:vAlign w:val="center"/>
          </w:tcPr>
          <w:p w14:paraId="4B899CB5" w14:textId="3AACAF46" w:rsidR="005034F0" w:rsidRPr="00E3404E" w:rsidRDefault="00E3404E" w:rsidP="005034F0">
            <w:pPr>
              <w:spacing w:line="360" w:lineRule="auto"/>
              <w:jc w:val="center"/>
              <w:rPr>
                <w:rFonts w:ascii="Times New Roman" w:eastAsia="Calibri" w:hAnsi="Times New Roman" w:cs="Times New Roman"/>
                <w:sz w:val="20"/>
                <w:szCs w:val="20"/>
                <w:lang w:val="en-US"/>
              </w:rPr>
            </w:pPr>
            <w:r w:rsidRPr="00E3404E">
              <w:rPr>
                <w:rFonts w:ascii="Times New Roman" w:eastAsia="Calibri" w:hAnsi="Times New Roman" w:cs="Times New Roman"/>
                <w:color w:val="FFC000"/>
                <w:sz w:val="20"/>
                <w:szCs w:val="20"/>
                <w:lang w:val="en-US"/>
              </w:rPr>
              <w:t>1.9</w:t>
            </w:r>
            <w:r w:rsidR="005034F0" w:rsidRPr="00E3404E">
              <w:rPr>
                <w:rFonts w:ascii="Times New Roman" w:eastAsia="Calibri" w:hAnsi="Times New Roman" w:cs="Times New Roman"/>
                <w:sz w:val="20"/>
                <w:szCs w:val="20"/>
                <w:lang w:val="en-US"/>
              </w:rPr>
              <w:t xml:space="preserve"> (277)</w:t>
            </w:r>
          </w:p>
        </w:tc>
      </w:tr>
      <w:tr w:rsidR="005034F0" w:rsidRPr="003F3D10" w14:paraId="129755C4" w14:textId="77777777" w:rsidTr="007D77D4">
        <w:trPr>
          <w:jc w:val="center"/>
        </w:trPr>
        <w:tc>
          <w:tcPr>
            <w:tcW w:w="3539" w:type="dxa"/>
            <w:tcBorders>
              <w:right w:val="nil"/>
            </w:tcBorders>
            <w:vAlign w:val="center"/>
          </w:tcPr>
          <w:p w14:paraId="35492DB3" w14:textId="77777777" w:rsidR="005034F0" w:rsidRPr="004F47F2" w:rsidRDefault="005034F0" w:rsidP="005034F0">
            <w:pPr>
              <w:spacing w:line="360" w:lineRule="auto"/>
              <w:jc w:val="center"/>
              <w:rPr>
                <w:rFonts w:ascii="Times New Roman" w:eastAsia="Calibri" w:hAnsi="Times New Roman" w:cs="Times New Roman"/>
                <w:sz w:val="20"/>
                <w:szCs w:val="20"/>
                <w:lang w:val="en-US"/>
              </w:rPr>
            </w:pPr>
            <w:r w:rsidRPr="004F47F2">
              <w:rPr>
                <w:rFonts w:ascii="Times New Roman" w:eastAsia="Calibri" w:hAnsi="Times New Roman" w:cs="Times New Roman"/>
                <w:sz w:val="20"/>
                <w:szCs w:val="20"/>
                <w:lang w:val="en-US"/>
              </w:rPr>
              <w:t>Major bleeding event</w:t>
            </w:r>
            <w:r>
              <w:rPr>
                <w:rFonts w:ascii="Open Sans" w:hAnsi="Open Sans" w:cs="Arial"/>
                <w:color w:val="1C1D1E"/>
                <w:sz w:val="21"/>
                <w:szCs w:val="21"/>
                <w:lang w:val="en"/>
              </w:rPr>
              <w:t>‡</w:t>
            </w:r>
          </w:p>
        </w:tc>
        <w:tc>
          <w:tcPr>
            <w:tcW w:w="1985" w:type="dxa"/>
            <w:tcBorders>
              <w:left w:val="nil"/>
              <w:right w:val="nil"/>
            </w:tcBorders>
            <w:vAlign w:val="center"/>
          </w:tcPr>
          <w:p w14:paraId="536AF562" w14:textId="5F5F7B10" w:rsidR="005034F0" w:rsidRPr="00E3404E" w:rsidRDefault="00E3404E" w:rsidP="005034F0">
            <w:pPr>
              <w:spacing w:line="360" w:lineRule="auto"/>
              <w:jc w:val="center"/>
              <w:rPr>
                <w:rFonts w:ascii="Times New Roman" w:eastAsia="Calibri" w:hAnsi="Times New Roman" w:cs="Times New Roman"/>
                <w:color w:val="FFC000"/>
                <w:sz w:val="20"/>
                <w:szCs w:val="20"/>
                <w:lang w:val="en-US"/>
              </w:rPr>
            </w:pPr>
            <w:r w:rsidRPr="00E3404E">
              <w:rPr>
                <w:rFonts w:ascii="Times New Roman" w:eastAsia="Calibri" w:hAnsi="Times New Roman" w:cs="Times New Roman"/>
                <w:color w:val="FFC000"/>
                <w:sz w:val="20"/>
                <w:szCs w:val="20"/>
                <w:lang w:val="en-US"/>
              </w:rPr>
              <w:t>4.3</w:t>
            </w:r>
            <w:r w:rsidR="00FE3E1B" w:rsidRPr="00E3404E">
              <w:rPr>
                <w:rFonts w:ascii="Times New Roman" w:eastAsia="Calibri" w:hAnsi="Times New Roman" w:cs="Times New Roman"/>
                <w:sz w:val="20"/>
                <w:szCs w:val="20"/>
                <w:lang w:val="en-US"/>
              </w:rPr>
              <w:t xml:space="preserve"> (</w:t>
            </w:r>
            <w:r w:rsidR="00FE3E1B" w:rsidRPr="00E3404E">
              <w:rPr>
                <w:rFonts w:ascii="Times New Roman" w:eastAsia="Calibri" w:hAnsi="Times New Roman" w:cs="Times New Roman"/>
                <w:color w:val="FFC000"/>
                <w:sz w:val="20"/>
                <w:szCs w:val="20"/>
                <w:lang w:val="en-US"/>
              </w:rPr>
              <w:t>11</w:t>
            </w:r>
            <w:r w:rsidR="005034F0" w:rsidRPr="00E3404E">
              <w:rPr>
                <w:rFonts w:ascii="Times New Roman" w:eastAsia="Calibri" w:hAnsi="Times New Roman" w:cs="Times New Roman"/>
                <w:sz w:val="20"/>
                <w:szCs w:val="20"/>
                <w:lang w:val="en-US"/>
              </w:rPr>
              <w:t>)</w:t>
            </w:r>
          </w:p>
        </w:tc>
        <w:tc>
          <w:tcPr>
            <w:tcW w:w="1984" w:type="dxa"/>
            <w:tcBorders>
              <w:left w:val="nil"/>
              <w:right w:val="nil"/>
            </w:tcBorders>
            <w:vAlign w:val="center"/>
          </w:tcPr>
          <w:p w14:paraId="495483C6" w14:textId="008A3DDC" w:rsidR="005034F0" w:rsidRPr="00E3404E" w:rsidRDefault="00E3404E" w:rsidP="00E3404E">
            <w:pPr>
              <w:spacing w:line="360" w:lineRule="auto"/>
              <w:jc w:val="center"/>
              <w:rPr>
                <w:rFonts w:ascii="Times New Roman" w:eastAsia="Calibri" w:hAnsi="Times New Roman" w:cs="Times New Roman"/>
                <w:sz w:val="20"/>
                <w:szCs w:val="20"/>
                <w:lang w:val="en-US"/>
              </w:rPr>
            </w:pPr>
            <w:r w:rsidRPr="00E3404E">
              <w:rPr>
                <w:rFonts w:ascii="Times New Roman" w:eastAsia="Calibri" w:hAnsi="Times New Roman" w:cs="Times New Roman"/>
                <w:color w:val="FFC000"/>
                <w:sz w:val="20"/>
                <w:szCs w:val="20"/>
                <w:lang w:val="en-US"/>
              </w:rPr>
              <w:t>6.6</w:t>
            </w:r>
            <w:r w:rsidR="00FE0456" w:rsidRPr="00E3404E">
              <w:rPr>
                <w:rFonts w:ascii="Times New Roman" w:eastAsia="Calibri" w:hAnsi="Times New Roman" w:cs="Times New Roman"/>
                <w:sz w:val="20"/>
                <w:szCs w:val="20"/>
                <w:lang w:val="en-US"/>
              </w:rPr>
              <w:t xml:space="preserve"> (</w:t>
            </w:r>
            <w:r w:rsidR="00FE0456" w:rsidRPr="00E3404E">
              <w:rPr>
                <w:rFonts w:ascii="Times New Roman" w:eastAsia="Calibri" w:hAnsi="Times New Roman" w:cs="Times New Roman"/>
                <w:color w:val="FFC000"/>
                <w:sz w:val="20"/>
                <w:szCs w:val="20"/>
                <w:lang w:val="en-US"/>
              </w:rPr>
              <w:t>158</w:t>
            </w:r>
            <w:r w:rsidR="005034F0" w:rsidRPr="00E3404E">
              <w:rPr>
                <w:rFonts w:ascii="Times New Roman" w:eastAsia="Calibri" w:hAnsi="Times New Roman" w:cs="Times New Roman"/>
                <w:sz w:val="20"/>
                <w:szCs w:val="20"/>
                <w:lang w:val="en-US"/>
              </w:rPr>
              <w:t>)</w:t>
            </w:r>
          </w:p>
        </w:tc>
        <w:tc>
          <w:tcPr>
            <w:tcW w:w="1984" w:type="dxa"/>
            <w:tcBorders>
              <w:left w:val="nil"/>
              <w:right w:val="nil"/>
            </w:tcBorders>
            <w:vAlign w:val="center"/>
          </w:tcPr>
          <w:p w14:paraId="4A500E3B" w14:textId="7FA5B5BE" w:rsidR="005034F0" w:rsidRPr="00E3404E" w:rsidRDefault="00FE3E1B" w:rsidP="005034F0">
            <w:pPr>
              <w:spacing w:line="360" w:lineRule="auto"/>
              <w:jc w:val="center"/>
              <w:rPr>
                <w:rFonts w:ascii="Times New Roman" w:eastAsia="Calibri" w:hAnsi="Times New Roman" w:cs="Times New Roman"/>
                <w:sz w:val="20"/>
                <w:szCs w:val="20"/>
                <w:lang w:val="en-US"/>
              </w:rPr>
            </w:pPr>
            <w:r w:rsidRPr="00E3404E">
              <w:rPr>
                <w:rFonts w:ascii="Times New Roman" w:eastAsia="Calibri" w:hAnsi="Times New Roman" w:cs="Times New Roman"/>
                <w:color w:val="FFC000"/>
                <w:sz w:val="20"/>
                <w:szCs w:val="20"/>
                <w:lang w:val="en-US"/>
              </w:rPr>
              <w:t>4.9</w:t>
            </w:r>
            <w:r w:rsidR="005034F0" w:rsidRPr="00E3404E">
              <w:rPr>
                <w:rFonts w:ascii="Times New Roman" w:eastAsia="Calibri" w:hAnsi="Times New Roman" w:cs="Times New Roman"/>
                <w:sz w:val="20"/>
                <w:szCs w:val="20"/>
                <w:lang w:val="en-US"/>
              </w:rPr>
              <w:t xml:space="preserve"> (498)</w:t>
            </w:r>
          </w:p>
        </w:tc>
        <w:tc>
          <w:tcPr>
            <w:tcW w:w="1984" w:type="dxa"/>
            <w:tcBorders>
              <w:left w:val="nil"/>
            </w:tcBorders>
            <w:vAlign w:val="center"/>
          </w:tcPr>
          <w:p w14:paraId="7C3EDC53" w14:textId="184849BB" w:rsidR="005034F0" w:rsidRPr="00E3404E" w:rsidRDefault="00E3404E" w:rsidP="005034F0">
            <w:pPr>
              <w:spacing w:line="360" w:lineRule="auto"/>
              <w:jc w:val="center"/>
              <w:rPr>
                <w:rFonts w:ascii="Times New Roman" w:eastAsia="Calibri" w:hAnsi="Times New Roman" w:cs="Times New Roman"/>
                <w:sz w:val="20"/>
                <w:szCs w:val="20"/>
                <w:lang w:val="en-US"/>
              </w:rPr>
            </w:pPr>
            <w:r w:rsidRPr="00E3404E">
              <w:rPr>
                <w:rFonts w:ascii="Times New Roman" w:eastAsia="Calibri" w:hAnsi="Times New Roman" w:cs="Times New Roman"/>
                <w:color w:val="FFC000"/>
                <w:sz w:val="20"/>
                <w:szCs w:val="20"/>
                <w:lang w:val="en-US"/>
              </w:rPr>
              <w:t>6.1</w:t>
            </w:r>
            <w:r w:rsidR="005034F0" w:rsidRPr="00E3404E">
              <w:rPr>
                <w:rFonts w:ascii="Times New Roman" w:eastAsia="Calibri" w:hAnsi="Times New Roman" w:cs="Times New Roman"/>
                <w:sz w:val="20"/>
                <w:szCs w:val="20"/>
                <w:lang w:val="en-US"/>
              </w:rPr>
              <w:t xml:space="preserve"> (884)</w:t>
            </w:r>
          </w:p>
        </w:tc>
      </w:tr>
      <w:tr w:rsidR="006A2CD7" w:rsidRPr="001C42B4" w14:paraId="30F199CC" w14:textId="77777777" w:rsidTr="007D77D4">
        <w:trPr>
          <w:jc w:val="center"/>
        </w:trPr>
        <w:tc>
          <w:tcPr>
            <w:tcW w:w="11476" w:type="dxa"/>
            <w:gridSpan w:val="5"/>
          </w:tcPr>
          <w:p w14:paraId="52C1EC2F" w14:textId="77777777" w:rsidR="006A2CD7" w:rsidRPr="008F5133" w:rsidRDefault="006A2CD7" w:rsidP="007D77D4">
            <w:pPr>
              <w:spacing w:line="360" w:lineRule="auto"/>
              <w:rPr>
                <w:rFonts w:ascii="Times New Roman" w:eastAsia="Calibri" w:hAnsi="Times New Roman" w:cs="Times New Roman"/>
                <w:sz w:val="20"/>
                <w:szCs w:val="20"/>
                <w:lang w:val="en-US"/>
              </w:rPr>
            </w:pPr>
            <w:r w:rsidRPr="008F5133">
              <w:rPr>
                <w:rFonts w:ascii="Times New Roman" w:eastAsia="Calibri" w:hAnsi="Times New Roman" w:cs="Times New Roman"/>
                <w:sz w:val="20"/>
                <w:szCs w:val="20"/>
                <w:lang w:val="en-US"/>
              </w:rPr>
              <w:t>Abbreviations: EHRA classification: Evaluated Heartvalves, Rheumatic or Artificial valve classification, OAC: Oral anticoagulation, VHD: Valvular heart disease.</w:t>
            </w:r>
          </w:p>
          <w:p w14:paraId="748EB8D0" w14:textId="77777777" w:rsidR="006A2CD7" w:rsidRPr="008F5133" w:rsidRDefault="006A2CD7" w:rsidP="007D77D4">
            <w:pPr>
              <w:spacing w:line="360" w:lineRule="auto"/>
              <w:rPr>
                <w:rFonts w:ascii="Times New Roman" w:eastAsia="Calibri" w:hAnsi="Times New Roman" w:cs="Times New Roman"/>
                <w:sz w:val="20"/>
                <w:szCs w:val="20"/>
                <w:lang w:val="en-US"/>
              </w:rPr>
            </w:pPr>
            <w:r>
              <w:rPr>
                <w:rFonts w:ascii="Open Sans" w:hAnsi="Open Sans" w:cs="Arial"/>
                <w:color w:val="1C1D1E"/>
                <w:sz w:val="21"/>
                <w:szCs w:val="21"/>
                <w:lang w:val="en"/>
              </w:rPr>
              <w:t>†</w:t>
            </w:r>
            <w:r w:rsidRPr="008F5133">
              <w:rPr>
                <w:rFonts w:ascii="Times New Roman" w:eastAsia="Calibri" w:hAnsi="Times New Roman" w:cs="Times New Roman"/>
                <w:sz w:val="20"/>
                <w:szCs w:val="20"/>
                <w:lang w:val="en-US"/>
              </w:rPr>
              <w:t>Calculated using the Aalen-Johansen estimator taking competing risk of death into consideration.</w:t>
            </w:r>
          </w:p>
          <w:p w14:paraId="2254F96D" w14:textId="77777777" w:rsidR="006A2CD7" w:rsidRPr="008F5133" w:rsidRDefault="006A2CD7" w:rsidP="007D77D4">
            <w:pPr>
              <w:spacing w:line="360" w:lineRule="auto"/>
              <w:rPr>
                <w:rFonts w:ascii="Times New Roman" w:eastAsia="Calibri" w:hAnsi="Times New Roman" w:cs="Times New Roman"/>
                <w:sz w:val="20"/>
                <w:szCs w:val="20"/>
                <w:lang w:val="en-US"/>
              </w:rPr>
            </w:pPr>
            <w:r>
              <w:rPr>
                <w:rFonts w:ascii="Open Sans" w:hAnsi="Open Sans" w:cs="Arial"/>
                <w:color w:val="1C1D1E"/>
                <w:sz w:val="21"/>
                <w:szCs w:val="21"/>
                <w:lang w:val="en"/>
              </w:rPr>
              <w:t>‡</w:t>
            </w:r>
            <w:r w:rsidRPr="008F5133">
              <w:rPr>
                <w:rFonts w:ascii="Times New Roman" w:eastAsia="Calibri" w:hAnsi="Times New Roman" w:cs="Times New Roman"/>
                <w:sz w:val="20"/>
                <w:szCs w:val="20"/>
                <w:lang w:val="en-US"/>
              </w:rPr>
              <w:t>Defined as intracranial bleeding, gastrointestinal bleeding, or major clinically relevant bleeding located elsewhere.</w:t>
            </w:r>
          </w:p>
        </w:tc>
      </w:tr>
    </w:tbl>
    <w:p w14:paraId="165E43B6" w14:textId="69F2920F" w:rsidR="006A2CD7" w:rsidRDefault="006A2CD7">
      <w:pPr>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B48140" w14:textId="77777777" w:rsidR="006A2CD7" w:rsidRPr="00803215" w:rsidRDefault="006A2CD7" w:rsidP="006A2CD7">
      <w:pPr>
        <w:spacing w:after="0" w:line="480" w:lineRule="auto"/>
        <w:rPr>
          <w:rFonts w:ascii="Times New Roman" w:eastAsia="Calibri" w:hAnsi="Times New Roman" w:cs="Times New Roman"/>
          <w:sz w:val="24"/>
          <w:szCs w:val="24"/>
          <w:lang w:val="en-US"/>
        </w:rPr>
      </w:pPr>
      <w:r w:rsidRPr="004F47F2">
        <w:rPr>
          <w:rFonts w:ascii="Times New Roman" w:eastAsia="Calibri" w:hAnsi="Times New Roman" w:cs="Times New Roman"/>
          <w:b/>
          <w:sz w:val="24"/>
          <w:szCs w:val="24"/>
          <w:lang w:val="en-US"/>
        </w:rPr>
        <w:lastRenderedPageBreak/>
        <w:t>Table 3</w:t>
      </w:r>
      <w:r w:rsidRPr="004F47F2">
        <w:rPr>
          <w:rFonts w:ascii="Times New Roman" w:eastAsia="Calibri" w:hAnsi="Times New Roman" w:cs="Times New Roman"/>
          <w:sz w:val="24"/>
          <w:szCs w:val="24"/>
          <w:lang w:val="en-US"/>
        </w:rPr>
        <w:t xml:space="preserve">. Absolute risk of thromboembolism and major bleeding </w:t>
      </w:r>
      <w:r w:rsidRPr="004F47F2">
        <w:rPr>
          <w:rFonts w:ascii="Times New Roman" w:eastAsia="AdvTimes" w:hAnsi="Times New Roman" w:cs="Times New Roman"/>
          <w:sz w:val="24"/>
          <w:szCs w:val="24"/>
          <w:lang w:val="en-US"/>
        </w:rPr>
        <w:t xml:space="preserve">at 1 year after AF diagnosis </w:t>
      </w:r>
      <w:r w:rsidRPr="004F47F2">
        <w:rPr>
          <w:rFonts w:ascii="Times New Roman" w:eastAsia="Calibri" w:hAnsi="Times New Roman" w:cs="Times New Roman"/>
          <w:sz w:val="24"/>
          <w:szCs w:val="24"/>
          <w:lang w:val="en-US"/>
        </w:rPr>
        <w:t>according to subgroups of EHRA Type 1 VHD and EHRA Type 2 VHD</w:t>
      </w:r>
      <w:r w:rsidRPr="004F47F2">
        <w:rPr>
          <w:rFonts w:ascii="Times New Roman" w:eastAsia="AdvTimes" w:hAnsi="Times New Roman" w:cs="Times New Roman"/>
          <w:sz w:val="24"/>
          <w:szCs w:val="24"/>
          <w:lang w:val="en-US"/>
        </w:rPr>
        <w:t xml:space="preserve"> </w:t>
      </w:r>
      <w:r w:rsidRPr="004F47F2">
        <w:rPr>
          <w:rFonts w:ascii="Times New Roman" w:eastAsia="Calibri" w:hAnsi="Times New Roman" w:cs="Times New Roman"/>
          <w:sz w:val="24"/>
          <w:szCs w:val="24"/>
          <w:lang w:val="en-US"/>
        </w:rPr>
        <w:t>and anticoagulation status at baseline.</w:t>
      </w:r>
    </w:p>
    <w:tbl>
      <w:tblPr>
        <w:tblStyle w:val="Tabel-Gitter"/>
        <w:tblpPr w:leftFromText="141" w:rightFromText="141" w:vertAnchor="text" w:horzAnchor="margin" w:tblpXSpec="center" w:tblpY="70"/>
        <w:tblW w:w="5944" w:type="pct"/>
        <w:tblLayout w:type="fixed"/>
        <w:tblLook w:val="04A0" w:firstRow="1" w:lastRow="0" w:firstColumn="1" w:lastColumn="0" w:noHBand="0" w:noVBand="1"/>
      </w:tblPr>
      <w:tblGrid>
        <w:gridCol w:w="3515"/>
        <w:gridCol w:w="1443"/>
        <w:gridCol w:w="1416"/>
        <w:gridCol w:w="1416"/>
        <w:gridCol w:w="1419"/>
        <w:gridCol w:w="1416"/>
        <w:gridCol w:w="1416"/>
        <w:gridCol w:w="1416"/>
        <w:gridCol w:w="1499"/>
        <w:gridCol w:w="1625"/>
      </w:tblGrid>
      <w:tr w:rsidR="005701A3" w:rsidRPr="00625145" w14:paraId="4612BF73" w14:textId="77777777" w:rsidTr="005701A3">
        <w:tc>
          <w:tcPr>
            <w:tcW w:w="1060" w:type="pct"/>
            <w:tcBorders>
              <w:bottom w:val="single" w:sz="4" w:space="0" w:color="auto"/>
              <w:right w:val="nil"/>
            </w:tcBorders>
          </w:tcPr>
          <w:p w14:paraId="30AB3A37" w14:textId="77777777" w:rsidR="005701A3" w:rsidRPr="00625145" w:rsidRDefault="005701A3" w:rsidP="007D77D4">
            <w:pPr>
              <w:spacing w:before="240" w:line="360" w:lineRule="auto"/>
              <w:rPr>
                <w:rFonts w:ascii="Times New Roman" w:hAnsi="Times New Roman" w:cs="Times New Roman"/>
                <w:i/>
                <w:sz w:val="20"/>
                <w:szCs w:val="20"/>
              </w:rPr>
            </w:pPr>
            <w:r w:rsidRPr="00625145">
              <w:rPr>
                <w:rFonts w:ascii="Times New Roman" w:hAnsi="Times New Roman" w:cs="Times New Roman"/>
                <w:i/>
                <w:sz w:val="20"/>
                <w:szCs w:val="20"/>
              </w:rPr>
              <w:t xml:space="preserve">EHRA </w:t>
            </w:r>
            <w:proofErr w:type="spellStart"/>
            <w:r w:rsidRPr="00625145">
              <w:rPr>
                <w:rFonts w:ascii="Times New Roman" w:hAnsi="Times New Roman" w:cs="Times New Roman"/>
                <w:i/>
                <w:sz w:val="20"/>
                <w:szCs w:val="20"/>
              </w:rPr>
              <w:t>categorization</w:t>
            </w:r>
            <w:proofErr w:type="spellEnd"/>
          </w:p>
        </w:tc>
        <w:tc>
          <w:tcPr>
            <w:tcW w:w="1289" w:type="pct"/>
            <w:gridSpan w:val="3"/>
            <w:tcBorders>
              <w:right w:val="nil"/>
            </w:tcBorders>
          </w:tcPr>
          <w:p w14:paraId="33E5136B" w14:textId="584B7A6D" w:rsidR="005701A3" w:rsidRPr="00625145" w:rsidRDefault="005701A3" w:rsidP="007D77D4">
            <w:pPr>
              <w:spacing w:before="240" w:line="360" w:lineRule="auto"/>
              <w:jc w:val="center"/>
              <w:rPr>
                <w:rFonts w:ascii="Times New Roman" w:hAnsi="Times New Roman" w:cs="Times New Roman"/>
                <w:b/>
                <w:sz w:val="20"/>
                <w:szCs w:val="20"/>
              </w:rPr>
            </w:pPr>
            <w:r w:rsidRPr="00625145">
              <w:rPr>
                <w:rFonts w:ascii="Times New Roman" w:hAnsi="Times New Roman" w:cs="Times New Roman"/>
                <w:b/>
                <w:sz w:val="20"/>
                <w:szCs w:val="20"/>
              </w:rPr>
              <w:t>EHRA Type 1 VHD</w:t>
            </w:r>
          </w:p>
        </w:tc>
        <w:tc>
          <w:tcPr>
            <w:tcW w:w="2651" w:type="pct"/>
            <w:gridSpan w:val="6"/>
            <w:tcBorders>
              <w:left w:val="nil"/>
            </w:tcBorders>
            <w:vAlign w:val="center"/>
          </w:tcPr>
          <w:p w14:paraId="7626B5A0" w14:textId="77777777" w:rsidR="005701A3" w:rsidRPr="00625145" w:rsidRDefault="005701A3" w:rsidP="007D77D4">
            <w:pPr>
              <w:spacing w:before="240" w:line="360" w:lineRule="auto"/>
              <w:jc w:val="center"/>
              <w:rPr>
                <w:rFonts w:ascii="Times New Roman" w:hAnsi="Times New Roman" w:cs="Times New Roman"/>
                <w:b/>
                <w:sz w:val="20"/>
                <w:szCs w:val="20"/>
              </w:rPr>
            </w:pPr>
            <w:r w:rsidRPr="00625145">
              <w:rPr>
                <w:rFonts w:ascii="Times New Roman" w:hAnsi="Times New Roman" w:cs="Times New Roman"/>
                <w:b/>
                <w:sz w:val="20"/>
                <w:szCs w:val="20"/>
              </w:rPr>
              <w:t>EHRA Type 2 VHD</w:t>
            </w:r>
          </w:p>
        </w:tc>
      </w:tr>
      <w:tr w:rsidR="005701A3" w:rsidRPr="00625145" w14:paraId="4E3E9551" w14:textId="77777777" w:rsidTr="005701A3">
        <w:tc>
          <w:tcPr>
            <w:tcW w:w="1060" w:type="pct"/>
            <w:tcBorders>
              <w:bottom w:val="single" w:sz="4" w:space="0" w:color="auto"/>
              <w:right w:val="nil"/>
            </w:tcBorders>
            <w:vAlign w:val="center"/>
          </w:tcPr>
          <w:p w14:paraId="58477039" w14:textId="77777777" w:rsidR="005701A3" w:rsidRPr="00625145" w:rsidRDefault="005701A3" w:rsidP="007D77D4">
            <w:pPr>
              <w:spacing w:line="360" w:lineRule="auto"/>
              <w:rPr>
                <w:rFonts w:ascii="Times New Roman" w:hAnsi="Times New Roman" w:cs="Times New Roman"/>
                <w:i/>
                <w:sz w:val="20"/>
                <w:szCs w:val="20"/>
              </w:rPr>
            </w:pPr>
            <w:proofErr w:type="spellStart"/>
            <w:r w:rsidRPr="00625145">
              <w:rPr>
                <w:rFonts w:ascii="Times New Roman" w:hAnsi="Times New Roman" w:cs="Times New Roman"/>
                <w:i/>
                <w:sz w:val="20"/>
                <w:szCs w:val="20"/>
              </w:rPr>
              <w:t>Valve</w:t>
            </w:r>
            <w:proofErr w:type="spellEnd"/>
            <w:r w:rsidRPr="00625145">
              <w:rPr>
                <w:rFonts w:ascii="Times New Roman" w:hAnsi="Times New Roman" w:cs="Times New Roman"/>
                <w:i/>
                <w:sz w:val="20"/>
                <w:szCs w:val="20"/>
              </w:rPr>
              <w:t xml:space="preserve"> </w:t>
            </w:r>
            <w:proofErr w:type="spellStart"/>
            <w:r w:rsidRPr="00625145">
              <w:rPr>
                <w:rFonts w:ascii="Times New Roman" w:hAnsi="Times New Roman" w:cs="Times New Roman"/>
                <w:i/>
                <w:sz w:val="20"/>
                <w:szCs w:val="20"/>
              </w:rPr>
              <w:t>lesion</w:t>
            </w:r>
            <w:proofErr w:type="spellEnd"/>
            <w:r w:rsidRPr="00625145">
              <w:rPr>
                <w:rFonts w:ascii="Times New Roman" w:hAnsi="Times New Roman" w:cs="Times New Roman"/>
                <w:i/>
                <w:sz w:val="20"/>
                <w:szCs w:val="20"/>
              </w:rPr>
              <w:t>:</w:t>
            </w:r>
          </w:p>
        </w:tc>
        <w:tc>
          <w:tcPr>
            <w:tcW w:w="435" w:type="pct"/>
            <w:tcBorders>
              <w:left w:val="nil"/>
              <w:bottom w:val="single" w:sz="4" w:space="0" w:color="auto"/>
              <w:right w:val="nil"/>
            </w:tcBorders>
          </w:tcPr>
          <w:p w14:paraId="47A9258E" w14:textId="77777777" w:rsidR="005701A3" w:rsidRPr="00625145" w:rsidRDefault="005701A3" w:rsidP="005701A3">
            <w:pPr>
              <w:spacing w:line="360" w:lineRule="auto"/>
              <w:jc w:val="left"/>
              <w:rPr>
                <w:rFonts w:ascii="Times New Roman" w:hAnsi="Times New Roman" w:cs="Times New Roman"/>
                <w:b/>
                <w:sz w:val="20"/>
                <w:szCs w:val="20"/>
              </w:rPr>
            </w:pPr>
            <w:proofErr w:type="spellStart"/>
            <w:r w:rsidRPr="00625145">
              <w:rPr>
                <w:rFonts w:ascii="Times New Roman" w:hAnsi="Times New Roman" w:cs="Times New Roman"/>
                <w:b/>
                <w:sz w:val="20"/>
                <w:szCs w:val="20"/>
              </w:rPr>
              <w:t>Isolated</w:t>
            </w:r>
            <w:proofErr w:type="spellEnd"/>
            <w:r w:rsidRPr="00625145">
              <w:rPr>
                <w:rFonts w:ascii="Times New Roman" w:hAnsi="Times New Roman" w:cs="Times New Roman"/>
                <w:b/>
                <w:sz w:val="20"/>
                <w:szCs w:val="20"/>
              </w:rPr>
              <w:t xml:space="preserve"> </w:t>
            </w:r>
          </w:p>
          <w:p w14:paraId="3F12932D" w14:textId="77777777" w:rsidR="005701A3" w:rsidRPr="00625145" w:rsidRDefault="005701A3" w:rsidP="005701A3">
            <w:pPr>
              <w:spacing w:line="360" w:lineRule="auto"/>
              <w:jc w:val="left"/>
              <w:rPr>
                <w:rFonts w:ascii="Times New Roman" w:hAnsi="Times New Roman" w:cs="Times New Roman"/>
                <w:b/>
                <w:sz w:val="20"/>
                <w:szCs w:val="20"/>
              </w:rPr>
            </w:pPr>
            <w:proofErr w:type="spellStart"/>
            <w:proofErr w:type="gramStart"/>
            <w:r w:rsidRPr="00625145">
              <w:rPr>
                <w:rFonts w:ascii="Times New Roman" w:hAnsi="Times New Roman" w:cs="Times New Roman"/>
                <w:b/>
                <w:sz w:val="20"/>
                <w:szCs w:val="20"/>
              </w:rPr>
              <w:t>mitral</w:t>
            </w:r>
            <w:proofErr w:type="spellEnd"/>
            <w:proofErr w:type="gramEnd"/>
            <w:r w:rsidRPr="00625145">
              <w:rPr>
                <w:rFonts w:ascii="Times New Roman" w:hAnsi="Times New Roman" w:cs="Times New Roman"/>
                <w:b/>
                <w:sz w:val="20"/>
                <w:szCs w:val="20"/>
              </w:rPr>
              <w:t xml:space="preserve"> stenosis</w:t>
            </w:r>
          </w:p>
        </w:tc>
        <w:tc>
          <w:tcPr>
            <w:tcW w:w="427" w:type="pct"/>
            <w:tcBorders>
              <w:left w:val="nil"/>
              <w:bottom w:val="single" w:sz="4" w:space="0" w:color="auto"/>
              <w:right w:val="nil"/>
            </w:tcBorders>
          </w:tcPr>
          <w:p w14:paraId="7EDFA398" w14:textId="40F9867D" w:rsidR="005701A3" w:rsidRPr="005701A3" w:rsidRDefault="005701A3" w:rsidP="005701A3">
            <w:pPr>
              <w:spacing w:line="360" w:lineRule="auto"/>
              <w:jc w:val="left"/>
              <w:rPr>
                <w:rFonts w:ascii="Times New Roman" w:hAnsi="Times New Roman" w:cs="Times New Roman"/>
                <w:b/>
                <w:sz w:val="20"/>
                <w:szCs w:val="20"/>
                <w:lang w:val="en-US"/>
              </w:rPr>
            </w:pPr>
            <w:r w:rsidRPr="005701A3">
              <w:rPr>
                <w:rFonts w:ascii="Times New Roman" w:hAnsi="Times New Roman" w:cs="Times New Roman"/>
                <w:b/>
                <w:sz w:val="20"/>
                <w:szCs w:val="20"/>
                <w:lang w:val="en-US"/>
              </w:rPr>
              <w:t>Mechanical prosthetic aortic valve replacement</w:t>
            </w:r>
          </w:p>
        </w:tc>
        <w:tc>
          <w:tcPr>
            <w:tcW w:w="427" w:type="pct"/>
            <w:tcBorders>
              <w:left w:val="nil"/>
              <w:bottom w:val="single" w:sz="4" w:space="0" w:color="auto"/>
              <w:right w:val="single" w:sz="4" w:space="0" w:color="auto"/>
            </w:tcBorders>
          </w:tcPr>
          <w:p w14:paraId="46A4EFFA" w14:textId="3DFF1F32" w:rsidR="005701A3" w:rsidRPr="005701A3" w:rsidRDefault="005701A3" w:rsidP="005701A3">
            <w:pPr>
              <w:spacing w:line="360" w:lineRule="auto"/>
              <w:jc w:val="left"/>
              <w:rPr>
                <w:rFonts w:ascii="Times New Roman" w:hAnsi="Times New Roman" w:cs="Times New Roman"/>
                <w:b/>
                <w:sz w:val="20"/>
                <w:szCs w:val="20"/>
                <w:lang w:val="en-US"/>
              </w:rPr>
            </w:pPr>
            <w:r w:rsidRPr="005701A3">
              <w:rPr>
                <w:rFonts w:ascii="Times New Roman" w:hAnsi="Times New Roman" w:cs="Times New Roman"/>
                <w:b/>
                <w:sz w:val="20"/>
                <w:szCs w:val="20"/>
                <w:lang w:val="en-US"/>
              </w:rPr>
              <w:t>Mechanical prosthetic mitral</w:t>
            </w:r>
            <w:r>
              <w:rPr>
                <w:rFonts w:ascii="Times New Roman" w:hAnsi="Times New Roman" w:cs="Times New Roman"/>
                <w:b/>
                <w:sz w:val="20"/>
                <w:szCs w:val="20"/>
                <w:lang w:val="en-US"/>
              </w:rPr>
              <w:t xml:space="preserve"> or </w:t>
            </w:r>
            <w:proofErr w:type="spellStart"/>
            <w:r w:rsidRPr="005701A3">
              <w:rPr>
                <w:rFonts w:ascii="Times New Roman" w:hAnsi="Times New Roman" w:cs="Times New Roman"/>
                <w:b/>
                <w:sz w:val="20"/>
                <w:szCs w:val="20"/>
                <w:lang w:val="en-US"/>
              </w:rPr>
              <w:t>mitro</w:t>
            </w:r>
            <w:proofErr w:type="spellEnd"/>
            <w:r w:rsidRPr="005701A3">
              <w:rPr>
                <w:rFonts w:ascii="Times New Roman" w:hAnsi="Times New Roman" w:cs="Times New Roman"/>
                <w:b/>
                <w:sz w:val="20"/>
                <w:szCs w:val="20"/>
                <w:lang w:val="en-US"/>
              </w:rPr>
              <w:t>-aortic valve replacement</w:t>
            </w:r>
          </w:p>
        </w:tc>
        <w:tc>
          <w:tcPr>
            <w:tcW w:w="428" w:type="pct"/>
            <w:tcBorders>
              <w:left w:val="single" w:sz="4" w:space="0" w:color="auto"/>
              <w:bottom w:val="single" w:sz="4" w:space="0" w:color="auto"/>
              <w:right w:val="nil"/>
            </w:tcBorders>
          </w:tcPr>
          <w:p w14:paraId="4097205D" w14:textId="77777777" w:rsidR="005701A3" w:rsidRPr="00625145" w:rsidRDefault="005701A3" w:rsidP="005701A3">
            <w:pPr>
              <w:spacing w:line="360" w:lineRule="auto"/>
              <w:jc w:val="left"/>
              <w:rPr>
                <w:rFonts w:ascii="Times New Roman" w:hAnsi="Times New Roman" w:cs="Times New Roman"/>
                <w:b/>
                <w:sz w:val="20"/>
                <w:szCs w:val="20"/>
              </w:rPr>
            </w:pPr>
            <w:proofErr w:type="spellStart"/>
            <w:r w:rsidRPr="00625145">
              <w:rPr>
                <w:rFonts w:ascii="Times New Roman" w:hAnsi="Times New Roman" w:cs="Times New Roman"/>
                <w:b/>
                <w:sz w:val="20"/>
                <w:szCs w:val="20"/>
              </w:rPr>
              <w:t>Isolated</w:t>
            </w:r>
            <w:proofErr w:type="spellEnd"/>
          </w:p>
          <w:p w14:paraId="00C161C3" w14:textId="77777777" w:rsidR="005701A3" w:rsidRPr="00625145" w:rsidRDefault="005701A3" w:rsidP="005701A3">
            <w:pPr>
              <w:spacing w:line="360" w:lineRule="auto"/>
              <w:jc w:val="left"/>
              <w:rPr>
                <w:rFonts w:ascii="Times New Roman" w:hAnsi="Times New Roman" w:cs="Times New Roman"/>
                <w:b/>
                <w:sz w:val="20"/>
                <w:szCs w:val="20"/>
              </w:rPr>
            </w:pPr>
            <w:proofErr w:type="spellStart"/>
            <w:proofErr w:type="gramStart"/>
            <w:r w:rsidRPr="00625145">
              <w:rPr>
                <w:rFonts w:ascii="Times New Roman" w:hAnsi="Times New Roman" w:cs="Times New Roman"/>
                <w:b/>
                <w:sz w:val="20"/>
                <w:szCs w:val="20"/>
              </w:rPr>
              <w:t>aortic</w:t>
            </w:r>
            <w:proofErr w:type="spellEnd"/>
            <w:proofErr w:type="gramEnd"/>
            <w:r w:rsidRPr="00625145">
              <w:rPr>
                <w:rFonts w:ascii="Times New Roman" w:hAnsi="Times New Roman" w:cs="Times New Roman"/>
                <w:b/>
                <w:sz w:val="20"/>
                <w:szCs w:val="20"/>
              </w:rPr>
              <w:t xml:space="preserve"> </w:t>
            </w:r>
          </w:p>
          <w:p w14:paraId="15D01E61" w14:textId="77777777" w:rsidR="005701A3" w:rsidRPr="00625145" w:rsidRDefault="005701A3" w:rsidP="005701A3">
            <w:pPr>
              <w:spacing w:line="360" w:lineRule="auto"/>
              <w:jc w:val="left"/>
              <w:rPr>
                <w:rFonts w:ascii="Times New Roman" w:hAnsi="Times New Roman" w:cs="Times New Roman"/>
                <w:b/>
                <w:sz w:val="20"/>
                <w:szCs w:val="20"/>
              </w:rPr>
            </w:pPr>
            <w:proofErr w:type="gramStart"/>
            <w:r w:rsidRPr="00625145">
              <w:rPr>
                <w:rFonts w:ascii="Times New Roman" w:hAnsi="Times New Roman" w:cs="Times New Roman"/>
                <w:b/>
                <w:sz w:val="20"/>
                <w:szCs w:val="20"/>
              </w:rPr>
              <w:t>stenosis</w:t>
            </w:r>
            <w:proofErr w:type="gramEnd"/>
          </w:p>
        </w:tc>
        <w:tc>
          <w:tcPr>
            <w:tcW w:w="427" w:type="pct"/>
            <w:tcBorders>
              <w:left w:val="nil"/>
              <w:bottom w:val="single" w:sz="4" w:space="0" w:color="auto"/>
              <w:right w:val="nil"/>
            </w:tcBorders>
          </w:tcPr>
          <w:p w14:paraId="6C2A2CFA" w14:textId="77777777" w:rsidR="005701A3" w:rsidRPr="00625145" w:rsidRDefault="005701A3" w:rsidP="005701A3">
            <w:pPr>
              <w:spacing w:line="360" w:lineRule="auto"/>
              <w:jc w:val="left"/>
              <w:rPr>
                <w:rFonts w:ascii="Times New Roman" w:hAnsi="Times New Roman" w:cs="Times New Roman"/>
                <w:b/>
                <w:sz w:val="20"/>
                <w:szCs w:val="20"/>
              </w:rPr>
            </w:pPr>
            <w:proofErr w:type="spellStart"/>
            <w:r w:rsidRPr="00625145">
              <w:rPr>
                <w:rFonts w:ascii="Times New Roman" w:hAnsi="Times New Roman" w:cs="Times New Roman"/>
                <w:b/>
                <w:sz w:val="20"/>
                <w:szCs w:val="20"/>
              </w:rPr>
              <w:t>Isolated</w:t>
            </w:r>
            <w:proofErr w:type="spellEnd"/>
          </w:p>
          <w:p w14:paraId="290C71F0" w14:textId="77777777" w:rsidR="005701A3" w:rsidRPr="00625145" w:rsidRDefault="005701A3" w:rsidP="005701A3">
            <w:pPr>
              <w:spacing w:line="360" w:lineRule="auto"/>
              <w:jc w:val="left"/>
              <w:rPr>
                <w:rFonts w:ascii="Times New Roman" w:hAnsi="Times New Roman" w:cs="Times New Roman"/>
                <w:b/>
                <w:sz w:val="20"/>
                <w:szCs w:val="20"/>
              </w:rPr>
            </w:pPr>
            <w:proofErr w:type="spellStart"/>
            <w:proofErr w:type="gramStart"/>
            <w:r w:rsidRPr="00625145">
              <w:rPr>
                <w:rFonts w:ascii="Times New Roman" w:hAnsi="Times New Roman" w:cs="Times New Roman"/>
                <w:b/>
                <w:sz w:val="20"/>
                <w:szCs w:val="20"/>
              </w:rPr>
              <w:t>aortic</w:t>
            </w:r>
            <w:proofErr w:type="spellEnd"/>
            <w:proofErr w:type="gramEnd"/>
            <w:r w:rsidRPr="00625145">
              <w:rPr>
                <w:rFonts w:ascii="Times New Roman" w:hAnsi="Times New Roman" w:cs="Times New Roman"/>
                <w:b/>
                <w:sz w:val="20"/>
                <w:szCs w:val="20"/>
              </w:rPr>
              <w:t xml:space="preserve"> </w:t>
            </w:r>
            <w:proofErr w:type="spellStart"/>
            <w:r w:rsidRPr="00625145">
              <w:rPr>
                <w:rFonts w:ascii="Times New Roman" w:hAnsi="Times New Roman" w:cs="Times New Roman"/>
                <w:b/>
                <w:sz w:val="20"/>
                <w:szCs w:val="20"/>
              </w:rPr>
              <w:t>regurgitation</w:t>
            </w:r>
            <w:proofErr w:type="spellEnd"/>
          </w:p>
        </w:tc>
        <w:tc>
          <w:tcPr>
            <w:tcW w:w="427" w:type="pct"/>
            <w:tcBorders>
              <w:left w:val="nil"/>
              <w:bottom w:val="single" w:sz="4" w:space="0" w:color="auto"/>
              <w:right w:val="nil"/>
            </w:tcBorders>
          </w:tcPr>
          <w:p w14:paraId="5D7BD0D6" w14:textId="77777777" w:rsidR="005701A3" w:rsidRPr="00625145" w:rsidRDefault="005701A3" w:rsidP="005701A3">
            <w:pPr>
              <w:spacing w:line="360" w:lineRule="auto"/>
              <w:jc w:val="left"/>
              <w:rPr>
                <w:rFonts w:ascii="Times New Roman" w:hAnsi="Times New Roman" w:cs="Times New Roman"/>
                <w:b/>
                <w:sz w:val="20"/>
                <w:szCs w:val="20"/>
              </w:rPr>
            </w:pPr>
            <w:proofErr w:type="spellStart"/>
            <w:r w:rsidRPr="00625145">
              <w:rPr>
                <w:rFonts w:ascii="Times New Roman" w:hAnsi="Times New Roman" w:cs="Times New Roman"/>
                <w:b/>
                <w:sz w:val="20"/>
                <w:szCs w:val="20"/>
              </w:rPr>
              <w:t>Isolated</w:t>
            </w:r>
            <w:proofErr w:type="spellEnd"/>
          </w:p>
          <w:p w14:paraId="72079AF9" w14:textId="77777777" w:rsidR="005701A3" w:rsidRPr="00625145" w:rsidRDefault="005701A3" w:rsidP="005701A3">
            <w:pPr>
              <w:spacing w:line="360" w:lineRule="auto"/>
              <w:jc w:val="left"/>
              <w:rPr>
                <w:rFonts w:ascii="Times New Roman" w:hAnsi="Times New Roman" w:cs="Times New Roman"/>
                <w:b/>
                <w:sz w:val="20"/>
                <w:szCs w:val="20"/>
              </w:rPr>
            </w:pPr>
            <w:proofErr w:type="spellStart"/>
            <w:proofErr w:type="gramStart"/>
            <w:r w:rsidRPr="00625145">
              <w:rPr>
                <w:rFonts w:ascii="Times New Roman" w:hAnsi="Times New Roman" w:cs="Times New Roman"/>
                <w:b/>
                <w:sz w:val="20"/>
                <w:szCs w:val="20"/>
              </w:rPr>
              <w:t>mitral</w:t>
            </w:r>
            <w:proofErr w:type="spellEnd"/>
            <w:proofErr w:type="gramEnd"/>
            <w:r w:rsidRPr="00625145">
              <w:rPr>
                <w:rFonts w:ascii="Times New Roman" w:hAnsi="Times New Roman" w:cs="Times New Roman"/>
                <w:b/>
                <w:sz w:val="20"/>
                <w:szCs w:val="20"/>
              </w:rPr>
              <w:t xml:space="preserve"> </w:t>
            </w:r>
            <w:proofErr w:type="spellStart"/>
            <w:r w:rsidRPr="00625145">
              <w:rPr>
                <w:rFonts w:ascii="Times New Roman" w:hAnsi="Times New Roman" w:cs="Times New Roman"/>
                <w:b/>
                <w:sz w:val="20"/>
                <w:szCs w:val="20"/>
              </w:rPr>
              <w:t>regurgitation</w:t>
            </w:r>
            <w:proofErr w:type="spellEnd"/>
          </w:p>
        </w:tc>
        <w:tc>
          <w:tcPr>
            <w:tcW w:w="427" w:type="pct"/>
            <w:tcBorders>
              <w:left w:val="nil"/>
              <w:bottom w:val="single" w:sz="4" w:space="0" w:color="auto"/>
              <w:right w:val="nil"/>
            </w:tcBorders>
          </w:tcPr>
          <w:p w14:paraId="28D13E9D" w14:textId="77777777" w:rsidR="005701A3" w:rsidRPr="00625145" w:rsidRDefault="005701A3" w:rsidP="005701A3">
            <w:pPr>
              <w:spacing w:line="360" w:lineRule="auto"/>
              <w:jc w:val="left"/>
              <w:rPr>
                <w:rFonts w:ascii="Times New Roman" w:hAnsi="Times New Roman" w:cs="Times New Roman"/>
                <w:b/>
                <w:sz w:val="20"/>
                <w:szCs w:val="20"/>
              </w:rPr>
            </w:pPr>
            <w:r w:rsidRPr="00625145">
              <w:rPr>
                <w:rFonts w:ascii="Times New Roman" w:hAnsi="Times New Roman" w:cs="Times New Roman"/>
                <w:b/>
                <w:sz w:val="20"/>
                <w:szCs w:val="20"/>
              </w:rPr>
              <w:t xml:space="preserve">Bioprosthetic </w:t>
            </w:r>
            <w:proofErr w:type="spellStart"/>
            <w:r w:rsidRPr="00625145">
              <w:rPr>
                <w:rFonts w:ascii="Times New Roman" w:hAnsi="Times New Roman" w:cs="Times New Roman"/>
                <w:b/>
                <w:sz w:val="20"/>
                <w:szCs w:val="20"/>
              </w:rPr>
              <w:t>aortic</w:t>
            </w:r>
            <w:proofErr w:type="spellEnd"/>
            <w:r w:rsidRPr="00625145">
              <w:rPr>
                <w:rFonts w:ascii="Times New Roman" w:hAnsi="Times New Roman" w:cs="Times New Roman"/>
                <w:b/>
                <w:sz w:val="20"/>
                <w:szCs w:val="20"/>
              </w:rPr>
              <w:t xml:space="preserve"> </w:t>
            </w:r>
            <w:proofErr w:type="spellStart"/>
            <w:r w:rsidRPr="00625145">
              <w:rPr>
                <w:rFonts w:ascii="Times New Roman" w:hAnsi="Times New Roman" w:cs="Times New Roman"/>
                <w:b/>
                <w:sz w:val="20"/>
                <w:szCs w:val="20"/>
              </w:rPr>
              <w:t>valve</w:t>
            </w:r>
            <w:proofErr w:type="spellEnd"/>
            <w:r w:rsidRPr="00625145">
              <w:rPr>
                <w:rFonts w:ascii="Times New Roman" w:hAnsi="Times New Roman" w:cs="Times New Roman"/>
                <w:b/>
                <w:sz w:val="20"/>
                <w:szCs w:val="20"/>
              </w:rPr>
              <w:t xml:space="preserve"> </w:t>
            </w:r>
            <w:proofErr w:type="spellStart"/>
            <w:r w:rsidRPr="00625145">
              <w:rPr>
                <w:rFonts w:ascii="Times New Roman" w:hAnsi="Times New Roman" w:cs="Times New Roman"/>
                <w:b/>
                <w:sz w:val="20"/>
                <w:szCs w:val="20"/>
              </w:rPr>
              <w:t>replacement</w:t>
            </w:r>
            <w:proofErr w:type="spellEnd"/>
          </w:p>
        </w:tc>
        <w:tc>
          <w:tcPr>
            <w:tcW w:w="452" w:type="pct"/>
            <w:tcBorders>
              <w:left w:val="nil"/>
              <w:bottom w:val="single" w:sz="4" w:space="0" w:color="auto"/>
              <w:right w:val="nil"/>
            </w:tcBorders>
          </w:tcPr>
          <w:p w14:paraId="7E5BE61F" w14:textId="77777777" w:rsidR="005701A3" w:rsidRPr="00625145" w:rsidRDefault="005701A3" w:rsidP="005701A3">
            <w:pPr>
              <w:spacing w:line="360" w:lineRule="auto"/>
              <w:jc w:val="left"/>
              <w:rPr>
                <w:rFonts w:ascii="Times New Roman" w:hAnsi="Times New Roman" w:cs="Times New Roman"/>
                <w:b/>
                <w:sz w:val="20"/>
                <w:szCs w:val="20"/>
              </w:rPr>
            </w:pPr>
            <w:r w:rsidRPr="00625145">
              <w:rPr>
                <w:rFonts w:ascii="Times New Roman" w:hAnsi="Times New Roman" w:cs="Times New Roman"/>
                <w:b/>
                <w:sz w:val="20"/>
                <w:szCs w:val="20"/>
              </w:rPr>
              <w:t xml:space="preserve">Bioprosthetic </w:t>
            </w:r>
            <w:proofErr w:type="spellStart"/>
            <w:r w:rsidRPr="00625145">
              <w:rPr>
                <w:rFonts w:ascii="Times New Roman" w:hAnsi="Times New Roman" w:cs="Times New Roman"/>
                <w:b/>
                <w:sz w:val="20"/>
                <w:szCs w:val="20"/>
              </w:rPr>
              <w:t>mitral</w:t>
            </w:r>
            <w:proofErr w:type="spellEnd"/>
            <w:r w:rsidRPr="00625145">
              <w:rPr>
                <w:rFonts w:ascii="Times New Roman" w:hAnsi="Times New Roman" w:cs="Times New Roman"/>
                <w:b/>
                <w:sz w:val="20"/>
                <w:szCs w:val="20"/>
              </w:rPr>
              <w:t xml:space="preserve"> </w:t>
            </w:r>
            <w:proofErr w:type="spellStart"/>
            <w:r w:rsidRPr="00625145">
              <w:rPr>
                <w:rFonts w:ascii="Times New Roman" w:hAnsi="Times New Roman" w:cs="Times New Roman"/>
                <w:b/>
                <w:sz w:val="20"/>
                <w:szCs w:val="20"/>
              </w:rPr>
              <w:t>valve</w:t>
            </w:r>
            <w:proofErr w:type="spellEnd"/>
            <w:r w:rsidRPr="00625145">
              <w:rPr>
                <w:rFonts w:ascii="Times New Roman" w:hAnsi="Times New Roman" w:cs="Times New Roman"/>
                <w:b/>
                <w:sz w:val="20"/>
                <w:szCs w:val="20"/>
              </w:rPr>
              <w:t xml:space="preserve"> </w:t>
            </w:r>
            <w:proofErr w:type="spellStart"/>
            <w:r w:rsidRPr="00625145">
              <w:rPr>
                <w:rFonts w:ascii="Times New Roman" w:hAnsi="Times New Roman" w:cs="Times New Roman"/>
                <w:b/>
                <w:sz w:val="20"/>
                <w:szCs w:val="20"/>
              </w:rPr>
              <w:t>replacement</w:t>
            </w:r>
            <w:proofErr w:type="spellEnd"/>
            <w:r>
              <w:rPr>
                <w:rFonts w:ascii="Open Sans" w:hAnsi="Open Sans" w:cs="Arial"/>
                <w:color w:val="1C1D1E"/>
                <w:sz w:val="21"/>
                <w:szCs w:val="21"/>
                <w:lang w:val="en"/>
              </w:rPr>
              <w:t>§</w:t>
            </w:r>
          </w:p>
        </w:tc>
        <w:tc>
          <w:tcPr>
            <w:tcW w:w="490" w:type="pct"/>
            <w:tcBorders>
              <w:left w:val="nil"/>
              <w:bottom w:val="single" w:sz="4" w:space="0" w:color="auto"/>
            </w:tcBorders>
          </w:tcPr>
          <w:p w14:paraId="26983258" w14:textId="77777777" w:rsidR="005701A3" w:rsidRPr="00625145" w:rsidRDefault="005701A3" w:rsidP="005701A3">
            <w:pPr>
              <w:spacing w:line="360" w:lineRule="auto"/>
              <w:jc w:val="left"/>
              <w:rPr>
                <w:rFonts w:ascii="Times New Roman" w:hAnsi="Times New Roman" w:cs="Times New Roman"/>
                <w:b/>
                <w:sz w:val="20"/>
                <w:szCs w:val="20"/>
              </w:rPr>
            </w:pPr>
            <w:proofErr w:type="spellStart"/>
            <w:r w:rsidRPr="00625145">
              <w:rPr>
                <w:rFonts w:ascii="Times New Roman" w:hAnsi="Times New Roman" w:cs="Times New Roman"/>
                <w:b/>
                <w:sz w:val="20"/>
                <w:szCs w:val="20"/>
              </w:rPr>
              <w:t>Other</w:t>
            </w:r>
            <w:proofErr w:type="spellEnd"/>
          </w:p>
          <w:p w14:paraId="37D00FD8" w14:textId="77777777" w:rsidR="005701A3" w:rsidRPr="00625145" w:rsidRDefault="005701A3" w:rsidP="005701A3">
            <w:pPr>
              <w:spacing w:line="360" w:lineRule="auto"/>
              <w:jc w:val="left"/>
              <w:rPr>
                <w:rFonts w:ascii="Times New Roman" w:hAnsi="Times New Roman" w:cs="Times New Roman"/>
                <w:b/>
                <w:sz w:val="20"/>
                <w:szCs w:val="20"/>
              </w:rPr>
            </w:pPr>
            <w:proofErr w:type="spellStart"/>
            <w:proofErr w:type="gramStart"/>
            <w:r w:rsidRPr="00625145">
              <w:rPr>
                <w:rFonts w:ascii="Times New Roman" w:hAnsi="Times New Roman" w:cs="Times New Roman"/>
                <w:b/>
                <w:sz w:val="20"/>
                <w:szCs w:val="20"/>
              </w:rPr>
              <w:t>valve</w:t>
            </w:r>
            <w:proofErr w:type="spellEnd"/>
            <w:proofErr w:type="gramEnd"/>
          </w:p>
          <w:p w14:paraId="43FC9BF3" w14:textId="77777777" w:rsidR="005701A3" w:rsidRPr="00625145" w:rsidRDefault="005701A3" w:rsidP="005701A3">
            <w:pPr>
              <w:spacing w:line="360" w:lineRule="auto"/>
              <w:jc w:val="left"/>
              <w:rPr>
                <w:rFonts w:ascii="Times New Roman" w:hAnsi="Times New Roman" w:cs="Times New Roman"/>
                <w:b/>
                <w:sz w:val="20"/>
                <w:szCs w:val="20"/>
              </w:rPr>
            </w:pPr>
            <w:proofErr w:type="spellStart"/>
            <w:proofErr w:type="gramStart"/>
            <w:r w:rsidRPr="00625145">
              <w:rPr>
                <w:rFonts w:ascii="Times New Roman" w:hAnsi="Times New Roman" w:cs="Times New Roman"/>
                <w:b/>
                <w:sz w:val="20"/>
                <w:szCs w:val="20"/>
              </w:rPr>
              <w:t>disease</w:t>
            </w:r>
            <w:proofErr w:type="spellEnd"/>
            <w:proofErr w:type="gramEnd"/>
            <w:r w:rsidRPr="00625145">
              <w:rPr>
                <w:rFonts w:ascii="Times New Roman" w:hAnsi="Times New Roman" w:cs="Times New Roman"/>
                <w:b/>
                <w:sz w:val="20"/>
                <w:szCs w:val="20"/>
              </w:rPr>
              <w:t>/</w:t>
            </w:r>
          </w:p>
          <w:p w14:paraId="4CF781E2" w14:textId="77777777" w:rsidR="005701A3" w:rsidRPr="00625145" w:rsidRDefault="005701A3" w:rsidP="005701A3">
            <w:pPr>
              <w:spacing w:line="360" w:lineRule="auto"/>
              <w:jc w:val="left"/>
              <w:rPr>
                <w:rFonts w:ascii="Times New Roman" w:hAnsi="Times New Roman" w:cs="Times New Roman"/>
                <w:b/>
                <w:sz w:val="20"/>
                <w:szCs w:val="20"/>
              </w:rPr>
            </w:pPr>
            <w:proofErr w:type="gramStart"/>
            <w:r w:rsidRPr="00625145">
              <w:rPr>
                <w:rFonts w:ascii="Times New Roman" w:hAnsi="Times New Roman" w:cs="Times New Roman"/>
                <w:b/>
                <w:sz w:val="20"/>
                <w:szCs w:val="20"/>
              </w:rPr>
              <w:t>procedure</w:t>
            </w:r>
            <w:proofErr w:type="gramEnd"/>
            <w:r>
              <w:rPr>
                <w:rFonts w:ascii="Open Sans" w:hAnsi="Open Sans" w:cs="Arial"/>
                <w:color w:val="1C1D1E"/>
                <w:sz w:val="21"/>
                <w:szCs w:val="21"/>
                <w:lang w:val="en"/>
              </w:rPr>
              <w:t>¶</w:t>
            </w:r>
          </w:p>
        </w:tc>
      </w:tr>
      <w:tr w:rsidR="005701A3" w:rsidRPr="00625145" w14:paraId="60E2FD52" w14:textId="77777777" w:rsidTr="005701A3">
        <w:tc>
          <w:tcPr>
            <w:tcW w:w="5000" w:type="pct"/>
            <w:gridSpan w:val="10"/>
            <w:tcBorders>
              <w:right w:val="single" w:sz="4" w:space="0" w:color="auto"/>
            </w:tcBorders>
          </w:tcPr>
          <w:p w14:paraId="51F31293" w14:textId="6493FD25" w:rsidR="005701A3" w:rsidRPr="00803215" w:rsidRDefault="005701A3" w:rsidP="007D77D4">
            <w:pPr>
              <w:spacing w:line="360" w:lineRule="auto"/>
              <w:rPr>
                <w:rFonts w:ascii="Times New Roman" w:hAnsi="Times New Roman" w:cs="Times New Roman"/>
                <w:b/>
                <w:sz w:val="20"/>
                <w:szCs w:val="20"/>
                <w:lang w:val="en-US"/>
              </w:rPr>
            </w:pPr>
            <w:r w:rsidRPr="00803215">
              <w:rPr>
                <w:rFonts w:ascii="Times New Roman" w:hAnsi="Times New Roman" w:cs="Times New Roman"/>
                <w:b/>
                <w:sz w:val="20"/>
                <w:szCs w:val="20"/>
                <w:lang w:val="en-US"/>
              </w:rPr>
              <w:t>Absol</w:t>
            </w:r>
            <w:r>
              <w:rPr>
                <w:rFonts w:ascii="Times New Roman" w:hAnsi="Times New Roman" w:cs="Times New Roman"/>
                <w:b/>
                <w:sz w:val="20"/>
                <w:szCs w:val="20"/>
                <w:lang w:val="en-US"/>
              </w:rPr>
              <w:t>ute risk at 1 year of follow-up</w:t>
            </w:r>
            <w:r>
              <w:rPr>
                <w:rFonts w:ascii="Open Sans" w:hAnsi="Open Sans" w:cs="Arial"/>
                <w:color w:val="1C1D1E"/>
                <w:sz w:val="21"/>
                <w:szCs w:val="21"/>
                <w:lang w:val="en"/>
              </w:rPr>
              <w:t>†</w:t>
            </w:r>
            <w:r w:rsidRPr="00803215">
              <w:rPr>
                <w:rFonts w:ascii="Times New Roman" w:hAnsi="Times New Roman" w:cs="Times New Roman"/>
                <w:b/>
                <w:sz w:val="20"/>
                <w:szCs w:val="20"/>
                <w:lang w:val="en-US"/>
              </w:rPr>
              <w:t xml:space="preserve">, </w:t>
            </w:r>
          </w:p>
          <w:p w14:paraId="751C7C8C" w14:textId="77777777" w:rsidR="005701A3" w:rsidRPr="00625145" w:rsidRDefault="005701A3" w:rsidP="007D77D4">
            <w:pPr>
              <w:spacing w:line="360" w:lineRule="auto"/>
              <w:rPr>
                <w:rFonts w:ascii="Times New Roman" w:hAnsi="Times New Roman" w:cs="Times New Roman"/>
                <w:b/>
                <w:sz w:val="20"/>
                <w:szCs w:val="20"/>
              </w:rPr>
            </w:pPr>
            <w:r w:rsidRPr="00625145">
              <w:rPr>
                <w:rFonts w:ascii="Times New Roman" w:hAnsi="Times New Roman" w:cs="Times New Roman"/>
                <w:b/>
                <w:sz w:val="20"/>
                <w:szCs w:val="20"/>
              </w:rPr>
              <w:t>% (</w:t>
            </w:r>
            <w:proofErr w:type="spellStart"/>
            <w:r w:rsidRPr="00625145">
              <w:rPr>
                <w:rFonts w:ascii="Times New Roman" w:hAnsi="Times New Roman" w:cs="Times New Roman"/>
                <w:b/>
                <w:sz w:val="20"/>
                <w:szCs w:val="20"/>
              </w:rPr>
              <w:t>number</w:t>
            </w:r>
            <w:proofErr w:type="spellEnd"/>
            <w:r w:rsidRPr="00625145">
              <w:rPr>
                <w:rFonts w:ascii="Times New Roman" w:hAnsi="Times New Roman" w:cs="Times New Roman"/>
                <w:b/>
                <w:sz w:val="20"/>
                <w:szCs w:val="20"/>
              </w:rPr>
              <w:t xml:space="preserve"> of events)</w:t>
            </w:r>
          </w:p>
        </w:tc>
      </w:tr>
      <w:tr w:rsidR="005701A3" w:rsidRPr="00625145" w14:paraId="078A7FE5" w14:textId="77777777" w:rsidTr="005701A3">
        <w:tc>
          <w:tcPr>
            <w:tcW w:w="1060" w:type="pct"/>
            <w:tcBorders>
              <w:right w:val="nil"/>
            </w:tcBorders>
          </w:tcPr>
          <w:p w14:paraId="7F1D135E" w14:textId="77777777" w:rsidR="005701A3" w:rsidRPr="00803215" w:rsidRDefault="005701A3" w:rsidP="007D77D4">
            <w:pPr>
              <w:spacing w:line="360" w:lineRule="auto"/>
              <w:rPr>
                <w:rFonts w:ascii="Times New Roman" w:hAnsi="Times New Roman" w:cs="Times New Roman"/>
                <w:b/>
                <w:sz w:val="20"/>
                <w:szCs w:val="20"/>
                <w:u w:val="single"/>
                <w:lang w:val="en-US"/>
              </w:rPr>
            </w:pPr>
            <w:r w:rsidRPr="00803215">
              <w:rPr>
                <w:rFonts w:ascii="Times New Roman" w:hAnsi="Times New Roman" w:cs="Times New Roman"/>
                <w:b/>
                <w:sz w:val="20"/>
                <w:szCs w:val="20"/>
                <w:u w:val="single"/>
                <w:lang w:val="en-US"/>
              </w:rPr>
              <w:t xml:space="preserve">No OAC therapy </w:t>
            </w:r>
            <w:r w:rsidRPr="00803215">
              <w:rPr>
                <w:rFonts w:ascii="Times New Roman" w:hAnsi="Times New Roman" w:cs="Times New Roman"/>
                <w:sz w:val="20"/>
                <w:szCs w:val="20"/>
                <w:lang w:val="en-US"/>
              </w:rPr>
              <w:t>(number of patients)</w:t>
            </w:r>
          </w:p>
        </w:tc>
        <w:tc>
          <w:tcPr>
            <w:tcW w:w="435" w:type="pct"/>
            <w:tcBorders>
              <w:left w:val="nil"/>
              <w:right w:val="nil"/>
            </w:tcBorders>
          </w:tcPr>
          <w:p w14:paraId="197D0286"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(296)</w:t>
            </w:r>
          </w:p>
        </w:tc>
        <w:tc>
          <w:tcPr>
            <w:tcW w:w="427" w:type="pct"/>
            <w:tcBorders>
              <w:left w:val="nil"/>
              <w:right w:val="nil"/>
            </w:tcBorders>
          </w:tcPr>
          <w:p w14:paraId="5355140B" w14:textId="1153EC58"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 xml:space="preserve">  -</w:t>
            </w:r>
          </w:p>
        </w:tc>
        <w:tc>
          <w:tcPr>
            <w:tcW w:w="427" w:type="pct"/>
            <w:tcBorders>
              <w:left w:val="nil"/>
              <w:right w:val="single" w:sz="4" w:space="0" w:color="auto"/>
            </w:tcBorders>
          </w:tcPr>
          <w:p w14:paraId="6BD68E71" w14:textId="2CC9C346"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 xml:space="preserve">   -</w:t>
            </w:r>
          </w:p>
        </w:tc>
        <w:tc>
          <w:tcPr>
            <w:tcW w:w="428" w:type="pct"/>
            <w:tcBorders>
              <w:left w:val="single" w:sz="4" w:space="0" w:color="auto"/>
              <w:right w:val="nil"/>
            </w:tcBorders>
            <w:vAlign w:val="bottom"/>
          </w:tcPr>
          <w:p w14:paraId="212374FF"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(5,060)</w:t>
            </w:r>
          </w:p>
        </w:tc>
        <w:tc>
          <w:tcPr>
            <w:tcW w:w="427" w:type="pct"/>
            <w:tcBorders>
              <w:left w:val="nil"/>
              <w:right w:val="nil"/>
            </w:tcBorders>
            <w:vAlign w:val="bottom"/>
          </w:tcPr>
          <w:p w14:paraId="684C1C7F"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(1,527)</w:t>
            </w:r>
          </w:p>
        </w:tc>
        <w:tc>
          <w:tcPr>
            <w:tcW w:w="427" w:type="pct"/>
            <w:tcBorders>
              <w:left w:val="nil"/>
              <w:right w:val="nil"/>
            </w:tcBorders>
            <w:vAlign w:val="bottom"/>
          </w:tcPr>
          <w:p w14:paraId="4AEE2760"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(2,448)</w:t>
            </w:r>
          </w:p>
        </w:tc>
        <w:tc>
          <w:tcPr>
            <w:tcW w:w="427" w:type="pct"/>
            <w:tcBorders>
              <w:left w:val="nil"/>
              <w:right w:val="nil"/>
            </w:tcBorders>
            <w:vAlign w:val="bottom"/>
          </w:tcPr>
          <w:p w14:paraId="2D6975A7"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(1,529)</w:t>
            </w:r>
          </w:p>
        </w:tc>
        <w:tc>
          <w:tcPr>
            <w:tcW w:w="452" w:type="pct"/>
            <w:tcBorders>
              <w:left w:val="nil"/>
              <w:right w:val="nil"/>
            </w:tcBorders>
            <w:vAlign w:val="bottom"/>
          </w:tcPr>
          <w:p w14:paraId="41D35119"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(119)</w:t>
            </w:r>
          </w:p>
        </w:tc>
        <w:tc>
          <w:tcPr>
            <w:tcW w:w="490" w:type="pct"/>
            <w:tcBorders>
              <w:left w:val="nil"/>
            </w:tcBorders>
            <w:vAlign w:val="bottom"/>
          </w:tcPr>
          <w:p w14:paraId="62DB0638" w14:textId="77777777" w:rsidR="005701A3" w:rsidRPr="00E3404E" w:rsidRDefault="005701A3" w:rsidP="007D77D4">
            <w:pPr>
              <w:spacing w:line="360" w:lineRule="auto"/>
              <w:rPr>
                <w:rFonts w:ascii="Times New Roman" w:hAnsi="Times New Roman" w:cs="Times New Roman"/>
                <w:sz w:val="20"/>
                <w:szCs w:val="20"/>
              </w:rPr>
            </w:pPr>
            <w:r w:rsidRPr="00E3404E">
              <w:rPr>
                <w:rFonts w:ascii="Times New Roman" w:hAnsi="Times New Roman" w:cs="Times New Roman"/>
                <w:sz w:val="20"/>
                <w:szCs w:val="20"/>
              </w:rPr>
              <w:t>(773)</w:t>
            </w:r>
          </w:p>
        </w:tc>
      </w:tr>
      <w:tr w:rsidR="005034F0" w:rsidRPr="00E3404E" w14:paraId="620C017D" w14:textId="77777777" w:rsidTr="005701A3">
        <w:tc>
          <w:tcPr>
            <w:tcW w:w="1060" w:type="pct"/>
            <w:tcBorders>
              <w:right w:val="nil"/>
            </w:tcBorders>
          </w:tcPr>
          <w:p w14:paraId="675916BB" w14:textId="77777777" w:rsidR="005034F0" w:rsidRPr="00625145" w:rsidRDefault="005034F0" w:rsidP="005034F0">
            <w:pPr>
              <w:spacing w:line="360" w:lineRule="auto"/>
              <w:rPr>
                <w:rFonts w:ascii="Times New Roman" w:hAnsi="Times New Roman" w:cs="Times New Roman"/>
                <w:sz w:val="20"/>
                <w:szCs w:val="20"/>
              </w:rPr>
            </w:pPr>
            <w:proofErr w:type="spellStart"/>
            <w:r w:rsidRPr="00625145">
              <w:rPr>
                <w:rFonts w:ascii="Times New Roman" w:hAnsi="Times New Roman" w:cs="Times New Roman"/>
                <w:sz w:val="20"/>
                <w:szCs w:val="20"/>
              </w:rPr>
              <w:t>Thromboembolic</w:t>
            </w:r>
            <w:proofErr w:type="spellEnd"/>
            <w:r w:rsidRPr="00625145">
              <w:rPr>
                <w:rFonts w:ascii="Times New Roman" w:hAnsi="Times New Roman" w:cs="Times New Roman"/>
                <w:sz w:val="20"/>
                <w:szCs w:val="20"/>
              </w:rPr>
              <w:t xml:space="preserve"> event</w:t>
            </w:r>
          </w:p>
        </w:tc>
        <w:tc>
          <w:tcPr>
            <w:tcW w:w="435" w:type="pct"/>
            <w:tcBorders>
              <w:left w:val="nil"/>
              <w:right w:val="nil"/>
            </w:tcBorders>
          </w:tcPr>
          <w:p w14:paraId="5FC9FA05" w14:textId="58BCBF24" w:rsidR="005034F0" w:rsidRPr="00E3404E" w:rsidRDefault="00E3404E"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4.9</w:t>
            </w:r>
            <w:r w:rsidR="00BA0F29" w:rsidRPr="00E3404E">
              <w:rPr>
                <w:rFonts w:ascii="Times New Roman" w:hAnsi="Times New Roman" w:cs="Times New Roman"/>
                <w:sz w:val="20"/>
                <w:szCs w:val="20"/>
              </w:rPr>
              <w:t xml:space="preserve"> </w:t>
            </w:r>
            <w:r w:rsidR="005034F0" w:rsidRPr="00E3404E">
              <w:rPr>
                <w:rFonts w:ascii="Times New Roman" w:hAnsi="Times New Roman" w:cs="Times New Roman"/>
                <w:sz w:val="20"/>
                <w:szCs w:val="20"/>
              </w:rPr>
              <w:t>(</w:t>
            </w:r>
            <w:r w:rsidR="005034F0" w:rsidRPr="00E3404E">
              <w:rPr>
                <w:rFonts w:ascii="Times New Roman" w:hAnsi="Times New Roman" w:cs="Times New Roman"/>
                <w:color w:val="FFC000"/>
                <w:sz w:val="20"/>
                <w:szCs w:val="20"/>
              </w:rPr>
              <w:t>13</w:t>
            </w:r>
            <w:r w:rsidR="005034F0" w:rsidRPr="00E3404E">
              <w:rPr>
                <w:rFonts w:ascii="Times New Roman" w:hAnsi="Times New Roman" w:cs="Times New Roman"/>
                <w:sz w:val="20"/>
                <w:szCs w:val="20"/>
              </w:rPr>
              <w:t>)</w:t>
            </w:r>
          </w:p>
        </w:tc>
        <w:tc>
          <w:tcPr>
            <w:tcW w:w="427" w:type="pct"/>
            <w:tcBorders>
              <w:left w:val="nil"/>
              <w:right w:val="nil"/>
            </w:tcBorders>
          </w:tcPr>
          <w:p w14:paraId="41150C51" w14:textId="5B9EAB22" w:rsidR="005034F0" w:rsidRPr="00E3404E" w:rsidRDefault="005034F0" w:rsidP="005034F0">
            <w:pPr>
              <w:spacing w:line="360" w:lineRule="auto"/>
              <w:rPr>
                <w:rFonts w:ascii="Times New Roman" w:hAnsi="Times New Roman" w:cs="Times New Roman"/>
                <w:sz w:val="20"/>
                <w:szCs w:val="20"/>
              </w:rPr>
            </w:pPr>
            <w:r w:rsidRPr="00E3404E">
              <w:rPr>
                <w:rFonts w:ascii="Times New Roman" w:hAnsi="Times New Roman" w:cs="Times New Roman"/>
                <w:sz w:val="20"/>
                <w:szCs w:val="20"/>
              </w:rPr>
              <w:t xml:space="preserve">  -</w:t>
            </w:r>
          </w:p>
        </w:tc>
        <w:tc>
          <w:tcPr>
            <w:tcW w:w="427" w:type="pct"/>
            <w:tcBorders>
              <w:left w:val="nil"/>
              <w:right w:val="single" w:sz="4" w:space="0" w:color="auto"/>
            </w:tcBorders>
          </w:tcPr>
          <w:p w14:paraId="628975D8" w14:textId="01EECC02" w:rsidR="005034F0" w:rsidRPr="00E3404E" w:rsidRDefault="005034F0" w:rsidP="005034F0">
            <w:pPr>
              <w:spacing w:line="360" w:lineRule="auto"/>
              <w:rPr>
                <w:rFonts w:ascii="Times New Roman" w:hAnsi="Times New Roman" w:cs="Times New Roman"/>
                <w:sz w:val="20"/>
                <w:szCs w:val="20"/>
              </w:rPr>
            </w:pPr>
            <w:r w:rsidRPr="00E3404E">
              <w:rPr>
                <w:rFonts w:ascii="Times New Roman" w:hAnsi="Times New Roman" w:cs="Times New Roman"/>
                <w:sz w:val="20"/>
                <w:szCs w:val="20"/>
              </w:rPr>
              <w:t xml:space="preserve">   -</w:t>
            </w:r>
          </w:p>
        </w:tc>
        <w:tc>
          <w:tcPr>
            <w:tcW w:w="428" w:type="pct"/>
            <w:tcBorders>
              <w:left w:val="single" w:sz="4" w:space="0" w:color="auto"/>
              <w:right w:val="nil"/>
            </w:tcBorders>
          </w:tcPr>
          <w:p w14:paraId="4E7ACC1D" w14:textId="3A1D64B7" w:rsidR="005034F0" w:rsidRPr="00E3404E" w:rsidRDefault="00E3404E"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3.7</w:t>
            </w:r>
            <w:r w:rsidR="005034F0" w:rsidRPr="00E3404E">
              <w:rPr>
                <w:rFonts w:ascii="Times New Roman" w:hAnsi="Times New Roman" w:cs="Times New Roman"/>
                <w:sz w:val="20"/>
                <w:szCs w:val="20"/>
              </w:rPr>
              <w:t xml:space="preserve"> (169)</w:t>
            </w:r>
          </w:p>
        </w:tc>
        <w:tc>
          <w:tcPr>
            <w:tcW w:w="427" w:type="pct"/>
            <w:tcBorders>
              <w:left w:val="nil"/>
              <w:right w:val="nil"/>
            </w:tcBorders>
          </w:tcPr>
          <w:p w14:paraId="57F55CE9" w14:textId="62C614F4" w:rsidR="005034F0" w:rsidRPr="00E3404E" w:rsidRDefault="00E3404E"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3.1</w:t>
            </w:r>
            <w:r w:rsidR="005034F0" w:rsidRPr="00E3404E">
              <w:rPr>
                <w:rFonts w:ascii="Times New Roman" w:hAnsi="Times New Roman" w:cs="Times New Roman"/>
                <w:sz w:val="20"/>
                <w:szCs w:val="20"/>
              </w:rPr>
              <w:t xml:space="preserve"> (43)</w:t>
            </w:r>
          </w:p>
        </w:tc>
        <w:tc>
          <w:tcPr>
            <w:tcW w:w="427" w:type="pct"/>
            <w:tcBorders>
              <w:left w:val="nil"/>
              <w:right w:val="nil"/>
            </w:tcBorders>
          </w:tcPr>
          <w:p w14:paraId="7AFA3174" w14:textId="3957543F" w:rsidR="005034F0" w:rsidRPr="00E3404E" w:rsidRDefault="00E3404E" w:rsidP="00E3404E">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3.0</w:t>
            </w:r>
            <w:r w:rsidR="005034F0" w:rsidRPr="00E3404E">
              <w:rPr>
                <w:rFonts w:ascii="Times New Roman" w:hAnsi="Times New Roman" w:cs="Times New Roman"/>
                <w:sz w:val="20"/>
                <w:szCs w:val="20"/>
              </w:rPr>
              <w:t xml:space="preserve"> (67)</w:t>
            </w:r>
          </w:p>
        </w:tc>
        <w:tc>
          <w:tcPr>
            <w:tcW w:w="427" w:type="pct"/>
            <w:tcBorders>
              <w:left w:val="nil"/>
              <w:right w:val="nil"/>
            </w:tcBorders>
          </w:tcPr>
          <w:p w14:paraId="6B483509" w14:textId="1C03700C" w:rsidR="005034F0" w:rsidRPr="00E3404E" w:rsidRDefault="00FE3E1B"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rPr>
              <w:t>2</w:t>
            </w:r>
            <w:r w:rsidR="00E3404E" w:rsidRPr="00E3404E">
              <w:rPr>
                <w:rFonts w:ascii="Times New Roman" w:hAnsi="Times New Roman" w:cs="Times New Roman"/>
                <w:color w:val="FFC000"/>
                <w:sz w:val="20"/>
                <w:szCs w:val="20"/>
              </w:rPr>
              <w:t>.2</w:t>
            </w:r>
            <w:r w:rsidR="005034F0" w:rsidRPr="00E3404E">
              <w:rPr>
                <w:rFonts w:ascii="Times New Roman" w:hAnsi="Times New Roman" w:cs="Times New Roman"/>
                <w:sz w:val="20"/>
                <w:szCs w:val="20"/>
              </w:rPr>
              <w:t xml:space="preserve"> (29)</w:t>
            </w:r>
          </w:p>
        </w:tc>
        <w:tc>
          <w:tcPr>
            <w:tcW w:w="452" w:type="pct"/>
            <w:tcBorders>
              <w:left w:val="nil"/>
              <w:right w:val="nil"/>
            </w:tcBorders>
          </w:tcPr>
          <w:p w14:paraId="4C278AE3" w14:textId="60F7D81B" w:rsidR="005034F0" w:rsidRPr="00E3404E" w:rsidRDefault="005034F0" w:rsidP="005034F0">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rPr>
              <w:t xml:space="preserve">  -</w:t>
            </w:r>
          </w:p>
        </w:tc>
        <w:tc>
          <w:tcPr>
            <w:tcW w:w="490" w:type="pct"/>
            <w:tcBorders>
              <w:left w:val="nil"/>
            </w:tcBorders>
          </w:tcPr>
          <w:p w14:paraId="2408009B" w14:textId="29089E58" w:rsidR="005034F0" w:rsidRPr="00E3404E" w:rsidRDefault="00FE3E1B"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 xml:space="preserve">3.2 </w:t>
            </w:r>
            <w:r w:rsidR="005034F0" w:rsidRPr="00E3404E">
              <w:rPr>
                <w:rFonts w:ascii="Times New Roman" w:hAnsi="Times New Roman" w:cs="Times New Roman"/>
                <w:sz w:val="20"/>
                <w:szCs w:val="20"/>
                <w:lang w:val="en-US"/>
              </w:rPr>
              <w:t>(22)</w:t>
            </w:r>
          </w:p>
        </w:tc>
      </w:tr>
      <w:tr w:rsidR="005034F0" w:rsidRPr="00BA0F29" w14:paraId="1F1CFDCE" w14:textId="77777777" w:rsidTr="005701A3">
        <w:tc>
          <w:tcPr>
            <w:tcW w:w="1060" w:type="pct"/>
            <w:tcBorders>
              <w:bottom w:val="single" w:sz="4" w:space="0" w:color="auto"/>
              <w:right w:val="nil"/>
            </w:tcBorders>
          </w:tcPr>
          <w:p w14:paraId="01A207AF" w14:textId="77777777" w:rsidR="005034F0" w:rsidRPr="00DE59FE" w:rsidRDefault="005034F0" w:rsidP="005034F0">
            <w:pPr>
              <w:spacing w:line="360" w:lineRule="auto"/>
              <w:rPr>
                <w:rFonts w:ascii="Times New Roman" w:hAnsi="Times New Roman" w:cs="Times New Roman"/>
                <w:sz w:val="20"/>
                <w:szCs w:val="20"/>
                <w:lang w:val="en-US"/>
              </w:rPr>
            </w:pPr>
            <w:r w:rsidRPr="00DE59FE">
              <w:rPr>
                <w:rFonts w:ascii="Times New Roman" w:hAnsi="Times New Roman" w:cs="Times New Roman"/>
                <w:sz w:val="20"/>
                <w:szCs w:val="20"/>
                <w:lang w:val="en-US"/>
              </w:rPr>
              <w:t>Major bleeding event</w:t>
            </w:r>
            <w:r>
              <w:rPr>
                <w:rFonts w:ascii="Open Sans" w:hAnsi="Open Sans" w:cs="Arial"/>
                <w:color w:val="1C1D1E"/>
                <w:sz w:val="21"/>
                <w:szCs w:val="21"/>
                <w:lang w:val="en"/>
              </w:rPr>
              <w:t>‡</w:t>
            </w:r>
          </w:p>
        </w:tc>
        <w:tc>
          <w:tcPr>
            <w:tcW w:w="435" w:type="pct"/>
            <w:tcBorders>
              <w:left w:val="nil"/>
              <w:bottom w:val="single" w:sz="4" w:space="0" w:color="auto"/>
              <w:right w:val="nil"/>
            </w:tcBorders>
          </w:tcPr>
          <w:p w14:paraId="400D6DEF" w14:textId="6221E68D" w:rsidR="005034F0" w:rsidRPr="00E3404E" w:rsidRDefault="005034F0" w:rsidP="00E3404E">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 xml:space="preserve">4.3 </w:t>
            </w:r>
            <w:r w:rsidRPr="00E3404E">
              <w:rPr>
                <w:rFonts w:ascii="Times New Roman" w:hAnsi="Times New Roman" w:cs="Times New Roman"/>
                <w:sz w:val="20"/>
                <w:szCs w:val="20"/>
                <w:lang w:val="en-US"/>
              </w:rPr>
              <w:t>(</w:t>
            </w:r>
            <w:r w:rsidRPr="00E3404E">
              <w:rPr>
                <w:rFonts w:ascii="Times New Roman" w:hAnsi="Times New Roman" w:cs="Times New Roman"/>
                <w:color w:val="FFC000"/>
                <w:sz w:val="20"/>
                <w:szCs w:val="20"/>
                <w:lang w:val="en-US"/>
              </w:rPr>
              <w:t>11</w:t>
            </w:r>
            <w:r w:rsidRPr="00E3404E">
              <w:rPr>
                <w:rFonts w:ascii="Times New Roman" w:hAnsi="Times New Roman" w:cs="Times New Roman"/>
                <w:sz w:val="20"/>
                <w:szCs w:val="20"/>
                <w:lang w:val="en-US"/>
              </w:rPr>
              <w:t>)</w:t>
            </w:r>
          </w:p>
        </w:tc>
        <w:tc>
          <w:tcPr>
            <w:tcW w:w="427" w:type="pct"/>
            <w:tcBorders>
              <w:left w:val="nil"/>
              <w:bottom w:val="single" w:sz="4" w:space="0" w:color="auto"/>
              <w:right w:val="nil"/>
            </w:tcBorders>
          </w:tcPr>
          <w:p w14:paraId="41B67BE2" w14:textId="711815E9" w:rsidR="005034F0" w:rsidRPr="00E3404E" w:rsidRDefault="005034F0" w:rsidP="005034F0">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 xml:space="preserve">  -</w:t>
            </w:r>
          </w:p>
        </w:tc>
        <w:tc>
          <w:tcPr>
            <w:tcW w:w="427" w:type="pct"/>
            <w:tcBorders>
              <w:left w:val="nil"/>
              <w:bottom w:val="single" w:sz="4" w:space="0" w:color="auto"/>
              <w:right w:val="single" w:sz="4" w:space="0" w:color="auto"/>
            </w:tcBorders>
          </w:tcPr>
          <w:p w14:paraId="5E3F4DDA" w14:textId="5F8663FB" w:rsidR="005034F0" w:rsidRPr="00E3404E" w:rsidRDefault="005034F0" w:rsidP="005034F0">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 xml:space="preserve">   -</w:t>
            </w:r>
          </w:p>
        </w:tc>
        <w:tc>
          <w:tcPr>
            <w:tcW w:w="428" w:type="pct"/>
            <w:tcBorders>
              <w:left w:val="single" w:sz="4" w:space="0" w:color="auto"/>
              <w:bottom w:val="single" w:sz="4" w:space="0" w:color="auto"/>
              <w:right w:val="nil"/>
            </w:tcBorders>
          </w:tcPr>
          <w:p w14:paraId="3D9A9C4E" w14:textId="50E1FCF0" w:rsidR="005034F0" w:rsidRPr="00E3404E" w:rsidRDefault="00FE3E1B"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4.</w:t>
            </w:r>
            <w:r w:rsidR="00E3404E" w:rsidRPr="00E3404E">
              <w:rPr>
                <w:rFonts w:ascii="Times New Roman" w:hAnsi="Times New Roman" w:cs="Times New Roman"/>
                <w:color w:val="FFC000"/>
                <w:sz w:val="20"/>
                <w:szCs w:val="20"/>
                <w:lang w:val="en-US"/>
              </w:rPr>
              <w:t>9</w:t>
            </w:r>
            <w:r w:rsidR="005034F0" w:rsidRPr="00E3404E">
              <w:rPr>
                <w:rFonts w:ascii="Times New Roman" w:hAnsi="Times New Roman" w:cs="Times New Roman"/>
                <w:sz w:val="20"/>
                <w:szCs w:val="20"/>
                <w:lang w:val="en-US"/>
              </w:rPr>
              <w:t xml:space="preserve"> (226)</w:t>
            </w:r>
          </w:p>
        </w:tc>
        <w:tc>
          <w:tcPr>
            <w:tcW w:w="427" w:type="pct"/>
            <w:tcBorders>
              <w:left w:val="nil"/>
              <w:bottom w:val="single" w:sz="4" w:space="0" w:color="auto"/>
              <w:right w:val="nil"/>
            </w:tcBorders>
          </w:tcPr>
          <w:p w14:paraId="6F6B3CB1" w14:textId="46543623"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3.7</w:t>
            </w:r>
            <w:r w:rsidR="005034F0" w:rsidRPr="00E3404E">
              <w:rPr>
                <w:rFonts w:ascii="Times New Roman" w:hAnsi="Times New Roman" w:cs="Times New Roman"/>
                <w:sz w:val="20"/>
                <w:szCs w:val="20"/>
                <w:lang w:val="en-US"/>
              </w:rPr>
              <w:t xml:space="preserve"> (51)</w:t>
            </w:r>
          </w:p>
        </w:tc>
        <w:tc>
          <w:tcPr>
            <w:tcW w:w="427" w:type="pct"/>
            <w:tcBorders>
              <w:left w:val="nil"/>
              <w:bottom w:val="single" w:sz="4" w:space="0" w:color="auto"/>
              <w:right w:val="nil"/>
            </w:tcBorders>
          </w:tcPr>
          <w:p w14:paraId="000442C6" w14:textId="4FB862BD"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4.9</w:t>
            </w:r>
            <w:r w:rsidR="005034F0" w:rsidRPr="00E3404E">
              <w:rPr>
                <w:rFonts w:ascii="Times New Roman" w:hAnsi="Times New Roman" w:cs="Times New Roman"/>
                <w:sz w:val="20"/>
                <w:szCs w:val="20"/>
                <w:lang w:val="en-US"/>
              </w:rPr>
              <w:t xml:space="preserve"> (105)</w:t>
            </w:r>
          </w:p>
        </w:tc>
        <w:tc>
          <w:tcPr>
            <w:tcW w:w="427" w:type="pct"/>
            <w:tcBorders>
              <w:left w:val="nil"/>
              <w:bottom w:val="single" w:sz="4" w:space="0" w:color="auto"/>
              <w:right w:val="nil"/>
            </w:tcBorders>
          </w:tcPr>
          <w:p w14:paraId="3E824BC5" w14:textId="74943D92" w:rsidR="005034F0" w:rsidRPr="00E3404E" w:rsidRDefault="00FE3E1B"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5</w:t>
            </w:r>
            <w:r w:rsidR="00E3404E" w:rsidRPr="00E3404E">
              <w:rPr>
                <w:rFonts w:ascii="Times New Roman" w:hAnsi="Times New Roman" w:cs="Times New Roman"/>
                <w:color w:val="FFC000"/>
                <w:sz w:val="20"/>
                <w:szCs w:val="20"/>
                <w:lang w:val="en-US"/>
              </w:rPr>
              <w:t>.8</w:t>
            </w:r>
            <w:r w:rsidR="005034F0" w:rsidRPr="00E3404E">
              <w:rPr>
                <w:rFonts w:ascii="Times New Roman" w:hAnsi="Times New Roman" w:cs="Times New Roman"/>
                <w:sz w:val="20"/>
                <w:szCs w:val="20"/>
                <w:lang w:val="en-US"/>
              </w:rPr>
              <w:t xml:space="preserve"> (77)</w:t>
            </w:r>
          </w:p>
        </w:tc>
        <w:tc>
          <w:tcPr>
            <w:tcW w:w="452" w:type="pct"/>
            <w:tcBorders>
              <w:left w:val="nil"/>
              <w:bottom w:val="single" w:sz="4" w:space="0" w:color="auto"/>
              <w:right w:val="nil"/>
            </w:tcBorders>
          </w:tcPr>
          <w:p w14:paraId="27A193FE" w14:textId="3029E603" w:rsidR="005034F0" w:rsidRPr="00E3404E" w:rsidRDefault="005034F0" w:rsidP="005034F0">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 xml:space="preserve">  -</w:t>
            </w:r>
          </w:p>
        </w:tc>
        <w:tc>
          <w:tcPr>
            <w:tcW w:w="490" w:type="pct"/>
            <w:tcBorders>
              <w:left w:val="nil"/>
              <w:bottom w:val="single" w:sz="4" w:space="0" w:color="auto"/>
            </w:tcBorders>
          </w:tcPr>
          <w:p w14:paraId="7CB74D4A" w14:textId="66EC3829" w:rsidR="005034F0" w:rsidRPr="00E3404E" w:rsidRDefault="00FE3E1B"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 xml:space="preserve">4.9 </w:t>
            </w:r>
            <w:r w:rsidR="005034F0" w:rsidRPr="00E3404E">
              <w:rPr>
                <w:rFonts w:ascii="Times New Roman" w:hAnsi="Times New Roman" w:cs="Times New Roman"/>
                <w:sz w:val="20"/>
                <w:szCs w:val="20"/>
                <w:lang w:val="en-US"/>
              </w:rPr>
              <w:t>(34)</w:t>
            </w:r>
          </w:p>
        </w:tc>
      </w:tr>
      <w:tr w:rsidR="005701A3" w:rsidRPr="00BA0F29" w14:paraId="0BD65EB3" w14:textId="77777777" w:rsidTr="005701A3">
        <w:tc>
          <w:tcPr>
            <w:tcW w:w="5000" w:type="pct"/>
            <w:gridSpan w:val="10"/>
            <w:tcBorders>
              <w:right w:val="single" w:sz="4" w:space="0" w:color="auto"/>
            </w:tcBorders>
          </w:tcPr>
          <w:p w14:paraId="36418D4C" w14:textId="10BB75EE" w:rsidR="005701A3" w:rsidRPr="00E3404E" w:rsidRDefault="005701A3" w:rsidP="007D77D4">
            <w:pPr>
              <w:spacing w:line="360" w:lineRule="auto"/>
              <w:rPr>
                <w:rFonts w:ascii="Times New Roman" w:hAnsi="Times New Roman" w:cs="Times New Roman"/>
                <w:sz w:val="20"/>
                <w:szCs w:val="20"/>
                <w:lang w:val="en-US"/>
              </w:rPr>
            </w:pPr>
          </w:p>
        </w:tc>
      </w:tr>
      <w:tr w:rsidR="005701A3" w:rsidRPr="00E3404E" w14:paraId="48BBD20F" w14:textId="77777777" w:rsidTr="005701A3">
        <w:tc>
          <w:tcPr>
            <w:tcW w:w="1060" w:type="pct"/>
            <w:tcBorders>
              <w:right w:val="nil"/>
            </w:tcBorders>
          </w:tcPr>
          <w:p w14:paraId="39FBB472" w14:textId="77777777" w:rsidR="005701A3" w:rsidRPr="00803215" w:rsidRDefault="005701A3" w:rsidP="007D77D4">
            <w:pPr>
              <w:spacing w:line="360" w:lineRule="auto"/>
              <w:rPr>
                <w:rFonts w:ascii="Times New Roman" w:hAnsi="Times New Roman" w:cs="Times New Roman"/>
                <w:sz w:val="20"/>
                <w:szCs w:val="20"/>
                <w:lang w:val="en-US"/>
              </w:rPr>
            </w:pPr>
            <w:r w:rsidRPr="00803215">
              <w:rPr>
                <w:rFonts w:ascii="Times New Roman" w:hAnsi="Times New Roman" w:cs="Times New Roman"/>
                <w:b/>
                <w:sz w:val="20"/>
                <w:szCs w:val="20"/>
                <w:u w:val="single"/>
                <w:lang w:val="en-US"/>
              </w:rPr>
              <w:t xml:space="preserve">OAC therapy </w:t>
            </w:r>
            <w:r w:rsidRPr="00803215">
              <w:rPr>
                <w:rFonts w:ascii="Times New Roman" w:hAnsi="Times New Roman" w:cs="Times New Roman"/>
                <w:sz w:val="20"/>
                <w:szCs w:val="20"/>
                <w:lang w:val="en-US"/>
              </w:rPr>
              <w:t>(number of patients)</w:t>
            </w:r>
          </w:p>
        </w:tc>
        <w:tc>
          <w:tcPr>
            <w:tcW w:w="435" w:type="pct"/>
            <w:tcBorders>
              <w:left w:val="nil"/>
              <w:right w:val="nil"/>
            </w:tcBorders>
          </w:tcPr>
          <w:p w14:paraId="084654D5" w14:textId="7284A8ED" w:rsidR="005701A3" w:rsidRPr="00E3404E" w:rsidRDefault="004F47F2" w:rsidP="004F47F2">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w:t>
            </w:r>
            <w:r w:rsidR="00621D7B" w:rsidRPr="00E3404E">
              <w:rPr>
                <w:rFonts w:ascii="Times New Roman" w:hAnsi="Times New Roman" w:cs="Times New Roman"/>
                <w:sz w:val="20"/>
                <w:szCs w:val="20"/>
                <w:lang w:val="en-US"/>
              </w:rPr>
              <w:t>493</w:t>
            </w:r>
            <w:r w:rsidR="005701A3" w:rsidRPr="00E3404E">
              <w:rPr>
                <w:rFonts w:ascii="Times New Roman" w:hAnsi="Times New Roman" w:cs="Times New Roman"/>
                <w:sz w:val="20"/>
                <w:szCs w:val="20"/>
                <w:lang w:val="en-US"/>
              </w:rPr>
              <w:t>)</w:t>
            </w:r>
          </w:p>
        </w:tc>
        <w:tc>
          <w:tcPr>
            <w:tcW w:w="427" w:type="pct"/>
            <w:tcBorders>
              <w:left w:val="nil"/>
              <w:right w:val="nil"/>
            </w:tcBorders>
          </w:tcPr>
          <w:p w14:paraId="4A842EDD" w14:textId="4D2C9943" w:rsidR="005701A3" w:rsidRPr="00E3404E" w:rsidRDefault="008C46F8" w:rsidP="007D77D4">
            <w:pPr>
              <w:spacing w:line="360" w:lineRule="auto"/>
              <w:rPr>
                <w:rFonts w:ascii="Times New Roman" w:hAnsi="Times New Roman" w:cs="Times New Roman"/>
                <w:color w:val="FFC000"/>
                <w:sz w:val="20"/>
                <w:szCs w:val="20"/>
                <w:lang w:val="en-US"/>
              </w:rPr>
            </w:pPr>
            <w:r w:rsidRPr="00E3404E">
              <w:rPr>
                <w:rFonts w:ascii="Times New Roman" w:hAnsi="Times New Roman" w:cs="Times New Roman"/>
                <w:color w:val="FFC000"/>
                <w:sz w:val="20"/>
                <w:szCs w:val="20"/>
                <w:lang w:val="en-US"/>
              </w:rPr>
              <w:t>(1,475</w:t>
            </w:r>
            <w:r w:rsidR="004F47F2" w:rsidRPr="00E3404E">
              <w:rPr>
                <w:rFonts w:ascii="Times New Roman" w:hAnsi="Times New Roman" w:cs="Times New Roman"/>
                <w:color w:val="FFC000"/>
                <w:sz w:val="20"/>
                <w:szCs w:val="20"/>
                <w:lang w:val="en-US"/>
              </w:rPr>
              <w:t>)</w:t>
            </w:r>
          </w:p>
        </w:tc>
        <w:tc>
          <w:tcPr>
            <w:tcW w:w="427" w:type="pct"/>
            <w:tcBorders>
              <w:left w:val="nil"/>
              <w:right w:val="single" w:sz="4" w:space="0" w:color="auto"/>
            </w:tcBorders>
          </w:tcPr>
          <w:p w14:paraId="0D311393" w14:textId="0699EFD7" w:rsidR="005701A3" w:rsidRPr="00E3404E" w:rsidRDefault="008C46F8" w:rsidP="007D77D4">
            <w:pPr>
              <w:spacing w:line="360" w:lineRule="auto"/>
              <w:rPr>
                <w:rFonts w:ascii="Times New Roman" w:hAnsi="Times New Roman" w:cs="Times New Roman"/>
                <w:color w:val="FFC000"/>
                <w:sz w:val="20"/>
                <w:szCs w:val="20"/>
                <w:lang w:val="en-US"/>
              </w:rPr>
            </w:pPr>
            <w:r w:rsidRPr="00E3404E">
              <w:rPr>
                <w:rFonts w:ascii="Times New Roman" w:hAnsi="Times New Roman" w:cs="Times New Roman"/>
                <w:color w:val="FFC000"/>
                <w:sz w:val="20"/>
                <w:szCs w:val="20"/>
                <w:lang w:val="en-US"/>
              </w:rPr>
              <w:t>(437</w:t>
            </w:r>
            <w:r w:rsidR="005701A3" w:rsidRPr="00E3404E">
              <w:rPr>
                <w:rFonts w:ascii="Times New Roman" w:hAnsi="Times New Roman" w:cs="Times New Roman"/>
                <w:color w:val="FFC000"/>
                <w:sz w:val="20"/>
                <w:szCs w:val="20"/>
                <w:lang w:val="en-US"/>
              </w:rPr>
              <w:t>)</w:t>
            </w:r>
          </w:p>
        </w:tc>
        <w:tc>
          <w:tcPr>
            <w:tcW w:w="428" w:type="pct"/>
            <w:tcBorders>
              <w:left w:val="single" w:sz="4" w:space="0" w:color="auto"/>
              <w:right w:val="nil"/>
            </w:tcBorders>
            <w:vAlign w:val="bottom"/>
          </w:tcPr>
          <w:p w14:paraId="2EC8979D" w14:textId="77777777" w:rsidR="005701A3" w:rsidRPr="00E3404E" w:rsidRDefault="005701A3" w:rsidP="007D77D4">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(5,219)</w:t>
            </w:r>
          </w:p>
        </w:tc>
        <w:tc>
          <w:tcPr>
            <w:tcW w:w="427" w:type="pct"/>
            <w:tcBorders>
              <w:left w:val="nil"/>
              <w:right w:val="nil"/>
            </w:tcBorders>
            <w:vAlign w:val="bottom"/>
          </w:tcPr>
          <w:p w14:paraId="606D3820" w14:textId="77777777" w:rsidR="005701A3" w:rsidRPr="00E3404E" w:rsidRDefault="005701A3" w:rsidP="007D77D4">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(1,816)</w:t>
            </w:r>
          </w:p>
        </w:tc>
        <w:tc>
          <w:tcPr>
            <w:tcW w:w="427" w:type="pct"/>
            <w:tcBorders>
              <w:left w:val="nil"/>
              <w:right w:val="nil"/>
            </w:tcBorders>
            <w:vAlign w:val="bottom"/>
          </w:tcPr>
          <w:p w14:paraId="590F1883" w14:textId="77777777" w:rsidR="005701A3" w:rsidRPr="00E3404E" w:rsidRDefault="005701A3" w:rsidP="007D77D4">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(3,568)</w:t>
            </w:r>
          </w:p>
        </w:tc>
        <w:tc>
          <w:tcPr>
            <w:tcW w:w="427" w:type="pct"/>
            <w:tcBorders>
              <w:left w:val="nil"/>
              <w:right w:val="nil"/>
            </w:tcBorders>
            <w:vAlign w:val="bottom"/>
          </w:tcPr>
          <w:p w14:paraId="332C4137" w14:textId="77777777" w:rsidR="005701A3" w:rsidRPr="00E3404E" w:rsidRDefault="005701A3" w:rsidP="007D77D4">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(2,855)</w:t>
            </w:r>
          </w:p>
        </w:tc>
        <w:tc>
          <w:tcPr>
            <w:tcW w:w="452" w:type="pct"/>
            <w:tcBorders>
              <w:left w:val="nil"/>
              <w:right w:val="nil"/>
            </w:tcBorders>
            <w:vAlign w:val="bottom"/>
          </w:tcPr>
          <w:p w14:paraId="43CEBCD6" w14:textId="77777777" w:rsidR="005701A3" w:rsidRPr="00E3404E" w:rsidRDefault="005701A3" w:rsidP="007D77D4">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(243)</w:t>
            </w:r>
          </w:p>
        </w:tc>
        <w:tc>
          <w:tcPr>
            <w:tcW w:w="490" w:type="pct"/>
            <w:tcBorders>
              <w:left w:val="nil"/>
            </w:tcBorders>
            <w:vAlign w:val="bottom"/>
          </w:tcPr>
          <w:p w14:paraId="6D2F401F" w14:textId="77777777" w:rsidR="005701A3" w:rsidRPr="00E3404E" w:rsidRDefault="005701A3" w:rsidP="007D77D4">
            <w:pPr>
              <w:spacing w:line="360" w:lineRule="auto"/>
              <w:rPr>
                <w:rFonts w:ascii="Times New Roman" w:hAnsi="Times New Roman" w:cs="Times New Roman"/>
                <w:sz w:val="20"/>
                <w:szCs w:val="20"/>
                <w:lang w:val="en-US"/>
              </w:rPr>
            </w:pPr>
            <w:r w:rsidRPr="00E3404E">
              <w:rPr>
                <w:rFonts w:ascii="Times New Roman" w:hAnsi="Times New Roman" w:cs="Times New Roman"/>
                <w:sz w:val="20"/>
                <w:szCs w:val="20"/>
                <w:lang w:val="en-US"/>
              </w:rPr>
              <w:t>(912)</w:t>
            </w:r>
          </w:p>
        </w:tc>
      </w:tr>
      <w:tr w:rsidR="005034F0" w:rsidRPr="004F47F2" w14:paraId="1666FC35" w14:textId="77777777" w:rsidTr="005701A3">
        <w:tc>
          <w:tcPr>
            <w:tcW w:w="1060" w:type="pct"/>
            <w:tcBorders>
              <w:right w:val="nil"/>
            </w:tcBorders>
          </w:tcPr>
          <w:p w14:paraId="68765965" w14:textId="77777777" w:rsidR="005034F0" w:rsidRPr="00DE59FE" w:rsidRDefault="005034F0" w:rsidP="005034F0">
            <w:pPr>
              <w:spacing w:line="360" w:lineRule="auto"/>
              <w:rPr>
                <w:rFonts w:ascii="Times New Roman" w:hAnsi="Times New Roman" w:cs="Times New Roman"/>
                <w:sz w:val="20"/>
                <w:szCs w:val="20"/>
                <w:lang w:val="en-US"/>
              </w:rPr>
            </w:pPr>
            <w:r w:rsidRPr="00DE59FE">
              <w:rPr>
                <w:rFonts w:ascii="Times New Roman" w:hAnsi="Times New Roman" w:cs="Times New Roman"/>
                <w:sz w:val="20"/>
                <w:szCs w:val="20"/>
                <w:lang w:val="en-US"/>
              </w:rPr>
              <w:t>Thromboembolic event</w:t>
            </w:r>
          </w:p>
        </w:tc>
        <w:tc>
          <w:tcPr>
            <w:tcW w:w="435" w:type="pct"/>
            <w:tcBorders>
              <w:left w:val="nil"/>
              <w:right w:val="nil"/>
            </w:tcBorders>
          </w:tcPr>
          <w:p w14:paraId="1F5070A1" w14:textId="32C6E7B5" w:rsidR="005034F0" w:rsidRPr="00E3404E" w:rsidRDefault="000D7E9D"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lang w:val="en-US"/>
              </w:rPr>
              <w:t>4.</w:t>
            </w:r>
            <w:r w:rsidR="00E3404E" w:rsidRPr="00E3404E">
              <w:rPr>
                <w:rFonts w:ascii="Times New Roman" w:hAnsi="Times New Roman" w:cs="Times New Roman"/>
                <w:color w:val="FFC000"/>
                <w:sz w:val="20"/>
                <w:szCs w:val="20"/>
                <w:lang w:val="en-US"/>
              </w:rPr>
              <w:t>7</w:t>
            </w:r>
            <w:r w:rsidR="005034F0" w:rsidRPr="00E3404E">
              <w:rPr>
                <w:rFonts w:ascii="Times New Roman" w:hAnsi="Times New Roman" w:cs="Times New Roman"/>
                <w:sz w:val="20"/>
                <w:szCs w:val="20"/>
                <w:lang w:val="en-US"/>
              </w:rPr>
              <w:t xml:space="preserve"> </w:t>
            </w:r>
            <w:r w:rsidR="005034F0" w:rsidRPr="00E3404E">
              <w:rPr>
                <w:rFonts w:ascii="Times New Roman" w:hAnsi="Times New Roman" w:cs="Times New Roman"/>
                <w:sz w:val="20"/>
                <w:szCs w:val="20"/>
              </w:rPr>
              <w:t>(23)</w:t>
            </w:r>
          </w:p>
        </w:tc>
        <w:tc>
          <w:tcPr>
            <w:tcW w:w="427" w:type="pct"/>
            <w:tcBorders>
              <w:left w:val="nil"/>
              <w:right w:val="nil"/>
            </w:tcBorders>
          </w:tcPr>
          <w:p w14:paraId="369ADB93" w14:textId="676A30CC" w:rsidR="005034F0" w:rsidRPr="00E3404E" w:rsidRDefault="008C46F8" w:rsidP="005034F0">
            <w:pPr>
              <w:spacing w:line="360" w:lineRule="auto"/>
              <w:rPr>
                <w:rFonts w:ascii="Times New Roman" w:hAnsi="Times New Roman" w:cs="Times New Roman"/>
                <w:color w:val="FFC000"/>
                <w:sz w:val="20"/>
                <w:szCs w:val="20"/>
              </w:rPr>
            </w:pPr>
            <w:r w:rsidRPr="00E3404E">
              <w:rPr>
                <w:rFonts w:ascii="Times New Roman" w:hAnsi="Times New Roman" w:cs="Times New Roman"/>
                <w:color w:val="FFC000"/>
                <w:sz w:val="20"/>
                <w:szCs w:val="20"/>
              </w:rPr>
              <w:t>1.8 (26</w:t>
            </w:r>
            <w:r w:rsidR="005034F0" w:rsidRPr="00E3404E">
              <w:rPr>
                <w:rFonts w:ascii="Times New Roman" w:hAnsi="Times New Roman" w:cs="Times New Roman"/>
                <w:color w:val="FFC000"/>
                <w:sz w:val="20"/>
                <w:szCs w:val="20"/>
              </w:rPr>
              <w:t>)</w:t>
            </w:r>
          </w:p>
        </w:tc>
        <w:tc>
          <w:tcPr>
            <w:tcW w:w="427" w:type="pct"/>
            <w:tcBorders>
              <w:left w:val="nil"/>
              <w:right w:val="single" w:sz="4" w:space="0" w:color="auto"/>
            </w:tcBorders>
          </w:tcPr>
          <w:p w14:paraId="6BFD8A68" w14:textId="54D5D43B" w:rsidR="005034F0" w:rsidRPr="00E3404E" w:rsidRDefault="003F3D10" w:rsidP="005034F0">
            <w:pPr>
              <w:spacing w:line="360" w:lineRule="auto"/>
              <w:rPr>
                <w:rFonts w:ascii="Times New Roman" w:hAnsi="Times New Roman" w:cs="Times New Roman"/>
                <w:color w:val="FFC000"/>
                <w:sz w:val="20"/>
                <w:szCs w:val="20"/>
              </w:rPr>
            </w:pPr>
            <w:r w:rsidRPr="00E3404E">
              <w:rPr>
                <w:rFonts w:ascii="Times New Roman" w:hAnsi="Times New Roman" w:cs="Times New Roman"/>
                <w:color w:val="FFC000"/>
                <w:sz w:val="20"/>
                <w:szCs w:val="20"/>
              </w:rPr>
              <w:t>3.2 (14</w:t>
            </w:r>
            <w:r w:rsidR="005034F0" w:rsidRPr="00E3404E">
              <w:rPr>
                <w:rFonts w:ascii="Times New Roman" w:hAnsi="Times New Roman" w:cs="Times New Roman"/>
                <w:color w:val="FFC000"/>
                <w:sz w:val="20"/>
                <w:szCs w:val="20"/>
              </w:rPr>
              <w:t>)</w:t>
            </w:r>
          </w:p>
        </w:tc>
        <w:tc>
          <w:tcPr>
            <w:tcW w:w="428" w:type="pct"/>
            <w:tcBorders>
              <w:left w:val="single" w:sz="4" w:space="0" w:color="auto"/>
              <w:right w:val="nil"/>
            </w:tcBorders>
          </w:tcPr>
          <w:p w14:paraId="78B3A147" w14:textId="37AF7643" w:rsidR="005034F0" w:rsidRPr="00E3404E" w:rsidRDefault="005034F0" w:rsidP="00A34481">
            <w:pPr>
              <w:spacing w:line="360" w:lineRule="auto"/>
              <w:rPr>
                <w:rFonts w:ascii="Times New Roman" w:hAnsi="Times New Roman" w:cs="Times New Roman"/>
                <w:sz w:val="20"/>
                <w:szCs w:val="20"/>
              </w:rPr>
            </w:pPr>
            <w:r w:rsidRPr="00A34481">
              <w:rPr>
                <w:rFonts w:ascii="Times New Roman" w:hAnsi="Times New Roman" w:cs="Times New Roman"/>
                <w:color w:val="FFC000"/>
                <w:sz w:val="20"/>
                <w:szCs w:val="20"/>
              </w:rPr>
              <w:t>2.</w:t>
            </w:r>
            <w:r w:rsidR="00A34481" w:rsidRPr="00A34481">
              <w:rPr>
                <w:rFonts w:ascii="Times New Roman" w:hAnsi="Times New Roman" w:cs="Times New Roman"/>
                <w:color w:val="FFC000"/>
                <w:sz w:val="20"/>
                <w:szCs w:val="20"/>
              </w:rPr>
              <w:t>6</w:t>
            </w:r>
            <w:r w:rsidRPr="00A34481">
              <w:rPr>
                <w:rFonts w:ascii="Times New Roman" w:hAnsi="Times New Roman" w:cs="Times New Roman"/>
                <w:color w:val="FFC000"/>
                <w:sz w:val="20"/>
                <w:szCs w:val="20"/>
              </w:rPr>
              <w:t xml:space="preserve"> </w:t>
            </w:r>
            <w:r w:rsidRPr="00E3404E">
              <w:rPr>
                <w:rFonts w:ascii="Times New Roman" w:hAnsi="Times New Roman" w:cs="Times New Roman"/>
                <w:sz w:val="20"/>
                <w:szCs w:val="20"/>
              </w:rPr>
              <w:t>(135)</w:t>
            </w:r>
          </w:p>
        </w:tc>
        <w:tc>
          <w:tcPr>
            <w:tcW w:w="427" w:type="pct"/>
            <w:tcBorders>
              <w:left w:val="nil"/>
              <w:right w:val="nil"/>
            </w:tcBorders>
          </w:tcPr>
          <w:p w14:paraId="1E3F1768" w14:textId="1D201D93" w:rsidR="005034F0" w:rsidRPr="00E3404E" w:rsidRDefault="00E3404E"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2.0</w:t>
            </w:r>
            <w:r w:rsidR="005034F0" w:rsidRPr="00E3404E">
              <w:rPr>
                <w:rFonts w:ascii="Times New Roman" w:hAnsi="Times New Roman" w:cs="Times New Roman"/>
                <w:sz w:val="20"/>
                <w:szCs w:val="20"/>
              </w:rPr>
              <w:t xml:space="preserve"> (36)</w:t>
            </w:r>
          </w:p>
        </w:tc>
        <w:tc>
          <w:tcPr>
            <w:tcW w:w="427" w:type="pct"/>
            <w:tcBorders>
              <w:left w:val="nil"/>
              <w:right w:val="nil"/>
            </w:tcBorders>
          </w:tcPr>
          <w:p w14:paraId="7571B8EF" w14:textId="3239214E" w:rsidR="005034F0" w:rsidRPr="00E3404E" w:rsidRDefault="00E3404E"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1.5</w:t>
            </w:r>
            <w:r w:rsidR="005034F0" w:rsidRPr="00E3404E">
              <w:rPr>
                <w:rFonts w:ascii="Times New Roman" w:hAnsi="Times New Roman" w:cs="Times New Roman"/>
                <w:sz w:val="20"/>
                <w:szCs w:val="20"/>
              </w:rPr>
              <w:t xml:space="preserve"> (53)</w:t>
            </w:r>
          </w:p>
        </w:tc>
        <w:tc>
          <w:tcPr>
            <w:tcW w:w="427" w:type="pct"/>
            <w:tcBorders>
              <w:left w:val="nil"/>
              <w:right w:val="nil"/>
            </w:tcBorders>
          </w:tcPr>
          <w:p w14:paraId="26D0A5F5" w14:textId="4C1898F5" w:rsidR="005034F0" w:rsidRPr="00E3404E" w:rsidRDefault="000D7E9D" w:rsidP="00E3404E">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 xml:space="preserve">1.2 </w:t>
            </w:r>
            <w:r w:rsidR="005034F0" w:rsidRPr="00E3404E">
              <w:rPr>
                <w:rFonts w:ascii="Times New Roman" w:hAnsi="Times New Roman" w:cs="Times New Roman"/>
                <w:sz w:val="20"/>
                <w:szCs w:val="20"/>
              </w:rPr>
              <w:t>(34)</w:t>
            </w:r>
          </w:p>
        </w:tc>
        <w:tc>
          <w:tcPr>
            <w:tcW w:w="452" w:type="pct"/>
            <w:tcBorders>
              <w:left w:val="nil"/>
              <w:right w:val="nil"/>
            </w:tcBorders>
          </w:tcPr>
          <w:p w14:paraId="2D7B68AB" w14:textId="053B5E60" w:rsidR="005034F0" w:rsidRPr="00E3404E" w:rsidRDefault="000D7E9D" w:rsidP="005034F0">
            <w:pPr>
              <w:spacing w:line="360" w:lineRule="auto"/>
              <w:rPr>
                <w:rFonts w:ascii="Times New Roman" w:hAnsi="Times New Roman" w:cs="Times New Roman"/>
                <w:sz w:val="20"/>
                <w:szCs w:val="20"/>
              </w:rPr>
            </w:pPr>
            <w:r w:rsidRPr="00E3404E">
              <w:rPr>
                <w:rFonts w:ascii="Times New Roman" w:hAnsi="Times New Roman" w:cs="Times New Roman"/>
                <w:color w:val="FFC000"/>
                <w:sz w:val="20"/>
                <w:szCs w:val="20"/>
              </w:rPr>
              <w:t>2</w:t>
            </w:r>
            <w:r w:rsidR="00E3404E" w:rsidRPr="00E3404E">
              <w:rPr>
                <w:rFonts w:ascii="Times New Roman" w:hAnsi="Times New Roman" w:cs="Times New Roman"/>
                <w:color w:val="FFC000"/>
                <w:sz w:val="20"/>
                <w:szCs w:val="20"/>
              </w:rPr>
              <w:t>.1</w:t>
            </w:r>
            <w:r w:rsidR="005034F0" w:rsidRPr="00E3404E">
              <w:rPr>
                <w:rFonts w:ascii="Times New Roman" w:hAnsi="Times New Roman" w:cs="Times New Roman"/>
                <w:sz w:val="20"/>
                <w:szCs w:val="20"/>
              </w:rPr>
              <w:t xml:space="preserve"> (5)</w:t>
            </w:r>
          </w:p>
        </w:tc>
        <w:tc>
          <w:tcPr>
            <w:tcW w:w="490" w:type="pct"/>
            <w:tcBorders>
              <w:left w:val="nil"/>
            </w:tcBorders>
          </w:tcPr>
          <w:p w14:paraId="726B3897" w14:textId="5CE3A1DC"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rPr>
              <w:t>1.5</w:t>
            </w:r>
            <w:r w:rsidR="005034F0" w:rsidRPr="00E3404E">
              <w:rPr>
                <w:rFonts w:ascii="Times New Roman" w:hAnsi="Times New Roman" w:cs="Times New Roman"/>
                <w:sz w:val="20"/>
                <w:szCs w:val="20"/>
              </w:rPr>
              <w:t xml:space="preserve"> (14)</w:t>
            </w:r>
          </w:p>
        </w:tc>
      </w:tr>
      <w:tr w:rsidR="005034F0" w:rsidRPr="003F3D10" w14:paraId="777915B8" w14:textId="77777777" w:rsidTr="005701A3">
        <w:tc>
          <w:tcPr>
            <w:tcW w:w="1060" w:type="pct"/>
            <w:tcBorders>
              <w:right w:val="nil"/>
            </w:tcBorders>
          </w:tcPr>
          <w:p w14:paraId="07E640C5" w14:textId="77777777" w:rsidR="005034F0" w:rsidRPr="004F47F2" w:rsidRDefault="005034F0" w:rsidP="005034F0">
            <w:pPr>
              <w:spacing w:line="360" w:lineRule="auto"/>
              <w:rPr>
                <w:rFonts w:ascii="Times New Roman" w:hAnsi="Times New Roman" w:cs="Times New Roman"/>
                <w:sz w:val="20"/>
                <w:szCs w:val="20"/>
                <w:lang w:val="en-US"/>
              </w:rPr>
            </w:pPr>
            <w:r w:rsidRPr="004F47F2">
              <w:rPr>
                <w:rFonts w:ascii="Times New Roman" w:hAnsi="Times New Roman" w:cs="Times New Roman"/>
                <w:sz w:val="20"/>
                <w:szCs w:val="20"/>
                <w:lang w:val="en-US"/>
              </w:rPr>
              <w:t>Major bleeding event</w:t>
            </w:r>
            <w:r>
              <w:rPr>
                <w:rFonts w:ascii="Open Sans" w:hAnsi="Open Sans" w:cs="Arial"/>
                <w:color w:val="1C1D1E"/>
                <w:sz w:val="21"/>
                <w:szCs w:val="21"/>
                <w:lang w:val="en"/>
              </w:rPr>
              <w:t>‡</w:t>
            </w:r>
          </w:p>
        </w:tc>
        <w:tc>
          <w:tcPr>
            <w:tcW w:w="435" w:type="pct"/>
            <w:tcBorders>
              <w:left w:val="nil"/>
              <w:right w:val="nil"/>
            </w:tcBorders>
          </w:tcPr>
          <w:p w14:paraId="274F6BEE" w14:textId="35CFB2A1" w:rsidR="005034F0" w:rsidRPr="00E3404E" w:rsidRDefault="000D7E9D"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 xml:space="preserve">6.6 </w:t>
            </w:r>
            <w:r w:rsidR="005034F0" w:rsidRPr="00E3404E">
              <w:rPr>
                <w:rFonts w:ascii="Times New Roman" w:hAnsi="Times New Roman" w:cs="Times New Roman"/>
                <w:sz w:val="20"/>
                <w:szCs w:val="20"/>
                <w:lang w:val="en-US"/>
              </w:rPr>
              <w:t>(32)</w:t>
            </w:r>
          </w:p>
        </w:tc>
        <w:tc>
          <w:tcPr>
            <w:tcW w:w="427" w:type="pct"/>
            <w:tcBorders>
              <w:left w:val="nil"/>
              <w:right w:val="nil"/>
            </w:tcBorders>
          </w:tcPr>
          <w:p w14:paraId="3BA39540" w14:textId="58A7F166" w:rsidR="005034F0" w:rsidRPr="00E3404E" w:rsidRDefault="003F3D10" w:rsidP="005034F0">
            <w:pPr>
              <w:spacing w:line="360" w:lineRule="auto"/>
              <w:rPr>
                <w:rFonts w:ascii="Times New Roman" w:hAnsi="Times New Roman" w:cs="Times New Roman"/>
                <w:color w:val="FFC000"/>
                <w:sz w:val="20"/>
                <w:szCs w:val="20"/>
                <w:lang w:val="en-US"/>
              </w:rPr>
            </w:pPr>
            <w:r w:rsidRPr="00E3404E">
              <w:rPr>
                <w:rFonts w:ascii="Times New Roman" w:hAnsi="Times New Roman" w:cs="Times New Roman"/>
                <w:color w:val="FFC000"/>
                <w:sz w:val="20"/>
                <w:szCs w:val="20"/>
                <w:lang w:val="en-US"/>
              </w:rPr>
              <w:t>6.</w:t>
            </w:r>
            <w:r w:rsidR="008C46F8" w:rsidRPr="00E3404E">
              <w:rPr>
                <w:rFonts w:ascii="Times New Roman" w:hAnsi="Times New Roman" w:cs="Times New Roman"/>
                <w:color w:val="FFC000"/>
                <w:sz w:val="20"/>
                <w:szCs w:val="20"/>
                <w:lang w:val="en-US"/>
              </w:rPr>
              <w:t>5 (96</w:t>
            </w:r>
            <w:r w:rsidR="005034F0" w:rsidRPr="00E3404E">
              <w:rPr>
                <w:rFonts w:ascii="Times New Roman" w:hAnsi="Times New Roman" w:cs="Times New Roman"/>
                <w:color w:val="FFC000"/>
                <w:sz w:val="20"/>
                <w:szCs w:val="20"/>
                <w:lang w:val="en-US"/>
              </w:rPr>
              <w:t>)</w:t>
            </w:r>
          </w:p>
        </w:tc>
        <w:tc>
          <w:tcPr>
            <w:tcW w:w="427" w:type="pct"/>
            <w:tcBorders>
              <w:left w:val="nil"/>
              <w:right w:val="single" w:sz="4" w:space="0" w:color="auto"/>
            </w:tcBorders>
          </w:tcPr>
          <w:p w14:paraId="2CEC634D" w14:textId="2939A8E8" w:rsidR="005034F0" w:rsidRPr="00E3404E" w:rsidRDefault="003F3D10" w:rsidP="005034F0">
            <w:pPr>
              <w:spacing w:line="360" w:lineRule="auto"/>
              <w:rPr>
                <w:rFonts w:ascii="Times New Roman" w:hAnsi="Times New Roman" w:cs="Times New Roman"/>
                <w:color w:val="FFC000"/>
                <w:sz w:val="20"/>
                <w:szCs w:val="20"/>
                <w:lang w:val="en-US"/>
              </w:rPr>
            </w:pPr>
            <w:r w:rsidRPr="00E3404E">
              <w:rPr>
                <w:rFonts w:ascii="Times New Roman" w:hAnsi="Times New Roman" w:cs="Times New Roman"/>
                <w:color w:val="FFC000"/>
                <w:sz w:val="20"/>
                <w:szCs w:val="20"/>
                <w:lang w:val="en-US"/>
              </w:rPr>
              <w:t>6.9 (30</w:t>
            </w:r>
            <w:r w:rsidR="005034F0" w:rsidRPr="00E3404E">
              <w:rPr>
                <w:rFonts w:ascii="Times New Roman" w:hAnsi="Times New Roman" w:cs="Times New Roman"/>
                <w:color w:val="FFC000"/>
                <w:sz w:val="20"/>
                <w:szCs w:val="20"/>
                <w:lang w:val="en-US"/>
              </w:rPr>
              <w:t>)</w:t>
            </w:r>
          </w:p>
        </w:tc>
        <w:tc>
          <w:tcPr>
            <w:tcW w:w="428" w:type="pct"/>
            <w:tcBorders>
              <w:left w:val="single" w:sz="4" w:space="0" w:color="auto"/>
              <w:right w:val="nil"/>
            </w:tcBorders>
          </w:tcPr>
          <w:p w14:paraId="03AA52A6" w14:textId="2A3B16BB" w:rsidR="005034F0" w:rsidRPr="00E3404E" w:rsidRDefault="000D7E9D"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7.2</w:t>
            </w:r>
            <w:r w:rsidR="005034F0" w:rsidRPr="00E3404E">
              <w:rPr>
                <w:rFonts w:ascii="Times New Roman" w:hAnsi="Times New Roman" w:cs="Times New Roman"/>
                <w:sz w:val="20"/>
                <w:szCs w:val="20"/>
                <w:lang w:val="en-US"/>
              </w:rPr>
              <w:t xml:space="preserve"> (372)</w:t>
            </w:r>
          </w:p>
        </w:tc>
        <w:tc>
          <w:tcPr>
            <w:tcW w:w="427" w:type="pct"/>
            <w:tcBorders>
              <w:left w:val="nil"/>
              <w:right w:val="nil"/>
            </w:tcBorders>
          </w:tcPr>
          <w:p w14:paraId="38315D55" w14:textId="09B00110"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5.3</w:t>
            </w:r>
            <w:r w:rsidR="005034F0" w:rsidRPr="00E3404E">
              <w:rPr>
                <w:rFonts w:ascii="Times New Roman" w:hAnsi="Times New Roman" w:cs="Times New Roman"/>
                <w:sz w:val="20"/>
                <w:szCs w:val="20"/>
                <w:lang w:val="en-US"/>
              </w:rPr>
              <w:t xml:space="preserve"> (95)</w:t>
            </w:r>
          </w:p>
        </w:tc>
        <w:tc>
          <w:tcPr>
            <w:tcW w:w="427" w:type="pct"/>
            <w:tcBorders>
              <w:left w:val="nil"/>
              <w:right w:val="nil"/>
            </w:tcBorders>
          </w:tcPr>
          <w:p w14:paraId="58D6541A" w14:textId="3DFC3D35"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4.5</w:t>
            </w:r>
            <w:r w:rsidR="005034F0" w:rsidRPr="00E3404E">
              <w:rPr>
                <w:rFonts w:ascii="Times New Roman" w:hAnsi="Times New Roman" w:cs="Times New Roman"/>
                <w:sz w:val="20"/>
                <w:szCs w:val="20"/>
                <w:lang w:val="en-US"/>
              </w:rPr>
              <w:t xml:space="preserve"> (161)</w:t>
            </w:r>
          </w:p>
        </w:tc>
        <w:tc>
          <w:tcPr>
            <w:tcW w:w="427" w:type="pct"/>
            <w:tcBorders>
              <w:left w:val="nil"/>
              <w:right w:val="nil"/>
            </w:tcBorders>
          </w:tcPr>
          <w:p w14:paraId="31655B90" w14:textId="23308AE0" w:rsidR="005034F0" w:rsidRPr="00E3404E" w:rsidRDefault="000D7E9D"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5.</w:t>
            </w:r>
            <w:r w:rsidR="00E3404E" w:rsidRPr="00E3404E">
              <w:rPr>
                <w:rFonts w:ascii="Times New Roman" w:hAnsi="Times New Roman" w:cs="Times New Roman"/>
                <w:color w:val="FFC000"/>
                <w:sz w:val="20"/>
                <w:szCs w:val="20"/>
                <w:lang w:val="en-US"/>
              </w:rPr>
              <w:t>7</w:t>
            </w:r>
            <w:r w:rsidR="005034F0" w:rsidRPr="00E3404E">
              <w:rPr>
                <w:rFonts w:ascii="Times New Roman" w:hAnsi="Times New Roman" w:cs="Times New Roman"/>
                <w:sz w:val="20"/>
                <w:szCs w:val="20"/>
                <w:lang w:val="en-US"/>
              </w:rPr>
              <w:t xml:space="preserve"> (162)</w:t>
            </w:r>
          </w:p>
        </w:tc>
        <w:tc>
          <w:tcPr>
            <w:tcW w:w="452" w:type="pct"/>
            <w:tcBorders>
              <w:left w:val="nil"/>
              <w:right w:val="nil"/>
            </w:tcBorders>
          </w:tcPr>
          <w:p w14:paraId="18766F4B" w14:textId="45E352AA"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7.5</w:t>
            </w:r>
            <w:r w:rsidR="005034F0" w:rsidRPr="00E3404E">
              <w:rPr>
                <w:rFonts w:ascii="Times New Roman" w:hAnsi="Times New Roman" w:cs="Times New Roman"/>
                <w:sz w:val="20"/>
                <w:szCs w:val="20"/>
                <w:lang w:val="en-US"/>
              </w:rPr>
              <w:t xml:space="preserve"> (18)</w:t>
            </w:r>
          </w:p>
        </w:tc>
        <w:tc>
          <w:tcPr>
            <w:tcW w:w="490" w:type="pct"/>
            <w:tcBorders>
              <w:left w:val="nil"/>
            </w:tcBorders>
          </w:tcPr>
          <w:p w14:paraId="12984AC5" w14:textId="2A34A50A" w:rsidR="005034F0" w:rsidRPr="00E3404E" w:rsidRDefault="00E3404E" w:rsidP="005034F0">
            <w:pPr>
              <w:spacing w:line="360" w:lineRule="auto"/>
              <w:rPr>
                <w:rFonts w:ascii="Times New Roman" w:hAnsi="Times New Roman" w:cs="Times New Roman"/>
                <w:sz w:val="20"/>
                <w:szCs w:val="20"/>
                <w:lang w:val="en-US"/>
              </w:rPr>
            </w:pPr>
            <w:r w:rsidRPr="00E3404E">
              <w:rPr>
                <w:rFonts w:ascii="Times New Roman" w:hAnsi="Times New Roman" w:cs="Times New Roman"/>
                <w:color w:val="FFC000"/>
                <w:sz w:val="20"/>
                <w:szCs w:val="20"/>
                <w:lang w:val="en-US"/>
              </w:rPr>
              <w:t>8.4</w:t>
            </w:r>
            <w:r w:rsidR="005034F0" w:rsidRPr="00E3404E">
              <w:rPr>
                <w:rFonts w:ascii="Times New Roman" w:hAnsi="Times New Roman" w:cs="Times New Roman"/>
                <w:sz w:val="20"/>
                <w:szCs w:val="20"/>
                <w:lang w:val="en-US"/>
              </w:rPr>
              <w:t xml:space="preserve"> (76)</w:t>
            </w:r>
          </w:p>
        </w:tc>
      </w:tr>
      <w:tr w:rsidR="005701A3" w:rsidRPr="001C42B4" w14:paraId="748278EC" w14:textId="77777777" w:rsidTr="005701A3">
        <w:tc>
          <w:tcPr>
            <w:tcW w:w="5000" w:type="pct"/>
            <w:gridSpan w:val="10"/>
          </w:tcPr>
          <w:p w14:paraId="7B432FD9" w14:textId="0DA17F36" w:rsidR="005701A3" w:rsidRPr="00803215" w:rsidRDefault="005701A3" w:rsidP="007D77D4">
            <w:pPr>
              <w:spacing w:line="360" w:lineRule="auto"/>
              <w:rPr>
                <w:rFonts w:ascii="Times New Roman" w:hAnsi="Times New Roman" w:cs="Times New Roman"/>
                <w:sz w:val="20"/>
                <w:szCs w:val="20"/>
                <w:lang w:val="en-US"/>
              </w:rPr>
            </w:pPr>
            <w:r w:rsidRPr="00803215">
              <w:rPr>
                <w:rFonts w:ascii="Times New Roman" w:hAnsi="Times New Roman" w:cs="Times New Roman"/>
                <w:sz w:val="20"/>
                <w:szCs w:val="20"/>
                <w:lang w:val="en-US"/>
              </w:rPr>
              <w:t>Abbreviations: EHRA classification: Evaluated Heartvalves, Rheumatic or Artificial valve classification, OAC: Oral anticoagulation, VHD: Valvular heart disease.</w:t>
            </w:r>
          </w:p>
          <w:p w14:paraId="5B8F8959" w14:textId="77777777" w:rsidR="005701A3" w:rsidRPr="00803215" w:rsidRDefault="005701A3" w:rsidP="007D77D4">
            <w:pPr>
              <w:spacing w:line="360" w:lineRule="auto"/>
              <w:rPr>
                <w:rFonts w:ascii="Times New Roman" w:hAnsi="Times New Roman" w:cs="Times New Roman"/>
                <w:sz w:val="20"/>
                <w:szCs w:val="20"/>
                <w:lang w:val="en-US"/>
              </w:rPr>
            </w:pPr>
            <w:r>
              <w:rPr>
                <w:rFonts w:ascii="Open Sans" w:hAnsi="Open Sans" w:cs="Arial"/>
                <w:color w:val="1C1D1E"/>
                <w:sz w:val="21"/>
                <w:szCs w:val="21"/>
                <w:lang w:val="en"/>
              </w:rPr>
              <w:t>†</w:t>
            </w:r>
            <w:r w:rsidRPr="00803215">
              <w:rPr>
                <w:rFonts w:ascii="Times New Roman" w:hAnsi="Times New Roman" w:cs="Times New Roman"/>
                <w:sz w:val="20"/>
                <w:szCs w:val="20"/>
                <w:lang w:val="en-US"/>
              </w:rPr>
              <w:t>Calculated using the Aalen-Johansen estimator taking competing risk of death into consideration.</w:t>
            </w:r>
          </w:p>
          <w:p w14:paraId="2C94FC5E" w14:textId="77777777" w:rsidR="005701A3" w:rsidRPr="00803215" w:rsidRDefault="005701A3" w:rsidP="007D77D4">
            <w:pPr>
              <w:spacing w:line="360" w:lineRule="auto"/>
              <w:rPr>
                <w:rFonts w:ascii="Times New Roman" w:hAnsi="Times New Roman" w:cs="Times New Roman"/>
                <w:sz w:val="20"/>
                <w:szCs w:val="20"/>
                <w:lang w:val="en-US"/>
              </w:rPr>
            </w:pPr>
            <w:r>
              <w:rPr>
                <w:rFonts w:ascii="Open Sans" w:hAnsi="Open Sans" w:cs="Arial"/>
                <w:color w:val="1C1D1E"/>
                <w:sz w:val="21"/>
                <w:szCs w:val="21"/>
                <w:lang w:val="en"/>
              </w:rPr>
              <w:t>‡</w:t>
            </w:r>
            <w:r w:rsidRPr="00803215">
              <w:rPr>
                <w:rFonts w:ascii="Times New Roman" w:hAnsi="Times New Roman" w:cs="Times New Roman"/>
                <w:sz w:val="20"/>
                <w:szCs w:val="20"/>
                <w:lang w:val="en-US"/>
              </w:rPr>
              <w:t>Defined as intracranial bleeding, gastrointestinal bleeding, or major clinically relevant bleeding located elsewhere.</w:t>
            </w:r>
          </w:p>
          <w:p w14:paraId="6AA25E3D" w14:textId="77777777" w:rsidR="005701A3" w:rsidRDefault="005701A3" w:rsidP="007D77D4">
            <w:pPr>
              <w:spacing w:line="360" w:lineRule="auto"/>
              <w:rPr>
                <w:rFonts w:ascii="Times New Roman" w:hAnsi="Times New Roman" w:cs="Times New Roman"/>
                <w:sz w:val="20"/>
                <w:szCs w:val="20"/>
                <w:lang w:val="en-US" w:bidi="th-TH"/>
              </w:rPr>
            </w:pPr>
            <w:r>
              <w:rPr>
                <w:rFonts w:ascii="Open Sans" w:hAnsi="Open Sans" w:cs="Arial"/>
                <w:color w:val="1C1D1E"/>
                <w:sz w:val="21"/>
                <w:szCs w:val="21"/>
                <w:lang w:val="en"/>
              </w:rPr>
              <w:t>§</w:t>
            </w:r>
            <w:r w:rsidRPr="00803215">
              <w:rPr>
                <w:rFonts w:ascii="Times New Roman" w:hAnsi="Times New Roman" w:cs="Times New Roman"/>
                <w:sz w:val="20"/>
                <w:szCs w:val="20"/>
                <w:lang w:val="en-US" w:bidi="th-TH"/>
              </w:rPr>
              <w:t>Due to the low number of patients in the non-anticoagulated subgroup with a bioprosthetic mitral valve replacement, a reliable risk estimate will not be obtainable and, therefore, the absolute risks of events were not calculated in this subgroup.</w:t>
            </w:r>
          </w:p>
          <w:p w14:paraId="72063DEC" w14:textId="77777777" w:rsidR="005701A3" w:rsidRPr="00803215" w:rsidRDefault="005701A3" w:rsidP="007D77D4">
            <w:pPr>
              <w:spacing w:line="360" w:lineRule="auto"/>
              <w:rPr>
                <w:rFonts w:ascii="Times New Roman" w:hAnsi="Times New Roman" w:cs="Times New Roman"/>
                <w:sz w:val="20"/>
                <w:szCs w:val="20"/>
                <w:lang w:val="en-US" w:bidi="th-TH"/>
              </w:rPr>
            </w:pPr>
            <w:r>
              <w:rPr>
                <w:rFonts w:ascii="Open Sans" w:hAnsi="Open Sans" w:cs="Arial"/>
                <w:color w:val="1C1D1E"/>
                <w:sz w:val="21"/>
                <w:szCs w:val="21"/>
                <w:lang w:val="en"/>
              </w:rPr>
              <w:t xml:space="preserve">¶ </w:t>
            </w:r>
            <w:r w:rsidRPr="00803215">
              <w:rPr>
                <w:rFonts w:ascii="Times New Roman" w:hAnsi="Times New Roman" w:cs="Times New Roman"/>
                <w:bCs/>
                <w:sz w:val="20"/>
                <w:szCs w:val="20"/>
                <w:lang w:val="en-US" w:bidi="th-TH"/>
              </w:rPr>
              <w:t>Patients with tricuspid stenosis/regurgitation, pulmonary valve stenosis/regurgitation, or multiple valve disease.</w:t>
            </w:r>
          </w:p>
        </w:tc>
      </w:tr>
    </w:tbl>
    <w:p w14:paraId="390780F2" w14:textId="5D0A51A1" w:rsidR="006A2CD7" w:rsidRPr="0046706F" w:rsidRDefault="006A2CD7" w:rsidP="006A2CD7">
      <w:pPr>
        <w:jc w:val="left"/>
        <w:rPr>
          <w:rFonts w:ascii="Times New Roman" w:hAnsi="Times New Roman" w:cs="Times New Roman"/>
          <w:sz w:val="24"/>
          <w:szCs w:val="24"/>
          <w:lang w:val="en-US"/>
        </w:rPr>
      </w:pPr>
    </w:p>
    <w:sectPr w:rsidR="006A2CD7" w:rsidRPr="0046706F" w:rsidSect="006A2CD7">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075E7" w14:textId="77777777" w:rsidR="000146D0" w:rsidRDefault="000146D0" w:rsidP="003249C8">
      <w:pPr>
        <w:spacing w:after="0" w:line="240" w:lineRule="auto"/>
      </w:pPr>
      <w:r>
        <w:separator/>
      </w:r>
    </w:p>
  </w:endnote>
  <w:endnote w:type="continuationSeparator" w:id="0">
    <w:p w14:paraId="1FC4D8BF" w14:textId="77777777" w:rsidR="000146D0" w:rsidRDefault="000146D0" w:rsidP="0032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ardianTextEgypGR-Regular">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235856347"/>
      <w:docPartObj>
        <w:docPartGallery w:val="Page Numbers (Bottom of Page)"/>
        <w:docPartUnique/>
      </w:docPartObj>
    </w:sdtPr>
    <w:sdtEndPr>
      <w:rPr>
        <w:rStyle w:val="Sidetal"/>
      </w:rPr>
    </w:sdtEndPr>
    <w:sdtContent>
      <w:p w14:paraId="7400E541" w14:textId="67CF214C" w:rsidR="00C6500A" w:rsidRDefault="00C6500A" w:rsidP="00E11A2B">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5704F391" w14:textId="77777777" w:rsidR="00C6500A" w:rsidRDefault="00C6500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968201738"/>
      <w:docPartObj>
        <w:docPartGallery w:val="Page Numbers (Bottom of Page)"/>
        <w:docPartUnique/>
      </w:docPartObj>
    </w:sdtPr>
    <w:sdtEndPr>
      <w:rPr>
        <w:rStyle w:val="Sidetal"/>
      </w:rPr>
    </w:sdtEndPr>
    <w:sdtContent>
      <w:p w14:paraId="25B5BB3D" w14:textId="6CC0F406" w:rsidR="00C6500A" w:rsidRDefault="00C6500A" w:rsidP="00E11A2B">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1C42B4">
          <w:rPr>
            <w:rStyle w:val="Sidetal"/>
            <w:noProof/>
          </w:rPr>
          <w:t>20</w:t>
        </w:r>
        <w:r>
          <w:rPr>
            <w:rStyle w:val="Sidetal"/>
          </w:rPr>
          <w:fldChar w:fldCharType="end"/>
        </w:r>
      </w:p>
    </w:sdtContent>
  </w:sdt>
  <w:p w14:paraId="6E614C37" w14:textId="77777777" w:rsidR="00C6500A" w:rsidRDefault="00C6500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98297" w14:textId="77777777" w:rsidR="000146D0" w:rsidRDefault="000146D0" w:rsidP="003249C8">
      <w:pPr>
        <w:spacing w:after="0" w:line="240" w:lineRule="auto"/>
      </w:pPr>
      <w:r>
        <w:separator/>
      </w:r>
    </w:p>
  </w:footnote>
  <w:footnote w:type="continuationSeparator" w:id="0">
    <w:p w14:paraId="49BD0ABE" w14:textId="77777777" w:rsidR="000146D0" w:rsidRDefault="000146D0" w:rsidP="00324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B077A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7A62A8"/>
    <w:multiLevelType w:val="hybridMultilevel"/>
    <w:tmpl w:val="E58CC44E"/>
    <w:lvl w:ilvl="0" w:tplc="BD0AB9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6E693A"/>
    <w:multiLevelType w:val="hybridMultilevel"/>
    <w:tmpl w:val="6BB09E16"/>
    <w:lvl w:ilvl="0" w:tplc="BFFA70BC">
      <w:start w:val="3"/>
      <w:numFmt w:val="bullet"/>
      <w:lvlText w:val="-"/>
      <w:lvlJc w:val="left"/>
      <w:pPr>
        <w:ind w:left="720" w:hanging="360"/>
      </w:pPr>
      <w:rPr>
        <w:rFonts w:ascii="Calibri" w:eastAsia="GuardianTextEgypGR-Regular"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21254D"/>
    <w:multiLevelType w:val="hybridMultilevel"/>
    <w:tmpl w:val="4E30DC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2E3F1E"/>
    <w:multiLevelType w:val="hybridMultilevel"/>
    <w:tmpl w:val="31B201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6409FB"/>
    <w:multiLevelType w:val="hybridMultilevel"/>
    <w:tmpl w:val="37F8863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70D6E"/>
    <w:multiLevelType w:val="hybridMultilevel"/>
    <w:tmpl w:val="C42C860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D111B6"/>
    <w:multiLevelType w:val="hybridMultilevel"/>
    <w:tmpl w:val="53C41926"/>
    <w:lvl w:ilvl="0" w:tplc="203E669E">
      <w:start w:val="3"/>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30089D"/>
    <w:multiLevelType w:val="hybridMultilevel"/>
    <w:tmpl w:val="E22C2F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806E46"/>
    <w:multiLevelType w:val="hybridMultilevel"/>
    <w:tmpl w:val="BEA2F80C"/>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10" w15:restartNumberingAfterBreak="0">
    <w:nsid w:val="6A8E12B0"/>
    <w:multiLevelType w:val="hybridMultilevel"/>
    <w:tmpl w:val="411C2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BB3C34"/>
    <w:multiLevelType w:val="hybridMultilevel"/>
    <w:tmpl w:val="925C4776"/>
    <w:lvl w:ilvl="0" w:tplc="0548F7D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EB13F85"/>
    <w:multiLevelType w:val="hybridMultilevel"/>
    <w:tmpl w:val="200A70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F327C78"/>
    <w:multiLevelType w:val="hybridMultilevel"/>
    <w:tmpl w:val="AB961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0"/>
  </w:num>
  <w:num w:numId="5">
    <w:abstractNumId w:val="4"/>
  </w:num>
  <w:num w:numId="6">
    <w:abstractNumId w:val="5"/>
  </w:num>
  <w:num w:numId="7">
    <w:abstractNumId w:val="6"/>
  </w:num>
  <w:num w:numId="8">
    <w:abstractNumId w:val="1"/>
  </w:num>
  <w:num w:numId="9">
    <w:abstractNumId w:val="13"/>
  </w:num>
  <w:num w:numId="10">
    <w:abstractNumId w:val="2"/>
  </w:num>
  <w:num w:numId="11">
    <w:abstractNumId w:val="0"/>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B6"/>
    <w:rsid w:val="00000FE3"/>
    <w:rsid w:val="00001B32"/>
    <w:rsid w:val="00002481"/>
    <w:rsid w:val="00002719"/>
    <w:rsid w:val="000027C4"/>
    <w:rsid w:val="00002F7A"/>
    <w:rsid w:val="00002FC2"/>
    <w:rsid w:val="00010D2D"/>
    <w:rsid w:val="0001382C"/>
    <w:rsid w:val="000146D0"/>
    <w:rsid w:val="00015067"/>
    <w:rsid w:val="0002037A"/>
    <w:rsid w:val="00021E27"/>
    <w:rsid w:val="00023460"/>
    <w:rsid w:val="000235C2"/>
    <w:rsid w:val="00024A09"/>
    <w:rsid w:val="00024C53"/>
    <w:rsid w:val="00030DD5"/>
    <w:rsid w:val="000316E9"/>
    <w:rsid w:val="00031E00"/>
    <w:rsid w:val="000320B9"/>
    <w:rsid w:val="000333A2"/>
    <w:rsid w:val="00033A9A"/>
    <w:rsid w:val="00033FDF"/>
    <w:rsid w:val="00034C09"/>
    <w:rsid w:val="00037A91"/>
    <w:rsid w:val="00042499"/>
    <w:rsid w:val="000427FB"/>
    <w:rsid w:val="000436EE"/>
    <w:rsid w:val="00043AEB"/>
    <w:rsid w:val="00044210"/>
    <w:rsid w:val="00044A8B"/>
    <w:rsid w:val="000477F3"/>
    <w:rsid w:val="0005101B"/>
    <w:rsid w:val="000512F2"/>
    <w:rsid w:val="00051E90"/>
    <w:rsid w:val="000533EC"/>
    <w:rsid w:val="00055ABB"/>
    <w:rsid w:val="00057685"/>
    <w:rsid w:val="00057AFA"/>
    <w:rsid w:val="00063629"/>
    <w:rsid w:val="00065EDB"/>
    <w:rsid w:val="00066C25"/>
    <w:rsid w:val="000673C1"/>
    <w:rsid w:val="000730F8"/>
    <w:rsid w:val="0007388B"/>
    <w:rsid w:val="00073FD9"/>
    <w:rsid w:val="00074982"/>
    <w:rsid w:val="00074E21"/>
    <w:rsid w:val="000757ED"/>
    <w:rsid w:val="000774C4"/>
    <w:rsid w:val="000777D9"/>
    <w:rsid w:val="000803B5"/>
    <w:rsid w:val="00080F32"/>
    <w:rsid w:val="00082ABE"/>
    <w:rsid w:val="000833CE"/>
    <w:rsid w:val="00084628"/>
    <w:rsid w:val="00086ED9"/>
    <w:rsid w:val="00090286"/>
    <w:rsid w:val="00091334"/>
    <w:rsid w:val="000925AE"/>
    <w:rsid w:val="00092638"/>
    <w:rsid w:val="00093245"/>
    <w:rsid w:val="00094D96"/>
    <w:rsid w:val="00096705"/>
    <w:rsid w:val="00097C32"/>
    <w:rsid w:val="000A0698"/>
    <w:rsid w:val="000A1D64"/>
    <w:rsid w:val="000B046C"/>
    <w:rsid w:val="000B0746"/>
    <w:rsid w:val="000B3CAF"/>
    <w:rsid w:val="000B5110"/>
    <w:rsid w:val="000B774D"/>
    <w:rsid w:val="000C138F"/>
    <w:rsid w:val="000C1DFE"/>
    <w:rsid w:val="000C2492"/>
    <w:rsid w:val="000C3726"/>
    <w:rsid w:val="000C3757"/>
    <w:rsid w:val="000C4940"/>
    <w:rsid w:val="000C5059"/>
    <w:rsid w:val="000D1A16"/>
    <w:rsid w:val="000D2C4D"/>
    <w:rsid w:val="000D348E"/>
    <w:rsid w:val="000D3BF9"/>
    <w:rsid w:val="000D3F0D"/>
    <w:rsid w:val="000D5E61"/>
    <w:rsid w:val="000D7E9D"/>
    <w:rsid w:val="000E0ABE"/>
    <w:rsid w:val="000E0DA6"/>
    <w:rsid w:val="000E1851"/>
    <w:rsid w:val="000E3634"/>
    <w:rsid w:val="000E428F"/>
    <w:rsid w:val="000E56BF"/>
    <w:rsid w:val="000E59A3"/>
    <w:rsid w:val="000E5AE9"/>
    <w:rsid w:val="000F0BA7"/>
    <w:rsid w:val="000F0F8B"/>
    <w:rsid w:val="000F1898"/>
    <w:rsid w:val="000F2E78"/>
    <w:rsid w:val="000F31F1"/>
    <w:rsid w:val="000F3BFA"/>
    <w:rsid w:val="000F4F4B"/>
    <w:rsid w:val="000F5460"/>
    <w:rsid w:val="000F5E35"/>
    <w:rsid w:val="00104841"/>
    <w:rsid w:val="00104A74"/>
    <w:rsid w:val="00104D51"/>
    <w:rsid w:val="00104F43"/>
    <w:rsid w:val="00104FC2"/>
    <w:rsid w:val="00105780"/>
    <w:rsid w:val="001065F0"/>
    <w:rsid w:val="001068D0"/>
    <w:rsid w:val="001073F1"/>
    <w:rsid w:val="00107965"/>
    <w:rsid w:val="00107E6E"/>
    <w:rsid w:val="001100B7"/>
    <w:rsid w:val="00110AE1"/>
    <w:rsid w:val="001115E3"/>
    <w:rsid w:val="00115952"/>
    <w:rsid w:val="00116219"/>
    <w:rsid w:val="0011625A"/>
    <w:rsid w:val="00117097"/>
    <w:rsid w:val="00117443"/>
    <w:rsid w:val="00120226"/>
    <w:rsid w:val="00124B01"/>
    <w:rsid w:val="00126695"/>
    <w:rsid w:val="0013033F"/>
    <w:rsid w:val="00130E94"/>
    <w:rsid w:val="0013176E"/>
    <w:rsid w:val="00140137"/>
    <w:rsid w:val="001413F9"/>
    <w:rsid w:val="00143B84"/>
    <w:rsid w:val="00152612"/>
    <w:rsid w:val="00152F1F"/>
    <w:rsid w:val="00152FA1"/>
    <w:rsid w:val="001619DC"/>
    <w:rsid w:val="00161DC6"/>
    <w:rsid w:val="00163C8B"/>
    <w:rsid w:val="00164D45"/>
    <w:rsid w:val="001662CB"/>
    <w:rsid w:val="0016644F"/>
    <w:rsid w:val="001668B7"/>
    <w:rsid w:val="001712B4"/>
    <w:rsid w:val="001738F2"/>
    <w:rsid w:val="00174C21"/>
    <w:rsid w:val="001774EC"/>
    <w:rsid w:val="00184B5A"/>
    <w:rsid w:val="00190280"/>
    <w:rsid w:val="00190B7C"/>
    <w:rsid w:val="00190DFD"/>
    <w:rsid w:val="001919A8"/>
    <w:rsid w:val="001936FB"/>
    <w:rsid w:val="00195A4F"/>
    <w:rsid w:val="00197556"/>
    <w:rsid w:val="001A15E5"/>
    <w:rsid w:val="001A1B57"/>
    <w:rsid w:val="001A1F77"/>
    <w:rsid w:val="001A3B2C"/>
    <w:rsid w:val="001A4C32"/>
    <w:rsid w:val="001A7240"/>
    <w:rsid w:val="001B140A"/>
    <w:rsid w:val="001B1E2F"/>
    <w:rsid w:val="001B1F01"/>
    <w:rsid w:val="001B2EDA"/>
    <w:rsid w:val="001B715E"/>
    <w:rsid w:val="001B7716"/>
    <w:rsid w:val="001C15CC"/>
    <w:rsid w:val="001C38CF"/>
    <w:rsid w:val="001C42AD"/>
    <w:rsid w:val="001C42B4"/>
    <w:rsid w:val="001C4A15"/>
    <w:rsid w:val="001D04F9"/>
    <w:rsid w:val="001D1330"/>
    <w:rsid w:val="001D241A"/>
    <w:rsid w:val="001D32DF"/>
    <w:rsid w:val="001D38C5"/>
    <w:rsid w:val="001D4A87"/>
    <w:rsid w:val="001D656B"/>
    <w:rsid w:val="001D7951"/>
    <w:rsid w:val="001E0144"/>
    <w:rsid w:val="001E0C23"/>
    <w:rsid w:val="001E0C44"/>
    <w:rsid w:val="001E1E6C"/>
    <w:rsid w:val="001E2413"/>
    <w:rsid w:val="001E3D94"/>
    <w:rsid w:val="001E69D8"/>
    <w:rsid w:val="001E7547"/>
    <w:rsid w:val="001F141C"/>
    <w:rsid w:val="001F1C19"/>
    <w:rsid w:val="001F2D36"/>
    <w:rsid w:val="001F2E01"/>
    <w:rsid w:val="001F342A"/>
    <w:rsid w:val="001F55DE"/>
    <w:rsid w:val="00200EAD"/>
    <w:rsid w:val="00201442"/>
    <w:rsid w:val="00201769"/>
    <w:rsid w:val="00202A87"/>
    <w:rsid w:val="002038C2"/>
    <w:rsid w:val="00203E19"/>
    <w:rsid w:val="002050B3"/>
    <w:rsid w:val="00205323"/>
    <w:rsid w:val="00206374"/>
    <w:rsid w:val="002101C3"/>
    <w:rsid w:val="0021257E"/>
    <w:rsid w:val="00213C1D"/>
    <w:rsid w:val="00214CED"/>
    <w:rsid w:val="002152AF"/>
    <w:rsid w:val="00215B80"/>
    <w:rsid w:val="00216914"/>
    <w:rsid w:val="0022010E"/>
    <w:rsid w:val="00220F46"/>
    <w:rsid w:val="002211BF"/>
    <w:rsid w:val="00221F79"/>
    <w:rsid w:val="00224E3D"/>
    <w:rsid w:val="0022677A"/>
    <w:rsid w:val="002303DB"/>
    <w:rsid w:val="002308D6"/>
    <w:rsid w:val="00234A18"/>
    <w:rsid w:val="00235C9E"/>
    <w:rsid w:val="00236B98"/>
    <w:rsid w:val="0023712D"/>
    <w:rsid w:val="00237F53"/>
    <w:rsid w:val="0024057B"/>
    <w:rsid w:val="002409F3"/>
    <w:rsid w:val="00241C64"/>
    <w:rsid w:val="002445A9"/>
    <w:rsid w:val="0025006C"/>
    <w:rsid w:val="00251A67"/>
    <w:rsid w:val="00252BCC"/>
    <w:rsid w:val="00256F17"/>
    <w:rsid w:val="002614C7"/>
    <w:rsid w:val="00263404"/>
    <w:rsid w:val="00263683"/>
    <w:rsid w:val="00263B3F"/>
    <w:rsid w:val="00263E14"/>
    <w:rsid w:val="002669A6"/>
    <w:rsid w:val="002669F4"/>
    <w:rsid w:val="00267B8D"/>
    <w:rsid w:val="00273FAB"/>
    <w:rsid w:val="00274CBF"/>
    <w:rsid w:val="00275D72"/>
    <w:rsid w:val="002765B0"/>
    <w:rsid w:val="00277896"/>
    <w:rsid w:val="002801BF"/>
    <w:rsid w:val="002810FC"/>
    <w:rsid w:val="00282C04"/>
    <w:rsid w:val="00283570"/>
    <w:rsid w:val="002849A7"/>
    <w:rsid w:val="00286184"/>
    <w:rsid w:val="00286674"/>
    <w:rsid w:val="00286705"/>
    <w:rsid w:val="00286B65"/>
    <w:rsid w:val="0029037D"/>
    <w:rsid w:val="0029089F"/>
    <w:rsid w:val="00290E76"/>
    <w:rsid w:val="00291546"/>
    <w:rsid w:val="002931F7"/>
    <w:rsid w:val="00296D98"/>
    <w:rsid w:val="002A00D2"/>
    <w:rsid w:val="002A2870"/>
    <w:rsid w:val="002A5341"/>
    <w:rsid w:val="002A66F2"/>
    <w:rsid w:val="002A6E91"/>
    <w:rsid w:val="002A7475"/>
    <w:rsid w:val="002A7978"/>
    <w:rsid w:val="002B0A08"/>
    <w:rsid w:val="002B226D"/>
    <w:rsid w:val="002B2E8D"/>
    <w:rsid w:val="002B3808"/>
    <w:rsid w:val="002B455C"/>
    <w:rsid w:val="002B4F6C"/>
    <w:rsid w:val="002B4F88"/>
    <w:rsid w:val="002B54F6"/>
    <w:rsid w:val="002B6401"/>
    <w:rsid w:val="002B6A4D"/>
    <w:rsid w:val="002C34E9"/>
    <w:rsid w:val="002C433B"/>
    <w:rsid w:val="002C49E6"/>
    <w:rsid w:val="002C4C6E"/>
    <w:rsid w:val="002C6998"/>
    <w:rsid w:val="002C7C66"/>
    <w:rsid w:val="002D0A04"/>
    <w:rsid w:val="002D0B5D"/>
    <w:rsid w:val="002D1BF4"/>
    <w:rsid w:val="002D4AE0"/>
    <w:rsid w:val="002D5533"/>
    <w:rsid w:val="002D701A"/>
    <w:rsid w:val="002E2714"/>
    <w:rsid w:val="002E3A3B"/>
    <w:rsid w:val="002E5154"/>
    <w:rsid w:val="002E5E3D"/>
    <w:rsid w:val="002E72ED"/>
    <w:rsid w:val="002F3048"/>
    <w:rsid w:val="002F4CD8"/>
    <w:rsid w:val="002F6804"/>
    <w:rsid w:val="002F74B7"/>
    <w:rsid w:val="00300359"/>
    <w:rsid w:val="00300D32"/>
    <w:rsid w:val="00305697"/>
    <w:rsid w:val="0030583E"/>
    <w:rsid w:val="0030608D"/>
    <w:rsid w:val="00306175"/>
    <w:rsid w:val="003069A8"/>
    <w:rsid w:val="00310493"/>
    <w:rsid w:val="00313302"/>
    <w:rsid w:val="00315ACC"/>
    <w:rsid w:val="00316223"/>
    <w:rsid w:val="00320F21"/>
    <w:rsid w:val="003210CF"/>
    <w:rsid w:val="00323048"/>
    <w:rsid w:val="003249C8"/>
    <w:rsid w:val="003260FA"/>
    <w:rsid w:val="003266A6"/>
    <w:rsid w:val="003275E8"/>
    <w:rsid w:val="00330AAB"/>
    <w:rsid w:val="0033165D"/>
    <w:rsid w:val="003321E6"/>
    <w:rsid w:val="003326A1"/>
    <w:rsid w:val="00332748"/>
    <w:rsid w:val="00332E64"/>
    <w:rsid w:val="00334732"/>
    <w:rsid w:val="00336331"/>
    <w:rsid w:val="00336883"/>
    <w:rsid w:val="003370E5"/>
    <w:rsid w:val="00340897"/>
    <w:rsid w:val="00341063"/>
    <w:rsid w:val="00343031"/>
    <w:rsid w:val="00343E45"/>
    <w:rsid w:val="0034690F"/>
    <w:rsid w:val="00351AE6"/>
    <w:rsid w:val="003537A2"/>
    <w:rsid w:val="00354ECB"/>
    <w:rsid w:val="00354F35"/>
    <w:rsid w:val="00355C9F"/>
    <w:rsid w:val="00357679"/>
    <w:rsid w:val="0036021D"/>
    <w:rsid w:val="0036027D"/>
    <w:rsid w:val="00362845"/>
    <w:rsid w:val="00365E92"/>
    <w:rsid w:val="003666E8"/>
    <w:rsid w:val="00366AC9"/>
    <w:rsid w:val="00367D0F"/>
    <w:rsid w:val="00370F5B"/>
    <w:rsid w:val="00372102"/>
    <w:rsid w:val="00375B07"/>
    <w:rsid w:val="00375B4E"/>
    <w:rsid w:val="0037782C"/>
    <w:rsid w:val="00380556"/>
    <w:rsid w:val="00381045"/>
    <w:rsid w:val="003845A6"/>
    <w:rsid w:val="00384B93"/>
    <w:rsid w:val="00385ACE"/>
    <w:rsid w:val="00385F29"/>
    <w:rsid w:val="0039026A"/>
    <w:rsid w:val="003931A7"/>
    <w:rsid w:val="003947B8"/>
    <w:rsid w:val="00395115"/>
    <w:rsid w:val="003A19B6"/>
    <w:rsid w:val="003A37FC"/>
    <w:rsid w:val="003A65B4"/>
    <w:rsid w:val="003A7DDE"/>
    <w:rsid w:val="003B0345"/>
    <w:rsid w:val="003B2EC6"/>
    <w:rsid w:val="003B57AC"/>
    <w:rsid w:val="003B7B78"/>
    <w:rsid w:val="003C0E2A"/>
    <w:rsid w:val="003C1F2F"/>
    <w:rsid w:val="003C2577"/>
    <w:rsid w:val="003C42DE"/>
    <w:rsid w:val="003C7047"/>
    <w:rsid w:val="003C7E2F"/>
    <w:rsid w:val="003D1504"/>
    <w:rsid w:val="003D1B2C"/>
    <w:rsid w:val="003D1F87"/>
    <w:rsid w:val="003D2627"/>
    <w:rsid w:val="003D2F02"/>
    <w:rsid w:val="003D3670"/>
    <w:rsid w:val="003D38FD"/>
    <w:rsid w:val="003D610F"/>
    <w:rsid w:val="003D6A98"/>
    <w:rsid w:val="003D6B7C"/>
    <w:rsid w:val="003D6F8F"/>
    <w:rsid w:val="003D7827"/>
    <w:rsid w:val="003E19E0"/>
    <w:rsid w:val="003E1A0C"/>
    <w:rsid w:val="003E332C"/>
    <w:rsid w:val="003E368E"/>
    <w:rsid w:val="003E3DAB"/>
    <w:rsid w:val="003E49E9"/>
    <w:rsid w:val="003E6CD1"/>
    <w:rsid w:val="003E70A6"/>
    <w:rsid w:val="003F00E8"/>
    <w:rsid w:val="003F3188"/>
    <w:rsid w:val="003F35EF"/>
    <w:rsid w:val="003F3D10"/>
    <w:rsid w:val="003F7221"/>
    <w:rsid w:val="00401552"/>
    <w:rsid w:val="00403337"/>
    <w:rsid w:val="004041DA"/>
    <w:rsid w:val="00404AB0"/>
    <w:rsid w:val="00404FF0"/>
    <w:rsid w:val="00405A41"/>
    <w:rsid w:val="00405F9C"/>
    <w:rsid w:val="0041092B"/>
    <w:rsid w:val="00414207"/>
    <w:rsid w:val="004159CA"/>
    <w:rsid w:val="004205D1"/>
    <w:rsid w:val="00420818"/>
    <w:rsid w:val="00421752"/>
    <w:rsid w:val="00424F7B"/>
    <w:rsid w:val="004251CF"/>
    <w:rsid w:val="00425224"/>
    <w:rsid w:val="0042607C"/>
    <w:rsid w:val="004343FF"/>
    <w:rsid w:val="004346D7"/>
    <w:rsid w:val="00436E92"/>
    <w:rsid w:val="00440F41"/>
    <w:rsid w:val="0044171E"/>
    <w:rsid w:val="00441D9B"/>
    <w:rsid w:val="0044210E"/>
    <w:rsid w:val="00443194"/>
    <w:rsid w:val="004439BE"/>
    <w:rsid w:val="00446B41"/>
    <w:rsid w:val="0044740A"/>
    <w:rsid w:val="00452C1A"/>
    <w:rsid w:val="00453AD2"/>
    <w:rsid w:val="00456522"/>
    <w:rsid w:val="00460C8E"/>
    <w:rsid w:val="00461307"/>
    <w:rsid w:val="00464CE6"/>
    <w:rsid w:val="00464D0A"/>
    <w:rsid w:val="00464E42"/>
    <w:rsid w:val="0046706F"/>
    <w:rsid w:val="00474367"/>
    <w:rsid w:val="004750FF"/>
    <w:rsid w:val="00484753"/>
    <w:rsid w:val="00485D3E"/>
    <w:rsid w:val="00486EC4"/>
    <w:rsid w:val="004901F5"/>
    <w:rsid w:val="00490456"/>
    <w:rsid w:val="00491688"/>
    <w:rsid w:val="0049307D"/>
    <w:rsid w:val="004A4CDC"/>
    <w:rsid w:val="004A55DB"/>
    <w:rsid w:val="004A5FBA"/>
    <w:rsid w:val="004A7E34"/>
    <w:rsid w:val="004B1D26"/>
    <w:rsid w:val="004B2E04"/>
    <w:rsid w:val="004B3AB6"/>
    <w:rsid w:val="004B58AD"/>
    <w:rsid w:val="004B5ADB"/>
    <w:rsid w:val="004B7DFA"/>
    <w:rsid w:val="004B7E44"/>
    <w:rsid w:val="004C29A0"/>
    <w:rsid w:val="004C4088"/>
    <w:rsid w:val="004C735F"/>
    <w:rsid w:val="004D0C9B"/>
    <w:rsid w:val="004D2694"/>
    <w:rsid w:val="004D3D98"/>
    <w:rsid w:val="004D419C"/>
    <w:rsid w:val="004D5820"/>
    <w:rsid w:val="004D6B1C"/>
    <w:rsid w:val="004D7120"/>
    <w:rsid w:val="004E1607"/>
    <w:rsid w:val="004E18D4"/>
    <w:rsid w:val="004E1F53"/>
    <w:rsid w:val="004E275A"/>
    <w:rsid w:val="004E27C3"/>
    <w:rsid w:val="004E42F0"/>
    <w:rsid w:val="004E4C5F"/>
    <w:rsid w:val="004F3372"/>
    <w:rsid w:val="004F47F2"/>
    <w:rsid w:val="004F4F2B"/>
    <w:rsid w:val="004F6367"/>
    <w:rsid w:val="004F6500"/>
    <w:rsid w:val="004F65B4"/>
    <w:rsid w:val="005034F0"/>
    <w:rsid w:val="00505FD6"/>
    <w:rsid w:val="005101B9"/>
    <w:rsid w:val="00510F0E"/>
    <w:rsid w:val="00511268"/>
    <w:rsid w:val="00513808"/>
    <w:rsid w:val="00517913"/>
    <w:rsid w:val="00521BBF"/>
    <w:rsid w:val="005246FC"/>
    <w:rsid w:val="0052552F"/>
    <w:rsid w:val="0052760A"/>
    <w:rsid w:val="00532138"/>
    <w:rsid w:val="005324E9"/>
    <w:rsid w:val="00533A14"/>
    <w:rsid w:val="00533CDF"/>
    <w:rsid w:val="00540210"/>
    <w:rsid w:val="005406CF"/>
    <w:rsid w:val="005409EF"/>
    <w:rsid w:val="00551403"/>
    <w:rsid w:val="0055176D"/>
    <w:rsid w:val="0055321C"/>
    <w:rsid w:val="00553805"/>
    <w:rsid w:val="005611EA"/>
    <w:rsid w:val="00561F1A"/>
    <w:rsid w:val="00562D7C"/>
    <w:rsid w:val="005647D8"/>
    <w:rsid w:val="00565000"/>
    <w:rsid w:val="0056531A"/>
    <w:rsid w:val="00565BA5"/>
    <w:rsid w:val="005701A3"/>
    <w:rsid w:val="005705E9"/>
    <w:rsid w:val="005727D2"/>
    <w:rsid w:val="00574461"/>
    <w:rsid w:val="00574C0A"/>
    <w:rsid w:val="00584AB7"/>
    <w:rsid w:val="00585007"/>
    <w:rsid w:val="005855B1"/>
    <w:rsid w:val="005872D6"/>
    <w:rsid w:val="00587591"/>
    <w:rsid w:val="005905E9"/>
    <w:rsid w:val="00591E16"/>
    <w:rsid w:val="00592976"/>
    <w:rsid w:val="00593374"/>
    <w:rsid w:val="005943A7"/>
    <w:rsid w:val="005977D4"/>
    <w:rsid w:val="005A0C37"/>
    <w:rsid w:val="005B0C19"/>
    <w:rsid w:val="005B10C6"/>
    <w:rsid w:val="005B2DE2"/>
    <w:rsid w:val="005B2FCC"/>
    <w:rsid w:val="005B3938"/>
    <w:rsid w:val="005B4A3A"/>
    <w:rsid w:val="005B53E5"/>
    <w:rsid w:val="005B6C14"/>
    <w:rsid w:val="005C11BA"/>
    <w:rsid w:val="005C1DEE"/>
    <w:rsid w:val="005C3E92"/>
    <w:rsid w:val="005C5BC8"/>
    <w:rsid w:val="005C6679"/>
    <w:rsid w:val="005D4023"/>
    <w:rsid w:val="005D4FD9"/>
    <w:rsid w:val="005D6FCD"/>
    <w:rsid w:val="005E0B2A"/>
    <w:rsid w:val="005E1643"/>
    <w:rsid w:val="005E6AD8"/>
    <w:rsid w:val="005E7436"/>
    <w:rsid w:val="005F0CD0"/>
    <w:rsid w:val="005F28D4"/>
    <w:rsid w:val="005F5069"/>
    <w:rsid w:val="005F511C"/>
    <w:rsid w:val="005F7355"/>
    <w:rsid w:val="005F73AA"/>
    <w:rsid w:val="00606413"/>
    <w:rsid w:val="0060670B"/>
    <w:rsid w:val="006078C9"/>
    <w:rsid w:val="00610F91"/>
    <w:rsid w:val="006158F0"/>
    <w:rsid w:val="0061637C"/>
    <w:rsid w:val="00621D7B"/>
    <w:rsid w:val="00622B65"/>
    <w:rsid w:val="00622DA3"/>
    <w:rsid w:val="006232DB"/>
    <w:rsid w:val="006252E2"/>
    <w:rsid w:val="00631263"/>
    <w:rsid w:val="00633E3A"/>
    <w:rsid w:val="006359A0"/>
    <w:rsid w:val="00635AC7"/>
    <w:rsid w:val="006361E0"/>
    <w:rsid w:val="00636A4C"/>
    <w:rsid w:val="006505C4"/>
    <w:rsid w:val="00653344"/>
    <w:rsid w:val="0065583D"/>
    <w:rsid w:val="0066305C"/>
    <w:rsid w:val="006636C0"/>
    <w:rsid w:val="00666D79"/>
    <w:rsid w:val="00667935"/>
    <w:rsid w:val="00671CBB"/>
    <w:rsid w:val="00672D57"/>
    <w:rsid w:val="006732A6"/>
    <w:rsid w:val="006747CA"/>
    <w:rsid w:val="00676109"/>
    <w:rsid w:val="006772EA"/>
    <w:rsid w:val="00677597"/>
    <w:rsid w:val="006777B2"/>
    <w:rsid w:val="00677F5A"/>
    <w:rsid w:val="0068181E"/>
    <w:rsid w:val="006825F1"/>
    <w:rsid w:val="006829CF"/>
    <w:rsid w:val="006850C9"/>
    <w:rsid w:val="00685139"/>
    <w:rsid w:val="00685BCF"/>
    <w:rsid w:val="00692D07"/>
    <w:rsid w:val="006931DA"/>
    <w:rsid w:val="00693330"/>
    <w:rsid w:val="00694A1F"/>
    <w:rsid w:val="00696CFC"/>
    <w:rsid w:val="00696FA6"/>
    <w:rsid w:val="006A0921"/>
    <w:rsid w:val="006A2CD7"/>
    <w:rsid w:val="006B08F9"/>
    <w:rsid w:val="006B1DC4"/>
    <w:rsid w:val="006B69E6"/>
    <w:rsid w:val="006C2113"/>
    <w:rsid w:val="006C2532"/>
    <w:rsid w:val="006C75A4"/>
    <w:rsid w:val="006D40A1"/>
    <w:rsid w:val="006D4FBC"/>
    <w:rsid w:val="006D5A59"/>
    <w:rsid w:val="006D735E"/>
    <w:rsid w:val="006D75CC"/>
    <w:rsid w:val="006E02AE"/>
    <w:rsid w:val="006E1850"/>
    <w:rsid w:val="006E2348"/>
    <w:rsid w:val="006E7383"/>
    <w:rsid w:val="006E77EB"/>
    <w:rsid w:val="006E799B"/>
    <w:rsid w:val="006F07CD"/>
    <w:rsid w:val="006F1740"/>
    <w:rsid w:val="006F4FAB"/>
    <w:rsid w:val="006F50E8"/>
    <w:rsid w:val="006F5251"/>
    <w:rsid w:val="006F59A0"/>
    <w:rsid w:val="006F6847"/>
    <w:rsid w:val="007004A1"/>
    <w:rsid w:val="00701B38"/>
    <w:rsid w:val="00705932"/>
    <w:rsid w:val="0070742A"/>
    <w:rsid w:val="00707880"/>
    <w:rsid w:val="00707B43"/>
    <w:rsid w:val="00711BB2"/>
    <w:rsid w:val="00712150"/>
    <w:rsid w:val="007147FB"/>
    <w:rsid w:val="007158F8"/>
    <w:rsid w:val="0071602A"/>
    <w:rsid w:val="00717707"/>
    <w:rsid w:val="00717A87"/>
    <w:rsid w:val="0072068A"/>
    <w:rsid w:val="00723B22"/>
    <w:rsid w:val="00725110"/>
    <w:rsid w:val="00725F39"/>
    <w:rsid w:val="00730FCB"/>
    <w:rsid w:val="00732FAD"/>
    <w:rsid w:val="007332EB"/>
    <w:rsid w:val="00733F20"/>
    <w:rsid w:val="00744A6B"/>
    <w:rsid w:val="0074531C"/>
    <w:rsid w:val="007456F1"/>
    <w:rsid w:val="00745EF2"/>
    <w:rsid w:val="00747721"/>
    <w:rsid w:val="00750248"/>
    <w:rsid w:val="007522CC"/>
    <w:rsid w:val="0075260C"/>
    <w:rsid w:val="00753B6D"/>
    <w:rsid w:val="007545D2"/>
    <w:rsid w:val="007605DF"/>
    <w:rsid w:val="00760E7A"/>
    <w:rsid w:val="00761FA1"/>
    <w:rsid w:val="00762C22"/>
    <w:rsid w:val="00763456"/>
    <w:rsid w:val="00763D68"/>
    <w:rsid w:val="0076521F"/>
    <w:rsid w:val="00765A06"/>
    <w:rsid w:val="00766098"/>
    <w:rsid w:val="00771BBF"/>
    <w:rsid w:val="0077315A"/>
    <w:rsid w:val="00773AF6"/>
    <w:rsid w:val="00773EAA"/>
    <w:rsid w:val="00774474"/>
    <w:rsid w:val="007746E2"/>
    <w:rsid w:val="00775C6B"/>
    <w:rsid w:val="00776A34"/>
    <w:rsid w:val="00781FBB"/>
    <w:rsid w:val="00782486"/>
    <w:rsid w:val="00783F79"/>
    <w:rsid w:val="0078553C"/>
    <w:rsid w:val="00786307"/>
    <w:rsid w:val="00786A7E"/>
    <w:rsid w:val="00787BB3"/>
    <w:rsid w:val="007920FD"/>
    <w:rsid w:val="007934F3"/>
    <w:rsid w:val="0079564D"/>
    <w:rsid w:val="00796EEF"/>
    <w:rsid w:val="007975C5"/>
    <w:rsid w:val="007A1A71"/>
    <w:rsid w:val="007A6248"/>
    <w:rsid w:val="007A640B"/>
    <w:rsid w:val="007A74AE"/>
    <w:rsid w:val="007B4CDD"/>
    <w:rsid w:val="007B6D8A"/>
    <w:rsid w:val="007B7961"/>
    <w:rsid w:val="007C1D06"/>
    <w:rsid w:val="007C7398"/>
    <w:rsid w:val="007D01DC"/>
    <w:rsid w:val="007D09C5"/>
    <w:rsid w:val="007D2956"/>
    <w:rsid w:val="007D5583"/>
    <w:rsid w:val="007D77D4"/>
    <w:rsid w:val="007E0640"/>
    <w:rsid w:val="007E06EF"/>
    <w:rsid w:val="007E07C3"/>
    <w:rsid w:val="007E20BE"/>
    <w:rsid w:val="007E4BFA"/>
    <w:rsid w:val="007E6B6C"/>
    <w:rsid w:val="007E729C"/>
    <w:rsid w:val="007F0E45"/>
    <w:rsid w:val="007F32E2"/>
    <w:rsid w:val="007F447C"/>
    <w:rsid w:val="007F5E22"/>
    <w:rsid w:val="007F6FB4"/>
    <w:rsid w:val="007F75B2"/>
    <w:rsid w:val="00800DE9"/>
    <w:rsid w:val="00801D18"/>
    <w:rsid w:val="0080413B"/>
    <w:rsid w:val="00804DC3"/>
    <w:rsid w:val="0081006B"/>
    <w:rsid w:val="00811F5B"/>
    <w:rsid w:val="00812F93"/>
    <w:rsid w:val="00815B02"/>
    <w:rsid w:val="00817355"/>
    <w:rsid w:val="0082168C"/>
    <w:rsid w:val="008225C5"/>
    <w:rsid w:val="008248D4"/>
    <w:rsid w:val="008248F2"/>
    <w:rsid w:val="00826407"/>
    <w:rsid w:val="00826475"/>
    <w:rsid w:val="00830385"/>
    <w:rsid w:val="008303E6"/>
    <w:rsid w:val="00830B4C"/>
    <w:rsid w:val="00831F7B"/>
    <w:rsid w:val="00836F27"/>
    <w:rsid w:val="0084075E"/>
    <w:rsid w:val="00843077"/>
    <w:rsid w:val="0084481B"/>
    <w:rsid w:val="0084582F"/>
    <w:rsid w:val="008466AE"/>
    <w:rsid w:val="00846A4A"/>
    <w:rsid w:val="008508AF"/>
    <w:rsid w:val="00850BD3"/>
    <w:rsid w:val="00851328"/>
    <w:rsid w:val="00851AC9"/>
    <w:rsid w:val="008520D9"/>
    <w:rsid w:val="00853C1A"/>
    <w:rsid w:val="00854C82"/>
    <w:rsid w:val="008550B0"/>
    <w:rsid w:val="00856B36"/>
    <w:rsid w:val="00857354"/>
    <w:rsid w:val="0086008F"/>
    <w:rsid w:val="0086674A"/>
    <w:rsid w:val="00875887"/>
    <w:rsid w:val="00876118"/>
    <w:rsid w:val="008769D3"/>
    <w:rsid w:val="00876BE3"/>
    <w:rsid w:val="008770EE"/>
    <w:rsid w:val="00877868"/>
    <w:rsid w:val="0088144E"/>
    <w:rsid w:val="00882119"/>
    <w:rsid w:val="00882B4C"/>
    <w:rsid w:val="00883317"/>
    <w:rsid w:val="00883D4B"/>
    <w:rsid w:val="00883E21"/>
    <w:rsid w:val="008900D5"/>
    <w:rsid w:val="008914F5"/>
    <w:rsid w:val="00891986"/>
    <w:rsid w:val="00892812"/>
    <w:rsid w:val="00895D5E"/>
    <w:rsid w:val="008971D2"/>
    <w:rsid w:val="00897CEC"/>
    <w:rsid w:val="008A1F1B"/>
    <w:rsid w:val="008A3BDB"/>
    <w:rsid w:val="008A3C8B"/>
    <w:rsid w:val="008A441F"/>
    <w:rsid w:val="008A5061"/>
    <w:rsid w:val="008B2AD7"/>
    <w:rsid w:val="008B5F88"/>
    <w:rsid w:val="008B6E26"/>
    <w:rsid w:val="008B7763"/>
    <w:rsid w:val="008C2AB0"/>
    <w:rsid w:val="008C34EA"/>
    <w:rsid w:val="008C46F8"/>
    <w:rsid w:val="008C59DD"/>
    <w:rsid w:val="008D02F6"/>
    <w:rsid w:val="008D338B"/>
    <w:rsid w:val="008D3CD4"/>
    <w:rsid w:val="008D430A"/>
    <w:rsid w:val="008D5E13"/>
    <w:rsid w:val="008E1C46"/>
    <w:rsid w:val="008F137B"/>
    <w:rsid w:val="008F28DB"/>
    <w:rsid w:val="008F37BE"/>
    <w:rsid w:val="0090153F"/>
    <w:rsid w:val="00903AF3"/>
    <w:rsid w:val="00906483"/>
    <w:rsid w:val="0090686A"/>
    <w:rsid w:val="00906F88"/>
    <w:rsid w:val="009070F4"/>
    <w:rsid w:val="009107CC"/>
    <w:rsid w:val="009111DB"/>
    <w:rsid w:val="00914C38"/>
    <w:rsid w:val="0091614E"/>
    <w:rsid w:val="00916782"/>
    <w:rsid w:val="00920808"/>
    <w:rsid w:val="00920FD2"/>
    <w:rsid w:val="00922C22"/>
    <w:rsid w:val="00922E86"/>
    <w:rsid w:val="0092346F"/>
    <w:rsid w:val="00923E16"/>
    <w:rsid w:val="009241BD"/>
    <w:rsid w:val="00925D4B"/>
    <w:rsid w:val="009267C3"/>
    <w:rsid w:val="00926DC8"/>
    <w:rsid w:val="00927F38"/>
    <w:rsid w:val="0093080B"/>
    <w:rsid w:val="00931B2C"/>
    <w:rsid w:val="00932B9A"/>
    <w:rsid w:val="00936988"/>
    <w:rsid w:val="00936D46"/>
    <w:rsid w:val="0093717B"/>
    <w:rsid w:val="00937907"/>
    <w:rsid w:val="0094236F"/>
    <w:rsid w:val="0094244D"/>
    <w:rsid w:val="009427B0"/>
    <w:rsid w:val="00946FA8"/>
    <w:rsid w:val="009479E0"/>
    <w:rsid w:val="009508B1"/>
    <w:rsid w:val="0095132A"/>
    <w:rsid w:val="00953078"/>
    <w:rsid w:val="00953AC4"/>
    <w:rsid w:val="00954B5F"/>
    <w:rsid w:val="00955CBD"/>
    <w:rsid w:val="00957AC3"/>
    <w:rsid w:val="009613F3"/>
    <w:rsid w:val="009622BF"/>
    <w:rsid w:val="009626D9"/>
    <w:rsid w:val="00964830"/>
    <w:rsid w:val="009655EA"/>
    <w:rsid w:val="009671FF"/>
    <w:rsid w:val="0096723F"/>
    <w:rsid w:val="00967D26"/>
    <w:rsid w:val="00970DED"/>
    <w:rsid w:val="00975D2E"/>
    <w:rsid w:val="00982A1E"/>
    <w:rsid w:val="00983C53"/>
    <w:rsid w:val="009854B7"/>
    <w:rsid w:val="009864E8"/>
    <w:rsid w:val="00991728"/>
    <w:rsid w:val="00991DBB"/>
    <w:rsid w:val="009928DF"/>
    <w:rsid w:val="00993BEA"/>
    <w:rsid w:val="009A25E9"/>
    <w:rsid w:val="009A3212"/>
    <w:rsid w:val="009A3C63"/>
    <w:rsid w:val="009B099A"/>
    <w:rsid w:val="009B0CAA"/>
    <w:rsid w:val="009B30DC"/>
    <w:rsid w:val="009B6549"/>
    <w:rsid w:val="009B7345"/>
    <w:rsid w:val="009B76DD"/>
    <w:rsid w:val="009B7CE0"/>
    <w:rsid w:val="009C0616"/>
    <w:rsid w:val="009C2049"/>
    <w:rsid w:val="009C6E8A"/>
    <w:rsid w:val="009D02B8"/>
    <w:rsid w:val="009D2602"/>
    <w:rsid w:val="009D3AFF"/>
    <w:rsid w:val="009D4F13"/>
    <w:rsid w:val="009D5D6C"/>
    <w:rsid w:val="009D73BB"/>
    <w:rsid w:val="009D7836"/>
    <w:rsid w:val="009E043A"/>
    <w:rsid w:val="009E23BC"/>
    <w:rsid w:val="009E40CF"/>
    <w:rsid w:val="009F0C2F"/>
    <w:rsid w:val="009F2A8B"/>
    <w:rsid w:val="009F619A"/>
    <w:rsid w:val="00A0497E"/>
    <w:rsid w:val="00A051AF"/>
    <w:rsid w:val="00A05E8C"/>
    <w:rsid w:val="00A061CF"/>
    <w:rsid w:val="00A1020F"/>
    <w:rsid w:val="00A1030D"/>
    <w:rsid w:val="00A127F4"/>
    <w:rsid w:val="00A13026"/>
    <w:rsid w:val="00A14525"/>
    <w:rsid w:val="00A14D96"/>
    <w:rsid w:val="00A16CD7"/>
    <w:rsid w:val="00A21AB0"/>
    <w:rsid w:val="00A242FB"/>
    <w:rsid w:val="00A24531"/>
    <w:rsid w:val="00A24C74"/>
    <w:rsid w:val="00A252E8"/>
    <w:rsid w:val="00A257A3"/>
    <w:rsid w:val="00A25B05"/>
    <w:rsid w:val="00A271BB"/>
    <w:rsid w:val="00A30404"/>
    <w:rsid w:val="00A34481"/>
    <w:rsid w:val="00A35EC4"/>
    <w:rsid w:val="00A377E1"/>
    <w:rsid w:val="00A4272E"/>
    <w:rsid w:val="00A477CF"/>
    <w:rsid w:val="00A51A0C"/>
    <w:rsid w:val="00A521C8"/>
    <w:rsid w:val="00A52921"/>
    <w:rsid w:val="00A57D05"/>
    <w:rsid w:val="00A60D8C"/>
    <w:rsid w:val="00A61304"/>
    <w:rsid w:val="00A63926"/>
    <w:rsid w:val="00A64449"/>
    <w:rsid w:val="00A7080F"/>
    <w:rsid w:val="00A74017"/>
    <w:rsid w:val="00A7666D"/>
    <w:rsid w:val="00A77014"/>
    <w:rsid w:val="00A831AC"/>
    <w:rsid w:val="00A84106"/>
    <w:rsid w:val="00A84534"/>
    <w:rsid w:val="00A8561C"/>
    <w:rsid w:val="00A87A84"/>
    <w:rsid w:val="00A919B4"/>
    <w:rsid w:val="00A93007"/>
    <w:rsid w:val="00A93C5B"/>
    <w:rsid w:val="00A95E88"/>
    <w:rsid w:val="00AA2980"/>
    <w:rsid w:val="00AA3A8D"/>
    <w:rsid w:val="00AA3B68"/>
    <w:rsid w:val="00AA4EA1"/>
    <w:rsid w:val="00AA5865"/>
    <w:rsid w:val="00AA6A2E"/>
    <w:rsid w:val="00AA75AD"/>
    <w:rsid w:val="00AB023A"/>
    <w:rsid w:val="00AB1CFF"/>
    <w:rsid w:val="00AB39FF"/>
    <w:rsid w:val="00AB443A"/>
    <w:rsid w:val="00AB616A"/>
    <w:rsid w:val="00AB6F67"/>
    <w:rsid w:val="00AC3202"/>
    <w:rsid w:val="00AC32FC"/>
    <w:rsid w:val="00AC3B64"/>
    <w:rsid w:val="00AC3FED"/>
    <w:rsid w:val="00AC7601"/>
    <w:rsid w:val="00AC7D07"/>
    <w:rsid w:val="00AD0080"/>
    <w:rsid w:val="00AD041C"/>
    <w:rsid w:val="00AD1A69"/>
    <w:rsid w:val="00AD5F04"/>
    <w:rsid w:val="00AD7E1F"/>
    <w:rsid w:val="00AE0221"/>
    <w:rsid w:val="00AE0374"/>
    <w:rsid w:val="00AE0735"/>
    <w:rsid w:val="00AE1E86"/>
    <w:rsid w:val="00AE301E"/>
    <w:rsid w:val="00AE5DE1"/>
    <w:rsid w:val="00AF0E5C"/>
    <w:rsid w:val="00AF1860"/>
    <w:rsid w:val="00AF1A6E"/>
    <w:rsid w:val="00AF7988"/>
    <w:rsid w:val="00B01962"/>
    <w:rsid w:val="00B01B87"/>
    <w:rsid w:val="00B026F6"/>
    <w:rsid w:val="00B028F2"/>
    <w:rsid w:val="00B031B2"/>
    <w:rsid w:val="00B0442D"/>
    <w:rsid w:val="00B055D6"/>
    <w:rsid w:val="00B06275"/>
    <w:rsid w:val="00B07AB3"/>
    <w:rsid w:val="00B13956"/>
    <w:rsid w:val="00B13A7A"/>
    <w:rsid w:val="00B13C40"/>
    <w:rsid w:val="00B15BB6"/>
    <w:rsid w:val="00B164B1"/>
    <w:rsid w:val="00B16A0A"/>
    <w:rsid w:val="00B17120"/>
    <w:rsid w:val="00B20CC0"/>
    <w:rsid w:val="00B20EEE"/>
    <w:rsid w:val="00B2113F"/>
    <w:rsid w:val="00B21975"/>
    <w:rsid w:val="00B220D6"/>
    <w:rsid w:val="00B2371C"/>
    <w:rsid w:val="00B23A4D"/>
    <w:rsid w:val="00B2670B"/>
    <w:rsid w:val="00B27320"/>
    <w:rsid w:val="00B30540"/>
    <w:rsid w:val="00B347FF"/>
    <w:rsid w:val="00B3721E"/>
    <w:rsid w:val="00B37E5D"/>
    <w:rsid w:val="00B40B19"/>
    <w:rsid w:val="00B417B6"/>
    <w:rsid w:val="00B41F5F"/>
    <w:rsid w:val="00B41F6D"/>
    <w:rsid w:val="00B43437"/>
    <w:rsid w:val="00B43685"/>
    <w:rsid w:val="00B45584"/>
    <w:rsid w:val="00B45E37"/>
    <w:rsid w:val="00B4666B"/>
    <w:rsid w:val="00B52416"/>
    <w:rsid w:val="00B55D4E"/>
    <w:rsid w:val="00B5733A"/>
    <w:rsid w:val="00B60B4F"/>
    <w:rsid w:val="00B62285"/>
    <w:rsid w:val="00B64F0C"/>
    <w:rsid w:val="00B70409"/>
    <w:rsid w:val="00B71524"/>
    <w:rsid w:val="00B72887"/>
    <w:rsid w:val="00B7417B"/>
    <w:rsid w:val="00B7670B"/>
    <w:rsid w:val="00B7747F"/>
    <w:rsid w:val="00B80D98"/>
    <w:rsid w:val="00B80F32"/>
    <w:rsid w:val="00B83624"/>
    <w:rsid w:val="00B842AE"/>
    <w:rsid w:val="00B84F55"/>
    <w:rsid w:val="00B9358F"/>
    <w:rsid w:val="00B9411A"/>
    <w:rsid w:val="00BA0F29"/>
    <w:rsid w:val="00BA3BBF"/>
    <w:rsid w:val="00BB10C2"/>
    <w:rsid w:val="00BB228D"/>
    <w:rsid w:val="00BB3D53"/>
    <w:rsid w:val="00BB4B48"/>
    <w:rsid w:val="00BC03E4"/>
    <w:rsid w:val="00BC389C"/>
    <w:rsid w:val="00BC408A"/>
    <w:rsid w:val="00BC50ED"/>
    <w:rsid w:val="00BC6998"/>
    <w:rsid w:val="00BD1AC5"/>
    <w:rsid w:val="00BD363C"/>
    <w:rsid w:val="00BD4C77"/>
    <w:rsid w:val="00BE0963"/>
    <w:rsid w:val="00BE13CB"/>
    <w:rsid w:val="00BE23BA"/>
    <w:rsid w:val="00BE2C7F"/>
    <w:rsid w:val="00BE3FB6"/>
    <w:rsid w:val="00BE4566"/>
    <w:rsid w:val="00BE6A89"/>
    <w:rsid w:val="00BF1DDA"/>
    <w:rsid w:val="00BF2616"/>
    <w:rsid w:val="00BF3058"/>
    <w:rsid w:val="00BF4C0C"/>
    <w:rsid w:val="00BF577C"/>
    <w:rsid w:val="00C014A9"/>
    <w:rsid w:val="00C054B4"/>
    <w:rsid w:val="00C058A5"/>
    <w:rsid w:val="00C0755E"/>
    <w:rsid w:val="00C076AC"/>
    <w:rsid w:val="00C1031C"/>
    <w:rsid w:val="00C105D4"/>
    <w:rsid w:val="00C11921"/>
    <w:rsid w:val="00C12B39"/>
    <w:rsid w:val="00C144EF"/>
    <w:rsid w:val="00C150CB"/>
    <w:rsid w:val="00C168C3"/>
    <w:rsid w:val="00C17F29"/>
    <w:rsid w:val="00C2035D"/>
    <w:rsid w:val="00C22331"/>
    <w:rsid w:val="00C24408"/>
    <w:rsid w:val="00C24D1F"/>
    <w:rsid w:val="00C253BC"/>
    <w:rsid w:val="00C27EC4"/>
    <w:rsid w:val="00C30098"/>
    <w:rsid w:val="00C3276D"/>
    <w:rsid w:val="00C440DA"/>
    <w:rsid w:val="00C477D8"/>
    <w:rsid w:val="00C47A05"/>
    <w:rsid w:val="00C50FA0"/>
    <w:rsid w:val="00C512F6"/>
    <w:rsid w:val="00C572CD"/>
    <w:rsid w:val="00C57757"/>
    <w:rsid w:val="00C60E96"/>
    <w:rsid w:val="00C634EE"/>
    <w:rsid w:val="00C64A9D"/>
    <w:rsid w:val="00C6500A"/>
    <w:rsid w:val="00C656D2"/>
    <w:rsid w:val="00C6798A"/>
    <w:rsid w:val="00C67C62"/>
    <w:rsid w:val="00C7219C"/>
    <w:rsid w:val="00C737D9"/>
    <w:rsid w:val="00C73BBA"/>
    <w:rsid w:val="00C74E68"/>
    <w:rsid w:val="00C74FB1"/>
    <w:rsid w:val="00C756B1"/>
    <w:rsid w:val="00C80FD4"/>
    <w:rsid w:val="00C82695"/>
    <w:rsid w:val="00C82A1F"/>
    <w:rsid w:val="00C830CD"/>
    <w:rsid w:val="00C842A1"/>
    <w:rsid w:val="00C84A08"/>
    <w:rsid w:val="00C84C33"/>
    <w:rsid w:val="00C9049B"/>
    <w:rsid w:val="00C908EB"/>
    <w:rsid w:val="00C91175"/>
    <w:rsid w:val="00C91455"/>
    <w:rsid w:val="00C9300F"/>
    <w:rsid w:val="00C95026"/>
    <w:rsid w:val="00C95B56"/>
    <w:rsid w:val="00C96600"/>
    <w:rsid w:val="00C96B97"/>
    <w:rsid w:val="00CA7CF8"/>
    <w:rsid w:val="00CB458E"/>
    <w:rsid w:val="00CB4F52"/>
    <w:rsid w:val="00CB5915"/>
    <w:rsid w:val="00CB6918"/>
    <w:rsid w:val="00CB7F83"/>
    <w:rsid w:val="00CC2FEA"/>
    <w:rsid w:val="00CC4D41"/>
    <w:rsid w:val="00CC6819"/>
    <w:rsid w:val="00CC70FA"/>
    <w:rsid w:val="00CC7263"/>
    <w:rsid w:val="00CD75A8"/>
    <w:rsid w:val="00CD77BA"/>
    <w:rsid w:val="00CE12DD"/>
    <w:rsid w:val="00CE16AE"/>
    <w:rsid w:val="00CE25B5"/>
    <w:rsid w:val="00CE2B6F"/>
    <w:rsid w:val="00CE59DE"/>
    <w:rsid w:val="00CE6C27"/>
    <w:rsid w:val="00CE7E1F"/>
    <w:rsid w:val="00CF3604"/>
    <w:rsid w:val="00CF6474"/>
    <w:rsid w:val="00CF75ED"/>
    <w:rsid w:val="00D00B28"/>
    <w:rsid w:val="00D01073"/>
    <w:rsid w:val="00D0173D"/>
    <w:rsid w:val="00D02209"/>
    <w:rsid w:val="00D040EC"/>
    <w:rsid w:val="00D04724"/>
    <w:rsid w:val="00D04B44"/>
    <w:rsid w:val="00D07651"/>
    <w:rsid w:val="00D11593"/>
    <w:rsid w:val="00D12164"/>
    <w:rsid w:val="00D12609"/>
    <w:rsid w:val="00D13642"/>
    <w:rsid w:val="00D136CC"/>
    <w:rsid w:val="00D16DBB"/>
    <w:rsid w:val="00D20946"/>
    <w:rsid w:val="00D22629"/>
    <w:rsid w:val="00D258AF"/>
    <w:rsid w:val="00D26EC7"/>
    <w:rsid w:val="00D27458"/>
    <w:rsid w:val="00D33031"/>
    <w:rsid w:val="00D335B1"/>
    <w:rsid w:val="00D33F5B"/>
    <w:rsid w:val="00D4303E"/>
    <w:rsid w:val="00D44D19"/>
    <w:rsid w:val="00D45A03"/>
    <w:rsid w:val="00D47EE2"/>
    <w:rsid w:val="00D5427A"/>
    <w:rsid w:val="00D545E3"/>
    <w:rsid w:val="00D547BD"/>
    <w:rsid w:val="00D57675"/>
    <w:rsid w:val="00D57B3A"/>
    <w:rsid w:val="00D6244B"/>
    <w:rsid w:val="00D62491"/>
    <w:rsid w:val="00D62BE9"/>
    <w:rsid w:val="00D62D5B"/>
    <w:rsid w:val="00D633E8"/>
    <w:rsid w:val="00D644E4"/>
    <w:rsid w:val="00D65A27"/>
    <w:rsid w:val="00D66E3A"/>
    <w:rsid w:val="00D67695"/>
    <w:rsid w:val="00D70278"/>
    <w:rsid w:val="00D7060A"/>
    <w:rsid w:val="00D71C39"/>
    <w:rsid w:val="00D74ACE"/>
    <w:rsid w:val="00D74CBD"/>
    <w:rsid w:val="00D77526"/>
    <w:rsid w:val="00D853D0"/>
    <w:rsid w:val="00D85FD5"/>
    <w:rsid w:val="00D86309"/>
    <w:rsid w:val="00D86911"/>
    <w:rsid w:val="00D874FA"/>
    <w:rsid w:val="00D902A2"/>
    <w:rsid w:val="00D920B0"/>
    <w:rsid w:val="00D925CC"/>
    <w:rsid w:val="00D93954"/>
    <w:rsid w:val="00D94E27"/>
    <w:rsid w:val="00D9528C"/>
    <w:rsid w:val="00D9595B"/>
    <w:rsid w:val="00D96531"/>
    <w:rsid w:val="00D97E94"/>
    <w:rsid w:val="00DA08D0"/>
    <w:rsid w:val="00DA292B"/>
    <w:rsid w:val="00DA64C2"/>
    <w:rsid w:val="00DB153D"/>
    <w:rsid w:val="00DB2732"/>
    <w:rsid w:val="00DB31BC"/>
    <w:rsid w:val="00DB57CE"/>
    <w:rsid w:val="00DB590E"/>
    <w:rsid w:val="00DB78E7"/>
    <w:rsid w:val="00DC1E62"/>
    <w:rsid w:val="00DC4679"/>
    <w:rsid w:val="00DC4BE5"/>
    <w:rsid w:val="00DC4D0A"/>
    <w:rsid w:val="00DC661C"/>
    <w:rsid w:val="00DD2264"/>
    <w:rsid w:val="00DD2299"/>
    <w:rsid w:val="00DD4318"/>
    <w:rsid w:val="00DD5529"/>
    <w:rsid w:val="00DD5762"/>
    <w:rsid w:val="00DD658A"/>
    <w:rsid w:val="00DD6D47"/>
    <w:rsid w:val="00DD7288"/>
    <w:rsid w:val="00DD787D"/>
    <w:rsid w:val="00DE59FE"/>
    <w:rsid w:val="00DE613B"/>
    <w:rsid w:val="00DF1379"/>
    <w:rsid w:val="00DF2C6F"/>
    <w:rsid w:val="00DF632D"/>
    <w:rsid w:val="00E03ECF"/>
    <w:rsid w:val="00E05AD7"/>
    <w:rsid w:val="00E05FC7"/>
    <w:rsid w:val="00E07064"/>
    <w:rsid w:val="00E11201"/>
    <w:rsid w:val="00E11A2B"/>
    <w:rsid w:val="00E13700"/>
    <w:rsid w:val="00E1628C"/>
    <w:rsid w:val="00E17ACA"/>
    <w:rsid w:val="00E200F1"/>
    <w:rsid w:val="00E207CB"/>
    <w:rsid w:val="00E2265E"/>
    <w:rsid w:val="00E32840"/>
    <w:rsid w:val="00E33280"/>
    <w:rsid w:val="00E33854"/>
    <w:rsid w:val="00E3404E"/>
    <w:rsid w:val="00E3433C"/>
    <w:rsid w:val="00E35621"/>
    <w:rsid w:val="00E4339A"/>
    <w:rsid w:val="00E47E08"/>
    <w:rsid w:val="00E50105"/>
    <w:rsid w:val="00E51026"/>
    <w:rsid w:val="00E51269"/>
    <w:rsid w:val="00E51650"/>
    <w:rsid w:val="00E56577"/>
    <w:rsid w:val="00E60287"/>
    <w:rsid w:val="00E60928"/>
    <w:rsid w:val="00E61882"/>
    <w:rsid w:val="00E63177"/>
    <w:rsid w:val="00E63675"/>
    <w:rsid w:val="00E646D0"/>
    <w:rsid w:val="00E66D37"/>
    <w:rsid w:val="00E67CF5"/>
    <w:rsid w:val="00E717EA"/>
    <w:rsid w:val="00E71E35"/>
    <w:rsid w:val="00E74C9C"/>
    <w:rsid w:val="00E74FF5"/>
    <w:rsid w:val="00E75728"/>
    <w:rsid w:val="00E76890"/>
    <w:rsid w:val="00E77D22"/>
    <w:rsid w:val="00E813A0"/>
    <w:rsid w:val="00E87AA0"/>
    <w:rsid w:val="00E91966"/>
    <w:rsid w:val="00E932C2"/>
    <w:rsid w:val="00E96830"/>
    <w:rsid w:val="00E96BF4"/>
    <w:rsid w:val="00E97FCF"/>
    <w:rsid w:val="00EA0E75"/>
    <w:rsid w:val="00EA138F"/>
    <w:rsid w:val="00EA1A90"/>
    <w:rsid w:val="00EA49C6"/>
    <w:rsid w:val="00EA7599"/>
    <w:rsid w:val="00EA7B14"/>
    <w:rsid w:val="00EB246B"/>
    <w:rsid w:val="00EB55FE"/>
    <w:rsid w:val="00EB7CA2"/>
    <w:rsid w:val="00EC5D38"/>
    <w:rsid w:val="00ED119D"/>
    <w:rsid w:val="00ED1BC9"/>
    <w:rsid w:val="00ED2932"/>
    <w:rsid w:val="00ED407A"/>
    <w:rsid w:val="00EE0BEE"/>
    <w:rsid w:val="00EE1FE5"/>
    <w:rsid w:val="00EE2996"/>
    <w:rsid w:val="00EE2E4E"/>
    <w:rsid w:val="00EE39BF"/>
    <w:rsid w:val="00EE3C4B"/>
    <w:rsid w:val="00EE4791"/>
    <w:rsid w:val="00EE534A"/>
    <w:rsid w:val="00EE67A0"/>
    <w:rsid w:val="00EF1E98"/>
    <w:rsid w:val="00EF5287"/>
    <w:rsid w:val="00EF5856"/>
    <w:rsid w:val="00EF77B9"/>
    <w:rsid w:val="00F014B0"/>
    <w:rsid w:val="00F0263D"/>
    <w:rsid w:val="00F033FF"/>
    <w:rsid w:val="00F03590"/>
    <w:rsid w:val="00F05DEB"/>
    <w:rsid w:val="00F06012"/>
    <w:rsid w:val="00F1466A"/>
    <w:rsid w:val="00F1485B"/>
    <w:rsid w:val="00F15CA6"/>
    <w:rsid w:val="00F178FF"/>
    <w:rsid w:val="00F17A72"/>
    <w:rsid w:val="00F17E00"/>
    <w:rsid w:val="00F20C32"/>
    <w:rsid w:val="00F2125A"/>
    <w:rsid w:val="00F212B9"/>
    <w:rsid w:val="00F21E90"/>
    <w:rsid w:val="00F22832"/>
    <w:rsid w:val="00F249A7"/>
    <w:rsid w:val="00F24ACC"/>
    <w:rsid w:val="00F31D83"/>
    <w:rsid w:val="00F33F23"/>
    <w:rsid w:val="00F352DB"/>
    <w:rsid w:val="00F3745E"/>
    <w:rsid w:val="00F37A31"/>
    <w:rsid w:val="00F429DB"/>
    <w:rsid w:val="00F46F13"/>
    <w:rsid w:val="00F46F66"/>
    <w:rsid w:val="00F5063B"/>
    <w:rsid w:val="00F519C7"/>
    <w:rsid w:val="00F55B18"/>
    <w:rsid w:val="00F56EAF"/>
    <w:rsid w:val="00F60A38"/>
    <w:rsid w:val="00F60CDA"/>
    <w:rsid w:val="00F6523B"/>
    <w:rsid w:val="00F65B00"/>
    <w:rsid w:val="00F66A7B"/>
    <w:rsid w:val="00F70AD1"/>
    <w:rsid w:val="00F71240"/>
    <w:rsid w:val="00F7139F"/>
    <w:rsid w:val="00F71405"/>
    <w:rsid w:val="00F72F77"/>
    <w:rsid w:val="00F73AD5"/>
    <w:rsid w:val="00F76F0D"/>
    <w:rsid w:val="00F82F5D"/>
    <w:rsid w:val="00F8350B"/>
    <w:rsid w:val="00F83E47"/>
    <w:rsid w:val="00F8489C"/>
    <w:rsid w:val="00F84F5C"/>
    <w:rsid w:val="00F91459"/>
    <w:rsid w:val="00F965FD"/>
    <w:rsid w:val="00F96750"/>
    <w:rsid w:val="00F9677B"/>
    <w:rsid w:val="00FA02F4"/>
    <w:rsid w:val="00FA13F5"/>
    <w:rsid w:val="00FA19D2"/>
    <w:rsid w:val="00FA2BBF"/>
    <w:rsid w:val="00FA46B0"/>
    <w:rsid w:val="00FA53D3"/>
    <w:rsid w:val="00FA5722"/>
    <w:rsid w:val="00FA72AB"/>
    <w:rsid w:val="00FA7DF2"/>
    <w:rsid w:val="00FA7FB7"/>
    <w:rsid w:val="00FB73CE"/>
    <w:rsid w:val="00FB76DE"/>
    <w:rsid w:val="00FC2AB0"/>
    <w:rsid w:val="00FC33E3"/>
    <w:rsid w:val="00FC3926"/>
    <w:rsid w:val="00FC59A1"/>
    <w:rsid w:val="00FC6099"/>
    <w:rsid w:val="00FC7449"/>
    <w:rsid w:val="00FD092A"/>
    <w:rsid w:val="00FD0B15"/>
    <w:rsid w:val="00FD22E8"/>
    <w:rsid w:val="00FD4D9F"/>
    <w:rsid w:val="00FD7652"/>
    <w:rsid w:val="00FD7BD0"/>
    <w:rsid w:val="00FE0456"/>
    <w:rsid w:val="00FE07A1"/>
    <w:rsid w:val="00FE15D6"/>
    <w:rsid w:val="00FE3A7B"/>
    <w:rsid w:val="00FE3E1B"/>
    <w:rsid w:val="00FE4F92"/>
    <w:rsid w:val="00FE515C"/>
    <w:rsid w:val="00FE6039"/>
    <w:rsid w:val="00FE671F"/>
    <w:rsid w:val="00FF0DC9"/>
    <w:rsid w:val="00FF21AC"/>
    <w:rsid w:val="00FF2A76"/>
    <w:rsid w:val="00FF4111"/>
    <w:rsid w:val="00FF650B"/>
    <w:rsid w:val="00FF7430"/>
    <w:rsid w:val="00FF7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8DBDA"/>
  <w15:docId w15:val="{1724E250-832C-45DF-8D51-56D34A2F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F0"/>
    <w:pPr>
      <w:jc w:val="both"/>
    </w:pPr>
  </w:style>
  <w:style w:type="paragraph" w:styleId="Overskrift1">
    <w:name w:val="heading 1"/>
    <w:basedOn w:val="Normal"/>
    <w:next w:val="Normal"/>
    <w:link w:val="Overskrift1Tegn"/>
    <w:uiPriority w:val="9"/>
    <w:qFormat/>
    <w:rsid w:val="004B3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21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24C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8814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B3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B3AB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4B3AB6"/>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F4C0C"/>
    <w:pPr>
      <w:ind w:left="720"/>
      <w:contextualSpacing/>
    </w:pPr>
  </w:style>
  <w:style w:type="character" w:customStyle="1" w:styleId="Overskrift2Tegn">
    <w:name w:val="Overskrift 2 Tegn"/>
    <w:basedOn w:val="Standardskrifttypeiafsnit"/>
    <w:link w:val="Overskrift2"/>
    <w:uiPriority w:val="9"/>
    <w:rsid w:val="002211BF"/>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39"/>
    <w:rsid w:val="00CF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CF6474"/>
    <w:rPr>
      <w:color w:val="0000FF" w:themeColor="hyperlink"/>
      <w:u w:val="single"/>
    </w:rPr>
  </w:style>
  <w:style w:type="paragraph" w:customStyle="1" w:styleId="EndNoteBibliography">
    <w:name w:val="EndNote Bibliography"/>
    <w:basedOn w:val="Normal"/>
    <w:rsid w:val="00936D46"/>
    <w:pPr>
      <w:spacing w:after="0" w:line="240" w:lineRule="auto"/>
    </w:pPr>
    <w:rPr>
      <w:rFonts w:ascii="Calibri" w:hAnsi="Calibri"/>
      <w:sz w:val="24"/>
      <w:szCs w:val="24"/>
      <w:lang w:val="en-US"/>
    </w:rPr>
  </w:style>
  <w:style w:type="paragraph" w:styleId="NormalWeb">
    <w:name w:val="Normal (Web)"/>
    <w:basedOn w:val="Normal"/>
    <w:uiPriority w:val="99"/>
    <w:rsid w:val="00E33280"/>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Overskrift3Tegn">
    <w:name w:val="Overskrift 3 Tegn"/>
    <w:basedOn w:val="Standardskrifttypeiafsnit"/>
    <w:link w:val="Overskrift3"/>
    <w:uiPriority w:val="9"/>
    <w:rsid w:val="00024C53"/>
    <w:rPr>
      <w:rFonts w:asciiTheme="majorHAnsi" w:eastAsiaTheme="majorEastAsia" w:hAnsiTheme="majorHAnsi" w:cstheme="majorBidi"/>
      <w:color w:val="243F60" w:themeColor="accent1" w:themeShade="7F"/>
      <w:sz w:val="24"/>
      <w:szCs w:val="24"/>
    </w:rPr>
  </w:style>
  <w:style w:type="paragraph" w:customStyle="1" w:styleId="BMSBodyText">
    <w:name w:val="BMS Body Text"/>
    <w:link w:val="BMSBodyTextChar"/>
    <w:rsid w:val="00024C53"/>
    <w:pPr>
      <w:spacing w:after="120" w:line="264" w:lineRule="auto"/>
      <w:jc w:val="both"/>
    </w:pPr>
    <w:rPr>
      <w:rFonts w:ascii="Times New Roman" w:eastAsia="Times New Roman" w:hAnsi="Times New Roman" w:cs="Times New Roman"/>
      <w:color w:val="000000"/>
      <w:sz w:val="24"/>
      <w:szCs w:val="20"/>
      <w:lang w:val="en-US"/>
    </w:rPr>
  </w:style>
  <w:style w:type="character" w:customStyle="1" w:styleId="BMSBodyTextChar">
    <w:name w:val="BMS Body Text Char"/>
    <w:link w:val="BMSBodyText"/>
    <w:rsid w:val="00024C53"/>
    <w:rPr>
      <w:rFonts w:ascii="Times New Roman" w:eastAsia="Times New Roman" w:hAnsi="Times New Roman" w:cs="Times New Roman"/>
      <w:color w:val="000000"/>
      <w:sz w:val="24"/>
      <w:szCs w:val="20"/>
      <w:lang w:val="en-US"/>
    </w:rPr>
  </w:style>
  <w:style w:type="paragraph" w:styleId="Indholdsfortegnelse8">
    <w:name w:val="toc 8"/>
    <w:basedOn w:val="Normal"/>
    <w:next w:val="Normal"/>
    <w:autoRedefine/>
    <w:semiHidden/>
    <w:rsid w:val="0002037A"/>
    <w:pPr>
      <w:spacing w:after="0" w:line="240" w:lineRule="auto"/>
    </w:pPr>
    <w:rPr>
      <w:rFonts w:ascii="Times New Roman" w:eastAsia="Times New Roman" w:hAnsi="Times New Roman" w:cs="Times New Roman"/>
      <w:szCs w:val="20"/>
      <w:lang w:val="en-US"/>
    </w:rPr>
  </w:style>
  <w:style w:type="table" w:customStyle="1" w:styleId="nicetables">
    <w:name w:val="nice tables"/>
    <w:basedOn w:val="Tabel-Normal"/>
    <w:uiPriority w:val="99"/>
    <w:rsid w:val="00FC59A1"/>
    <w:pPr>
      <w:spacing w:after="0" w:line="240" w:lineRule="auto"/>
    </w:pPr>
    <w:tblPr/>
    <w:tblStylePr w:type="firstRow">
      <w:tblPr/>
      <w:tcPr>
        <w:tcBorders>
          <w:bottom w:val="single" w:sz="4" w:space="0" w:color="auto"/>
        </w:tcBorders>
      </w:tcPr>
    </w:tblStylePr>
  </w:style>
  <w:style w:type="paragraph" w:styleId="Opstilling-punkttegn">
    <w:name w:val="List Bullet"/>
    <w:basedOn w:val="Normal"/>
    <w:uiPriority w:val="99"/>
    <w:unhideWhenUsed/>
    <w:rsid w:val="001065F0"/>
    <w:pPr>
      <w:numPr>
        <w:numId w:val="11"/>
      </w:numPr>
      <w:contextualSpacing/>
    </w:pPr>
  </w:style>
  <w:style w:type="paragraph" w:styleId="Ingenafstand">
    <w:name w:val="No Spacing"/>
    <w:uiPriority w:val="1"/>
    <w:qFormat/>
    <w:rsid w:val="001065F0"/>
    <w:pPr>
      <w:spacing w:after="0" w:line="240" w:lineRule="auto"/>
    </w:pPr>
  </w:style>
  <w:style w:type="paragraph" w:styleId="Markeringsbobletekst">
    <w:name w:val="Balloon Text"/>
    <w:basedOn w:val="Normal"/>
    <w:link w:val="MarkeringsbobletekstTegn"/>
    <w:uiPriority w:val="99"/>
    <w:semiHidden/>
    <w:unhideWhenUsed/>
    <w:rsid w:val="006B69E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69E6"/>
    <w:rPr>
      <w:rFonts w:ascii="Segoe UI" w:hAnsi="Segoe UI" w:cs="Segoe UI"/>
      <w:sz w:val="18"/>
      <w:szCs w:val="18"/>
    </w:rPr>
  </w:style>
  <w:style w:type="character" w:styleId="Kommentarhenvisning">
    <w:name w:val="annotation reference"/>
    <w:basedOn w:val="Standardskrifttypeiafsnit"/>
    <w:uiPriority w:val="99"/>
    <w:semiHidden/>
    <w:unhideWhenUsed/>
    <w:rsid w:val="005727D2"/>
    <w:rPr>
      <w:sz w:val="16"/>
      <w:szCs w:val="16"/>
    </w:rPr>
  </w:style>
  <w:style w:type="paragraph" w:styleId="Kommentartekst">
    <w:name w:val="annotation text"/>
    <w:basedOn w:val="Normal"/>
    <w:link w:val="KommentartekstTegn"/>
    <w:uiPriority w:val="99"/>
    <w:unhideWhenUsed/>
    <w:rsid w:val="005727D2"/>
    <w:pPr>
      <w:spacing w:line="240" w:lineRule="auto"/>
    </w:pPr>
    <w:rPr>
      <w:sz w:val="20"/>
      <w:szCs w:val="20"/>
    </w:rPr>
  </w:style>
  <w:style w:type="character" w:customStyle="1" w:styleId="KommentartekstTegn">
    <w:name w:val="Kommentartekst Tegn"/>
    <w:basedOn w:val="Standardskrifttypeiafsnit"/>
    <w:link w:val="Kommentartekst"/>
    <w:uiPriority w:val="99"/>
    <w:rsid w:val="005727D2"/>
    <w:rPr>
      <w:sz w:val="20"/>
      <w:szCs w:val="20"/>
    </w:rPr>
  </w:style>
  <w:style w:type="paragraph" w:styleId="Kommentaremne">
    <w:name w:val="annotation subject"/>
    <w:basedOn w:val="Kommentartekst"/>
    <w:next w:val="Kommentartekst"/>
    <w:link w:val="KommentaremneTegn"/>
    <w:uiPriority w:val="99"/>
    <w:semiHidden/>
    <w:unhideWhenUsed/>
    <w:rsid w:val="00BE3FB6"/>
    <w:rPr>
      <w:b/>
      <w:bCs/>
    </w:rPr>
  </w:style>
  <w:style w:type="character" w:customStyle="1" w:styleId="KommentaremneTegn">
    <w:name w:val="Kommentaremne Tegn"/>
    <w:basedOn w:val="KommentartekstTegn"/>
    <w:link w:val="Kommentaremne"/>
    <w:uiPriority w:val="99"/>
    <w:semiHidden/>
    <w:rsid w:val="00BE3FB6"/>
    <w:rPr>
      <w:b/>
      <w:bCs/>
      <w:sz w:val="20"/>
      <w:szCs w:val="20"/>
    </w:rPr>
  </w:style>
  <w:style w:type="table" w:customStyle="1" w:styleId="Tabel-Gitter1">
    <w:name w:val="Tabel - Gitter1"/>
    <w:basedOn w:val="Tabel-Normal"/>
    <w:next w:val="Tabel-Gitter"/>
    <w:uiPriority w:val="39"/>
    <w:rsid w:val="00BE3F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3FB6"/>
    <w:pPr>
      <w:widowControl w:val="0"/>
      <w:autoSpaceDE w:val="0"/>
      <w:autoSpaceDN w:val="0"/>
      <w:spacing w:after="0" w:line="251" w:lineRule="exact"/>
      <w:ind w:left="119"/>
      <w:jc w:val="left"/>
    </w:pPr>
    <w:rPr>
      <w:rFonts w:ascii="Book Antiqua" w:eastAsia="Book Antiqua" w:hAnsi="Book Antiqua" w:cs="Book Antiqua"/>
      <w:lang w:val="en-US"/>
    </w:rPr>
  </w:style>
  <w:style w:type="character" w:customStyle="1" w:styleId="st">
    <w:name w:val="st"/>
    <w:basedOn w:val="Standardskrifttypeiafsnit"/>
    <w:rsid w:val="00116219"/>
  </w:style>
  <w:style w:type="character" w:styleId="Fremhv">
    <w:name w:val="Emphasis"/>
    <w:basedOn w:val="Standardskrifttypeiafsnit"/>
    <w:uiPriority w:val="20"/>
    <w:qFormat/>
    <w:rsid w:val="00116219"/>
    <w:rPr>
      <w:i/>
      <w:iCs/>
    </w:rPr>
  </w:style>
  <w:style w:type="paragraph" w:styleId="Sidefod">
    <w:name w:val="footer"/>
    <w:basedOn w:val="Normal"/>
    <w:link w:val="SidefodTegn"/>
    <w:uiPriority w:val="99"/>
    <w:unhideWhenUsed/>
    <w:rsid w:val="003249C8"/>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249C8"/>
  </w:style>
  <w:style w:type="character" w:styleId="Sidetal">
    <w:name w:val="page number"/>
    <w:basedOn w:val="Standardskrifttypeiafsnit"/>
    <w:uiPriority w:val="99"/>
    <w:semiHidden/>
    <w:unhideWhenUsed/>
    <w:rsid w:val="003249C8"/>
  </w:style>
  <w:style w:type="paragraph" w:styleId="Korrektur">
    <w:name w:val="Revision"/>
    <w:hidden/>
    <w:uiPriority w:val="99"/>
    <w:semiHidden/>
    <w:rsid w:val="00E11A2B"/>
    <w:pPr>
      <w:spacing w:after="0" w:line="240" w:lineRule="auto"/>
    </w:pPr>
  </w:style>
  <w:style w:type="paragraph" w:styleId="Sidehoved">
    <w:name w:val="header"/>
    <w:basedOn w:val="Normal"/>
    <w:link w:val="SidehovedTegn"/>
    <w:uiPriority w:val="99"/>
    <w:unhideWhenUsed/>
    <w:rsid w:val="00E11A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1A2B"/>
  </w:style>
  <w:style w:type="paragraph" w:styleId="Fodnotetekst">
    <w:name w:val="footnote text"/>
    <w:basedOn w:val="Normal"/>
    <w:link w:val="FodnotetekstTegn"/>
    <w:uiPriority w:val="99"/>
    <w:semiHidden/>
    <w:unhideWhenUsed/>
    <w:rsid w:val="003316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165D"/>
    <w:rPr>
      <w:sz w:val="20"/>
      <w:szCs w:val="20"/>
    </w:rPr>
  </w:style>
  <w:style w:type="character" w:styleId="Fodnotehenvisning">
    <w:name w:val="footnote reference"/>
    <w:basedOn w:val="Standardskrifttypeiafsnit"/>
    <w:uiPriority w:val="99"/>
    <w:semiHidden/>
    <w:unhideWhenUsed/>
    <w:rsid w:val="0033165D"/>
    <w:rPr>
      <w:vertAlign w:val="superscript"/>
    </w:rPr>
  </w:style>
  <w:style w:type="character" w:customStyle="1" w:styleId="Overskrift4Tegn">
    <w:name w:val="Overskrift 4 Tegn"/>
    <w:basedOn w:val="Standardskrifttypeiafsnit"/>
    <w:link w:val="Overskrift4"/>
    <w:uiPriority w:val="9"/>
    <w:rsid w:val="0088144E"/>
    <w:rPr>
      <w:rFonts w:asciiTheme="majorHAnsi" w:eastAsiaTheme="majorEastAsia" w:hAnsiTheme="majorHAnsi" w:cstheme="majorBidi"/>
      <w:i/>
      <w:iCs/>
      <w:color w:val="365F91" w:themeColor="accent1" w:themeShade="BF"/>
    </w:rPr>
  </w:style>
  <w:style w:type="character" w:styleId="Strk">
    <w:name w:val="Strong"/>
    <w:basedOn w:val="Standardskrifttypeiafsnit"/>
    <w:uiPriority w:val="22"/>
    <w:qFormat/>
    <w:rsid w:val="00FC3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040">
      <w:bodyDiv w:val="1"/>
      <w:marLeft w:val="0"/>
      <w:marRight w:val="0"/>
      <w:marTop w:val="0"/>
      <w:marBottom w:val="0"/>
      <w:divBdr>
        <w:top w:val="none" w:sz="0" w:space="0" w:color="auto"/>
        <w:left w:val="none" w:sz="0" w:space="0" w:color="auto"/>
        <w:bottom w:val="none" w:sz="0" w:space="0" w:color="auto"/>
        <w:right w:val="none" w:sz="0" w:space="0" w:color="auto"/>
      </w:divBdr>
    </w:div>
    <w:div w:id="81071485">
      <w:bodyDiv w:val="1"/>
      <w:marLeft w:val="0"/>
      <w:marRight w:val="0"/>
      <w:marTop w:val="0"/>
      <w:marBottom w:val="0"/>
      <w:divBdr>
        <w:top w:val="none" w:sz="0" w:space="0" w:color="auto"/>
        <w:left w:val="none" w:sz="0" w:space="0" w:color="auto"/>
        <w:bottom w:val="none" w:sz="0" w:space="0" w:color="auto"/>
        <w:right w:val="none" w:sz="0" w:space="0" w:color="auto"/>
      </w:divBdr>
    </w:div>
    <w:div w:id="99378126">
      <w:bodyDiv w:val="1"/>
      <w:marLeft w:val="0"/>
      <w:marRight w:val="0"/>
      <w:marTop w:val="0"/>
      <w:marBottom w:val="0"/>
      <w:divBdr>
        <w:top w:val="none" w:sz="0" w:space="0" w:color="auto"/>
        <w:left w:val="none" w:sz="0" w:space="0" w:color="auto"/>
        <w:bottom w:val="none" w:sz="0" w:space="0" w:color="auto"/>
        <w:right w:val="none" w:sz="0" w:space="0" w:color="auto"/>
      </w:divBdr>
    </w:div>
    <w:div w:id="305360449">
      <w:bodyDiv w:val="1"/>
      <w:marLeft w:val="0"/>
      <w:marRight w:val="0"/>
      <w:marTop w:val="0"/>
      <w:marBottom w:val="0"/>
      <w:divBdr>
        <w:top w:val="none" w:sz="0" w:space="0" w:color="auto"/>
        <w:left w:val="none" w:sz="0" w:space="0" w:color="auto"/>
        <w:bottom w:val="none" w:sz="0" w:space="0" w:color="auto"/>
        <w:right w:val="none" w:sz="0" w:space="0" w:color="auto"/>
      </w:divBdr>
    </w:div>
    <w:div w:id="466707209">
      <w:bodyDiv w:val="1"/>
      <w:marLeft w:val="0"/>
      <w:marRight w:val="0"/>
      <w:marTop w:val="0"/>
      <w:marBottom w:val="0"/>
      <w:divBdr>
        <w:top w:val="none" w:sz="0" w:space="0" w:color="auto"/>
        <w:left w:val="none" w:sz="0" w:space="0" w:color="auto"/>
        <w:bottom w:val="none" w:sz="0" w:space="0" w:color="auto"/>
        <w:right w:val="none" w:sz="0" w:space="0" w:color="auto"/>
      </w:divBdr>
    </w:div>
    <w:div w:id="525287535">
      <w:bodyDiv w:val="1"/>
      <w:marLeft w:val="0"/>
      <w:marRight w:val="0"/>
      <w:marTop w:val="0"/>
      <w:marBottom w:val="0"/>
      <w:divBdr>
        <w:top w:val="none" w:sz="0" w:space="0" w:color="auto"/>
        <w:left w:val="none" w:sz="0" w:space="0" w:color="auto"/>
        <w:bottom w:val="none" w:sz="0" w:space="0" w:color="auto"/>
        <w:right w:val="none" w:sz="0" w:space="0" w:color="auto"/>
      </w:divBdr>
    </w:div>
    <w:div w:id="669137776">
      <w:bodyDiv w:val="1"/>
      <w:marLeft w:val="0"/>
      <w:marRight w:val="0"/>
      <w:marTop w:val="0"/>
      <w:marBottom w:val="0"/>
      <w:divBdr>
        <w:top w:val="none" w:sz="0" w:space="0" w:color="auto"/>
        <w:left w:val="none" w:sz="0" w:space="0" w:color="auto"/>
        <w:bottom w:val="none" w:sz="0" w:space="0" w:color="auto"/>
        <w:right w:val="none" w:sz="0" w:space="0" w:color="auto"/>
      </w:divBdr>
      <w:divsChild>
        <w:div w:id="1508594234">
          <w:marLeft w:val="0"/>
          <w:marRight w:val="0"/>
          <w:marTop w:val="0"/>
          <w:marBottom w:val="0"/>
          <w:divBdr>
            <w:top w:val="none" w:sz="0" w:space="0" w:color="auto"/>
            <w:left w:val="none" w:sz="0" w:space="0" w:color="auto"/>
            <w:bottom w:val="none" w:sz="0" w:space="0" w:color="auto"/>
            <w:right w:val="none" w:sz="0" w:space="0" w:color="auto"/>
          </w:divBdr>
        </w:div>
        <w:div w:id="1707102820">
          <w:marLeft w:val="0"/>
          <w:marRight w:val="0"/>
          <w:marTop w:val="0"/>
          <w:marBottom w:val="0"/>
          <w:divBdr>
            <w:top w:val="none" w:sz="0" w:space="0" w:color="auto"/>
            <w:left w:val="none" w:sz="0" w:space="0" w:color="auto"/>
            <w:bottom w:val="none" w:sz="0" w:space="0" w:color="auto"/>
            <w:right w:val="none" w:sz="0" w:space="0" w:color="auto"/>
          </w:divBdr>
        </w:div>
      </w:divsChild>
    </w:div>
    <w:div w:id="809589432">
      <w:bodyDiv w:val="1"/>
      <w:marLeft w:val="0"/>
      <w:marRight w:val="0"/>
      <w:marTop w:val="0"/>
      <w:marBottom w:val="0"/>
      <w:divBdr>
        <w:top w:val="none" w:sz="0" w:space="0" w:color="auto"/>
        <w:left w:val="none" w:sz="0" w:space="0" w:color="auto"/>
        <w:bottom w:val="none" w:sz="0" w:space="0" w:color="auto"/>
        <w:right w:val="none" w:sz="0" w:space="0" w:color="auto"/>
      </w:divBdr>
    </w:div>
    <w:div w:id="919678144">
      <w:bodyDiv w:val="1"/>
      <w:marLeft w:val="0"/>
      <w:marRight w:val="0"/>
      <w:marTop w:val="0"/>
      <w:marBottom w:val="0"/>
      <w:divBdr>
        <w:top w:val="none" w:sz="0" w:space="0" w:color="auto"/>
        <w:left w:val="none" w:sz="0" w:space="0" w:color="auto"/>
        <w:bottom w:val="none" w:sz="0" w:space="0" w:color="auto"/>
        <w:right w:val="none" w:sz="0" w:space="0" w:color="auto"/>
      </w:divBdr>
    </w:div>
    <w:div w:id="1165196602">
      <w:bodyDiv w:val="1"/>
      <w:marLeft w:val="0"/>
      <w:marRight w:val="0"/>
      <w:marTop w:val="0"/>
      <w:marBottom w:val="0"/>
      <w:divBdr>
        <w:top w:val="none" w:sz="0" w:space="0" w:color="auto"/>
        <w:left w:val="none" w:sz="0" w:space="0" w:color="auto"/>
        <w:bottom w:val="none" w:sz="0" w:space="0" w:color="auto"/>
        <w:right w:val="none" w:sz="0" w:space="0" w:color="auto"/>
      </w:divBdr>
    </w:div>
    <w:div w:id="1370032740">
      <w:bodyDiv w:val="1"/>
      <w:marLeft w:val="0"/>
      <w:marRight w:val="0"/>
      <w:marTop w:val="0"/>
      <w:marBottom w:val="0"/>
      <w:divBdr>
        <w:top w:val="none" w:sz="0" w:space="0" w:color="auto"/>
        <w:left w:val="none" w:sz="0" w:space="0" w:color="auto"/>
        <w:bottom w:val="none" w:sz="0" w:space="0" w:color="auto"/>
        <w:right w:val="none" w:sz="0" w:space="0" w:color="auto"/>
      </w:divBdr>
    </w:div>
    <w:div w:id="1383596503">
      <w:bodyDiv w:val="1"/>
      <w:marLeft w:val="0"/>
      <w:marRight w:val="0"/>
      <w:marTop w:val="0"/>
      <w:marBottom w:val="0"/>
      <w:divBdr>
        <w:top w:val="none" w:sz="0" w:space="0" w:color="auto"/>
        <w:left w:val="none" w:sz="0" w:space="0" w:color="auto"/>
        <w:bottom w:val="none" w:sz="0" w:space="0" w:color="auto"/>
        <w:right w:val="none" w:sz="0" w:space="0" w:color="auto"/>
      </w:divBdr>
      <w:divsChild>
        <w:div w:id="307708138">
          <w:marLeft w:val="0"/>
          <w:marRight w:val="0"/>
          <w:marTop w:val="0"/>
          <w:marBottom w:val="0"/>
          <w:divBdr>
            <w:top w:val="none" w:sz="0" w:space="0" w:color="auto"/>
            <w:left w:val="none" w:sz="0" w:space="0" w:color="auto"/>
            <w:bottom w:val="none" w:sz="0" w:space="0" w:color="auto"/>
            <w:right w:val="none" w:sz="0" w:space="0" w:color="auto"/>
          </w:divBdr>
        </w:div>
        <w:div w:id="401220240">
          <w:marLeft w:val="0"/>
          <w:marRight w:val="0"/>
          <w:marTop w:val="0"/>
          <w:marBottom w:val="0"/>
          <w:divBdr>
            <w:top w:val="none" w:sz="0" w:space="0" w:color="auto"/>
            <w:left w:val="none" w:sz="0" w:space="0" w:color="auto"/>
            <w:bottom w:val="none" w:sz="0" w:space="0" w:color="auto"/>
            <w:right w:val="none" w:sz="0" w:space="0" w:color="auto"/>
          </w:divBdr>
        </w:div>
        <w:div w:id="631132748">
          <w:marLeft w:val="0"/>
          <w:marRight w:val="0"/>
          <w:marTop w:val="0"/>
          <w:marBottom w:val="0"/>
          <w:divBdr>
            <w:top w:val="none" w:sz="0" w:space="0" w:color="auto"/>
            <w:left w:val="none" w:sz="0" w:space="0" w:color="auto"/>
            <w:bottom w:val="none" w:sz="0" w:space="0" w:color="auto"/>
            <w:right w:val="none" w:sz="0" w:space="0" w:color="auto"/>
          </w:divBdr>
        </w:div>
        <w:div w:id="1123693510">
          <w:marLeft w:val="0"/>
          <w:marRight w:val="0"/>
          <w:marTop w:val="0"/>
          <w:marBottom w:val="0"/>
          <w:divBdr>
            <w:top w:val="none" w:sz="0" w:space="0" w:color="auto"/>
            <w:left w:val="none" w:sz="0" w:space="0" w:color="auto"/>
            <w:bottom w:val="none" w:sz="0" w:space="0" w:color="auto"/>
            <w:right w:val="none" w:sz="0" w:space="0" w:color="auto"/>
          </w:divBdr>
        </w:div>
        <w:div w:id="1286695752">
          <w:marLeft w:val="0"/>
          <w:marRight w:val="0"/>
          <w:marTop w:val="0"/>
          <w:marBottom w:val="0"/>
          <w:divBdr>
            <w:top w:val="none" w:sz="0" w:space="0" w:color="auto"/>
            <w:left w:val="none" w:sz="0" w:space="0" w:color="auto"/>
            <w:bottom w:val="none" w:sz="0" w:space="0" w:color="auto"/>
            <w:right w:val="none" w:sz="0" w:space="0" w:color="auto"/>
          </w:divBdr>
        </w:div>
        <w:div w:id="1390692714">
          <w:marLeft w:val="0"/>
          <w:marRight w:val="0"/>
          <w:marTop w:val="0"/>
          <w:marBottom w:val="0"/>
          <w:divBdr>
            <w:top w:val="none" w:sz="0" w:space="0" w:color="auto"/>
            <w:left w:val="none" w:sz="0" w:space="0" w:color="auto"/>
            <w:bottom w:val="none" w:sz="0" w:space="0" w:color="auto"/>
            <w:right w:val="none" w:sz="0" w:space="0" w:color="auto"/>
          </w:divBdr>
        </w:div>
        <w:div w:id="1473255036">
          <w:marLeft w:val="0"/>
          <w:marRight w:val="0"/>
          <w:marTop w:val="0"/>
          <w:marBottom w:val="0"/>
          <w:divBdr>
            <w:top w:val="none" w:sz="0" w:space="0" w:color="auto"/>
            <w:left w:val="none" w:sz="0" w:space="0" w:color="auto"/>
            <w:bottom w:val="none" w:sz="0" w:space="0" w:color="auto"/>
            <w:right w:val="none" w:sz="0" w:space="0" w:color="auto"/>
          </w:divBdr>
        </w:div>
        <w:div w:id="1863854648">
          <w:marLeft w:val="0"/>
          <w:marRight w:val="0"/>
          <w:marTop w:val="0"/>
          <w:marBottom w:val="0"/>
          <w:divBdr>
            <w:top w:val="none" w:sz="0" w:space="0" w:color="auto"/>
            <w:left w:val="none" w:sz="0" w:space="0" w:color="auto"/>
            <w:bottom w:val="none" w:sz="0" w:space="0" w:color="auto"/>
            <w:right w:val="none" w:sz="0" w:space="0" w:color="auto"/>
          </w:divBdr>
        </w:div>
      </w:divsChild>
    </w:div>
    <w:div w:id="1478765732">
      <w:bodyDiv w:val="1"/>
      <w:marLeft w:val="0"/>
      <w:marRight w:val="0"/>
      <w:marTop w:val="0"/>
      <w:marBottom w:val="0"/>
      <w:divBdr>
        <w:top w:val="none" w:sz="0" w:space="0" w:color="auto"/>
        <w:left w:val="none" w:sz="0" w:space="0" w:color="auto"/>
        <w:bottom w:val="none" w:sz="0" w:space="0" w:color="auto"/>
        <w:right w:val="none" w:sz="0" w:space="0" w:color="auto"/>
      </w:divBdr>
      <w:divsChild>
        <w:div w:id="921790755">
          <w:marLeft w:val="0"/>
          <w:marRight w:val="0"/>
          <w:marTop w:val="0"/>
          <w:marBottom w:val="0"/>
          <w:divBdr>
            <w:top w:val="none" w:sz="0" w:space="0" w:color="auto"/>
            <w:left w:val="none" w:sz="0" w:space="0" w:color="auto"/>
            <w:bottom w:val="none" w:sz="0" w:space="0" w:color="auto"/>
            <w:right w:val="none" w:sz="0" w:space="0" w:color="auto"/>
          </w:divBdr>
        </w:div>
        <w:div w:id="2126725333">
          <w:marLeft w:val="0"/>
          <w:marRight w:val="0"/>
          <w:marTop w:val="0"/>
          <w:marBottom w:val="0"/>
          <w:divBdr>
            <w:top w:val="none" w:sz="0" w:space="0" w:color="auto"/>
            <w:left w:val="none" w:sz="0" w:space="0" w:color="auto"/>
            <w:bottom w:val="none" w:sz="0" w:space="0" w:color="auto"/>
            <w:right w:val="none" w:sz="0" w:space="0" w:color="auto"/>
          </w:divBdr>
        </w:div>
      </w:divsChild>
    </w:div>
    <w:div w:id="1654067784">
      <w:bodyDiv w:val="1"/>
      <w:marLeft w:val="0"/>
      <w:marRight w:val="0"/>
      <w:marTop w:val="0"/>
      <w:marBottom w:val="0"/>
      <w:divBdr>
        <w:top w:val="none" w:sz="0" w:space="0" w:color="auto"/>
        <w:left w:val="none" w:sz="0" w:space="0" w:color="auto"/>
        <w:bottom w:val="none" w:sz="0" w:space="0" w:color="auto"/>
        <w:right w:val="none" w:sz="0" w:space="0" w:color="auto"/>
      </w:divBdr>
      <w:divsChild>
        <w:div w:id="1612855269">
          <w:marLeft w:val="0"/>
          <w:marRight w:val="0"/>
          <w:marTop w:val="0"/>
          <w:marBottom w:val="0"/>
          <w:divBdr>
            <w:top w:val="none" w:sz="0" w:space="0" w:color="auto"/>
            <w:left w:val="none" w:sz="0" w:space="0" w:color="auto"/>
            <w:bottom w:val="none" w:sz="0" w:space="0" w:color="auto"/>
            <w:right w:val="none" w:sz="0" w:space="0" w:color="auto"/>
          </w:divBdr>
        </w:div>
        <w:div w:id="1781140016">
          <w:marLeft w:val="0"/>
          <w:marRight w:val="0"/>
          <w:marTop w:val="0"/>
          <w:marBottom w:val="0"/>
          <w:divBdr>
            <w:top w:val="none" w:sz="0" w:space="0" w:color="auto"/>
            <w:left w:val="none" w:sz="0" w:space="0" w:color="auto"/>
            <w:bottom w:val="none" w:sz="0" w:space="0" w:color="auto"/>
            <w:right w:val="none" w:sz="0" w:space="0" w:color="auto"/>
          </w:divBdr>
        </w:div>
      </w:divsChild>
    </w:div>
    <w:div w:id="1716617131">
      <w:bodyDiv w:val="1"/>
      <w:marLeft w:val="0"/>
      <w:marRight w:val="0"/>
      <w:marTop w:val="0"/>
      <w:marBottom w:val="0"/>
      <w:divBdr>
        <w:top w:val="none" w:sz="0" w:space="0" w:color="auto"/>
        <w:left w:val="none" w:sz="0" w:space="0" w:color="auto"/>
        <w:bottom w:val="none" w:sz="0" w:space="0" w:color="auto"/>
        <w:right w:val="none" w:sz="0" w:space="0" w:color="auto"/>
      </w:divBdr>
    </w:div>
    <w:div w:id="1825469299">
      <w:bodyDiv w:val="1"/>
      <w:marLeft w:val="0"/>
      <w:marRight w:val="0"/>
      <w:marTop w:val="0"/>
      <w:marBottom w:val="0"/>
      <w:divBdr>
        <w:top w:val="none" w:sz="0" w:space="0" w:color="auto"/>
        <w:left w:val="none" w:sz="0" w:space="0" w:color="auto"/>
        <w:bottom w:val="none" w:sz="0" w:space="0" w:color="auto"/>
        <w:right w:val="none" w:sz="0" w:space="0" w:color="auto"/>
      </w:divBdr>
    </w:div>
    <w:div w:id="2001426410">
      <w:bodyDiv w:val="1"/>
      <w:marLeft w:val="0"/>
      <w:marRight w:val="0"/>
      <w:marTop w:val="0"/>
      <w:marBottom w:val="0"/>
      <w:divBdr>
        <w:top w:val="none" w:sz="0" w:space="0" w:color="auto"/>
        <w:left w:val="none" w:sz="0" w:space="0" w:color="auto"/>
        <w:bottom w:val="none" w:sz="0" w:space="0" w:color="auto"/>
        <w:right w:val="none" w:sz="0" w:space="0" w:color="auto"/>
      </w:divBdr>
    </w:div>
    <w:div w:id="2030057858">
      <w:bodyDiv w:val="1"/>
      <w:marLeft w:val="0"/>
      <w:marRight w:val="0"/>
      <w:marTop w:val="0"/>
      <w:marBottom w:val="0"/>
      <w:divBdr>
        <w:top w:val="none" w:sz="0" w:space="0" w:color="auto"/>
        <w:left w:val="none" w:sz="0" w:space="0" w:color="auto"/>
        <w:bottom w:val="none" w:sz="0" w:space="0" w:color="auto"/>
        <w:right w:val="none" w:sz="0" w:space="0" w:color="auto"/>
      </w:divBdr>
    </w:div>
    <w:div w:id="21026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e.melgaard@r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C472-5E71-44C3-A777-BA3A3C87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7779</Words>
  <Characters>43565</Characters>
  <Application>Microsoft Office Word</Application>
  <DocSecurity>0</DocSecurity>
  <Lines>1142</Lines>
  <Paragraphs>674</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Melgaard</dc:creator>
  <cp:keywords/>
  <dc:description/>
  <cp:lastModifiedBy>Line Melgaard  / Region Nordjylland</cp:lastModifiedBy>
  <cp:revision>3</cp:revision>
  <cp:lastPrinted>2020-03-30T09:27:00Z</cp:lastPrinted>
  <dcterms:created xsi:type="dcterms:W3CDTF">2020-06-03T08:03:00Z</dcterms:created>
  <dcterms:modified xsi:type="dcterms:W3CDTF">2020-06-03T08:11:00Z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endeley Document_1">
    <vt:lpwstr>True</vt:lpwstr>
  </property>
  <property fmtid="{D5CDD505-2E9C-101B-9397-08002B2CF9AE}" pid="4" name="Mendeley Unique User Id_1">
    <vt:lpwstr>38694192-de60-3f82-b55d-8d56024a3bc3</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http://www.zotero.org/styles/international-journal-of-cardiology</vt:lpwstr>
  </property>
  <property fmtid="{D5CDD505-2E9C-101B-9397-08002B2CF9AE}" pid="18" name="Mendeley Recent Style Name 6_1">
    <vt:lpwstr>International Journal of Cardiology</vt:lpwstr>
  </property>
  <property fmtid="{D5CDD505-2E9C-101B-9397-08002B2CF9AE}" pid="19" name="Mendeley Recent Style Id 7_1">
    <vt:lpwstr>http://www.zotero.org/styles/jama</vt:lpwstr>
  </property>
  <property fmtid="{D5CDD505-2E9C-101B-9397-08002B2CF9AE}" pid="20" name="Mendeley Recent Style Name 7_1">
    <vt:lpwstr>JAMA (The Journal of the American Medical Association)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http://csl.mendeley.com/styles/543163581/vancouver-2-line</vt:lpwstr>
  </property>
  <property fmtid="{D5CDD505-2E9C-101B-9397-08002B2CF9AE}" pid="24" name="Mendeley Recent Style Name 9_1">
    <vt:lpwstr>Vancouver - Line Melgaard</vt:lpwstr>
  </property>
  <property fmtid="{D5CDD505-2E9C-101B-9397-08002B2CF9AE}" pid="25" name="SD_DocumentLanguage">
    <vt:lpwstr>da-DK</vt:lpwstr>
  </property>
  <property fmtid="{D5CDD505-2E9C-101B-9397-08002B2CF9AE}" pid="26" name="Mendeley Citation Style_1">
    <vt:lpwstr>http://www.zotero.org/styles/international-journal-of-cardiology</vt:lpwstr>
  </property>
</Properties>
</file>