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7B49" w14:textId="77777777" w:rsidR="00EA7968" w:rsidRDefault="00EA7968" w:rsidP="00EA7968">
      <w:pPr>
        <w:suppressLineNumbers/>
        <w:spacing w:line="480" w:lineRule="auto"/>
        <w:jc w:val="center"/>
        <w:rPr>
          <w:b/>
        </w:rPr>
      </w:pPr>
      <w:r>
        <w:rPr>
          <w:b/>
        </w:rPr>
        <w:t>This is shared under the authors rights.</w:t>
      </w:r>
    </w:p>
    <w:p w14:paraId="7F4B7935" w14:textId="77777777" w:rsidR="00EA7968" w:rsidRDefault="00EA7968" w:rsidP="00EA7968">
      <w:pPr>
        <w:suppressLineNumbers/>
        <w:spacing w:line="480" w:lineRule="auto"/>
        <w:jc w:val="center"/>
        <w:rPr>
          <w:b/>
        </w:rPr>
      </w:pPr>
    </w:p>
    <w:p w14:paraId="0D75D05B" w14:textId="77777777" w:rsidR="00EA7968" w:rsidRDefault="00EA7968" w:rsidP="00EA7968">
      <w:pPr>
        <w:suppressLineNumbers/>
        <w:spacing w:line="480" w:lineRule="auto"/>
        <w:jc w:val="center"/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  <w:r w:rsidRPr="00D71B10">
        <w:rPr>
          <w:rFonts w:ascii="Arial" w:hAnsi="Arial" w:cs="Arial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 wp14:anchorId="6B1C191A" wp14:editId="2FFBF5B4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B10">
        <w:rPr>
          <w:rFonts w:ascii="Arial" w:hAnsi="Arial" w:cs="Arial"/>
          <w:color w:val="464646"/>
          <w:sz w:val="29"/>
          <w:szCs w:val="29"/>
        </w:rPr>
        <w:br/>
      </w:r>
      <w:r w:rsidRPr="00D71B10">
        <w:rPr>
          <w:rFonts w:ascii="Arial" w:hAnsi="Arial" w:cs="Arial"/>
          <w:color w:val="464646"/>
          <w:sz w:val="29"/>
          <w:szCs w:val="29"/>
          <w:shd w:val="clear" w:color="auto" w:fill="FFFFFF"/>
        </w:rPr>
        <w:t>This work is licensed under a </w:t>
      </w:r>
      <w:hyperlink r:id="rId7" w:history="1">
        <w:r w:rsidRPr="00D71B10">
          <w:rPr>
            <w:rFonts w:ascii="Arial" w:hAnsi="Arial" w:cs="Arial"/>
            <w:color w:val="049CCF"/>
            <w:sz w:val="29"/>
            <w:szCs w:val="29"/>
            <w:u w:val="single"/>
            <w:shd w:val="clear" w:color="auto" w:fill="FFFFFF"/>
          </w:rPr>
          <w:t>Creative Commons Attribution-</w:t>
        </w:r>
        <w:proofErr w:type="spellStart"/>
        <w:r w:rsidRPr="00D71B10">
          <w:rPr>
            <w:rFonts w:ascii="Arial" w:hAnsi="Arial" w:cs="Arial"/>
            <w:color w:val="049CCF"/>
            <w:sz w:val="29"/>
            <w:szCs w:val="29"/>
            <w:u w:val="single"/>
            <w:shd w:val="clear" w:color="auto" w:fill="FFFFFF"/>
          </w:rPr>
          <w:t>NonCommercial</w:t>
        </w:r>
        <w:proofErr w:type="spellEnd"/>
        <w:r w:rsidRPr="00D71B10">
          <w:rPr>
            <w:rFonts w:ascii="Arial" w:hAnsi="Arial" w:cs="Arial"/>
            <w:color w:val="049CCF"/>
            <w:sz w:val="29"/>
            <w:szCs w:val="29"/>
            <w:u w:val="single"/>
            <w:shd w:val="clear" w:color="auto" w:fill="FFFFFF"/>
          </w:rPr>
          <w:t>-</w:t>
        </w:r>
        <w:proofErr w:type="spellStart"/>
        <w:r w:rsidRPr="00D71B10">
          <w:rPr>
            <w:rFonts w:ascii="Arial" w:hAnsi="Arial" w:cs="Arial"/>
            <w:color w:val="049CCF"/>
            <w:sz w:val="29"/>
            <w:szCs w:val="29"/>
            <w:u w:val="single"/>
            <w:shd w:val="clear" w:color="auto" w:fill="FFFFFF"/>
          </w:rPr>
          <w:t>NoDerivatives</w:t>
        </w:r>
        <w:proofErr w:type="spellEnd"/>
        <w:r w:rsidRPr="00D71B10">
          <w:rPr>
            <w:rFonts w:ascii="Arial" w:hAnsi="Arial" w:cs="Arial"/>
            <w:color w:val="049CCF"/>
            <w:sz w:val="29"/>
            <w:szCs w:val="29"/>
            <w:u w:val="single"/>
            <w:shd w:val="clear" w:color="auto" w:fill="FFFFFF"/>
          </w:rPr>
          <w:t xml:space="preserve"> 4.0 International License</w:t>
        </w:r>
      </w:hyperlink>
      <w:r w:rsidRPr="00D71B10">
        <w:rPr>
          <w:rFonts w:ascii="Arial" w:hAnsi="Arial" w:cs="Arial"/>
          <w:color w:val="464646"/>
          <w:sz w:val="29"/>
          <w:szCs w:val="29"/>
          <w:shd w:val="clear" w:color="auto" w:fill="FFFFFF"/>
        </w:rPr>
        <w:t>.</w:t>
      </w:r>
    </w:p>
    <w:p w14:paraId="7BC6EE53" w14:textId="77777777" w:rsidR="00EA7968" w:rsidRDefault="00EA7968" w:rsidP="00EA7968">
      <w:pPr>
        <w:suppressLineNumbers/>
        <w:spacing w:line="480" w:lineRule="auto"/>
        <w:jc w:val="center"/>
        <w:rPr>
          <w:b/>
        </w:rPr>
      </w:pPr>
    </w:p>
    <w:p w14:paraId="19B1D9FF" w14:textId="77777777" w:rsidR="00EA7968" w:rsidRDefault="00EA7968" w:rsidP="00EA7968">
      <w:pPr>
        <w:suppressLineNumbers/>
        <w:spacing w:line="480" w:lineRule="auto"/>
        <w:jc w:val="center"/>
        <w:rPr>
          <w:b/>
        </w:rPr>
      </w:pPr>
      <w:r>
        <w:rPr>
          <w:b/>
        </w:rPr>
        <w:t>The full published final version (with figures &amp; supplements) is free to access at:</w:t>
      </w:r>
    </w:p>
    <w:p w14:paraId="34798412" w14:textId="6CE6AFFD" w:rsidR="00EA7968" w:rsidRDefault="00EA7968" w:rsidP="00EA7968">
      <w:pPr>
        <w:jc w:val="center"/>
        <w:rPr>
          <w:b/>
        </w:rPr>
      </w:pPr>
      <w:hyperlink r:id="rId8" w:history="1">
        <w:r w:rsidRPr="00EA7968">
          <w:rPr>
            <w:rStyle w:val="Hyperlink"/>
            <w:b/>
          </w:rPr>
          <w:t>doi.org/10.1016/j.ejvs.2017.07.030</w:t>
        </w:r>
      </w:hyperlink>
      <w:r>
        <w:rPr>
          <w:b/>
        </w:rPr>
        <w:br w:type="page"/>
      </w:r>
    </w:p>
    <w:p w14:paraId="58BBBE42" w14:textId="15568D5A" w:rsidR="000B1466" w:rsidRDefault="006076C0" w:rsidP="00EA7968">
      <w:r w:rsidRPr="006076C0">
        <w:rPr>
          <w:b/>
        </w:rPr>
        <w:lastRenderedPageBreak/>
        <w:t>Title:</w:t>
      </w:r>
      <w:r>
        <w:br/>
      </w:r>
      <w:proofErr w:type="spellStart"/>
      <w:r w:rsidR="000B1466">
        <w:t>Correspondance</w:t>
      </w:r>
      <w:proofErr w:type="spellEnd"/>
      <w:r w:rsidR="000B1466">
        <w:t xml:space="preserve"> Re: “Lesson Learned with the Use of Iliac Branch Devices: Single Centre 10 Year Experience in 157 Consecutive Procedures” </w:t>
      </w:r>
      <w:hyperlink r:id="rId9" w:tgtFrame="doilink" w:history="1">
        <w:r w:rsidR="000B1466">
          <w:rPr>
            <w:rStyle w:val="Hyperlink"/>
            <w:rFonts w:ascii="Arial" w:hAnsi="Arial" w:cs="Arial"/>
            <w:color w:val="316C9D"/>
            <w:sz w:val="20"/>
            <w:szCs w:val="20"/>
            <w:bdr w:val="none" w:sz="0" w:space="0" w:color="auto" w:frame="1"/>
            <w:shd w:val="clear" w:color="auto" w:fill="FFFFFF"/>
          </w:rPr>
          <w:t>https://doi.org/10.1016/j.ejvs.2017.03.026</w:t>
        </w:r>
      </w:hyperlink>
    </w:p>
    <w:p w14:paraId="357EBCA0" w14:textId="77777777" w:rsidR="000B1466" w:rsidRDefault="006076C0" w:rsidP="000B1466">
      <w:r w:rsidRPr="006076C0">
        <w:rPr>
          <w:b/>
        </w:rPr>
        <w:t>Authors:</w:t>
      </w:r>
      <w:r>
        <w:br/>
      </w:r>
      <w:r w:rsidR="000B1466">
        <w:t>Iain Roy</w:t>
      </w:r>
      <w:r w:rsidR="000B1466" w:rsidRPr="004140E7">
        <w:rPr>
          <w:vertAlign w:val="superscript"/>
        </w:rPr>
        <w:t>1,2</w:t>
      </w:r>
      <w:r w:rsidR="000B1466">
        <w:t>, Richard McWilliams</w:t>
      </w:r>
      <w:r w:rsidR="000B1466" w:rsidRPr="004140E7">
        <w:rPr>
          <w:vertAlign w:val="superscript"/>
        </w:rPr>
        <w:t>3</w:t>
      </w:r>
      <w:r w:rsidR="000B1466">
        <w:t>, Robert Fisher</w:t>
      </w:r>
      <w:r w:rsidR="000B1466" w:rsidRPr="004140E7">
        <w:rPr>
          <w:vertAlign w:val="superscript"/>
        </w:rPr>
        <w:t>1,4</w:t>
      </w:r>
    </w:p>
    <w:p w14:paraId="5A170703" w14:textId="77777777" w:rsidR="000B1466" w:rsidRDefault="000B1466" w:rsidP="000B1466">
      <w:pPr>
        <w:pStyle w:val="ListParagraph"/>
        <w:numPr>
          <w:ilvl w:val="0"/>
          <w:numId w:val="1"/>
        </w:numPr>
      </w:pPr>
      <w:r>
        <w:t>Liverpool Vascular &amp; Endovascular Service, Royal Liverpool Hospital, Liverpool, UK</w:t>
      </w:r>
    </w:p>
    <w:p w14:paraId="4074E378" w14:textId="77777777" w:rsidR="000B1466" w:rsidRDefault="000B1466" w:rsidP="000B1466">
      <w:pPr>
        <w:pStyle w:val="ListParagraph"/>
        <w:numPr>
          <w:ilvl w:val="0"/>
          <w:numId w:val="1"/>
        </w:numPr>
      </w:pPr>
      <w:r>
        <w:t>Institute of Ageing &amp; Chronic Disease, University of Liverpool, Liverpool, UK</w:t>
      </w:r>
    </w:p>
    <w:p w14:paraId="5F474337" w14:textId="77777777" w:rsidR="000B1466" w:rsidRDefault="000B1466" w:rsidP="000B1466">
      <w:pPr>
        <w:pStyle w:val="ListParagraph"/>
        <w:numPr>
          <w:ilvl w:val="0"/>
          <w:numId w:val="1"/>
        </w:numPr>
      </w:pPr>
      <w:r>
        <w:t>Department of Radiology, Royal Liverpool Hospital, Liverpool, UK</w:t>
      </w:r>
    </w:p>
    <w:p w14:paraId="4BEA7FE7" w14:textId="77777777" w:rsidR="000B1466" w:rsidRDefault="000B1466" w:rsidP="000B1466">
      <w:pPr>
        <w:pStyle w:val="ListParagraph"/>
        <w:numPr>
          <w:ilvl w:val="0"/>
          <w:numId w:val="1"/>
        </w:numPr>
      </w:pPr>
      <w:r>
        <w:t xml:space="preserve">Department of Physical Sciences, </w:t>
      </w:r>
      <w:r w:rsidR="004140E7">
        <w:t>University of Liverpool, Liverpool, UK</w:t>
      </w:r>
    </w:p>
    <w:p w14:paraId="7E39A279" w14:textId="77777777" w:rsidR="00EF7ED2" w:rsidRDefault="00EF7ED2" w:rsidP="00EF7ED2">
      <w:r w:rsidRPr="006076C0">
        <w:rPr>
          <w:b/>
        </w:rPr>
        <w:t>Correspond</w:t>
      </w:r>
      <w:r w:rsidR="006076C0" w:rsidRPr="006076C0">
        <w:rPr>
          <w:b/>
        </w:rPr>
        <w:t>ing Author</w:t>
      </w:r>
      <w:r w:rsidRPr="006076C0">
        <w:rPr>
          <w:b/>
        </w:rPr>
        <w:t>:</w:t>
      </w:r>
      <w:r>
        <w:t xml:space="preserve"> </w:t>
      </w:r>
      <w:r w:rsidR="006076C0">
        <w:br/>
      </w:r>
      <w:r>
        <w:t xml:space="preserve">Iain Roy </w:t>
      </w:r>
      <w:hyperlink r:id="rId10" w:history="1">
        <w:r w:rsidRPr="00FE667C">
          <w:rPr>
            <w:rStyle w:val="Hyperlink"/>
          </w:rPr>
          <w:t>iain.roy@liverpool.ac.uk</w:t>
        </w:r>
      </w:hyperlink>
    </w:p>
    <w:p w14:paraId="041AE8D5" w14:textId="77777777" w:rsidR="00397036" w:rsidRDefault="006076C0" w:rsidP="000B1466">
      <w:r>
        <w:rPr>
          <w:b/>
        </w:rPr>
        <w:t>Letter:</w:t>
      </w:r>
      <w:r>
        <w:br/>
      </w:r>
      <w:r w:rsidR="0023294A">
        <w:t xml:space="preserve">We congratulate </w:t>
      </w:r>
      <w:proofErr w:type="spellStart"/>
      <w:r w:rsidR="0023294A">
        <w:t>Simonte</w:t>
      </w:r>
      <w:proofErr w:type="spellEnd"/>
      <w:r w:rsidR="0023294A">
        <w:t xml:space="preserve"> et al on their series of Iliac Branched Devices</w:t>
      </w:r>
      <w:r w:rsidR="004F5256">
        <w:t xml:space="preserve"> (IBD)</w:t>
      </w:r>
      <w:r w:rsidR="0023294A">
        <w:t xml:space="preserve">, </w:t>
      </w:r>
      <w:r w:rsidR="000A4514">
        <w:t>particularly</w:t>
      </w:r>
      <w:r w:rsidR="0037607B">
        <w:t xml:space="preserve"> their excellent compliance with surveillance.  Numbers at risk in their surveillance based outcomes are almost identical to survival analysis</w:t>
      </w:r>
      <w:r w:rsidR="00527AC8">
        <w:t xml:space="preserve">, </w:t>
      </w:r>
      <w:r w:rsidR="00C02E26">
        <w:t>representing</w:t>
      </w:r>
      <w:r w:rsidR="00527AC8">
        <w:t xml:space="preserve"> near </w:t>
      </w:r>
      <w:r w:rsidR="000B1466">
        <w:t>perfect</w:t>
      </w:r>
      <w:r w:rsidR="00527AC8">
        <w:t xml:space="preserve"> </w:t>
      </w:r>
      <w:r w:rsidR="000B1466">
        <w:t>compliance</w:t>
      </w:r>
      <w:r w:rsidR="000D733F">
        <w:t>.</w:t>
      </w:r>
      <w:r w:rsidR="00527AC8">
        <w:t xml:space="preserve"> </w:t>
      </w:r>
    </w:p>
    <w:p w14:paraId="1762E403" w14:textId="77777777" w:rsidR="00811322" w:rsidRDefault="000D733F" w:rsidP="006513FE">
      <w:r>
        <w:t xml:space="preserve">The device results correspond </w:t>
      </w:r>
      <w:r w:rsidR="00527AC8">
        <w:t>closely with our own</w:t>
      </w:r>
      <w:r w:rsidR="00C02E26">
        <w:t xml:space="preserve">, </w:t>
      </w:r>
      <w:r w:rsidR="00811322">
        <w:t>small</w:t>
      </w:r>
      <w:r w:rsidR="000B1466">
        <w:t>,</w:t>
      </w:r>
      <w:r w:rsidR="00811322">
        <w:t xml:space="preserve"> </w:t>
      </w:r>
      <w:r w:rsidR="00C02E26">
        <w:t xml:space="preserve">continuous series.  </w:t>
      </w:r>
      <w:r w:rsidR="00527AC8">
        <w:t xml:space="preserve">33 devices (32 patients) </w:t>
      </w:r>
      <w:r w:rsidR="0023294A">
        <w:t>demonstrated 94% technical success</w:t>
      </w:r>
      <w:r w:rsidR="006076C0">
        <w:t xml:space="preserve">.  </w:t>
      </w:r>
      <w:r w:rsidR="0023294A">
        <w:t xml:space="preserve">Median follow-up of 22 months </w:t>
      </w:r>
      <w:r w:rsidR="000A4514">
        <w:t>d</w:t>
      </w:r>
      <w:r w:rsidR="00397036">
        <w:t>etected</w:t>
      </w:r>
      <w:r w:rsidR="000A4514">
        <w:t xml:space="preserve"> no</w:t>
      </w:r>
      <w:r w:rsidR="00397036">
        <w:t xml:space="preserve"> </w:t>
      </w:r>
      <w:r w:rsidR="00DF5A0E">
        <w:t xml:space="preserve">type I/III endoleaks </w:t>
      </w:r>
      <w:r w:rsidR="00397036">
        <w:t>a</w:t>
      </w:r>
      <w:r w:rsidR="00C02E26">
        <w:t>nd no</w:t>
      </w:r>
      <w:r w:rsidR="00527AC8">
        <w:t xml:space="preserve"> iliac aneurysm expansion</w:t>
      </w:r>
      <w:r w:rsidR="00397036">
        <w:t xml:space="preserve">.  </w:t>
      </w:r>
      <w:r w:rsidR="00527AC8">
        <w:t xml:space="preserve">Five </w:t>
      </w:r>
      <w:r w:rsidR="00811322">
        <w:t xml:space="preserve">IBD related </w:t>
      </w:r>
      <w:r w:rsidR="00DF5A0E">
        <w:t xml:space="preserve">secondary interventions (all endovascular) </w:t>
      </w:r>
      <w:r w:rsidR="006076C0">
        <w:t xml:space="preserve">and </w:t>
      </w:r>
      <w:r w:rsidR="0037607B">
        <w:t>2 IIA occlusion</w:t>
      </w:r>
      <w:r w:rsidR="00C02E26">
        <w:t>s</w:t>
      </w:r>
      <w:r w:rsidR="006076C0" w:rsidRPr="006076C0">
        <w:t xml:space="preserve"> </w:t>
      </w:r>
      <w:r w:rsidR="006076C0">
        <w:t>occurred</w:t>
      </w:r>
      <w:r w:rsidR="00811322">
        <w:t>.</w:t>
      </w:r>
      <w:r w:rsidR="0037607B">
        <w:t xml:space="preserve"> </w:t>
      </w:r>
      <w:r w:rsidR="00C02E26">
        <w:t>T</w:t>
      </w:r>
      <w:r w:rsidR="006513FE">
        <w:t xml:space="preserve">hese results represent our learning curve but support the encouraging data for </w:t>
      </w:r>
      <w:r w:rsidR="000B1466">
        <w:t>IIA</w:t>
      </w:r>
      <w:r w:rsidR="006513FE">
        <w:t xml:space="preserve"> preservation.</w:t>
      </w:r>
    </w:p>
    <w:p w14:paraId="47D1F625" w14:textId="77777777" w:rsidR="0023294A" w:rsidRDefault="00C02E26">
      <w:r>
        <w:t>W</w:t>
      </w:r>
      <w:r w:rsidR="00397036">
        <w:t xml:space="preserve">e </w:t>
      </w:r>
      <w:r>
        <w:t xml:space="preserve">also </w:t>
      </w:r>
      <w:r w:rsidR="00DF5A0E">
        <w:t xml:space="preserve">use a colour duplex ultrasound </w:t>
      </w:r>
      <w:r w:rsidR="00397036">
        <w:t xml:space="preserve">scan (CDUS) </w:t>
      </w:r>
      <w:r w:rsidR="00DF5A0E">
        <w:t>based surveillance regime</w:t>
      </w:r>
      <w:r>
        <w:t>, in combination with plain film radiography</w:t>
      </w:r>
      <w:r w:rsidR="00397036">
        <w:t xml:space="preserve">.  </w:t>
      </w:r>
      <w:r>
        <w:t>W</w:t>
      </w:r>
      <w:r w:rsidR="00397036">
        <w:t xml:space="preserve">e discovered </w:t>
      </w:r>
      <w:r w:rsidR="004140E7">
        <w:t>a limitation</w:t>
      </w:r>
      <w:r w:rsidR="00DF5A0E">
        <w:t xml:space="preserve"> </w:t>
      </w:r>
      <w:r w:rsidR="004140E7">
        <w:t xml:space="preserve">in the </w:t>
      </w:r>
      <w:r w:rsidR="00DF5A0E">
        <w:t xml:space="preserve">visualisation </w:t>
      </w:r>
      <w:r w:rsidR="004140E7">
        <w:t xml:space="preserve">rate </w:t>
      </w:r>
      <w:r w:rsidR="00397036">
        <w:t>of</w:t>
      </w:r>
      <w:r w:rsidR="004F5256">
        <w:t xml:space="preserve"> the </w:t>
      </w:r>
      <w:r w:rsidR="00397036">
        <w:t>IIA</w:t>
      </w:r>
      <w:r w:rsidR="00811322">
        <w:t>.</w:t>
      </w:r>
      <w:r w:rsidR="00397036">
        <w:t xml:space="preserve"> Of 84 CDUS </w:t>
      </w:r>
      <w:r w:rsidR="00811322">
        <w:t xml:space="preserve">surveillance </w:t>
      </w:r>
      <w:r w:rsidR="00397036">
        <w:t>scans</w:t>
      </w:r>
      <w:r w:rsidR="00811322">
        <w:t>, the</w:t>
      </w:r>
      <w:r w:rsidR="00397036">
        <w:t xml:space="preserve"> </w:t>
      </w:r>
      <w:r w:rsidR="00397036" w:rsidRPr="00397036">
        <w:t xml:space="preserve">IIA was reported </w:t>
      </w:r>
      <w:r w:rsidR="00397036">
        <w:t xml:space="preserve">patent in </w:t>
      </w:r>
      <w:r w:rsidR="00397036" w:rsidRPr="00397036">
        <w:t xml:space="preserve">39 (46%), was reported not visualised </w:t>
      </w:r>
      <w:r w:rsidR="004140E7">
        <w:t xml:space="preserve">in </w:t>
      </w:r>
      <w:r w:rsidR="00397036" w:rsidRPr="00397036">
        <w:t>14 (17%) and</w:t>
      </w:r>
      <w:r w:rsidR="0037607B">
        <w:t xml:space="preserve"> was</w:t>
      </w:r>
      <w:r w:rsidR="00397036" w:rsidRPr="00397036">
        <w:t xml:space="preserve"> not </w:t>
      </w:r>
      <w:r w:rsidR="0037607B">
        <w:t xml:space="preserve">mentioned </w:t>
      </w:r>
      <w:r w:rsidR="00397036" w:rsidRPr="00397036">
        <w:t>in 31</w:t>
      </w:r>
      <w:r w:rsidR="00397036">
        <w:t xml:space="preserve"> </w:t>
      </w:r>
      <w:r w:rsidR="00397036" w:rsidRPr="00397036">
        <w:t>(37%)</w:t>
      </w:r>
      <w:r w:rsidR="00397036">
        <w:t>.</w:t>
      </w:r>
      <w:r w:rsidR="004F5256">
        <w:t xml:space="preserve">  </w:t>
      </w:r>
      <w:r w:rsidR="000B1466">
        <w:t>P</w:t>
      </w:r>
      <w:r w:rsidR="004F5256">
        <w:t xml:space="preserve">oor reporting </w:t>
      </w:r>
      <w:r w:rsidR="00811322">
        <w:t>is likely</w:t>
      </w:r>
      <w:r w:rsidR="004F5256">
        <w:t xml:space="preserve"> the result of not having a specific protocol for IBD devices.  Even </w:t>
      </w:r>
      <w:r w:rsidR="00811322">
        <w:t xml:space="preserve">if these had all been visualised we </w:t>
      </w:r>
      <w:r w:rsidR="000313E9">
        <w:t>describe</w:t>
      </w:r>
      <w:r w:rsidR="00811322">
        <w:t xml:space="preserve"> inadequate imaging of the IIA in </w:t>
      </w:r>
      <w:r w:rsidR="004F5256">
        <w:t xml:space="preserve">nearly 1 in 5 </w:t>
      </w:r>
      <w:r w:rsidR="000A4514">
        <w:t xml:space="preserve">CDUS </w:t>
      </w:r>
      <w:r w:rsidR="004F5256">
        <w:t>following IBD.</w:t>
      </w:r>
    </w:p>
    <w:p w14:paraId="5CDCC5FA" w14:textId="77777777" w:rsidR="002347ED" w:rsidRDefault="00811322">
      <w:r>
        <w:t xml:space="preserve">We </w:t>
      </w:r>
      <w:r w:rsidR="000B1466">
        <w:t>are</w:t>
      </w:r>
      <w:r>
        <w:t xml:space="preserve"> interested </w:t>
      </w:r>
      <w:r w:rsidR="00C02E26">
        <w:t xml:space="preserve">in </w:t>
      </w:r>
      <w:r w:rsidR="00397036">
        <w:t xml:space="preserve">the authors </w:t>
      </w:r>
      <w:r w:rsidR="002347ED">
        <w:t>experience of non-visualisation in their analysis.</w:t>
      </w:r>
      <w:r w:rsidR="004F5256">
        <w:t xml:space="preserve">  Was an IIA assumed to be patent until proven occluded</w:t>
      </w:r>
      <w:r w:rsidR="002347ED">
        <w:t xml:space="preserve"> on CDUS</w:t>
      </w:r>
      <w:r w:rsidR="004F5256">
        <w:t xml:space="preserve">? </w:t>
      </w:r>
      <w:r w:rsidR="00C02E26">
        <w:t>W</w:t>
      </w:r>
      <w:r w:rsidR="002347ED">
        <w:t xml:space="preserve">as </w:t>
      </w:r>
      <w:r w:rsidR="00C02E26">
        <w:t xml:space="preserve">their </w:t>
      </w:r>
      <w:r w:rsidR="002347ED">
        <w:t>non-visualisation</w:t>
      </w:r>
      <w:r w:rsidR="00C02E26">
        <w:t xml:space="preserve"> </w:t>
      </w:r>
      <w:r w:rsidR="002347ED">
        <w:t xml:space="preserve">rate for CDUS similar to our own (17%) and did these patients all receive CTA to prove patency? </w:t>
      </w:r>
      <w:r w:rsidR="004F5256">
        <w:t xml:space="preserve"> </w:t>
      </w:r>
    </w:p>
    <w:p w14:paraId="1CA3EE2D" w14:textId="77777777" w:rsidR="004F5256" w:rsidRDefault="004F5256">
      <w:r>
        <w:t xml:space="preserve">We </w:t>
      </w:r>
      <w:r w:rsidR="002347ED">
        <w:t>believe</w:t>
      </w:r>
      <w:r>
        <w:t xml:space="preserve"> CDUS </w:t>
      </w:r>
      <w:r w:rsidR="002347ED">
        <w:t xml:space="preserve">to be </w:t>
      </w:r>
      <w:r w:rsidR="00C02E26">
        <w:t>an</w:t>
      </w:r>
      <w:r w:rsidR="002347ED">
        <w:t xml:space="preserve"> </w:t>
      </w:r>
      <w:r w:rsidR="00C02E26">
        <w:t xml:space="preserve">appropriate </w:t>
      </w:r>
      <w:r w:rsidR="002347ED">
        <w:t>primary</w:t>
      </w:r>
      <w:r>
        <w:t xml:space="preserve"> </w:t>
      </w:r>
      <w:r w:rsidR="000A4514">
        <w:t>surveillance</w:t>
      </w:r>
      <w:r>
        <w:t xml:space="preserve"> </w:t>
      </w:r>
      <w:r w:rsidR="002347ED">
        <w:t>technique for IBD but accept</w:t>
      </w:r>
      <w:r>
        <w:t xml:space="preserve"> a </w:t>
      </w:r>
      <w:r w:rsidR="0037607B">
        <w:t>~20%</w:t>
      </w:r>
      <w:r>
        <w:t xml:space="preserve"> non-visualisation rate</w:t>
      </w:r>
      <w:r w:rsidR="0037607B">
        <w:t xml:space="preserve"> </w:t>
      </w:r>
      <w:r w:rsidR="002347ED">
        <w:t>in the absence of</w:t>
      </w:r>
      <w:r w:rsidR="0037607B">
        <w:t xml:space="preserve"> </w:t>
      </w:r>
      <w:r w:rsidR="000A4514">
        <w:t xml:space="preserve">iliac </w:t>
      </w:r>
      <w:r w:rsidR="0037607B">
        <w:t>aneurysm growth or symptoms</w:t>
      </w:r>
      <w:r w:rsidR="000A4514">
        <w:t>.</w:t>
      </w:r>
      <w:r w:rsidR="002347ED">
        <w:t xml:space="preserve"> CTA is reserved for such cases.</w:t>
      </w:r>
      <w:r w:rsidR="000A4514">
        <w:t xml:space="preserve">  </w:t>
      </w:r>
      <w:r w:rsidR="002347ED">
        <w:t>We would recommend an</w:t>
      </w:r>
      <w:r w:rsidR="000A4514">
        <w:t xml:space="preserve"> addition to the authors “lesson learnt”</w:t>
      </w:r>
      <w:r w:rsidR="002347ED">
        <w:t>:</w:t>
      </w:r>
      <w:r w:rsidR="000A4514">
        <w:t xml:space="preserve"> </w:t>
      </w:r>
      <w:r w:rsidR="002347ED">
        <w:t>Adopt a</w:t>
      </w:r>
      <w:r w:rsidR="000A4514">
        <w:t xml:space="preserve"> specific </w:t>
      </w:r>
      <w:r w:rsidR="002347ED">
        <w:t>ultrasound</w:t>
      </w:r>
      <w:r w:rsidR="006513FE">
        <w:t xml:space="preserve"> surveillance protocol for IBD patients with defined indications for CTA</w:t>
      </w:r>
      <w:r w:rsidR="000A4514">
        <w:t xml:space="preserve"> for non-visualisation of the IIA.</w:t>
      </w:r>
      <w:r w:rsidR="000313E9">
        <w:t xml:space="preserve"> </w:t>
      </w:r>
    </w:p>
    <w:p w14:paraId="57F4EC78" w14:textId="77777777" w:rsidR="000313E9" w:rsidRDefault="000313E9">
      <w:r>
        <w:t>The continued success of IBD is dependent on robust long-term outcomes, and the role of accurate surveillance protocols in achieving that cannot be under-estimated.</w:t>
      </w:r>
    </w:p>
    <w:sectPr w:rsidR="00031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59A"/>
    <w:multiLevelType w:val="hybridMultilevel"/>
    <w:tmpl w:val="96BAC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4A"/>
    <w:rsid w:val="000313E9"/>
    <w:rsid w:val="000A4514"/>
    <w:rsid w:val="000B1466"/>
    <w:rsid w:val="000D733F"/>
    <w:rsid w:val="001071AC"/>
    <w:rsid w:val="0023294A"/>
    <w:rsid w:val="002347ED"/>
    <w:rsid w:val="0037607B"/>
    <w:rsid w:val="00397036"/>
    <w:rsid w:val="004140E7"/>
    <w:rsid w:val="004F5256"/>
    <w:rsid w:val="00527AC8"/>
    <w:rsid w:val="006076C0"/>
    <w:rsid w:val="006513FE"/>
    <w:rsid w:val="00811322"/>
    <w:rsid w:val="00C02E26"/>
    <w:rsid w:val="00DA1467"/>
    <w:rsid w:val="00DF5A0E"/>
    <w:rsid w:val="00EA7968"/>
    <w:rsid w:val="00E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FDC2"/>
  <w15:docId w15:val="{7A793683-A14B-4C56-B84B-FDD09360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6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jvs.2017.07.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10" Type="http://schemas.openxmlformats.org/officeDocument/2006/relationships/hyperlink" Target="mailto:iain.roy@liverpo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jvs.2017.03.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Roy</dc:creator>
  <cp:lastModifiedBy>Iain Roy</cp:lastModifiedBy>
  <cp:revision>5</cp:revision>
  <dcterms:created xsi:type="dcterms:W3CDTF">2017-07-12T09:34:00Z</dcterms:created>
  <dcterms:modified xsi:type="dcterms:W3CDTF">2020-08-12T19:42:00Z</dcterms:modified>
</cp:coreProperties>
</file>