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2F09" w14:textId="14E2FD66" w:rsidR="0055088A" w:rsidRDefault="0055088A" w:rsidP="0055088A">
      <w:pPr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</w:pPr>
      <w:r w:rsidRPr="0055088A"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This manuscript version is made available under the CC-BY-NC-ND 4.0 license http://creativecommons.org/licenses/by-nc-nd/4.0/</w:t>
      </w:r>
    </w:p>
    <w:p w14:paraId="1C675E03" w14:textId="77777777" w:rsidR="0055088A" w:rsidRPr="00AF626E" w:rsidRDefault="0055088A" w:rsidP="0055088A">
      <w:pPr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This is the pre-peer reviewed version of the following 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article,</w:t>
      </w:r>
      <w:proofErr w:type="gram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the print version is available at: </w:t>
      </w:r>
      <w:r w:rsidRPr="0055088A"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http://dx.doi.org/10.1016/j.jvs.2017.03.443</w:t>
      </w:r>
    </w:p>
    <w:p w14:paraId="448E6897" w14:textId="77777777" w:rsidR="0055088A" w:rsidRDefault="0055088A" w:rsidP="0055088A">
      <w:r w:rsidRPr="006076C0">
        <w:rPr>
          <w:b/>
        </w:rPr>
        <w:t>Title:</w:t>
      </w:r>
      <w:r>
        <w:br/>
        <w:t>Regarding “Comparison of outcomes for double fenestrated endovascular aneurysm repair versus triple or quadruple fenestrated endovascular aneurysm repair in the treatment of complex abdominal aortic aneurysms”</w:t>
      </w:r>
    </w:p>
    <w:p w14:paraId="264F37FB" w14:textId="77777777" w:rsidR="0055088A" w:rsidRDefault="0055088A" w:rsidP="0055088A">
      <w:r w:rsidRPr="006076C0">
        <w:rPr>
          <w:b/>
        </w:rPr>
        <w:t>Authors:</w:t>
      </w:r>
      <w:r>
        <w:br/>
        <w:t>Iain Roy</w:t>
      </w:r>
      <w:r w:rsidRPr="004140E7">
        <w:rPr>
          <w:vertAlign w:val="superscript"/>
        </w:rPr>
        <w:t>1,2</w:t>
      </w:r>
      <w:r>
        <w:t xml:space="preserve">, </w:t>
      </w:r>
      <w:r w:rsidRPr="0055088A">
        <w:t>Srinivasa Vallabhaneni</w:t>
      </w:r>
      <w:r>
        <w:rPr>
          <w:vertAlign w:val="superscript"/>
        </w:rPr>
        <w:t>1,2</w:t>
      </w:r>
      <w:r>
        <w:t>, Robert Fisher</w:t>
      </w:r>
      <w:r w:rsidRPr="004140E7">
        <w:rPr>
          <w:vertAlign w:val="superscript"/>
        </w:rPr>
        <w:t>1,</w:t>
      </w:r>
      <w:r>
        <w:rPr>
          <w:vertAlign w:val="superscript"/>
        </w:rPr>
        <w:t>3</w:t>
      </w:r>
    </w:p>
    <w:p w14:paraId="48236AD4" w14:textId="77777777" w:rsidR="0055088A" w:rsidRDefault="0055088A" w:rsidP="0055088A">
      <w:pPr>
        <w:pStyle w:val="ListParagraph"/>
        <w:numPr>
          <w:ilvl w:val="0"/>
          <w:numId w:val="1"/>
        </w:numPr>
      </w:pPr>
      <w:r>
        <w:t>Liverpool Vascular &amp; Endovascular Service, Royal Liverpool Hospital, Liverpool, UK</w:t>
      </w:r>
    </w:p>
    <w:p w14:paraId="11C62E45" w14:textId="77777777" w:rsidR="0055088A" w:rsidRDefault="0055088A" w:rsidP="0055088A">
      <w:pPr>
        <w:pStyle w:val="ListParagraph"/>
        <w:numPr>
          <w:ilvl w:val="0"/>
          <w:numId w:val="1"/>
        </w:numPr>
      </w:pPr>
      <w:r>
        <w:t>Institute of Ageing &amp; Chronic Disease, University of Liverpool, Liverpool, UK</w:t>
      </w:r>
    </w:p>
    <w:p w14:paraId="7AE9CC14" w14:textId="77777777" w:rsidR="0055088A" w:rsidRDefault="0055088A" w:rsidP="0055088A">
      <w:pPr>
        <w:pStyle w:val="ListParagraph"/>
        <w:numPr>
          <w:ilvl w:val="0"/>
          <w:numId w:val="1"/>
        </w:numPr>
      </w:pPr>
      <w:r>
        <w:t>Department of Physical Sciences, University of Liverpool, Liverpool, UK</w:t>
      </w:r>
    </w:p>
    <w:p w14:paraId="76471240" w14:textId="77777777" w:rsidR="0055088A" w:rsidRDefault="0055088A" w:rsidP="0055088A">
      <w:r w:rsidRPr="006076C0">
        <w:rPr>
          <w:b/>
        </w:rPr>
        <w:t>Corresponding Author:</w:t>
      </w:r>
      <w:r>
        <w:t xml:space="preserve"> </w:t>
      </w:r>
      <w:r>
        <w:br/>
        <w:t xml:space="preserve">Iain Roy </w:t>
      </w:r>
      <w:hyperlink r:id="rId5" w:history="1">
        <w:r w:rsidRPr="00FE667C">
          <w:rPr>
            <w:rStyle w:val="Hyperlink"/>
          </w:rPr>
          <w:t>iain.roy@liverpool.ac.uk</w:t>
        </w:r>
      </w:hyperlink>
    </w:p>
    <w:p w14:paraId="1F940C2D" w14:textId="77777777" w:rsidR="0055088A" w:rsidRDefault="0055088A" w:rsidP="0055088A">
      <w:r>
        <w:rPr>
          <w:b/>
        </w:rPr>
        <w:t>Letter:</w:t>
      </w:r>
      <w:r>
        <w:br/>
        <w:t xml:space="preserve">We read with interest the comparison by </w:t>
      </w:r>
      <w:proofErr w:type="spellStart"/>
      <w:r>
        <w:t>Katsargyris</w:t>
      </w:r>
      <w:proofErr w:type="spellEnd"/>
      <w:r>
        <w:t xml:space="preserve"> et al of fenestrated endovascular aneurysm repair (FEVAR) with one or two fenestrations against FEVAR with three or four fenestrations in their </w:t>
      </w:r>
      <w:proofErr w:type="spellStart"/>
      <w:r>
        <w:t>center</w:t>
      </w:r>
      <w:proofErr w:type="spellEnd"/>
      <w:r>
        <w:t>. They observed no significant difference in outcomes in the postoperative period or in the early follow-up. They concluded that more complex FEVAR is as safe as less complex FEVAR and advocated more liberal use of complex FEVAR. These results differ from our similar analysis,</w:t>
      </w:r>
      <w:r w:rsidRPr="0055088A">
        <w:rPr>
          <w:vertAlign w:val="superscript"/>
        </w:rPr>
        <w:t>1</w:t>
      </w:r>
      <w:r>
        <w:t xml:space="preserve"> and as such we suggest that the applicability of this conclusion is compromised for the following reasons.</w:t>
      </w:r>
    </w:p>
    <w:p w14:paraId="0DA3D59F" w14:textId="77777777" w:rsidR="0055088A" w:rsidRDefault="0055088A" w:rsidP="0055088A">
      <w:r>
        <w:t xml:space="preserve">1.The report is from a </w:t>
      </w:r>
      <w:proofErr w:type="spellStart"/>
      <w:r>
        <w:t>center</w:t>
      </w:r>
      <w:proofErr w:type="spellEnd"/>
      <w:r>
        <w:t xml:space="preserve"> with extensive experience and the lead author is one of the pioneers of adaptation of advanced endovascular techniques. Their low complication rates mean a type II error could not be ruled out. Similar excellence is unlikely to be replicated widely, and in fact </w:t>
      </w:r>
      <w:proofErr w:type="spellStart"/>
      <w:r>
        <w:t>multicenter</w:t>
      </w:r>
      <w:proofErr w:type="spellEnd"/>
      <w:r>
        <w:t xml:space="preserve"> series report higher overall complication rates and a more discernible trend of higher complication rates in more complex FEVAR.</w:t>
      </w:r>
      <w:r w:rsidRPr="0055088A">
        <w:rPr>
          <w:vertAlign w:val="superscript"/>
        </w:rPr>
        <w:t>2</w:t>
      </w:r>
      <w:r>
        <w:t xml:space="preserve"> </w:t>
      </w:r>
      <w:proofErr w:type="spellStart"/>
      <w:r>
        <w:t>Centers</w:t>
      </w:r>
      <w:proofErr w:type="spellEnd"/>
      <w:r>
        <w:t xml:space="preserve"> with less experience or differing results should remain cautious, including our own.</w:t>
      </w:r>
      <w:r w:rsidRPr="0055088A">
        <w:rPr>
          <w:vertAlign w:val="superscript"/>
        </w:rPr>
        <w:t>1</w:t>
      </w:r>
    </w:p>
    <w:p w14:paraId="6146DBDF" w14:textId="77777777" w:rsidR="0055088A" w:rsidRDefault="0055088A" w:rsidP="0055088A">
      <w:r>
        <w:t xml:space="preserve">2.A comparison of “less complex” FEVAR vs “more complex” FEVAR is spurious without the context of anatomy. In planning, the anatomy frequently lends itself to a </w:t>
      </w:r>
      <w:proofErr w:type="gramStart"/>
      <w:r>
        <w:t>particular device</w:t>
      </w:r>
      <w:proofErr w:type="gramEnd"/>
      <w:r>
        <w:t xml:space="preserve">. The authors' analysis has relevance only to patients in whom it would appear that satisfactory and durable seal could be obtained by deploying a less complex </w:t>
      </w:r>
      <w:proofErr w:type="gramStart"/>
      <w:r>
        <w:t>FEVAR</w:t>
      </w:r>
      <w:proofErr w:type="gramEnd"/>
      <w:r>
        <w:t xml:space="preserve"> but the physician wishes to consider a more complex device. The authors have shown that this would lead to increased operating/fluoroscopy time and greater contrast agent use but have not shown any benefit.</w:t>
      </w:r>
    </w:p>
    <w:p w14:paraId="766DF32B" w14:textId="77777777" w:rsidR="0092123A" w:rsidRDefault="0055088A" w:rsidP="0055088A">
      <w:r>
        <w:t xml:space="preserve">Whereas the report is reassuring by demonstrating that large experienced </w:t>
      </w:r>
      <w:proofErr w:type="spellStart"/>
      <w:r>
        <w:t>centers</w:t>
      </w:r>
      <w:proofErr w:type="spellEnd"/>
      <w:r>
        <w:t xml:space="preserve"> may deliver more complex FEVAR with no substantial increase in complications compared with less complex FEVAR, we recommend that </w:t>
      </w:r>
      <w:proofErr w:type="spellStart"/>
      <w:r>
        <w:t>centers</w:t>
      </w:r>
      <w:proofErr w:type="spellEnd"/>
      <w:r>
        <w:t xml:space="preserve"> with less experience remain cautious in their approach. Larger </w:t>
      </w:r>
      <w:proofErr w:type="spellStart"/>
      <w:r>
        <w:t>centers</w:t>
      </w:r>
      <w:proofErr w:type="spellEnd"/>
      <w:r>
        <w:t xml:space="preserve"> or </w:t>
      </w:r>
      <w:proofErr w:type="spellStart"/>
      <w:r>
        <w:t>multicenter</w:t>
      </w:r>
      <w:proofErr w:type="spellEnd"/>
      <w:r>
        <w:t xml:space="preserve"> collaborations still need to demonstrate a benefit, supported by long-term follow-up, </w:t>
      </w:r>
      <w:r>
        <w:lastRenderedPageBreak/>
        <w:t>from more liberal use of complex FEVAR (in patients in whom there is a choice) to offset the established opportunity costs of their implantation.</w:t>
      </w:r>
    </w:p>
    <w:p w14:paraId="7316ADCE" w14:textId="77777777" w:rsidR="0055088A" w:rsidRDefault="0055088A" w:rsidP="0055088A">
      <w:r w:rsidRPr="0055088A">
        <w:rPr>
          <w:b/>
        </w:rPr>
        <w:t>References</w:t>
      </w:r>
    </w:p>
    <w:p w14:paraId="4816BB56" w14:textId="77777777" w:rsidR="0055088A" w:rsidRDefault="0055088A" w:rsidP="0055088A">
      <w:pPr>
        <w:pStyle w:val="ListParagraph"/>
        <w:numPr>
          <w:ilvl w:val="0"/>
          <w:numId w:val="2"/>
        </w:numPr>
      </w:pPr>
      <w:r>
        <w:t xml:space="preserve"> Roy, I., Millen, A., Jones, S., </w:t>
      </w:r>
      <w:proofErr w:type="spellStart"/>
      <w:r>
        <w:t>Vallabhaneni</w:t>
      </w:r>
      <w:proofErr w:type="spellEnd"/>
      <w:r>
        <w:t xml:space="preserve">, S., </w:t>
      </w:r>
      <w:proofErr w:type="spellStart"/>
      <w:r>
        <w:t>Scurr</w:t>
      </w:r>
      <w:proofErr w:type="spellEnd"/>
      <w:r>
        <w:t>, J., McWilliams, R. et al. Long-term follow-up of fenestrated endovascular repair for juxta-renal aortic aneurysm. ([</w:t>
      </w:r>
      <w:proofErr w:type="spellStart"/>
      <w:r>
        <w:t>Epub</w:t>
      </w:r>
      <w:proofErr w:type="spellEnd"/>
      <w:r>
        <w:t xml:space="preserve"> ahead of print</w:t>
      </w:r>
      <w:proofErr w:type="gramStart"/>
      <w:r>
        <w:t>])Br</w:t>
      </w:r>
      <w:proofErr w:type="gramEnd"/>
      <w:r>
        <w:t xml:space="preserve"> J Surg. 2017; </w:t>
      </w:r>
      <w:r w:rsidRPr="0055088A">
        <w:t>doi:10.1002/bjs.10524</w:t>
      </w:r>
    </w:p>
    <w:p w14:paraId="2B1DA3B1" w14:textId="77777777" w:rsidR="0055088A" w:rsidRPr="0055088A" w:rsidRDefault="0055088A" w:rsidP="0055088A">
      <w:pPr>
        <w:pStyle w:val="ListParagraph"/>
        <w:numPr>
          <w:ilvl w:val="0"/>
          <w:numId w:val="2"/>
        </w:numPr>
      </w:pPr>
      <w:r>
        <w:t xml:space="preserve"> British Society for Endovascular Therapy and the Global Collaborators on Advanced Stent-Graft Techniques for Aneurysm Repair (GLOBALSTAR) Registry. Early results of fenestrated endovascular repair of </w:t>
      </w:r>
      <w:proofErr w:type="spellStart"/>
      <w:r>
        <w:t>juxtarenal</w:t>
      </w:r>
      <w:proofErr w:type="spellEnd"/>
      <w:r>
        <w:t xml:space="preserve"> aortic aneurysms in the United Kingdom. Circulation. 2012; 125: 2707–2715</w:t>
      </w:r>
    </w:p>
    <w:sectPr w:rsidR="0055088A" w:rsidRPr="00550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259A"/>
    <w:multiLevelType w:val="hybridMultilevel"/>
    <w:tmpl w:val="96BAC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2D0A"/>
    <w:multiLevelType w:val="hybridMultilevel"/>
    <w:tmpl w:val="5EF2C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3A"/>
    <w:rsid w:val="000C06F4"/>
    <w:rsid w:val="000C19AD"/>
    <w:rsid w:val="00120D83"/>
    <w:rsid w:val="00141AFA"/>
    <w:rsid w:val="00224975"/>
    <w:rsid w:val="0034287F"/>
    <w:rsid w:val="003E01F3"/>
    <w:rsid w:val="0055088A"/>
    <w:rsid w:val="0057458D"/>
    <w:rsid w:val="005910AB"/>
    <w:rsid w:val="007E5619"/>
    <w:rsid w:val="00813CE0"/>
    <w:rsid w:val="0092123A"/>
    <w:rsid w:val="009B5A4A"/>
    <w:rsid w:val="009B732B"/>
    <w:rsid w:val="00AE2571"/>
    <w:rsid w:val="00D81867"/>
    <w:rsid w:val="00DF5E59"/>
    <w:rsid w:val="00E236E8"/>
    <w:rsid w:val="00E8423D"/>
    <w:rsid w:val="00E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D69C"/>
  <w15:chartTrackingRefBased/>
  <w15:docId w15:val="{72B4E8C6-9B6C-4CC0-9AB8-F4330690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in.roy@liverpoo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Iain</dc:creator>
  <cp:keywords/>
  <dc:description/>
  <cp:lastModifiedBy>Iain Roy</cp:lastModifiedBy>
  <cp:revision>3</cp:revision>
  <dcterms:created xsi:type="dcterms:W3CDTF">2017-12-08T20:00:00Z</dcterms:created>
  <dcterms:modified xsi:type="dcterms:W3CDTF">2020-08-12T19:46:00Z</dcterms:modified>
</cp:coreProperties>
</file>