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BA5C" w14:textId="77777777" w:rsidR="00B35321" w:rsidRDefault="00B35321" w:rsidP="00B35321">
      <w:r>
        <w:t>ABSTRACT for ACR:</w:t>
      </w:r>
    </w:p>
    <w:p w14:paraId="326FBBA6" w14:textId="77777777" w:rsidR="00B35321" w:rsidRDefault="00B35321" w:rsidP="00B35321"/>
    <w:p w14:paraId="472C2C60" w14:textId="326A4898" w:rsidR="00B35321" w:rsidRDefault="00B35321" w:rsidP="00B35321">
      <w:r w:rsidRPr="00B35321">
        <w:t>Perspectives of Radiologist Physicians in the Imaging of</w:t>
      </w:r>
      <w:r>
        <w:t xml:space="preserve"> </w:t>
      </w:r>
      <w:r w:rsidRPr="00B35321">
        <w:t>Chronic Nonbacterial Osteomyelitis</w:t>
      </w:r>
    </w:p>
    <w:p w14:paraId="741B7482" w14:textId="77777777" w:rsidR="00B35321" w:rsidRPr="00B35321" w:rsidRDefault="00B35321" w:rsidP="00B35321"/>
    <w:p w14:paraId="50FD17B4" w14:textId="0E5E6411" w:rsidR="00B35321" w:rsidRPr="00B35321" w:rsidRDefault="00B35321" w:rsidP="00B35321">
      <w:pPr>
        <w:rPr>
          <w:sz w:val="21"/>
          <w:szCs w:val="21"/>
        </w:rPr>
      </w:pPr>
      <w:r w:rsidRPr="00B35321">
        <w:rPr>
          <w:sz w:val="21"/>
          <w:szCs w:val="21"/>
        </w:rPr>
        <w:t xml:space="preserve">Farzana </w:t>
      </w:r>
      <w:proofErr w:type="spellStart"/>
      <w:r w:rsidRPr="00B35321">
        <w:rPr>
          <w:sz w:val="21"/>
          <w:szCs w:val="21"/>
        </w:rPr>
        <w:t>Nuruzzaman</w:t>
      </w:r>
      <w:proofErr w:type="spellEnd"/>
      <w:r w:rsidRPr="00B35321">
        <w:rPr>
          <w:sz w:val="21"/>
          <w:szCs w:val="21"/>
        </w:rPr>
        <w:t xml:space="preserve">, </w:t>
      </w:r>
      <w:proofErr w:type="spellStart"/>
      <w:r w:rsidRPr="00B35321">
        <w:rPr>
          <w:sz w:val="21"/>
          <w:szCs w:val="21"/>
        </w:rPr>
        <w:t>Mingqian</w:t>
      </w:r>
      <w:proofErr w:type="spellEnd"/>
      <w:r w:rsidRPr="00B35321">
        <w:rPr>
          <w:sz w:val="21"/>
          <w:szCs w:val="21"/>
        </w:rPr>
        <w:t xml:space="preserve"> Huang, Christian Hedrich, Hermann </w:t>
      </w:r>
      <w:proofErr w:type="spellStart"/>
      <w:r w:rsidRPr="00B35321">
        <w:rPr>
          <w:sz w:val="21"/>
          <w:szCs w:val="21"/>
        </w:rPr>
        <w:t>Girschick</w:t>
      </w:r>
      <w:proofErr w:type="spellEnd"/>
      <w:r w:rsidRPr="00B35321">
        <w:rPr>
          <w:sz w:val="21"/>
          <w:szCs w:val="21"/>
        </w:rPr>
        <w:t>, Julie Cherian,</w:t>
      </w:r>
      <w:r w:rsidRPr="00B35321">
        <w:rPr>
          <w:sz w:val="21"/>
          <w:szCs w:val="21"/>
        </w:rPr>
        <w:t xml:space="preserve"> </w:t>
      </w:r>
      <w:r w:rsidRPr="00B35321">
        <w:rPr>
          <w:sz w:val="21"/>
          <w:szCs w:val="21"/>
        </w:rPr>
        <w:t xml:space="preserve">Karen </w:t>
      </w:r>
      <w:proofErr w:type="spellStart"/>
      <w:r w:rsidRPr="00B35321">
        <w:rPr>
          <w:sz w:val="21"/>
          <w:szCs w:val="21"/>
        </w:rPr>
        <w:t>Onel</w:t>
      </w:r>
      <w:proofErr w:type="spellEnd"/>
      <w:r w:rsidRPr="00B35321">
        <w:rPr>
          <w:sz w:val="21"/>
          <w:szCs w:val="21"/>
        </w:rPr>
        <w:t xml:space="preserve">, T. Shawn Sato, Polly Ferguson and </w:t>
      </w:r>
      <w:proofErr w:type="spellStart"/>
      <w:r w:rsidRPr="00B35321">
        <w:rPr>
          <w:sz w:val="21"/>
          <w:szCs w:val="21"/>
        </w:rPr>
        <w:t>Yongdong</w:t>
      </w:r>
      <w:proofErr w:type="spellEnd"/>
      <w:r w:rsidRPr="00B35321">
        <w:rPr>
          <w:sz w:val="21"/>
          <w:szCs w:val="21"/>
        </w:rPr>
        <w:t xml:space="preserve"> Zhao, Stony Brook Children's</w:t>
      </w:r>
    </w:p>
    <w:p w14:paraId="4EA70822" w14:textId="037E8D46" w:rsidR="004B3E2F" w:rsidRPr="00B35321" w:rsidRDefault="00B35321" w:rsidP="00B35321">
      <w:pPr>
        <w:rPr>
          <w:sz w:val="21"/>
          <w:szCs w:val="21"/>
        </w:rPr>
      </w:pPr>
      <w:r w:rsidRPr="00B35321">
        <w:rPr>
          <w:sz w:val="21"/>
          <w:szCs w:val="21"/>
        </w:rPr>
        <w:t>Hospital, Stony Brook, Mount Sinai Hospital, New York, New York, University of Liverpool, Liverpool,</w:t>
      </w:r>
      <w:r w:rsidRPr="00B35321">
        <w:rPr>
          <w:sz w:val="21"/>
          <w:szCs w:val="21"/>
        </w:rPr>
        <w:t xml:space="preserve"> </w:t>
      </w:r>
      <w:r w:rsidRPr="00B35321">
        <w:rPr>
          <w:sz w:val="21"/>
          <w:szCs w:val="21"/>
        </w:rPr>
        <w:t xml:space="preserve">United Kingdom, </w:t>
      </w:r>
      <w:proofErr w:type="spellStart"/>
      <w:r w:rsidRPr="00B35321">
        <w:rPr>
          <w:sz w:val="21"/>
          <w:szCs w:val="21"/>
        </w:rPr>
        <w:t>Wuerzburg</w:t>
      </w:r>
      <w:proofErr w:type="spellEnd"/>
      <w:r w:rsidRPr="00B35321">
        <w:rPr>
          <w:sz w:val="21"/>
          <w:szCs w:val="21"/>
        </w:rPr>
        <w:t>, Germany, Hospital for Special Surgery, New York, University of Iowa,</w:t>
      </w:r>
      <w:r w:rsidRPr="00B35321">
        <w:rPr>
          <w:sz w:val="21"/>
          <w:szCs w:val="21"/>
        </w:rPr>
        <w:t xml:space="preserve"> </w:t>
      </w:r>
      <w:r w:rsidRPr="00B35321">
        <w:rPr>
          <w:sz w:val="21"/>
          <w:szCs w:val="21"/>
        </w:rPr>
        <w:t>Iowa City, University of Iowa Carver College of Medicine, Iowa City, University of Washington,</w:t>
      </w:r>
      <w:r w:rsidRPr="00B35321">
        <w:rPr>
          <w:sz w:val="21"/>
          <w:szCs w:val="21"/>
        </w:rPr>
        <w:t xml:space="preserve"> </w:t>
      </w:r>
      <w:r w:rsidRPr="00B35321">
        <w:rPr>
          <w:sz w:val="21"/>
          <w:szCs w:val="21"/>
        </w:rPr>
        <w:t>Seattle</w:t>
      </w:r>
    </w:p>
    <w:p w14:paraId="28FE7239" w14:textId="4470CC99" w:rsidR="00B35321" w:rsidRDefault="00B35321" w:rsidP="00B35321"/>
    <w:p w14:paraId="4F9945AA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Background/Purpose: Radiological imaging is integral to the diagnosis of chronic nonbacterial</w:t>
      </w:r>
    </w:p>
    <w:p w14:paraId="461259A8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osteomyelitis (CNO) and has been included as a central component in suggested diagnostic criteria</w:t>
      </w:r>
    </w:p>
    <w:p w14:paraId="49066623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[1,2]. Objectives of this study were: 1) to determine imaging modalities and features deemed</w:t>
      </w:r>
    </w:p>
    <w:p w14:paraId="158919F8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important by radiologists in the diagnostic workup of suspected CNO cases; 2) to generate input</w:t>
      </w:r>
    </w:p>
    <w:p w14:paraId="47B5FCFC" w14:textId="34C524EB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from radiologists regarding monitoring of patients with CNO.</w:t>
      </w:r>
    </w:p>
    <w:p w14:paraId="0A26116F" w14:textId="77777777" w:rsidR="00B35321" w:rsidRPr="00B35321" w:rsidRDefault="00B35321" w:rsidP="00B35321">
      <w:pPr>
        <w:rPr>
          <w:sz w:val="22"/>
          <w:szCs w:val="22"/>
        </w:rPr>
      </w:pPr>
    </w:p>
    <w:p w14:paraId="2BB72ABC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Methods: Population targeted were active attending radiologist physician members of the Society of</w:t>
      </w:r>
    </w:p>
    <w:p w14:paraId="2CEF4A4F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 xml:space="preserve">Skeletal Radiology email list serve. The survey was administered online through </w:t>
      </w:r>
      <w:proofErr w:type="spellStart"/>
      <w:r w:rsidRPr="00B35321">
        <w:rPr>
          <w:sz w:val="22"/>
          <w:szCs w:val="22"/>
        </w:rPr>
        <w:t>RedCap</w:t>
      </w:r>
      <w:proofErr w:type="spellEnd"/>
      <w:r w:rsidRPr="00B35321">
        <w:rPr>
          <w:sz w:val="22"/>
          <w:szCs w:val="22"/>
        </w:rPr>
        <w:t>. Descriptive</w:t>
      </w:r>
    </w:p>
    <w:p w14:paraId="730294A2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statistics were conducted with continuous variables reported as medians/means and categorical</w:t>
      </w:r>
    </w:p>
    <w:p w14:paraId="450D062F" w14:textId="71777C6E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variables as frequencies/percentages.</w:t>
      </w:r>
    </w:p>
    <w:p w14:paraId="0FED6F24" w14:textId="77777777" w:rsidR="00B35321" w:rsidRPr="00B35321" w:rsidRDefault="00B35321" w:rsidP="00B35321">
      <w:pPr>
        <w:rPr>
          <w:sz w:val="22"/>
          <w:szCs w:val="22"/>
        </w:rPr>
      </w:pPr>
    </w:p>
    <w:p w14:paraId="1FB31251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Results: A total of 66 respondents (5%) consented and completed the survey. The majority were</w:t>
      </w:r>
    </w:p>
    <w:p w14:paraId="33D26DB7" w14:textId="0B857A9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paediatric</w:t>
      </w:r>
      <w:r w:rsidRPr="00B35321">
        <w:rPr>
          <w:sz w:val="22"/>
          <w:szCs w:val="22"/>
        </w:rPr>
        <w:t xml:space="preserve"> radiologists, subspecializing in musculoskeletal radiology, with &gt;10 years of experience</w:t>
      </w:r>
    </w:p>
    <w:p w14:paraId="2AC7D97A" w14:textId="4BC6B349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(Table 1). Radiologists consider CNO in the radiological imaging interpretation di</w:t>
      </w:r>
      <w:r>
        <w:rPr>
          <w:sz w:val="22"/>
          <w:szCs w:val="22"/>
        </w:rPr>
        <w:t>ff</w:t>
      </w:r>
      <w:r w:rsidRPr="00B35321">
        <w:rPr>
          <w:sz w:val="22"/>
          <w:szCs w:val="22"/>
        </w:rPr>
        <w:t>erential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diagnosis</w:t>
      </w:r>
    </w:p>
    <w:p w14:paraId="3665E5E5" w14:textId="459DF940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an average of 10 cases per year. 79% and 45% of respondents reported high con</w:t>
      </w:r>
      <w:r>
        <w:rPr>
          <w:sz w:val="22"/>
          <w:szCs w:val="22"/>
        </w:rPr>
        <w:t>fi</w:t>
      </w:r>
      <w:r w:rsidRPr="00B35321">
        <w:rPr>
          <w:sz w:val="22"/>
          <w:szCs w:val="22"/>
        </w:rPr>
        <w:t>dence in identifying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imaging features of CNO on whole body MRI (WBMRI) and localized MRI, respectively. The level of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con</w:t>
      </w:r>
      <w:r>
        <w:rPr>
          <w:sz w:val="22"/>
          <w:szCs w:val="22"/>
        </w:rPr>
        <w:t>fi</w:t>
      </w:r>
      <w:r w:rsidRPr="00B35321">
        <w:rPr>
          <w:sz w:val="22"/>
          <w:szCs w:val="22"/>
        </w:rPr>
        <w:t>dence drops to 24% and 13% when interpreting X-rays (XRs) and bone scintigraphy, respectively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(Figure 1). Among all imaging modalities interpreted “always” in the initial diagnostic workup of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potential cases of CNO, XRs (52%) were most commonly interpreted, followed by localized MRI (46%)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and WBMRI (35%), which suggested the sequence of utilization of these three imaging modalities in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new cases. In established cases of CNO, wherein WBMRI was the most frequently interpreted (48%),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followed by localized MRI (26%) and XRs (25%) (Figure 2). Most common imaging features that led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respondents to suggest a bone biopsy included disorganized bone formation (64%/56%), moth-eaten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appearance (61%/56%), and lytic lesions (50%/44%) on XRs/CTs, respectively as well as the presence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of soft tissue mass/swelling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(68%/44%) and MRI signal hyperintensity of bone marrow at unifocal site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(24%) on MRI. A majority of respondents preferred a combination of short tau inverse recovery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(STIR), T1 and di􀃠</w:t>
      </w:r>
      <w:proofErr w:type="spellStart"/>
      <w:r w:rsidRPr="00B35321">
        <w:rPr>
          <w:sz w:val="22"/>
          <w:szCs w:val="22"/>
        </w:rPr>
        <w:t>usion</w:t>
      </w:r>
      <w:proofErr w:type="spellEnd"/>
      <w:r w:rsidRPr="00B35321">
        <w:rPr>
          <w:sz w:val="22"/>
          <w:szCs w:val="22"/>
        </w:rPr>
        <w:t xml:space="preserve"> weighted imaging (DWI) sequences in the MRI images of potential CNO cases.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46% of respondents reported using an established WBMRI protocol at their institutions.</w:t>
      </w:r>
    </w:p>
    <w:p w14:paraId="586FED48" w14:textId="58EEC59C" w:rsidR="00B35321" w:rsidRDefault="00B35321" w:rsidP="00B35321">
      <w:pPr>
        <w:rPr>
          <w:sz w:val="22"/>
          <w:szCs w:val="22"/>
        </w:rPr>
      </w:pPr>
    </w:p>
    <w:p w14:paraId="1BF03053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Conclusion: WBMRI is considered the most useful imaging modality for initial diagnosis and</w:t>
      </w:r>
    </w:p>
    <w:p w14:paraId="687A9234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monitoring of CNO by radiologists. Certain morphological features including disorganized bone</w:t>
      </w:r>
    </w:p>
    <w:p w14:paraId="4147BB9E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structure, moth-eaten appearance, lytic lesions, soft tissue mass/swelling and unifocal signal</w:t>
      </w:r>
    </w:p>
    <w:p w14:paraId="77F5775C" w14:textId="6FBF9608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hyperintensity of bone marrow may result in increased chance of bone biopsy to exclude di</w:t>
      </w:r>
      <w:r>
        <w:rPr>
          <w:sz w:val="22"/>
          <w:szCs w:val="22"/>
        </w:rPr>
        <w:t>ff</w:t>
      </w:r>
      <w:r w:rsidRPr="00B35321">
        <w:rPr>
          <w:sz w:val="22"/>
          <w:szCs w:val="22"/>
        </w:rPr>
        <w:t>erential</w:t>
      </w:r>
    </w:p>
    <w:p w14:paraId="1EF0F1E5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diagnoses. Findings from this survey will promote discussion within a focused group to develop</w:t>
      </w:r>
    </w:p>
    <w:p w14:paraId="1C7CA035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imaging guidelines for the diagnostic workup and disease monitoring in CNO and contribute to</w:t>
      </w:r>
    </w:p>
    <w:p w14:paraId="741AC5B3" w14:textId="23EBB262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earlier diagnosis and individualized care.</w:t>
      </w:r>
    </w:p>
    <w:p w14:paraId="24272EA6" w14:textId="77777777" w:rsidR="00B35321" w:rsidRPr="00B35321" w:rsidRDefault="00B35321" w:rsidP="00B35321">
      <w:pPr>
        <w:rPr>
          <w:sz w:val="22"/>
          <w:szCs w:val="22"/>
        </w:rPr>
      </w:pPr>
    </w:p>
    <w:p w14:paraId="421F69ED" w14:textId="0A3077D5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[1] Jansson, A et al. “Classi</w:t>
      </w:r>
      <w:r>
        <w:rPr>
          <w:sz w:val="22"/>
          <w:szCs w:val="22"/>
        </w:rPr>
        <w:t>fi</w:t>
      </w:r>
      <w:r w:rsidRPr="00B35321">
        <w:rPr>
          <w:sz w:val="22"/>
          <w:szCs w:val="22"/>
        </w:rPr>
        <w:t>cation of nonbacterial osteitis.” Rheumatology (Oxford) 46, 1 (2007)</w:t>
      </w:r>
    </w:p>
    <w:p w14:paraId="5B1FE56F" w14:textId="2613CDB9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[2] Roderick, MR,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 xml:space="preserve">et al. “Chronic recurrent multifocal osteomyelitis (CRMO).” </w:t>
      </w:r>
      <w:r w:rsidRPr="00B35321">
        <w:rPr>
          <w:sz w:val="22"/>
          <w:szCs w:val="22"/>
        </w:rPr>
        <w:t>Paediatric</w:t>
      </w:r>
      <w:r>
        <w:rPr>
          <w:sz w:val="22"/>
          <w:szCs w:val="22"/>
        </w:rPr>
        <w:t xml:space="preserve"> </w:t>
      </w:r>
      <w:r w:rsidRPr="00B35321">
        <w:rPr>
          <w:sz w:val="22"/>
          <w:szCs w:val="22"/>
        </w:rPr>
        <w:t>Rheumatology 14, 47 (2016)</w:t>
      </w:r>
    </w:p>
    <w:p w14:paraId="60C8035A" w14:textId="75F1D92E" w:rsidR="00B35321" w:rsidRDefault="00B35321" w:rsidP="00B3532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9FF9ED1" wp14:editId="681482FC">
            <wp:extent cx="5727700" cy="6397625"/>
            <wp:effectExtent l="0" t="0" r="0" b="317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39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BF88" w14:textId="16703A6C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Table 1: Baseline demographics and characteristics of survey respondents</w:t>
      </w:r>
    </w:p>
    <w:p w14:paraId="6A7DFAC7" w14:textId="77777777" w:rsidR="00B35321" w:rsidRDefault="00B353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B00302" w14:textId="7818AEFB" w:rsidR="00B35321" w:rsidRDefault="00B35321" w:rsidP="00B35321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6F893BB" wp14:editId="20585745">
            <wp:extent cx="5727700" cy="2945130"/>
            <wp:effectExtent l="0" t="0" r="0" b="127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ocial media po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DE46" w14:textId="578F50EE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Figure 1: Level of con</w:t>
      </w:r>
      <w:r>
        <w:rPr>
          <w:sz w:val="22"/>
          <w:szCs w:val="22"/>
        </w:rPr>
        <w:t>fi</w:t>
      </w:r>
      <w:r w:rsidRPr="00B35321">
        <w:rPr>
          <w:sz w:val="22"/>
          <w:szCs w:val="22"/>
        </w:rPr>
        <w:t>dence of radiologist physicians in identifying features of CNO by imaging</w:t>
      </w:r>
    </w:p>
    <w:p w14:paraId="65FDC6DF" w14:textId="461CDBC7" w:rsid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M</w:t>
      </w:r>
      <w:r w:rsidRPr="00B35321">
        <w:rPr>
          <w:sz w:val="22"/>
          <w:szCs w:val="22"/>
        </w:rPr>
        <w:t>odality</w:t>
      </w:r>
    </w:p>
    <w:p w14:paraId="6ED1A987" w14:textId="5C2838BC" w:rsidR="00B35321" w:rsidRDefault="00B35321" w:rsidP="00B35321">
      <w:pPr>
        <w:rPr>
          <w:sz w:val="22"/>
          <w:szCs w:val="22"/>
        </w:rPr>
      </w:pPr>
    </w:p>
    <w:p w14:paraId="0E155D2A" w14:textId="4C426211" w:rsidR="00B35321" w:rsidRDefault="00B35321" w:rsidP="00B353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E1C57A5" wp14:editId="17356331">
            <wp:extent cx="5727600" cy="4035600"/>
            <wp:effectExtent l="0" t="0" r="635" b="3175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40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13F3" w14:textId="1A9D6DD3" w:rsidR="00B35321" w:rsidRDefault="00B35321" w:rsidP="00B35321">
      <w:pPr>
        <w:rPr>
          <w:sz w:val="22"/>
          <w:szCs w:val="22"/>
        </w:rPr>
      </w:pPr>
    </w:p>
    <w:p w14:paraId="05780CC1" w14:textId="77777777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Figure 2: Imaging modalities interpreted by radiologist physicians in potential and established cases</w:t>
      </w:r>
    </w:p>
    <w:p w14:paraId="248AF1B9" w14:textId="698DF1D9" w:rsidR="00B35321" w:rsidRPr="00B35321" w:rsidRDefault="00B35321" w:rsidP="00B35321">
      <w:pPr>
        <w:rPr>
          <w:sz w:val="22"/>
          <w:szCs w:val="22"/>
        </w:rPr>
      </w:pPr>
      <w:r w:rsidRPr="00B35321">
        <w:rPr>
          <w:sz w:val="22"/>
          <w:szCs w:val="22"/>
        </w:rPr>
        <w:t>of CNO</w:t>
      </w:r>
    </w:p>
    <w:sectPr w:rsidR="00B35321" w:rsidRPr="00B35321" w:rsidSect="00FB4B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21"/>
    <w:rsid w:val="00385B90"/>
    <w:rsid w:val="004B3E2F"/>
    <w:rsid w:val="00B35321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7B9B"/>
  <w15:chartTrackingRefBased/>
  <w15:docId w15:val="{B18F2F63-2FA7-2E46-B63E-15563B49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Whitty, Laura</dc:creator>
  <cp:keywords/>
  <dc:description/>
  <cp:lastModifiedBy>Whitty, Laura</cp:lastModifiedBy>
  <cp:revision>1</cp:revision>
  <dcterms:created xsi:type="dcterms:W3CDTF">2020-08-14T12:19:00Z</dcterms:created>
  <dcterms:modified xsi:type="dcterms:W3CDTF">2020-08-14T12:30:00Z</dcterms:modified>
</cp:coreProperties>
</file>